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jc w:val="right"/>
        <w:rPr>
          <w:rFonts w:hint="eastAsia" w:ascii="仿宋_GB2312" w:hAnsi="仿宋_GB2312" w:eastAsia="仿宋_GB2312" w:cs="仿宋_GB2312"/>
          <w:color w:val="000000"/>
          <w:sz w:val="28"/>
          <w:szCs w:val="28"/>
        </w:rPr>
      </w:pPr>
      <w:r>
        <w:rPr>
          <w:rFonts w:hint="eastAsia" w:ascii="宋体" w:hAnsi="宋体" w:eastAsia="宋体" w:cs="Times New Roman"/>
          <w:b/>
          <w:bCs/>
          <w:color w:val="000000"/>
          <w:spacing w:val="-8"/>
          <w:sz w:val="48"/>
          <w:szCs w:val="44"/>
        </w:rPr>
        <w:t>大齿公司工位器具（物料筐）采购项目</w:t>
      </w:r>
      <w:r>
        <w:rPr>
          <w:rFonts w:hint="eastAsia" w:ascii="仿宋_GB2312" w:hAnsi="仿宋_GB2312" w:eastAsia="仿宋_GB2312" w:cs="仿宋_GB2312"/>
          <w:color w:val="000000"/>
          <w:sz w:val="28"/>
          <w:szCs w:val="28"/>
        </w:rPr>
        <w:t xml:space="preserve">                                    </w:t>
      </w:r>
    </w:p>
    <w:p>
      <w:pPr>
        <w:pStyle w:val="2"/>
        <w:rPr>
          <w:rFonts w:hint="eastAsia" w:ascii="仿宋_GB2312" w:hAnsi="仿宋_GB2312" w:eastAsia="仿宋_GB2312" w:cs="仿宋_GB2312"/>
        </w:rPr>
      </w:pPr>
    </w:p>
    <w:p>
      <w:pPr>
        <w:pStyle w:val="2"/>
        <w:rPr>
          <w:rFonts w:hint="eastAsia" w:ascii="仿宋_GB2312" w:hAnsi="仿宋_GB2312" w:eastAsia="仿宋_GB2312" w:cs="仿宋_GB2312"/>
        </w:rPr>
      </w:pPr>
    </w:p>
    <w:p>
      <w:pPr>
        <w:pStyle w:val="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：中国重汽集团大同齿轮有限公司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ascii="宋体" w:hAnsi="宋体" w:eastAsia="宋体"/>
            </w:rPr>
          </w:pPr>
        </w:p>
        <w:p>
          <w:pPr>
            <w:jc w:val="center"/>
            <w:rPr>
              <w:rFonts w:ascii="宋体" w:hAnsi="宋体" w:eastAsia="宋体"/>
            </w:rPr>
          </w:pPr>
        </w:p>
        <w:p>
          <w:pPr>
            <w:jc w:val="center"/>
            <w:rPr>
              <w:rFonts w:ascii="宋体" w:hAnsi="宋体" w:eastAsia="宋体"/>
            </w:rPr>
          </w:pPr>
        </w:p>
        <w:p>
          <w:pPr>
            <w:jc w:val="center"/>
            <w:rPr>
              <w:rFonts w:ascii="宋体" w:hAnsi="宋体" w:eastAsia="宋体"/>
            </w:rPr>
          </w:pPr>
        </w:p>
        <w:p>
          <w:pPr>
            <w:jc w:val="center"/>
            <w:rPr>
              <w:rFonts w:ascii="宋体" w:hAnsi="宋体" w:eastAsia="宋体"/>
            </w:rPr>
          </w:pPr>
        </w:p>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7"/>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3"/>
        <w:jc w:val="both"/>
        <w:rPr>
          <w:rFonts w:hint="eastAsia" w:ascii="仿宋_GB2312" w:hAnsi="仿宋_GB2312" w:eastAsia="仿宋_GB2312" w:cs="仿宋_GB2312"/>
          <w:sz w:val="44"/>
        </w:rPr>
      </w:pPr>
      <w:bookmarkStart w:id="0" w:name="_Toc15480"/>
      <w:bookmarkStart w:id="1" w:name="_Toc22242"/>
      <w:bookmarkStart w:id="2" w:name="_Toc29994"/>
      <w:bookmarkStart w:id="3" w:name="_Toc23693"/>
      <w:bookmarkStart w:id="4" w:name="_Toc5202"/>
    </w:p>
    <w:p>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项目名称：大齿公司工位器具（物料筐）采购项目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项目编号：FSCZB2025100222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招标内容：大齿公司工位器具（物料筐）采购项目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snapToGrid w:val="0"/>
                <w:kern w:val="0"/>
                <w:sz w:val="24"/>
                <w:szCs w:val="24"/>
                <w:lang w:eastAsia="zh-CN"/>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b/>
                <w:snapToGrid w:val="0"/>
                <w:kern w:val="0"/>
                <w:sz w:val="24"/>
                <w:szCs w:val="24"/>
                <w:lang w:eastAsia="zh-CN"/>
              </w:rPr>
              <w:t>中国重汽集团大同齿轮有限公司</w:t>
            </w:r>
          </w:p>
          <w:p>
            <w:pPr>
              <w:ind w:firstLine="482" w:firstLineChars="200"/>
              <w:rPr>
                <w:rFonts w:hint="eastAsia" w:ascii="仿宋_GB2312" w:hAnsi="仿宋_GB2312" w:eastAsia="仿宋_GB2312" w:cs="仿宋_GB2312"/>
                <w:b/>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赵力</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w:t>
            </w:r>
            <w:r>
              <w:rPr>
                <w:rFonts w:hint="eastAsia" w:ascii="仿宋_GB2312" w:hAnsi="仿宋_GB2312" w:eastAsia="仿宋_GB2312" w:cs="仿宋_GB2312"/>
                <w:b/>
                <w:snapToGrid w:val="0"/>
                <w:kern w:val="0"/>
                <w:sz w:val="24"/>
                <w:szCs w:val="24"/>
                <w:highlight w:val="none"/>
                <w:lang w:val="en-US" w:eastAsia="zh-CN"/>
              </w:rPr>
              <w:t>17860606595</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邮箱：zhaoli@sinotruk.com</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技术联系人：张瑜</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电话：13353435712</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邮箱：1304338398@qq.com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18.9840</w:t>
            </w:r>
            <w:r>
              <w:rPr>
                <w:rFonts w:hint="eastAsia" w:ascii="仿宋_GB2312" w:hAnsi="仿宋_GB2312" w:eastAsia="仿宋_GB2312" w:cs="仿宋_GB2312"/>
                <w:color w:val="000000"/>
                <w:sz w:val="24"/>
                <w:szCs w:val="24"/>
              </w:rPr>
              <w:t>万元（</w:t>
            </w:r>
            <w:r>
              <w:rPr>
                <w:rFonts w:hint="eastAsia" w:ascii="仿宋_GB2312" w:hAnsi="仿宋_GB2312" w:eastAsia="仿宋_GB2312" w:cs="仿宋_GB2312"/>
                <w:color w:val="000000"/>
                <w:sz w:val="24"/>
                <w:szCs w:val="24"/>
                <w:shd w:val="clear" w:fill="FFFF00"/>
              </w:rPr>
              <w:t>含税，税率）</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⑴投标人须遵守《中华人民共和国招标投标法》、《中华人民共和国民法典》及其它有关的法律和法规；为中华人民共和国境内注册的独立法人机构，具有独立承担民事责任能力；</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⑵公司成立三年及以上（以营业执照成立日期到开标当日满三年为准），注册资金不能少于300万；经营范围满足招标项目需求；</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(3)投标人须具有全面的履约能力；</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(4)单位负责人为同一人或者存在控股、管理关系的不同投标人，不得参加同一合同项下的招标活动；</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(5)投标人在近三年内在经营活动中无违法记录；</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(6)具有健全的财务会计制度，财务状况和市场行为良好。没有处于被有权机关吊销营业执照、吊销资质、停业整顿、取消投标资格以及财产被接管、冻结或进入破产程序等；</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(7)投标人没有被列入招标人处《黑名单》（《黑名单》指投标人与招标人在以往或正在进行的合作中，存在招标人认为的违反合同约定或违反法律法规等的失信行为）的；</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(8)投标人须具有履行合同所必须的设备、财务、技术、服务等方面的资质和能力；</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(9)投标人须具有完全履行招标文件的所有要求的能力；</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(10)投标人须认可招标人的工作指令，包括节、假日能正常开展工作的要求；</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(11)投标人必须是最终投标、签订合同的单位，不得以任何理由将已中标项目以任何形式转包给其他单位；</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(12）本次招标项目不接受联合体投标；</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(13）不接受代理商投标；</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（14）投标人近一个月内开具的人民银行企业信用报告中未显示异常；</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（15）在“国家企业信用信息公示系统”、“中国执行信息公开网”、“信用中国”、“天眼查”“裁判文书网”等信息平台中，无行政处罚及失信记录等信息；</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（16）无招标违规、谎报年度报告信息、提供虚假资质资料等行为或其他行政处罚记录；</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（17）按规定缴纳本项目投标保证金；</w:t>
            </w:r>
          </w:p>
          <w:p>
            <w:pPr>
              <w:adjustRightInd w:val="0"/>
              <w:snapToGrid w:val="0"/>
              <w:spacing w:line="240" w:lineRule="atLeast"/>
              <w:ind w:firstLine="420" w:firstLineChars="200"/>
              <w:jc w:val="left"/>
              <w:rPr>
                <w:rFonts w:ascii="仿宋_GB2312" w:hAnsi="仿宋_GB2312" w:cs="仿宋_GB2312"/>
              </w:rPr>
            </w:pPr>
            <w:r>
              <w:rPr>
                <w:rFonts w:hint="eastAsia" w:ascii="仿宋_GB2312" w:hAnsi="仿宋_GB2312" w:cs="仿宋_GB2312"/>
              </w:rPr>
              <w:t>（18）投标方的直接或间接股东、法定代表人、董事、监事、高管非重汽员工及其亲属。</w:t>
            </w:r>
          </w:p>
          <w:p>
            <w:pPr>
              <w:pStyle w:val="2"/>
              <w:ind w:firstLine="480" w:firstLineChars="200"/>
              <w:rPr>
                <w:rFonts w:hint="eastAsia" w:ascii="仿宋_GB2312" w:hAnsi="仿宋_GB2312" w:eastAsia="仿宋_GB2312" w:cs="仿宋_GB2312"/>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2025年11月7日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2025年11月12日前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2025年11月12日前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2025年11月12日17：00.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本次投标只需要线上e采通投递电子版标书，不需要纸质版标书。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2025年11月17日17：00.</w:t>
            </w:r>
          </w:p>
          <w:p>
            <w:pPr>
              <w:pStyle w:val="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spacing w:line="360" w:lineRule="auto"/>
              <w:ind w:firstLine="420" w:firstLineChars="200"/>
              <w:rPr>
                <w:rFonts w:hint="eastAsia" w:ascii="宋体" w:hAnsi="宋体"/>
                <w:szCs w:val="21"/>
              </w:rPr>
            </w:pPr>
            <w:r>
              <w:rPr>
                <w:rFonts w:hint="eastAsia" w:ascii="宋体" w:hAnsi="宋体"/>
                <w:szCs w:val="21"/>
              </w:rPr>
              <w:t>单位名称：中国重汽集团大同齿轮有限公司</w:t>
            </w:r>
          </w:p>
          <w:p>
            <w:pPr>
              <w:spacing w:line="360" w:lineRule="auto"/>
              <w:ind w:firstLine="420" w:firstLineChars="200"/>
              <w:rPr>
                <w:rFonts w:hint="eastAsia" w:ascii="宋体" w:hAnsi="宋体"/>
                <w:szCs w:val="21"/>
              </w:rPr>
            </w:pPr>
            <w:r>
              <w:rPr>
                <w:rFonts w:hint="eastAsia" w:ascii="宋体" w:hAnsi="宋体"/>
                <w:szCs w:val="21"/>
              </w:rPr>
              <w:t>收款行账号：04272001040026121</w:t>
            </w:r>
          </w:p>
          <w:p>
            <w:pPr>
              <w:spacing w:line="360" w:lineRule="auto"/>
              <w:ind w:firstLine="420" w:firstLineChars="200"/>
              <w:rPr>
                <w:rFonts w:hint="eastAsia" w:ascii="宋体" w:hAnsi="宋体"/>
                <w:szCs w:val="21"/>
              </w:rPr>
            </w:pPr>
            <w:r>
              <w:rPr>
                <w:rFonts w:hint="eastAsia" w:ascii="宋体" w:hAnsi="宋体"/>
                <w:szCs w:val="21"/>
              </w:rPr>
              <w:t>收款行：中国农业银行股份有限公司大同城区支行</w:t>
            </w:r>
          </w:p>
          <w:p>
            <w:pPr>
              <w:spacing w:line="360" w:lineRule="auto"/>
              <w:ind w:firstLine="420" w:firstLineChars="200"/>
              <w:rPr>
                <w:rFonts w:hint="eastAsia" w:ascii="宋体" w:hAnsi="宋体"/>
                <w:szCs w:val="21"/>
              </w:rPr>
            </w:pPr>
            <w:r>
              <w:rPr>
                <w:rFonts w:hint="eastAsia" w:ascii="宋体" w:hAnsi="宋体"/>
                <w:szCs w:val="21"/>
              </w:rPr>
              <w:t>联行号：103162027204</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default" w:ascii="仿宋_GB2312" w:hAnsi="仿宋_GB2312" w:eastAsia="仿宋_GB2312" w:cs="仿宋_GB2312"/>
                <w:sz w:val="24"/>
                <w:szCs w:val="24"/>
                <w:highlight w:val="cyan"/>
                <w:lang w:val="en-US" w:eastAsia="zh-CN"/>
              </w:rPr>
            </w:pPr>
            <w:r>
              <w:rPr>
                <w:rFonts w:hint="eastAsia" w:ascii="仿宋_GB2312" w:hAnsi="仿宋_GB2312" w:eastAsia="仿宋_GB2312" w:cs="仿宋_GB2312"/>
                <w:sz w:val="24"/>
                <w:szCs w:val="24"/>
                <w:shd w:val="clear" w:fill="FF0000"/>
              </w:rPr>
              <w:t>转账附言：公司名称+项目名称+投标保证金。</w:t>
            </w:r>
            <w:r>
              <w:rPr>
                <w:rFonts w:hint="eastAsia" w:ascii="仿宋_GB2312" w:hAnsi="仿宋_GB2312" w:eastAsia="仿宋_GB2312" w:cs="仿宋_GB2312"/>
                <w:sz w:val="24"/>
                <w:szCs w:val="24"/>
                <w:shd w:val="clear" w:fill="FF0000"/>
                <w:lang w:eastAsia="zh-CN"/>
              </w:rPr>
              <w:t>（</w:t>
            </w:r>
            <w:r>
              <w:rPr>
                <w:rFonts w:hint="eastAsia" w:ascii="仿宋_GB2312" w:hAnsi="仿宋_GB2312" w:eastAsia="仿宋_GB2312" w:cs="仿宋_GB2312"/>
                <w:sz w:val="24"/>
                <w:szCs w:val="24"/>
                <w:shd w:val="clear" w:fill="FF0000"/>
                <w:lang w:val="en-US" w:eastAsia="zh-CN"/>
              </w:rPr>
              <w:t>严格按照格式转账附言）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2025年11月17日17：00.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2025年11月18日9：00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b/>
                <w:bCs/>
                <w:sz w:val="24"/>
                <w:szCs w:val="24"/>
                <w:highlight w:val="none"/>
                <w:lang w:val="en-US" w:eastAsia="zh-CN"/>
              </w:rPr>
              <w:t>线上</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评标方法：资质标审核→唱标→商务标评审。</w:t>
            </w:r>
            <w:r>
              <w:rPr>
                <w:rFonts w:hint="eastAsia" w:ascii="仿宋_GB2312" w:hAnsi="仿宋_GB2312" w:eastAsia="仿宋_GB2312" w:cs="仿宋_GB2312"/>
                <w:b/>
                <w:bCs/>
                <w:color w:val="FF0000"/>
                <w:sz w:val="24"/>
                <w:szCs w:val="24"/>
                <w:highlight w:val="green"/>
                <w:lang w:val="en-US" w:eastAsia="zh-CN"/>
              </w:rPr>
              <w:t>合理最低价</w:t>
            </w:r>
            <w:r>
              <w:rPr>
                <w:rFonts w:hint="eastAsia" w:ascii="仿宋_GB2312" w:hAnsi="仿宋_GB2312" w:eastAsia="仿宋_GB2312" w:cs="仿宋_GB2312"/>
                <w:color w:val="FF0000"/>
                <w:sz w:val="24"/>
                <w:szCs w:val="24"/>
                <w:highlight w:val="green"/>
              </w:rPr>
              <w:t>。具体详见“第二部分投标须知第六条：评标原则”。</w:t>
            </w:r>
          </w:p>
        </w:tc>
      </w:tr>
      <w:bookmarkEnd w:id="6"/>
    </w:tbl>
    <w:p>
      <w:pPr>
        <w:pStyle w:val="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7" w:name="_Toc19183"/>
      <w:bookmarkStart w:id="8" w:name="_Toc11216"/>
      <w:bookmarkStart w:id="9" w:name="_Toc9448"/>
      <w:bookmarkStart w:id="10" w:name="_Toc27087"/>
      <w:bookmarkStart w:id="11" w:name="_Toc427"/>
      <w:bookmarkStart w:id="12" w:name="_Toc6577"/>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中国重汽官网、山东省阳光采购服务平台</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3265752"/>
      <w:bookmarkStart w:id="20" w:name="_Toc30534"/>
      <w:bookmarkStart w:id="21" w:name="_Toc33266914"/>
      <w:bookmarkStart w:id="22" w:name="_Toc33267001"/>
      <w:bookmarkStart w:id="23" w:name="_Toc33266950"/>
      <w:bookmarkStart w:id="24" w:name="_Toc33265653"/>
      <w:bookmarkStart w:id="25" w:name="_Toc33266627"/>
      <w:bookmarkStart w:id="26" w:name="_Toc33285487"/>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pStyle w:val="18"/>
        <w:rPr>
          <w:rFonts w:hint="eastAsia" w:ascii="仿宋_GB2312" w:hAnsi="仿宋_GB2312" w:eastAsia="仿宋_GB2312" w:cs="仿宋_GB2312"/>
          <w:b/>
          <w:sz w:val="24"/>
          <w:szCs w:val="24"/>
          <w:lang w:val="en-US" w:eastAsia="zh-CN"/>
        </w:rPr>
      </w:pPr>
      <w:bookmarkStart w:id="28" w:name="_Toc28416"/>
      <w:r>
        <w:rPr>
          <w:rFonts w:hint="eastAsia" w:ascii="仿宋_GB2312" w:hAnsi="仿宋_GB2312" w:eastAsia="仿宋_GB2312" w:cs="仿宋_GB2312"/>
          <w:b/>
          <w:sz w:val="24"/>
          <w:szCs w:val="24"/>
          <w:lang w:val="en-US" w:eastAsia="zh-CN"/>
        </w:rPr>
        <w:t>合理最低价</w:t>
      </w:r>
    </w:p>
    <w:p>
      <w:pPr>
        <w:pStyle w:val="18"/>
        <w:rPr>
          <w:rFonts w:hint="eastAsia" w:ascii="宋体" w:hAnsi="宋体" w:eastAsia="宋体" w:cs="宋体"/>
          <w:b/>
          <w:kern w:val="2"/>
          <w:sz w:val="24"/>
          <w:szCs w:val="24"/>
          <w:lang w:val="en-US" w:eastAsia="zh-CN" w:bidi="ar-SA"/>
        </w:rPr>
      </w:pPr>
    </w:p>
    <w:p>
      <w:pPr>
        <w:pStyle w:val="18"/>
        <w:rPr>
          <w:rFonts w:hint="eastAsia" w:ascii="宋体" w:hAnsi="宋体" w:eastAsia="宋体" w:cs="宋体"/>
          <w:b/>
          <w:kern w:val="2"/>
          <w:sz w:val="24"/>
          <w:szCs w:val="24"/>
          <w:lang w:val="en-US" w:eastAsia="zh-CN" w:bidi="ar-SA"/>
        </w:rPr>
      </w:pPr>
    </w:p>
    <w:p>
      <w:pPr>
        <w:pStyle w:val="18"/>
        <w:rPr>
          <w:rFonts w:hint="default"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技术标评分标准</w:t>
      </w:r>
    </w:p>
    <w:p>
      <w:pPr>
        <w:pStyle w:val="2"/>
        <w:spacing w:line="360" w:lineRule="auto"/>
        <w:jc w:val="center"/>
        <w:rPr>
          <w:rFonts w:hAnsi="宋体"/>
          <w:b/>
          <w:szCs w:val="21"/>
        </w:rPr>
      </w:pPr>
      <w:r>
        <w:rPr>
          <w:rFonts w:hint="eastAsia"/>
          <w:b/>
          <w:szCs w:val="21"/>
        </w:rPr>
        <w:t>技术标</w:t>
      </w:r>
      <w:r>
        <w:rPr>
          <w:rFonts w:hint="eastAsia" w:hAnsi="宋体"/>
          <w:b/>
          <w:szCs w:val="21"/>
        </w:rPr>
        <w:t>评分标准</w:t>
      </w:r>
    </w:p>
    <w:tbl>
      <w:tblPr>
        <w:tblStyle w:val="41"/>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31"/>
        <w:gridCol w:w="327"/>
        <w:gridCol w:w="81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3" w:hRule="atLeast"/>
        </w:trPr>
        <w:tc>
          <w:tcPr>
            <w:tcW w:w="729"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评审内容</w:t>
            </w:r>
          </w:p>
        </w:tc>
        <w:tc>
          <w:tcPr>
            <w:tcW w:w="547"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分值</w:t>
            </w:r>
          </w:p>
        </w:tc>
        <w:tc>
          <w:tcPr>
            <w:tcW w:w="3723"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729"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合作案例</w:t>
            </w:r>
          </w:p>
        </w:tc>
        <w:tc>
          <w:tcPr>
            <w:tcW w:w="547"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30</w:t>
            </w:r>
          </w:p>
        </w:tc>
        <w:tc>
          <w:tcPr>
            <w:tcW w:w="3723" w:type="pct"/>
            <w:noWrap/>
            <w:tcMar>
              <w:top w:w="12" w:type="dxa"/>
              <w:left w:w="12" w:type="dxa"/>
              <w:bottom w:w="0" w:type="dxa"/>
              <w:right w:w="12" w:type="dxa"/>
            </w:tcMar>
            <w:vAlign w:val="center"/>
          </w:tcPr>
          <w:p>
            <w:pPr>
              <w:pStyle w:val="2"/>
              <w:spacing w:line="360" w:lineRule="auto"/>
              <w:jc w:val="left"/>
              <w:rPr>
                <w:rFonts w:hAnsi="宋体"/>
                <w:szCs w:val="21"/>
              </w:rPr>
            </w:pPr>
            <w:r>
              <w:rPr>
                <w:rFonts w:hint="eastAsia" w:hAnsi="宋体"/>
                <w:szCs w:val="21"/>
              </w:rPr>
              <w:t>2年内的同领域合作案例，以提供合同有效页复印件为准，一个案例得10分，最高不超过30分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5" w:hRule="atLeast"/>
        </w:trPr>
        <w:tc>
          <w:tcPr>
            <w:tcW w:w="729"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质保期</w:t>
            </w:r>
          </w:p>
        </w:tc>
        <w:tc>
          <w:tcPr>
            <w:tcW w:w="547"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20</w:t>
            </w:r>
          </w:p>
        </w:tc>
        <w:tc>
          <w:tcPr>
            <w:tcW w:w="3723" w:type="pct"/>
            <w:noWrap/>
            <w:tcMar>
              <w:top w:w="12" w:type="dxa"/>
              <w:left w:w="12" w:type="dxa"/>
              <w:bottom w:w="0" w:type="dxa"/>
              <w:right w:w="12" w:type="dxa"/>
            </w:tcMar>
            <w:vAlign w:val="center"/>
          </w:tcPr>
          <w:p>
            <w:pPr>
              <w:pStyle w:val="2"/>
              <w:spacing w:line="360" w:lineRule="auto"/>
              <w:jc w:val="left"/>
              <w:rPr>
                <w:rFonts w:hAnsi="宋体"/>
                <w:szCs w:val="21"/>
              </w:rPr>
            </w:pPr>
            <w:r>
              <w:rPr>
                <w:rFonts w:hint="eastAsia" w:hAnsi="宋体"/>
                <w:szCs w:val="21"/>
              </w:rPr>
              <w:t>质保1年得10分，质保1.5年-2年（不含2年）得</w:t>
            </w:r>
            <w:r>
              <w:rPr>
                <w:rFonts w:hAnsi="宋体"/>
                <w:szCs w:val="21"/>
              </w:rPr>
              <w:t>15</w:t>
            </w:r>
            <w:r>
              <w:rPr>
                <w:rFonts w:hint="eastAsia" w:hAnsi="宋体"/>
                <w:szCs w:val="21"/>
              </w:rPr>
              <w:t>分，质保2年得</w:t>
            </w:r>
            <w:r>
              <w:rPr>
                <w:rFonts w:hAnsi="宋体"/>
                <w:szCs w:val="21"/>
              </w:rPr>
              <w:t>2</w:t>
            </w:r>
            <w:r>
              <w:rPr>
                <w:rFonts w:hint="eastAsia" w:hAnsi="宋体"/>
                <w:szCs w:val="21"/>
              </w:rPr>
              <w:t>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2" w:hRule="atLeast"/>
        </w:trPr>
        <w:tc>
          <w:tcPr>
            <w:tcW w:w="729"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产品质量</w:t>
            </w:r>
          </w:p>
        </w:tc>
        <w:tc>
          <w:tcPr>
            <w:tcW w:w="547"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20</w:t>
            </w:r>
          </w:p>
        </w:tc>
        <w:tc>
          <w:tcPr>
            <w:tcW w:w="3723" w:type="pct"/>
            <w:noWrap/>
            <w:tcMar>
              <w:top w:w="12" w:type="dxa"/>
              <w:left w:w="12" w:type="dxa"/>
              <w:bottom w:w="0" w:type="dxa"/>
              <w:right w:w="12" w:type="dxa"/>
            </w:tcMar>
            <w:vAlign w:val="center"/>
          </w:tcPr>
          <w:p>
            <w:pPr>
              <w:pStyle w:val="2"/>
              <w:spacing w:line="360" w:lineRule="auto"/>
              <w:jc w:val="left"/>
              <w:rPr>
                <w:rFonts w:hAnsi="宋体"/>
                <w:szCs w:val="21"/>
              </w:rPr>
            </w:pPr>
            <w:r>
              <w:rPr>
                <w:rFonts w:hint="eastAsia" w:hAnsi="宋体"/>
                <w:szCs w:val="21"/>
              </w:rPr>
              <w:t>根据提供的资料及现场答疑，产品质量符合要求，得1</w:t>
            </w:r>
            <w:r>
              <w:rPr>
                <w:rFonts w:hAnsi="宋体"/>
                <w:szCs w:val="21"/>
              </w:rPr>
              <w:t>0</w:t>
            </w:r>
            <w:r>
              <w:rPr>
                <w:rFonts w:hint="eastAsia" w:hAnsi="宋体"/>
                <w:szCs w:val="21"/>
              </w:rPr>
              <w:t>分，产品质量优于标书要求的，加1</w:t>
            </w:r>
            <w:r>
              <w:rPr>
                <w:rFonts w:hAnsi="宋体"/>
                <w:szCs w:val="21"/>
              </w:rPr>
              <w:t>-10</w:t>
            </w:r>
            <w:r>
              <w:rPr>
                <w:rFonts w:hint="eastAsia" w:hAnsi="宋体"/>
                <w:szCs w:val="21"/>
              </w:rPr>
              <w:t>分，此项最高不超过2</w:t>
            </w:r>
            <w:r>
              <w:rPr>
                <w:rFonts w:hAnsi="宋体"/>
                <w:szCs w:val="21"/>
              </w:rPr>
              <w:t>0</w:t>
            </w:r>
            <w:r>
              <w:rPr>
                <w:rFonts w:hint="eastAsia" w:hAnsi="宋体"/>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9" w:hRule="atLeast"/>
        </w:trPr>
        <w:tc>
          <w:tcPr>
            <w:tcW w:w="729"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供货能力</w:t>
            </w:r>
          </w:p>
        </w:tc>
        <w:tc>
          <w:tcPr>
            <w:tcW w:w="547"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10</w:t>
            </w:r>
          </w:p>
        </w:tc>
        <w:tc>
          <w:tcPr>
            <w:tcW w:w="3723" w:type="pct"/>
            <w:noWrap/>
            <w:tcMar>
              <w:top w:w="12" w:type="dxa"/>
              <w:left w:w="12" w:type="dxa"/>
              <w:bottom w:w="0" w:type="dxa"/>
              <w:right w:w="12" w:type="dxa"/>
            </w:tcMar>
            <w:vAlign w:val="center"/>
          </w:tcPr>
          <w:p>
            <w:pPr>
              <w:pStyle w:val="2"/>
              <w:spacing w:line="360" w:lineRule="auto"/>
              <w:jc w:val="left"/>
              <w:rPr>
                <w:rFonts w:hAnsi="宋体"/>
                <w:szCs w:val="21"/>
              </w:rPr>
            </w:pPr>
            <w:r>
              <w:rPr>
                <w:rFonts w:hint="eastAsia" w:hAnsi="宋体"/>
                <w:szCs w:val="21"/>
              </w:rPr>
              <w:t>具有相应人员、设备及资质，得5分，具有应对招标方紧急采购需求的能力，加5分，最高不超过10分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66" w:hRule="atLeast"/>
        </w:trPr>
        <w:tc>
          <w:tcPr>
            <w:tcW w:w="729"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增值服务</w:t>
            </w:r>
          </w:p>
        </w:tc>
        <w:tc>
          <w:tcPr>
            <w:tcW w:w="547" w:type="pct"/>
            <w:noWrap/>
            <w:tcMar>
              <w:top w:w="12" w:type="dxa"/>
              <w:left w:w="12" w:type="dxa"/>
              <w:bottom w:w="0" w:type="dxa"/>
              <w:right w:w="12" w:type="dxa"/>
            </w:tcMar>
            <w:vAlign w:val="center"/>
          </w:tcPr>
          <w:p>
            <w:pPr>
              <w:pStyle w:val="2"/>
              <w:spacing w:line="360" w:lineRule="auto"/>
              <w:jc w:val="center"/>
              <w:rPr>
                <w:rFonts w:hAnsi="宋体"/>
                <w:szCs w:val="21"/>
              </w:rPr>
            </w:pPr>
            <w:r>
              <w:rPr>
                <w:rFonts w:hint="eastAsia" w:hAnsi="宋体"/>
                <w:szCs w:val="21"/>
              </w:rPr>
              <w:t>20</w:t>
            </w:r>
          </w:p>
        </w:tc>
        <w:tc>
          <w:tcPr>
            <w:tcW w:w="3723" w:type="pct"/>
            <w:noWrap/>
            <w:tcMar>
              <w:top w:w="12" w:type="dxa"/>
              <w:left w:w="12" w:type="dxa"/>
              <w:bottom w:w="0" w:type="dxa"/>
              <w:right w:w="12" w:type="dxa"/>
            </w:tcMar>
            <w:vAlign w:val="center"/>
          </w:tcPr>
          <w:p>
            <w:pPr>
              <w:pStyle w:val="2"/>
              <w:spacing w:line="360" w:lineRule="auto"/>
              <w:jc w:val="left"/>
              <w:rPr>
                <w:rFonts w:hAnsi="宋体"/>
                <w:szCs w:val="21"/>
              </w:rPr>
            </w:pPr>
            <w:r>
              <w:rPr>
                <w:rFonts w:hint="eastAsia" w:hAnsi="宋体"/>
                <w:szCs w:val="21"/>
              </w:rPr>
              <w:t>免费的驻厂服务及技术支持、免费更换配件、以旧换新等，根据提供的增值服务内容赋分，最高不超过20分</w:t>
            </w:r>
          </w:p>
        </w:tc>
      </w:tr>
    </w:tbl>
    <w:p/>
    <w:p>
      <w:pPr>
        <w:pStyle w:val="18"/>
        <w:rPr>
          <w:rFonts w:hint="eastAsia"/>
          <w:lang w:val="en-US" w:eastAsia="zh-CN"/>
        </w:rPr>
      </w:pPr>
    </w:p>
    <w:p>
      <w:pPr>
        <w:numPr>
          <w:ilvl w:val="0"/>
          <w:numId w:val="5"/>
        </w:numPr>
        <w:spacing w:line="360" w:lineRule="auto"/>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在“中国重汽e采通”应标报名时，</w:t>
      </w:r>
      <w:r>
        <w:rPr>
          <w:rFonts w:hint="eastAsia" w:ascii="仿宋_GB2312" w:hAnsi="仿宋_GB2312" w:eastAsia="仿宋_GB2312" w:cs="仿宋_GB2312"/>
          <w:b/>
          <w:sz w:val="24"/>
          <w:szCs w:val="24"/>
        </w:rPr>
        <w:t>按照第</w:t>
      </w:r>
      <w:r>
        <w:rPr>
          <w:rFonts w:hint="eastAsia" w:ascii="仿宋_GB2312" w:hAnsi="仿宋_GB2312" w:eastAsia="仿宋_GB2312" w:cs="仿宋_GB2312"/>
          <w:b/>
          <w:sz w:val="24"/>
          <w:szCs w:val="24"/>
          <w:lang w:val="en-US" w:eastAsia="zh-CN"/>
        </w:rPr>
        <w:t>三</w:t>
      </w:r>
      <w:r>
        <w:rPr>
          <w:rFonts w:hint="eastAsia" w:ascii="仿宋_GB2312" w:hAnsi="仿宋_GB2312" w:eastAsia="仿宋_GB2312" w:cs="仿宋_GB2312"/>
          <w:b/>
          <w:sz w:val="24"/>
          <w:szCs w:val="24"/>
        </w:rPr>
        <w:t>部分</w:t>
      </w:r>
      <w:r>
        <w:rPr>
          <w:rFonts w:hint="eastAsia" w:ascii="仿宋_GB2312" w:hAnsi="仿宋_GB2312" w:eastAsia="仿宋_GB2312" w:cs="仿宋_GB2312"/>
          <w:b/>
          <w:sz w:val="24"/>
          <w:szCs w:val="24"/>
          <w:lang w:val="en-US" w:eastAsia="zh-CN"/>
        </w:rPr>
        <w:t>第三条</w:t>
      </w:r>
      <w:r>
        <w:rPr>
          <w:rFonts w:hint="eastAsia" w:ascii="仿宋_GB2312" w:hAnsi="仿宋_GB2312" w:eastAsia="仿宋_GB2312" w:cs="仿宋_GB2312"/>
          <w:b/>
          <w:sz w:val="24"/>
          <w:szCs w:val="24"/>
        </w:rPr>
        <w:t>投标文件组成资格证明文件中的1.1-1.</w:t>
      </w:r>
      <w:r>
        <w:rPr>
          <w:rFonts w:hint="eastAsia" w:ascii="仿宋_GB2312" w:hAnsi="仿宋_GB2312" w:eastAsia="仿宋_GB2312" w:cs="仿宋_GB2312"/>
          <w:b/>
          <w:sz w:val="24"/>
          <w:szCs w:val="24"/>
          <w:lang w:val="en-US" w:eastAsia="zh-CN"/>
        </w:rPr>
        <w:t>11准备资料，上传完毕后，等待审核</w:t>
      </w:r>
      <w:r>
        <w:rPr>
          <w:rFonts w:hint="eastAsia" w:ascii="仿宋_GB2312" w:hAnsi="仿宋_GB2312" w:eastAsia="仿宋_GB2312" w:cs="仿宋_GB2312"/>
          <w:b/>
          <w:sz w:val="24"/>
          <w:szCs w:val="24"/>
        </w:rPr>
        <w:t>；</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通过</w:t>
      </w: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的单位进入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按照“SRM系统供应商用户手册（附件16）”，在重汽e采通平台投递电子标书（包含资质标、技术标、商务标）；</w:t>
      </w:r>
      <w:r>
        <w:rPr>
          <w:rFonts w:hint="eastAsia" w:ascii="仿宋_GB2312" w:hAnsi="仿宋_GB2312" w:eastAsia="仿宋_GB2312" w:cs="仿宋_GB2312"/>
          <w:b/>
          <w:sz w:val="24"/>
          <w:szCs w:val="24"/>
        </w:rPr>
        <w:t>没有通过</w:t>
      </w:r>
      <w:r>
        <w:rPr>
          <w:rFonts w:hint="eastAsia" w:ascii="仿宋_GB2312" w:hAnsi="仿宋_GB2312" w:eastAsia="仿宋_GB2312" w:cs="仿宋_GB2312"/>
          <w:b/>
          <w:sz w:val="24"/>
          <w:szCs w:val="24"/>
          <w:lang w:val="en-US" w:eastAsia="zh-CN"/>
        </w:rPr>
        <w:t>应标资质审查</w:t>
      </w:r>
      <w:r>
        <w:rPr>
          <w:rFonts w:hint="eastAsia" w:ascii="仿宋_GB2312" w:hAnsi="仿宋_GB2312" w:eastAsia="仿宋_GB2312" w:cs="仿宋_GB2312"/>
          <w:b/>
          <w:sz w:val="24"/>
          <w:szCs w:val="24"/>
        </w:rPr>
        <w:t>的单位不能进入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资质标评审：资质标审核通过的单位，可以进入公开唱标环节；</w:t>
      </w:r>
    </w:p>
    <w:p>
      <w:pPr>
        <w:numPr>
          <w:ilvl w:val="0"/>
          <w:numId w:val="5"/>
        </w:numPr>
        <w:spacing w:line="360" w:lineRule="auto"/>
        <w:rPr>
          <w:rFonts w:hint="eastAsia" w:ascii="仿宋_GB2312" w:hAnsi="仿宋_GB2312" w:eastAsia="仿宋_GB2312" w:cs="仿宋_GB2312"/>
          <w:b/>
          <w:sz w:val="24"/>
          <w:szCs w:val="24"/>
          <w:lang w:val="en-US"/>
        </w:rPr>
      </w:pPr>
      <w:r>
        <w:rPr>
          <w:rFonts w:hint="eastAsia" w:ascii="仿宋_GB2312" w:hAnsi="仿宋_GB2312" w:eastAsia="仿宋_GB2312" w:cs="仿宋_GB2312"/>
          <w:b/>
          <w:sz w:val="24"/>
          <w:szCs w:val="24"/>
          <w:lang w:val="en-US" w:eastAsia="zh-CN"/>
        </w:rPr>
        <w:t>公开唱标：公示资质标入围单位的开标价格及商务条款响应情况；</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技术</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仿宋_GB2312" w:hAnsi="仿宋_GB2312" w:eastAsia="仿宋_GB2312" w:cs="仿宋_GB2312"/>
          <w:b/>
          <w:sz w:val="24"/>
          <w:szCs w:val="24"/>
        </w:rPr>
        <w:t>合格的单位进入商务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环节，</w:t>
      </w:r>
      <w:r>
        <w:rPr>
          <w:rFonts w:hint="eastAsia" w:ascii="仿宋_GB2312" w:hAnsi="仿宋_GB2312" w:eastAsia="仿宋_GB2312" w:cs="仿宋_GB2312"/>
          <w:b/>
          <w:sz w:val="24"/>
          <w:szCs w:val="24"/>
          <w:lang w:val="en-US" w:eastAsia="zh-CN"/>
        </w:rPr>
        <w:t>评审</w:t>
      </w:r>
      <w:r>
        <w:rPr>
          <w:rFonts w:hint="eastAsia" w:ascii="仿宋_GB2312" w:hAnsi="仿宋_GB2312" w:eastAsia="仿宋_GB2312" w:cs="仿宋_GB2312"/>
          <w:b/>
          <w:sz w:val="24"/>
          <w:szCs w:val="24"/>
        </w:rPr>
        <w:t>不合格的单位</w:t>
      </w:r>
      <w:r>
        <w:rPr>
          <w:rFonts w:hint="eastAsia" w:ascii="仿宋_GB2312" w:hAnsi="仿宋_GB2312" w:eastAsia="仿宋_GB2312" w:cs="仿宋_GB2312"/>
          <w:b/>
          <w:sz w:val="24"/>
          <w:szCs w:val="24"/>
          <w:lang w:val="en-US" w:eastAsia="zh-CN"/>
        </w:rPr>
        <w:t>被</w:t>
      </w:r>
      <w:r>
        <w:rPr>
          <w:rFonts w:hint="eastAsia" w:ascii="仿宋_GB2312" w:hAnsi="仿宋_GB2312" w:eastAsia="仿宋_GB2312" w:cs="仿宋_GB2312"/>
          <w:b/>
          <w:sz w:val="24"/>
          <w:szCs w:val="24"/>
        </w:rPr>
        <w:t>淘汰</w:t>
      </w:r>
      <w:r>
        <w:rPr>
          <w:rFonts w:hint="eastAsia" w:ascii="仿宋_GB2312" w:hAnsi="仿宋_GB2312" w:eastAsia="仿宋_GB2312" w:cs="仿宋_GB2312"/>
          <w:b/>
          <w:sz w:val="24"/>
          <w:szCs w:val="24"/>
          <w:lang w:val="en-US" w:eastAsia="zh-CN"/>
        </w:rPr>
        <w:t>；具体技术标</w:t>
      </w:r>
      <w:r>
        <w:rPr>
          <w:rFonts w:hint="eastAsia" w:ascii="仿宋_GB2312" w:hAnsi="仿宋_GB2312" w:eastAsia="仿宋_GB2312" w:cs="仿宋_GB2312"/>
          <w:b/>
          <w:sz w:val="24"/>
          <w:szCs w:val="24"/>
        </w:rPr>
        <w:t>评分标准</w:t>
      </w:r>
      <w:r>
        <w:rPr>
          <w:rFonts w:hint="eastAsia" w:ascii="仿宋_GB2312" w:hAnsi="仿宋_GB2312" w:eastAsia="仿宋_GB2312" w:cs="仿宋_GB2312"/>
          <w:b/>
          <w:sz w:val="24"/>
          <w:szCs w:val="24"/>
          <w:lang w:val="en-US" w:eastAsia="zh-CN"/>
        </w:rPr>
        <w:t>见附件14；</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：商务条款相应确认→</w:t>
      </w:r>
      <w:r>
        <w:rPr>
          <w:rFonts w:hint="eastAsia" w:ascii="仿宋_GB2312" w:hAnsi="仿宋_GB2312" w:eastAsia="仿宋_GB2312" w:cs="仿宋_GB2312"/>
          <w:b/>
          <w:sz w:val="24"/>
          <w:szCs w:val="24"/>
          <w:lang w:val="en-US" w:eastAsia="zh-CN"/>
        </w:rPr>
        <w:t>价格澄清</w:t>
      </w: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评审期间产生的商务价格澄清均由投标人在重汽e采通平台限时内完成提交</w:t>
      </w:r>
      <w:r>
        <w:rPr>
          <w:rFonts w:hint="eastAsia" w:ascii="仿宋_GB2312" w:hAnsi="仿宋_GB2312" w:eastAsia="仿宋_GB2312" w:cs="仿宋_GB2312"/>
          <w:b/>
          <w:sz w:val="24"/>
          <w:szCs w:val="24"/>
        </w:rPr>
        <w:t>；</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注意：投标人均需要自带笔记本电脑在重汽e采通进行自主投标和提交澄清函；投标和提交澄清函均有时间限制，超时未提交的按无效处理。</w:t>
      </w:r>
    </w:p>
    <w:p>
      <w:pPr>
        <w:numPr>
          <w:ilvl w:val="0"/>
          <w:numId w:val="5"/>
        </w:numPr>
        <w:spacing w:line="360" w:lineRule="auto"/>
        <w:rPr>
          <w:rFonts w:hint="default" w:ascii="仿宋_GB2312" w:hAnsi="仿宋_GB2312" w:eastAsia="仿宋_GB2312" w:cs="仿宋_GB2312"/>
          <w:b/>
          <w:sz w:val="24"/>
          <w:szCs w:val="24"/>
          <w:lang w:val="en-US"/>
        </w:rPr>
      </w:pPr>
      <w:r>
        <w:rPr>
          <w:rFonts w:hint="eastAsia" w:ascii="仿宋_GB2312" w:hAnsi="仿宋_GB2312" w:eastAsia="仿宋_GB2312" w:cs="仿宋_GB2312"/>
          <w:b/>
          <w:sz w:val="24"/>
          <w:szCs w:val="24"/>
          <w:lang w:val="en-US" w:eastAsia="zh-CN"/>
        </w:rPr>
        <w:t>中标人确定</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合理最低价</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w:t>
      </w:r>
      <w:bookmarkStart w:id="95" w:name="_GoBack"/>
      <w:bookmarkEnd w:id="95"/>
      <w:r>
        <w:rPr>
          <w:rFonts w:hint="eastAsia" w:ascii="宋体" w:hAnsi="宋体" w:eastAsia="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28"/>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29" w:name="_Toc15650"/>
      <w:r>
        <w:rPr>
          <w:rFonts w:hint="eastAsia" w:ascii="仿宋_GB2312" w:hAnsi="仿宋_GB2312" w:eastAsia="仿宋_GB2312" w:cs="仿宋_GB2312"/>
          <w:sz w:val="36"/>
          <w:szCs w:val="36"/>
        </w:rPr>
        <w:t>八、废标及终止招标</w:t>
      </w:r>
      <w:bookmarkEnd w:id="29"/>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0" w:name="OLE_LINK27"/>
      <w:bookmarkStart w:id="31" w:name="OLE_LINK26"/>
      <w:bookmarkStart w:id="32" w:name="OLE_LINK29"/>
      <w:bookmarkStart w:id="33" w:name="OLE_LINK28"/>
      <w:bookmarkStart w:id="34" w:name="OLE_LINK25"/>
      <w:r>
        <w:rPr>
          <w:rFonts w:hint="eastAsia" w:ascii="仿宋_GB2312" w:hAnsi="仿宋_GB2312" w:eastAsia="仿宋_GB2312" w:cs="仿宋_GB2312"/>
          <w:bCs/>
          <w:sz w:val="24"/>
          <w:szCs w:val="24"/>
        </w:rPr>
        <w:t>；</w:t>
      </w:r>
      <w:bookmarkEnd w:id="30"/>
      <w:bookmarkEnd w:id="31"/>
      <w:bookmarkEnd w:id="32"/>
      <w:bookmarkEnd w:id="33"/>
      <w:bookmarkEnd w:id="34"/>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35" w:name="_Toc14012"/>
      <w:r>
        <w:rPr>
          <w:rFonts w:hint="eastAsia" w:ascii="仿宋_GB2312" w:hAnsi="仿宋_GB2312" w:eastAsia="仿宋_GB2312" w:cs="仿宋_GB2312"/>
          <w:sz w:val="36"/>
          <w:szCs w:val="36"/>
        </w:rPr>
        <w:t>九、本次招标最终解释权归中国重汽集团济南动力有限公司。</w:t>
      </w:r>
      <w:bookmarkEnd w:id="35"/>
    </w:p>
    <w:p>
      <w:pPr>
        <w:pStyle w:val="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36" w:name="_Toc31869"/>
      <w:bookmarkStart w:id="37" w:name="_Toc13002"/>
      <w:bookmarkStart w:id="38" w:name="_Toc762"/>
      <w:bookmarkStart w:id="39" w:name="_Toc2363"/>
      <w:bookmarkStart w:id="40" w:name="_Toc13479"/>
      <w:bookmarkStart w:id="41" w:name="_Toc21022"/>
      <w:r>
        <w:rPr>
          <w:rFonts w:hint="eastAsia" w:ascii="仿宋_GB2312" w:hAnsi="仿宋_GB2312" w:eastAsia="仿宋_GB2312" w:cs="仿宋_GB2312"/>
          <w:sz w:val="44"/>
        </w:rPr>
        <w:t>第三部分 投标文件编制</w:t>
      </w:r>
      <w:bookmarkEnd w:id="36"/>
      <w:bookmarkEnd w:id="37"/>
      <w:bookmarkEnd w:id="38"/>
      <w:bookmarkEnd w:id="39"/>
      <w:bookmarkEnd w:id="40"/>
      <w:bookmarkEnd w:id="41"/>
    </w:p>
    <w:p>
      <w:pPr>
        <w:pStyle w:val="4"/>
        <w:rPr>
          <w:rFonts w:hint="eastAsia" w:ascii="仿宋_GB2312" w:hAnsi="仿宋_GB2312" w:eastAsia="仿宋_GB2312" w:cs="仿宋_GB2312"/>
          <w:sz w:val="36"/>
          <w:szCs w:val="36"/>
        </w:rPr>
      </w:pPr>
      <w:bookmarkStart w:id="42" w:name="_Toc2771"/>
      <w:r>
        <w:rPr>
          <w:rFonts w:hint="eastAsia" w:ascii="仿宋_GB2312" w:hAnsi="仿宋_GB2312" w:eastAsia="仿宋_GB2312" w:cs="仿宋_GB2312"/>
          <w:sz w:val="36"/>
          <w:szCs w:val="36"/>
        </w:rPr>
        <w:t>一、投标文件的编制</w:t>
      </w:r>
      <w:bookmarkEnd w:id="42"/>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43" w:name="_Toc5592"/>
      <w:r>
        <w:rPr>
          <w:rFonts w:hint="eastAsia" w:ascii="仿宋_GB2312" w:hAnsi="仿宋_GB2312" w:eastAsia="仿宋_GB2312" w:cs="仿宋_GB2312"/>
          <w:sz w:val="36"/>
          <w:szCs w:val="36"/>
        </w:rPr>
        <w:t>二、投标文件资料</w:t>
      </w:r>
      <w:bookmarkEnd w:id="43"/>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44" w:name="_Toc5199"/>
      <w:r>
        <w:rPr>
          <w:rFonts w:hint="eastAsia" w:ascii="仿宋_GB2312" w:hAnsi="仿宋_GB2312" w:eastAsia="仿宋_GB2312" w:cs="仿宋_GB2312"/>
          <w:sz w:val="36"/>
          <w:szCs w:val="36"/>
        </w:rPr>
        <w:t>三、投标文件的组成</w:t>
      </w:r>
      <w:bookmarkEnd w:id="44"/>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45"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45"/>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pPr>
        <w:spacing w:line="360" w:lineRule="auto"/>
        <w:ind w:firstLine="480" w:firstLineChars="200"/>
        <w:rPr>
          <w:rFonts w:hint="eastAsia" w:ascii="仿宋_GB2312" w:hAnsi="仿宋_GB2312" w:eastAsia="仿宋_GB2312" w:cs="仿宋_GB2312"/>
          <w:color w:val="000000"/>
          <w:sz w:val="24"/>
          <w:szCs w:val="24"/>
        </w:rPr>
      </w:pPr>
      <w:bookmarkStart w:id="46" w:name="_Toc536542319"/>
      <w:r>
        <w:rPr>
          <w:rFonts w:hint="eastAsia" w:ascii="仿宋_GB2312" w:hAnsi="仿宋_GB2312" w:eastAsia="仿宋_GB2312" w:cs="仿宋_GB2312"/>
          <w:color w:val="000000"/>
          <w:sz w:val="24"/>
          <w:szCs w:val="24"/>
        </w:rPr>
        <w:t>2.7投标产品技术支持材料</w:t>
      </w:r>
      <w:bookmarkEnd w:id="46"/>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2.9投标人需提交的其它资料。</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47" w:name="OLE_LINK18"/>
      <w:bookmarkStart w:id="48" w:name="OLE_LINK19"/>
      <w:r>
        <w:rPr>
          <w:rFonts w:hint="eastAsia" w:ascii="仿宋_GB2312" w:hAnsi="仿宋_GB2312" w:eastAsia="仿宋_GB2312" w:cs="仿宋_GB2312"/>
          <w:b/>
          <w:color w:val="000000"/>
          <w:sz w:val="24"/>
          <w:szCs w:val="24"/>
        </w:rPr>
        <w:t>；</w:t>
      </w:r>
      <w:bookmarkEnd w:id="47"/>
      <w:bookmarkEnd w:id="48"/>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49" w:name="_Toc15748"/>
      <w:r>
        <w:rPr>
          <w:rFonts w:hint="eastAsia" w:ascii="仿宋_GB2312" w:hAnsi="仿宋_GB2312" w:eastAsia="仿宋_GB2312" w:cs="仿宋_GB2312"/>
          <w:sz w:val="36"/>
          <w:szCs w:val="36"/>
        </w:rPr>
        <w:t>四、投标文件格式</w:t>
      </w:r>
      <w:bookmarkEnd w:id="49"/>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bidi w:val="0"/>
        <w:rPr>
          <w:rFonts w:hint="eastAsia"/>
        </w:rPr>
      </w:pPr>
      <w:bookmarkStart w:id="50" w:name="_Toc16358"/>
      <w:bookmarkStart w:id="51" w:name="_Toc7110"/>
      <w:bookmarkStart w:id="52" w:name="_Toc3372"/>
      <w:bookmarkStart w:id="53" w:name="_Toc20467"/>
      <w:bookmarkStart w:id="54" w:name="_Toc14517"/>
      <w:bookmarkStart w:id="55" w:name="_Toc12563"/>
      <w:bookmarkStart w:id="56" w:name="_Toc7511"/>
      <w:bookmarkStart w:id="57" w:name="_Toc13562"/>
      <w:bookmarkStart w:id="58" w:name="_Toc6957"/>
      <w:bookmarkStart w:id="59" w:name="_Toc13605"/>
      <w:bookmarkStart w:id="60" w:name="_Toc133783966"/>
      <w:bookmarkStart w:id="61" w:name="_Toc4029"/>
      <w:bookmarkStart w:id="62" w:name="_Toc11355"/>
      <w:bookmarkStart w:id="63" w:name="_Toc12552"/>
      <w:bookmarkStart w:id="64" w:name="_Toc23870"/>
      <w:bookmarkStart w:id="65" w:name="_Toc13555"/>
      <w:bookmarkStart w:id="66" w:name="_Toc24964"/>
      <w:bookmarkStart w:id="67" w:name="_Toc19672"/>
      <w:bookmarkStart w:id="68" w:name="_Toc4483"/>
      <w:bookmarkStart w:id="69" w:name="_Toc24913"/>
      <w:bookmarkStart w:id="70" w:name="_Toc3565"/>
      <w:bookmarkStart w:id="71" w:name="_Toc6346"/>
      <w:bookmarkStart w:id="72" w:name="_Toc18805"/>
      <w:bookmarkStart w:id="73" w:name="_Toc22649"/>
      <w:bookmarkStart w:id="74" w:name="_Toc4532"/>
      <w:bookmarkStart w:id="75" w:name="_Toc21497"/>
      <w:bookmarkStart w:id="76" w:name="_Toc1884"/>
      <w:bookmarkStart w:id="77" w:name="_Toc28236"/>
      <w:bookmarkStart w:id="78" w:name="_Toc18182"/>
      <w:bookmarkStart w:id="79" w:name="_Toc8032"/>
      <w:bookmarkStart w:id="80" w:name="_Toc30738"/>
      <w:bookmarkStart w:id="81" w:name="_Toc18606"/>
      <w:bookmarkStart w:id="82" w:name="_Toc12714"/>
      <w:bookmarkStart w:id="83" w:name="_Toc20272"/>
      <w:bookmarkStart w:id="84" w:name="_Toc8202"/>
      <w:bookmarkStart w:id="85" w:name="_Toc32378"/>
      <w:bookmarkStart w:id="86" w:name="_Toc4194"/>
      <w:bookmarkStart w:id="87" w:name="_Toc13988"/>
    </w:p>
    <w:p>
      <w:pPr>
        <w:bidi w:val="0"/>
        <w:rPr>
          <w:rFonts w:hint="eastAsia"/>
        </w:rPr>
      </w:pPr>
    </w:p>
    <w:p>
      <w:pPr>
        <w:bidi w:val="0"/>
        <w:rPr>
          <w:rFonts w:hint="eastAsia"/>
        </w:rPr>
      </w:pPr>
    </w:p>
    <w:p>
      <w:pPr>
        <w:bidi w:val="0"/>
        <w:rPr>
          <w:rFonts w:hint="eastAsia"/>
        </w:rPr>
      </w:pPr>
    </w:p>
    <w:p>
      <w:pPr>
        <w:bidi w:val="0"/>
        <w:rPr>
          <w:rFonts w:hint="eastAsia"/>
        </w:rPr>
      </w:pPr>
    </w:p>
    <w:p>
      <w:pPr>
        <w:keepNext/>
        <w:keepLines/>
        <w:jc w:val="center"/>
        <w:outlineLvl w:val="0"/>
        <w:rPr>
          <w:rFonts w:ascii="宋体" w:hAnsi="宋体" w:eastAsia="宋体" w:cs="Times New Roman"/>
          <w:b/>
          <w:bCs/>
          <w:kern w:val="44"/>
          <w:sz w:val="36"/>
          <w:szCs w:val="44"/>
        </w:rPr>
      </w:pPr>
      <w:bookmarkStart w:id="88" w:name="_Toc9849"/>
      <w:bookmarkStart w:id="89" w:name="OLE_LINK31"/>
      <w:bookmarkStart w:id="90" w:name="OLE_LINK30"/>
      <w:r>
        <w:rPr>
          <w:rFonts w:hint="eastAsia" w:ascii="宋体" w:hAnsi="宋体" w:eastAsia="宋体" w:cs="Times New Roman"/>
          <w:b/>
          <w:bCs/>
          <w:kern w:val="44"/>
          <w:sz w:val="36"/>
          <w:szCs w:val="44"/>
        </w:rPr>
        <w:t>第四部分 技术标书</w:t>
      </w:r>
      <w:bookmarkEnd w:id="88"/>
    </w:p>
    <w:p>
      <w:pPr>
        <w:pStyle w:val="2"/>
        <w:rPr>
          <w:rFonts w:hAnsi="宋体" w:eastAsia="宋体"/>
        </w:rPr>
      </w:pPr>
    </w:p>
    <w:bookmarkEnd w:id="89"/>
    <w:bookmarkEnd w:id="90"/>
    <w:p>
      <w:pPr>
        <w:numPr>
          <w:ins w:id="0" w:author="JonMMx 2000" w:date="1901-01-01T00:00:00Z"/>
        </w:numPr>
        <w:jc w:val="center"/>
        <w:rPr>
          <w:rFonts w:eastAsia="黑体"/>
          <w:b/>
          <w:bCs/>
          <w:sz w:val="36"/>
          <w:szCs w:val="36"/>
        </w:rPr>
      </w:pPr>
      <w:r>
        <w:rPr>
          <w:rFonts w:hint="eastAsia" w:eastAsia="黑体"/>
          <w:b/>
          <w:bCs/>
          <w:sz w:val="36"/>
          <w:szCs w:val="36"/>
        </w:rPr>
        <w:t>技术协议书</w:t>
      </w:r>
    </w:p>
    <w:p>
      <w:pPr>
        <w:rPr>
          <w:rFonts w:ascii="黑体" w:hAnsi="黑体" w:eastAsia="黑体"/>
          <w:b/>
          <w:bCs/>
          <w:sz w:val="28"/>
          <w:szCs w:val="28"/>
        </w:rPr>
      </w:pPr>
      <w:r>
        <w:rPr>
          <w:rFonts w:hint="eastAsia" w:ascii="黑体" w:hAnsi="黑体" w:eastAsia="黑体"/>
          <w:b/>
          <w:bCs/>
          <w:sz w:val="28"/>
          <w:szCs w:val="28"/>
        </w:rPr>
        <w:t>一、项目名称：</w:t>
      </w:r>
    </w:p>
    <w:p>
      <w:pPr>
        <w:ind w:firstLine="420" w:firstLineChars="200"/>
        <w:rPr>
          <w:rFonts w:hint="eastAsia"/>
        </w:rPr>
      </w:pPr>
      <w:r>
        <w:rPr>
          <w:rFonts w:hint="eastAsia"/>
        </w:rPr>
        <w:t>中国重汽大同齿轮有限公司工位器具采购招标项目</w:t>
      </w:r>
    </w:p>
    <w:p>
      <w:pPr>
        <w:numPr>
          <w:ilvl w:val="0"/>
          <w:numId w:val="6"/>
        </w:numPr>
        <w:rPr>
          <w:rFonts w:ascii="黑体" w:hAnsi="黑体" w:eastAsia="黑体"/>
          <w:b/>
          <w:bCs/>
          <w:sz w:val="28"/>
          <w:szCs w:val="28"/>
        </w:rPr>
      </w:pPr>
      <w:r>
        <w:rPr>
          <w:rFonts w:hint="eastAsia" w:ascii="黑体" w:hAnsi="黑体" w:eastAsia="黑体"/>
          <w:b/>
          <w:bCs/>
          <w:sz w:val="28"/>
          <w:szCs w:val="28"/>
        </w:rPr>
        <w:t>项目货物验收</w:t>
      </w:r>
    </w:p>
    <w:p>
      <w:pPr>
        <w:spacing w:line="360" w:lineRule="auto"/>
        <w:ind w:firstLine="420" w:firstLineChars="200"/>
      </w:pPr>
      <w:r>
        <w:rPr>
          <w:rFonts w:hint="eastAsia"/>
        </w:rPr>
        <w:t>1.按双方签订的技术文件进行验收。</w:t>
      </w:r>
    </w:p>
    <w:p>
      <w:pPr>
        <w:spacing w:line="360" w:lineRule="auto"/>
        <w:ind w:firstLine="420" w:firstLineChars="200"/>
      </w:pPr>
      <w:r>
        <w:rPr>
          <w:rFonts w:hint="eastAsia"/>
        </w:rPr>
        <w:t>2.验收内容:</w:t>
      </w:r>
    </w:p>
    <w:p>
      <w:pPr>
        <w:spacing w:line="360" w:lineRule="auto"/>
        <w:ind w:firstLine="420" w:firstLineChars="200"/>
      </w:pPr>
      <w:r>
        <w:rPr>
          <w:rFonts w:hint="eastAsia"/>
        </w:rPr>
        <w:t>（1）外观质量；</w:t>
      </w:r>
    </w:p>
    <w:p>
      <w:pPr>
        <w:spacing w:line="360" w:lineRule="auto"/>
        <w:ind w:firstLine="420" w:firstLineChars="200"/>
      </w:pPr>
      <w:r>
        <w:rPr>
          <w:rFonts w:hint="eastAsia"/>
        </w:rPr>
        <w:t>（2）规格及外形尺寸；</w:t>
      </w:r>
    </w:p>
    <w:p>
      <w:pPr>
        <w:spacing w:line="360" w:lineRule="auto"/>
        <w:ind w:firstLine="420" w:firstLineChars="200"/>
      </w:pPr>
      <w:r>
        <w:rPr>
          <w:rFonts w:hint="eastAsia"/>
        </w:rPr>
        <w:t>（3）投标书、澄清文件的各项性能指标、技术参数，其它技术要求符合所列条款规定；</w:t>
      </w:r>
    </w:p>
    <w:p>
      <w:pPr>
        <w:spacing w:line="360" w:lineRule="auto"/>
        <w:ind w:firstLine="420" w:firstLineChars="200"/>
      </w:pPr>
      <w:r>
        <w:rPr>
          <w:rFonts w:hint="eastAsia"/>
        </w:rPr>
        <w:t>（4）试验报告：承重试验报告；</w:t>
      </w:r>
    </w:p>
    <w:p>
      <w:pPr>
        <w:spacing w:line="360" w:lineRule="auto"/>
        <w:ind w:firstLine="420" w:firstLineChars="200"/>
        <w:rPr>
          <w:rFonts w:hint="eastAsia"/>
        </w:rPr>
      </w:pPr>
      <w:r>
        <w:rPr>
          <w:rFonts w:hint="eastAsia"/>
        </w:rPr>
        <w:t>（5）操作指导书：操作指导书内必须有现场拍摄的实物操作图，需分步骤详细阐述如何规范、安全地操作使用该产品，明确出危险源。</w:t>
      </w:r>
    </w:p>
    <w:p>
      <w:pPr>
        <w:pStyle w:val="2"/>
        <w:ind w:firstLine="420" w:firstLineChars="200"/>
        <w:rPr>
          <w:rFonts w:hint="eastAsia" w:ascii="Times New Roman" w:hAnsi="Times New Roman"/>
          <w:kern w:val="2"/>
          <w:sz w:val="21"/>
          <w:szCs w:val="20"/>
          <w:lang w:val="en-US" w:eastAsia="zh-CN"/>
        </w:rPr>
      </w:pPr>
      <w:r>
        <w:rPr>
          <w:rFonts w:hint="eastAsia" w:ascii="Times New Roman" w:hAnsi="Times New Roman"/>
          <w:kern w:val="2"/>
          <w:sz w:val="21"/>
          <w:szCs w:val="20"/>
          <w:lang w:val="en-US" w:eastAsia="zh-CN"/>
        </w:rPr>
        <w:t>（6）本次招标模具资产归属重汽集团所有。</w:t>
      </w:r>
    </w:p>
    <w:p>
      <w:pPr>
        <w:rPr>
          <w:rFonts w:ascii="黑体" w:hAnsi="黑体" w:eastAsia="黑体"/>
          <w:b/>
          <w:bCs/>
          <w:sz w:val="28"/>
          <w:szCs w:val="28"/>
        </w:rPr>
      </w:pPr>
      <w:r>
        <w:rPr>
          <w:rFonts w:hint="eastAsia" w:ascii="黑体" w:hAnsi="黑体" w:eastAsia="黑体"/>
          <w:b/>
          <w:bCs/>
          <w:sz w:val="28"/>
          <w:szCs w:val="28"/>
        </w:rPr>
        <w:t>三、供货范围</w:t>
      </w:r>
    </w:p>
    <w:p>
      <w:pPr>
        <w:spacing w:line="360" w:lineRule="auto"/>
        <w:ind w:firstLine="420" w:firstLineChars="200"/>
        <w:rPr>
          <w:rFonts w:hint="eastAsia"/>
        </w:rPr>
      </w:pPr>
      <w:r>
        <w:rPr>
          <w:rFonts w:hint="eastAsia"/>
        </w:rPr>
        <w:t>1、货物数量</w:t>
      </w:r>
    </w:p>
    <w:tbl>
      <w:tblPr>
        <w:tblStyle w:val="41"/>
        <w:tblW w:w="8200" w:type="dxa"/>
        <w:jc w:val="center"/>
        <w:tblLayout w:type="autofit"/>
        <w:tblCellMar>
          <w:top w:w="0" w:type="dxa"/>
          <w:left w:w="108" w:type="dxa"/>
          <w:bottom w:w="0" w:type="dxa"/>
          <w:right w:w="108" w:type="dxa"/>
        </w:tblCellMar>
      </w:tblPr>
      <w:tblGrid>
        <w:gridCol w:w="1240"/>
        <w:gridCol w:w="2320"/>
        <w:gridCol w:w="1400"/>
        <w:gridCol w:w="1080"/>
        <w:gridCol w:w="1080"/>
        <w:gridCol w:w="1080"/>
      </w:tblGrid>
      <w:tr>
        <w:tblPrEx>
          <w:tblCellMar>
            <w:top w:w="0" w:type="dxa"/>
            <w:left w:w="108" w:type="dxa"/>
            <w:bottom w:w="0" w:type="dxa"/>
            <w:right w:w="108" w:type="dxa"/>
          </w:tblCellMar>
        </w:tblPrEx>
        <w:trPr>
          <w:trHeight w:val="525" w:hRule="atLeast"/>
          <w:jc w:val="center"/>
        </w:trPr>
        <w:tc>
          <w:tcPr>
            <w:tcW w:w="3560" w:type="dxa"/>
            <w:gridSpan w:val="2"/>
            <w:tcBorders>
              <w:top w:val="single" w:color="auto" w:sz="8" w:space="0"/>
              <w:left w:val="single" w:color="auto" w:sz="8" w:space="0"/>
              <w:bottom w:val="single" w:color="auto" w:sz="8" w:space="0"/>
              <w:right w:val="single" w:color="000000" w:sz="8" w:space="0"/>
            </w:tcBorders>
            <w:noWrap w:val="0"/>
            <w:vAlign w:val="center"/>
          </w:tcPr>
          <w:p>
            <w:pPr>
              <w:widowControl/>
              <w:jc w:val="center"/>
              <w:rPr>
                <w:rFonts w:ascii="宋体" w:hAnsi="宋体" w:cs="宋体"/>
                <w:b/>
                <w:bCs/>
                <w:color w:val="000000"/>
                <w:kern w:val="0"/>
                <w:szCs w:val="21"/>
              </w:rPr>
            </w:pPr>
            <w:r>
              <w:rPr>
                <w:rFonts w:hint="eastAsia" w:ascii="宋体" w:hAnsi="宋体" w:cs="宋体"/>
                <w:b/>
                <w:bCs/>
                <w:color w:val="000000"/>
                <w:kern w:val="0"/>
                <w:szCs w:val="21"/>
              </w:rPr>
              <w:t>项目需求</w:t>
            </w:r>
          </w:p>
        </w:tc>
        <w:tc>
          <w:tcPr>
            <w:tcW w:w="1400" w:type="dxa"/>
            <w:tcBorders>
              <w:top w:val="single" w:color="auto" w:sz="8" w:space="0"/>
              <w:left w:val="nil"/>
              <w:bottom w:val="single" w:color="auto" w:sz="8" w:space="0"/>
              <w:right w:val="single" w:color="auto" w:sz="8" w:space="0"/>
            </w:tcBorders>
            <w:noWrap w:val="0"/>
            <w:vAlign w:val="center"/>
          </w:tcPr>
          <w:p>
            <w:pPr>
              <w:widowControl/>
              <w:jc w:val="center"/>
              <w:rPr>
                <w:rFonts w:ascii="宋体" w:hAnsi="宋体" w:cs="宋体"/>
                <w:b/>
                <w:bCs/>
                <w:color w:val="000000"/>
                <w:kern w:val="0"/>
                <w:szCs w:val="21"/>
              </w:rPr>
            </w:pPr>
            <w:r>
              <w:rPr>
                <w:rFonts w:hint="eastAsia" w:ascii="宋体" w:hAnsi="宋体" w:cs="宋体"/>
                <w:b/>
                <w:bCs/>
                <w:color w:val="000000"/>
                <w:kern w:val="0"/>
                <w:szCs w:val="21"/>
              </w:rPr>
              <w:t>物料编码</w:t>
            </w:r>
          </w:p>
        </w:tc>
        <w:tc>
          <w:tcPr>
            <w:tcW w:w="1080" w:type="dxa"/>
            <w:tcBorders>
              <w:top w:val="single" w:color="auto" w:sz="8" w:space="0"/>
              <w:left w:val="nil"/>
              <w:bottom w:val="single" w:color="auto" w:sz="8" w:space="0"/>
              <w:right w:val="single" w:color="auto" w:sz="8" w:space="0"/>
            </w:tcBorders>
            <w:noWrap w:val="0"/>
            <w:vAlign w:val="center"/>
          </w:tcPr>
          <w:p>
            <w:pPr>
              <w:widowControl/>
              <w:jc w:val="center"/>
              <w:rPr>
                <w:rFonts w:ascii="宋体" w:hAnsi="宋体" w:cs="宋体"/>
                <w:b/>
                <w:bCs/>
                <w:color w:val="000000"/>
                <w:kern w:val="0"/>
                <w:szCs w:val="21"/>
              </w:rPr>
            </w:pPr>
            <w:r>
              <w:rPr>
                <w:rFonts w:hint="eastAsia" w:ascii="宋体" w:hAnsi="宋体" w:cs="宋体"/>
                <w:b/>
                <w:bCs/>
                <w:color w:val="000000"/>
                <w:kern w:val="0"/>
                <w:szCs w:val="21"/>
              </w:rPr>
              <w:t>单位</w:t>
            </w:r>
          </w:p>
        </w:tc>
        <w:tc>
          <w:tcPr>
            <w:tcW w:w="1080" w:type="dxa"/>
            <w:tcBorders>
              <w:top w:val="single" w:color="auto" w:sz="8" w:space="0"/>
              <w:left w:val="nil"/>
              <w:bottom w:val="single" w:color="auto" w:sz="8" w:space="0"/>
              <w:right w:val="single" w:color="auto" w:sz="8" w:space="0"/>
            </w:tcBorders>
            <w:noWrap w:val="0"/>
            <w:vAlign w:val="center"/>
          </w:tcPr>
          <w:p>
            <w:pPr>
              <w:widowControl/>
              <w:jc w:val="center"/>
              <w:rPr>
                <w:rFonts w:ascii="宋体" w:hAnsi="宋体" w:cs="宋体"/>
                <w:b/>
                <w:bCs/>
                <w:color w:val="000000"/>
                <w:kern w:val="0"/>
                <w:szCs w:val="21"/>
              </w:rPr>
            </w:pPr>
            <w:r>
              <w:rPr>
                <w:rFonts w:hint="eastAsia" w:ascii="宋体" w:hAnsi="宋体" w:cs="宋体"/>
                <w:b/>
                <w:bCs/>
                <w:color w:val="000000"/>
                <w:kern w:val="0"/>
                <w:szCs w:val="21"/>
              </w:rPr>
              <w:t>拟需求数量</w:t>
            </w:r>
          </w:p>
        </w:tc>
        <w:tc>
          <w:tcPr>
            <w:tcW w:w="1080" w:type="dxa"/>
            <w:tcBorders>
              <w:top w:val="single" w:color="auto" w:sz="8" w:space="0"/>
              <w:left w:val="nil"/>
              <w:bottom w:val="single" w:color="auto" w:sz="8" w:space="0"/>
              <w:right w:val="single" w:color="auto" w:sz="8" w:space="0"/>
            </w:tcBorders>
            <w:noWrap w:val="0"/>
            <w:vAlign w:val="top"/>
          </w:tcPr>
          <w:p>
            <w:pPr>
              <w:widowControl/>
              <w:jc w:val="center"/>
              <w:rPr>
                <w:rFonts w:ascii="宋体" w:hAnsi="宋体" w:cs="宋体"/>
                <w:b/>
                <w:bCs/>
                <w:color w:val="000000"/>
                <w:kern w:val="0"/>
                <w:szCs w:val="21"/>
              </w:rPr>
            </w:pPr>
            <w:r>
              <w:rPr>
                <w:rFonts w:hint="eastAsia" w:ascii="宋体" w:hAnsi="宋体" w:cs="宋体"/>
                <w:b/>
                <w:bCs/>
                <w:color w:val="000000"/>
                <w:kern w:val="0"/>
                <w:szCs w:val="21"/>
              </w:rPr>
              <w:t>备注</w:t>
            </w:r>
          </w:p>
        </w:tc>
      </w:tr>
      <w:tr>
        <w:tblPrEx>
          <w:tblCellMar>
            <w:top w:w="0" w:type="dxa"/>
            <w:left w:w="108" w:type="dxa"/>
            <w:bottom w:w="0" w:type="dxa"/>
            <w:right w:w="108" w:type="dxa"/>
          </w:tblCellMar>
        </w:tblPrEx>
        <w:trPr>
          <w:trHeight w:val="330" w:hRule="atLeast"/>
          <w:jc w:val="center"/>
        </w:trPr>
        <w:tc>
          <w:tcPr>
            <w:tcW w:w="1240" w:type="dxa"/>
            <w:tcBorders>
              <w:top w:val="nil"/>
              <w:left w:val="single" w:color="auto" w:sz="8" w:space="0"/>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232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kern w:val="0"/>
                <w:sz w:val="24"/>
                <w:szCs w:val="24"/>
              </w:rPr>
              <w:t>单排</w:t>
            </w:r>
            <w:r>
              <w:rPr>
                <w:rFonts w:ascii="Calibri" w:hAnsi="Calibri" w:cs="宋体"/>
                <w:kern w:val="0"/>
                <w:sz w:val="24"/>
                <w:szCs w:val="24"/>
              </w:rPr>
              <w:t>6</w:t>
            </w:r>
            <w:r>
              <w:rPr>
                <w:rFonts w:hint="eastAsia" w:ascii="宋体" w:hAnsi="宋体" w:cs="宋体"/>
                <w:kern w:val="0"/>
                <w:sz w:val="24"/>
                <w:szCs w:val="24"/>
              </w:rPr>
              <w:t>格蓝框</w:t>
            </w:r>
            <w:r>
              <w:rPr>
                <w:rFonts w:ascii="Calibri" w:hAnsi="Calibri" w:cs="宋体"/>
                <w:kern w:val="0"/>
                <w:sz w:val="24"/>
                <w:szCs w:val="24"/>
              </w:rPr>
              <w:t xml:space="preserve"> (</w:t>
            </w:r>
            <w:r>
              <w:rPr>
                <w:rFonts w:hint="eastAsia" w:ascii="宋体" w:hAnsi="宋体" w:cs="宋体"/>
                <w:kern w:val="0"/>
                <w:sz w:val="24"/>
                <w:szCs w:val="24"/>
              </w:rPr>
              <w:t>小</w:t>
            </w:r>
            <w:r>
              <w:rPr>
                <w:rFonts w:ascii="Calibri" w:hAnsi="Calibri" w:cs="宋体"/>
                <w:kern w:val="0"/>
                <w:sz w:val="24"/>
                <w:szCs w:val="24"/>
              </w:rPr>
              <w:t>)</w:t>
            </w:r>
          </w:p>
        </w:tc>
        <w:tc>
          <w:tcPr>
            <w:tcW w:w="140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T247252601</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200</w:t>
            </w:r>
          </w:p>
        </w:tc>
        <w:tc>
          <w:tcPr>
            <w:tcW w:w="1080" w:type="dxa"/>
            <w:tcBorders>
              <w:top w:val="nil"/>
              <w:left w:val="nil"/>
              <w:bottom w:val="single" w:color="auto" w:sz="8" w:space="0"/>
              <w:right w:val="single" w:color="auto" w:sz="8" w:space="0"/>
            </w:tcBorders>
            <w:noWrap w:val="0"/>
            <w:vAlign w:val="top"/>
          </w:tcPr>
          <w:p>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tblPrEx>
          <w:tblCellMar>
            <w:top w:w="0" w:type="dxa"/>
            <w:left w:w="108" w:type="dxa"/>
            <w:bottom w:w="0" w:type="dxa"/>
            <w:right w:w="108" w:type="dxa"/>
          </w:tblCellMar>
        </w:tblPrEx>
        <w:trPr>
          <w:trHeight w:val="330" w:hRule="atLeast"/>
          <w:jc w:val="center"/>
        </w:trPr>
        <w:tc>
          <w:tcPr>
            <w:tcW w:w="1240" w:type="dxa"/>
            <w:tcBorders>
              <w:top w:val="nil"/>
              <w:left w:val="single" w:color="auto" w:sz="8" w:space="0"/>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2</w:t>
            </w:r>
          </w:p>
        </w:tc>
        <w:tc>
          <w:tcPr>
            <w:tcW w:w="232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kern w:val="0"/>
                <w:sz w:val="24"/>
                <w:szCs w:val="24"/>
              </w:rPr>
              <w:t>双排</w:t>
            </w:r>
            <w:r>
              <w:rPr>
                <w:rFonts w:ascii="Calibri" w:hAnsi="Calibri" w:cs="宋体"/>
                <w:kern w:val="0"/>
                <w:sz w:val="24"/>
                <w:szCs w:val="24"/>
              </w:rPr>
              <w:t>16</w:t>
            </w:r>
            <w:r>
              <w:rPr>
                <w:rFonts w:hint="eastAsia" w:ascii="宋体" w:hAnsi="宋体" w:cs="宋体"/>
                <w:kern w:val="0"/>
                <w:sz w:val="24"/>
                <w:szCs w:val="24"/>
              </w:rPr>
              <w:t>格蓝框</w:t>
            </w:r>
            <w:r>
              <w:rPr>
                <w:rFonts w:ascii="Calibri" w:hAnsi="Calibri" w:cs="宋体"/>
                <w:kern w:val="0"/>
                <w:sz w:val="24"/>
                <w:szCs w:val="24"/>
              </w:rPr>
              <w:t xml:space="preserve"> (</w:t>
            </w:r>
            <w:r>
              <w:rPr>
                <w:rFonts w:hint="eastAsia" w:ascii="宋体" w:hAnsi="宋体" w:cs="宋体"/>
                <w:kern w:val="0"/>
                <w:sz w:val="24"/>
                <w:szCs w:val="24"/>
              </w:rPr>
              <w:t>小</w:t>
            </w:r>
            <w:r>
              <w:rPr>
                <w:rFonts w:ascii="Calibri" w:hAnsi="Calibri" w:cs="宋体"/>
                <w:kern w:val="0"/>
                <w:sz w:val="24"/>
                <w:szCs w:val="24"/>
              </w:rPr>
              <w:t>)</w:t>
            </w:r>
          </w:p>
        </w:tc>
        <w:tc>
          <w:tcPr>
            <w:tcW w:w="140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T246281801</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500</w:t>
            </w:r>
          </w:p>
        </w:tc>
        <w:tc>
          <w:tcPr>
            <w:tcW w:w="1080" w:type="dxa"/>
            <w:tcBorders>
              <w:top w:val="nil"/>
              <w:left w:val="nil"/>
              <w:bottom w:val="single" w:color="auto" w:sz="8" w:space="0"/>
              <w:right w:val="single" w:color="auto" w:sz="8" w:space="0"/>
            </w:tcBorders>
            <w:noWrap w:val="0"/>
            <w:vAlign w:val="bottom"/>
          </w:tcPr>
          <w:p>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tblPrEx>
          <w:tblCellMar>
            <w:top w:w="0" w:type="dxa"/>
            <w:left w:w="108" w:type="dxa"/>
            <w:bottom w:w="0" w:type="dxa"/>
            <w:right w:w="108" w:type="dxa"/>
          </w:tblCellMar>
        </w:tblPrEx>
        <w:trPr>
          <w:trHeight w:val="330" w:hRule="atLeast"/>
          <w:jc w:val="center"/>
        </w:trPr>
        <w:tc>
          <w:tcPr>
            <w:tcW w:w="1240" w:type="dxa"/>
            <w:tcBorders>
              <w:top w:val="nil"/>
              <w:left w:val="single" w:color="auto" w:sz="8" w:space="0"/>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3</w:t>
            </w:r>
          </w:p>
        </w:tc>
        <w:tc>
          <w:tcPr>
            <w:tcW w:w="232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kern w:val="0"/>
                <w:sz w:val="24"/>
                <w:szCs w:val="24"/>
              </w:rPr>
              <w:t>一轴</w:t>
            </w:r>
            <w:r>
              <w:rPr>
                <w:rFonts w:ascii="Calibri" w:hAnsi="Calibri" w:cs="宋体"/>
                <w:kern w:val="0"/>
                <w:sz w:val="24"/>
                <w:szCs w:val="24"/>
              </w:rPr>
              <w:t>2</w:t>
            </w:r>
            <w:r>
              <w:rPr>
                <w:rFonts w:hint="eastAsia" w:ascii="宋体" w:hAnsi="宋体" w:cs="宋体"/>
                <w:kern w:val="0"/>
                <w:sz w:val="24"/>
                <w:szCs w:val="24"/>
              </w:rPr>
              <w:t>格框</w:t>
            </w:r>
          </w:p>
        </w:tc>
        <w:tc>
          <w:tcPr>
            <w:tcW w:w="140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T247352101</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300</w:t>
            </w:r>
          </w:p>
        </w:tc>
        <w:tc>
          <w:tcPr>
            <w:tcW w:w="1080" w:type="dxa"/>
            <w:tcBorders>
              <w:top w:val="nil"/>
              <w:left w:val="nil"/>
              <w:bottom w:val="single" w:color="auto" w:sz="8" w:space="0"/>
              <w:right w:val="single" w:color="auto" w:sz="8" w:space="0"/>
            </w:tcBorders>
            <w:noWrap w:val="0"/>
            <w:vAlign w:val="bottom"/>
          </w:tcPr>
          <w:p>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tblPrEx>
          <w:tblCellMar>
            <w:top w:w="0" w:type="dxa"/>
            <w:left w:w="108" w:type="dxa"/>
            <w:bottom w:w="0" w:type="dxa"/>
            <w:right w:w="108" w:type="dxa"/>
          </w:tblCellMar>
        </w:tblPrEx>
        <w:trPr>
          <w:trHeight w:val="330" w:hRule="atLeast"/>
          <w:jc w:val="center"/>
        </w:trPr>
        <w:tc>
          <w:tcPr>
            <w:tcW w:w="1240" w:type="dxa"/>
            <w:tcBorders>
              <w:top w:val="nil"/>
              <w:left w:val="single" w:color="auto" w:sz="8" w:space="0"/>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4</w:t>
            </w:r>
          </w:p>
        </w:tc>
        <w:tc>
          <w:tcPr>
            <w:tcW w:w="232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kern w:val="0"/>
                <w:sz w:val="24"/>
                <w:szCs w:val="24"/>
              </w:rPr>
              <w:t>一轴</w:t>
            </w:r>
            <w:r>
              <w:rPr>
                <w:rFonts w:ascii="Calibri" w:hAnsi="Calibri" w:cs="宋体"/>
                <w:kern w:val="0"/>
                <w:sz w:val="24"/>
                <w:szCs w:val="24"/>
              </w:rPr>
              <w:t>4</w:t>
            </w:r>
            <w:r>
              <w:rPr>
                <w:rFonts w:hint="eastAsia" w:ascii="宋体" w:hAnsi="宋体" w:cs="宋体"/>
                <w:kern w:val="0"/>
                <w:sz w:val="24"/>
                <w:szCs w:val="24"/>
              </w:rPr>
              <w:t>格框</w:t>
            </w:r>
          </w:p>
        </w:tc>
        <w:tc>
          <w:tcPr>
            <w:tcW w:w="140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T248361401</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400</w:t>
            </w:r>
          </w:p>
        </w:tc>
        <w:tc>
          <w:tcPr>
            <w:tcW w:w="1080" w:type="dxa"/>
            <w:tcBorders>
              <w:top w:val="nil"/>
              <w:left w:val="nil"/>
              <w:bottom w:val="single" w:color="auto" w:sz="8" w:space="0"/>
              <w:right w:val="single" w:color="auto" w:sz="8" w:space="0"/>
            </w:tcBorders>
            <w:noWrap w:val="0"/>
            <w:vAlign w:val="bottom"/>
          </w:tcPr>
          <w:p>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tblPrEx>
          <w:tblCellMar>
            <w:top w:w="0" w:type="dxa"/>
            <w:left w:w="108" w:type="dxa"/>
            <w:bottom w:w="0" w:type="dxa"/>
            <w:right w:w="108" w:type="dxa"/>
          </w:tblCellMar>
        </w:tblPrEx>
        <w:trPr>
          <w:trHeight w:val="330" w:hRule="atLeast"/>
          <w:jc w:val="center"/>
        </w:trPr>
        <w:tc>
          <w:tcPr>
            <w:tcW w:w="1240" w:type="dxa"/>
            <w:tcBorders>
              <w:top w:val="nil"/>
              <w:left w:val="single" w:color="auto" w:sz="8" w:space="0"/>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w:t>
            </w:r>
          </w:p>
        </w:tc>
        <w:tc>
          <w:tcPr>
            <w:tcW w:w="232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kern w:val="0"/>
                <w:sz w:val="24"/>
                <w:szCs w:val="24"/>
              </w:rPr>
              <w:t>副轴</w:t>
            </w:r>
            <w:r>
              <w:rPr>
                <w:rFonts w:ascii="Calibri" w:hAnsi="Calibri" w:cs="宋体"/>
                <w:kern w:val="0"/>
                <w:sz w:val="24"/>
                <w:szCs w:val="24"/>
              </w:rPr>
              <w:t>/</w:t>
            </w:r>
            <w:r>
              <w:rPr>
                <w:rFonts w:hint="eastAsia" w:ascii="宋体" w:hAnsi="宋体" w:cs="宋体"/>
                <w:kern w:val="0"/>
                <w:sz w:val="24"/>
                <w:szCs w:val="24"/>
              </w:rPr>
              <w:t>主轴</w:t>
            </w:r>
            <w:r>
              <w:rPr>
                <w:rFonts w:ascii="Calibri" w:hAnsi="Calibri" w:cs="宋体"/>
                <w:kern w:val="0"/>
                <w:sz w:val="24"/>
                <w:szCs w:val="24"/>
              </w:rPr>
              <w:t>3</w:t>
            </w:r>
            <w:r>
              <w:rPr>
                <w:rFonts w:hint="eastAsia" w:ascii="宋体" w:hAnsi="宋体" w:cs="宋体"/>
                <w:kern w:val="0"/>
                <w:sz w:val="24"/>
                <w:szCs w:val="24"/>
              </w:rPr>
              <w:t>格框</w:t>
            </w:r>
            <w:r>
              <w:rPr>
                <w:rFonts w:ascii="Calibri" w:hAnsi="Calibri" w:cs="宋体"/>
                <w:kern w:val="0"/>
                <w:sz w:val="24"/>
                <w:szCs w:val="24"/>
              </w:rPr>
              <w:t>(</w:t>
            </w:r>
            <w:r>
              <w:rPr>
                <w:rFonts w:hint="eastAsia" w:ascii="宋体" w:hAnsi="宋体" w:cs="宋体"/>
                <w:kern w:val="0"/>
                <w:sz w:val="24"/>
                <w:szCs w:val="24"/>
              </w:rPr>
              <w:t>大</w:t>
            </w:r>
            <w:r>
              <w:rPr>
                <w:rFonts w:ascii="Calibri" w:hAnsi="Calibri" w:cs="宋体"/>
                <w:kern w:val="0"/>
                <w:sz w:val="24"/>
                <w:szCs w:val="24"/>
              </w:rPr>
              <w:t>)</w:t>
            </w:r>
          </w:p>
        </w:tc>
        <w:tc>
          <w:tcPr>
            <w:tcW w:w="140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T258361501</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c>
          <w:tcPr>
            <w:tcW w:w="1080" w:type="dxa"/>
            <w:tcBorders>
              <w:top w:val="nil"/>
              <w:left w:val="nil"/>
              <w:bottom w:val="single" w:color="auto" w:sz="8" w:space="0"/>
              <w:right w:val="single" w:color="auto" w:sz="8" w:space="0"/>
            </w:tcBorders>
            <w:noWrap w:val="0"/>
            <w:vAlign w:val="bottom"/>
          </w:tcPr>
          <w:p>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tblPrEx>
          <w:tblCellMar>
            <w:top w:w="0" w:type="dxa"/>
            <w:left w:w="108" w:type="dxa"/>
            <w:bottom w:w="0" w:type="dxa"/>
            <w:right w:w="108" w:type="dxa"/>
          </w:tblCellMar>
        </w:tblPrEx>
        <w:trPr>
          <w:trHeight w:val="330" w:hRule="atLeast"/>
          <w:jc w:val="center"/>
        </w:trPr>
        <w:tc>
          <w:tcPr>
            <w:tcW w:w="1240" w:type="dxa"/>
            <w:tcBorders>
              <w:top w:val="nil"/>
              <w:left w:val="single" w:color="auto" w:sz="8" w:space="0"/>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c>
          <w:tcPr>
            <w:tcW w:w="232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kern w:val="0"/>
                <w:sz w:val="24"/>
                <w:szCs w:val="24"/>
              </w:rPr>
              <w:t>副轴</w:t>
            </w:r>
            <w:r>
              <w:rPr>
                <w:rFonts w:ascii="Calibri" w:hAnsi="Calibri" w:cs="宋体"/>
                <w:kern w:val="0"/>
                <w:sz w:val="24"/>
                <w:szCs w:val="24"/>
              </w:rPr>
              <w:t>3</w:t>
            </w:r>
            <w:r>
              <w:rPr>
                <w:rFonts w:hint="eastAsia" w:ascii="宋体" w:hAnsi="宋体" w:cs="宋体"/>
                <w:kern w:val="0"/>
                <w:sz w:val="24"/>
                <w:szCs w:val="24"/>
              </w:rPr>
              <w:t>格框</w:t>
            </w:r>
          </w:p>
        </w:tc>
        <w:tc>
          <w:tcPr>
            <w:tcW w:w="140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T200000001</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600</w:t>
            </w:r>
          </w:p>
        </w:tc>
        <w:tc>
          <w:tcPr>
            <w:tcW w:w="1080" w:type="dxa"/>
            <w:tcBorders>
              <w:top w:val="nil"/>
              <w:left w:val="nil"/>
              <w:bottom w:val="single" w:color="auto" w:sz="8" w:space="0"/>
              <w:right w:val="single" w:color="auto" w:sz="8" w:space="0"/>
            </w:tcBorders>
            <w:noWrap w:val="0"/>
            <w:vAlign w:val="bottom"/>
          </w:tcPr>
          <w:p>
            <w:pPr>
              <w:widowControl/>
              <w:jc w:val="center"/>
              <w:rPr>
                <w:rFonts w:ascii="等线" w:hAnsi="等线" w:eastAsia="等线" w:cs="宋体"/>
                <w:color w:val="000000"/>
                <w:kern w:val="0"/>
                <w:sz w:val="22"/>
                <w:szCs w:val="22"/>
              </w:rPr>
            </w:pPr>
            <w:r>
              <w:rPr>
                <w:rFonts w:hint="eastAsia" w:ascii="等线" w:hAnsi="等线" w:eastAsia="等线" w:cs="宋体"/>
                <w:color w:val="000000"/>
                <w:kern w:val="0"/>
                <w:sz w:val="22"/>
                <w:szCs w:val="22"/>
              </w:rPr>
              <w:t>据实采购</w:t>
            </w:r>
          </w:p>
        </w:tc>
      </w:tr>
      <w:tr>
        <w:tblPrEx>
          <w:tblCellMar>
            <w:top w:w="0" w:type="dxa"/>
            <w:left w:w="108" w:type="dxa"/>
            <w:bottom w:w="0" w:type="dxa"/>
            <w:right w:w="108" w:type="dxa"/>
          </w:tblCellMar>
        </w:tblPrEx>
        <w:trPr>
          <w:trHeight w:val="300" w:hRule="atLeast"/>
          <w:jc w:val="center"/>
        </w:trPr>
        <w:tc>
          <w:tcPr>
            <w:tcW w:w="1240" w:type="dxa"/>
            <w:tcBorders>
              <w:top w:val="nil"/>
              <w:left w:val="single" w:color="auto" w:sz="8" w:space="0"/>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3720" w:type="dxa"/>
            <w:gridSpan w:val="2"/>
            <w:tcBorders>
              <w:top w:val="single" w:color="auto" w:sz="8" w:space="0"/>
              <w:left w:val="nil"/>
              <w:bottom w:val="single" w:color="auto" w:sz="8" w:space="0"/>
              <w:right w:val="single" w:color="000000"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合计</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个</w:t>
            </w:r>
          </w:p>
        </w:tc>
        <w:tc>
          <w:tcPr>
            <w:tcW w:w="1080" w:type="dxa"/>
            <w:tcBorders>
              <w:top w:val="nil"/>
              <w:left w:val="nil"/>
              <w:bottom w:val="single" w:color="auto" w:sz="8" w:space="0"/>
              <w:right w:val="single" w:color="auto" w:sz="8" w:space="0"/>
            </w:tcBorders>
            <w:noWrap w:val="0"/>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2100</w:t>
            </w:r>
          </w:p>
        </w:tc>
        <w:tc>
          <w:tcPr>
            <w:tcW w:w="1080" w:type="dxa"/>
            <w:tcBorders>
              <w:top w:val="nil"/>
              <w:left w:val="nil"/>
              <w:bottom w:val="single" w:color="auto" w:sz="8" w:space="0"/>
              <w:right w:val="single" w:color="auto" w:sz="8" w:space="0"/>
            </w:tcBorders>
            <w:noWrap w:val="0"/>
            <w:vAlign w:val="bottom"/>
          </w:tcPr>
          <w:p>
            <w:pPr>
              <w:widowControl/>
              <w:jc w:val="left"/>
              <w:rPr>
                <w:rFonts w:ascii="Calibri" w:hAnsi="Calibri" w:cs="宋体"/>
                <w:color w:val="000000"/>
                <w:kern w:val="0"/>
                <w:szCs w:val="21"/>
              </w:rPr>
            </w:pPr>
            <w:r>
              <w:rPr>
                <w:rFonts w:ascii="Calibri" w:hAnsi="Calibri" w:cs="宋体"/>
                <w:color w:val="000000"/>
                <w:kern w:val="0"/>
                <w:szCs w:val="21"/>
              </w:rPr>
              <w:t>　</w:t>
            </w:r>
          </w:p>
        </w:tc>
      </w:tr>
    </w:tbl>
    <w:p>
      <w:pPr>
        <w:pStyle w:val="2"/>
      </w:pPr>
    </w:p>
    <w:p>
      <w:pPr>
        <w:rPr>
          <w:rFonts w:hint="eastAsia" w:ascii="宋体" w:hAnsi="宋体"/>
          <w:bCs/>
          <w:szCs w:val="21"/>
        </w:rPr>
      </w:pPr>
      <w:r>
        <w:rPr>
          <w:rFonts w:hint="eastAsia" w:ascii="宋体" w:hAnsi="宋体"/>
          <w:bCs/>
          <w:szCs w:val="21"/>
        </w:rPr>
        <w:t>说明：1、收货地在山西大同。</w:t>
      </w:r>
    </w:p>
    <w:p>
      <w:pPr>
        <w:numPr>
          <w:ilvl w:val="0"/>
          <w:numId w:val="7"/>
        </w:numPr>
        <w:ind w:firstLine="630" w:firstLineChars="300"/>
        <w:rPr>
          <w:rFonts w:hint="eastAsia" w:ascii="宋体" w:hAnsi="宋体"/>
          <w:bCs/>
          <w:szCs w:val="21"/>
        </w:rPr>
      </w:pPr>
      <w:r>
        <w:rPr>
          <w:rFonts w:hint="eastAsia" w:ascii="宋体" w:hAnsi="宋体"/>
          <w:bCs/>
          <w:szCs w:val="21"/>
        </w:rPr>
        <w:t>表中数据仅作参考，以实际购买数量为准。</w:t>
      </w:r>
    </w:p>
    <w:p>
      <w:pPr>
        <w:numPr>
          <w:ilvl w:val="0"/>
          <w:numId w:val="7"/>
        </w:numPr>
        <w:ind w:firstLine="630" w:firstLineChars="300"/>
        <w:rPr>
          <w:rFonts w:hint="eastAsia" w:ascii="宋体" w:hAnsi="宋体"/>
          <w:bCs/>
          <w:szCs w:val="21"/>
        </w:rPr>
      </w:pPr>
      <w:r>
        <w:rPr>
          <w:rFonts w:hint="eastAsia" w:ascii="宋体" w:hAnsi="宋体"/>
          <w:bCs/>
          <w:szCs w:val="21"/>
        </w:rPr>
        <w:t>此批物料框采购，按需求方要货计划执行。</w:t>
      </w:r>
    </w:p>
    <w:p>
      <w:pPr>
        <w:numPr>
          <w:ilvl w:val="0"/>
          <w:numId w:val="6"/>
        </w:numPr>
        <w:rPr>
          <w:rFonts w:hint="eastAsia" w:ascii="黑体" w:hAnsi="黑体" w:eastAsia="黑体"/>
          <w:b/>
          <w:bCs/>
          <w:sz w:val="28"/>
          <w:szCs w:val="28"/>
        </w:rPr>
      </w:pPr>
      <w:r>
        <w:rPr>
          <w:rFonts w:hint="eastAsia" w:ascii="黑体" w:hAnsi="黑体" w:eastAsia="黑体"/>
          <w:b/>
          <w:bCs/>
          <w:sz w:val="28"/>
          <w:szCs w:val="28"/>
        </w:rPr>
        <w:t>项目“货物”详细要求及主要技术参数</w:t>
      </w:r>
    </w:p>
    <w:p>
      <w:pPr>
        <w:ind w:firstLine="560" w:firstLineChars="200"/>
        <w:rPr>
          <w:rFonts w:hint="eastAsia" w:ascii="黑体" w:hAnsi="黑体" w:eastAsia="黑体"/>
          <w:sz w:val="28"/>
          <w:szCs w:val="28"/>
        </w:rPr>
      </w:pPr>
      <w:r>
        <w:rPr>
          <w:rFonts w:hint="eastAsia" w:ascii="黑体" w:hAnsi="黑体" w:eastAsia="黑体"/>
          <w:sz w:val="28"/>
          <w:szCs w:val="28"/>
        </w:rPr>
        <w:t>以下为本项目技术方案，主要配合齿轴加工部、发动机齿轮加工部、热处理部、箱磨加工部存放及流转使用，需要时可到现场实地考察。</w:t>
      </w:r>
    </w:p>
    <w:p>
      <w:pPr>
        <w:ind w:firstLine="420" w:firstLineChars="200"/>
        <w:jc w:val="center"/>
        <w:rPr>
          <w:rFonts w:hint="eastAsia"/>
        </w:rPr>
      </w:pPr>
      <w:r>
        <w:rPr>
          <w:rFonts w:hint="eastAsia"/>
        </w:rPr>
        <w:drawing>
          <wp:inline distT="0" distB="0" distL="114300" distR="114300">
            <wp:extent cx="3375660" cy="2531745"/>
            <wp:effectExtent l="9525" t="9525" r="18415" b="11430"/>
            <wp:docPr id="8" name="图片 1" descr="03900cebce358f335dc354edfda6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descr="03900cebce358f335dc354edfda6893"/>
                    <pic:cNvPicPr>
                      <a:picLocks noChangeAspect="1"/>
                    </pic:cNvPicPr>
                  </pic:nvPicPr>
                  <pic:blipFill>
                    <a:blip r:embed="rId37"/>
                    <a:stretch>
                      <a:fillRect/>
                    </a:stretch>
                  </pic:blipFill>
                  <pic:spPr>
                    <a:xfrm>
                      <a:off x="0" y="0"/>
                      <a:ext cx="3375660" cy="2531745"/>
                    </a:xfrm>
                    <a:prstGeom prst="rect">
                      <a:avLst/>
                    </a:prstGeom>
                    <a:noFill/>
                    <a:ln w="9525" cap="flat" cmpd="sng">
                      <a:solidFill>
                        <a:srgbClr val="0000FF"/>
                      </a:solidFill>
                      <a:prstDash val="solid"/>
                      <a:miter/>
                      <a:headEnd type="none" w="med" len="med"/>
                      <a:tailEnd type="none" w="med" len="med"/>
                    </a:ln>
                  </pic:spPr>
                </pic:pic>
              </a:graphicData>
            </a:graphic>
          </wp:inline>
        </w:drawing>
      </w:r>
    </w:p>
    <w:p>
      <w:pPr>
        <w:spacing w:line="480" w:lineRule="auto"/>
        <w:ind w:left="420" w:firstLine="420" w:firstLineChars="200"/>
        <w:rPr>
          <w:rFonts w:hint="eastAsia" w:ascii="黑体" w:hAnsi="黑体" w:eastAsia="黑体"/>
          <w:sz w:val="28"/>
          <w:szCs w:val="28"/>
        </w:rPr>
      </w:pPr>
      <w:r>
        <w:rPr>
          <w:rFonts w:hint="eastAsia"/>
        </w:rPr>
        <w:t>图示为</w:t>
      </w:r>
      <w:r>
        <w:rPr>
          <w:rFonts w:hint="eastAsia" w:ascii="宋体" w:hAnsi="宋体" w:cs="宋体"/>
          <w:kern w:val="0"/>
          <w:sz w:val="24"/>
          <w:szCs w:val="24"/>
        </w:rPr>
        <w:t>副轴</w:t>
      </w:r>
      <w:r>
        <w:rPr>
          <w:rFonts w:ascii="Calibri" w:hAnsi="Calibri" w:cs="宋体"/>
          <w:kern w:val="0"/>
          <w:sz w:val="24"/>
          <w:szCs w:val="24"/>
        </w:rPr>
        <w:t>3</w:t>
      </w:r>
      <w:r>
        <w:rPr>
          <w:rFonts w:hint="eastAsia" w:ascii="宋体" w:hAnsi="宋体" w:cs="宋体"/>
          <w:kern w:val="0"/>
          <w:sz w:val="24"/>
          <w:szCs w:val="24"/>
        </w:rPr>
        <w:t>格框</w:t>
      </w:r>
      <w:r>
        <w:rPr>
          <w:rFonts w:hint="eastAsia"/>
        </w:rPr>
        <w:t>意图，放置轴类零件。</w:t>
      </w:r>
    </w:p>
    <w:p>
      <w:pPr>
        <w:numPr>
          <w:ilvl w:val="0"/>
          <w:numId w:val="8"/>
        </w:numPr>
        <w:spacing w:line="480" w:lineRule="auto"/>
        <w:ind w:firstLine="420" w:firstLineChars="200"/>
        <w:rPr>
          <w:rFonts w:hint="eastAsia"/>
        </w:rPr>
      </w:pPr>
      <w:r>
        <w:rPr>
          <w:rFonts w:hint="eastAsia"/>
        </w:rPr>
        <w:t>规格：485*360*140；</w:t>
      </w:r>
    </w:p>
    <w:p>
      <w:pPr>
        <w:numPr>
          <w:ilvl w:val="0"/>
          <w:numId w:val="8"/>
        </w:numPr>
        <w:spacing w:line="480" w:lineRule="auto"/>
        <w:ind w:firstLine="420" w:firstLineChars="200"/>
      </w:pPr>
      <w:r>
        <w:rPr>
          <w:rFonts w:hint="eastAsia"/>
        </w:rPr>
        <w:t>容量：3件；</w:t>
      </w:r>
    </w:p>
    <w:p>
      <w:pPr>
        <w:numPr>
          <w:ilvl w:val="0"/>
          <w:numId w:val="8"/>
        </w:numPr>
        <w:spacing w:line="480" w:lineRule="auto"/>
        <w:ind w:firstLine="420" w:firstLineChars="200"/>
        <w:rPr>
          <w:rFonts w:hint="eastAsia"/>
        </w:rPr>
      </w:pPr>
      <w:r>
        <w:rPr>
          <w:rFonts w:hint="eastAsia"/>
        </w:rPr>
        <w:t>适用范围：线边配送；</w:t>
      </w:r>
    </w:p>
    <w:p>
      <w:pPr>
        <w:numPr>
          <w:ilvl w:val="0"/>
          <w:numId w:val="8"/>
        </w:numPr>
        <w:spacing w:line="480" w:lineRule="auto"/>
        <w:ind w:firstLine="420" w:firstLineChars="200"/>
        <w:rPr>
          <w:rFonts w:hint="eastAsia"/>
        </w:rPr>
      </w:pPr>
      <w:r>
        <w:rPr>
          <w:rFonts w:hint="eastAsia"/>
        </w:rPr>
        <w:t>结构：改性聚丙烯，</w:t>
      </w:r>
      <w:r>
        <w:rPr>
          <w:rFonts w:hint="eastAsia" w:ascii="宋体" w:hAnsi="宋体" w:cs="宋体"/>
        </w:rPr>
        <w:t>采用全新优质、环保、耐高温、耐用性较好的原料，不允许使用回料和再生塑料</w:t>
      </w:r>
      <w:r>
        <w:rPr>
          <w:rFonts w:hint="eastAsia"/>
        </w:rPr>
        <w:t>，但必须便于清洗、烘干，耐普通金属清洗剂腐蚀，耐100℃高温、-20℃低温，长时间处于上述温度下不变形、不开裂</w:t>
      </w:r>
      <w:r>
        <w:rPr>
          <w:rFonts w:hint="eastAsia" w:ascii="宋体" w:hAnsi="宋体"/>
        </w:rPr>
        <w:t>，长期接触齿轮油、防锈油不变形、不鼓包</w:t>
      </w:r>
      <w:r>
        <w:rPr>
          <w:rFonts w:hint="eastAsia"/>
        </w:rPr>
        <w:t>；</w:t>
      </w:r>
    </w:p>
    <w:p>
      <w:pPr>
        <w:numPr>
          <w:ilvl w:val="0"/>
          <w:numId w:val="8"/>
        </w:numPr>
        <w:spacing w:line="480" w:lineRule="auto"/>
        <w:ind w:firstLine="420" w:firstLineChars="200"/>
        <w:rPr>
          <w:rFonts w:hint="eastAsia"/>
        </w:rPr>
      </w:pPr>
      <w:r>
        <w:rPr>
          <w:rFonts w:hint="eastAsia"/>
        </w:rPr>
        <w:t>颜色：深灰色；</w:t>
      </w:r>
    </w:p>
    <w:p>
      <w:pPr>
        <w:numPr>
          <w:ilvl w:val="0"/>
          <w:numId w:val="8"/>
        </w:numPr>
        <w:spacing w:line="480" w:lineRule="auto"/>
        <w:ind w:firstLine="420" w:firstLineChars="200"/>
        <w:rPr>
          <w:rFonts w:hint="eastAsia"/>
        </w:rPr>
      </w:pPr>
      <w:r>
        <w:rPr>
          <w:rFonts w:hint="eastAsia"/>
        </w:rPr>
        <w:t>载重：</w:t>
      </w:r>
      <w:r>
        <w:rPr>
          <w:rFonts w:hint="eastAsia" w:ascii="宋体" w:hAnsi="宋体" w:cs="宋体"/>
          <w:kern w:val="0"/>
        </w:rPr>
        <w:t>物料筐6层堆放，每筐放置20kg的重物,放置48小时后取出,再自然放置2小时后测试变形量，变形量≤5mm。</w:t>
      </w:r>
    </w:p>
    <w:p>
      <w:pPr>
        <w:pStyle w:val="2"/>
        <w:rPr>
          <w:rFonts w:hint="eastAsia"/>
        </w:rPr>
      </w:pPr>
    </w:p>
    <w:p>
      <w:pPr>
        <w:pStyle w:val="2"/>
        <w:jc w:val="center"/>
        <w:rPr>
          <w:rFonts w:hint="eastAsia"/>
          <w:lang w:eastAsia="zh-CN"/>
        </w:rPr>
      </w:pPr>
      <w:r>
        <w:rPr>
          <w:rFonts w:hint="eastAsia"/>
          <w:lang w:eastAsia="zh-CN"/>
        </w:rPr>
        <w:drawing>
          <wp:inline distT="0" distB="0" distL="114300" distR="114300">
            <wp:extent cx="3724910" cy="2160905"/>
            <wp:effectExtent l="9525" t="9525" r="12065" b="13970"/>
            <wp:docPr id="9" name="图片 2" descr="17a7a8b2057b03b8cdacac5da8c3a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descr="17a7a8b2057b03b8cdacac5da8c3a23"/>
                    <pic:cNvPicPr>
                      <a:picLocks noChangeAspect="1"/>
                    </pic:cNvPicPr>
                  </pic:nvPicPr>
                  <pic:blipFill>
                    <a:blip r:embed="rId38"/>
                    <a:stretch>
                      <a:fillRect/>
                    </a:stretch>
                  </pic:blipFill>
                  <pic:spPr>
                    <a:xfrm>
                      <a:off x="0" y="0"/>
                      <a:ext cx="3724910" cy="2160905"/>
                    </a:xfrm>
                    <a:prstGeom prst="rect">
                      <a:avLst/>
                    </a:prstGeom>
                    <a:noFill/>
                    <a:ln w="9525" cap="flat" cmpd="sng">
                      <a:solidFill>
                        <a:srgbClr val="0000FF"/>
                      </a:solidFill>
                      <a:prstDash val="solid"/>
                      <a:miter/>
                      <a:headEnd type="none" w="med" len="med"/>
                      <a:tailEnd type="none" w="med" len="med"/>
                    </a:ln>
                  </pic:spPr>
                </pic:pic>
              </a:graphicData>
            </a:graphic>
          </wp:inline>
        </w:drawing>
      </w:r>
    </w:p>
    <w:p>
      <w:pPr>
        <w:pStyle w:val="2"/>
        <w:jc w:val="center"/>
        <w:rPr>
          <w:rFonts w:hint="eastAsia"/>
        </w:rPr>
      </w:pPr>
    </w:p>
    <w:p>
      <w:pPr>
        <w:spacing w:line="480" w:lineRule="auto"/>
        <w:ind w:left="420" w:firstLine="420" w:firstLineChars="200"/>
        <w:rPr>
          <w:rFonts w:hint="eastAsia" w:ascii="黑体" w:hAnsi="黑体" w:eastAsia="黑体"/>
          <w:sz w:val="28"/>
          <w:szCs w:val="28"/>
        </w:rPr>
      </w:pPr>
      <w:r>
        <w:rPr>
          <w:rFonts w:hint="eastAsia"/>
        </w:rPr>
        <w:t>图示为</w:t>
      </w:r>
      <w:r>
        <w:rPr>
          <w:rFonts w:hint="eastAsia" w:ascii="宋体" w:hAnsi="宋体" w:cs="宋体"/>
          <w:kern w:val="0"/>
          <w:sz w:val="24"/>
          <w:szCs w:val="24"/>
        </w:rPr>
        <w:t>副轴</w:t>
      </w:r>
      <w:r>
        <w:rPr>
          <w:rFonts w:ascii="Calibri" w:hAnsi="Calibri" w:cs="宋体"/>
          <w:kern w:val="0"/>
          <w:sz w:val="24"/>
          <w:szCs w:val="24"/>
        </w:rPr>
        <w:t>/</w:t>
      </w:r>
      <w:r>
        <w:rPr>
          <w:rFonts w:hint="eastAsia" w:ascii="宋体" w:hAnsi="宋体" w:cs="宋体"/>
          <w:kern w:val="0"/>
          <w:sz w:val="24"/>
          <w:szCs w:val="24"/>
        </w:rPr>
        <w:t>主轴</w:t>
      </w:r>
      <w:r>
        <w:rPr>
          <w:rFonts w:ascii="Calibri" w:hAnsi="Calibri" w:cs="宋体"/>
          <w:kern w:val="0"/>
          <w:sz w:val="24"/>
          <w:szCs w:val="24"/>
        </w:rPr>
        <w:t>3</w:t>
      </w:r>
      <w:r>
        <w:rPr>
          <w:rFonts w:hint="eastAsia" w:ascii="宋体" w:hAnsi="宋体" w:cs="宋体"/>
          <w:kern w:val="0"/>
          <w:sz w:val="24"/>
          <w:szCs w:val="24"/>
        </w:rPr>
        <w:t>格框</w:t>
      </w:r>
      <w:r>
        <w:rPr>
          <w:rFonts w:ascii="Calibri" w:hAnsi="Calibri" w:cs="宋体"/>
          <w:kern w:val="0"/>
          <w:sz w:val="24"/>
          <w:szCs w:val="24"/>
        </w:rPr>
        <w:t>(</w:t>
      </w:r>
      <w:r>
        <w:rPr>
          <w:rFonts w:hint="eastAsia" w:ascii="宋体" w:hAnsi="宋体" w:cs="宋体"/>
          <w:kern w:val="0"/>
          <w:sz w:val="24"/>
          <w:szCs w:val="24"/>
        </w:rPr>
        <w:t>大</w:t>
      </w:r>
      <w:r>
        <w:rPr>
          <w:rFonts w:ascii="Calibri" w:hAnsi="Calibri" w:cs="宋体"/>
          <w:kern w:val="0"/>
          <w:sz w:val="24"/>
          <w:szCs w:val="24"/>
        </w:rPr>
        <w:t>)</w:t>
      </w:r>
      <w:r>
        <w:rPr>
          <w:rFonts w:hint="eastAsia"/>
        </w:rPr>
        <w:t>意图，放置轴类零件。</w:t>
      </w:r>
    </w:p>
    <w:p>
      <w:pPr>
        <w:numPr>
          <w:ilvl w:val="0"/>
          <w:numId w:val="9"/>
        </w:numPr>
        <w:spacing w:line="480" w:lineRule="auto"/>
        <w:ind w:firstLine="420" w:firstLineChars="200"/>
        <w:rPr>
          <w:rFonts w:hint="eastAsia"/>
        </w:rPr>
      </w:pPr>
      <w:r>
        <w:rPr>
          <w:rFonts w:hint="eastAsia"/>
        </w:rPr>
        <w:t>规格：580*360*150；</w:t>
      </w:r>
    </w:p>
    <w:p>
      <w:pPr>
        <w:numPr>
          <w:ilvl w:val="0"/>
          <w:numId w:val="9"/>
        </w:numPr>
        <w:spacing w:line="480" w:lineRule="auto"/>
        <w:ind w:firstLine="420" w:firstLineChars="200"/>
      </w:pPr>
      <w:r>
        <w:rPr>
          <w:rFonts w:hint="eastAsia"/>
        </w:rPr>
        <w:t>容量：3件；</w:t>
      </w:r>
    </w:p>
    <w:p>
      <w:pPr>
        <w:numPr>
          <w:ilvl w:val="0"/>
          <w:numId w:val="9"/>
        </w:numPr>
        <w:spacing w:line="480" w:lineRule="auto"/>
        <w:ind w:firstLine="420" w:firstLineChars="200"/>
        <w:rPr>
          <w:rFonts w:hint="eastAsia"/>
        </w:rPr>
      </w:pPr>
      <w:r>
        <w:rPr>
          <w:rFonts w:hint="eastAsia"/>
        </w:rPr>
        <w:t>适用范围：线边配送；</w:t>
      </w:r>
    </w:p>
    <w:p>
      <w:pPr>
        <w:numPr>
          <w:ilvl w:val="0"/>
          <w:numId w:val="9"/>
        </w:numPr>
        <w:spacing w:line="480" w:lineRule="auto"/>
        <w:ind w:firstLine="420" w:firstLineChars="200"/>
        <w:rPr>
          <w:rFonts w:hint="eastAsia"/>
        </w:rPr>
      </w:pPr>
      <w:r>
        <w:rPr>
          <w:rFonts w:hint="eastAsia"/>
        </w:rPr>
        <w:t>结构：改性聚丙烯，</w:t>
      </w:r>
      <w:r>
        <w:rPr>
          <w:rFonts w:hint="eastAsia" w:ascii="宋体" w:hAnsi="宋体" w:cs="宋体"/>
        </w:rPr>
        <w:t>采用全新优质、环保、耐高温、耐用性较好的原料，不允许使用回料和再生塑料</w:t>
      </w:r>
      <w:r>
        <w:rPr>
          <w:rFonts w:hint="eastAsia"/>
        </w:rPr>
        <w:t>，但必须便于清洗、烘干，耐普通金属清洗剂腐蚀，耐100℃高温、-20℃低温，长时间处于上述温度下不变形、不开裂</w:t>
      </w:r>
      <w:r>
        <w:rPr>
          <w:rFonts w:hint="eastAsia" w:ascii="宋体" w:hAnsi="宋体"/>
        </w:rPr>
        <w:t>，长期接触齿轮油、防锈油不变形、不鼓包</w:t>
      </w:r>
      <w:r>
        <w:rPr>
          <w:rFonts w:hint="eastAsia"/>
        </w:rPr>
        <w:t>；</w:t>
      </w:r>
    </w:p>
    <w:p>
      <w:pPr>
        <w:numPr>
          <w:ilvl w:val="0"/>
          <w:numId w:val="9"/>
        </w:numPr>
        <w:spacing w:line="480" w:lineRule="auto"/>
        <w:ind w:firstLine="420" w:firstLineChars="200"/>
        <w:rPr>
          <w:rFonts w:hint="eastAsia"/>
        </w:rPr>
      </w:pPr>
      <w:r>
        <w:rPr>
          <w:rFonts w:hint="eastAsia"/>
        </w:rPr>
        <w:t>颜色：深灰色；</w:t>
      </w:r>
    </w:p>
    <w:p>
      <w:pPr>
        <w:numPr>
          <w:ilvl w:val="0"/>
          <w:numId w:val="9"/>
        </w:numPr>
        <w:spacing w:line="480" w:lineRule="auto"/>
        <w:ind w:firstLine="420" w:firstLineChars="200"/>
        <w:rPr>
          <w:rFonts w:hint="eastAsia"/>
        </w:rPr>
      </w:pPr>
      <w:r>
        <w:rPr>
          <w:rFonts w:hint="eastAsia"/>
        </w:rPr>
        <w:t>载重：</w:t>
      </w:r>
      <w:r>
        <w:rPr>
          <w:rFonts w:hint="eastAsia" w:ascii="宋体" w:hAnsi="宋体" w:cs="宋体"/>
          <w:kern w:val="0"/>
        </w:rPr>
        <w:t>物料筐6层堆放，每筐放置20kg的重物,放置48小时后取出,再自然放置2小时后测试变形量，变形量≤5mm。</w:t>
      </w:r>
    </w:p>
    <w:p>
      <w:pPr>
        <w:pStyle w:val="2"/>
        <w:jc w:val="center"/>
        <w:rPr>
          <w:rFonts w:hint="eastAsia"/>
          <w:lang w:eastAsia="zh-CN"/>
        </w:rPr>
      </w:pPr>
      <w:r>
        <w:rPr>
          <w:rFonts w:hint="eastAsia"/>
          <w:lang w:eastAsia="zh-CN"/>
        </w:rPr>
        <w:drawing>
          <wp:inline distT="0" distB="0" distL="114300" distR="114300">
            <wp:extent cx="3571240" cy="2489835"/>
            <wp:effectExtent l="9525" t="9525" r="13335" b="15240"/>
            <wp:docPr id="7" name="图片 3" descr="4fc0b47325536c8e077237352f170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4fc0b47325536c8e077237352f170c2"/>
                    <pic:cNvPicPr>
                      <a:picLocks noChangeAspect="1"/>
                    </pic:cNvPicPr>
                  </pic:nvPicPr>
                  <pic:blipFill>
                    <a:blip r:embed="rId39"/>
                    <a:stretch>
                      <a:fillRect/>
                    </a:stretch>
                  </pic:blipFill>
                  <pic:spPr>
                    <a:xfrm>
                      <a:off x="0" y="0"/>
                      <a:ext cx="3571240" cy="2489835"/>
                    </a:xfrm>
                    <a:prstGeom prst="rect">
                      <a:avLst/>
                    </a:prstGeom>
                    <a:noFill/>
                    <a:ln w="9525" cap="flat" cmpd="sng">
                      <a:solidFill>
                        <a:srgbClr val="0000FF"/>
                      </a:solidFill>
                      <a:prstDash val="solid"/>
                      <a:miter/>
                      <a:headEnd type="none" w="med" len="med"/>
                      <a:tailEnd type="none" w="med" len="med"/>
                    </a:ln>
                  </pic:spPr>
                </pic:pic>
              </a:graphicData>
            </a:graphic>
          </wp:inline>
        </w:drawing>
      </w:r>
    </w:p>
    <w:p>
      <w:pPr>
        <w:pStyle w:val="2"/>
        <w:jc w:val="center"/>
        <w:rPr>
          <w:rFonts w:hint="eastAsia"/>
        </w:rPr>
      </w:pPr>
    </w:p>
    <w:p>
      <w:pPr>
        <w:spacing w:line="480" w:lineRule="auto"/>
        <w:ind w:firstLine="420"/>
        <w:rPr>
          <w:rFonts w:hint="eastAsia" w:ascii="宋体" w:hAnsi="宋体" w:cs="宋体"/>
          <w:kern w:val="0"/>
        </w:rPr>
      </w:pPr>
      <w:r>
        <w:rPr>
          <w:rFonts w:hint="eastAsia" w:ascii="宋体" w:hAnsi="宋体" w:cs="宋体"/>
          <w:kern w:val="0"/>
        </w:rPr>
        <w:t>图示为</w:t>
      </w:r>
      <w:r>
        <w:rPr>
          <w:rFonts w:hint="eastAsia" w:ascii="宋体" w:hAnsi="宋体" w:cs="宋体"/>
          <w:kern w:val="0"/>
          <w:sz w:val="24"/>
          <w:szCs w:val="24"/>
        </w:rPr>
        <w:t>一轴</w:t>
      </w:r>
      <w:r>
        <w:rPr>
          <w:rFonts w:ascii="Calibri" w:hAnsi="Calibri" w:cs="宋体"/>
          <w:kern w:val="0"/>
          <w:sz w:val="24"/>
          <w:szCs w:val="24"/>
        </w:rPr>
        <w:t>4</w:t>
      </w:r>
      <w:r>
        <w:rPr>
          <w:rFonts w:hint="eastAsia" w:ascii="宋体" w:hAnsi="宋体" w:cs="宋体"/>
          <w:kern w:val="0"/>
          <w:sz w:val="24"/>
          <w:szCs w:val="24"/>
        </w:rPr>
        <w:t>格框</w:t>
      </w:r>
      <w:r>
        <w:rPr>
          <w:rFonts w:hint="eastAsia" w:ascii="宋体" w:hAnsi="宋体" w:cs="宋体"/>
          <w:kern w:val="0"/>
        </w:rPr>
        <w:t>意图，放置轴类零件。</w:t>
      </w:r>
    </w:p>
    <w:p>
      <w:pPr>
        <w:spacing w:line="480" w:lineRule="auto"/>
        <w:ind w:firstLine="420"/>
        <w:rPr>
          <w:rFonts w:hint="eastAsia" w:ascii="宋体" w:hAnsi="宋体" w:cs="宋体"/>
          <w:kern w:val="0"/>
        </w:rPr>
      </w:pPr>
      <w:r>
        <w:rPr>
          <w:rFonts w:hint="eastAsia" w:ascii="宋体" w:hAnsi="宋体" w:cs="宋体"/>
          <w:kern w:val="0"/>
        </w:rPr>
        <w:t>（1）规格：485*360*140；</w:t>
      </w:r>
    </w:p>
    <w:p>
      <w:pPr>
        <w:spacing w:line="480" w:lineRule="auto"/>
        <w:ind w:firstLine="420"/>
        <w:rPr>
          <w:rFonts w:hint="eastAsia" w:ascii="宋体" w:hAnsi="宋体" w:cs="宋体"/>
          <w:kern w:val="0"/>
        </w:rPr>
      </w:pPr>
      <w:r>
        <w:rPr>
          <w:rFonts w:hint="eastAsia" w:ascii="宋体" w:hAnsi="宋体" w:cs="宋体"/>
          <w:kern w:val="0"/>
        </w:rPr>
        <w:t>（2）容量：4件；</w:t>
      </w:r>
    </w:p>
    <w:p>
      <w:pPr>
        <w:spacing w:line="480" w:lineRule="auto"/>
        <w:ind w:firstLine="420"/>
        <w:rPr>
          <w:rFonts w:hint="eastAsia" w:ascii="宋体" w:hAnsi="宋体" w:cs="宋体"/>
          <w:kern w:val="0"/>
        </w:rPr>
      </w:pPr>
      <w:r>
        <w:rPr>
          <w:rFonts w:hint="eastAsia" w:ascii="宋体" w:hAnsi="宋体" w:cs="宋体"/>
          <w:kern w:val="0"/>
        </w:rPr>
        <w:t>（3）适用范围：线边配送；</w:t>
      </w:r>
    </w:p>
    <w:p>
      <w:pPr>
        <w:spacing w:line="480" w:lineRule="auto"/>
        <w:ind w:firstLine="420"/>
        <w:rPr>
          <w:rFonts w:hint="eastAsia" w:ascii="宋体" w:hAnsi="宋体" w:cs="宋体"/>
          <w:kern w:val="0"/>
        </w:rPr>
      </w:pPr>
      <w:r>
        <w:rPr>
          <w:rFonts w:hint="eastAsia" w:ascii="宋体" w:hAnsi="宋体" w:cs="宋体"/>
          <w:kern w:val="0"/>
        </w:rPr>
        <w:t>（4）结构：改性聚丙烯，采用全新优质、环保、耐高温、耐用性较好的原料，不允许使用回料和再生塑料，但必须便于清洗、烘干，耐普通金属清洗剂腐蚀，耐100℃高温、-20℃低温，长时间处于上述温度下不变形、不开裂，长期接触齿轮油、防锈油不变形、不鼓包；</w:t>
      </w:r>
    </w:p>
    <w:p>
      <w:pPr>
        <w:spacing w:line="480" w:lineRule="auto"/>
        <w:ind w:firstLine="420"/>
        <w:rPr>
          <w:rFonts w:hint="eastAsia" w:ascii="宋体" w:hAnsi="宋体" w:cs="宋体"/>
          <w:kern w:val="0"/>
        </w:rPr>
      </w:pPr>
      <w:r>
        <w:rPr>
          <w:rFonts w:hint="eastAsia" w:ascii="宋体" w:hAnsi="宋体" w:cs="宋体"/>
          <w:kern w:val="0"/>
        </w:rPr>
        <w:t>（5）颜色：深灰色；</w:t>
      </w:r>
    </w:p>
    <w:p>
      <w:pPr>
        <w:spacing w:line="480" w:lineRule="auto"/>
        <w:ind w:firstLine="420"/>
        <w:rPr>
          <w:rFonts w:hint="eastAsia" w:ascii="宋体" w:hAnsi="宋体" w:cs="宋体"/>
          <w:kern w:val="0"/>
        </w:rPr>
      </w:pPr>
      <w:r>
        <w:rPr>
          <w:rFonts w:hint="eastAsia" w:ascii="宋体" w:hAnsi="宋体" w:cs="宋体"/>
          <w:kern w:val="0"/>
        </w:rPr>
        <w:t>（6）载重：物料筐6层堆放，每筐放置20kg的重物,放置48小时后取出,再自然放置2小时后测试变形量，变形量≤5mm。</w:t>
      </w:r>
    </w:p>
    <w:p>
      <w:pPr>
        <w:pStyle w:val="2"/>
        <w:ind w:firstLine="420"/>
        <w:jc w:val="center"/>
        <w:rPr>
          <w:rFonts w:hint="eastAsia" w:hAnsi="宋体" w:cs="宋体"/>
          <w:lang w:eastAsia="zh-CN"/>
        </w:rPr>
      </w:pPr>
    </w:p>
    <w:p>
      <w:pPr>
        <w:pStyle w:val="2"/>
        <w:ind w:firstLine="420"/>
        <w:jc w:val="center"/>
        <w:rPr>
          <w:rFonts w:hint="eastAsia" w:hAnsi="宋体" w:cs="宋体"/>
          <w:lang w:val="en-US" w:eastAsia="zh-CN"/>
        </w:rPr>
      </w:pPr>
      <w:r>
        <w:rPr>
          <w:rFonts w:hint="eastAsia" w:hAnsi="宋体" w:cs="宋体"/>
          <w:lang w:val="en-US" w:eastAsia="zh-CN"/>
        </w:rPr>
        <w:drawing>
          <wp:inline distT="0" distB="0" distL="114300" distR="114300">
            <wp:extent cx="3414395" cy="2414270"/>
            <wp:effectExtent l="9525" t="9525" r="17780" b="14605"/>
            <wp:docPr id="4" name="图片 4" descr="430931b0c399a479d033564df747a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430931b0c399a479d033564df747acd"/>
                    <pic:cNvPicPr>
                      <a:picLocks noChangeAspect="1"/>
                    </pic:cNvPicPr>
                  </pic:nvPicPr>
                  <pic:blipFill>
                    <a:blip r:embed="rId40"/>
                    <a:stretch>
                      <a:fillRect/>
                    </a:stretch>
                  </pic:blipFill>
                  <pic:spPr>
                    <a:xfrm>
                      <a:off x="0" y="0"/>
                      <a:ext cx="3414395" cy="2414270"/>
                    </a:xfrm>
                    <a:prstGeom prst="rect">
                      <a:avLst/>
                    </a:prstGeom>
                    <a:noFill/>
                    <a:ln w="9525" cap="flat" cmpd="sng">
                      <a:solidFill>
                        <a:srgbClr val="0000FF"/>
                      </a:solidFill>
                      <a:prstDash val="solid"/>
                      <a:miter/>
                      <a:headEnd type="none" w="med" len="med"/>
                      <a:tailEnd type="none" w="med" len="med"/>
                    </a:ln>
                  </pic:spPr>
                </pic:pic>
              </a:graphicData>
            </a:graphic>
          </wp:inline>
        </w:drawing>
      </w:r>
    </w:p>
    <w:p>
      <w:pPr>
        <w:pStyle w:val="2"/>
        <w:ind w:firstLine="420"/>
        <w:jc w:val="center"/>
        <w:rPr>
          <w:rFonts w:hint="eastAsia" w:hAnsi="宋体" w:cs="宋体"/>
          <w:lang w:val="en-US" w:eastAsia="zh-CN"/>
        </w:rPr>
      </w:pPr>
    </w:p>
    <w:p>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kern w:val="0"/>
          <w:sz w:val="24"/>
          <w:szCs w:val="24"/>
        </w:rPr>
        <w:t>一轴</w:t>
      </w:r>
      <w:r>
        <w:rPr>
          <w:rFonts w:ascii="Calibri" w:hAnsi="Calibri" w:cs="宋体"/>
          <w:kern w:val="0"/>
          <w:sz w:val="24"/>
          <w:szCs w:val="24"/>
        </w:rPr>
        <w:t>2</w:t>
      </w:r>
      <w:r>
        <w:rPr>
          <w:rFonts w:hint="eastAsia" w:ascii="宋体" w:hAnsi="宋体" w:cs="宋体"/>
          <w:kern w:val="0"/>
          <w:sz w:val="24"/>
          <w:szCs w:val="24"/>
        </w:rPr>
        <w:t>格框，放置轴类零件</w:t>
      </w:r>
      <w:r>
        <w:rPr>
          <w:rFonts w:hint="eastAsia"/>
        </w:rPr>
        <w:t>。</w:t>
      </w:r>
    </w:p>
    <w:p>
      <w:pPr>
        <w:spacing w:line="480" w:lineRule="auto"/>
        <w:ind w:firstLine="420"/>
        <w:rPr>
          <w:rFonts w:hint="eastAsia" w:ascii="宋体" w:hAnsi="宋体" w:cs="宋体"/>
          <w:kern w:val="0"/>
        </w:rPr>
      </w:pPr>
      <w:r>
        <w:rPr>
          <w:rFonts w:hint="eastAsia" w:ascii="宋体" w:hAnsi="宋体" w:cs="宋体"/>
          <w:kern w:val="0"/>
        </w:rPr>
        <w:t>（1）规格：475*350*210；</w:t>
      </w:r>
    </w:p>
    <w:p>
      <w:pPr>
        <w:spacing w:line="480" w:lineRule="auto"/>
        <w:ind w:firstLine="420"/>
        <w:rPr>
          <w:rFonts w:hint="eastAsia" w:ascii="宋体" w:hAnsi="宋体" w:cs="宋体"/>
          <w:kern w:val="0"/>
        </w:rPr>
      </w:pPr>
      <w:r>
        <w:rPr>
          <w:rFonts w:hint="eastAsia" w:ascii="宋体" w:hAnsi="宋体" w:cs="宋体"/>
          <w:kern w:val="0"/>
        </w:rPr>
        <w:t>（2）容量：2件；</w:t>
      </w:r>
    </w:p>
    <w:p>
      <w:pPr>
        <w:spacing w:line="480" w:lineRule="auto"/>
        <w:ind w:firstLine="420"/>
        <w:rPr>
          <w:rFonts w:hint="eastAsia" w:ascii="宋体" w:hAnsi="宋体" w:cs="宋体"/>
          <w:kern w:val="0"/>
        </w:rPr>
      </w:pPr>
      <w:r>
        <w:rPr>
          <w:rFonts w:hint="eastAsia" w:ascii="宋体" w:hAnsi="宋体" w:cs="宋体"/>
          <w:kern w:val="0"/>
        </w:rPr>
        <w:t>（3）适用范围：线边配送；</w:t>
      </w:r>
    </w:p>
    <w:p>
      <w:pPr>
        <w:spacing w:line="480" w:lineRule="auto"/>
        <w:ind w:firstLine="420"/>
        <w:rPr>
          <w:rFonts w:hint="eastAsia" w:ascii="宋体" w:hAnsi="宋体" w:cs="宋体"/>
          <w:kern w:val="0"/>
        </w:rPr>
      </w:pPr>
      <w:r>
        <w:rPr>
          <w:rFonts w:hint="eastAsia" w:ascii="宋体" w:hAnsi="宋体" w:cs="宋体"/>
          <w:kern w:val="0"/>
        </w:rPr>
        <w:t>（4）结构：改性聚丙烯，采用全新优质、环保、耐高温、耐用性较好的原料，不允许使用回料和再生塑料，但必须便于清洗、烘干，耐普通金属清洗剂腐蚀，耐100℃高温、-20℃低温，长时间处于上述温度下不变形、不开裂，长期接触齿轮油、防锈油不变形、不鼓包；</w:t>
      </w:r>
    </w:p>
    <w:p>
      <w:pPr>
        <w:spacing w:line="480" w:lineRule="auto"/>
        <w:ind w:firstLine="420"/>
        <w:rPr>
          <w:rFonts w:hint="eastAsia" w:ascii="宋体" w:hAnsi="宋体" w:cs="宋体"/>
          <w:kern w:val="0"/>
        </w:rPr>
      </w:pPr>
      <w:r>
        <w:rPr>
          <w:rFonts w:hint="eastAsia" w:ascii="宋体" w:hAnsi="宋体" w:cs="宋体"/>
          <w:kern w:val="0"/>
        </w:rPr>
        <w:t>（5）颜色：深灰色；</w:t>
      </w:r>
    </w:p>
    <w:p>
      <w:pPr>
        <w:spacing w:line="480" w:lineRule="auto"/>
        <w:ind w:firstLine="420"/>
        <w:rPr>
          <w:rFonts w:hint="eastAsia" w:ascii="宋体" w:hAnsi="宋体" w:cs="宋体"/>
          <w:kern w:val="0"/>
        </w:rPr>
      </w:pPr>
      <w:r>
        <w:rPr>
          <w:rFonts w:hint="eastAsia" w:ascii="宋体" w:hAnsi="宋体" w:cs="宋体"/>
          <w:kern w:val="0"/>
        </w:rPr>
        <w:t>（6）载重：物料筐6层堆放，每筐放置20kg的重物,放置48小时后取出,再自然放置2小时后测试变形量，变形量≤5mm。</w:t>
      </w:r>
    </w:p>
    <w:p>
      <w:pPr>
        <w:pStyle w:val="2"/>
        <w:jc w:val="center"/>
        <w:rPr>
          <w:rFonts w:hint="eastAsia"/>
          <w:lang w:val="en-US" w:eastAsia="zh-CN"/>
        </w:rPr>
      </w:pPr>
      <w:r>
        <w:rPr>
          <w:rFonts w:hint="eastAsia"/>
          <w:lang w:val="en-US" w:eastAsia="zh-CN"/>
        </w:rPr>
        <w:drawing>
          <wp:inline distT="0" distB="0" distL="114300" distR="114300">
            <wp:extent cx="3800475" cy="2037080"/>
            <wp:effectExtent l="9525" t="9525" r="12700" b="10795"/>
            <wp:docPr id="5" name="图片 5" descr="8116afebe9b3ed94bba236415817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8116afebe9b3ed94bba236415817803"/>
                    <pic:cNvPicPr>
                      <a:picLocks noChangeAspect="1"/>
                    </pic:cNvPicPr>
                  </pic:nvPicPr>
                  <pic:blipFill>
                    <a:blip r:embed="rId41"/>
                    <a:stretch>
                      <a:fillRect/>
                    </a:stretch>
                  </pic:blipFill>
                  <pic:spPr>
                    <a:xfrm>
                      <a:off x="0" y="0"/>
                      <a:ext cx="3800475" cy="2037080"/>
                    </a:xfrm>
                    <a:prstGeom prst="rect">
                      <a:avLst/>
                    </a:prstGeom>
                    <a:noFill/>
                    <a:ln w="9525" cap="flat" cmpd="sng">
                      <a:solidFill>
                        <a:srgbClr val="0000FF"/>
                      </a:solidFill>
                      <a:prstDash val="solid"/>
                      <a:miter/>
                      <a:headEnd type="none" w="med" len="med"/>
                      <a:tailEnd type="none" w="med" len="med"/>
                    </a:ln>
                  </pic:spPr>
                </pic:pic>
              </a:graphicData>
            </a:graphic>
          </wp:inline>
        </w:drawing>
      </w:r>
    </w:p>
    <w:p>
      <w:pPr>
        <w:pStyle w:val="2"/>
        <w:rPr>
          <w:rFonts w:hint="eastAsia"/>
        </w:rPr>
      </w:pPr>
    </w:p>
    <w:p>
      <w:pPr>
        <w:spacing w:line="480" w:lineRule="auto"/>
        <w:ind w:firstLine="420" w:firstLineChars="200"/>
        <w:rPr>
          <w:rFonts w:hint="eastAsia" w:ascii="黑体" w:hAnsi="黑体" w:eastAsia="黑体"/>
          <w:sz w:val="28"/>
          <w:szCs w:val="28"/>
        </w:rPr>
      </w:pPr>
      <w:r>
        <w:rPr>
          <w:rFonts w:hint="eastAsia"/>
        </w:rPr>
        <w:t>图示为</w:t>
      </w:r>
      <w:r>
        <w:rPr>
          <w:rFonts w:hint="eastAsia" w:ascii="宋体" w:hAnsi="宋体" w:cs="宋体"/>
          <w:kern w:val="0"/>
          <w:sz w:val="24"/>
          <w:szCs w:val="24"/>
        </w:rPr>
        <w:t>单排</w:t>
      </w:r>
      <w:r>
        <w:rPr>
          <w:rFonts w:ascii="Calibri" w:hAnsi="Calibri" w:cs="宋体"/>
          <w:kern w:val="0"/>
          <w:sz w:val="24"/>
          <w:szCs w:val="24"/>
        </w:rPr>
        <w:t>6</w:t>
      </w:r>
      <w:r>
        <w:rPr>
          <w:rFonts w:hint="eastAsia" w:ascii="宋体" w:hAnsi="宋体" w:cs="宋体"/>
          <w:kern w:val="0"/>
          <w:sz w:val="24"/>
          <w:szCs w:val="24"/>
        </w:rPr>
        <w:t>格蓝框</w:t>
      </w:r>
      <w:r>
        <w:rPr>
          <w:rFonts w:ascii="Calibri" w:hAnsi="Calibri" w:cs="宋体"/>
          <w:kern w:val="0"/>
          <w:sz w:val="24"/>
          <w:szCs w:val="24"/>
        </w:rPr>
        <w:t xml:space="preserve"> (</w:t>
      </w:r>
      <w:r>
        <w:rPr>
          <w:rFonts w:hint="eastAsia" w:ascii="宋体" w:hAnsi="宋体" w:cs="宋体"/>
          <w:kern w:val="0"/>
          <w:sz w:val="24"/>
          <w:szCs w:val="24"/>
        </w:rPr>
        <w:t>小</w:t>
      </w:r>
      <w:r>
        <w:rPr>
          <w:rFonts w:ascii="Calibri" w:hAnsi="Calibri" w:cs="宋体"/>
          <w:kern w:val="0"/>
          <w:sz w:val="24"/>
          <w:szCs w:val="24"/>
        </w:rPr>
        <w:t>)</w:t>
      </w:r>
      <w:r>
        <w:rPr>
          <w:rFonts w:hint="eastAsia"/>
        </w:rPr>
        <w:t>意图，放置齿轮类零件。</w:t>
      </w:r>
    </w:p>
    <w:p>
      <w:pPr>
        <w:spacing w:line="480" w:lineRule="auto"/>
        <w:ind w:firstLine="420"/>
        <w:rPr>
          <w:rFonts w:hint="eastAsia" w:ascii="宋体" w:hAnsi="宋体" w:cs="宋体"/>
          <w:kern w:val="0"/>
        </w:rPr>
      </w:pPr>
      <w:r>
        <w:rPr>
          <w:rFonts w:hint="eastAsia" w:ascii="宋体" w:hAnsi="宋体" w:cs="宋体"/>
          <w:kern w:val="0"/>
        </w:rPr>
        <w:t>（1）规格：475*255*260；</w:t>
      </w:r>
    </w:p>
    <w:p>
      <w:pPr>
        <w:spacing w:line="480" w:lineRule="auto"/>
        <w:ind w:firstLine="420"/>
        <w:rPr>
          <w:rFonts w:hint="eastAsia" w:ascii="宋体" w:hAnsi="宋体" w:cs="宋体"/>
          <w:kern w:val="0"/>
        </w:rPr>
      </w:pPr>
      <w:r>
        <w:rPr>
          <w:rFonts w:hint="eastAsia" w:ascii="宋体" w:hAnsi="宋体" w:cs="宋体"/>
          <w:kern w:val="0"/>
        </w:rPr>
        <w:t>（2）容量：6件；</w:t>
      </w:r>
    </w:p>
    <w:p>
      <w:pPr>
        <w:spacing w:line="480" w:lineRule="auto"/>
        <w:ind w:firstLine="420"/>
        <w:rPr>
          <w:rFonts w:hint="eastAsia" w:ascii="宋体" w:hAnsi="宋体" w:cs="宋体"/>
          <w:kern w:val="0"/>
        </w:rPr>
      </w:pPr>
      <w:r>
        <w:rPr>
          <w:rFonts w:hint="eastAsia" w:ascii="宋体" w:hAnsi="宋体" w:cs="宋体"/>
          <w:kern w:val="0"/>
        </w:rPr>
        <w:t>（3）适用范围：线边配送；</w:t>
      </w:r>
    </w:p>
    <w:p>
      <w:pPr>
        <w:spacing w:line="480" w:lineRule="auto"/>
        <w:ind w:firstLine="420"/>
        <w:rPr>
          <w:rFonts w:hint="eastAsia" w:ascii="宋体" w:hAnsi="宋体" w:cs="宋体"/>
          <w:kern w:val="0"/>
        </w:rPr>
      </w:pPr>
      <w:r>
        <w:rPr>
          <w:rFonts w:hint="eastAsia" w:ascii="宋体" w:hAnsi="宋体" w:cs="宋体"/>
          <w:kern w:val="0"/>
        </w:rPr>
        <w:t>（4）结构：改性聚丙烯，采用全新优质、环保、耐高温、耐用性较好的原料，不允许使用回料和再生塑料，但必须便于清洗、烘干，耐普通金属清洗剂腐蚀，耐100℃高温、-20℃低温，长时间处于上述温度下不变形、不开裂，长期接触齿轮油、防锈油不变形、不鼓包；</w:t>
      </w:r>
    </w:p>
    <w:p>
      <w:pPr>
        <w:spacing w:line="480" w:lineRule="auto"/>
        <w:ind w:firstLine="420"/>
        <w:rPr>
          <w:rFonts w:hint="eastAsia" w:ascii="宋体" w:hAnsi="宋体" w:cs="宋体"/>
          <w:kern w:val="0"/>
        </w:rPr>
      </w:pPr>
      <w:r>
        <w:rPr>
          <w:rFonts w:hint="eastAsia" w:ascii="宋体" w:hAnsi="宋体" w:cs="宋体"/>
          <w:kern w:val="0"/>
        </w:rPr>
        <w:t>（5）颜色：</w:t>
      </w:r>
      <w:r>
        <w:rPr>
          <w:rFonts w:hint="eastAsia" w:ascii="宋体" w:hAnsi="宋体"/>
        </w:rPr>
        <w:t>边框蓝色、内芯黄色</w:t>
      </w:r>
      <w:r>
        <w:rPr>
          <w:rFonts w:hint="eastAsia" w:ascii="宋体" w:hAnsi="宋体" w:cs="宋体"/>
          <w:kern w:val="0"/>
        </w:rPr>
        <w:t>；</w:t>
      </w:r>
    </w:p>
    <w:p>
      <w:pPr>
        <w:spacing w:line="480" w:lineRule="auto"/>
        <w:ind w:firstLine="420"/>
        <w:rPr>
          <w:rFonts w:hint="eastAsia" w:ascii="宋体" w:hAnsi="宋体" w:cs="宋体"/>
          <w:kern w:val="0"/>
        </w:rPr>
      </w:pPr>
      <w:r>
        <w:rPr>
          <w:rFonts w:hint="eastAsia" w:ascii="宋体" w:hAnsi="宋体" w:cs="宋体"/>
          <w:kern w:val="0"/>
        </w:rPr>
        <w:t>（6）载重：物料筐6层堆放，每筐放置20kg的重物,放置48小时后取出,再自然放置2小时后测试变形量，变形量≤5mm。</w:t>
      </w:r>
    </w:p>
    <w:p>
      <w:pPr>
        <w:spacing w:line="480" w:lineRule="auto"/>
        <w:ind w:firstLine="400" w:firstLineChars="200"/>
        <w:jc w:val="center"/>
        <w:rPr>
          <w:rFonts w:hint="eastAsia" w:ascii="宋体" w:hAnsi="Courier New"/>
          <w:kern w:val="0"/>
          <w:sz w:val="20"/>
          <w:szCs w:val="21"/>
        </w:rPr>
      </w:pPr>
      <w:r>
        <w:rPr>
          <w:rFonts w:ascii="宋体" w:hAnsi="Courier New"/>
          <w:kern w:val="0"/>
          <w:sz w:val="20"/>
          <w:szCs w:val="21"/>
        </w:rPr>
        <w:drawing>
          <wp:inline distT="0" distB="0" distL="114300" distR="114300">
            <wp:extent cx="2609215" cy="2292350"/>
            <wp:effectExtent l="0" t="0" r="6985" b="6350"/>
            <wp:docPr id="6" name="图片 6" descr="830f097614fc35a1ff583ecb5ae8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830f097614fc35a1ff583ecb5ae8608"/>
                    <pic:cNvPicPr>
                      <a:picLocks noChangeAspect="1"/>
                    </pic:cNvPicPr>
                  </pic:nvPicPr>
                  <pic:blipFill>
                    <a:blip r:embed="rId42"/>
                    <a:srcRect t="17618" b="16409"/>
                    <a:stretch>
                      <a:fillRect/>
                    </a:stretch>
                  </pic:blipFill>
                  <pic:spPr>
                    <a:xfrm>
                      <a:off x="0" y="0"/>
                      <a:ext cx="2609215" cy="2292350"/>
                    </a:xfrm>
                    <a:prstGeom prst="rect">
                      <a:avLst/>
                    </a:prstGeom>
                    <a:noFill/>
                    <a:ln>
                      <a:noFill/>
                    </a:ln>
                  </pic:spPr>
                </pic:pic>
              </a:graphicData>
            </a:graphic>
          </wp:inline>
        </w:drawing>
      </w:r>
    </w:p>
    <w:p>
      <w:pPr>
        <w:spacing w:line="480" w:lineRule="auto"/>
        <w:ind w:left="420" w:firstLine="420" w:firstLineChars="200"/>
        <w:rPr>
          <w:rFonts w:hint="eastAsia" w:ascii="黑体" w:hAnsi="黑体" w:eastAsia="黑体"/>
          <w:sz w:val="28"/>
          <w:szCs w:val="28"/>
        </w:rPr>
      </w:pPr>
      <w:r>
        <w:rPr>
          <w:rFonts w:hint="eastAsia"/>
        </w:rPr>
        <w:t>图示为</w:t>
      </w:r>
      <w:r>
        <w:rPr>
          <w:rFonts w:hint="eastAsia" w:ascii="宋体" w:hAnsi="宋体" w:cs="宋体"/>
          <w:kern w:val="0"/>
          <w:sz w:val="24"/>
          <w:szCs w:val="24"/>
        </w:rPr>
        <w:t>双排</w:t>
      </w:r>
      <w:r>
        <w:rPr>
          <w:rFonts w:ascii="Calibri" w:hAnsi="Calibri" w:cs="宋体"/>
          <w:kern w:val="0"/>
          <w:sz w:val="24"/>
          <w:szCs w:val="24"/>
        </w:rPr>
        <w:t>16</w:t>
      </w:r>
      <w:r>
        <w:rPr>
          <w:rFonts w:hint="eastAsia" w:ascii="宋体" w:hAnsi="宋体" w:cs="宋体"/>
          <w:kern w:val="0"/>
          <w:sz w:val="24"/>
          <w:szCs w:val="24"/>
        </w:rPr>
        <w:t>格蓝框</w:t>
      </w:r>
      <w:r>
        <w:rPr>
          <w:rFonts w:ascii="Calibri" w:hAnsi="Calibri" w:cs="宋体"/>
          <w:kern w:val="0"/>
          <w:sz w:val="24"/>
          <w:szCs w:val="24"/>
        </w:rPr>
        <w:t xml:space="preserve"> (</w:t>
      </w:r>
      <w:r>
        <w:rPr>
          <w:rFonts w:hint="eastAsia" w:ascii="宋体" w:hAnsi="宋体" w:cs="宋体"/>
          <w:kern w:val="0"/>
          <w:sz w:val="24"/>
          <w:szCs w:val="24"/>
        </w:rPr>
        <w:t>小</w:t>
      </w:r>
      <w:r>
        <w:rPr>
          <w:rFonts w:ascii="Calibri" w:hAnsi="Calibri" w:cs="宋体"/>
          <w:kern w:val="0"/>
          <w:sz w:val="24"/>
          <w:szCs w:val="24"/>
        </w:rPr>
        <w:t>)</w:t>
      </w:r>
      <w:r>
        <w:rPr>
          <w:rFonts w:hint="eastAsia"/>
        </w:rPr>
        <w:t>意图，放置齿轮类零件。</w:t>
      </w:r>
    </w:p>
    <w:p>
      <w:pPr>
        <w:spacing w:line="480" w:lineRule="auto"/>
        <w:ind w:firstLine="420"/>
        <w:rPr>
          <w:rFonts w:hint="eastAsia" w:ascii="宋体" w:hAnsi="宋体" w:cs="宋体"/>
          <w:kern w:val="0"/>
        </w:rPr>
      </w:pPr>
      <w:r>
        <w:rPr>
          <w:rFonts w:hint="eastAsia" w:ascii="宋体" w:hAnsi="宋体" w:cs="宋体"/>
          <w:kern w:val="0"/>
        </w:rPr>
        <w:t>（1）规格：465*280*180；</w:t>
      </w:r>
    </w:p>
    <w:p>
      <w:pPr>
        <w:spacing w:line="480" w:lineRule="auto"/>
        <w:ind w:firstLine="420"/>
        <w:rPr>
          <w:rFonts w:hint="eastAsia" w:ascii="宋体" w:hAnsi="宋体" w:cs="宋体"/>
          <w:kern w:val="0"/>
        </w:rPr>
      </w:pPr>
      <w:r>
        <w:rPr>
          <w:rFonts w:hint="eastAsia" w:ascii="宋体" w:hAnsi="宋体" w:cs="宋体"/>
          <w:kern w:val="0"/>
        </w:rPr>
        <w:t>（2）容量：16件；</w:t>
      </w:r>
    </w:p>
    <w:p>
      <w:pPr>
        <w:spacing w:line="480" w:lineRule="auto"/>
        <w:ind w:firstLine="420"/>
        <w:rPr>
          <w:rFonts w:hint="eastAsia" w:ascii="宋体" w:hAnsi="宋体" w:cs="宋体"/>
          <w:kern w:val="0"/>
        </w:rPr>
      </w:pPr>
      <w:r>
        <w:rPr>
          <w:rFonts w:hint="eastAsia" w:ascii="宋体" w:hAnsi="宋体" w:cs="宋体"/>
          <w:kern w:val="0"/>
        </w:rPr>
        <w:t>（3）适用范围：线边配送；</w:t>
      </w:r>
    </w:p>
    <w:p>
      <w:pPr>
        <w:spacing w:line="480" w:lineRule="auto"/>
        <w:ind w:firstLine="420"/>
        <w:rPr>
          <w:rFonts w:hint="eastAsia" w:ascii="宋体" w:hAnsi="宋体" w:cs="宋体"/>
          <w:kern w:val="0"/>
        </w:rPr>
      </w:pPr>
      <w:r>
        <w:rPr>
          <w:rFonts w:hint="eastAsia" w:ascii="宋体" w:hAnsi="宋体" w:cs="宋体"/>
          <w:kern w:val="0"/>
        </w:rPr>
        <w:t>（4）结构：改性聚丙烯，采用全新优质、环保、耐高温、耐用性较好的原料，不允许使用回料和再生塑料，但必须便于清洗、烘干，耐普通金属清洗剂腐蚀，耐100℃高温、-20℃低温，长时间处于上述温度下不变形、不开裂，长期接触齿轮油、防锈油不变形、不鼓包；</w:t>
      </w:r>
    </w:p>
    <w:p>
      <w:pPr>
        <w:spacing w:line="480" w:lineRule="auto"/>
        <w:ind w:firstLine="420"/>
        <w:rPr>
          <w:rFonts w:hint="eastAsia" w:ascii="宋体" w:hAnsi="宋体" w:cs="宋体"/>
          <w:kern w:val="0"/>
        </w:rPr>
      </w:pPr>
      <w:r>
        <w:rPr>
          <w:rFonts w:hint="eastAsia" w:ascii="宋体" w:hAnsi="宋体" w:cs="宋体"/>
          <w:kern w:val="0"/>
        </w:rPr>
        <w:t>（5）颜色：</w:t>
      </w:r>
      <w:r>
        <w:rPr>
          <w:rFonts w:hint="eastAsia" w:ascii="宋体" w:hAnsi="宋体"/>
        </w:rPr>
        <w:t>边框蓝色、内芯黄色</w:t>
      </w:r>
      <w:r>
        <w:rPr>
          <w:rFonts w:hint="eastAsia" w:ascii="宋体" w:hAnsi="宋体" w:cs="宋体"/>
          <w:kern w:val="0"/>
        </w:rPr>
        <w:t>；</w:t>
      </w:r>
    </w:p>
    <w:p>
      <w:pPr>
        <w:spacing w:line="480" w:lineRule="auto"/>
        <w:ind w:firstLine="420"/>
        <w:rPr>
          <w:rFonts w:hint="eastAsia" w:ascii="宋体" w:hAnsi="宋体" w:cs="宋体"/>
          <w:kern w:val="0"/>
        </w:rPr>
      </w:pPr>
      <w:r>
        <w:rPr>
          <w:rFonts w:hint="eastAsia" w:ascii="宋体" w:hAnsi="宋体" w:cs="宋体"/>
          <w:kern w:val="0"/>
        </w:rPr>
        <w:t>（6）载重：物料筐6层堆放，每筐放置20kg的重物,放置48小时后取出,再自然放置2小时后测试变形量，变形量≤5mm。</w:t>
      </w:r>
    </w:p>
    <w:p>
      <w:pPr>
        <w:pStyle w:val="3"/>
        <w:spacing w:before="120" w:after="120" w:line="480" w:lineRule="exact"/>
        <w:rPr>
          <w:rFonts w:ascii="宋体" w:hAnsi="宋体" w:eastAsia="宋体" w:cs="宋体"/>
          <w:b w:val="0"/>
          <w:sz w:val="24"/>
          <w:szCs w:val="24"/>
        </w:rPr>
        <w:sectPr>
          <w:footerReference r:id="rId10" w:type="first"/>
          <w:headerReference r:id="rId8" w:type="default"/>
          <w:footerReference r:id="rId9" w:type="default"/>
          <w:pgSz w:w="11906" w:h="16838"/>
          <w:pgMar w:top="1588" w:right="1418" w:bottom="1134" w:left="1418" w:header="851" w:footer="992" w:gutter="0"/>
          <w:pgNumType w:fmt="numberInDash"/>
          <w:cols w:space="720" w:num="1"/>
          <w:titlePg/>
          <w:docGrid w:linePitch="312" w:charSpace="0"/>
        </w:sectPr>
      </w:pPr>
      <w:bookmarkStart w:id="91" w:name="_Toc465187648"/>
    </w:p>
    <w:bookmarkEnd w:id="91"/>
    <w:p>
      <w:pPr>
        <w:pStyle w:val="2"/>
      </w:pPr>
    </w:p>
    <w:p>
      <w:pPr>
        <w:keepNext/>
        <w:keepLines/>
        <w:jc w:val="center"/>
        <w:outlineLvl w:val="0"/>
        <w:rPr>
          <w:rFonts w:ascii="Calibri" w:hAnsi="Calibri" w:eastAsia="宋体" w:cs="Times New Roman"/>
          <w:b/>
          <w:bCs/>
          <w:kern w:val="44"/>
          <w:sz w:val="36"/>
          <w:szCs w:val="44"/>
        </w:rPr>
      </w:pPr>
      <w:bookmarkStart w:id="92" w:name="_Toc8509"/>
      <w:bookmarkStart w:id="93" w:name="_Toc15851"/>
      <w:bookmarkStart w:id="94"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92"/>
      <w:bookmarkEnd w:id="93"/>
      <w:bookmarkEnd w:id="94"/>
    </w:p>
    <w:p>
      <w:pPr>
        <w:keepNext/>
        <w:keepLines/>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
        <w:rPr>
          <w:rFonts w:ascii="Times New Roman" w:hAnsi="Times New Roman" w:eastAsia="宋体" w:cs="Times New Roman"/>
          <w:b/>
          <w:bCs/>
          <w:color w:val="000000"/>
          <w:sz w:val="24"/>
          <w:szCs w:val="24"/>
        </w:rPr>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2222"/>
        <w:gridCol w:w="2428"/>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22"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28"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2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94" w:hRule="atLeast"/>
        </w:trPr>
        <w:tc>
          <w:tcPr>
            <w:tcW w:w="506" w:type="dxa"/>
            <w:vAlign w:val="center"/>
          </w:tcPr>
          <w:p>
            <w:pPr>
              <w:spacing w:line="360" w:lineRule="exact"/>
              <w:jc w:val="center"/>
              <w:rPr>
                <w:rFonts w:hint="eastAsia" w:ascii="宋体" w:hAnsi="宋体" w:cs="宋体"/>
                <w:szCs w:val="21"/>
              </w:rPr>
            </w:pPr>
            <w:r>
              <w:rPr>
                <w:rFonts w:hint="eastAsia" w:ascii="宋体" w:hAnsi="宋体" w:eastAsia="宋体"/>
                <w:b/>
              </w:rPr>
              <w:t>1</w:t>
            </w:r>
          </w:p>
        </w:tc>
        <w:tc>
          <w:tcPr>
            <w:tcW w:w="2222" w:type="dxa"/>
            <w:vAlign w:val="center"/>
          </w:tcPr>
          <w:p>
            <w:pPr>
              <w:spacing w:line="360" w:lineRule="auto"/>
              <w:jc w:val="center"/>
              <w:rPr>
                <w:rFonts w:hint="eastAsia" w:ascii="宋体" w:hAnsi="宋体" w:eastAsia="宋体" w:cs="宋体"/>
                <w:color w:val="000000"/>
                <w:kern w:val="0"/>
                <w:sz w:val="20"/>
                <w:szCs w:val="20"/>
                <w:lang w:eastAsia="zh-CN" w:bidi="ar"/>
              </w:rPr>
            </w:pPr>
          </w:p>
        </w:tc>
        <w:tc>
          <w:tcPr>
            <w:tcW w:w="2428" w:type="dxa"/>
            <w:vAlign w:val="center"/>
          </w:tcPr>
          <w:p>
            <w:pPr>
              <w:spacing w:line="360" w:lineRule="auto"/>
              <w:jc w:val="center"/>
              <w:rPr>
                <w:rFonts w:hint="default" w:ascii="宋体" w:hAnsi="宋体" w:eastAsia="宋体" w:cs="宋体"/>
                <w:sz w:val="18"/>
                <w:szCs w:val="18"/>
                <w:lang w:val="en-US" w:eastAsia="zh-CN"/>
              </w:rPr>
            </w:pPr>
          </w:p>
        </w:tc>
        <w:tc>
          <w:tcPr>
            <w:tcW w:w="630" w:type="dxa"/>
            <w:vAlign w:val="center"/>
          </w:tcPr>
          <w:p>
            <w:pPr>
              <w:spacing w:line="360" w:lineRule="auto"/>
              <w:jc w:val="center"/>
              <w:rPr>
                <w:rFonts w:hint="eastAsia" w:ascii="宋体" w:hAnsi="宋体" w:eastAsia="宋体" w:cs="宋体"/>
                <w:sz w:val="24"/>
                <w:szCs w:val="24"/>
                <w:lang w:eastAsia="zh-CN"/>
              </w:rPr>
            </w:pPr>
          </w:p>
        </w:tc>
        <w:tc>
          <w:tcPr>
            <w:tcW w:w="645" w:type="dxa"/>
            <w:vAlign w:val="center"/>
          </w:tcPr>
          <w:p>
            <w:pPr>
              <w:spacing w:line="360" w:lineRule="auto"/>
              <w:jc w:val="center"/>
              <w:rPr>
                <w:rFonts w:hint="eastAsia" w:ascii="宋体" w:hAnsi="宋体" w:eastAsia="宋体" w:cs="宋体"/>
                <w:sz w:val="24"/>
                <w:szCs w:val="24"/>
                <w:lang w:eastAsia="zh-CN"/>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2222"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2428"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1"/>
        <w:gridCol w:w="1656"/>
        <w:gridCol w:w="2420"/>
        <w:gridCol w:w="891"/>
        <w:gridCol w:w="793"/>
        <w:gridCol w:w="2028"/>
        <w:gridCol w:w="1630"/>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6"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0"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6"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80"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vAlign w:val="center"/>
          </w:tcPr>
          <w:p>
            <w:pPr>
              <w:spacing w:line="360" w:lineRule="auto"/>
              <w:jc w:val="center"/>
              <w:rPr>
                <w:rFonts w:hint="eastAsia" w:ascii="宋体" w:hAnsi="宋体" w:eastAsia="宋体" w:cs="宋体"/>
                <w:color w:val="000000"/>
                <w:kern w:val="0"/>
                <w:sz w:val="20"/>
                <w:szCs w:val="20"/>
                <w:lang w:eastAsia="zh-CN" w:bidi="ar"/>
              </w:rPr>
            </w:pPr>
          </w:p>
        </w:tc>
        <w:tc>
          <w:tcPr>
            <w:tcW w:w="864" w:type="pct"/>
            <w:vAlign w:val="center"/>
          </w:tcPr>
          <w:p>
            <w:pPr>
              <w:widowControl/>
              <w:jc w:val="center"/>
              <w:textAlignment w:val="center"/>
              <w:rPr>
                <w:rFonts w:hint="default" w:ascii="宋体" w:hAnsi="宋体" w:eastAsia="宋体" w:cs="宋体"/>
                <w:sz w:val="18"/>
                <w:szCs w:val="18"/>
                <w:lang w:val="en-US" w:eastAsia="zh-CN"/>
              </w:rPr>
            </w:pPr>
          </w:p>
        </w:tc>
        <w:tc>
          <w:tcPr>
            <w:tcW w:w="318" w:type="pct"/>
            <w:vAlign w:val="center"/>
          </w:tcPr>
          <w:p>
            <w:pPr>
              <w:spacing w:line="360" w:lineRule="auto"/>
              <w:jc w:val="center"/>
              <w:rPr>
                <w:rFonts w:hint="eastAsia" w:ascii="宋体" w:hAnsi="宋体" w:eastAsia="宋体" w:cs="宋体"/>
                <w:sz w:val="24"/>
                <w:szCs w:val="24"/>
                <w:lang w:eastAsia="zh-CN"/>
              </w:rPr>
            </w:pPr>
          </w:p>
        </w:tc>
        <w:tc>
          <w:tcPr>
            <w:tcW w:w="283" w:type="pct"/>
            <w:vAlign w:val="center"/>
          </w:tcPr>
          <w:p>
            <w:pPr>
              <w:spacing w:line="360" w:lineRule="auto"/>
              <w:jc w:val="center"/>
              <w:rPr>
                <w:rFonts w:hint="eastAsia" w:ascii="宋体" w:hAnsi="宋体" w:eastAsia="宋体" w:cs="宋体"/>
                <w:sz w:val="24"/>
                <w:szCs w:val="24"/>
                <w:lang w:eastAsia="zh-CN"/>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tcPr>
          <w:p>
            <w:pPr>
              <w:pStyle w:val="130"/>
              <w:spacing w:before="60" w:after="60" w:line="240" w:lineRule="auto"/>
              <w:jc w:val="center"/>
              <w:rPr>
                <w:rFonts w:hint="eastAsia" w:ascii="宋体" w:hAnsi="宋体" w:eastAsia="宋体" w:cs="宋体"/>
                <w:szCs w:val="21"/>
                <w:lang w:eastAsia="zh-CN"/>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2</w:t>
            </w:r>
          </w:p>
        </w:tc>
        <w:tc>
          <w:tcPr>
            <w:tcW w:w="591"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
      </w:pPr>
    </w:p>
    <w:p>
      <w:pPr>
        <w:pStyle w:val="2"/>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adjustRightInd w:val="0"/>
        <w:snapToGrid w:val="0"/>
        <w:spacing w:line="360" w:lineRule="auto"/>
        <w:ind w:firstLine="570"/>
        <w:jc w:val="left"/>
        <w:rPr>
          <w:rFonts w:hint="eastAsia" w:ascii="宋体" w:hAnsi="宋体" w:eastAsia="宋体" w:cs="宋体"/>
          <w:bCs/>
          <w:szCs w:val="28"/>
        </w:rPr>
      </w:pPr>
      <w:r>
        <w:rPr>
          <w:rFonts w:hint="eastAsia" w:ascii="宋体" w:hAnsi="宋体" w:eastAsia="宋体" w:cs="宋体"/>
          <w:b/>
          <w:color w:val="EE0000"/>
          <w:szCs w:val="28"/>
        </w:rPr>
        <w:t>综合评标,</w:t>
      </w:r>
      <w:r>
        <w:rPr>
          <w:rFonts w:hint="eastAsia"/>
          <w:b/>
          <w:color w:val="EE0000"/>
        </w:rPr>
        <w:t xml:space="preserve"> </w:t>
      </w:r>
      <w:r>
        <w:rPr>
          <w:rFonts w:hint="eastAsia" w:ascii="宋体" w:hAnsi="宋体" w:eastAsia="宋体" w:cs="宋体"/>
          <w:b/>
          <w:color w:val="EE0000"/>
          <w:szCs w:val="28"/>
        </w:rPr>
        <w:t>综合得分=技术标得分*0.3+商务标得分*0.7</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pPr>
              <w:tabs>
                <w:tab w:val="left" w:pos="13965"/>
              </w:tabs>
              <w:spacing w:line="420" w:lineRule="exact"/>
              <w:jc w:val="center"/>
              <w:rPr>
                <w:rFonts w:hint="eastAsia" w:ascii="宋体" w:hAnsi="宋体" w:eastAsia="宋体" w:cs="宋体"/>
                <w:sz w:val="24"/>
                <w:szCs w:val="24"/>
              </w:rPr>
            </w:pPr>
          </w:p>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pPr>
              <w:spacing w:line="420" w:lineRule="exact"/>
              <w:jc w:val="center"/>
              <w:rPr>
                <w:rFonts w:hint="eastAsia" w:ascii="宋体" w:hAnsi="宋体" w:eastAsia="宋体" w:cs="宋体"/>
                <w:sz w:val="24"/>
                <w:szCs w:val="24"/>
              </w:rPr>
            </w:pP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3</w:t>
            </w:r>
          </w:p>
        </w:tc>
        <w:tc>
          <w:tcPr>
            <w:tcW w:w="1260" w:type="dxa"/>
            <w:vAlign w:val="center"/>
          </w:tcPr>
          <w:p>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是否在招标前至项目实际所在地勘察；（3分）</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4</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12</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5</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pPr>
              <w:spacing w:line="360" w:lineRule="auto"/>
              <w:jc w:val="center"/>
              <w:rPr>
                <w:rFonts w:hint="eastAsia" w:ascii="宋体" w:hAnsi="宋体" w:eastAsia="宋体" w:cs="宋体"/>
                <w:sz w:val="24"/>
                <w:szCs w:val="24"/>
              </w:rPr>
            </w:pP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vAlign w:val="center"/>
          </w:tcPr>
          <w:p>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pPr>
              <w:spacing w:line="360" w:lineRule="auto"/>
              <w:jc w:val="center"/>
              <w:rPr>
                <w:rFonts w:hint="eastAsia" w:ascii="宋体" w:hAnsi="宋体" w:eastAsia="宋体" w:cs="宋体"/>
                <w:sz w:val="24"/>
                <w:szCs w:val="24"/>
              </w:rPr>
            </w:pP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宋体" w:eastAsia="宋体" w:cs="宋体"/>
                <w:b/>
                <w:sz w:val="28"/>
                <w:szCs w:val="28"/>
              </w:rPr>
              <w:t>商务标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宋体" w:eastAsia="宋体" w:cs="宋体"/>
                <w:b/>
                <w:sz w:val="28"/>
                <w:szCs w:val="28"/>
              </w:rPr>
              <w:t>综合得分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pPr>
        <w:tabs>
          <w:tab w:val="left" w:pos="1196"/>
          <w:tab w:val="right" w:pos="15518"/>
        </w:tabs>
        <w:jc w:val="left"/>
        <w:rPr>
          <w:rFonts w:hint="eastAsia" w:asciiTheme="minorEastAsia" w:hAnsiTheme="minorEastAsia" w:eastAsiaTheme="minorEastAsia" w:cstheme="minorEastAsia"/>
          <w:sz w:val="20"/>
          <w:szCs w:val="20"/>
          <w:lang w:eastAsia="zh-CN"/>
        </w:rPr>
      </w:pPr>
      <w:r>
        <w:rPr>
          <w:rFonts w:hint="eastAsia" w:asciiTheme="minorEastAsia" w:hAnsiTheme="minorEastAsia" w:cstheme="minorEastAsia"/>
          <w:sz w:val="20"/>
          <w:szCs w:val="20"/>
          <w:lang w:eastAsia="zh-CN"/>
        </w:rPr>
        <w:tab/>
      </w: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3"/>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44"/>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45"/>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6"/>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7"/>
                    <a:stretch>
                      <a:fillRect/>
                    </a:stretch>
                  </pic:blipFill>
                  <pic:spPr>
                    <a:xfrm>
                      <a:off x="0" y="0"/>
                      <a:ext cx="5760085" cy="2810122"/>
                    </a:xfrm>
                    <a:prstGeom prst="rect">
                      <a:avLst/>
                    </a:prstGeom>
                  </pic:spPr>
                </pic:pic>
              </a:graphicData>
            </a:graphic>
          </wp:inline>
        </w:drawing>
      </w:r>
    </w:p>
    <w:p>
      <w:pPr>
        <w:pStyle w:val="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8"/>
                    <a:stretch>
                      <a:fillRect/>
                    </a:stretch>
                  </pic:blipFill>
                  <pic:spPr>
                    <a:xfrm>
                      <a:off x="0" y="0"/>
                      <a:ext cx="5760085" cy="2820042"/>
                    </a:xfrm>
                    <a:prstGeom prst="rect">
                      <a:avLst/>
                    </a:prstGeom>
                  </pic:spPr>
                </pic:pic>
              </a:graphicData>
            </a:graphic>
          </wp:inline>
        </w:drawing>
      </w:r>
    </w:p>
    <w:p>
      <w:pPr>
        <w:pStyle w:val="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0528"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0528;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9"/>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50"/>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5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5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5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5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55"/>
                    <a:stretch>
                      <a:fillRect/>
                    </a:stretch>
                  </pic:blipFill>
                  <pic:spPr>
                    <a:xfrm>
                      <a:off x="0" y="0"/>
                      <a:ext cx="5760085" cy="1956600"/>
                    </a:xfrm>
                    <a:prstGeom prst="rect">
                      <a:avLst/>
                    </a:prstGeom>
                  </pic:spPr>
                </pic:pic>
              </a:graphicData>
            </a:graphic>
          </wp:inline>
        </w:drawing>
      </w:r>
    </w:p>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2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微软雅黑">
    <w:panose1 w:val="020B0503020204020204"/>
    <w:charset w:val="86"/>
    <w:family w:val="swiss"/>
    <w:pitch w:val="default"/>
    <w:sig w:usb0="80000287" w:usb1="2ACF3C5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Wingdings 2">
    <w:panose1 w:val="05020102010507070707"/>
    <w:charset w:val="02"/>
    <w:family w:val="roman"/>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r>
      <w:rPr>
        <w:rFonts w:hint="eastAsia"/>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237490" cy="154940"/>
              <wp:effectExtent l="0" t="0" r="0" b="0"/>
              <wp:wrapNone/>
              <wp:docPr id="18"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pPr>
                            <w:pStyle w:val="27"/>
                          </w:pPr>
                          <w:r>
                            <w:fldChar w:fldCharType="begin"/>
                          </w:r>
                          <w:r>
                            <w:instrText xml:space="preserve"> PAGE  \* MERGEFORMAT </w:instrText>
                          </w:r>
                          <w:r>
                            <w:fldChar w:fldCharType="separate"/>
                          </w:r>
                          <w:r>
                            <w:t>- 29 -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72576;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OwbdKS8CAABUBAAADgAAAGRycy9lMm9Eb2MueG1srVTLbhMxFN0j&#10;8Q+W93SSNC00yqQKrYKQIlopINaOx5MZyS/ZTmbKB8AfsGLDnu/Kd3DsmUlRYdEFG+fOfZ9z7838&#10;ulWSHITztdE5HZ+NKBGam6LWu5x++rh69YYSH5gumDRa5PRBeHq9ePli3tiZmJjKyEI4giTazxqb&#10;0yoEO8syzyuhmD8zVmgYS+MUC/h0u6xwrEF2JbPJaHSZNcYV1hkuvIf2tjPSPqN7TkJTljUXt4bv&#10;ldChy+qEZAGQfFVbTxep27IUPNyVpReByJwCaUgvikDexjdbzNls55itat63wJ7TwhNMitUaRU+p&#10;bllgZO/qv1KpmjvjTRnOuFFZByQxAhTj0RNuNhWzImEB1d6eSPf/Ly3/cLh3pC6wCZi7ZgoTP37/&#10;dvzx6/jzK7mM/DTWz+C2sXAM7VvTwnfQeygj7LZ0Kv4CEIEd7D6c2BVtIBzKyfnr6RUsHKbxxfRq&#10;mtjPHoOt8+GdMIpEIacOw0ucssPaBzQC18El1tJmVUuZBig1aXJ6eX4xSgEnCyKkRmCE0LUapdBu&#10;2x7X1hQPgOVMtxje8lWN4mvmwz1z2AT0i1sJd3hKaVDE9BIllXFf/qWP/hgQrJQ02KycahwSJfK9&#10;xuCQMAyCG4TtIOi9ujFY1TFu0PIkIsAFOYilM+ozDmgZa8DENEelnIZBvAndduMAuVgukxNWzbKw&#10;1hvLY+pInrfLfQCBiddISsdEzxWWLdHdH0bc5j+/k9fjn8Hi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JovljSAAAAAwEAAA8AAAAAAAAAAQAgAAAAIgAAAGRycy9kb3ducmV2LnhtbFBLAQIUABQA&#10;AAAIAIdO4kA7Bt0pLwIAAFQEAAAOAAAAAAAAAAEAIAAAACEBAABkcnMvZTJvRG9jLnhtbFBLBQYA&#10;AAAABgAGAFkBAADCBQAAAAA=&#10;">
              <v:fill on="f" focussize="0,0"/>
              <v:stroke on="f" weight="0.5pt"/>
              <v:imagedata o:title=""/>
              <o:lock v:ext="edit" aspectratio="f"/>
              <v:textbox inset="0mm,0mm,0mm,0mm" style="mso-fit-shape-to-text:t;">
                <w:txbxContent>
                  <w:p>
                    <w:pPr>
                      <w:pStyle w:val="27"/>
                    </w:pPr>
                    <w:r>
                      <w:fldChar w:fldCharType="begin"/>
                    </w:r>
                    <w:r>
                      <w:instrText xml:space="preserve"> PAGE  \* MERGEFORMAT </w:instrText>
                    </w:r>
                    <w:r>
                      <w:fldChar w:fldCharType="separate"/>
                    </w:r>
                    <w:r>
                      <w:t>- 29 -</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pPr>
    <w:r>
      <w:rPr>
        <w:rFonts w:hint="eastAsia"/>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237490" cy="154940"/>
              <wp:effectExtent l="0" t="0" r="0" b="0"/>
              <wp:wrapNone/>
              <wp:docPr id="14" name="文本框 4"/>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pPr>
                            <w:pStyle w:val="27"/>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2.2pt;width:18.7pt;mso-position-horizontal:center;mso-position-horizontal-relative:margin;mso-wrap-style:none;z-index:251673600;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lZKniy8CAABUBAAADgAAAGRycy9lMm9Eb2MueG1srVTLbhMxFN0j&#10;8Q+W92SSNC00yqQKjYKQKlopINaOx5MZyS/ZTmbCB8AfsGLDnu/Kd3DsyaSosOiCjXPnvs+592Z2&#10;0ypJ9sL52uicjgZDSoTmpqj1NqefPq5evaHEB6YLJo0WOT0IT2/mL1/MGjsVY1MZWQhHkET7aWNz&#10;WoVgp1nmeSUU8wNjhYaxNE6xgE+3zQrHGmRXMhsPh1dZY1xhneHCe2iXnZGeMrrnJDRlWXOxNHyn&#10;hA5dVickC4Dkq9p6Ok/dlqXg4b4svQhE5hRIQ3pRBPImvtl8xqZbx2xV81ML7DktPMGkWK1R9Jxq&#10;yQIjO1f/lUrV3BlvyjDgRmUdkMQIUIyGT7hZV8yKhAVUe3sm3f+/tPzD/sGRusAmTCjRTGHix+/f&#10;jj9+HX9+JZPIT2P9FG5rC8fQvjUtfHu9hzLCbkun4i8AEdjB7uHMrmgD4VCOL15PrmHhMI0uJ9eT&#10;xH72GGydD++EUSQKOXUYXuKU7e98QCNw7V1iLW1WtZRpgFKTJqdXF5fDFHC2IEJqBEYIXatRCu2m&#10;PeHamOIAWM50i+EtX9Uofsd8eGAOm4B+cSvhHk8pDYqYk0RJZdyXf+mjPwYEKyUNNiunGodEiXyv&#10;MTgkDL3gemHTC3qnbg1WdYQbtDyJCHBB9mLpjPqMA1rEGjAxzVEpp6EXb0O33ThALhaL5IRVsyzc&#10;6bXlMXUkz9vFLoDAxGskpWPixBWWLdF9Ooy4zX9+J6/HP4P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JovljSAAAAAwEAAA8AAAAAAAAAAQAgAAAAIgAAAGRycy9kb3ducmV2LnhtbFBLAQIUABQA&#10;AAAIAIdO4kCVkqeLLwIAAFQEAAAOAAAAAAAAAAEAIAAAACEBAABkcnMvZTJvRG9jLnhtbFBLBQYA&#10;AAAABgAGAFkBAADCBQAAAAA=&#10;">
              <v:fill on="f" focussize="0,0"/>
              <v:stroke on="f" weight="0.5pt"/>
              <v:imagedata o:title=""/>
              <o:lock v:ext="edit" aspectratio="f"/>
              <v:textbox inset="0mm,0mm,0mm,0mm" style="mso-fit-shape-to-text:t;">
                <w:txbxContent>
                  <w:p>
                    <w:pPr>
                      <w:pStyle w:val="27"/>
                    </w:pPr>
                    <w:r>
                      <w:fldChar w:fldCharType="begin"/>
                    </w:r>
                    <w:r>
                      <w:instrText xml:space="preserve"> PAGE  \* MERGEFORMAT </w:instrText>
                    </w:r>
                    <w:r>
                      <w:fldChar w:fldCharType="separate"/>
                    </w:r>
                    <w:r>
                      <w:t>45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4B5A6B"/>
    <w:multiLevelType w:val="singleLevel"/>
    <w:tmpl w:val="A54B5A6B"/>
    <w:lvl w:ilvl="0" w:tentative="0">
      <w:start w:val="1"/>
      <w:numFmt w:val="decimal"/>
      <w:suff w:val="nothing"/>
      <w:lvlText w:val="（%1）"/>
      <w:lvlJc w:val="left"/>
    </w:lvl>
  </w:abstractNum>
  <w:abstractNum w:abstractNumId="1">
    <w:nsid w:val="EF2254EE"/>
    <w:multiLevelType w:val="singleLevel"/>
    <w:tmpl w:val="EF2254EE"/>
    <w:lvl w:ilvl="0" w:tentative="0">
      <w:start w:val="1"/>
      <w:numFmt w:val="decimal"/>
      <w:suff w:val="nothing"/>
      <w:lvlText w:val="（%1）"/>
      <w:lvlJc w:val="left"/>
    </w:lvl>
  </w:abstractNum>
  <w:abstractNum w:abstractNumId="2">
    <w:nsid w:val="17E60D9D"/>
    <w:multiLevelType w:val="singleLevel"/>
    <w:tmpl w:val="17E60D9D"/>
    <w:lvl w:ilvl="0" w:tentative="0">
      <w:start w:val="2"/>
      <w:numFmt w:val="decimal"/>
      <w:suff w:val="nothing"/>
      <w:lvlText w:val="%1、"/>
      <w:lvlJc w:val="left"/>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6">
    <w:nsid w:val="674AE779"/>
    <w:multiLevelType w:val="singleLevel"/>
    <w:tmpl w:val="674AE779"/>
    <w:lvl w:ilvl="0" w:tentative="0">
      <w:start w:val="2"/>
      <w:numFmt w:val="chineseCounting"/>
      <w:suff w:val="nothing"/>
      <w:lvlText w:val="%1、"/>
      <w:lvlJc w:val="left"/>
      <w:rPr>
        <w:rFonts w:hint="eastAsia"/>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5"/>
  </w:num>
  <w:num w:numId="2">
    <w:abstractNumId w:val="7"/>
  </w:num>
  <w:num w:numId="3">
    <w:abstractNumId w:val="8"/>
  </w:num>
  <w:num w:numId="4">
    <w:abstractNumId w:val="3"/>
  </w:num>
  <w:num w:numId="5">
    <w:abstractNumId w:val="4"/>
  </w:num>
  <w:num w:numId="6">
    <w:abstractNumId w:val="6"/>
  </w:num>
  <w:num w:numId="7">
    <w:abstractNumId w:val="2"/>
  </w:num>
  <w:num w:numId="8">
    <w:abstractNumId w:val="0"/>
  </w:num>
  <w:num w:numId="9">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onMMx 2000">
    <w15:presenceInfo w15:providerId="None" w15:userId="JonMMx 20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2680"/>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8638AF"/>
    <w:rsid w:val="0C91607A"/>
    <w:rsid w:val="0CAC3BFF"/>
    <w:rsid w:val="0CC05B7D"/>
    <w:rsid w:val="0CD10F40"/>
    <w:rsid w:val="0D0C2B7B"/>
    <w:rsid w:val="0D2A15EE"/>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7E2587"/>
    <w:rsid w:val="0F9500FF"/>
    <w:rsid w:val="0FA75561"/>
    <w:rsid w:val="0FB83603"/>
    <w:rsid w:val="0FCA77F1"/>
    <w:rsid w:val="0FCD5DCC"/>
    <w:rsid w:val="0FEF02B3"/>
    <w:rsid w:val="10270545"/>
    <w:rsid w:val="103819AC"/>
    <w:rsid w:val="104B7348"/>
    <w:rsid w:val="106E6B14"/>
    <w:rsid w:val="10815624"/>
    <w:rsid w:val="108A1D4B"/>
    <w:rsid w:val="10A10111"/>
    <w:rsid w:val="10AA31D3"/>
    <w:rsid w:val="10BE093E"/>
    <w:rsid w:val="10EC27C5"/>
    <w:rsid w:val="110F6D60"/>
    <w:rsid w:val="111B0FE9"/>
    <w:rsid w:val="115F67A8"/>
    <w:rsid w:val="1168209E"/>
    <w:rsid w:val="119A7465"/>
    <w:rsid w:val="11C07DA5"/>
    <w:rsid w:val="121222ED"/>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C9673C"/>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4165F"/>
    <w:rsid w:val="17770BC2"/>
    <w:rsid w:val="17860E2F"/>
    <w:rsid w:val="17A119AA"/>
    <w:rsid w:val="17AF1095"/>
    <w:rsid w:val="17DA0D2E"/>
    <w:rsid w:val="1813218C"/>
    <w:rsid w:val="181E57CF"/>
    <w:rsid w:val="18454A08"/>
    <w:rsid w:val="18586F2B"/>
    <w:rsid w:val="18656713"/>
    <w:rsid w:val="188C65D3"/>
    <w:rsid w:val="18A70482"/>
    <w:rsid w:val="18CA3EB9"/>
    <w:rsid w:val="18E815ED"/>
    <w:rsid w:val="19063790"/>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71B07"/>
    <w:rsid w:val="1B4C6157"/>
    <w:rsid w:val="1B515E62"/>
    <w:rsid w:val="1B587618"/>
    <w:rsid w:val="1B5F19C7"/>
    <w:rsid w:val="1B5F1C25"/>
    <w:rsid w:val="1BEF4851"/>
    <w:rsid w:val="1C1C709B"/>
    <w:rsid w:val="1C4806F1"/>
    <w:rsid w:val="1C690B86"/>
    <w:rsid w:val="1C9B1923"/>
    <w:rsid w:val="1C9F6814"/>
    <w:rsid w:val="1CB369A2"/>
    <w:rsid w:val="1CB731AA"/>
    <w:rsid w:val="1CD65C5D"/>
    <w:rsid w:val="1CDE0462"/>
    <w:rsid w:val="1D1B2A71"/>
    <w:rsid w:val="1D2A56E8"/>
    <w:rsid w:val="1D5C514E"/>
    <w:rsid w:val="1D5F7331"/>
    <w:rsid w:val="1D803B43"/>
    <w:rsid w:val="1D85395E"/>
    <w:rsid w:val="1D865D14"/>
    <w:rsid w:val="1D8705EC"/>
    <w:rsid w:val="1DC823F7"/>
    <w:rsid w:val="1DCD26CC"/>
    <w:rsid w:val="1DED1842"/>
    <w:rsid w:val="1E001284"/>
    <w:rsid w:val="1E20535F"/>
    <w:rsid w:val="1E3C64F5"/>
    <w:rsid w:val="1E43150B"/>
    <w:rsid w:val="1E575188"/>
    <w:rsid w:val="1E8C2E63"/>
    <w:rsid w:val="1E9E304B"/>
    <w:rsid w:val="1EA93E80"/>
    <w:rsid w:val="1ED33FB6"/>
    <w:rsid w:val="1EE81332"/>
    <w:rsid w:val="1EED2D98"/>
    <w:rsid w:val="1F32415A"/>
    <w:rsid w:val="1F3A560A"/>
    <w:rsid w:val="1F466CDC"/>
    <w:rsid w:val="1F5563CF"/>
    <w:rsid w:val="1F5A4199"/>
    <w:rsid w:val="1F7E2174"/>
    <w:rsid w:val="1F8964CB"/>
    <w:rsid w:val="1FBC5EF2"/>
    <w:rsid w:val="1FC32513"/>
    <w:rsid w:val="1FE258CB"/>
    <w:rsid w:val="200D253F"/>
    <w:rsid w:val="20107567"/>
    <w:rsid w:val="202A27D1"/>
    <w:rsid w:val="20631369"/>
    <w:rsid w:val="206E7404"/>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1A7B78"/>
    <w:rsid w:val="28287CEE"/>
    <w:rsid w:val="285C301A"/>
    <w:rsid w:val="286903EF"/>
    <w:rsid w:val="287F5DD3"/>
    <w:rsid w:val="288047CB"/>
    <w:rsid w:val="289E62FA"/>
    <w:rsid w:val="28AB671E"/>
    <w:rsid w:val="28BA30C3"/>
    <w:rsid w:val="28D72A57"/>
    <w:rsid w:val="291E2CA6"/>
    <w:rsid w:val="29331862"/>
    <w:rsid w:val="29514925"/>
    <w:rsid w:val="297377B1"/>
    <w:rsid w:val="298E421D"/>
    <w:rsid w:val="299E147F"/>
    <w:rsid w:val="29C32A87"/>
    <w:rsid w:val="29CF070E"/>
    <w:rsid w:val="29CF26DC"/>
    <w:rsid w:val="2A1C5DA0"/>
    <w:rsid w:val="2A200D39"/>
    <w:rsid w:val="2A507EFF"/>
    <w:rsid w:val="2A9248E5"/>
    <w:rsid w:val="2A931BAD"/>
    <w:rsid w:val="2A9B7773"/>
    <w:rsid w:val="2ACB3B45"/>
    <w:rsid w:val="2ADC05A4"/>
    <w:rsid w:val="2B6F0D7F"/>
    <w:rsid w:val="2B797443"/>
    <w:rsid w:val="2B8716BD"/>
    <w:rsid w:val="2B8B76FF"/>
    <w:rsid w:val="2B906D86"/>
    <w:rsid w:val="2BAF763B"/>
    <w:rsid w:val="2BD5034F"/>
    <w:rsid w:val="2C0B6845"/>
    <w:rsid w:val="2C164021"/>
    <w:rsid w:val="2C4E3791"/>
    <w:rsid w:val="2C8A2821"/>
    <w:rsid w:val="2CC04EFA"/>
    <w:rsid w:val="2CD178C0"/>
    <w:rsid w:val="2CF750C7"/>
    <w:rsid w:val="2D025012"/>
    <w:rsid w:val="2D0F0B0A"/>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55148"/>
    <w:rsid w:val="30A77875"/>
    <w:rsid w:val="30B631E1"/>
    <w:rsid w:val="311933AA"/>
    <w:rsid w:val="31611C9E"/>
    <w:rsid w:val="317550C0"/>
    <w:rsid w:val="317D15BB"/>
    <w:rsid w:val="31934D3E"/>
    <w:rsid w:val="31D07E6C"/>
    <w:rsid w:val="31D574D0"/>
    <w:rsid w:val="31DD1A92"/>
    <w:rsid w:val="31F67A05"/>
    <w:rsid w:val="323F65DA"/>
    <w:rsid w:val="32412074"/>
    <w:rsid w:val="32422082"/>
    <w:rsid w:val="324C1444"/>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A66E9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6D65004"/>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967FD4"/>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433E5A"/>
    <w:rsid w:val="3FBD79D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8785B"/>
    <w:rsid w:val="414D1B28"/>
    <w:rsid w:val="415512BB"/>
    <w:rsid w:val="41806A69"/>
    <w:rsid w:val="4185761F"/>
    <w:rsid w:val="41951050"/>
    <w:rsid w:val="41B0259C"/>
    <w:rsid w:val="41B3295A"/>
    <w:rsid w:val="41BC6F1C"/>
    <w:rsid w:val="41EA2E34"/>
    <w:rsid w:val="41EF2363"/>
    <w:rsid w:val="41F06F3B"/>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CD6CF3"/>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816990"/>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1A3E2E"/>
    <w:rsid w:val="4F31409F"/>
    <w:rsid w:val="4F3271C2"/>
    <w:rsid w:val="4F4437CC"/>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616B0"/>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6F56639"/>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1C07"/>
    <w:rsid w:val="59473F47"/>
    <w:rsid w:val="5960739E"/>
    <w:rsid w:val="59896D0A"/>
    <w:rsid w:val="59B72684"/>
    <w:rsid w:val="59CC6E29"/>
    <w:rsid w:val="59CE7D0B"/>
    <w:rsid w:val="59CF110D"/>
    <w:rsid w:val="59F66B3A"/>
    <w:rsid w:val="5A0532BF"/>
    <w:rsid w:val="5A3B615E"/>
    <w:rsid w:val="5A6E4EEC"/>
    <w:rsid w:val="5A9579AE"/>
    <w:rsid w:val="5AC468CD"/>
    <w:rsid w:val="5ACA6584"/>
    <w:rsid w:val="5ACB1A0A"/>
    <w:rsid w:val="5ACB3B4E"/>
    <w:rsid w:val="5AD31FE5"/>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A56C17"/>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1F642E6"/>
    <w:rsid w:val="622A5268"/>
    <w:rsid w:val="622C5484"/>
    <w:rsid w:val="6233087F"/>
    <w:rsid w:val="623C3E38"/>
    <w:rsid w:val="624049E0"/>
    <w:rsid w:val="625C563D"/>
    <w:rsid w:val="626A1704"/>
    <w:rsid w:val="628C1BC6"/>
    <w:rsid w:val="62AD7E76"/>
    <w:rsid w:val="62B362C8"/>
    <w:rsid w:val="62B97A94"/>
    <w:rsid w:val="62C1330E"/>
    <w:rsid w:val="62E55497"/>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075FA"/>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3D538F"/>
    <w:rsid w:val="68817BAC"/>
    <w:rsid w:val="68852F89"/>
    <w:rsid w:val="68991427"/>
    <w:rsid w:val="689A5E59"/>
    <w:rsid w:val="68BF65E6"/>
    <w:rsid w:val="68CC4C87"/>
    <w:rsid w:val="68EE72DF"/>
    <w:rsid w:val="691E042A"/>
    <w:rsid w:val="692E2EB0"/>
    <w:rsid w:val="69485FEA"/>
    <w:rsid w:val="694C7BCA"/>
    <w:rsid w:val="69677DC0"/>
    <w:rsid w:val="69937EC7"/>
    <w:rsid w:val="69D64558"/>
    <w:rsid w:val="69E23E3D"/>
    <w:rsid w:val="69EF7FDC"/>
    <w:rsid w:val="6A042548"/>
    <w:rsid w:val="6A304492"/>
    <w:rsid w:val="6A471EFD"/>
    <w:rsid w:val="6A5B587F"/>
    <w:rsid w:val="6A90616B"/>
    <w:rsid w:val="6AA64288"/>
    <w:rsid w:val="6AB57116"/>
    <w:rsid w:val="6AE73176"/>
    <w:rsid w:val="6B0A525B"/>
    <w:rsid w:val="6B17424A"/>
    <w:rsid w:val="6B2218FA"/>
    <w:rsid w:val="6B541152"/>
    <w:rsid w:val="6B691672"/>
    <w:rsid w:val="6B755FDA"/>
    <w:rsid w:val="6B7D64E9"/>
    <w:rsid w:val="6BB63B6D"/>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5F3DEC"/>
    <w:rsid w:val="6D663E0B"/>
    <w:rsid w:val="6D930013"/>
    <w:rsid w:val="6DA828B1"/>
    <w:rsid w:val="6E1374F8"/>
    <w:rsid w:val="6E1A1656"/>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3B6E93"/>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0B3BE4"/>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3F670D"/>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BB6598"/>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6"/>
    <w:qFormat/>
    <w:uiPriority w:val="0"/>
    <w:rPr>
      <w:rFonts w:ascii="宋体" w:hAnsi="Courier New"/>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qFormat/>
    <w:uiPriority w:val="0"/>
    <w:pPr>
      <w:ind w:firstLine="420"/>
    </w:pPr>
    <w:rPr>
      <w:rFonts w:ascii="Times New Roman" w:hAnsi="Times New Roman"/>
      <w:kern w:val="0"/>
      <w:sz w:val="20"/>
      <w:szCs w:val="2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toc 3"/>
    <w:basedOn w:val="1"/>
    <w:next w:val="1"/>
    <w:qFormat/>
    <w:uiPriority w:val="39"/>
    <w:pPr>
      <w:ind w:left="480"/>
      <w:jc w:val="left"/>
    </w:pPr>
    <w:rPr>
      <w:rFonts w:ascii="Calibri" w:hAnsi="Calibri" w:eastAsia="宋体" w:cs="Times New Roman"/>
      <w:i/>
      <w:iCs/>
      <w:sz w:val="20"/>
      <w:szCs w:val="20"/>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3"/>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8"/>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character" w:customStyle="1" w:styleId="171">
    <w:name w:val="样式 Arial1"/>
    <w:basedOn w:val="43"/>
    <w:qFormat/>
    <w:uiPriority w:val="0"/>
    <w:rPr>
      <w:rFonts w:ascii="Arial" w:hAnsi="Arial" w:eastAsia="宋体"/>
      <w:sz w:val="21"/>
    </w:rPr>
  </w:style>
  <w:style w:type="paragraph" w:customStyle="1" w:styleId="172">
    <w:name w:val="简单回函地址"/>
    <w:basedOn w:val="1"/>
    <w:qFormat/>
    <w:uiPriority w:val="0"/>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9" Type="http://schemas.microsoft.com/office/2011/relationships/people" Target="people.xml"/><Relationship Id="rId58" Type="http://schemas.openxmlformats.org/officeDocument/2006/relationships/fontTable" Target="fontTable.xml"/><Relationship Id="rId57" Type="http://schemas.openxmlformats.org/officeDocument/2006/relationships/numbering" Target="numbering.xml"/><Relationship Id="rId56" Type="http://schemas.openxmlformats.org/officeDocument/2006/relationships/customXml" Target="../customXml/item1.xml"/><Relationship Id="rId55" Type="http://schemas.openxmlformats.org/officeDocument/2006/relationships/image" Target="media/image20.png"/><Relationship Id="rId54" Type="http://schemas.openxmlformats.org/officeDocument/2006/relationships/image" Target="media/image19.png"/><Relationship Id="rId53" Type="http://schemas.openxmlformats.org/officeDocument/2006/relationships/image" Target="media/image18.png"/><Relationship Id="rId52" Type="http://schemas.openxmlformats.org/officeDocument/2006/relationships/image" Target="media/image17.png"/><Relationship Id="rId51" Type="http://schemas.openxmlformats.org/officeDocument/2006/relationships/image" Target="media/image16.png"/><Relationship Id="rId50" Type="http://schemas.openxmlformats.org/officeDocument/2006/relationships/image" Target="media/image15.png"/><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jpe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80</Pages>
  <Words>10956</Words>
  <Characters>11652</Characters>
  <Lines>371</Lines>
  <Paragraphs>104</Paragraphs>
  <TotalTime>10</TotalTime>
  <ScaleCrop>false</ScaleCrop>
  <LinksUpToDate>false</LinksUpToDate>
  <CharactersWithSpaces>11838</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2025-03-10T09:40:00Z</cp:lastPrinted>
  <dcterms:modified xsi:type="dcterms:W3CDTF">2025-11-06T11:40:04Z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ED02EB12B8294FE5807EAA5D2C3C24E0</vt:lpwstr>
  </property>
  <property fmtid="{D5CDD505-2E9C-101B-9397-08002B2CF9AE}" pid="4" name="KSOTemplateDocerSaveRecord">
    <vt:lpwstr>eyJoZGlkIjoiNmY2NmQzZjVmOWZlYjA2ZjdkZDFiNWRhYmRiYWI5MWEiLCJ1c2VySWQiOiIzMDU3ODk3NzcifQ==</vt:lpwstr>
  </property>
</Properties>
</file>