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Calibri" w:eastAsia="宋体" w:cs="Times New Roman"/>
          <w:color w:val="000000"/>
          <w:sz w:val="30"/>
          <w:szCs w:val="30"/>
        </w:rPr>
      </w:pPr>
      <w:bookmarkStart w:id="0" w:name="OLE_LINK30"/>
      <w:bookmarkStart w:id="1" w:name="OLE_LINK31"/>
    </w:p>
    <w:p>
      <w:pPr>
        <w:spacing w:line="276" w:lineRule="auto"/>
        <w:jc w:val="center"/>
        <w:rPr>
          <w:rFonts w:hint="eastAsia" w:ascii="Calibri" w:hAnsi="Calibri" w:eastAsia="宋体" w:cs="Times New Roman"/>
          <w:b/>
          <w:bCs/>
          <w:color w:val="000000"/>
          <w:spacing w:val="-8"/>
          <w:sz w:val="52"/>
          <w:szCs w:val="52"/>
        </w:rPr>
      </w:pPr>
      <w:r>
        <w:rPr>
          <w:rFonts w:hint="eastAsia" w:ascii="Calibri" w:hAnsi="Calibri" w:eastAsia="宋体" w:cs="Times New Roman"/>
          <w:b/>
          <w:bCs/>
          <w:color w:val="000000"/>
          <w:spacing w:val="-8"/>
          <w:sz w:val="52"/>
          <w:szCs w:val="52"/>
        </w:rPr>
        <w:t>中国重汽集团济南动力有限公司</w:t>
      </w:r>
    </w:p>
    <w:p>
      <w:pPr>
        <w:spacing w:line="276" w:lineRule="auto"/>
        <w:jc w:val="center"/>
        <w:rPr>
          <w:rFonts w:hint="eastAsia" w:ascii="Calibri" w:hAnsi="宋体" w:eastAsia="宋体" w:cs="Times New Roman"/>
          <w:b/>
          <w:bCs/>
          <w:color w:val="000000"/>
          <w:spacing w:val="-8"/>
          <w:sz w:val="48"/>
          <w:szCs w:val="44"/>
        </w:rPr>
      </w:pPr>
      <w:r>
        <w:rPr>
          <w:rFonts w:hint="eastAsia" w:ascii="Calibri" w:hAnsi="Calibri" w:eastAsia="宋体" w:cs="Times New Roman"/>
          <w:b/>
          <w:bCs/>
          <w:color w:val="000000"/>
          <w:spacing w:val="-8"/>
          <w:sz w:val="52"/>
          <w:szCs w:val="52"/>
        </w:rPr>
        <w:t>曲轴、连杆检测能力提升项目</w:t>
      </w:r>
    </w:p>
    <w:p>
      <w:pPr>
        <w:jc w:val="right"/>
        <w:rPr>
          <w:rFonts w:ascii="Calibri" w:hAnsi="Calibri" w:eastAsia="宋体" w:cs="Times New Roman"/>
          <w:color w:val="000000"/>
          <w:sz w:val="28"/>
          <w:szCs w:val="28"/>
        </w:rPr>
      </w:pPr>
      <w:r>
        <w:rPr>
          <w:rFonts w:hint="eastAsia" w:ascii="Calibri" w:hAnsi="Calibri" w:eastAsia="宋体" w:cs="Times New Roman"/>
          <w:color w:val="000000"/>
          <w:sz w:val="28"/>
          <w:szCs w:val="28"/>
        </w:rPr>
        <w:t xml:space="preserve">                                     </w:t>
      </w:r>
    </w:p>
    <w:p>
      <w:pPr>
        <w:pStyle w:val="18"/>
      </w:pPr>
    </w:p>
    <w:p>
      <w:pPr>
        <w:pStyle w:val="18"/>
      </w:pPr>
    </w:p>
    <w:p>
      <w:pPr>
        <w:pStyle w:val="18"/>
      </w:pPr>
    </w:p>
    <w:p>
      <w:pPr>
        <w:pStyle w:val="18"/>
      </w:pPr>
    </w:p>
    <w:p>
      <w:pPr>
        <w:jc w:val="right"/>
        <w:rPr>
          <w:rFonts w:ascii="Calibri" w:hAnsi="Calibri" w:eastAsia="宋体" w:cs="Times New Roman"/>
          <w:color w:val="000000"/>
          <w:sz w:val="28"/>
          <w:szCs w:val="28"/>
        </w:rPr>
      </w:pPr>
    </w:p>
    <w:p>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招</w:t>
      </w:r>
    </w:p>
    <w:p>
      <w:pPr>
        <w:jc w:val="center"/>
        <w:rPr>
          <w:rFonts w:hint="eastAsia" w:ascii="黑体" w:hAnsi="宋体" w:eastAsia="黑体" w:cs="Times New Roman"/>
          <w:color w:val="000000"/>
          <w:sz w:val="72"/>
          <w:szCs w:val="72"/>
        </w:rPr>
      </w:pPr>
    </w:p>
    <w:p>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hint="eastAsia" w:ascii="黑体" w:hAnsi="宋体" w:eastAsia="黑体" w:cs="Times New Roman"/>
          <w:color w:val="000000"/>
          <w:sz w:val="72"/>
          <w:szCs w:val="72"/>
        </w:rPr>
      </w:pPr>
    </w:p>
    <w:p>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pPr>
        <w:spacing w:line="860" w:lineRule="exact"/>
        <w:rPr>
          <w:rFonts w:hint="eastAsia"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  张凯凯           </w:t>
      </w:r>
    </w:p>
    <w:p>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审核：  苏  磊            </w:t>
      </w:r>
    </w:p>
    <w:p>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批准：  李成伍</w:t>
      </w:r>
    </w:p>
    <w:p>
      <w:pPr>
        <w:pStyle w:val="18"/>
        <w:rPr>
          <w:b/>
          <w:bCs/>
        </w:rPr>
      </w:pPr>
    </w:p>
    <w:p>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人：中国重汽集团济南动力有限公司发动机厂</w:t>
      </w:r>
    </w:p>
    <w:p>
      <w:pPr>
        <w:jc w:val="center"/>
        <w:rPr>
          <w:rFonts w:ascii="宋体" w:hAnsi="Calibri" w:eastAsia="宋体" w:cs="Times New Roman"/>
          <w:color w:val="000000"/>
          <w:sz w:val="28"/>
          <w:szCs w:val="28"/>
        </w:rPr>
      </w:pPr>
      <w:r>
        <w:rPr>
          <w:rFonts w:hint="eastAsia" w:ascii="Calibri" w:hAnsi="Calibri" w:eastAsia="宋体" w:cs="Times New Roman"/>
          <w:color w:val="000000"/>
          <w:sz w:val="28"/>
          <w:szCs w:val="28"/>
        </w:rPr>
        <w:t>2025年1</w:t>
      </w:r>
      <w:r>
        <w:rPr>
          <w:rFonts w:hint="eastAsia" w:ascii="Calibri" w:hAnsi="Calibri" w:eastAsia="宋体" w:cs="Times New Roman"/>
          <w:color w:val="000000"/>
          <w:sz w:val="28"/>
          <w:szCs w:val="28"/>
          <w:lang w:val="en-US" w:eastAsia="zh-CN"/>
        </w:rPr>
        <w:t>1</w:t>
      </w:r>
      <w:r>
        <w:rPr>
          <w:rFonts w:hint="eastAsia" w:ascii="Calibri" w:hAnsi="Calibri" w:eastAsia="宋体" w:cs="Times New Roman"/>
          <w:color w:val="000000"/>
          <w:sz w:val="28"/>
          <w:szCs w:val="28"/>
        </w:rPr>
        <w:t>月</w:t>
      </w:r>
    </w:p>
    <w:p>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pPr>
            <w:spacing w:line="480" w:lineRule="auto"/>
            <w:jc w:val="center"/>
            <w:rPr>
              <w:rFonts w:hint="eastAsia" w:cs="宋体"/>
              <w:b/>
              <w:bCs/>
              <w:sz w:val="48"/>
              <w:szCs w:val="48"/>
            </w:rPr>
          </w:pPr>
          <w:r>
            <w:rPr>
              <w:rFonts w:ascii="宋体" w:hAnsi="宋体" w:eastAsia="宋体" w:cs="宋体"/>
              <w:b/>
              <w:bCs/>
              <w:sz w:val="48"/>
              <w:szCs w:val="48"/>
            </w:rPr>
            <w:t>目录</w:t>
          </w:r>
        </w:p>
        <w:p>
          <w:pPr>
            <w:pStyle w:val="25"/>
            <w:tabs>
              <w:tab w:val="right" w:leader="dot" w:pos="9071"/>
            </w:tabs>
            <w:spacing w:line="480" w:lineRule="auto"/>
            <w:rPr>
              <w:rFonts w:hint="eastAsia"/>
              <w:color w:val="auto"/>
              <w:sz w:val="32"/>
              <w:szCs w:val="32"/>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第一部分 投标人须知前附表</w:t>
          </w:r>
          <w:r>
            <w:rPr>
              <w:color w:val="auto"/>
              <w:sz w:val="32"/>
              <w:szCs w:val="32"/>
            </w:rPr>
            <w:tab/>
          </w:r>
          <w:r>
            <w:rPr>
              <w:color w:val="auto"/>
              <w:sz w:val="32"/>
              <w:szCs w:val="32"/>
            </w:rPr>
            <w:fldChar w:fldCharType="end"/>
          </w:r>
          <w:r>
            <w:rPr>
              <w:rFonts w:hint="eastAsia"/>
              <w:color w:val="auto"/>
              <w:sz w:val="32"/>
              <w:szCs w:val="32"/>
            </w:rPr>
            <w:t>3</w:t>
          </w:r>
        </w:p>
        <w:p>
          <w:pPr>
            <w:pStyle w:val="25"/>
            <w:tabs>
              <w:tab w:val="right" w:leader="dot" w:pos="9071"/>
            </w:tabs>
            <w:spacing w:line="480" w:lineRule="auto"/>
            <w:rPr>
              <w:rFonts w:hint="eastAsia"/>
              <w:color w:val="auto"/>
              <w:sz w:val="32"/>
              <w:szCs w:val="32"/>
            </w:rPr>
          </w:pPr>
          <w:r>
            <w:fldChar w:fldCharType="begin"/>
          </w:r>
          <w:r>
            <w:instrText xml:space="preserve"> HYPERLINK \l "_Toc15609" </w:instrText>
          </w:r>
          <w:r>
            <w:fldChar w:fldCharType="separate"/>
          </w:r>
          <w:r>
            <w:rPr>
              <w:rFonts w:hint="eastAsia" w:ascii="Calibri" w:hAnsi="Calibri"/>
              <w:bCs/>
              <w:color w:val="auto"/>
              <w:kern w:val="44"/>
              <w:sz w:val="32"/>
              <w:szCs w:val="32"/>
            </w:rPr>
            <w:t>第二部分 投标人须知</w:t>
          </w:r>
          <w:r>
            <w:rPr>
              <w:color w:val="auto"/>
              <w:sz w:val="32"/>
              <w:szCs w:val="32"/>
            </w:rPr>
            <w:tab/>
          </w:r>
          <w:r>
            <w:rPr>
              <w:color w:val="auto"/>
              <w:sz w:val="32"/>
              <w:szCs w:val="32"/>
            </w:rPr>
            <w:fldChar w:fldCharType="end"/>
          </w:r>
          <w:r>
            <w:rPr>
              <w:rFonts w:hint="eastAsia"/>
              <w:color w:val="auto"/>
              <w:sz w:val="32"/>
              <w:szCs w:val="32"/>
            </w:rPr>
            <w:t>7</w:t>
          </w:r>
        </w:p>
        <w:p>
          <w:pPr>
            <w:pStyle w:val="25"/>
            <w:tabs>
              <w:tab w:val="right" w:leader="dot" w:pos="9071"/>
            </w:tabs>
            <w:spacing w:line="480" w:lineRule="auto"/>
            <w:rPr>
              <w:rFonts w:hint="eastAsia"/>
              <w:color w:val="auto"/>
              <w:sz w:val="32"/>
              <w:szCs w:val="32"/>
            </w:rPr>
          </w:pPr>
          <w:r>
            <w:fldChar w:fldCharType="begin"/>
          </w:r>
          <w:r>
            <w:instrText xml:space="preserve"> HYPERLINK \l "_Toc22879" </w:instrText>
          </w:r>
          <w:r>
            <w:fldChar w:fldCharType="separate"/>
          </w:r>
          <w:r>
            <w:rPr>
              <w:rFonts w:hint="eastAsia" w:ascii="Calibri" w:hAnsi="Calibri"/>
              <w:bCs/>
              <w:color w:val="auto"/>
              <w:kern w:val="44"/>
              <w:sz w:val="32"/>
              <w:szCs w:val="32"/>
            </w:rPr>
            <w:t>第三部分 投标文件编制</w:t>
          </w:r>
          <w:r>
            <w:rPr>
              <w:color w:val="auto"/>
              <w:sz w:val="32"/>
              <w:szCs w:val="32"/>
            </w:rPr>
            <w:tab/>
          </w:r>
          <w:r>
            <w:rPr>
              <w:color w:val="auto"/>
              <w:sz w:val="32"/>
              <w:szCs w:val="32"/>
            </w:rPr>
            <w:fldChar w:fldCharType="end"/>
          </w:r>
          <w:r>
            <w:rPr>
              <w:rFonts w:hint="eastAsia"/>
              <w:color w:val="auto"/>
              <w:sz w:val="32"/>
              <w:szCs w:val="32"/>
            </w:rPr>
            <w:t>13</w:t>
          </w:r>
        </w:p>
        <w:p>
          <w:pPr>
            <w:pStyle w:val="25"/>
            <w:tabs>
              <w:tab w:val="right" w:leader="dot" w:pos="9071"/>
            </w:tabs>
            <w:spacing w:line="480" w:lineRule="auto"/>
            <w:rPr>
              <w:rFonts w:hint="eastAsia"/>
              <w:color w:val="auto"/>
              <w:sz w:val="32"/>
              <w:szCs w:val="32"/>
            </w:rPr>
          </w:pPr>
          <w:r>
            <w:fldChar w:fldCharType="begin"/>
          </w:r>
          <w:r>
            <w:instrText xml:space="preserve"> HYPERLINK \l "_Toc9849" </w:instrText>
          </w:r>
          <w:r>
            <w:fldChar w:fldCharType="separate"/>
          </w:r>
          <w:r>
            <w:rPr>
              <w:rFonts w:hint="eastAsia" w:ascii="Calibri" w:hAnsi="Calibri"/>
              <w:bCs/>
              <w:color w:val="auto"/>
              <w:kern w:val="44"/>
              <w:sz w:val="32"/>
              <w:szCs w:val="32"/>
            </w:rPr>
            <w:t>第四部分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rPr>
            <w:t>16</w:t>
          </w:r>
        </w:p>
        <w:p>
          <w:pPr>
            <w:pStyle w:val="25"/>
            <w:tabs>
              <w:tab w:val="right" w:leader="dot" w:pos="9071"/>
            </w:tabs>
            <w:spacing w:line="480" w:lineRule="auto"/>
            <w:rPr>
              <w:rFonts w:hint="eastAsia"/>
              <w:color w:val="auto"/>
              <w:sz w:val="32"/>
              <w:szCs w:val="32"/>
            </w:rPr>
          </w:pPr>
          <w:r>
            <w:fldChar w:fldCharType="begin"/>
          </w:r>
          <w:r>
            <w:instrText xml:space="preserve"> HYPERLINK \l "_Toc28859" </w:instrText>
          </w:r>
          <w:r>
            <w:fldChar w:fldCharType="separate"/>
          </w:r>
          <w:r>
            <w:rPr>
              <w:rFonts w:hint="eastAsia"/>
              <w:color w:val="auto"/>
              <w:sz w:val="32"/>
              <w:szCs w:val="32"/>
            </w:rPr>
            <w:t>第五部分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rPr>
            <w:t>37</w:t>
          </w:r>
        </w:p>
        <w:p>
          <w:pPr>
            <w:pStyle w:val="25"/>
            <w:tabs>
              <w:tab w:val="right" w:leader="dot" w:pos="9071"/>
            </w:tabs>
            <w:spacing w:line="480" w:lineRule="auto"/>
            <w:rPr>
              <w:rFonts w:hint="eastAsia"/>
            </w:rPr>
          </w:pPr>
          <w:r>
            <w:fldChar w:fldCharType="begin"/>
          </w:r>
          <w:r>
            <w:instrText xml:space="preserve"> HYPERLINK \l "_Toc29691" </w:instrText>
          </w:r>
          <w:r>
            <w:fldChar w:fldCharType="separate"/>
          </w:r>
          <w:r>
            <w:rPr>
              <w:rFonts w:hint="eastAsia" w:ascii="Calibri" w:hAnsi="Calibri"/>
              <w:bCs/>
              <w:color w:val="auto"/>
              <w:kern w:val="44"/>
              <w:sz w:val="32"/>
              <w:szCs w:val="32"/>
            </w:rPr>
            <w:t>第六部分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rPr>
            <w:t>55</w:t>
          </w:r>
        </w:p>
        <w:p>
          <w:pPr>
            <w:pStyle w:val="18"/>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pPr>
        <w:pStyle w:val="18"/>
        <w:numPr>
          <w:ilvl w:val="0"/>
          <w:numId w:val="1"/>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pPr>
        <w:pStyle w:val="18"/>
        <w:jc w:val="center"/>
        <w:rPr>
          <w:rFonts w:ascii="Calibri" w:hAnsi="Calibri" w:eastAsia="宋体" w:cs="Times New Roman"/>
          <w:b/>
          <w:bCs/>
          <w:kern w:val="44"/>
          <w:sz w:val="36"/>
          <w:szCs w:val="44"/>
        </w:rPr>
      </w:pPr>
    </w:p>
    <w:p>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本部分是对“投标须知”正文的具体补充和修改，如有不一致，以“前附表”为准。</w:t>
      </w:r>
    </w:p>
    <w:tbl>
      <w:tblPr>
        <w:tblStyle w:val="37"/>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29"/>
                <w:rFonts w:hint="eastAsia" w:ascii="宋体" w:hAnsi="宋体" w:eastAsia="宋体" w:cs="宋体"/>
                <w:b/>
                <w:sz w:val="28"/>
                <w:szCs w:val="28"/>
              </w:rPr>
            </w:pPr>
            <w:bookmarkStart w:id="3" w:name="_Toc346372875"/>
            <w:r>
              <w:rPr>
                <w:rStyle w:val="129"/>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562" w:firstLineChars="200"/>
              <w:jc w:val="center"/>
              <w:rPr>
                <w:rFonts w:hint="eastAsia" w:ascii="宋体" w:hAnsi="宋体" w:eastAsia="宋体" w:cs="宋体"/>
                <w:b/>
                <w:bCs/>
                <w:sz w:val="28"/>
                <w:szCs w:val="28"/>
              </w:rPr>
            </w:pPr>
            <w:r>
              <w:rPr>
                <w:rStyle w:val="129"/>
                <w:rFonts w:hint="eastAsia" w:ascii="宋体" w:hAnsi="宋体" w:eastAsia="宋体" w:cs="宋体"/>
                <w:b/>
                <w:sz w:val="28"/>
                <w:szCs w:val="28"/>
              </w:rPr>
              <w:t>编  列  内  容</w:t>
            </w:r>
          </w:p>
        </w:tc>
      </w:tr>
      <w:tr>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1.项目说明</w:t>
            </w:r>
          </w:p>
        </w:tc>
      </w:tr>
      <w:tr>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项目名称：</w:t>
            </w:r>
            <w:r>
              <w:rPr>
                <w:rFonts w:hint="eastAsia" w:ascii="宋体" w:hAnsi="宋体" w:eastAsia="宋体" w:cs="宋体"/>
                <w:sz w:val="24"/>
                <w:szCs w:val="24"/>
                <w:u w:val="single"/>
              </w:rPr>
              <w:t>曲轴、连杆检测能力提升项目</w:t>
            </w:r>
          </w:p>
        </w:tc>
      </w:tr>
      <w:tr>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b/>
                <w:bCs/>
                <w:sz w:val="24"/>
                <w:szCs w:val="24"/>
              </w:rPr>
            </w:pPr>
            <w:r>
              <w:rPr>
                <w:rFonts w:hint="eastAsia" w:ascii="宋体" w:hAnsi="宋体" w:eastAsia="宋体" w:cs="宋体"/>
                <w:b/>
                <w:bCs/>
                <w:sz w:val="24"/>
                <w:szCs w:val="24"/>
                <w:highlight w:val="yellow"/>
              </w:rPr>
              <w:t>采购形式编号：FSCZB2025110090</w:t>
            </w:r>
          </w:p>
        </w:tc>
      </w:tr>
      <w:tr>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招标内容：</w:t>
            </w:r>
            <w:r>
              <w:rPr>
                <w:rFonts w:hint="eastAsia" w:ascii="宋体" w:hAnsi="宋体" w:eastAsia="宋体" w:cs="宋体"/>
                <w:sz w:val="24"/>
                <w:szCs w:val="24"/>
                <w:u w:val="single"/>
              </w:rPr>
              <w:t>圆角粗糙度检测仪</w:t>
            </w:r>
          </w:p>
        </w:tc>
      </w:tr>
      <w:tr>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招标形式：</w:t>
            </w:r>
            <w:r>
              <w:rPr>
                <w:rFonts w:hint="eastAsia" w:ascii="宋体" w:hAnsi="宋体" w:eastAsia="宋体" w:cs="宋体"/>
                <w:sz w:val="24"/>
                <w:szCs w:val="24"/>
              </w:rPr>
              <w:t>公开招标</w:t>
            </w:r>
          </w:p>
        </w:tc>
      </w:tr>
      <w:tr>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bCs/>
                <w:snapToGrid w:val="0"/>
                <w:kern w:val="0"/>
                <w:sz w:val="24"/>
                <w:szCs w:val="24"/>
              </w:rPr>
            </w:pPr>
            <w:r>
              <w:rPr>
                <w:rFonts w:hint="eastAsia" w:ascii="宋体" w:hAnsi="宋体" w:eastAsia="宋体" w:cs="宋体"/>
                <w:b/>
                <w:snapToGrid w:val="0"/>
                <w:kern w:val="0"/>
                <w:sz w:val="24"/>
                <w:szCs w:val="24"/>
              </w:rPr>
              <w:t>招标人名称：</w:t>
            </w:r>
            <w:r>
              <w:rPr>
                <w:rFonts w:hint="eastAsia" w:ascii="宋体" w:hAnsi="宋体" w:eastAsia="宋体" w:cs="宋体"/>
                <w:b w:val="0"/>
                <w:bCs/>
                <w:snapToGrid w:val="0"/>
                <w:kern w:val="0"/>
                <w:sz w:val="24"/>
                <w:szCs w:val="24"/>
              </w:rPr>
              <w:t xml:space="preserve">中国重汽集团济南动力有限公司发动机厂 </w:t>
            </w:r>
          </w:p>
          <w:p>
            <w:pPr>
              <w:ind w:firstLine="482" w:firstLineChars="200"/>
              <w:rPr>
                <w:rFonts w:hint="eastAsia" w:ascii="宋体" w:hAnsi="宋体" w:eastAsia="宋体" w:cs="宋体"/>
                <w:sz w:val="24"/>
                <w:szCs w:val="24"/>
              </w:rPr>
            </w:pPr>
            <w:r>
              <w:rPr>
                <w:rFonts w:hint="eastAsia" w:ascii="宋体" w:hAnsi="宋体" w:eastAsia="宋体" w:cs="宋体"/>
                <w:b/>
                <w:snapToGrid w:val="0"/>
                <w:kern w:val="0"/>
                <w:sz w:val="24"/>
                <w:szCs w:val="24"/>
              </w:rPr>
              <w:t>招标人地址：</w:t>
            </w:r>
            <w:r>
              <w:rPr>
                <w:rFonts w:hint="eastAsia" w:ascii="宋体" w:hAnsi="宋体" w:eastAsia="宋体" w:cs="宋体"/>
                <w:sz w:val="24"/>
                <w:szCs w:val="24"/>
                <w:u w:val="single"/>
              </w:rPr>
              <w:t xml:space="preserve">济南市章丘区世纪大道7777号 </w:t>
            </w:r>
          </w:p>
          <w:p>
            <w:pPr>
              <w:ind w:firstLine="482"/>
              <w:rPr>
                <w:rFonts w:hint="eastAsia" w:ascii="宋体" w:hAnsi="宋体" w:eastAsia="宋体" w:cs="宋体"/>
                <w:bCs/>
                <w:kern w:val="0"/>
                <w:sz w:val="24"/>
                <w:szCs w:val="24"/>
              </w:rPr>
            </w:pPr>
            <w:r>
              <w:rPr>
                <w:rFonts w:ascii="宋体" w:hAnsi="宋体" w:eastAsia="宋体" w:cs="宋体"/>
                <w:b/>
                <w:kern w:val="0"/>
                <w:sz w:val="24"/>
                <w:szCs w:val="24"/>
              </w:rPr>
              <w:t>商务联系人：</w:t>
            </w:r>
            <w:r>
              <w:rPr>
                <w:rFonts w:hint="eastAsia" w:ascii="宋体" w:hAnsi="宋体" w:eastAsia="宋体" w:cs="宋体"/>
                <w:sz w:val="24"/>
                <w:szCs w:val="24"/>
              </w:rPr>
              <w:t>崔毅刚</w:t>
            </w:r>
          </w:p>
          <w:p>
            <w:pPr>
              <w:pStyle w:val="18"/>
              <w:ind w:firstLine="482"/>
              <w:rPr>
                <w:rFonts w:eastAsia="宋体"/>
              </w:rPr>
            </w:pPr>
            <w:r>
              <w:rPr>
                <w:rFonts w:eastAsia="宋体" w:cs="宋体"/>
                <w:b/>
                <w:kern w:val="0"/>
                <w:sz w:val="24"/>
                <w:szCs w:val="24"/>
              </w:rPr>
              <w:t>电话：</w:t>
            </w:r>
            <w:r>
              <w:rPr>
                <w:rFonts w:hint="eastAsia" w:eastAsia="宋体" w:cs="宋体"/>
                <w:bCs/>
                <w:kern w:val="0"/>
                <w:sz w:val="24"/>
                <w:szCs w:val="24"/>
              </w:rPr>
              <w:t>15863137802</w:t>
            </w:r>
          </w:p>
          <w:p>
            <w:pPr>
              <w:ind w:firstLine="482"/>
              <w:rPr>
                <w:rFonts w:hint="eastAsia" w:ascii="宋体" w:hAnsi="宋体" w:eastAsia="宋体" w:cs="宋体"/>
                <w:bCs/>
                <w:kern w:val="0"/>
                <w:sz w:val="24"/>
                <w:szCs w:val="24"/>
              </w:rPr>
            </w:pPr>
            <w:r>
              <w:rPr>
                <w:rFonts w:ascii="宋体" w:hAnsi="宋体" w:eastAsia="宋体" w:cs="宋体"/>
                <w:b/>
                <w:kern w:val="0"/>
                <w:sz w:val="24"/>
                <w:szCs w:val="24"/>
              </w:rPr>
              <w:t>邮箱：</w:t>
            </w:r>
            <w:r>
              <w:fldChar w:fldCharType="begin"/>
            </w:r>
            <w:r>
              <w:instrText xml:space="preserve"> HYPERLINK "mailto:liujian1@sinotruk.com" \h </w:instrText>
            </w:r>
            <w:r>
              <w:fldChar w:fldCharType="separate"/>
            </w:r>
            <w:r>
              <w:rPr>
                <w:rFonts w:hint="eastAsia" w:ascii="宋体" w:hAnsi="宋体" w:eastAsia="宋体" w:cs="宋体"/>
                <w:bCs/>
                <w:kern w:val="0"/>
                <w:sz w:val="24"/>
                <w:szCs w:val="24"/>
              </w:rPr>
              <w:t>cuiyigang@sinotruk.com</w:t>
            </w:r>
            <w:r>
              <w:rPr>
                <w:rFonts w:ascii="宋体" w:hAnsi="宋体" w:eastAsia="宋体" w:cs="宋体"/>
                <w:bCs/>
                <w:kern w:val="0"/>
                <w:sz w:val="24"/>
                <w:szCs w:val="24"/>
              </w:rPr>
              <w:fldChar w:fldCharType="end"/>
            </w:r>
          </w:p>
          <w:p>
            <w:pPr>
              <w:ind w:firstLine="482"/>
              <w:rPr>
                <w:rFonts w:hint="eastAsia" w:ascii="宋体" w:hAnsi="宋体" w:eastAsia="宋体" w:cs="宋体"/>
                <w:bCs/>
                <w:kern w:val="0"/>
                <w:sz w:val="24"/>
                <w:szCs w:val="24"/>
              </w:rPr>
            </w:pPr>
            <w:r>
              <w:rPr>
                <w:rFonts w:ascii="宋体" w:hAnsi="宋体" w:eastAsia="宋体" w:cs="宋体"/>
                <w:b/>
                <w:kern w:val="0"/>
                <w:sz w:val="24"/>
                <w:szCs w:val="24"/>
              </w:rPr>
              <w:t>技术联系人：</w:t>
            </w:r>
            <w:r>
              <w:rPr>
                <w:rFonts w:hint="eastAsia" w:ascii="宋体" w:hAnsi="宋体" w:eastAsia="宋体" w:cs="宋体"/>
                <w:sz w:val="24"/>
                <w:szCs w:val="24"/>
              </w:rPr>
              <w:t>张凯凯</w:t>
            </w:r>
          </w:p>
          <w:p>
            <w:pPr>
              <w:pStyle w:val="18"/>
              <w:ind w:firstLine="482"/>
              <w:rPr>
                <w:rFonts w:eastAsia="宋体"/>
              </w:rPr>
            </w:pPr>
            <w:r>
              <w:rPr>
                <w:rFonts w:eastAsia="宋体" w:cs="宋体"/>
                <w:b/>
                <w:kern w:val="0"/>
                <w:sz w:val="24"/>
                <w:szCs w:val="24"/>
              </w:rPr>
              <w:t>电话：</w:t>
            </w:r>
            <w:r>
              <w:rPr>
                <w:rFonts w:hint="eastAsia" w:eastAsia="宋体" w:cs="宋体"/>
                <w:bCs/>
                <w:kern w:val="0"/>
                <w:sz w:val="24"/>
                <w:szCs w:val="24"/>
              </w:rPr>
              <w:t>15966636621</w:t>
            </w:r>
          </w:p>
          <w:p>
            <w:pPr>
              <w:ind w:firstLine="482" w:firstLineChars="200"/>
              <w:rPr>
                <w:rFonts w:hint="eastAsia" w:ascii="宋体" w:hAnsi="宋体" w:eastAsia="宋体" w:cs="宋体"/>
                <w:bCs/>
                <w:kern w:val="0"/>
                <w:sz w:val="24"/>
                <w:szCs w:val="24"/>
              </w:rPr>
            </w:pPr>
            <w:r>
              <w:rPr>
                <w:rFonts w:ascii="宋体" w:hAnsi="宋体" w:eastAsia="宋体" w:cs="宋体"/>
                <w:b/>
                <w:kern w:val="0"/>
                <w:sz w:val="24"/>
                <w:szCs w:val="24"/>
              </w:rPr>
              <w:t>邮箱：</w:t>
            </w:r>
            <w:r>
              <w:rPr>
                <w:rFonts w:hint="eastAsia" w:ascii="宋体" w:hAnsi="宋体" w:eastAsia="宋体" w:cs="宋体"/>
                <w:bCs/>
                <w:color w:val="auto"/>
                <w:kern w:val="0"/>
                <w:sz w:val="24"/>
                <w:szCs w:val="24"/>
                <w:u w:val="none"/>
              </w:rPr>
              <w:t>zhangkaikai@sinotruk.com</w:t>
            </w:r>
          </w:p>
          <w:p>
            <w:pPr>
              <w:ind w:firstLine="482" w:firstLineChars="200"/>
              <w:rPr>
                <w:rFonts w:hint="eastAsia" w:ascii="宋体" w:hAnsi="宋体" w:eastAsia="宋体" w:cs="宋体"/>
                <w:bCs/>
                <w:kern w:val="0"/>
                <w:sz w:val="24"/>
                <w:szCs w:val="24"/>
                <w:lang w:val="en-US" w:eastAsia="zh-CN"/>
              </w:rPr>
            </w:pPr>
            <w:r>
              <w:rPr>
                <w:rFonts w:hint="eastAsia" w:ascii="宋体" w:hAnsi="宋体" w:eastAsia="宋体" w:cs="宋体"/>
                <w:b/>
                <w:bCs w:val="0"/>
                <w:kern w:val="0"/>
                <w:sz w:val="24"/>
                <w:szCs w:val="24"/>
                <w:lang w:val="en-US" w:eastAsia="zh-CN"/>
              </w:rPr>
              <w:t>报名及投标招标事宜联系人</w:t>
            </w:r>
            <w:r>
              <w:rPr>
                <w:rFonts w:hint="eastAsia" w:ascii="宋体" w:hAnsi="宋体" w:eastAsia="宋体" w:cs="宋体"/>
                <w:bCs/>
                <w:kern w:val="0"/>
                <w:sz w:val="24"/>
                <w:szCs w:val="24"/>
                <w:lang w:val="en-US" w:eastAsia="zh-CN"/>
              </w:rPr>
              <w:t>：王瑄</w:t>
            </w:r>
          </w:p>
          <w:p>
            <w:pPr>
              <w:ind w:firstLine="482" w:firstLineChars="200"/>
              <w:rPr>
                <w:rFonts w:hint="eastAsia" w:ascii="宋体" w:hAnsi="宋体" w:eastAsia="宋体" w:cs="宋体"/>
                <w:bCs/>
                <w:kern w:val="0"/>
                <w:sz w:val="24"/>
                <w:szCs w:val="24"/>
              </w:rPr>
            </w:pPr>
            <w:r>
              <w:rPr>
                <w:rFonts w:hint="eastAsia" w:ascii="宋体" w:hAnsi="宋体" w:eastAsia="宋体" w:cs="宋体"/>
                <w:b/>
                <w:bCs w:val="0"/>
                <w:kern w:val="0"/>
                <w:sz w:val="24"/>
                <w:szCs w:val="24"/>
                <w:lang w:val="en-US" w:eastAsia="zh-CN"/>
              </w:rPr>
              <w:t>电话</w:t>
            </w:r>
            <w:r>
              <w:rPr>
                <w:rFonts w:hint="eastAsia" w:ascii="宋体" w:hAnsi="宋体" w:eastAsia="宋体" w:cs="宋体"/>
                <w:bCs/>
                <w:kern w:val="0"/>
                <w:sz w:val="24"/>
                <w:szCs w:val="24"/>
                <w:lang w:val="en-US" w:eastAsia="zh-CN"/>
              </w:rPr>
              <w:t>：17860605786</w:t>
            </w:r>
          </w:p>
        </w:tc>
      </w:tr>
      <w:tr>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配合办理政府验收手续（不限质监验收、消防验收、环评及职业卫生评价、安全评价等）及可预见的风险以及其它不可预见等全部费用。</w:t>
            </w:r>
          </w:p>
          <w:p>
            <w:pPr>
              <w:ind w:firstLine="482" w:firstLineChars="200"/>
              <w:rPr>
                <w:rFonts w:hint="eastAsia"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rPr>
              <w:t>应同时报含税价和不含税价，写明税率</w:t>
            </w:r>
            <w:r>
              <w:rPr>
                <w:rFonts w:hint="eastAsia" w:ascii="宋体" w:hAnsi="宋体" w:eastAsia="宋体" w:cs="Times New Roman"/>
                <w:color w:val="000000"/>
                <w:sz w:val="24"/>
                <w:szCs w:val="24"/>
              </w:rPr>
              <w:t>）。</w:t>
            </w:r>
          </w:p>
          <w:p>
            <w:pPr>
              <w:pStyle w:val="18"/>
              <w:ind w:firstLine="482" w:firstLineChars="200"/>
              <w:rPr>
                <w:rFonts w:eastAsia="宋体"/>
              </w:rPr>
            </w:pPr>
            <w:r>
              <w:rPr>
                <w:rFonts w:hint="eastAsia" w:hAnsi="宋体" w:eastAsia="宋体" w:cs="Times New Roman"/>
                <w:b/>
                <w:bCs/>
                <w:color w:val="000000"/>
                <w:sz w:val="24"/>
                <w:szCs w:val="24"/>
              </w:rPr>
              <w:t>投标限价</w:t>
            </w:r>
            <w:r>
              <w:rPr>
                <w:rFonts w:hint="eastAsia" w:hAnsi="宋体" w:eastAsia="宋体" w:cs="Times New Roman"/>
                <w:color w:val="000000"/>
                <w:sz w:val="24"/>
                <w:szCs w:val="24"/>
              </w:rPr>
              <w:t>：人民币</w:t>
            </w:r>
            <w:r>
              <w:rPr>
                <w:rFonts w:hint="eastAsia" w:hAnsi="宋体" w:eastAsia="宋体" w:cs="Times New Roman"/>
                <w:b/>
                <w:bCs/>
                <w:color w:val="000000"/>
                <w:sz w:val="24"/>
                <w:szCs w:val="24"/>
              </w:rPr>
              <w:t>27.8</w:t>
            </w:r>
            <w:r>
              <w:rPr>
                <w:rFonts w:hint="eastAsia" w:hAnsi="宋体" w:eastAsia="宋体" w:cs="Times New Roman"/>
                <w:color w:val="000000"/>
                <w:sz w:val="24"/>
                <w:szCs w:val="24"/>
              </w:rPr>
              <w:t>万元（含税，税率13%），超过投标限价无法投标。</w:t>
            </w:r>
          </w:p>
        </w:tc>
      </w:tr>
      <w:tr>
        <w:trPr>
          <w:trHeight w:val="37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18"/>
              <w:ind w:firstLine="482" w:firstLineChars="200"/>
              <w:rPr>
                <w:rFonts w:hint="eastAsia" w:hAnsi="宋体" w:eastAsia="宋体" w:cs="宋体"/>
                <w:b/>
                <w:bCs/>
                <w:color w:val="FF0000"/>
                <w:sz w:val="24"/>
                <w:szCs w:val="24"/>
              </w:rPr>
            </w:pPr>
            <w:r>
              <w:rPr>
                <w:rFonts w:hint="eastAsia" w:hAnsi="宋体" w:eastAsia="宋体" w:cs="宋体"/>
                <w:b/>
                <w:bCs/>
                <w:color w:val="000000"/>
                <w:sz w:val="24"/>
                <w:szCs w:val="24"/>
              </w:rPr>
              <w:t>投标人条件：</w:t>
            </w:r>
          </w:p>
          <w:p>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1.拟标投人必须是在中华人民共和国境内注册的独立法人机构，具有独立承担民事责任能力；注册资金不少于100万人民币（或等值其他货币）；公司成立三年以上（以营业执照成立日期到开标当日满三年为准），且经营范围满足招标人需求；并在人员、设备、资金等方面具有承担本项目的能力；</w:t>
            </w:r>
          </w:p>
          <w:p>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2.拟投标人应提供营业执照副本原件和扫描件（需盖章）；</w:t>
            </w:r>
          </w:p>
          <w:p>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3.拟投标人应提供法定代表人资格证明文件；</w:t>
            </w:r>
          </w:p>
          <w:p>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4.拟投标人在国家市场监督管理总局的《国家企业信用信息公示系统》中查询不存在不良记录；</w:t>
            </w:r>
          </w:p>
          <w:p>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5.拟投标人不存在严重违规或被列入招标人“黑名单”的声明；</w:t>
            </w:r>
          </w:p>
          <w:p>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6.拟投标人近三年经会计师事务所审计且出具无保留意见的财务审计报告，并加盖公章，包括但不限于报告页、经审计的资产负债表、利润表、现金流量表及报表附注（如投标人公司没有经审计的财务报告，可提供加盖公章的近三年财务报表，包括但不限于资产负债表、利润表、现金流量表），且未显示异常；</w:t>
            </w:r>
          </w:p>
          <w:p>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7.拟投标人近三年有与本次招标内容相同或类似项目业绩不少于三个（需出示合同），近三年内无因服务不当而造成重大事故；</w:t>
            </w:r>
          </w:p>
          <w:p>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8.拟投标人近三年内在经营活动中无与本项目有关的违法及重大违规情况；</w:t>
            </w:r>
          </w:p>
          <w:p>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9.拟投标人须认可招标人的工作指令，包括节、假日能正常开展工作的要求；</w:t>
            </w:r>
          </w:p>
          <w:p>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10.拟投标人最近半年纳税正常；</w:t>
            </w:r>
          </w:p>
          <w:p>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11.拟投标人信用证明材料（征信报告）未显示异常；</w:t>
            </w:r>
          </w:p>
          <w:p>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12.拟投标人的直接或间接股东、法定代表人、董事、监事、高管非重汽员工及其亲属；</w:t>
            </w:r>
          </w:p>
          <w:p>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13.本项目不接受代理商投标；</w:t>
            </w:r>
          </w:p>
          <w:p>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14.本项目不接受联合体投标，拟投标人必须是最终投标单位和签订合同单位，不得以任何理由将已中标项目以任何形式分包或转包给其他单位；</w:t>
            </w:r>
          </w:p>
          <w:p>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15.与招标人存在利害关系可能影响招标公正性的法人、其他组织或者个人，不得参加投标。</w:t>
            </w:r>
          </w:p>
        </w:tc>
      </w:tr>
      <w:tr>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2.招标文件的答疑、澄清、修改、应标及投标报名</w:t>
            </w:r>
          </w:p>
        </w:tc>
      </w:tr>
      <w:tr>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lang w:val="en-US" w:eastAsia="zh-CN"/>
              </w:rPr>
              <w:t>11月7</w:t>
            </w:r>
            <w:r>
              <w:rPr>
                <w:rFonts w:hint="eastAsia" w:ascii="宋体" w:hAnsi="宋体" w:eastAsia="宋体" w:cs="宋体"/>
                <w:bCs/>
                <w:sz w:val="24"/>
                <w:szCs w:val="24"/>
                <w:highlight w:val="yellow"/>
              </w:rPr>
              <w:t>日;</w:t>
            </w:r>
          </w:p>
        </w:tc>
      </w:tr>
      <w:tr>
        <w:trPr>
          <w:trHeight w:val="493" w:hRule="atLeast"/>
        </w:trPr>
        <w:tc>
          <w:tcPr>
            <w:tcW w:w="595" w:type="dxa"/>
            <w:vMerge w:val="continue"/>
            <w:tcBorders>
              <w:left w:val="single" w:color="auto" w:sz="2" w:space="0"/>
              <w:right w:val="single" w:color="auto" w:sz="2" w:space="0"/>
            </w:tcBorders>
            <w:vAlign w:val="center"/>
          </w:tcPr>
          <w:p>
            <w:pPr>
              <w:snapToGrid w:val="0"/>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sz w:val="24"/>
                <w:szCs w:val="24"/>
              </w:rPr>
              <w:t>发标方式：</w:t>
            </w:r>
            <w:r>
              <w:rPr>
                <w:rFonts w:ascii="宋体" w:hAnsi="宋体" w:eastAsia="宋体" w:cs="宋体"/>
                <w:sz w:val="24"/>
                <w:szCs w:val="24"/>
              </w:rPr>
              <w:t>中国重汽官网</w:t>
            </w:r>
            <w:r>
              <w:rPr>
                <w:rFonts w:hint="eastAsia" w:ascii="宋体" w:hAnsi="宋体" w:eastAsia="宋体" w:cs="宋体"/>
                <w:sz w:val="24"/>
                <w:szCs w:val="24"/>
              </w:rPr>
              <w:t>、山东省阳光采购服务平台、中国招标投标公共服务平台等公开媒体</w:t>
            </w:r>
            <w:r>
              <w:rPr>
                <w:rFonts w:ascii="宋体" w:hAnsi="宋体" w:eastAsia="宋体" w:cs="宋体"/>
                <w:color w:val="000000"/>
                <w:sz w:val="24"/>
                <w:szCs w:val="24"/>
              </w:rPr>
              <w:t>公布</w:t>
            </w:r>
            <w:r>
              <w:rPr>
                <w:rFonts w:hint="eastAsia" w:ascii="宋体" w:hAnsi="宋体" w:eastAsia="宋体" w:cs="Times New Roman"/>
                <w:color w:val="000000"/>
                <w:sz w:val="24"/>
                <w:szCs w:val="24"/>
              </w:rPr>
              <w:t>。</w:t>
            </w:r>
          </w:p>
        </w:tc>
      </w:tr>
      <w:tr>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hint="eastAsia"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hint="eastAsia" w:ascii="宋体" w:hAnsi="宋体" w:eastAsia="宋体" w:cs="宋体"/>
                <w:b/>
                <w:bCs/>
                <w:sz w:val="24"/>
                <w:szCs w:val="24"/>
              </w:rPr>
            </w:pPr>
            <w:r>
              <w:rPr>
                <w:rFonts w:hint="eastAsia" w:ascii="宋体" w:hAnsi="宋体" w:eastAsia="宋体" w:cs="宋体"/>
                <w:sz w:val="24"/>
                <w:szCs w:val="24"/>
              </w:rPr>
              <w:t>如果投标人对招标文件商务部分、技术部分有疑问，请各投标人在本答疑环节提出。</w:t>
            </w:r>
          </w:p>
          <w:p>
            <w:pPr>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提交疑问时间：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lang w:val="en-US" w:eastAsia="zh-CN"/>
              </w:rPr>
              <w:t>11</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15</w:t>
            </w:r>
            <w:r>
              <w:rPr>
                <w:rFonts w:hint="eastAsia" w:ascii="宋体" w:hAnsi="宋体" w:eastAsia="宋体" w:cs="宋体"/>
                <w:bCs/>
                <w:sz w:val="24"/>
                <w:szCs w:val="24"/>
                <w:highlight w:val="yellow"/>
              </w:rPr>
              <w:t>日12:00前；</w:t>
            </w:r>
          </w:p>
          <w:p>
            <w:pPr>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提交疑问方式</w:t>
            </w:r>
            <w:r>
              <w:rPr>
                <w:rFonts w:hint="eastAsia" w:ascii="宋体" w:hAnsi="宋体" w:eastAsia="宋体" w:cs="宋体"/>
                <w:sz w:val="24"/>
                <w:szCs w:val="24"/>
              </w:rPr>
              <w:t>：将答疑问题以word文件格式发送至联系人邮件内，并电话联系工作人员查收，</w:t>
            </w:r>
            <w:r>
              <w:rPr>
                <w:rFonts w:hint="eastAsia" w:ascii="宋体" w:hAnsi="宋体" w:eastAsia="宋体" w:cs="宋体"/>
                <w:b/>
                <w:bCs/>
                <w:sz w:val="24"/>
                <w:szCs w:val="24"/>
              </w:rPr>
              <w:t>邮件名格式为：XXX公司（五个字以内公司简称）XX项目答疑文件。</w:t>
            </w:r>
          </w:p>
          <w:p>
            <w:pPr>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同时必须在邮件中以文字方式提供投标人全称、投标授权人姓名、联系方式（固定电话、手机、电子邮箱），并提供附件2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rPr>
              <w:t>。</w:t>
            </w:r>
          </w:p>
        </w:tc>
      </w:tr>
      <w:tr>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hint="eastAsia" w:ascii="宋体" w:hAnsi="宋体" w:eastAsia="宋体" w:cs="宋体"/>
                <w:sz w:val="24"/>
                <w:szCs w:val="24"/>
              </w:rPr>
            </w:pPr>
            <w:r>
              <w:rPr>
                <w:rFonts w:hint="eastAsia" w:ascii="宋体" w:hAnsi="宋体" w:eastAsia="宋体" w:cs="宋体"/>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rPr>
              <w:t>领取答疑、澄清和修改文件时间：</w:t>
            </w:r>
            <w:r>
              <w:rPr>
                <w:rFonts w:hint="eastAsia" w:ascii="宋体" w:hAnsi="宋体" w:eastAsia="宋体" w:cs="宋体"/>
                <w:sz w:val="24"/>
                <w:szCs w:val="24"/>
                <w:highlight w:val="yellow"/>
              </w:rPr>
              <w:t>2025年</w:t>
            </w:r>
            <w:r>
              <w:rPr>
                <w:rFonts w:hint="eastAsia" w:ascii="宋体" w:hAnsi="宋体" w:eastAsia="宋体" w:cs="宋体"/>
                <w:sz w:val="24"/>
                <w:szCs w:val="24"/>
                <w:highlight w:val="yellow"/>
                <w:lang w:val="en-US" w:eastAsia="zh-CN"/>
              </w:rPr>
              <w:t>11</w:t>
            </w:r>
            <w:r>
              <w:rPr>
                <w:rFonts w:hint="eastAsia" w:ascii="宋体" w:hAnsi="宋体" w:eastAsia="宋体" w:cs="宋体"/>
                <w:sz w:val="24"/>
                <w:szCs w:val="24"/>
                <w:highlight w:val="yellow"/>
              </w:rPr>
              <w:t>月</w:t>
            </w:r>
            <w:r>
              <w:rPr>
                <w:rFonts w:hint="eastAsia" w:ascii="宋体" w:hAnsi="宋体" w:eastAsia="宋体" w:cs="宋体"/>
                <w:sz w:val="24"/>
                <w:szCs w:val="24"/>
                <w:highlight w:val="yellow"/>
                <w:lang w:val="en-US" w:eastAsia="zh-CN"/>
              </w:rPr>
              <w:t>15</w:t>
            </w:r>
            <w:r>
              <w:rPr>
                <w:rFonts w:hint="eastAsia" w:ascii="宋体" w:hAnsi="宋体" w:eastAsia="宋体" w:cs="宋体"/>
                <w:sz w:val="24"/>
                <w:szCs w:val="24"/>
                <w:highlight w:val="yellow"/>
              </w:rPr>
              <w:t>日17:00</w:t>
            </w:r>
            <w:r>
              <w:rPr>
                <w:rFonts w:hint="eastAsia" w:ascii="宋体" w:hAnsi="宋体" w:eastAsia="宋体" w:cs="宋体"/>
                <w:sz w:val="24"/>
                <w:szCs w:val="24"/>
              </w:rPr>
              <w:t>前；</w:t>
            </w:r>
          </w:p>
          <w:p>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2"/>
              <w:spacing w:line="240" w:lineRule="auto"/>
              <w:ind w:firstLine="482"/>
              <w:rPr>
                <w:rFonts w:hint="eastAsia" w:eastAsia="宋体" w:cs="宋体"/>
                <w:b/>
                <w:bCs/>
              </w:rPr>
            </w:pPr>
            <w:r>
              <w:rPr>
                <w:rFonts w:hint="eastAsia" w:eastAsia="宋体" w:cs="宋体"/>
                <w:b/>
                <w:bCs/>
              </w:rPr>
              <w:t>报名方式：</w:t>
            </w:r>
            <w:r>
              <w:rPr>
                <w:rFonts w:hint="eastAsia" w:eastAsia="宋体" w:cs="宋体"/>
              </w:rPr>
              <w:t>拟投标人根据招标人在中国重汽官网等公开媒体上发布的招标信息，</w:t>
            </w:r>
            <w:r>
              <w:rPr>
                <w:rFonts w:hint="eastAsia" w:hAnsi="Courier New" w:eastAsia="宋体" w:cs="Times New Roman"/>
              </w:rPr>
              <w:t>在“中国重汽e采通”平台报名</w:t>
            </w:r>
            <w:r>
              <w:rPr>
                <w:rFonts w:hint="eastAsia" w:eastAsia="宋体" w:cs="宋体"/>
              </w:rPr>
              <w:t>。</w:t>
            </w:r>
            <w:r>
              <w:rPr>
                <w:rFonts w:hint="eastAsia" w:eastAsia="宋体" w:cs="Times New Roman"/>
                <w:b/>
                <w:bCs/>
              </w:rPr>
              <w:t>按照中国重汽e采通“SRM非生产供应商注册手册”（附件15）进行注册</w:t>
            </w:r>
            <w:r>
              <w:rPr>
                <w:rFonts w:hint="eastAsia" w:eastAsia="宋体" w:cs="Times New Roman"/>
              </w:rPr>
              <w:t>，注册完毕后按照</w:t>
            </w:r>
            <w:r>
              <w:rPr>
                <w:rFonts w:hint="eastAsia" w:eastAsia="宋体" w:cs="宋体"/>
                <w:b/>
              </w:rPr>
              <w:t>“SRM系统供应商用户手册（附件16）”，</w:t>
            </w:r>
            <w:r>
              <w:rPr>
                <w:rFonts w:hint="eastAsia" w:eastAsia="宋体" w:cs="Times New Roman"/>
              </w:rPr>
              <w:t>登录</w:t>
            </w:r>
            <w:r>
              <w:rPr>
                <w:rFonts w:hint="eastAsia" w:eastAsia="宋体" w:cs="宋体"/>
                <w:b/>
              </w:rPr>
              <w:t>重汽e采通平台</w:t>
            </w:r>
            <w:r>
              <w:rPr>
                <w:rFonts w:hint="eastAsia" w:eastAsia="宋体" w:cs="Times New Roman"/>
              </w:rPr>
              <w:t>后进入“供应商应标”，选择对应的项目，点击“</w:t>
            </w:r>
            <w:r>
              <w:rPr>
                <w:rFonts w:hint="eastAsia" w:eastAsia="宋体" w:cs="Times New Roman"/>
                <w:b/>
                <w:bCs/>
              </w:rPr>
              <w:t>应标</w:t>
            </w:r>
            <w:r>
              <w:rPr>
                <w:rFonts w:hint="eastAsia" w:eastAsia="宋体" w:cs="Times New Roman"/>
              </w:rPr>
              <w:t>”</w:t>
            </w:r>
            <w:r>
              <w:rPr>
                <w:rFonts w:hint="eastAsia" w:eastAsia="宋体" w:cs="Times New Roman"/>
                <w:b/>
                <w:bCs/>
              </w:rPr>
              <w:t>后按照招标文件第三部分投标文件组成资格证明文件中的1.1</w:t>
            </w:r>
            <w:r>
              <w:rPr>
                <w:rFonts w:eastAsia="宋体" w:cs="Times New Roman"/>
                <w:b/>
                <w:bCs/>
              </w:rPr>
              <w:t>-</w:t>
            </w:r>
            <w:r>
              <w:rPr>
                <w:rFonts w:hint="eastAsia" w:eastAsia="宋体" w:cs="Times New Roman"/>
                <w:b/>
                <w:bCs/>
              </w:rPr>
              <w:t>1.13准备资料并</w:t>
            </w:r>
            <w:r>
              <w:rPr>
                <w:rFonts w:hint="eastAsia" w:eastAsia="宋体" w:cs="Times New Roman"/>
              </w:rPr>
              <w:t>上传，资质审查通过即为报名成功</w:t>
            </w:r>
            <w:r>
              <w:rPr>
                <w:rFonts w:hint="eastAsia" w:hAnsi="Courier New" w:eastAsia="宋体" w:cs="Times New Roman"/>
              </w:rPr>
              <w:t>；公示期间请尽快报名</w:t>
            </w:r>
            <w:r>
              <w:rPr>
                <w:rFonts w:hint="eastAsia" w:eastAsia="宋体" w:cs="宋体"/>
              </w:rPr>
              <w:t>。</w:t>
            </w:r>
          </w:p>
        </w:tc>
      </w:tr>
      <w:tr>
        <w:trPr>
          <w:trHeight w:val="433" w:hRule="atLeast"/>
        </w:trPr>
        <w:tc>
          <w:tcPr>
            <w:tcW w:w="595" w:type="dxa"/>
            <w:vMerge w:val="continue"/>
            <w:tcBorders>
              <w:left w:val="single" w:color="auto" w:sz="2" w:space="0"/>
              <w:right w:val="single" w:color="auto" w:sz="2" w:space="0"/>
            </w:tcBorders>
            <w:vAlign w:val="center"/>
          </w:tcPr>
          <w:p>
            <w:pPr>
              <w:jc w:val="left"/>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112"/>
              <w:spacing w:line="240" w:lineRule="auto"/>
              <w:ind w:firstLine="482"/>
              <w:rPr>
                <w:rFonts w:hint="eastAsia" w:eastAsia="宋体" w:cs="宋体"/>
                <w:highlight w:val="yellow"/>
              </w:rPr>
            </w:pPr>
            <w:r>
              <w:rPr>
                <w:rFonts w:hint="eastAsia" w:eastAsia="宋体" w:cs="宋体"/>
                <w:b/>
                <w:bCs/>
              </w:rPr>
              <w:t>应标截止时间：</w:t>
            </w:r>
            <w:r>
              <w:rPr>
                <w:rFonts w:hint="eastAsia" w:eastAsia="宋体" w:cs="宋体"/>
                <w:highlight w:val="yellow"/>
              </w:rPr>
              <w:t>2025年</w:t>
            </w:r>
            <w:r>
              <w:rPr>
                <w:rFonts w:hint="eastAsia" w:eastAsia="宋体" w:cs="宋体"/>
                <w:highlight w:val="yellow"/>
                <w:lang w:val="en-US" w:eastAsia="zh-CN"/>
              </w:rPr>
              <w:t>11</w:t>
            </w:r>
            <w:r>
              <w:rPr>
                <w:rFonts w:hint="eastAsia" w:eastAsia="宋体" w:cs="宋体"/>
                <w:highlight w:val="yellow"/>
              </w:rPr>
              <w:t>月</w:t>
            </w:r>
            <w:r>
              <w:rPr>
                <w:rFonts w:hint="eastAsia" w:eastAsia="宋体" w:cs="宋体"/>
                <w:highlight w:val="yellow"/>
                <w:lang w:val="en-US" w:eastAsia="zh-CN"/>
              </w:rPr>
              <w:t>13</w:t>
            </w:r>
            <w:r>
              <w:rPr>
                <w:rFonts w:hint="eastAsia" w:eastAsia="宋体" w:cs="宋体"/>
                <w:highlight w:val="yellow"/>
              </w:rPr>
              <w:t>日17时00分00秒</w:t>
            </w:r>
          </w:p>
          <w:p>
            <w:pPr>
              <w:pStyle w:val="112"/>
              <w:spacing w:line="240" w:lineRule="auto"/>
              <w:ind w:firstLine="482"/>
              <w:rPr>
                <w:rFonts w:hint="eastAsia" w:eastAsia="宋体" w:cs="宋体"/>
                <w:highlight w:val="yellow"/>
              </w:rPr>
            </w:pPr>
            <w:r>
              <w:rPr>
                <w:rFonts w:hint="eastAsia" w:eastAsia="宋体" w:cs="宋体"/>
                <w:b/>
                <w:bCs/>
              </w:rPr>
              <w:t>注：请务必在应标截止时间前完成注册及应标操作，注册审核需2-4日，应标截止时间精确到秒，逾期将无法应标。请自行掌握时间，避免无法应标。</w:t>
            </w:r>
          </w:p>
        </w:tc>
      </w:tr>
      <w:tr>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3.投标文件的组成、编制及投递</w:t>
            </w:r>
          </w:p>
        </w:tc>
      </w:tr>
      <w:tr>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宋体" w:hAnsi="宋体" w:eastAsia="宋体" w:cs="宋体"/>
                <w:bCs/>
                <w:sz w:val="24"/>
                <w:szCs w:val="24"/>
              </w:rPr>
            </w:pPr>
            <w:r>
              <w:rPr>
                <w:rFonts w:hint="eastAsia" w:eastAsia="宋体" w:cs="宋体"/>
                <w:bCs/>
                <w:sz w:val="24"/>
                <w:szCs w:val="24"/>
              </w:rPr>
              <w:t>本项目投标文件分为</w:t>
            </w:r>
            <w:r>
              <w:rPr>
                <w:rFonts w:hint="eastAsia" w:eastAsia="宋体" w:cs="宋体"/>
                <w:b/>
                <w:sz w:val="24"/>
                <w:szCs w:val="24"/>
              </w:rPr>
              <w:t>纸质版</w:t>
            </w:r>
            <w:r>
              <w:rPr>
                <w:rFonts w:hint="eastAsia" w:eastAsia="宋体" w:cs="宋体"/>
                <w:bCs/>
                <w:sz w:val="24"/>
                <w:szCs w:val="24"/>
              </w:rPr>
              <w:t>投标文件和</w:t>
            </w:r>
            <w:r>
              <w:rPr>
                <w:rFonts w:hint="eastAsia" w:eastAsia="宋体" w:cs="宋体"/>
                <w:b/>
                <w:sz w:val="24"/>
                <w:szCs w:val="24"/>
              </w:rPr>
              <w:t>电子版</w:t>
            </w:r>
            <w:r>
              <w:rPr>
                <w:rFonts w:hint="eastAsia" w:eastAsia="宋体" w:cs="宋体"/>
                <w:bCs/>
                <w:sz w:val="24"/>
                <w:szCs w:val="24"/>
              </w:rPr>
              <w:t>投标文件</w:t>
            </w:r>
            <w:r>
              <w:rPr>
                <w:rFonts w:hint="eastAsia" w:eastAsia="宋体" w:cs="宋体"/>
                <w:bCs/>
                <w:sz w:val="24"/>
                <w:szCs w:val="24"/>
                <w:highlight w:val="yellow"/>
              </w:rPr>
              <w:t>（电子版为纸质盖章版的扫描件）</w:t>
            </w:r>
            <w:r>
              <w:rPr>
                <w:rFonts w:hint="eastAsia" w:eastAsia="宋体" w:cs="宋体"/>
                <w:bCs/>
                <w:sz w:val="24"/>
                <w:szCs w:val="24"/>
              </w:rPr>
              <w:t>，均由</w:t>
            </w:r>
            <w:r>
              <w:rPr>
                <w:rFonts w:hint="eastAsia" w:eastAsia="宋体" w:cs="宋体"/>
                <w:b/>
                <w:sz w:val="24"/>
                <w:szCs w:val="24"/>
              </w:rPr>
              <w:t>《投标文件（资质标）》、《投标文件（技术标）》、《投标文件（商务标）》（开标一览表）</w:t>
            </w:r>
            <w:r>
              <w:rPr>
                <w:rFonts w:hint="eastAsia" w:eastAsia="宋体" w:cs="宋体"/>
                <w:bCs/>
                <w:sz w:val="24"/>
                <w:szCs w:val="24"/>
              </w:rPr>
              <w:t>文件组成，共计3个文件</w:t>
            </w:r>
            <w:r>
              <w:rPr>
                <w:rFonts w:hint="eastAsia" w:ascii="宋体" w:hAnsi="宋体" w:eastAsia="宋体" w:cs="宋体"/>
                <w:bCs/>
                <w:sz w:val="24"/>
                <w:szCs w:val="24"/>
              </w:rPr>
              <w:t>。</w:t>
            </w:r>
          </w:p>
          <w:p>
            <w:pPr>
              <w:ind w:firstLine="482" w:firstLineChars="200"/>
              <w:rPr>
                <w:rFonts w:hint="eastAsia" w:ascii="宋体" w:hAnsi="宋体" w:eastAsia="宋体" w:cs="宋体"/>
                <w:b/>
                <w:sz w:val="24"/>
                <w:szCs w:val="24"/>
              </w:rPr>
            </w:pPr>
            <w:r>
              <w:rPr>
                <w:rFonts w:hint="eastAsia" w:eastAsia="宋体" w:cs="宋体"/>
                <w:b/>
                <w:sz w:val="24"/>
                <w:szCs w:val="24"/>
              </w:rPr>
              <w:t>《投标文件（资质标）》</w:t>
            </w:r>
            <w:r>
              <w:rPr>
                <w:rFonts w:hint="eastAsia" w:ascii="宋体" w:hAnsi="宋体" w:eastAsia="宋体" w:cs="宋体"/>
                <w:bCs/>
                <w:sz w:val="24"/>
                <w:szCs w:val="24"/>
              </w:rPr>
              <w:t>一个文件（里面是全部资质投标书），</w:t>
            </w:r>
            <w:r>
              <w:rPr>
                <w:rFonts w:hint="eastAsia" w:eastAsia="宋体" w:cs="宋体"/>
                <w:b/>
                <w:sz w:val="24"/>
                <w:szCs w:val="24"/>
              </w:rPr>
              <w:t>投标文件（技术标）》</w:t>
            </w:r>
            <w:r>
              <w:rPr>
                <w:rFonts w:hint="eastAsia" w:ascii="宋体" w:hAnsi="宋体" w:eastAsia="宋体" w:cs="宋体"/>
                <w:bCs/>
                <w:sz w:val="24"/>
                <w:szCs w:val="24"/>
              </w:rPr>
              <w:t>一个文件（里面是全部技术投标书），</w:t>
            </w:r>
            <w:r>
              <w:rPr>
                <w:rFonts w:hint="eastAsia" w:eastAsia="宋体" w:cs="宋体"/>
                <w:b/>
                <w:sz w:val="24"/>
                <w:szCs w:val="24"/>
              </w:rPr>
              <w:t>《投标文件（商务标）》（开标一览表）</w:t>
            </w:r>
            <w:r>
              <w:rPr>
                <w:rFonts w:hint="eastAsia" w:ascii="宋体" w:hAnsi="宋体" w:eastAsia="宋体" w:cs="宋体"/>
                <w:bCs/>
                <w:sz w:val="24"/>
                <w:szCs w:val="24"/>
              </w:rPr>
              <w:t>一个文件（里面是全部商务投标书），</w:t>
            </w:r>
            <w:r>
              <w:rPr>
                <w:rFonts w:hint="eastAsia" w:ascii="宋体" w:hAnsi="宋体" w:eastAsia="宋体" w:cs="宋体"/>
                <w:b/>
                <w:sz w:val="24"/>
                <w:szCs w:val="24"/>
              </w:rPr>
              <w:t>具体组成等详细要求见招标文件第三部分投标文件编制第三条。</w:t>
            </w:r>
          </w:p>
          <w:p>
            <w:pPr>
              <w:ind w:firstLine="480" w:firstLineChars="200"/>
              <w:rPr>
                <w:rFonts w:hint="eastAsia" w:ascii="宋体" w:hAnsi="宋体" w:eastAsia="宋体" w:cs="宋体"/>
                <w:sz w:val="24"/>
                <w:szCs w:val="24"/>
              </w:rPr>
            </w:pPr>
            <w:r>
              <w:rPr>
                <w:rFonts w:hint="eastAsia" w:ascii="宋体" w:hAnsi="宋体" w:eastAsia="宋体" w:cs="宋体"/>
                <w:bCs/>
                <w:color w:val="000000"/>
                <w:sz w:val="24"/>
                <w:szCs w:val="24"/>
              </w:rPr>
              <w:t>注意不按此要求提供投标文件的，投标文件做无效标处理。</w:t>
            </w:r>
          </w:p>
        </w:tc>
      </w:tr>
      <w:tr>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eastAsia="宋体" w:cs="宋体"/>
                <w:bCs/>
                <w:sz w:val="24"/>
                <w:szCs w:val="24"/>
              </w:rPr>
            </w:pPr>
            <w:r>
              <w:rPr>
                <w:rFonts w:hint="eastAsia" w:eastAsia="宋体" w:cs="宋体"/>
                <w:b/>
                <w:sz w:val="24"/>
                <w:szCs w:val="24"/>
              </w:rPr>
              <w:t>投标方式：在中国重汽e采通平台应标成功后，进入“供应商投标”环节，投递盖章扫描版电子标书（包含资质标书、技术标书、商务标书），</w:t>
            </w:r>
            <w:r>
              <w:rPr>
                <w:rFonts w:ascii="宋体" w:hAnsi="宋体" w:eastAsia="宋体" w:cs="宋体"/>
                <w:sz w:val="24"/>
                <w:szCs w:val="24"/>
              </w:rPr>
              <w:t>若逾期未</w:t>
            </w:r>
            <w:r>
              <w:rPr>
                <w:rFonts w:hint="eastAsia" w:ascii="宋体" w:hAnsi="宋体" w:eastAsia="宋体" w:cs="宋体"/>
                <w:sz w:val="24"/>
                <w:szCs w:val="24"/>
              </w:rPr>
              <w:t>在中国</w:t>
            </w:r>
            <w:r>
              <w:rPr>
                <w:rFonts w:ascii="宋体" w:hAnsi="宋体" w:eastAsia="宋体" w:cs="宋体"/>
                <w:sz w:val="24"/>
                <w:szCs w:val="24"/>
              </w:rPr>
              <w:t>重汽e采通</w:t>
            </w:r>
            <w:r>
              <w:rPr>
                <w:rFonts w:hint="eastAsia" w:ascii="宋体" w:hAnsi="宋体" w:eastAsia="宋体" w:cs="宋体"/>
                <w:sz w:val="24"/>
                <w:szCs w:val="24"/>
              </w:rPr>
              <w:t>平台</w:t>
            </w:r>
            <w:r>
              <w:rPr>
                <w:rFonts w:ascii="宋体" w:hAnsi="宋体" w:eastAsia="宋体" w:cs="宋体"/>
                <w:sz w:val="24"/>
                <w:szCs w:val="24"/>
              </w:rPr>
              <w:t>上传</w:t>
            </w:r>
            <w:r>
              <w:rPr>
                <w:rFonts w:hint="eastAsia" w:ascii="宋体" w:hAnsi="宋体" w:eastAsia="宋体" w:cs="宋体"/>
                <w:sz w:val="24"/>
                <w:szCs w:val="24"/>
              </w:rPr>
              <w:t>电子</w:t>
            </w:r>
            <w:r>
              <w:rPr>
                <w:rFonts w:ascii="宋体" w:hAnsi="宋体" w:eastAsia="宋体" w:cs="宋体"/>
                <w:sz w:val="24"/>
                <w:szCs w:val="24"/>
              </w:rPr>
              <w:t>标书，即便递交了纸版投标文件，一律视为无效投标</w:t>
            </w:r>
            <w:r>
              <w:rPr>
                <w:rFonts w:hint="eastAsia" w:eastAsia="宋体" w:cs="宋体"/>
                <w:b/>
                <w:sz w:val="24"/>
                <w:szCs w:val="24"/>
              </w:rPr>
              <w:t>。</w:t>
            </w:r>
          </w:p>
          <w:p>
            <w:pPr>
              <w:ind w:firstLine="420" w:firstLineChars="200"/>
              <w:rPr>
                <w:rFonts w:hint="eastAsia" w:eastAsia="宋体" w:cs="宋体"/>
                <w:bCs/>
                <w:sz w:val="24"/>
                <w:szCs w:val="24"/>
              </w:rPr>
            </w:pPr>
            <w:r>
              <w:rPr>
                <w:rFonts w:hint="eastAsia"/>
                <w:bCs/>
              </w:rPr>
              <w:t xml:space="preserve"> </w:t>
            </w:r>
            <w:r>
              <w:rPr>
                <w:rFonts w:hint="eastAsia" w:eastAsia="宋体" w:cs="宋体"/>
                <w:bCs/>
                <w:sz w:val="24"/>
                <w:szCs w:val="24"/>
              </w:rPr>
              <w:t>纸质版投标文件的份数要求为</w:t>
            </w:r>
            <w:r>
              <w:rPr>
                <w:rFonts w:hint="eastAsia" w:ascii="宋体" w:hAnsi="宋体" w:eastAsia="宋体" w:cs="宋体"/>
                <w:b/>
                <w:sz w:val="24"/>
                <w:szCs w:val="24"/>
                <w:highlight w:val="yellow"/>
              </w:rPr>
              <w:t>正本一份，</w:t>
            </w:r>
            <w:r>
              <w:rPr>
                <w:rFonts w:hint="eastAsia" w:ascii="宋体" w:hAnsi="宋体" w:eastAsia="宋体" w:cs="宋体"/>
                <w:bCs/>
                <w:sz w:val="24"/>
                <w:szCs w:val="24"/>
              </w:rPr>
              <w:t>资质投标书、技术投标书及商务投标书的</w:t>
            </w:r>
            <w:r>
              <w:rPr>
                <w:rFonts w:hint="eastAsia" w:eastAsia="宋体" w:cs="宋体"/>
                <w:b/>
                <w:sz w:val="24"/>
                <w:szCs w:val="24"/>
              </w:rPr>
              <w:t>同类文件封装在一个包封里，包封表面按照附件13标注文件信息；共计三个包封</w:t>
            </w:r>
            <w:r>
              <w:rPr>
                <w:rFonts w:hint="eastAsia" w:eastAsia="宋体" w:cs="宋体"/>
                <w:bCs/>
                <w:sz w:val="24"/>
                <w:szCs w:val="24"/>
              </w:rPr>
              <w:t>。</w:t>
            </w:r>
          </w:p>
          <w:p>
            <w:pPr>
              <w:pStyle w:val="18"/>
              <w:ind w:firstLine="480" w:firstLineChars="200"/>
              <w:rPr>
                <w:rFonts w:hint="eastAsia" w:eastAsia="宋体" w:cs="宋体" w:asciiTheme="minorHAnsi" w:hAnsiTheme="minorHAnsi"/>
                <w:bCs/>
                <w:sz w:val="24"/>
                <w:szCs w:val="24"/>
              </w:rPr>
            </w:pPr>
            <w:r>
              <w:rPr>
                <w:rFonts w:hint="eastAsia" w:eastAsia="宋体" w:cs="宋体" w:asciiTheme="minorHAnsi" w:hAnsiTheme="minorHAnsi"/>
                <w:bCs/>
                <w:sz w:val="24"/>
                <w:szCs w:val="24"/>
              </w:rPr>
              <w:t>如选择到场参与开标，自行携带纸质投标文件于开标前至开标地点即可。</w:t>
            </w:r>
          </w:p>
          <w:p>
            <w:pPr>
              <w:pStyle w:val="18"/>
              <w:ind w:firstLine="480" w:firstLineChars="200"/>
              <w:rPr>
                <w:rFonts w:hint="eastAsia" w:eastAsia="宋体" w:cs="宋体" w:asciiTheme="minorHAnsi" w:hAnsiTheme="minorHAnsi"/>
                <w:bCs/>
                <w:sz w:val="24"/>
                <w:szCs w:val="24"/>
              </w:rPr>
            </w:pPr>
            <w:r>
              <w:rPr>
                <w:rFonts w:hint="eastAsia" w:eastAsia="宋体" w:cs="宋体" w:asciiTheme="minorHAnsi" w:hAnsiTheme="minorHAnsi"/>
                <w:bCs/>
                <w:sz w:val="24"/>
                <w:szCs w:val="24"/>
              </w:rPr>
              <w:t>如选择线上参与开标，纸质投标文件需在开标日前两天，邮寄到指定地址。</w:t>
            </w:r>
          </w:p>
          <w:p>
            <w:pPr>
              <w:pStyle w:val="18"/>
              <w:rPr>
                <w:rFonts w:hint="eastAsia" w:hAnsi="宋体" w:eastAsia="宋体" w:cs="Times New Roman"/>
                <w:color w:val="000000"/>
                <w:sz w:val="24"/>
                <w:szCs w:val="24"/>
              </w:rPr>
            </w:pPr>
            <w:r>
              <w:rPr>
                <w:rFonts w:hint="eastAsia" w:eastAsia="宋体" w:cs="宋体" w:asciiTheme="minorHAnsi" w:hAnsiTheme="minorHAnsi"/>
                <w:b/>
                <w:sz w:val="24"/>
                <w:szCs w:val="24"/>
              </w:rPr>
              <w:t>邮寄地址：</w:t>
            </w:r>
            <w:r>
              <w:rPr>
                <w:rFonts w:hint="eastAsia" w:hAnsi="宋体" w:eastAsia="宋体" w:cs="Times New Roman"/>
                <w:color w:val="000000"/>
                <w:sz w:val="24"/>
                <w:szCs w:val="24"/>
                <w:highlight w:val="yellow"/>
              </w:rPr>
              <w:t>济南市章丘区世纪大道7777号</w:t>
            </w:r>
          </w:p>
          <w:p>
            <w:pPr>
              <w:pStyle w:val="18"/>
              <w:rPr>
                <w:rFonts w:hint="eastAsia" w:hAnsi="宋体" w:eastAsia="宋体" w:cs="Times New Roman"/>
                <w:color w:val="000000"/>
                <w:sz w:val="24"/>
                <w:szCs w:val="24"/>
              </w:rPr>
            </w:pPr>
            <w:r>
              <w:rPr>
                <w:rFonts w:hint="eastAsia" w:hAnsi="宋体" w:eastAsia="宋体" w:cs="Times New Roman"/>
                <w:b/>
                <w:bCs/>
                <w:color w:val="000000"/>
                <w:sz w:val="24"/>
                <w:szCs w:val="24"/>
              </w:rPr>
              <w:t>联系人及联系方式：</w:t>
            </w:r>
            <w:r>
              <w:rPr>
                <w:rFonts w:hint="eastAsia" w:hAnsi="宋体" w:eastAsia="宋体" w:cs="Times New Roman"/>
                <w:color w:val="000000"/>
                <w:sz w:val="24"/>
                <w:szCs w:val="24"/>
                <w:highlight w:val="yellow"/>
              </w:rPr>
              <w:t>崔毅刚/15863137802</w:t>
            </w:r>
          </w:p>
        </w:tc>
      </w:tr>
      <w:tr>
        <w:trPr>
          <w:trHeight w:val="56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pPr>
              <w:pStyle w:val="18"/>
              <w:ind w:firstLine="482" w:firstLineChars="200"/>
              <w:rPr>
                <w:rFonts w:hint="eastAsia" w:hAnsi="宋体" w:eastAsia="宋体" w:cs="宋体"/>
                <w:b/>
                <w:bCs/>
                <w:sz w:val="24"/>
                <w:szCs w:val="24"/>
              </w:rPr>
            </w:pPr>
            <w:r>
              <w:rPr>
                <w:rFonts w:hint="eastAsia" w:hAnsi="宋体" w:eastAsia="宋体" w:cs="宋体"/>
                <w:b/>
                <w:bCs/>
                <w:sz w:val="24"/>
              </w:rPr>
              <w:t>纸质版投标文件和电子版投标文件必须保证内容一致；如确实存在不一致的，以电子标书为准，同时要求投标人对纸版标书做出修正。</w:t>
            </w:r>
          </w:p>
        </w:tc>
      </w:tr>
      <w:tr>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pPr>
              <w:pStyle w:val="13"/>
              <w:spacing w:before="0" w:after="0" w:afterLines="0" w:line="24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rPr>
              <w:t>投标文件的装订：</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rPr>
              <w:t>胶装</w:t>
            </w:r>
            <w:r>
              <w:rPr>
                <w:rFonts w:hint="eastAsia" w:ascii="宋体" w:hAnsi="宋体" w:eastAsia="宋体" w:cs="宋体"/>
                <w:sz w:val="24"/>
                <w:szCs w:val="24"/>
              </w:rPr>
              <w:t>，各自不允许超过两册。</w:t>
            </w:r>
          </w:p>
          <w:p>
            <w:pPr>
              <w:pStyle w:val="18"/>
              <w:rPr>
                <w:rFonts w:hint="eastAsia" w:eastAsia="宋体" w:cs="宋体" w:asciiTheme="minorHAnsi" w:hAnsiTheme="minorHAnsi"/>
                <w:b/>
                <w:sz w:val="24"/>
                <w:szCs w:val="24"/>
              </w:rPr>
            </w:pPr>
            <w:r>
              <w:rPr>
                <w:rFonts w:hint="eastAsia" w:hAnsi="宋体" w:eastAsia="宋体" w:cs="宋体"/>
                <w:b/>
                <w:bCs/>
                <w:sz w:val="24"/>
                <w:szCs w:val="24"/>
              </w:rPr>
              <w:t>技术标书和商务标书不单独装订的，投标文件做无效标处理。</w:t>
            </w:r>
          </w:p>
        </w:tc>
      </w:tr>
      <w:tr>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18"/>
              <w:ind w:firstLine="482" w:firstLineChars="200"/>
              <w:rPr>
                <w:rFonts w:hint="eastAsia" w:hAnsi="宋体" w:eastAsia="宋体" w:cs="宋体"/>
                <w:sz w:val="24"/>
                <w:szCs w:val="24"/>
                <w:highlight w:val="yellow"/>
              </w:rPr>
            </w:pPr>
            <w:r>
              <w:rPr>
                <w:rFonts w:hint="eastAsia" w:hAnsi="宋体" w:eastAsia="宋体" w:cs="宋体"/>
                <w:b/>
                <w:bCs/>
                <w:sz w:val="24"/>
                <w:szCs w:val="24"/>
              </w:rPr>
              <w:t>投标文件递交截止时间：</w:t>
            </w:r>
            <w:r>
              <w:rPr>
                <w:rFonts w:hint="eastAsia" w:hAnsi="宋体" w:eastAsia="宋体" w:cs="宋体"/>
                <w:sz w:val="24"/>
                <w:szCs w:val="24"/>
                <w:highlight w:val="yellow"/>
                <w:u w:val="single"/>
              </w:rPr>
              <w:t>2025年</w:t>
            </w:r>
            <w:r>
              <w:rPr>
                <w:rFonts w:hint="eastAsia" w:hAnsi="宋体" w:eastAsia="宋体" w:cs="宋体"/>
                <w:sz w:val="24"/>
                <w:szCs w:val="24"/>
                <w:highlight w:val="yellow"/>
                <w:u w:val="single"/>
                <w:lang w:val="en-US" w:eastAsia="zh-CN"/>
              </w:rPr>
              <w:t>11</w:t>
            </w:r>
            <w:r>
              <w:rPr>
                <w:rFonts w:hint="eastAsia" w:hAnsi="宋体" w:eastAsia="宋体" w:cs="宋体"/>
                <w:sz w:val="24"/>
                <w:szCs w:val="24"/>
                <w:highlight w:val="yellow"/>
                <w:u w:val="single"/>
              </w:rPr>
              <w:t>月</w:t>
            </w:r>
            <w:r>
              <w:rPr>
                <w:rFonts w:hint="eastAsia" w:hAnsi="宋体" w:eastAsia="宋体" w:cs="宋体"/>
                <w:sz w:val="24"/>
                <w:szCs w:val="24"/>
                <w:highlight w:val="yellow"/>
                <w:u w:val="single"/>
                <w:lang w:val="en-US" w:eastAsia="zh-CN"/>
              </w:rPr>
              <w:t>19</w:t>
            </w:r>
            <w:r>
              <w:rPr>
                <w:rFonts w:hint="eastAsia" w:hAnsi="宋体" w:eastAsia="宋体" w:cs="宋体"/>
                <w:sz w:val="24"/>
                <w:szCs w:val="24"/>
                <w:highlight w:val="yellow"/>
              </w:rPr>
              <w:t>日</w:t>
            </w:r>
            <w:r>
              <w:rPr>
                <w:rFonts w:hint="eastAsia" w:hAnsi="宋体" w:eastAsia="宋体" w:cs="宋体"/>
                <w:kern w:val="0"/>
                <w:sz w:val="24"/>
                <w:szCs w:val="24"/>
                <w:highlight w:val="yellow"/>
              </w:rPr>
              <w:t>上午9</w:t>
            </w:r>
            <w:r>
              <w:rPr>
                <w:rFonts w:hint="eastAsia" w:hAnsi="宋体" w:eastAsia="宋体" w:cs="宋体"/>
                <w:sz w:val="24"/>
                <w:szCs w:val="24"/>
                <w:highlight w:val="yellow"/>
              </w:rPr>
              <w:t>:00:00（北京时间）</w:t>
            </w:r>
          </w:p>
          <w:p>
            <w:pPr>
              <w:pStyle w:val="18"/>
              <w:ind w:firstLine="482" w:firstLineChars="200"/>
              <w:rPr>
                <w:rFonts w:hint="eastAsia" w:hAnsi="宋体" w:eastAsia="宋体" w:cs="宋体"/>
                <w:sz w:val="24"/>
                <w:szCs w:val="24"/>
                <w:highlight w:val="yellow"/>
              </w:rPr>
            </w:pPr>
            <w:r>
              <w:rPr>
                <w:rFonts w:hint="eastAsia" w:hAnsi="宋体" w:eastAsia="宋体" w:cs="宋体"/>
                <w:b/>
                <w:bCs/>
                <w:sz w:val="24"/>
                <w:szCs w:val="24"/>
              </w:rPr>
              <w:t>注：请务必在投标文件递交截止时间前完成投标操作，截止时间精确到秒，逾期将无法投标。请自行掌握时间，避免无法投标</w:t>
            </w:r>
            <w:r>
              <w:rPr>
                <w:rFonts w:hint="eastAsia" w:eastAsia="宋体" w:cs="宋体"/>
                <w:b/>
                <w:bCs/>
                <w:sz w:val="24"/>
                <w:szCs w:val="28"/>
              </w:rPr>
              <w:t>。</w:t>
            </w:r>
          </w:p>
        </w:tc>
      </w:tr>
      <w:tr>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自开标之日起90个日历日。</w:t>
            </w:r>
          </w:p>
        </w:tc>
      </w:tr>
      <w:tr>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4.投标保证金及投标有效期</w:t>
            </w:r>
          </w:p>
        </w:tc>
      </w:tr>
      <w:tr>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投标保证金的缴纳形式：</w:t>
            </w:r>
            <w:r>
              <w:rPr>
                <w:rFonts w:hint="eastAsia" w:ascii="宋体" w:hAnsi="宋体" w:eastAsia="宋体" w:cs="宋体"/>
                <w:sz w:val="24"/>
                <w:szCs w:val="24"/>
              </w:rPr>
              <w:t>电汇或网银</w:t>
            </w:r>
          </w:p>
        </w:tc>
      </w:tr>
      <w:tr>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highlight w:val="cyan"/>
              </w:rPr>
            </w:pPr>
            <w:r>
              <w:rPr>
                <w:rFonts w:hint="eastAsia" w:ascii="宋体" w:hAnsi="宋体" w:eastAsia="宋体" w:cs="宋体"/>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rPr>
                <w:rFonts w:hint="eastAsia" w:ascii="宋体" w:hAnsi="宋体" w:eastAsia="宋体" w:cs="宋体"/>
                <w:b/>
                <w:bCs/>
                <w:sz w:val="24"/>
                <w:szCs w:val="24"/>
                <w:highlight w:val="yellow"/>
              </w:rPr>
            </w:pPr>
            <w:r>
              <w:rPr>
                <w:rFonts w:ascii="宋体" w:hAnsi="宋体" w:eastAsia="宋体" w:cs="宋体"/>
                <w:b/>
                <w:bCs/>
                <w:sz w:val="24"/>
                <w:szCs w:val="24"/>
                <w:highlight w:val="yellow"/>
              </w:rPr>
              <w:t>投标保证金的金额：人民币</w:t>
            </w:r>
            <w:r>
              <w:rPr>
                <w:rFonts w:hint="eastAsia" w:ascii="宋体" w:hAnsi="宋体" w:eastAsia="宋体" w:cs="宋体"/>
                <w:b/>
                <w:bCs/>
                <w:sz w:val="24"/>
                <w:szCs w:val="24"/>
                <w:highlight w:val="yellow"/>
              </w:rPr>
              <w:t>5</w:t>
            </w:r>
            <w:r>
              <w:rPr>
                <w:rFonts w:ascii="宋体" w:hAnsi="宋体" w:eastAsia="宋体" w:cs="宋体"/>
                <w:b/>
                <w:bCs/>
                <w:sz w:val="24"/>
                <w:szCs w:val="24"/>
                <w:highlight w:val="yellow"/>
              </w:rPr>
              <w:t>000.00元</w:t>
            </w:r>
          </w:p>
          <w:p>
            <w:pPr>
              <w:tabs>
                <w:tab w:val="left" w:pos="932"/>
              </w:tabs>
              <w:ind w:firstLine="482"/>
              <w:rPr>
                <w:rFonts w:hint="eastAsia" w:ascii="宋体" w:hAnsi="宋体" w:eastAsia="宋体" w:cs="宋体"/>
                <w:b/>
                <w:bCs/>
                <w:sz w:val="24"/>
                <w:szCs w:val="24"/>
                <w:highlight w:val="yellow"/>
              </w:rPr>
            </w:pPr>
            <w:r>
              <w:rPr>
                <w:rFonts w:ascii="宋体" w:hAnsi="宋体" w:eastAsia="宋体" w:cs="宋体"/>
                <w:b/>
                <w:bCs/>
                <w:sz w:val="24"/>
                <w:szCs w:val="24"/>
                <w:highlight w:val="yellow"/>
              </w:rPr>
              <w:t>开户银行：</w:t>
            </w:r>
            <w:r>
              <w:rPr>
                <w:rFonts w:hint="eastAsia" w:ascii="宋体" w:hAnsi="宋体" w:eastAsia="宋体" w:cs="宋体"/>
                <w:b/>
                <w:bCs/>
                <w:sz w:val="24"/>
                <w:szCs w:val="24"/>
                <w:highlight w:val="yellow"/>
              </w:rPr>
              <w:t>中国银行章丘支行</w:t>
            </w:r>
          </w:p>
          <w:p>
            <w:pPr>
              <w:tabs>
                <w:tab w:val="left" w:pos="932"/>
              </w:tabs>
              <w:ind w:firstLine="482"/>
              <w:rPr>
                <w:rFonts w:hint="eastAsia" w:ascii="宋体" w:hAnsi="宋体" w:eastAsia="宋体" w:cs="宋体"/>
                <w:b/>
                <w:bCs/>
                <w:sz w:val="24"/>
                <w:szCs w:val="24"/>
                <w:highlight w:val="yellow"/>
              </w:rPr>
            </w:pPr>
            <w:r>
              <w:rPr>
                <w:rFonts w:hint="eastAsia" w:ascii="宋体" w:hAnsi="宋体" w:eastAsia="宋体" w:cs="宋体"/>
                <w:b/>
                <w:bCs/>
                <w:sz w:val="24"/>
                <w:szCs w:val="24"/>
                <w:highlight w:val="yellow"/>
              </w:rPr>
              <w:t>户名</w:t>
            </w:r>
            <w:r>
              <w:rPr>
                <w:rFonts w:ascii="宋体" w:hAnsi="宋体" w:eastAsia="宋体" w:cs="宋体"/>
                <w:b/>
                <w:bCs/>
                <w:sz w:val="24"/>
                <w:szCs w:val="24"/>
                <w:highlight w:val="yellow"/>
              </w:rPr>
              <w:t>：</w:t>
            </w:r>
            <w:r>
              <w:rPr>
                <w:rFonts w:hint="eastAsia" w:ascii="宋体" w:hAnsi="宋体" w:eastAsia="宋体" w:cs="宋体"/>
                <w:b/>
                <w:bCs/>
                <w:sz w:val="24"/>
                <w:szCs w:val="24"/>
                <w:highlight w:val="yellow"/>
              </w:rPr>
              <w:t>中国重汽集团济南动力有限公司发动机厂</w:t>
            </w:r>
          </w:p>
          <w:p>
            <w:pPr>
              <w:tabs>
                <w:tab w:val="left" w:pos="932"/>
              </w:tabs>
              <w:ind w:firstLine="482"/>
              <w:rPr>
                <w:rFonts w:hint="eastAsia" w:ascii="宋体" w:hAnsi="宋体" w:eastAsia="宋体" w:cs="宋体"/>
                <w:b/>
                <w:bCs/>
                <w:sz w:val="24"/>
                <w:szCs w:val="24"/>
                <w:highlight w:val="yellow"/>
              </w:rPr>
            </w:pPr>
            <w:r>
              <w:rPr>
                <w:rFonts w:ascii="宋体" w:hAnsi="宋体" w:eastAsia="宋体" w:cs="宋体"/>
                <w:b/>
                <w:bCs/>
                <w:sz w:val="24"/>
                <w:szCs w:val="24"/>
                <w:highlight w:val="yellow"/>
              </w:rPr>
              <w:t>账号：</w:t>
            </w:r>
            <w:r>
              <w:rPr>
                <w:rFonts w:hint="eastAsia" w:ascii="宋体" w:hAnsi="宋体" w:eastAsia="宋体" w:cs="宋体"/>
                <w:b/>
                <w:bCs/>
                <w:sz w:val="24"/>
                <w:szCs w:val="24"/>
                <w:highlight w:val="yellow"/>
              </w:rPr>
              <w:t>2234 0557 4478</w:t>
            </w:r>
          </w:p>
          <w:p>
            <w:pPr>
              <w:rPr>
                <w:rFonts w:hint="eastAsia" w:ascii="宋体" w:hAnsi="宋体" w:eastAsia="宋体" w:cs="宋体"/>
                <w:sz w:val="24"/>
                <w:szCs w:val="24"/>
                <w:highlight w:val="yellow"/>
              </w:rPr>
            </w:pPr>
            <w:r>
              <w:rPr>
                <w:rFonts w:ascii="宋体" w:hAnsi="宋体" w:eastAsia="宋体" w:cs="宋体"/>
                <w:sz w:val="24"/>
                <w:szCs w:val="24"/>
                <w:highlight w:val="yellow"/>
              </w:rPr>
              <w:t>投标保证金应从投标人的基本账户转出至上述账户并到账，否则视为无效投标。</w:t>
            </w:r>
          </w:p>
          <w:p>
            <w:pPr>
              <w:ind w:firstLine="480" w:firstLineChars="200"/>
              <w:rPr>
                <w:rFonts w:hint="eastAsia" w:ascii="宋体" w:hAnsi="宋体" w:eastAsia="宋体" w:cs="宋体"/>
                <w:sz w:val="24"/>
                <w:szCs w:val="24"/>
                <w:highlight w:val="cyan"/>
              </w:rPr>
            </w:pPr>
            <w:r>
              <w:rPr>
                <w:rFonts w:eastAsia="宋体" w:cs="Times New Roman"/>
                <w:sz w:val="24"/>
                <w:szCs w:val="28"/>
                <w:highlight w:val="yellow"/>
              </w:rPr>
              <w:t>转账附言：公司名称+项目名称+投标保证金。</w:t>
            </w:r>
          </w:p>
        </w:tc>
      </w:tr>
      <w:tr>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36"/>
              <w:spacing w:after="0" w:line="240" w:lineRule="auto"/>
              <w:ind w:left="0" w:leftChars="0" w:firstLine="482"/>
              <w:rPr>
                <w:rFonts w:hint="eastAsia" w:ascii="宋体" w:hAnsi="宋体" w:cs="宋体"/>
                <w:sz w:val="24"/>
                <w:szCs w:val="24"/>
              </w:rPr>
            </w:pPr>
            <w:r>
              <w:rPr>
                <w:rFonts w:hint="eastAsia" w:ascii="宋体" w:hAnsi="宋体" w:cs="宋体"/>
                <w:b/>
                <w:bCs/>
                <w:sz w:val="24"/>
                <w:szCs w:val="24"/>
              </w:rPr>
              <w:t>保证金缴纳截止时间：</w:t>
            </w:r>
            <w:r>
              <w:rPr>
                <w:rFonts w:hint="eastAsia" w:ascii="宋体" w:hAnsi="宋体" w:cs="宋体"/>
                <w:sz w:val="24"/>
                <w:szCs w:val="24"/>
                <w:highlight w:val="yellow"/>
              </w:rPr>
              <w:t>2025年</w:t>
            </w:r>
            <w:r>
              <w:rPr>
                <w:rFonts w:hint="eastAsia" w:ascii="宋体" w:hAnsi="宋体" w:cs="宋体"/>
                <w:sz w:val="24"/>
                <w:szCs w:val="24"/>
                <w:highlight w:val="yellow"/>
                <w:lang w:val="en-US" w:eastAsia="zh-CN"/>
              </w:rPr>
              <w:t>11</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19</w:t>
            </w:r>
            <w:r>
              <w:rPr>
                <w:rFonts w:hint="eastAsia" w:ascii="宋体" w:hAnsi="宋体" w:cs="宋体"/>
                <w:sz w:val="24"/>
                <w:szCs w:val="24"/>
                <w:highlight w:val="yellow"/>
              </w:rPr>
              <w:t>日1</w:t>
            </w:r>
            <w:r>
              <w:rPr>
                <w:rFonts w:ascii="宋体" w:hAnsi="宋体" w:cs="宋体"/>
                <w:sz w:val="24"/>
                <w:szCs w:val="24"/>
                <w:highlight w:val="yellow"/>
              </w:rPr>
              <w:t>7</w:t>
            </w:r>
            <w:r>
              <w:rPr>
                <w:rFonts w:hint="eastAsia" w:ascii="宋体" w:hAnsi="宋体" w:cs="宋体"/>
                <w:sz w:val="24"/>
                <w:szCs w:val="24"/>
                <w:highlight w:val="yellow"/>
              </w:rPr>
              <w:t>：</w:t>
            </w:r>
            <w:r>
              <w:rPr>
                <w:rFonts w:ascii="宋体" w:hAnsi="宋体" w:cs="宋体"/>
                <w:sz w:val="24"/>
                <w:szCs w:val="24"/>
                <w:highlight w:val="yellow"/>
              </w:rPr>
              <w:t>0</w:t>
            </w:r>
            <w:r>
              <w:rPr>
                <w:rFonts w:hint="eastAsia" w:ascii="宋体" w:hAnsi="宋体" w:cs="宋体"/>
                <w:sz w:val="24"/>
                <w:szCs w:val="24"/>
                <w:highlight w:val="yellow"/>
              </w:rPr>
              <w:t>0前（同应标截止时间）</w:t>
            </w:r>
          </w:p>
          <w:p>
            <w:pPr>
              <w:pStyle w:val="36"/>
              <w:spacing w:after="0" w:line="240" w:lineRule="auto"/>
              <w:ind w:left="0" w:leftChars="0" w:firstLine="480"/>
              <w:rPr>
                <w:rFonts w:hint="eastAsia" w:ascii="宋体" w:hAnsi="宋体" w:cs="宋体"/>
                <w:sz w:val="24"/>
                <w:szCs w:val="24"/>
              </w:rPr>
            </w:pPr>
            <w:r>
              <w:rPr>
                <w:rFonts w:hint="eastAsia" w:ascii="宋体" w:hAnsi="宋体" w:cs="宋体"/>
                <w:sz w:val="24"/>
                <w:szCs w:val="24"/>
              </w:rPr>
              <w:t>供应商应充分考虑银行信息交换时间，由此带来的保证金不能按时到帐的责任由供应商自行承担。</w:t>
            </w:r>
          </w:p>
        </w:tc>
      </w:tr>
      <w:tr>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36"/>
              <w:spacing w:after="0" w:line="240" w:lineRule="auto"/>
              <w:ind w:left="0" w:leftChars="0" w:firstLine="480"/>
              <w:rPr>
                <w:rFonts w:hint="eastAsia" w:ascii="宋体" w:hAnsi="宋体" w:cs="宋体"/>
                <w:sz w:val="24"/>
                <w:szCs w:val="24"/>
              </w:rPr>
            </w:pPr>
            <w:r>
              <w:rPr>
                <w:rFonts w:hint="eastAsia" w:ascii="宋体" w:hAnsi="宋体" w:cs="宋体"/>
                <w:sz w:val="24"/>
                <w:szCs w:val="24"/>
              </w:rPr>
              <w:t>对于没有中标的投标人，投标保证金将于招标人内部完成中标人评审并确认最终中标人后在30工作日内予以原路返还（无息）；对于中标方，投标保证金将在签订合同后30个工作日内原路返还（无息）。</w:t>
            </w:r>
          </w:p>
        </w:tc>
      </w:tr>
      <w:tr>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5.开评标</w:t>
            </w:r>
          </w:p>
        </w:tc>
      </w:tr>
      <w:tr>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开标时间：</w:t>
            </w:r>
            <w:r>
              <w:rPr>
                <w:rFonts w:hint="eastAsia" w:ascii="宋体" w:hAnsi="宋体" w:eastAsia="宋体" w:cs="宋体"/>
                <w:sz w:val="24"/>
                <w:szCs w:val="24"/>
                <w:highlight w:val="yellow"/>
              </w:rPr>
              <w:t>2025年</w:t>
            </w:r>
            <w:r>
              <w:rPr>
                <w:rFonts w:hint="eastAsia" w:ascii="宋体" w:hAnsi="宋体" w:eastAsia="宋体" w:cs="宋体"/>
                <w:sz w:val="24"/>
                <w:szCs w:val="24"/>
                <w:highlight w:val="yellow"/>
                <w:lang w:val="en-US" w:eastAsia="zh-CN"/>
              </w:rPr>
              <w:t>11</w:t>
            </w:r>
            <w:r>
              <w:rPr>
                <w:rFonts w:hint="eastAsia" w:ascii="宋体" w:hAnsi="宋体" w:eastAsia="宋体" w:cs="宋体"/>
                <w:sz w:val="24"/>
                <w:szCs w:val="24"/>
                <w:highlight w:val="yellow"/>
              </w:rPr>
              <w:t>月</w:t>
            </w:r>
            <w:r>
              <w:rPr>
                <w:rFonts w:hint="eastAsia" w:ascii="宋体" w:hAnsi="宋体" w:eastAsia="宋体" w:cs="宋体"/>
                <w:sz w:val="24"/>
                <w:szCs w:val="24"/>
                <w:highlight w:val="yellow"/>
                <w:lang w:val="en-US" w:eastAsia="zh-CN"/>
              </w:rPr>
              <w:t>19</w:t>
            </w:r>
            <w:r>
              <w:rPr>
                <w:rFonts w:hint="eastAsia" w:ascii="宋体" w:hAnsi="宋体" w:cs="宋体"/>
                <w:sz w:val="24"/>
                <w:szCs w:val="24"/>
                <w:highlight w:val="yellow"/>
              </w:rPr>
              <w:t>日9:00:00</w:t>
            </w:r>
            <w:r>
              <w:rPr>
                <w:rFonts w:hint="eastAsia" w:ascii="宋体" w:hAnsi="宋体" w:eastAsia="宋体" w:cs="宋体"/>
                <w:kern w:val="0"/>
                <w:sz w:val="24"/>
                <w:szCs w:val="24"/>
                <w:highlight w:val="yellow"/>
              </w:rPr>
              <w:t>。</w:t>
            </w:r>
          </w:p>
          <w:p>
            <w:pPr>
              <w:ind w:firstLine="482" w:firstLineChars="200"/>
              <w:rPr>
                <w:rFonts w:hint="eastAsia"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sz w:val="24"/>
                <w:szCs w:val="24"/>
                <w:highlight w:val="yellow"/>
              </w:rPr>
              <w:t>济南市</w:t>
            </w:r>
            <w:r>
              <w:rPr>
                <w:rFonts w:hint="eastAsia" w:ascii="宋体" w:hAnsi="宋体" w:eastAsia="宋体" w:cs="Times New Roman"/>
                <w:color w:val="000000"/>
                <w:sz w:val="24"/>
                <w:szCs w:val="24"/>
                <w:highlight w:val="yellow"/>
              </w:rPr>
              <w:t>章丘区</w:t>
            </w:r>
            <w:r>
              <w:rPr>
                <w:rFonts w:hint="eastAsia" w:ascii="宋体" w:hAnsi="宋体" w:eastAsia="宋体" w:cs="宋体"/>
                <w:sz w:val="24"/>
                <w:szCs w:val="24"/>
                <w:highlight w:val="yellow"/>
              </w:rPr>
              <w:t>世纪大道7777号济南发动机厂C305会议室</w:t>
            </w:r>
            <w:r>
              <w:rPr>
                <w:rFonts w:hint="eastAsia" w:ascii="宋体" w:hAnsi="宋体" w:eastAsia="宋体" w:cs="宋体"/>
                <w:sz w:val="24"/>
                <w:szCs w:val="24"/>
              </w:rPr>
              <w:t>。</w:t>
            </w:r>
          </w:p>
          <w:p>
            <w:pPr>
              <w:ind w:firstLine="480" w:firstLineChars="200"/>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开标时间及地点若有变动另行通知。</w:t>
            </w:r>
          </w:p>
        </w:tc>
      </w:tr>
      <w:tr>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pPr>
              <w:pStyle w:val="12"/>
              <w:ind w:firstLine="482" w:firstLineChars="200"/>
              <w:rPr>
                <w:rFonts w:hint="eastAsia" w:ascii="宋体" w:hAnsi="宋体" w:eastAsia="宋体" w:cs="宋体"/>
                <w:sz w:val="24"/>
                <w:szCs w:val="24"/>
              </w:rPr>
            </w:pPr>
            <w:r>
              <w:rPr>
                <w:rFonts w:hint="eastAsia" w:ascii="宋体" w:hAnsi="宋体" w:eastAsia="宋体" w:cs="宋体"/>
                <w:b/>
                <w:bCs/>
                <w:sz w:val="24"/>
                <w:szCs w:val="24"/>
              </w:rPr>
              <w:t>评标方法：资质标审核→唱标→商务标评审。</w:t>
            </w:r>
            <w:r>
              <w:rPr>
                <w:rFonts w:hint="eastAsia" w:ascii="宋体" w:hAnsi="宋体" w:eastAsia="宋体" w:cs="宋体"/>
                <w:b/>
                <w:bCs/>
                <w:sz w:val="24"/>
                <w:szCs w:val="24"/>
                <w:highlight w:val="magenta"/>
                <w:lang w:val="en-US" w:eastAsia="zh-CN"/>
              </w:rPr>
              <w:t>合理最低价</w:t>
            </w:r>
            <w:r>
              <w:rPr>
                <w:rFonts w:hint="eastAsia" w:ascii="宋体" w:hAnsi="宋体" w:eastAsia="宋体" w:cs="宋体"/>
                <w:b/>
                <w:bCs/>
                <w:sz w:val="24"/>
                <w:szCs w:val="24"/>
                <w:highlight w:val="magenta"/>
              </w:rPr>
              <w:t>中标。</w:t>
            </w:r>
            <w:r>
              <w:rPr>
                <w:rFonts w:hint="eastAsia" w:ascii="宋体" w:hAnsi="宋体" w:eastAsia="宋体" w:cs="宋体"/>
                <w:sz w:val="24"/>
                <w:szCs w:val="24"/>
              </w:rPr>
              <w:t>具体详见“第二部分投标须知第六条：评标原则”。</w:t>
            </w:r>
          </w:p>
        </w:tc>
      </w:tr>
      <w:tr>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b/>
                <w:bCs/>
                <w:sz w:val="24"/>
                <w:szCs w:val="24"/>
              </w:rPr>
              <w:t>6.合同签订</w:t>
            </w:r>
          </w:p>
        </w:tc>
      </w:tr>
      <w:tr>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宋体" w:hAnsi="宋体" w:eastAsia="宋体" w:cs="宋体"/>
                <w:sz w:val="24"/>
                <w:szCs w:val="24"/>
              </w:rPr>
            </w:pPr>
            <w:r>
              <w:rPr>
                <w:rFonts w:hint="eastAsia" w:ascii="宋体" w:hAnsi="宋体" w:eastAsia="宋体" w:cs="宋体"/>
                <w:sz w:val="24"/>
                <w:szCs w:val="24"/>
              </w:rPr>
              <w:t>见第二部分投标须知第七条。</w:t>
            </w:r>
          </w:p>
        </w:tc>
      </w:tr>
      <w:tr>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b/>
                <w:bCs/>
                <w:sz w:val="24"/>
                <w:szCs w:val="24"/>
              </w:rPr>
            </w:pPr>
            <w:r>
              <w:rPr>
                <w:rFonts w:hint="eastAsia" w:ascii="宋体" w:hAnsi="宋体" w:eastAsia="宋体" w:cs="宋体"/>
                <w:b/>
                <w:bCs/>
                <w:sz w:val="24"/>
                <w:szCs w:val="24"/>
              </w:rPr>
              <w:t>7.交货期及付款方式</w:t>
            </w:r>
          </w:p>
        </w:tc>
      </w:tr>
      <w:tr>
        <w:trPr>
          <w:trHeight w:val="32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pPr>
              <w:pStyle w:val="18"/>
              <w:ind w:firstLine="482" w:firstLineChars="200"/>
              <w:rPr>
                <w:rFonts w:hint="eastAsia" w:hAnsi="宋体" w:eastAsia="宋体" w:cs="宋体"/>
                <w:b/>
                <w:bCs/>
                <w:color w:val="000000"/>
                <w:sz w:val="24"/>
                <w:szCs w:val="24"/>
              </w:rPr>
            </w:pPr>
            <w:r>
              <w:rPr>
                <w:rFonts w:hint="eastAsia" w:hAnsi="宋体" w:eastAsia="宋体" w:cs="宋体"/>
                <w:b/>
                <w:bCs/>
                <w:color w:val="000000"/>
                <w:sz w:val="24"/>
                <w:szCs w:val="24"/>
              </w:rPr>
              <w:t>交货期：</w:t>
            </w:r>
          </w:p>
          <w:p>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1.自接到中标通知起，</w:t>
            </w:r>
            <w:r>
              <w:rPr>
                <w:rFonts w:hint="eastAsia" w:hAnsi="宋体" w:eastAsia="宋体" w:cs="宋体"/>
                <w:color w:val="000000"/>
                <w:sz w:val="24"/>
                <w:szCs w:val="24"/>
                <w:highlight w:val="yellow"/>
              </w:rPr>
              <w:t>4</w:t>
            </w:r>
            <w:r>
              <w:rPr>
                <w:rFonts w:hint="eastAsia" w:hAnsi="宋体" w:eastAsia="宋体" w:cs="宋体"/>
                <w:color w:val="000000"/>
                <w:sz w:val="24"/>
                <w:szCs w:val="24"/>
                <w:highlight w:val="yellow"/>
                <w:lang w:val="en-US" w:eastAsia="zh-CN"/>
              </w:rPr>
              <w:t>5</w:t>
            </w:r>
            <w:r>
              <w:rPr>
                <w:rFonts w:hint="eastAsia" w:hAnsi="宋体" w:eastAsia="宋体" w:cs="宋体"/>
                <w:color w:val="000000"/>
                <w:sz w:val="24"/>
                <w:szCs w:val="24"/>
                <w:highlight w:val="yellow"/>
              </w:rPr>
              <w:t>日历日</w:t>
            </w:r>
            <w:r>
              <w:rPr>
                <w:rFonts w:hint="eastAsia" w:hAnsi="宋体" w:eastAsia="宋体" w:cs="宋体"/>
                <w:color w:val="000000"/>
                <w:sz w:val="24"/>
                <w:szCs w:val="24"/>
              </w:rPr>
              <w:t>之内交货至供货地点。</w:t>
            </w:r>
          </w:p>
          <w:p>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2.接续15个日历日之内安装完毕。</w:t>
            </w:r>
          </w:p>
          <w:p>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3.接续15个日历日之内调试完毕。</w:t>
            </w:r>
          </w:p>
          <w:p>
            <w:pPr>
              <w:pStyle w:val="18"/>
              <w:ind w:firstLine="480" w:firstLineChars="200"/>
              <w:rPr>
                <w:rFonts w:hint="eastAsia" w:hAnsi="宋体" w:eastAsia="宋体" w:cs="宋体"/>
                <w:color w:val="000000"/>
                <w:sz w:val="24"/>
                <w:szCs w:val="24"/>
              </w:rPr>
            </w:pPr>
            <w:r>
              <w:rPr>
                <w:rFonts w:hint="eastAsia" w:hAnsi="宋体" w:eastAsia="宋体" w:cs="宋体"/>
                <w:color w:val="000000"/>
                <w:sz w:val="24"/>
                <w:szCs w:val="24"/>
              </w:rPr>
              <w:t>安装调试工期超过</w:t>
            </w:r>
            <w:r>
              <w:rPr>
                <w:rFonts w:hint="eastAsia" w:hAnsi="宋体" w:eastAsia="宋体" w:cs="宋体"/>
                <w:color w:val="000000"/>
                <w:sz w:val="24"/>
                <w:szCs w:val="24"/>
                <w:highlight w:val="yellow"/>
              </w:rPr>
              <w:t>规定时间</w:t>
            </w:r>
            <w:r>
              <w:rPr>
                <w:rFonts w:hint="eastAsia" w:hAnsi="宋体" w:eastAsia="宋体" w:cs="宋体"/>
                <w:color w:val="000000"/>
                <w:sz w:val="24"/>
                <w:szCs w:val="24"/>
              </w:rPr>
              <w:t>的，投标人应当随标书提供详细的工期计划。</w:t>
            </w:r>
          </w:p>
        </w:tc>
      </w:tr>
      <w:tr>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pPr>
              <w:pStyle w:val="18"/>
              <w:ind w:firstLine="482" w:firstLineChars="200"/>
              <w:rPr>
                <w:rFonts w:hint="eastAsia"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pPr>
              <w:pStyle w:val="18"/>
              <w:ind w:firstLine="482" w:firstLineChars="200"/>
              <w:rPr>
                <w:rFonts w:hint="eastAsia" w:hAnsi="宋体" w:eastAsia="宋体" w:cs="宋体"/>
                <w:color w:val="000000"/>
                <w:sz w:val="24"/>
                <w:szCs w:val="24"/>
              </w:rPr>
            </w:pPr>
            <w:r>
              <w:rPr>
                <w:rFonts w:hint="eastAsia" w:hAnsi="宋体" w:eastAsia="宋体" w:cs="宋体"/>
                <w:b/>
                <w:bCs/>
                <w:color w:val="000000"/>
                <w:sz w:val="24"/>
                <w:szCs w:val="24"/>
              </w:rPr>
              <w:t>交货地点：</w:t>
            </w:r>
            <w:r>
              <w:rPr>
                <w:rFonts w:hint="eastAsia" w:hAnsi="宋体" w:eastAsia="宋体" w:cs="宋体"/>
                <w:color w:val="000000"/>
                <w:sz w:val="24"/>
                <w:szCs w:val="24"/>
                <w:u w:val="single"/>
              </w:rPr>
              <w:t>济南市章丘区世纪大道7777号中国重汽集团济南动力有限公司济南发动机厂</w:t>
            </w:r>
            <w:r>
              <w:rPr>
                <w:rFonts w:hint="eastAsia" w:hAnsi="宋体" w:eastAsia="宋体" w:cs="宋体"/>
                <w:color w:val="000000"/>
                <w:sz w:val="24"/>
                <w:szCs w:val="24"/>
              </w:rPr>
              <w:t>。</w:t>
            </w:r>
          </w:p>
        </w:tc>
      </w:tr>
      <w:tr>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pPr>
              <w:pStyle w:val="12"/>
              <w:ind w:firstLine="482" w:firstLineChars="200"/>
              <w:rPr>
                <w:rFonts w:hint="eastAsia" w:ascii="宋体" w:hAnsi="宋体" w:eastAsia="宋体" w:cs="宋体"/>
                <w:sz w:val="24"/>
                <w:szCs w:val="24"/>
              </w:rPr>
            </w:pPr>
            <w:r>
              <w:rPr>
                <w:rFonts w:hint="eastAsia" w:ascii="宋体" w:hAnsi="宋体" w:eastAsia="宋体" w:cs="宋体"/>
                <w:b/>
                <w:sz w:val="24"/>
                <w:szCs w:val="24"/>
              </w:rPr>
              <w:t>质保期：自设备验收文件最终签署之日起</w:t>
            </w:r>
            <w:r>
              <w:rPr>
                <w:rFonts w:hint="eastAsia" w:ascii="宋体" w:hAnsi="宋体" w:eastAsia="宋体" w:cs="宋体"/>
                <w:b/>
                <w:sz w:val="24"/>
                <w:szCs w:val="24"/>
                <w:highlight w:val="yellow"/>
                <w:u w:val="single"/>
              </w:rPr>
              <w:t>1</w:t>
            </w:r>
            <w:r>
              <w:rPr>
                <w:rFonts w:hint="eastAsia" w:ascii="宋体" w:hAnsi="宋体" w:eastAsia="宋体" w:cs="宋体"/>
                <w:b/>
                <w:sz w:val="24"/>
                <w:szCs w:val="24"/>
                <w:highlight w:val="yellow"/>
              </w:rPr>
              <w:t>年</w:t>
            </w:r>
            <w:r>
              <w:rPr>
                <w:rFonts w:hint="eastAsia" w:ascii="宋体" w:hAnsi="宋体" w:eastAsia="宋体" w:cs="宋体"/>
                <w:b/>
                <w:sz w:val="24"/>
                <w:szCs w:val="24"/>
              </w:rPr>
              <w:t>。</w:t>
            </w:r>
            <w:r>
              <w:rPr>
                <w:rFonts w:hint="eastAsia" w:ascii="宋体" w:hAnsi="宋体" w:eastAsia="宋体" w:cs="宋体"/>
                <w:sz w:val="24"/>
                <w:szCs w:val="24"/>
              </w:rPr>
              <w:t>（投标人可在满足上述最短质保期基础上竞报）</w:t>
            </w:r>
          </w:p>
        </w:tc>
      </w:tr>
      <w:tr>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pPr>
              <w:pStyle w:val="18"/>
              <w:ind w:firstLine="482" w:firstLineChars="200"/>
              <w:rPr>
                <w:rFonts w:hint="eastAsia" w:hAnsi="宋体" w:eastAsia="宋体" w:cs="宋体"/>
                <w:color w:val="000000"/>
                <w:sz w:val="24"/>
                <w:szCs w:val="24"/>
                <w:highlight w:val="yellow"/>
              </w:rPr>
            </w:pPr>
            <w:r>
              <w:rPr>
                <w:rFonts w:hint="eastAsia" w:hAnsi="宋体" w:eastAsia="宋体" w:cs="宋体"/>
                <w:b/>
                <w:bCs/>
                <w:color w:val="000000"/>
                <w:sz w:val="24"/>
                <w:szCs w:val="24"/>
                <w:highlight w:val="yellow"/>
              </w:rPr>
              <w:t>付款方式：</w:t>
            </w:r>
            <w:r>
              <w:rPr>
                <w:rFonts w:hint="eastAsia" w:hAnsi="宋体" w:eastAsia="宋体" w:cs="宋体"/>
                <w:b/>
                <w:bCs/>
                <w:color w:val="000000"/>
                <w:sz w:val="24"/>
                <w:szCs w:val="24"/>
                <w:highlight w:val="yellow"/>
                <w:u w:val="single"/>
              </w:rPr>
              <w:t>半年期商业汇票（包括银行承兑汇票和商业承兑汇票）</w:t>
            </w:r>
            <w:r>
              <w:rPr>
                <w:rFonts w:hint="eastAsia" w:hAnsi="宋体" w:eastAsia="宋体" w:cs="宋体"/>
                <w:color w:val="000000"/>
                <w:sz w:val="24"/>
                <w:szCs w:val="24"/>
                <w:highlight w:val="yellow"/>
              </w:rPr>
              <w:t>：</w:t>
            </w:r>
          </w:p>
          <w:p>
            <w:pPr>
              <w:ind w:firstLine="480"/>
              <w:rPr>
                <w:rFonts w:hint="eastAsia" w:ascii="宋体" w:hAnsi="宋体" w:eastAsia="宋体" w:cs="宋体"/>
                <w:color w:val="000000"/>
                <w:sz w:val="24"/>
                <w:szCs w:val="24"/>
                <w:highlight w:val="yellow"/>
              </w:rPr>
            </w:pPr>
            <w:r>
              <w:rPr>
                <w:rFonts w:ascii="宋体" w:hAnsi="宋体" w:eastAsia="宋体" w:cs="宋体"/>
                <w:color w:val="000000"/>
                <w:sz w:val="24"/>
                <w:szCs w:val="24"/>
                <w:highlight w:val="yellow"/>
              </w:rPr>
              <w:t>设备验收合格后，中标人提交金额为合同价款</w:t>
            </w:r>
            <w:r>
              <w:rPr>
                <w:rFonts w:hint="eastAsia" w:ascii="宋体" w:hAnsi="宋体" w:eastAsia="宋体" w:cs="宋体"/>
                <w:color w:val="000000"/>
                <w:sz w:val="24"/>
                <w:szCs w:val="24"/>
                <w:highlight w:val="yellow"/>
              </w:rPr>
              <w:t>9</w:t>
            </w:r>
            <w:r>
              <w:rPr>
                <w:rFonts w:ascii="宋体" w:hAnsi="宋体" w:eastAsia="宋体" w:cs="宋体"/>
                <w:color w:val="000000"/>
                <w:sz w:val="24"/>
                <w:szCs w:val="24"/>
                <w:highlight w:val="yellow"/>
              </w:rPr>
              <w:t>0%的收据并提供合同价款</w:t>
            </w:r>
            <w:r>
              <w:rPr>
                <w:rFonts w:hint="eastAsia" w:ascii="宋体" w:hAnsi="宋体" w:eastAsia="宋体" w:cs="宋体"/>
                <w:color w:val="000000"/>
                <w:sz w:val="24"/>
                <w:szCs w:val="24"/>
                <w:highlight w:val="yellow"/>
              </w:rPr>
              <w:t>10</w:t>
            </w:r>
            <w:r>
              <w:rPr>
                <w:rFonts w:ascii="宋体" w:hAnsi="宋体" w:eastAsia="宋体" w:cs="宋体"/>
                <w:color w:val="000000"/>
                <w:sz w:val="24"/>
                <w:szCs w:val="24"/>
                <w:highlight w:val="yellow"/>
              </w:rPr>
              <w:t>0%的增值税专用发票（含复印件二份），经招标人依照财务制度审核通过后30日支付；</w:t>
            </w:r>
          </w:p>
          <w:p>
            <w:pPr>
              <w:ind w:firstLine="480" w:firstLineChars="200"/>
              <w:rPr>
                <w:rFonts w:ascii="宋体" w:hAnsi="宋体" w:eastAsia="宋体" w:cs="宋体"/>
                <w:color w:val="000000"/>
                <w:sz w:val="24"/>
                <w:szCs w:val="24"/>
                <w:highlight w:val="yellow"/>
              </w:rPr>
            </w:pPr>
            <w:r>
              <w:rPr>
                <w:rFonts w:ascii="宋体" w:hAnsi="宋体" w:eastAsia="宋体" w:cs="宋体"/>
                <w:color w:val="000000"/>
                <w:sz w:val="24"/>
                <w:szCs w:val="24"/>
                <w:highlight w:val="yellow"/>
              </w:rPr>
              <w:t>合同总价款的10%作为本合同约定设备的质量保证金，质量保证金在质量保证期内不计利息。待每套合同设备质量保证期满，中标人向招标人提交金额为合同价款10%的收据（正本一份，复印件二份）及设备使用单位的使用情况说明，经招标人依照财务制度审核通过后30日支付。如有质量问题，质量保证金予以相应扣除。</w:t>
            </w:r>
          </w:p>
          <w:p>
            <w:pPr>
              <w:ind w:firstLine="482" w:firstLineChars="200"/>
              <w:rPr>
                <w:rFonts w:hint="default" w:ascii="宋体" w:hAnsi="宋体" w:eastAsia="宋体" w:cs="宋体"/>
                <w:color w:val="000000"/>
                <w:sz w:val="24"/>
                <w:szCs w:val="24"/>
                <w:highlight w:val="yellow"/>
                <w:lang w:val="en-US" w:eastAsia="zh-CN"/>
              </w:rPr>
            </w:pPr>
            <w:r>
              <w:rPr>
                <w:rFonts w:hint="eastAsia" w:ascii="宋体" w:hAnsi="宋体" w:eastAsia="宋体" w:cs="宋体"/>
                <w:b/>
                <w:bCs/>
                <w:color w:val="000000"/>
                <w:sz w:val="24"/>
                <w:szCs w:val="24"/>
                <w:highlight w:val="yellow"/>
                <w:lang w:val="en-US" w:eastAsia="zh-CN"/>
              </w:rPr>
              <w:t>付款方式及比例不允许偏离。</w:t>
            </w:r>
          </w:p>
        </w:tc>
      </w:tr>
      <w:tr>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增值税专用发票开票信息：</w:t>
            </w:r>
          </w:p>
          <w:p>
            <w:pPr>
              <w:ind w:firstLine="480" w:firstLineChars="200"/>
              <w:rPr>
                <w:rFonts w:hint="eastAsia" w:ascii="宋体" w:hAnsi="宋体" w:cs="宋体"/>
                <w:bCs/>
                <w:sz w:val="24"/>
                <w:szCs w:val="24"/>
              </w:rPr>
            </w:pPr>
            <w:r>
              <w:rPr>
                <w:rFonts w:hint="eastAsia" w:ascii="宋体" w:hAnsi="宋体" w:eastAsia="宋体" w:cs="宋体"/>
                <w:sz w:val="24"/>
                <w:szCs w:val="24"/>
                <w:lang w:bidi="ar"/>
              </w:rPr>
              <w:t>见最终合同签订信息</w:t>
            </w:r>
          </w:p>
        </w:tc>
      </w:tr>
      <w:tr>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2"/>
              <w:jc w:val="center"/>
              <w:rPr>
                <w:rFonts w:hint="eastAsia" w:ascii="宋体" w:hAnsi="宋体" w:eastAsia="宋体" w:cs="宋体"/>
                <w:sz w:val="24"/>
                <w:szCs w:val="24"/>
              </w:rPr>
            </w:pPr>
            <w:r>
              <w:rPr>
                <w:rFonts w:hint="eastAsia" w:ascii="宋体" w:hAnsi="宋体" w:eastAsia="宋体" w:cs="宋体"/>
                <w:b/>
                <w:bCs/>
                <w:sz w:val="24"/>
                <w:szCs w:val="24"/>
              </w:rPr>
              <w:t>8.其它</w:t>
            </w:r>
          </w:p>
        </w:tc>
      </w:tr>
      <w:tr>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pPr>
              <w:pStyle w:val="12"/>
              <w:ind w:firstLine="480" w:firstLineChars="200"/>
              <w:rPr>
                <w:rFonts w:hint="eastAsia"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0" w:firstLineChars="200"/>
              <w:rPr>
                <w:rFonts w:hint="eastAsia"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中标人负责为招标人免费培训操作及维修人员，培训内容包括：基本原理、操作使用、安全操作注意事项以及维修保养等内容，直至达到买方使用需求。</w:t>
            </w:r>
          </w:p>
        </w:tc>
      </w:tr>
      <w:tr>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pPr>
              <w:pStyle w:val="12"/>
              <w:ind w:firstLine="480" w:firstLineChars="200"/>
              <w:rPr>
                <w:rFonts w:hint="eastAsia" w:ascii="宋体" w:hAnsi="宋体" w:eastAsia="宋体" w:cs="宋体"/>
                <w:sz w:val="24"/>
                <w:szCs w:val="24"/>
              </w:rPr>
            </w:pPr>
            <w:r>
              <w:rPr>
                <w:rFonts w:hint="eastAsia" w:ascii="宋体" w:hAnsi="宋体" w:eastAsia="宋体" w:cs="宋体"/>
                <w:sz w:val="24"/>
                <w:szCs w:val="24"/>
              </w:rPr>
              <w:t>中标方应在合同签订后</w:t>
            </w:r>
            <w:r>
              <w:rPr>
                <w:rFonts w:hint="eastAsia" w:ascii="宋体" w:hAnsi="宋体" w:eastAsia="宋体" w:cs="宋体"/>
                <w:sz w:val="24"/>
                <w:szCs w:val="24"/>
                <w:highlight w:val="yellow"/>
              </w:rPr>
              <w:t>15</w:t>
            </w:r>
            <w:r>
              <w:rPr>
                <w:rFonts w:hint="eastAsia" w:ascii="宋体" w:hAnsi="宋体" w:eastAsia="宋体" w:cs="宋体"/>
                <w:sz w:val="24"/>
                <w:szCs w:val="24"/>
              </w:rPr>
              <w:t>日内需根据设计</w:t>
            </w:r>
            <w:r>
              <w:rPr>
                <w:rStyle w:val="43"/>
                <w:rFonts w:hint="eastAsia" w:ascii="宋体" w:hAnsi="宋体" w:eastAsia="宋体" w:cs="宋体"/>
                <w:sz w:val="24"/>
                <w:szCs w:val="24"/>
              </w:rPr>
              <w:t>提资</w:t>
            </w:r>
            <w:r>
              <w:rPr>
                <w:rFonts w:hint="eastAsia" w:ascii="宋体" w:hAnsi="宋体" w:eastAsia="宋体" w:cs="宋体"/>
                <w:sz w:val="24"/>
                <w:szCs w:val="24"/>
              </w:rPr>
              <w:t>要求提供详细的</w:t>
            </w:r>
            <w:r>
              <w:rPr>
                <w:rStyle w:val="43"/>
                <w:rFonts w:hint="eastAsia" w:ascii="宋体" w:hAnsi="宋体" w:eastAsia="宋体" w:cs="宋体"/>
                <w:sz w:val="24"/>
                <w:szCs w:val="24"/>
              </w:rPr>
              <w:t>设备</w:t>
            </w:r>
            <w:r>
              <w:rPr>
                <w:rFonts w:hint="eastAsia" w:ascii="宋体" w:hAnsi="宋体" w:eastAsia="宋体" w:cs="宋体"/>
                <w:sz w:val="24"/>
                <w:szCs w:val="24"/>
              </w:rPr>
              <w:t>图纸等资料,其中包含</w:t>
            </w:r>
            <w:r>
              <w:rPr>
                <w:rStyle w:val="43"/>
                <w:rFonts w:hint="eastAsia" w:ascii="宋体" w:hAnsi="宋体" w:eastAsia="宋体" w:cs="宋体"/>
                <w:sz w:val="24"/>
                <w:szCs w:val="24"/>
              </w:rPr>
              <w:t>设备</w:t>
            </w:r>
            <w:r>
              <w:rPr>
                <w:rFonts w:hint="eastAsia" w:ascii="宋体" w:hAnsi="宋体" w:eastAsia="宋体" w:cs="宋体"/>
                <w:sz w:val="24"/>
                <w:szCs w:val="24"/>
              </w:rPr>
              <w:t>的外形尺寸,运维空间</w:t>
            </w:r>
            <w:r>
              <w:rPr>
                <w:rStyle w:val="43"/>
                <w:rFonts w:hint="eastAsia" w:ascii="宋体" w:hAnsi="宋体" w:eastAsia="宋体" w:cs="宋体"/>
                <w:sz w:val="24"/>
                <w:szCs w:val="24"/>
              </w:rPr>
              <w:t>,设备</w:t>
            </w:r>
            <w:r>
              <w:rPr>
                <w:rFonts w:hint="eastAsia" w:ascii="宋体" w:hAnsi="宋体" w:eastAsia="宋体" w:cs="宋体"/>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3"/>
    </w:tbl>
    <w:p>
      <w:pPr>
        <w:pStyle w:val="18"/>
        <w:numPr>
          <w:ilvl w:val="0"/>
          <w:numId w:val="1"/>
        </w:numPr>
        <w:jc w:val="center"/>
        <w:outlineLvl w:val="0"/>
        <w:rPr>
          <w:rFonts w:ascii="Calibri" w:hAnsi="Calibri" w:eastAsia="宋体" w:cs="Times New Roman"/>
          <w:b/>
          <w:bCs/>
          <w:kern w:val="44"/>
          <w:sz w:val="36"/>
          <w:szCs w:val="44"/>
        </w:rPr>
        <w:sectPr>
          <w:headerReference r:id="rId7" w:type="default"/>
          <w:footerReference r:id="rId8" w:type="default"/>
          <w:pgSz w:w="11907" w:h="16840"/>
          <w:pgMar w:top="1304" w:right="1418" w:bottom="1304" w:left="1418" w:header="724" w:footer="851" w:gutter="0"/>
          <w:cols w:space="720" w:num="1"/>
          <w:docGrid w:linePitch="290" w:charSpace="-3931"/>
        </w:sectPr>
      </w:pPr>
    </w:p>
    <w:p>
      <w:pPr>
        <w:pStyle w:val="18"/>
        <w:jc w:val="center"/>
        <w:outlineLvl w:val="0"/>
        <w:rPr>
          <w:rFonts w:ascii="Calibri" w:hAnsi="Calibri" w:eastAsia="宋体" w:cs="Times New Roman"/>
          <w:b/>
          <w:bCs/>
          <w:kern w:val="44"/>
          <w:sz w:val="36"/>
          <w:szCs w:val="44"/>
        </w:rPr>
      </w:pPr>
      <w:bookmarkStart w:id="4" w:name="_Toc15609"/>
      <w:r>
        <w:rPr>
          <w:rFonts w:hint="eastAsia" w:ascii="Calibri" w:hAnsi="Calibri" w:eastAsia="宋体" w:cs="Times New Roman"/>
          <w:b/>
          <w:bCs/>
          <w:kern w:val="44"/>
          <w:sz w:val="36"/>
          <w:szCs w:val="44"/>
        </w:rPr>
        <w:t>第二部分 投标须知</w:t>
      </w:r>
      <w:bookmarkEnd w:id="4"/>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一、项目名称</w:t>
      </w:r>
    </w:p>
    <w:p>
      <w:pPr>
        <w:spacing w:line="360" w:lineRule="auto"/>
        <w:ind w:left="1679" w:leftChars="228" w:hanging="1200" w:hangingChars="500"/>
        <w:rPr>
          <w:rFonts w:hint="eastAsia" w:ascii="宋体" w:hAnsi="宋体" w:eastAsia="宋体" w:cs="宋体"/>
          <w:color w:val="000000"/>
          <w:sz w:val="24"/>
          <w:szCs w:val="24"/>
          <w:u w:val="single"/>
        </w:rPr>
      </w:pPr>
      <w:r>
        <w:rPr>
          <w:rFonts w:hint="eastAsia" w:ascii="宋体" w:hAnsi="宋体" w:eastAsia="宋体" w:cs="宋体"/>
          <w:color w:val="000000"/>
          <w:sz w:val="24"/>
          <w:szCs w:val="24"/>
        </w:rPr>
        <w:t>项目名称：</w:t>
      </w:r>
      <w:bookmarkStart w:id="5" w:name="OLE_LINK1"/>
      <w:r>
        <w:rPr>
          <w:rFonts w:hint="eastAsia" w:ascii="宋体" w:hAnsi="宋体" w:eastAsia="宋体" w:cs="宋体"/>
          <w:color w:val="000000"/>
          <w:sz w:val="24"/>
          <w:szCs w:val="24"/>
        </w:rPr>
        <w:t>见《投标须知前附表》。</w:t>
      </w:r>
    </w:p>
    <w:bookmarkEnd w:id="5"/>
    <w:p>
      <w:pPr>
        <w:keepNext/>
        <w:keepLines/>
        <w:numPr>
          <w:ilvl w:val="0"/>
          <w:numId w:val="2"/>
        </w:numPr>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招标内容及形式</w:t>
      </w:r>
    </w:p>
    <w:p>
      <w:pPr>
        <w:pStyle w:val="18"/>
        <w:spacing w:line="360" w:lineRule="auto"/>
        <w:ind w:firstLine="480" w:firstLineChars="200"/>
        <w:rPr>
          <w:rFonts w:hint="eastAsia" w:hAnsi="宋体" w:eastAsia="宋体" w:cs="宋体"/>
          <w:sz w:val="24"/>
          <w:szCs w:val="24"/>
        </w:rPr>
      </w:pPr>
      <w:r>
        <w:rPr>
          <w:rFonts w:hint="eastAsia" w:hAnsi="宋体" w:eastAsia="宋体" w:cs="宋体"/>
          <w:color w:val="000000"/>
          <w:sz w:val="24"/>
          <w:szCs w:val="24"/>
        </w:rPr>
        <w:t>见《投标须知前附表》。</w:t>
      </w:r>
    </w:p>
    <w:p>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color w:val="000000"/>
          <w:sz w:val="24"/>
          <w:szCs w:val="24"/>
        </w:rPr>
        <w:t>对于本项目需着重介绍的注意事项已经通过以下带颜色文档进行标记。</w:t>
      </w:r>
    </w:p>
    <w:p>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具体要求详见《技术标书》。</w:t>
      </w:r>
    </w:p>
    <w:p>
      <w:pPr>
        <w:keepNext/>
        <w:keepLines/>
        <w:numPr>
          <w:ilvl w:val="0"/>
          <w:numId w:val="2"/>
        </w:numPr>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交货及付款</w:t>
      </w:r>
      <w:r>
        <w:rPr>
          <w:rFonts w:hint="eastAsia" w:ascii="宋体" w:hAnsi="宋体" w:eastAsia="宋体" w:cs="宋体"/>
          <w:b/>
          <w:bCs/>
          <w:sz w:val="24"/>
          <w:szCs w:val="24"/>
        </w:rPr>
        <w:tab/>
      </w:r>
    </w:p>
    <w:p>
      <w:pPr>
        <w:pStyle w:val="18"/>
        <w:spacing w:line="360" w:lineRule="auto"/>
        <w:ind w:firstLine="480" w:firstLineChars="200"/>
        <w:rPr>
          <w:rFonts w:hint="eastAsia" w:hAnsi="宋体" w:eastAsia="宋体" w:cs="宋体"/>
          <w:sz w:val="24"/>
          <w:szCs w:val="24"/>
        </w:rPr>
      </w:pPr>
      <w:r>
        <w:rPr>
          <w:rFonts w:hint="eastAsia" w:hAnsi="宋体" w:eastAsia="宋体" w:cs="宋体"/>
          <w:color w:val="000000"/>
          <w:sz w:val="24"/>
          <w:szCs w:val="24"/>
        </w:rPr>
        <w:t>交货期、交货地点、交货方式、付款方式及比例见《投标须知前附表》第7条。</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四、投标说明</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1.报名方式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投标人根据招标人在中国重汽官网等公开媒体上发布的招标信息，在“中国重汽e采通”平台报名。按照中国重汽e采通“SRM非生产供应商注册手册（附件15）”进行注册，</w:t>
      </w:r>
      <w:r>
        <w:rPr>
          <w:rFonts w:hint="eastAsia" w:eastAsia="宋体" w:cs="Times New Roman"/>
          <w:color w:val="000000"/>
          <w:sz w:val="24"/>
          <w:szCs w:val="24"/>
        </w:rPr>
        <w:t>注册完毕后按照</w:t>
      </w:r>
      <w:r>
        <w:rPr>
          <w:rFonts w:hint="eastAsia" w:ascii="宋体" w:hAnsi="宋体" w:eastAsia="宋体" w:cs="宋体"/>
          <w:b/>
          <w:color w:val="000000"/>
          <w:sz w:val="24"/>
          <w:szCs w:val="24"/>
        </w:rPr>
        <w:t>“SRM系统供应商用户手册（附件16）”登录系统，</w:t>
      </w:r>
      <w:r>
        <w:rPr>
          <w:rFonts w:hint="eastAsia" w:ascii="宋体" w:hAnsi="宋体" w:eastAsia="宋体" w:cs="宋体"/>
          <w:color w:val="000000"/>
          <w:sz w:val="24"/>
          <w:szCs w:val="24"/>
        </w:rPr>
        <w:t>进入“供应商应标”，选择对应的项目，点击“应标”后按照招标文件第三部分投标文件组成资格证明文件中的1.1-1.13准备资料并上传，资质审查通过即为报名成功，公示期间请尽快报名。</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投标保证金缴纳的时候，</w:t>
      </w:r>
      <w:r>
        <w:rPr>
          <w:rFonts w:hint="eastAsia" w:ascii="宋体" w:hAnsi="宋体" w:eastAsia="宋体" w:cs="宋体"/>
          <w:b/>
          <w:bCs/>
          <w:color w:val="000000"/>
          <w:sz w:val="24"/>
          <w:szCs w:val="24"/>
        </w:rPr>
        <w:t>务必备注所投标的项目名称</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不按要求报名的，或因未提供相关信息导致后期无法退回保证金的，需投标人承担责任。</w:t>
      </w:r>
    </w:p>
    <w:p>
      <w:pPr>
        <w:keepNext/>
        <w:keepLines/>
        <w:numPr>
          <w:ilvl w:val="0"/>
          <w:numId w:val="3"/>
        </w:num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投标条件</w:t>
      </w:r>
    </w:p>
    <w:p>
      <w:pPr>
        <w:pStyle w:val="18"/>
        <w:spacing w:line="360" w:lineRule="auto"/>
        <w:ind w:firstLine="480"/>
        <w:rPr>
          <w:rFonts w:hint="eastAsia" w:hAnsi="宋体" w:eastAsia="宋体" w:cs="宋体"/>
          <w:b/>
          <w:color w:val="000000"/>
          <w:sz w:val="24"/>
          <w:szCs w:val="24"/>
        </w:rPr>
      </w:pPr>
      <w:r>
        <w:rPr>
          <w:rFonts w:hint="eastAsia" w:hAnsi="宋体" w:eastAsia="宋体" w:cs="宋体"/>
          <w:b/>
          <w:bCs/>
          <w:color w:val="000000"/>
          <w:sz w:val="24"/>
          <w:szCs w:val="24"/>
        </w:rPr>
        <w:t>对于中国境内投标人，投标条件详见招标文件“第一部分投标须知前附表1.6”。</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3.报价</w:t>
      </w:r>
    </w:p>
    <w:p>
      <w:pPr>
        <w:pStyle w:val="18"/>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3.1</w:t>
      </w:r>
      <w:r>
        <w:rPr>
          <w:rFonts w:hint="eastAsia" w:hAnsi="宋体" w:eastAsia="宋体" w:cs="宋体"/>
          <w:sz w:val="24"/>
          <w:szCs w:val="24"/>
        </w:rPr>
        <w:t>本次招投标为</w:t>
      </w:r>
      <w:r>
        <w:rPr>
          <w:rFonts w:hint="eastAsia" w:hAnsi="宋体" w:eastAsia="宋体" w:cs="宋体"/>
          <w:color w:val="000000"/>
          <w:sz w:val="24"/>
          <w:szCs w:val="24"/>
          <w:highlight w:val="yellow"/>
        </w:rPr>
        <w:t>公开招标</w:t>
      </w:r>
      <w:r>
        <w:rPr>
          <w:rFonts w:hint="eastAsia" w:hAnsi="宋体" w:eastAsia="宋体" w:cs="宋体"/>
          <w:b/>
          <w:sz w:val="24"/>
          <w:szCs w:val="24"/>
        </w:rPr>
        <w:t>；</w:t>
      </w:r>
      <w:r>
        <w:rPr>
          <w:rFonts w:hint="eastAsia" w:hAnsi="宋体" w:eastAsia="宋体" w:cs="宋体"/>
          <w:color w:val="000000"/>
          <w:sz w:val="24"/>
          <w:szCs w:val="24"/>
        </w:rPr>
        <w:t>评标流程以及规则详见本部分第六条评标原则。</w:t>
      </w:r>
    </w:p>
    <w:p>
      <w:pPr>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3.2</w:t>
      </w:r>
      <w:r>
        <w:rPr>
          <w:rFonts w:hint="eastAsia" w:ascii="宋体" w:hAnsi="宋体" w:eastAsia="宋体" w:cs="宋体"/>
          <w:b/>
          <w:bCs/>
          <w:color w:val="000000"/>
          <w:sz w:val="24"/>
          <w:szCs w:val="24"/>
          <w:highlight w:val="yellow"/>
        </w:rPr>
        <w:t>所有设备的报价货币单位为：</w:t>
      </w:r>
      <w:r>
        <w:rPr>
          <w:rFonts w:hint="eastAsia" w:ascii="宋体" w:hAnsi="宋体" w:eastAsia="宋体" w:cs="宋体"/>
          <w:b/>
          <w:bCs/>
          <w:color w:val="000000"/>
          <w:sz w:val="24"/>
          <w:szCs w:val="24"/>
          <w:highlight w:val="yellow"/>
          <w:u w:val="single"/>
        </w:rPr>
        <w:t xml:space="preserve">         </w:t>
      </w:r>
      <w:r>
        <w:rPr>
          <w:rFonts w:hint="eastAsia" w:ascii="宋体" w:hAnsi="宋体" w:eastAsia="宋体" w:cs="宋体"/>
          <w:b/>
          <w:bCs/>
          <w:color w:val="000000"/>
          <w:sz w:val="24"/>
          <w:szCs w:val="24"/>
          <w:highlight w:val="yellow"/>
        </w:rPr>
        <w:t>元</w:t>
      </w:r>
      <w:r>
        <w:rPr>
          <w:rFonts w:hint="eastAsia" w:ascii="宋体" w:hAnsi="宋体" w:eastAsia="宋体" w:cs="宋体"/>
          <w:b/>
          <w:bCs/>
          <w:color w:val="000000"/>
          <w:sz w:val="24"/>
          <w:szCs w:val="24"/>
        </w:rPr>
        <w:t>【人民币（应同时报含税价和不含税价并写明税率）】</w:t>
      </w:r>
      <w:r>
        <w:rPr>
          <w:rFonts w:hint="eastAsia" w:ascii="宋体" w:hAnsi="宋体" w:eastAsia="宋体" w:cs="宋体"/>
          <w:b/>
          <w:bCs/>
          <w:color w:val="000000"/>
          <w:sz w:val="24"/>
          <w:szCs w:val="24"/>
          <w:highlight w:val="yellow"/>
        </w:rPr>
        <w:t>。</w:t>
      </w:r>
    </w:p>
    <w:p>
      <w:pPr>
        <w:keepNext/>
        <w:keepLines/>
        <w:spacing w:line="360" w:lineRule="auto"/>
        <w:ind w:firstLine="482" w:firstLineChars="200"/>
        <w:outlineLvl w:val="2"/>
        <w:rPr>
          <w:rFonts w:hint="eastAsia" w:ascii="宋体" w:hAnsi="宋体" w:eastAsia="宋体" w:cs="宋体"/>
          <w:sz w:val="24"/>
          <w:szCs w:val="24"/>
        </w:rPr>
      </w:pPr>
      <w:r>
        <w:rPr>
          <w:rFonts w:hint="eastAsia" w:ascii="宋体" w:hAnsi="宋体" w:eastAsia="宋体" w:cs="宋体"/>
          <w:b/>
          <w:bCs/>
          <w:color w:val="000000"/>
          <w:sz w:val="24"/>
          <w:szCs w:val="24"/>
        </w:rPr>
        <w:t>4.设备要求：</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pPr>
        <w:pStyle w:val="18"/>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pPr>
        <w:pStyle w:val="18"/>
        <w:spacing w:line="360" w:lineRule="auto"/>
        <w:ind w:firstLine="480" w:firstLineChars="200"/>
        <w:rPr>
          <w:rFonts w:hint="eastAsia" w:hAnsi="宋体" w:eastAsia="宋体" w:cs="宋体"/>
          <w:color w:val="000000"/>
          <w:sz w:val="24"/>
          <w:szCs w:val="24"/>
          <w:highlight w:val="yellow"/>
        </w:rPr>
      </w:pPr>
      <w:r>
        <w:rPr>
          <w:rFonts w:hint="eastAsia" w:hAnsi="宋体" w:eastAsia="宋体" w:cs="宋体"/>
          <w:color w:val="000000"/>
          <w:sz w:val="24"/>
          <w:szCs w:val="24"/>
        </w:rPr>
        <w:t>4.7</w:t>
      </w:r>
      <w:r>
        <w:rPr>
          <w:rFonts w:hint="eastAsia" w:hAnsi="宋体" w:eastAsia="宋体" w:cs="宋体"/>
          <w:color w:val="000000"/>
          <w:sz w:val="24"/>
          <w:szCs w:val="24"/>
          <w:highlight w:val="yellow"/>
        </w:rPr>
        <w:t>设备设施颜色严格执行我公司企业标准《设备设施颜色标识》（Q/ZZ30070</w:t>
      </w:r>
    </w:p>
    <w:p>
      <w:pPr>
        <w:pStyle w:val="18"/>
        <w:spacing w:line="360" w:lineRule="auto"/>
        <w:rPr>
          <w:rFonts w:hint="eastAsia" w:hAnsi="宋体" w:eastAsia="宋体" w:cs="宋体"/>
          <w:color w:val="000000"/>
          <w:sz w:val="24"/>
          <w:szCs w:val="24"/>
        </w:rPr>
      </w:pPr>
      <w:r>
        <w:rPr>
          <w:rFonts w:hint="eastAsia" w:hAnsi="宋体" w:eastAsia="宋体" w:cs="宋体"/>
          <w:color w:val="000000"/>
          <w:sz w:val="24"/>
          <w:szCs w:val="24"/>
          <w:highlight w:val="yellow"/>
        </w:rPr>
        <w:t>—2020）</w:t>
      </w:r>
      <w:r>
        <w:rPr>
          <w:rFonts w:hint="eastAsia" w:hAnsi="宋体" w:eastAsia="宋体" w:cs="宋体"/>
          <w:color w:val="000000"/>
          <w:sz w:val="24"/>
          <w:szCs w:val="24"/>
        </w:rPr>
        <w:t>。</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5.其他要求</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6.询标</w:t>
      </w:r>
    </w:p>
    <w:p>
      <w:pPr>
        <w:keepNext/>
        <w:keepLines/>
        <w:spacing w:line="360" w:lineRule="auto"/>
        <w:ind w:firstLine="480" w:firstLineChars="200"/>
        <w:rPr>
          <w:rFonts w:hint="eastAsia" w:ascii="宋体" w:hAnsi="宋体" w:eastAsia="宋体" w:cs="宋体"/>
          <w:b/>
          <w:bCs/>
          <w:color w:val="000000"/>
          <w:sz w:val="24"/>
          <w:szCs w:val="24"/>
        </w:rPr>
      </w:pPr>
      <w:r>
        <w:rPr>
          <w:rFonts w:hint="eastAsia" w:ascii="宋体" w:hAnsi="宋体" w:eastAsia="宋体" w:cs="宋体"/>
          <w:color w:val="000000"/>
          <w:sz w:val="24"/>
          <w:szCs w:val="24"/>
        </w:rPr>
        <w:t>凡对本次招标提出的询问，均以招标人的书面答复为准。</w:t>
      </w:r>
    </w:p>
    <w:p>
      <w:pPr>
        <w:keepNext/>
        <w:keepLines/>
        <w:spacing w:line="360" w:lineRule="auto"/>
        <w:outlineLvl w:val="1"/>
        <w:rPr>
          <w:rFonts w:hint="eastAsia"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pPr>
        <w:keepNext/>
        <w:keepLines/>
        <w:spacing w:line="360" w:lineRule="auto"/>
        <w:ind w:firstLine="482" w:firstLineChars="200"/>
        <w:outlineLvl w:val="2"/>
        <w:rPr>
          <w:rFonts w:hint="eastAsia" w:ascii="宋体" w:hAnsi="宋体" w:eastAsia="宋体" w:cs="宋体"/>
          <w:color w:val="000000"/>
          <w:sz w:val="24"/>
          <w:szCs w:val="24"/>
        </w:rPr>
      </w:pPr>
      <w:r>
        <w:rPr>
          <w:rFonts w:hint="eastAsia" w:ascii="宋体" w:hAnsi="宋体" w:eastAsia="宋体" w:cs="宋体"/>
          <w:b/>
          <w:bCs/>
          <w:color w:val="000000"/>
          <w:sz w:val="24"/>
          <w:szCs w:val="24"/>
        </w:rPr>
        <w:t>1.发标时间</w:t>
      </w:r>
    </w:p>
    <w:p>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见《投标须知前附表》2.1。</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2.发标方式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rPr>
        <w:t>中国重汽官网、山东省阳光采购服务平台、中国招标投标公共服务平台等公开媒体</w:t>
      </w:r>
      <w:r>
        <w:rPr>
          <w:rFonts w:hint="eastAsia" w:ascii="宋体" w:hAnsi="宋体" w:eastAsia="宋体" w:cs="宋体"/>
          <w:color w:val="000000"/>
          <w:sz w:val="24"/>
          <w:szCs w:val="24"/>
        </w:rPr>
        <w:t>公布。</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3.答疑</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见《投标须知前附表》第二条，逾期不受理。</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4.投标报名</w:t>
      </w:r>
    </w:p>
    <w:p>
      <w:pPr>
        <w:keepNext/>
        <w:keepLines/>
        <w:spacing w:line="360" w:lineRule="auto"/>
        <w:ind w:firstLine="482"/>
        <w:rPr>
          <w:rFonts w:hint="eastAsia" w:ascii="宋体" w:hAnsi="宋体" w:eastAsia="宋体" w:cs="宋体"/>
          <w:sz w:val="24"/>
          <w:szCs w:val="24"/>
        </w:rPr>
      </w:pPr>
      <w:r>
        <w:rPr>
          <w:rFonts w:hint="eastAsia" w:ascii="宋体" w:hAnsi="宋体" w:eastAsia="宋体" w:cs="宋体"/>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w:t>
      </w:r>
      <w:r>
        <w:rPr>
          <w:rFonts w:hint="eastAsia" w:ascii="宋体" w:hAnsi="宋体" w:eastAsia="宋体" w:cs="宋体"/>
          <w:sz w:val="24"/>
          <w:szCs w:val="24"/>
          <w:highlight w:val="yellow"/>
        </w:rPr>
        <w:t>（保证金具体金额及缴纳截止时间见《投标须知前附表》4.2和4.3）。</w:t>
      </w:r>
    </w:p>
    <w:p>
      <w:pPr>
        <w:pStyle w:val="112"/>
        <w:ind w:firstLine="480"/>
        <w:rPr>
          <w:rFonts w:hint="eastAsia" w:eastAsia="宋体" w:cs="宋体"/>
        </w:rPr>
      </w:pPr>
      <w:r>
        <w:rPr>
          <w:rFonts w:hint="eastAsia" w:eastAsia="宋体" w:cs="宋体"/>
        </w:rPr>
        <w:t>4.2招标人银行账户信息如下：见《投标须知前附表》4.2。</w:t>
      </w:r>
    </w:p>
    <w:p>
      <w:pPr>
        <w:pStyle w:val="112"/>
        <w:ind w:firstLine="480"/>
        <w:rPr>
          <w:rFonts w:hint="eastAsia" w:eastAsia="宋体" w:cs="宋体"/>
        </w:rPr>
      </w:pPr>
      <w:r>
        <w:rPr>
          <w:rFonts w:hint="eastAsia" w:eastAsia="宋体" w:cs="宋体"/>
        </w:rPr>
        <w:t>转账附言：公司名称+项目名称+投标保证金；</w:t>
      </w:r>
    </w:p>
    <w:p>
      <w:pPr>
        <w:pStyle w:val="112"/>
        <w:ind w:firstLine="480"/>
        <w:rPr>
          <w:rFonts w:hint="eastAsia" w:eastAsia="宋体" w:cs="宋体"/>
        </w:rPr>
      </w:pPr>
      <w:r>
        <w:rPr>
          <w:rFonts w:hint="eastAsia" w:eastAsia="宋体" w:cs="宋体"/>
        </w:rPr>
        <w:t>对于没有中标的投标人，投标保证金将于招标人内部完成中标人评审并确认最终中标人后在30工作日内予以原路返还（无息）；对于中标方，投标保证金将在签订合同后30个工作日内原路返还（无息）；</w:t>
      </w:r>
    </w:p>
    <w:p>
      <w:pPr>
        <w:pStyle w:val="112"/>
        <w:ind w:firstLine="480"/>
        <w:rPr>
          <w:rFonts w:hint="eastAsia" w:eastAsia="宋体" w:cs="宋体"/>
        </w:rPr>
      </w:pPr>
      <w:r>
        <w:rPr>
          <w:rFonts w:hint="eastAsia" w:eastAsia="宋体" w:cs="宋体"/>
        </w:rPr>
        <w:t>4.3说明</w:t>
      </w:r>
    </w:p>
    <w:p>
      <w:pPr>
        <w:pStyle w:val="112"/>
        <w:ind w:firstLine="480"/>
        <w:rPr>
          <w:rFonts w:hint="eastAsia" w:eastAsia="宋体" w:cs="宋体"/>
        </w:rPr>
      </w:pPr>
      <w:r>
        <w:rPr>
          <w:rFonts w:hint="eastAsia" w:eastAsia="宋体" w:cs="宋体"/>
        </w:rPr>
        <w:t>4.3.1 投标人在向招标人出示《投标保证金缴纳凭证》后方可进行投标；</w:t>
      </w:r>
    </w:p>
    <w:p>
      <w:pPr>
        <w:pStyle w:val="112"/>
        <w:ind w:firstLine="480"/>
        <w:rPr>
          <w:rFonts w:hint="eastAsia" w:eastAsia="宋体" w:cs="宋体"/>
        </w:rPr>
      </w:pPr>
      <w:r>
        <w:rPr>
          <w:rFonts w:hint="eastAsia" w:eastAsia="宋体" w:cs="宋体"/>
        </w:rPr>
        <w:t>4.3.2 发生以下情况时，招标人有权没收保证金：</w:t>
      </w:r>
    </w:p>
    <w:p>
      <w:pPr>
        <w:pStyle w:val="112"/>
        <w:ind w:firstLine="480"/>
        <w:rPr>
          <w:rFonts w:hint="eastAsia" w:eastAsia="宋体" w:cs="宋体"/>
        </w:rPr>
      </w:pPr>
      <w:r>
        <w:rPr>
          <w:rFonts w:hint="eastAsia" w:eastAsia="宋体" w:cs="宋体"/>
        </w:rPr>
        <w:t>4.3.2.1 截至开标前3天，投标人无正当理由且未以书面形式递交说明而在投标截止日不来投标的；</w:t>
      </w:r>
    </w:p>
    <w:p>
      <w:pPr>
        <w:pStyle w:val="112"/>
        <w:ind w:firstLine="480"/>
        <w:rPr>
          <w:rFonts w:hint="eastAsia" w:eastAsia="宋体" w:cs="宋体"/>
        </w:rPr>
      </w:pPr>
      <w:r>
        <w:rPr>
          <w:rFonts w:hint="eastAsia" w:eastAsia="宋体" w:cs="宋体"/>
        </w:rPr>
        <w:t>4.3.2.2 投标人递送投标文件后，无正当理由放弃投标的；</w:t>
      </w:r>
    </w:p>
    <w:p>
      <w:pPr>
        <w:pStyle w:val="112"/>
        <w:ind w:firstLine="480"/>
        <w:rPr>
          <w:rFonts w:hint="eastAsia" w:eastAsia="宋体" w:cs="宋体"/>
        </w:rPr>
      </w:pPr>
      <w:r>
        <w:rPr>
          <w:rFonts w:hint="eastAsia" w:eastAsia="宋体" w:cs="宋体"/>
        </w:rPr>
        <w:t>4.3.2.3若为视频开标，招标过程中澄清函等资料原件未按要求提交的；</w:t>
      </w:r>
    </w:p>
    <w:p>
      <w:pPr>
        <w:pStyle w:val="112"/>
        <w:ind w:firstLine="480"/>
        <w:rPr>
          <w:rFonts w:hint="eastAsia" w:eastAsia="宋体" w:cs="宋体"/>
        </w:rPr>
      </w:pPr>
      <w:r>
        <w:rPr>
          <w:rFonts w:hint="eastAsia" w:eastAsia="宋体" w:cs="宋体"/>
        </w:rPr>
        <w:t>4.3.2.4自中标通知书发出之日起30日内，中标人无正当理由不签订合同的；</w:t>
      </w:r>
    </w:p>
    <w:p>
      <w:pPr>
        <w:pStyle w:val="112"/>
        <w:ind w:firstLine="480"/>
        <w:rPr>
          <w:rFonts w:hint="eastAsia" w:eastAsia="宋体" w:cs="宋体"/>
        </w:rPr>
      </w:pPr>
      <w:r>
        <w:rPr>
          <w:rFonts w:hint="eastAsia" w:eastAsia="宋体" w:cs="宋体"/>
        </w:rPr>
        <w:t>4.3.2.5投标人在投标过程中被查实有串标、围标、陪标等违规违纪行为的；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4.3.2.6投标人有违约违规行为或被投诉、举报的，在调查处理期间，保证金暂不退还，待调查处理结束后按有关规定处理。</w:t>
      </w:r>
    </w:p>
    <w:p>
      <w:pPr>
        <w:pStyle w:val="112"/>
        <w:ind w:firstLine="480"/>
        <w:rPr>
          <w:rFonts w:hint="eastAsia" w:eastAsia="宋体" w:cs="宋体"/>
        </w:rPr>
      </w:pPr>
      <w:r>
        <w:rPr>
          <w:rFonts w:hint="eastAsia" w:eastAsia="宋体" w:cs="宋体"/>
        </w:rPr>
        <w:t>4.4投标报名截止时间</w:t>
      </w:r>
    </w:p>
    <w:p>
      <w:pPr>
        <w:pStyle w:val="112"/>
        <w:ind w:firstLine="480"/>
        <w:rPr>
          <w:rFonts w:hint="eastAsia" w:eastAsia="宋体" w:cs="宋体"/>
        </w:rPr>
      </w:pPr>
      <w:r>
        <w:rPr>
          <w:rFonts w:hint="eastAsia" w:eastAsia="宋体" w:cs="宋体"/>
        </w:rPr>
        <w:t>报名方式：</w:t>
      </w:r>
      <w:r>
        <w:rPr>
          <w:rFonts w:hint="eastAsia" w:eastAsia="宋体" w:cs="宋体"/>
          <w:highlight w:val="yellow"/>
        </w:rPr>
        <w:t>见《投标须知前附表》2.3。</w:t>
      </w:r>
    </w:p>
    <w:p>
      <w:pPr>
        <w:pStyle w:val="112"/>
        <w:ind w:firstLine="480"/>
        <w:rPr>
          <w:rFonts w:hint="eastAsia" w:eastAsia="宋体" w:cs="宋体"/>
        </w:rPr>
      </w:pPr>
      <w:r>
        <w:rPr>
          <w:rFonts w:hint="eastAsia" w:eastAsia="宋体" w:cs="宋体"/>
        </w:rPr>
        <w:t>报名提交资料：均为盖章电子扫描版，用“公司名称+文件名称”命名。</w:t>
      </w:r>
    </w:p>
    <w:p>
      <w:pPr>
        <w:numPr>
          <w:ilvl w:val="0"/>
          <w:numId w:val="4"/>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pPr>
        <w:numPr>
          <w:ilvl w:val="0"/>
          <w:numId w:val="4"/>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5.开标时间</w:t>
      </w:r>
    </w:p>
    <w:p>
      <w:pPr>
        <w:keepNext/>
        <w:keepLines/>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rPr>
        <w:t>见《投标须知前附表》5.1，若有变动另行通知。</w:t>
      </w:r>
    </w:p>
    <w:p>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6.开标方式</w:t>
      </w:r>
    </w:p>
    <w:p>
      <w:pPr>
        <w:spacing w:line="360" w:lineRule="auto"/>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原则上来现场参与开标。如因特殊情况无法现场参与，需在开标前三日，通知招标人，由招标人创建视频链接，并在报名结束后统一通知。</w:t>
      </w:r>
    </w:p>
    <w:p>
      <w:pPr>
        <w:spacing w:line="360" w:lineRule="auto"/>
        <w:jc w:val="left"/>
        <w:outlineLvl w:val="1"/>
        <w:rPr>
          <w:rFonts w:hint="eastAsia" w:ascii="宋体" w:hAnsi="宋体" w:eastAsia="宋体" w:cs="宋体"/>
          <w:b/>
          <w:sz w:val="24"/>
          <w:szCs w:val="24"/>
        </w:rPr>
      </w:pPr>
      <w:bookmarkStart w:id="6" w:name="_Toc33266627"/>
      <w:bookmarkStart w:id="7" w:name="_Toc33265653"/>
      <w:bookmarkStart w:id="8" w:name="_Toc33266950"/>
      <w:bookmarkStart w:id="9" w:name="_Toc33266914"/>
      <w:bookmarkStart w:id="10" w:name="_Toc33265752"/>
      <w:bookmarkStart w:id="11" w:name="_Toc33267001"/>
      <w:bookmarkStart w:id="12" w:name="_Toc33285487"/>
      <w:r>
        <w:rPr>
          <w:rFonts w:hint="eastAsia" w:ascii="宋体" w:hAnsi="宋体" w:eastAsia="宋体" w:cs="宋体"/>
          <w:b/>
          <w:sz w:val="24"/>
          <w:szCs w:val="24"/>
        </w:rPr>
        <w:t>六、评价原则</w:t>
      </w:r>
      <w:bookmarkEnd w:id="6"/>
      <w:bookmarkEnd w:id="7"/>
      <w:bookmarkEnd w:id="8"/>
      <w:bookmarkEnd w:id="9"/>
      <w:bookmarkEnd w:id="10"/>
      <w:bookmarkEnd w:id="11"/>
      <w:bookmarkEnd w:id="12"/>
      <w:bookmarkStart w:id="13" w:name="_Toc395116633"/>
    </w:p>
    <w:bookmarkEnd w:id="13"/>
    <w:p>
      <w:p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1.评标</w:t>
      </w:r>
    </w:p>
    <w:p>
      <w:pPr>
        <w:adjustRightInd w:val="0"/>
        <w:snapToGrid w:val="0"/>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bookmarkStart w:id="14" w:name="_Toc33266951"/>
      <w:bookmarkStart w:id="15" w:name="_Toc33267002"/>
      <w:bookmarkStart w:id="16" w:name="_Toc33265753"/>
      <w:bookmarkStart w:id="17" w:name="_Toc395116634"/>
      <w:bookmarkStart w:id="18" w:name="_Toc33266915"/>
      <w:bookmarkStart w:id="19" w:name="_Toc33266628"/>
      <w:bookmarkStart w:id="20" w:name="_Toc33265654"/>
      <w:bookmarkStart w:id="21" w:name="_Toc33285489"/>
      <w:r>
        <w:rPr>
          <w:rFonts w:hint="eastAsia" w:ascii="宋体" w:hAnsi="宋体" w:eastAsia="宋体" w:cs="宋体"/>
          <w:b/>
          <w:bCs/>
          <w:sz w:val="24"/>
          <w:szCs w:val="24"/>
          <w:lang w:val="en-US" w:eastAsia="zh-CN"/>
        </w:rPr>
        <w:t>合理最低价</w:t>
      </w:r>
      <w:r>
        <w:rPr>
          <w:rFonts w:hint="eastAsia" w:ascii="宋体" w:hAnsi="宋体" w:eastAsia="宋体" w:cs="宋体"/>
          <w:sz w:val="24"/>
          <w:szCs w:val="24"/>
        </w:rPr>
        <w:t>。</w:t>
      </w:r>
      <w:r>
        <w:rPr>
          <w:rFonts w:hint="eastAsia" w:ascii="宋体" w:hAnsi="宋体" w:eastAsia="宋体" w:cs="宋体"/>
          <w:b/>
          <w:color w:val="000000"/>
          <w:sz w:val="24"/>
          <w:szCs w:val="24"/>
        </w:rPr>
        <w:t>对未中标单位不做任何解释。</w:t>
      </w:r>
    </w:p>
    <w:bookmarkEnd w:id="14"/>
    <w:bookmarkEnd w:id="15"/>
    <w:bookmarkEnd w:id="16"/>
    <w:bookmarkEnd w:id="17"/>
    <w:bookmarkEnd w:id="18"/>
    <w:bookmarkEnd w:id="19"/>
    <w:bookmarkEnd w:id="20"/>
    <w:bookmarkEnd w:id="21"/>
    <w:p>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评标流程：</w:t>
      </w:r>
    </w:p>
    <w:p>
      <w:pPr>
        <w:pStyle w:val="18"/>
        <w:spacing w:line="360" w:lineRule="auto"/>
        <w:ind w:firstLine="482" w:firstLineChars="200"/>
        <w:rPr>
          <w:rFonts w:hint="eastAsia" w:hAnsi="宋体" w:eastAsia="宋体" w:cs="宋体"/>
          <w:sz w:val="24"/>
          <w:szCs w:val="24"/>
        </w:rPr>
      </w:pPr>
      <w:r>
        <w:rPr>
          <w:rFonts w:hint="eastAsia" w:hAnsi="宋体" w:eastAsia="宋体" w:cs="宋体"/>
          <w:b/>
          <w:color w:val="000000"/>
          <w:sz w:val="24"/>
          <w:szCs w:val="24"/>
        </w:rPr>
        <w:t>投标文件包含《投标文件（资质标）》、《投标文件（技术标）》、《投标文件（商务标）》（开标一览表），共计三个文件。</w:t>
      </w:r>
    </w:p>
    <w:p>
      <w:pPr>
        <w:numPr>
          <w:ilvl w:val="0"/>
          <w:numId w:val="5"/>
        </w:numPr>
        <w:spacing w:line="360" w:lineRule="auto"/>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w:t>
      </w:r>
      <w:r>
        <w:rPr>
          <w:rFonts w:hint="eastAsia" w:ascii="宋体" w:hAnsi="宋体" w:eastAsia="宋体" w:cs="宋体"/>
          <w:b/>
          <w:bCs/>
          <w:color w:val="000000"/>
          <w:sz w:val="24"/>
          <w:szCs w:val="24"/>
        </w:rPr>
        <w:t>按照第三部分第三条投标文件组成资格证明文件中的1.1-1.12准备资料，上传完毕后，等待审核</w:t>
      </w:r>
      <w:r>
        <w:rPr>
          <w:rFonts w:hint="eastAsia" w:ascii="宋体" w:hAnsi="宋体" w:eastAsia="宋体" w:cs="宋体"/>
          <w:b/>
          <w:color w:val="000000"/>
          <w:sz w:val="24"/>
          <w:szCs w:val="24"/>
        </w:rPr>
        <w:t>；</w:t>
      </w:r>
    </w:p>
    <w:p>
      <w:pPr>
        <w:numPr>
          <w:ilvl w:val="0"/>
          <w:numId w:val="6"/>
        </w:numPr>
        <w:spacing w:line="360" w:lineRule="auto"/>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通过应标资格审查的单位进入投标环节，按照“SRM系统供应商用户手册（附件16）”，在重汽e采通平台投递电子标书（包含资质标、技术标、商务标）；没有通过应标资质审查的单位不能进入投标环节；</w:t>
      </w:r>
    </w:p>
    <w:p>
      <w:pPr>
        <w:numPr>
          <w:ilvl w:val="0"/>
          <w:numId w:val="5"/>
        </w:numPr>
        <w:spacing w:line="360" w:lineRule="auto"/>
        <w:rPr>
          <w:rFonts w:hint="eastAsia" w:ascii="宋体" w:hAnsi="宋体" w:eastAsia="宋体" w:cs="宋体"/>
          <w:b/>
          <w:color w:val="000000"/>
          <w:sz w:val="24"/>
          <w:szCs w:val="24"/>
        </w:rPr>
      </w:pPr>
      <w:r>
        <w:rPr>
          <w:rFonts w:hint="eastAsia" w:ascii="宋体" w:hAnsi="宋体" w:eastAsia="宋体" w:cs="宋体"/>
          <w:b/>
          <w:sz w:val="24"/>
          <w:szCs w:val="24"/>
        </w:rPr>
        <w:t>资质标评审：资质标审核通过的单位，可以进入</w:t>
      </w:r>
      <w:r>
        <w:rPr>
          <w:rFonts w:hint="eastAsia" w:ascii="宋体" w:hAnsi="宋体" w:eastAsia="宋体" w:cs="宋体"/>
          <w:b/>
          <w:color w:val="000000"/>
          <w:sz w:val="24"/>
          <w:szCs w:val="24"/>
        </w:rPr>
        <w:t>公开唱标环节；</w:t>
      </w:r>
    </w:p>
    <w:p>
      <w:pPr>
        <w:numPr>
          <w:ilvl w:val="0"/>
          <w:numId w:val="7"/>
        </w:numPr>
        <w:spacing w:line="360" w:lineRule="auto"/>
        <w:rPr>
          <w:rFonts w:hint="eastAsia" w:ascii="宋体" w:hAnsi="宋体" w:eastAsia="宋体" w:cs="宋体"/>
          <w:b/>
          <w:sz w:val="24"/>
          <w:szCs w:val="24"/>
        </w:rPr>
      </w:pPr>
      <w:r>
        <w:rPr>
          <w:rFonts w:hint="eastAsia" w:ascii="宋体" w:hAnsi="宋体" w:eastAsia="宋体" w:cs="宋体"/>
          <w:b/>
          <w:color w:val="000000"/>
          <w:sz w:val="24"/>
          <w:szCs w:val="24"/>
        </w:rPr>
        <w:t>公开唱标：公示资质标入围单位的开标价格及商务条款响应情况</w:t>
      </w:r>
      <w:r>
        <w:rPr>
          <w:rFonts w:hint="eastAsia" w:ascii="宋体" w:hAnsi="宋体" w:eastAsia="宋体" w:cs="宋体"/>
          <w:b/>
          <w:sz w:val="24"/>
          <w:szCs w:val="24"/>
        </w:rPr>
        <w:t>；</w:t>
      </w:r>
    </w:p>
    <w:p>
      <w:pPr>
        <w:numPr>
          <w:ilvl w:val="0"/>
          <w:numId w:val="8"/>
        </w:numPr>
        <w:spacing w:line="360" w:lineRule="auto"/>
        <w:rPr>
          <w:rFonts w:hint="eastAsia" w:ascii="宋体" w:hAnsi="宋体" w:eastAsia="宋体" w:cs="宋体"/>
          <w:b/>
          <w:sz w:val="24"/>
          <w:szCs w:val="24"/>
        </w:rPr>
      </w:pPr>
      <w:r>
        <w:rPr>
          <w:rFonts w:hint="eastAsia" w:ascii="宋体" w:hAnsi="宋体" w:eastAsia="宋体" w:cs="宋体"/>
          <w:b/>
          <w:sz w:val="24"/>
          <w:szCs w:val="24"/>
        </w:rPr>
        <w:t>商务标评审：商务条款相应确认→价格澄清→商务标评审；评审期间产生的商务价格澄清均由投标人在重汽e采通平台限时内完成提交；</w:t>
      </w:r>
    </w:p>
    <w:p>
      <w:pPr>
        <w:numPr>
          <w:ilvl w:val="255"/>
          <w:numId w:val="0"/>
        </w:num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注意：投标人均需要自带笔记本电脑在重汽e采通进行自主投标和提交澄清函；投标和提交澄清函均有时间限制，超时未提交的按无效处理。</w:t>
      </w:r>
    </w:p>
    <w:p>
      <w:pPr>
        <w:numPr>
          <w:ilvl w:val="0"/>
          <w:numId w:val="9"/>
        </w:numPr>
        <w:spacing w:line="360" w:lineRule="auto"/>
        <w:rPr>
          <w:rFonts w:hint="eastAsia" w:ascii="宋体" w:hAnsi="宋体" w:eastAsia="宋体" w:cs="宋体"/>
          <w:b/>
          <w:sz w:val="24"/>
          <w:szCs w:val="24"/>
        </w:rPr>
      </w:pPr>
      <w:r>
        <w:rPr>
          <w:rFonts w:hint="eastAsia" w:ascii="宋体" w:hAnsi="宋体" w:eastAsia="宋体" w:cs="宋体"/>
          <w:b/>
          <w:sz w:val="24"/>
          <w:szCs w:val="24"/>
          <w:highlight w:val="magenta"/>
        </w:rPr>
        <w:t>中标人确定：技术标入围后，原则上选取</w:t>
      </w:r>
      <w:r>
        <w:rPr>
          <w:rFonts w:hint="eastAsia" w:ascii="宋体" w:hAnsi="宋体" w:eastAsia="宋体" w:cs="宋体"/>
          <w:b/>
          <w:sz w:val="24"/>
          <w:szCs w:val="24"/>
          <w:highlight w:val="magenta"/>
          <w:lang w:val="en-US" w:eastAsia="zh-CN"/>
        </w:rPr>
        <w:t>合理最低价</w:t>
      </w:r>
      <w:r>
        <w:rPr>
          <w:rFonts w:hint="eastAsia" w:ascii="宋体" w:hAnsi="宋体" w:eastAsia="宋体" w:cs="宋体"/>
          <w:b/>
          <w:sz w:val="24"/>
          <w:szCs w:val="24"/>
          <w:highlight w:val="magenta"/>
        </w:rPr>
        <w:t>中标。</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r>
        <w:rPr>
          <w:rFonts w:hint="eastAsia" w:ascii="宋体" w:hAnsi="宋体" w:eastAsia="宋体" w:cs="宋体"/>
          <w:color w:val="000000"/>
          <w:sz w:val="24"/>
          <w:szCs w:val="24"/>
        </w:rPr>
        <w:t>。</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七、合同签订</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1.招标人根据评标工作小组的评标结果确定中标人，在重汽e采通平台公布中标结果，并发送中标通知。</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3.中标人应当按照合同约定的履约责任，在保证质量的前提下完成中标项目，不得将中标项目转包或分包给他人，否则视为违约，招标人有权解除合同。</w:t>
      </w:r>
    </w:p>
    <w:p>
      <w:pPr>
        <w:spacing w:line="360" w:lineRule="auto"/>
        <w:ind w:firstLine="480" w:firstLineChars="200"/>
        <w:rPr>
          <w:rFonts w:hint="eastAsia" w:ascii="宋体" w:hAnsi="宋体" w:eastAsia="宋体" w:cs="宋体"/>
          <w:b w:val="0"/>
          <w:bCs/>
          <w:sz w:val="24"/>
          <w:szCs w:val="24"/>
        </w:rPr>
      </w:pPr>
      <w:r>
        <w:rPr>
          <w:rFonts w:hint="eastAsia" w:ascii="宋体" w:hAnsi="宋体" w:eastAsia="宋体" w:cs="宋体"/>
          <w:b w:val="0"/>
          <w:bCs/>
          <w:sz w:val="24"/>
          <w:szCs w:val="24"/>
        </w:rPr>
        <w:t>4.中标人由于履行义务的能力或信用有严重缺陷，招标人有权取消其中标资格，招标人将从中标候选单位中依序重新确定中标人，或重新组织招标；</w:t>
      </w:r>
    </w:p>
    <w:p>
      <w:pPr>
        <w:spacing w:line="360" w:lineRule="auto"/>
        <w:ind w:firstLine="482" w:firstLineChars="200"/>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5.</w:t>
      </w:r>
      <w:r>
        <w:rPr>
          <w:rFonts w:ascii="宋体" w:hAnsi="宋体" w:eastAsia="宋体" w:cs="宋体"/>
          <w:sz w:val="24"/>
          <w:szCs w:val="24"/>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4"/>
          <w:szCs w:val="24"/>
          <w:lang w:val="en-US" w:eastAsia="zh-CN"/>
        </w:rPr>
        <w:t>。</w:t>
      </w:r>
    </w:p>
    <w:p>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lang w:val="en-US" w:eastAsia="zh-CN"/>
        </w:rPr>
        <w:t>6</w:t>
      </w:r>
      <w:r>
        <w:rPr>
          <w:rFonts w:hint="eastAsia" w:ascii="宋体" w:hAnsi="宋体" w:eastAsia="宋体" w:cs="宋体"/>
          <w:b/>
          <w:sz w:val="24"/>
          <w:szCs w:val="24"/>
        </w:rPr>
        <w:t>.合同以双方最终签署的版本为准。</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八、废标及终止招标</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pPr>
        <w:pStyle w:val="18"/>
        <w:spacing w:line="360" w:lineRule="auto"/>
        <w:rPr>
          <w:rFonts w:hint="eastAsia" w:hAnsi="宋体" w:eastAsia="宋体" w:cs="宋体"/>
          <w:sz w:val="24"/>
          <w:szCs w:val="24"/>
        </w:rPr>
      </w:pPr>
      <w:r>
        <w:rPr>
          <w:rFonts w:hint="eastAsia" w:hAnsi="宋体" w:eastAsia="宋体" w:cs="宋体"/>
          <w:color w:val="000000"/>
          <w:sz w:val="24"/>
          <w:szCs w:val="24"/>
        </w:rPr>
        <w:t xml:space="preserve">    （6）投标人被举报、检举，并经招标人查实无误的；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（9）有效投标不足三家；</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pPr>
        <w:pStyle w:val="18"/>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（12）不同投标人的投标文件异常一致；</w:t>
      </w:r>
    </w:p>
    <w:p>
      <w:pPr>
        <w:pStyle w:val="18"/>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（13）投标报价呈规律性差异的；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hAnsi="宋体" w:eastAsia="宋体" w:cs="宋体"/>
          <w:color w:val="000000"/>
          <w:sz w:val="24"/>
          <w:szCs w:val="24"/>
        </w:rPr>
        <w:t>4</w:t>
      </w:r>
      <w:r>
        <w:rPr>
          <w:rFonts w:hint="eastAsia" w:ascii="宋体" w:hAnsi="宋体" w:eastAsia="宋体" w:cs="宋体"/>
          <w:color w:val="000000"/>
          <w:sz w:val="24"/>
          <w:szCs w:val="24"/>
        </w:rPr>
        <w:t>）法律、法规规定的其他情况。</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bookmarkStart w:id="22" w:name="OLE_LINK27"/>
      <w:bookmarkStart w:id="23" w:name="OLE_LINK26"/>
      <w:bookmarkStart w:id="24" w:name="OLE_LINK28"/>
      <w:bookmarkStart w:id="25" w:name="OLE_LINK25"/>
      <w:bookmarkStart w:id="26" w:name="OLE_LINK29"/>
      <w:r>
        <w:rPr>
          <w:rFonts w:hint="eastAsia" w:ascii="宋体" w:hAnsi="宋体" w:eastAsia="宋体" w:cs="宋体"/>
          <w:bCs/>
          <w:sz w:val="24"/>
          <w:szCs w:val="24"/>
        </w:rPr>
        <w:t>；</w:t>
      </w:r>
      <w:bookmarkEnd w:id="22"/>
      <w:bookmarkEnd w:id="23"/>
      <w:bookmarkEnd w:id="24"/>
      <w:bookmarkEnd w:id="25"/>
      <w:bookmarkEnd w:id="26"/>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pPr>
        <w:pStyle w:val="18"/>
        <w:spacing w:line="360" w:lineRule="auto"/>
        <w:ind w:firstLine="480" w:firstLineChars="200"/>
        <w:rPr>
          <w:rFonts w:hint="eastAsia" w:hAnsi="宋体" w:eastAsia="宋体" w:cs="宋体"/>
          <w:bCs/>
          <w:sz w:val="24"/>
          <w:szCs w:val="24"/>
        </w:rPr>
      </w:pPr>
      <w:r>
        <w:rPr>
          <w:rFonts w:hint="eastAsia" w:hAnsi="宋体" w:eastAsia="宋体" w:cs="宋体"/>
          <w:bCs/>
          <w:sz w:val="24"/>
          <w:szCs w:val="24"/>
        </w:rPr>
        <w:t>（6）招标人认为其他应终止招标的情形。</w:t>
      </w:r>
    </w:p>
    <w:p>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spacing w:line="360" w:lineRule="auto"/>
        <w:ind w:right="2" w:firstLine="482" w:firstLineChars="200"/>
        <w:outlineLvl w:val="1"/>
        <w:rPr>
          <w:rFonts w:hint="eastAsia"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归中国重汽集团济南动力有限公司。</w:t>
      </w:r>
    </w:p>
    <w:p>
      <w:pPr>
        <w:pStyle w:val="18"/>
        <w:spacing w:line="360" w:lineRule="auto"/>
        <w:jc w:val="center"/>
        <w:rPr>
          <w:rFonts w:hint="eastAsia" w:hAnsi="宋体" w:eastAsia="宋体" w:cs="宋体"/>
          <w:b/>
          <w:bCs/>
          <w:kern w:val="44"/>
          <w:sz w:val="24"/>
          <w:szCs w:val="24"/>
        </w:rPr>
        <w:sectPr>
          <w:footerReference r:id="rId9" w:type="default"/>
          <w:pgSz w:w="11907" w:h="16840"/>
          <w:pgMar w:top="1304" w:right="1418" w:bottom="1304" w:left="1418" w:header="724" w:footer="851" w:gutter="0"/>
          <w:cols w:space="720" w:num="1"/>
          <w:docGrid w:linePitch="290" w:charSpace="-3931"/>
        </w:sectPr>
      </w:pPr>
    </w:p>
    <w:p>
      <w:pPr>
        <w:pStyle w:val="18"/>
        <w:numPr>
          <w:ilvl w:val="255"/>
          <w:numId w:val="0"/>
        </w:numPr>
        <w:jc w:val="center"/>
        <w:outlineLvl w:val="0"/>
        <w:rPr>
          <w:rFonts w:ascii="Calibri" w:hAnsi="Calibri" w:eastAsia="宋体" w:cs="Times New Roman"/>
          <w:b/>
          <w:bCs/>
          <w:kern w:val="44"/>
          <w:sz w:val="36"/>
          <w:szCs w:val="44"/>
        </w:rPr>
      </w:pPr>
      <w:bookmarkStart w:id="27" w:name="_Toc22879"/>
      <w:r>
        <w:rPr>
          <w:rFonts w:hint="eastAsia" w:ascii="Calibri" w:hAnsi="Calibri" w:eastAsia="宋体" w:cs="Times New Roman"/>
          <w:b/>
          <w:bCs/>
          <w:kern w:val="44"/>
          <w:sz w:val="36"/>
          <w:szCs w:val="44"/>
        </w:rPr>
        <w:t>第三部分 投标文件编制</w:t>
      </w:r>
      <w:bookmarkEnd w:id="27"/>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一、投标文件的编制</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2.投标文件和与投标有关的所有文件均应使用中文。</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3.除投标文件的技术规格中另有规定外，投标文件中所使用的计量单位应为中华人民共和国法定计量单位。</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二、投标文件资料</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1.投标人所投标设备详细技术资料清单，在标书中列示说明；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2.投标人完整的技术支持与售后服务实施方案，在标书中列示说明，包含但不限于以下内容：</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3.投标人关于包装、运输、检验、交付、安装、调试、培训等方案，均需在投标文件中列示说明。</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三、投标文件的组成</w:t>
      </w:r>
    </w:p>
    <w:p>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sz w:val="24"/>
          <w:szCs w:val="24"/>
        </w:rPr>
        <w:t>本项目投标文件分为</w:t>
      </w:r>
      <w:r>
        <w:rPr>
          <w:rFonts w:hint="eastAsia" w:ascii="宋体" w:hAnsi="宋体" w:eastAsia="宋体" w:cs="宋体"/>
          <w:b/>
          <w:sz w:val="24"/>
          <w:szCs w:val="24"/>
        </w:rPr>
        <w:t>纸质版</w:t>
      </w:r>
      <w:r>
        <w:rPr>
          <w:rFonts w:hint="eastAsia" w:ascii="宋体" w:hAnsi="宋体" w:eastAsia="宋体" w:cs="宋体"/>
          <w:bCs/>
          <w:sz w:val="24"/>
          <w:szCs w:val="24"/>
        </w:rPr>
        <w:t>投标文件和</w:t>
      </w:r>
      <w:r>
        <w:rPr>
          <w:rFonts w:hint="eastAsia" w:ascii="宋体" w:hAnsi="宋体" w:eastAsia="宋体" w:cs="宋体"/>
          <w:b/>
          <w:sz w:val="24"/>
          <w:szCs w:val="24"/>
        </w:rPr>
        <w:t>电子版</w:t>
      </w:r>
      <w:r>
        <w:rPr>
          <w:rFonts w:hint="eastAsia" w:ascii="宋体" w:hAnsi="宋体" w:eastAsia="宋体" w:cs="宋体"/>
          <w:bCs/>
          <w:sz w:val="24"/>
          <w:szCs w:val="24"/>
        </w:rPr>
        <w:t>投标文件，均由</w:t>
      </w:r>
      <w:r>
        <w:rPr>
          <w:rFonts w:hint="eastAsia" w:ascii="宋体" w:hAnsi="宋体" w:eastAsia="宋体" w:cs="宋体"/>
          <w:b/>
          <w:sz w:val="24"/>
          <w:szCs w:val="24"/>
        </w:rPr>
        <w:t>《投标文件（资质标）》、《投标文件（技术标）》、《投标文件（商务标）》（开标一览表）</w:t>
      </w:r>
      <w:r>
        <w:rPr>
          <w:rFonts w:hint="eastAsia" w:ascii="宋体" w:hAnsi="宋体" w:eastAsia="宋体" w:cs="宋体"/>
          <w:bCs/>
          <w:sz w:val="24"/>
          <w:szCs w:val="24"/>
        </w:rPr>
        <w:t>文件组成，共计3</w:t>
      </w:r>
      <w:r>
        <w:rPr>
          <w:rFonts w:hint="eastAsia" w:ascii="宋体" w:hAnsi="宋体" w:eastAsia="宋体" w:cs="宋体"/>
          <w:bCs/>
          <w:color w:val="000000"/>
          <w:sz w:val="24"/>
          <w:szCs w:val="24"/>
        </w:rPr>
        <w:t>个文件。</w:t>
      </w:r>
    </w:p>
    <w:p>
      <w:pPr>
        <w:spacing w:line="360" w:lineRule="auto"/>
        <w:ind w:firstLine="482" w:firstLineChars="200"/>
        <w:rPr>
          <w:rFonts w:hint="eastAsia" w:ascii="宋体" w:hAnsi="宋体" w:eastAsia="宋体" w:cs="宋体"/>
          <w:bCs/>
          <w:color w:val="000000"/>
          <w:sz w:val="24"/>
          <w:szCs w:val="24"/>
        </w:rPr>
      </w:pPr>
      <w:r>
        <w:rPr>
          <w:rFonts w:hint="eastAsia" w:ascii="宋体" w:hAnsi="宋体" w:eastAsia="宋体" w:cs="宋体"/>
          <w:b/>
          <w:color w:val="000000"/>
          <w:sz w:val="24"/>
          <w:szCs w:val="24"/>
        </w:rPr>
        <w:t>投标文件的份数要求及投递方式</w:t>
      </w:r>
      <w:r>
        <w:rPr>
          <w:rFonts w:hint="eastAsia" w:ascii="宋体" w:hAnsi="宋体" w:eastAsia="宋体" w:cs="宋体"/>
          <w:bCs/>
          <w:color w:val="000000"/>
          <w:sz w:val="24"/>
          <w:szCs w:val="24"/>
        </w:rPr>
        <w:t>，见《投标须知前附表》第3条。</w:t>
      </w:r>
    </w:p>
    <w:p>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详见附件格式1—13，其余未尽事宜请按各单位习惯制定即可。</w:t>
      </w:r>
    </w:p>
    <w:p>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bCs/>
          <w:sz w:val="24"/>
          <w:szCs w:val="24"/>
        </w:rPr>
        <w:t>1.《投标文件（资质标）》包括</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1.1营业执照副本复印件（需加盖公章）；</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1.2投标函（附件1）；</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（含法人身份证和被授权人身份证正反面复印件）和</w:t>
      </w:r>
      <w:r>
        <w:rPr>
          <w:rFonts w:hint="eastAsia" w:ascii="宋体" w:hAnsi="宋体" w:eastAsia="宋体" w:cs="宋体"/>
          <w:sz w:val="24"/>
          <w:szCs w:val="24"/>
          <w:highlight w:val="yellow"/>
        </w:rPr>
        <w:t>被授权人</w:t>
      </w:r>
      <w:r>
        <w:rPr>
          <w:rFonts w:hint="eastAsia" w:ascii="宋体" w:hAnsi="宋体" w:eastAsia="宋体" w:cs="宋体"/>
          <w:kern w:val="0"/>
          <w:sz w:val="24"/>
          <w:szCs w:val="24"/>
          <w:highlight w:val="yellow"/>
          <w:lang w:bidi="en-US"/>
        </w:rPr>
        <w:t>近6个月及以上在授权单位的社保缴纳证明</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b/>
          <w:color w:val="000000"/>
          <w:sz w:val="24"/>
          <w:szCs w:val="24"/>
          <w:highlight w:val="yellow"/>
        </w:rPr>
      </w:pPr>
      <w:r>
        <w:rPr>
          <w:rFonts w:hint="eastAsia" w:ascii="宋体" w:hAnsi="宋体" w:eastAsia="宋体" w:cs="宋体"/>
          <w:color w:val="000000"/>
          <w:sz w:val="24"/>
          <w:szCs w:val="24"/>
        </w:rPr>
        <w:t>1.4近三年经第三方机构审计的财务报表（报告页、资产负债表、损益表、现金流量表）复印件（需加盖公章），（</w:t>
      </w:r>
      <w:r>
        <w:rPr>
          <w:rFonts w:hint="eastAsia" w:ascii="宋体" w:hAnsi="宋体" w:eastAsia="宋体" w:cs="Times New Roman"/>
          <w:color w:val="000000"/>
          <w:sz w:val="24"/>
          <w:szCs w:val="24"/>
        </w:rPr>
        <w:t>若没有财务审计报告，需提供资产负债表、利润表、现金流量表并加盖公章），</w:t>
      </w:r>
      <w:r>
        <w:rPr>
          <w:rFonts w:hint="eastAsia" w:ascii="宋体" w:hAnsi="宋体" w:eastAsia="宋体" w:cs="宋体"/>
          <w:color w:val="000000"/>
          <w:sz w:val="24"/>
          <w:szCs w:val="24"/>
        </w:rPr>
        <w:t>必须连续，同时填写投标人基本情况表（附件3）</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1.5近三年内在经营活动中</w:t>
      </w:r>
      <w:r>
        <w:rPr>
          <w:rFonts w:hint="eastAsia" w:hAnsi="宋体" w:eastAsia="宋体" w:cs="宋体"/>
          <w:color w:val="000000"/>
          <w:sz w:val="24"/>
          <w:szCs w:val="24"/>
        </w:rPr>
        <w:t>无与本项目有关的违法及重大违规</w:t>
      </w:r>
      <w:r>
        <w:rPr>
          <w:rFonts w:hint="eastAsia" w:ascii="宋体" w:hAnsi="宋体" w:eastAsia="宋体" w:cs="宋体"/>
          <w:color w:val="000000"/>
          <w:sz w:val="24"/>
          <w:szCs w:val="24"/>
        </w:rPr>
        <w:t>行为的声明；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1.6投标人在国家企业信用信息公示系统中无与本项目有关的行政处罚、经营异常和失信信息的声明；</w:t>
      </w:r>
      <w:r>
        <w:rPr>
          <w:rFonts w:hint="eastAsia" w:ascii="宋体" w:hAnsi="宋体" w:eastAsia="宋体" w:cs="宋体"/>
          <w:color w:val="000000"/>
          <w:sz w:val="24"/>
          <w:szCs w:val="24"/>
          <w:highlight w:val="yellow"/>
        </w:rPr>
        <w:t>（附投标当日系统内相关截图或报告）</w:t>
      </w:r>
    </w:p>
    <w:p>
      <w:pPr>
        <w:spacing w:line="360" w:lineRule="auto"/>
        <w:ind w:firstLine="480" w:firstLineChars="200"/>
        <w:rPr>
          <w:rFonts w:hint="eastAsia"/>
        </w:rPr>
      </w:pPr>
      <w:r>
        <w:rPr>
          <w:rFonts w:hint="eastAsia" w:ascii="宋体" w:hAnsi="宋体" w:eastAsia="宋体" w:cs="宋体"/>
          <w:color w:val="000000"/>
          <w:sz w:val="24"/>
          <w:szCs w:val="24"/>
        </w:rPr>
        <w:t>1.7</w:t>
      </w:r>
      <w:r>
        <w:rPr>
          <w:rFonts w:ascii="宋体" w:hAnsi="宋体" w:eastAsia="宋体" w:cs="宋体"/>
          <w:sz w:val="24"/>
          <w:szCs w:val="24"/>
        </w:rPr>
        <w:t>企业对外担保说明</w:t>
      </w:r>
      <w:r>
        <w:rPr>
          <w:rFonts w:ascii="宋体" w:hAnsi="宋体" w:eastAsia="宋体" w:cs="宋体"/>
          <w:sz w:val="24"/>
          <w:szCs w:val="24"/>
          <w:highlight w:val="yellow"/>
        </w:rPr>
        <w:t>（写明贵单位对外有无对外担保和质押业务，需加盖公章）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1.8企业信用证明材料</w:t>
      </w:r>
      <w:r>
        <w:rPr>
          <w:rFonts w:hint="eastAsia" w:ascii="宋体" w:hAnsi="宋体" w:eastAsia="宋体" w:cs="宋体"/>
          <w:color w:val="000000"/>
          <w:sz w:val="24"/>
          <w:szCs w:val="24"/>
          <w:highlight w:val="yellow"/>
        </w:rPr>
        <w:t>（征信中心出具的信用报告）</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val="en-US" w:eastAsia="zh-CN"/>
        </w:rPr>
        <w:t>9</w:t>
      </w:r>
      <w:r>
        <w:rPr>
          <w:rFonts w:hint="eastAsia" w:ascii="宋体" w:hAnsi="宋体" w:eastAsia="宋体" w:cs="宋体"/>
          <w:color w:val="000000"/>
          <w:sz w:val="24"/>
          <w:szCs w:val="24"/>
        </w:rPr>
        <w:t>企业最近半年的完税证明，并附</w:t>
      </w:r>
      <w:r>
        <w:rPr>
          <w:rFonts w:ascii="宋体" w:hAnsi="宋体" w:eastAsia="宋体" w:cs="宋体"/>
          <w:sz w:val="24"/>
          <w:szCs w:val="24"/>
        </w:rPr>
        <w:t>年度纳税信用评价信息（可从电子税务局查询截图，需加盖公章）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w:t>
      </w:r>
      <w:r>
        <w:rPr>
          <w:rFonts w:hint="eastAsia" w:ascii="宋体" w:hAnsi="宋体" w:eastAsia="宋体" w:cs="宋体"/>
          <w:color w:val="000000"/>
          <w:sz w:val="24"/>
          <w:szCs w:val="24"/>
          <w:lang w:val="en-US" w:eastAsia="zh-CN"/>
        </w:rPr>
        <w:t>0</w:t>
      </w:r>
      <w:r>
        <w:rPr>
          <w:rFonts w:hint="eastAsia" w:ascii="宋体" w:hAnsi="宋体" w:eastAsia="宋体" w:cs="宋体"/>
          <w:color w:val="000000"/>
          <w:sz w:val="24"/>
          <w:szCs w:val="24"/>
        </w:rPr>
        <w:t>保密承诺函（附件4）；</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w:t>
      </w: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 xml:space="preserve"> 202</w:t>
      </w: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年1月1日至今，企业近三年同类项目业绩证明，</w:t>
      </w:r>
      <w:r>
        <w:rPr>
          <w:rFonts w:ascii="宋体" w:hAnsi="宋体" w:eastAsia="宋体" w:cs="宋体"/>
          <w:sz w:val="24"/>
          <w:szCs w:val="24"/>
          <w:highlight w:val="yellow"/>
        </w:rPr>
        <w:t>须提供</w:t>
      </w:r>
      <w:r>
        <w:rPr>
          <w:rFonts w:hint="eastAsia" w:hAnsi="宋体" w:eastAsia="宋体" w:cs="宋体"/>
          <w:b/>
          <w:bCs/>
          <w:color w:val="000000"/>
          <w:kern w:val="0"/>
          <w:sz w:val="24"/>
          <w:szCs w:val="24"/>
          <w:highlight w:val="yellow"/>
        </w:rPr>
        <w:t>用户清单</w:t>
      </w:r>
      <w:r>
        <w:rPr>
          <w:rFonts w:ascii="宋体" w:hAnsi="宋体" w:eastAsia="宋体" w:cs="宋体"/>
          <w:sz w:val="24"/>
          <w:szCs w:val="24"/>
          <w:highlight w:val="yellow"/>
        </w:rPr>
        <w:t>、采购合同</w:t>
      </w:r>
      <w:r>
        <w:rPr>
          <w:rFonts w:hint="eastAsia" w:ascii="宋体" w:hAnsi="宋体" w:eastAsia="宋体" w:cs="宋体"/>
          <w:sz w:val="24"/>
          <w:szCs w:val="24"/>
          <w:highlight w:val="yellow"/>
        </w:rPr>
        <w:t>复印件</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w:t>
      </w: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投标保证金缴纳凭证，同时</w:t>
      </w:r>
      <w:r>
        <w:rPr>
          <w:rFonts w:hint="eastAsia" w:ascii="宋体" w:hAnsi="宋体" w:eastAsia="宋体" w:cs="宋体"/>
          <w:color w:val="000000"/>
          <w:sz w:val="24"/>
          <w:szCs w:val="24"/>
          <w:highlight w:val="yellow"/>
        </w:rPr>
        <w:t>正文描述付款账号、户名、开户行名称、开户行行号、保证金金额</w:t>
      </w:r>
      <w:r>
        <w:rPr>
          <w:rFonts w:hint="eastAsia" w:ascii="宋体" w:hAnsi="宋体" w:eastAsia="宋体" w:cs="宋体"/>
          <w:color w:val="000000"/>
          <w:sz w:val="24"/>
          <w:szCs w:val="24"/>
        </w:rPr>
        <w:t>。</w:t>
      </w:r>
    </w:p>
    <w:p>
      <w:pPr>
        <w:spacing w:line="360" w:lineRule="auto"/>
        <w:ind w:firstLine="482" w:firstLineChars="200"/>
        <w:rPr>
          <w:rFonts w:hint="eastAsia" w:ascii="宋体" w:hAnsi="宋体" w:eastAsia="宋体" w:cs="宋体"/>
          <w:b/>
          <w:bCs/>
          <w:sz w:val="24"/>
          <w:szCs w:val="24"/>
        </w:rPr>
      </w:pPr>
      <w:bookmarkStart w:id="28" w:name="_Toc212369515"/>
      <w:r>
        <w:rPr>
          <w:rFonts w:hint="eastAsia" w:ascii="宋体" w:hAnsi="宋体" w:eastAsia="宋体" w:cs="宋体"/>
          <w:b/>
          <w:bCs/>
          <w:sz w:val="24"/>
          <w:szCs w:val="24"/>
        </w:rPr>
        <w:t>2.</w:t>
      </w:r>
      <w:r>
        <w:rPr>
          <w:rFonts w:hint="eastAsia" w:ascii="宋体" w:hAnsi="宋体" w:eastAsia="宋体" w:cs="宋体"/>
          <w:b/>
          <w:sz w:val="24"/>
          <w:szCs w:val="24"/>
        </w:rPr>
        <w:t>《投标文件（技术标）》</w:t>
      </w:r>
      <w:r>
        <w:rPr>
          <w:rFonts w:hint="eastAsia" w:ascii="宋体" w:hAnsi="宋体" w:eastAsia="宋体" w:cs="宋体"/>
          <w:b/>
          <w:bCs/>
          <w:sz w:val="24"/>
          <w:szCs w:val="24"/>
        </w:rPr>
        <w:t>：</w:t>
      </w:r>
      <w:bookmarkEnd w:id="28"/>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2.1技术规格偏离表（附件5-1），</w:t>
      </w:r>
      <w:r>
        <w:rPr>
          <w:rFonts w:hint="eastAsia" w:ascii="宋体" w:hAnsi="宋体" w:eastAsia="宋体" w:cs="宋体"/>
          <w:b/>
          <w:color w:val="000000"/>
          <w:sz w:val="24"/>
          <w:szCs w:val="24"/>
        </w:rPr>
        <w:t>必须先进行两列要求一一对照，不允许直接写无偏离；</w:t>
      </w:r>
    </w:p>
    <w:p>
      <w:pPr>
        <w:spacing w:line="360" w:lineRule="auto"/>
        <w:ind w:firstLine="480" w:firstLineChars="200"/>
        <w:rPr>
          <w:rFonts w:hint="eastAsia" w:hAnsi="宋体" w:eastAsia="宋体" w:cs="宋体"/>
          <w:b/>
          <w:color w:val="000000"/>
          <w:sz w:val="24"/>
          <w:szCs w:val="24"/>
          <w:highlight w:val="yellow"/>
        </w:rPr>
      </w:pPr>
      <w:r>
        <w:rPr>
          <w:rFonts w:hint="eastAsia" w:ascii="宋体" w:hAnsi="宋体" w:eastAsia="宋体" w:cs="宋体"/>
          <w:bCs/>
          <w:color w:val="000000"/>
          <w:sz w:val="24"/>
          <w:szCs w:val="24"/>
        </w:rPr>
        <w:t>2.2</w:t>
      </w:r>
      <w:r>
        <w:rPr>
          <w:rFonts w:hint="eastAsia" w:hAnsi="宋体" w:eastAsia="宋体" w:cs="宋体"/>
          <w:color w:val="000000"/>
          <w:sz w:val="24"/>
          <w:szCs w:val="24"/>
          <w:highlight w:val="yellow"/>
        </w:rPr>
        <w:t>设备分项配置表（附件5-2），列明项目设备分项配置规格型号、品牌等信息（要求分项明细与附表9-1完全对应），但</w:t>
      </w:r>
      <w:r>
        <w:rPr>
          <w:rFonts w:hint="eastAsia" w:ascii="宋体" w:hAnsi="宋体" w:eastAsia="宋体" w:cs="宋体"/>
          <w:b/>
          <w:color w:val="000000"/>
          <w:sz w:val="24"/>
          <w:szCs w:val="24"/>
          <w:highlight w:val="yellow"/>
        </w:rPr>
        <w:t>注意：</w:t>
      </w:r>
      <w:r>
        <w:rPr>
          <w:rFonts w:hint="eastAsia" w:hAnsi="宋体" w:eastAsia="宋体" w:cs="宋体"/>
          <w:b/>
          <w:color w:val="000000"/>
          <w:sz w:val="24"/>
          <w:szCs w:val="24"/>
          <w:highlight w:val="yellow"/>
        </w:rPr>
        <w:t>此表在技术标书中，禁止出现任何分项价格及项目总价；</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2.3提供202</w:t>
      </w: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年1月1日以来同类产品的制造销售业绩（用户名单、联系方式），并附合同复印件。该同类项目业绩一览表必</w:t>
      </w:r>
      <w:r>
        <w:rPr>
          <w:rFonts w:hint="eastAsia" w:ascii="宋体" w:hAnsi="宋体" w:eastAsia="宋体" w:cs="宋体"/>
          <w:b/>
          <w:bCs/>
          <w:color w:val="000000"/>
          <w:sz w:val="24"/>
          <w:szCs w:val="24"/>
        </w:rPr>
        <w:t>须如实填写，应全尽全</w:t>
      </w:r>
      <w:r>
        <w:rPr>
          <w:rFonts w:hint="eastAsia" w:ascii="宋体" w:hAnsi="宋体" w:eastAsia="宋体" w:cs="宋体"/>
          <w:color w:val="000000"/>
          <w:sz w:val="24"/>
          <w:szCs w:val="24"/>
        </w:rPr>
        <w:t>；</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，数据将影响现场评标专家组对投标单位的业绩考评。</w:t>
      </w:r>
      <w:r>
        <w:rPr>
          <w:rFonts w:hint="eastAsia" w:ascii="宋体" w:hAnsi="宋体" w:eastAsia="宋体" w:cs="宋体"/>
          <w:b/>
          <w:bCs/>
          <w:color w:val="000000"/>
          <w:sz w:val="24"/>
          <w:szCs w:val="24"/>
        </w:rPr>
        <w:t>若未提供相应业绩证明，根据技术标评分规则，将影响现场评标专家组对投标单位业绩判定打分</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2.4供货期及保证措施；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2.5产品的技术服务和售后服务内容及措施；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2.6交货进度及计划；</w:t>
      </w:r>
    </w:p>
    <w:p>
      <w:pPr>
        <w:spacing w:line="360" w:lineRule="auto"/>
        <w:ind w:firstLine="480" w:firstLineChars="200"/>
        <w:rPr>
          <w:rFonts w:hint="eastAsia" w:ascii="宋体" w:hAnsi="宋体" w:eastAsia="宋体" w:cs="宋体"/>
          <w:color w:val="000000"/>
          <w:sz w:val="24"/>
          <w:szCs w:val="24"/>
        </w:rPr>
      </w:pPr>
      <w:bookmarkStart w:id="29" w:name="_Toc536542319"/>
      <w:r>
        <w:rPr>
          <w:rFonts w:hint="eastAsia" w:ascii="宋体" w:hAnsi="宋体" w:eastAsia="宋体" w:cs="宋体"/>
          <w:color w:val="000000"/>
          <w:sz w:val="24"/>
          <w:szCs w:val="24"/>
        </w:rPr>
        <w:t>2.7投标产品技术支持材料</w:t>
      </w:r>
      <w:bookmarkEnd w:id="29"/>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2.8设备质量承诺函（附件7）；</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2.9投标人需提交的其它资料。</w:t>
      </w:r>
    </w:p>
    <w:p>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3.</w:t>
      </w:r>
      <w:r>
        <w:rPr>
          <w:rFonts w:hint="eastAsia" w:ascii="宋体" w:hAnsi="宋体" w:eastAsia="宋体" w:cs="宋体"/>
          <w:b/>
          <w:sz w:val="24"/>
          <w:szCs w:val="24"/>
        </w:rPr>
        <w:t>《投标文件（商务标）》（开标一览表）</w:t>
      </w:r>
      <w:r>
        <w:rPr>
          <w:rFonts w:hint="eastAsia" w:ascii="宋体" w:hAnsi="宋体" w:eastAsia="宋体" w:cs="宋体"/>
          <w:b/>
          <w:bCs/>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3.1开标一览表（附件8）；</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3.2投标报价明细表（附件9-1至9-5）</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30" w:name="OLE_LINK18"/>
      <w:bookmarkStart w:id="31" w:name="OLE_LINK19"/>
      <w:r>
        <w:rPr>
          <w:rFonts w:hint="eastAsia" w:ascii="宋体" w:hAnsi="宋体" w:eastAsia="宋体" w:cs="宋体"/>
          <w:b/>
          <w:color w:val="000000"/>
          <w:sz w:val="24"/>
          <w:szCs w:val="24"/>
        </w:rPr>
        <w:t>；</w:t>
      </w:r>
      <w:bookmarkEnd w:id="30"/>
      <w:bookmarkEnd w:id="31"/>
      <w:r>
        <w:rPr>
          <w:rFonts w:hint="eastAsia" w:ascii="宋体" w:hAnsi="宋体" w:eastAsia="宋体" w:cs="宋体"/>
          <w:color w:val="000000"/>
          <w:sz w:val="24"/>
          <w:szCs w:val="24"/>
        </w:rPr>
        <w:t xml:space="preserve"> </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3.4投标人承诺（附件11）</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3.6按招标文件投标人须知和技术规格书中要求提供的有关文件。</w:t>
      </w:r>
    </w:p>
    <w:p>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四、投标文件格式</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详见第六部分投标文件附件格式1—13，其余未尽事宜请按各单位习惯制定即可。</w:t>
      </w:r>
    </w:p>
    <w:p>
      <w:pPr>
        <w:pStyle w:val="18"/>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bookmarkEnd w:id="0"/>
    <w:bookmarkEnd w:id="1"/>
    <w:p>
      <w:pPr>
        <w:keepNext/>
        <w:keepLines/>
        <w:jc w:val="center"/>
        <w:outlineLvl w:val="0"/>
        <w:rPr>
          <w:rFonts w:ascii="Calibri" w:hAnsi="Calibri" w:eastAsia="宋体" w:cs="Times New Roman"/>
          <w:b/>
          <w:bCs/>
          <w:kern w:val="44"/>
          <w:sz w:val="36"/>
          <w:szCs w:val="44"/>
        </w:rPr>
      </w:pPr>
      <w:bookmarkStart w:id="32" w:name="_Toc9849"/>
      <w:r>
        <w:rPr>
          <w:rFonts w:hint="eastAsia" w:ascii="Calibri" w:hAnsi="Calibri" w:eastAsia="宋体" w:cs="Times New Roman"/>
          <w:b/>
          <w:bCs/>
          <w:kern w:val="44"/>
          <w:sz w:val="36"/>
          <w:szCs w:val="44"/>
        </w:rPr>
        <w:t>第四部分 技术标书</w:t>
      </w:r>
    </w:p>
    <w:p>
      <w:pPr>
        <w:pStyle w:val="18"/>
      </w:pPr>
    </w:p>
    <w:p>
      <w:pPr>
        <w:jc w:val="center"/>
        <w:rPr>
          <w:rFonts w:hint="eastAsia"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中国重汽集团济南动力有限公司发动机厂</w:t>
      </w:r>
    </w:p>
    <w:p>
      <w:pPr>
        <w:spacing w:line="276" w:lineRule="auto"/>
        <w:jc w:val="center"/>
        <w:rPr>
          <w:rFonts w:hint="eastAsia"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曲轴、连杆检测能力提升项目</w:t>
      </w:r>
    </w:p>
    <w:p>
      <w:pPr>
        <w:pStyle w:val="18"/>
      </w:pPr>
    </w:p>
    <w:p>
      <w:pPr>
        <w:pStyle w:val="18"/>
      </w:pPr>
    </w:p>
    <w:p>
      <w:pPr>
        <w:pStyle w:val="18"/>
      </w:pPr>
    </w:p>
    <w:p>
      <w:pPr>
        <w:pStyle w:val="18"/>
      </w:pPr>
    </w:p>
    <w:p>
      <w:pPr>
        <w:jc w:val="center"/>
        <w:rPr>
          <w:rFonts w:hint="eastAsia" w:ascii="黑体" w:hAnsi="宋体" w:eastAsia="黑体" w:cs="Times New Roman"/>
          <w:color w:val="000000"/>
          <w:sz w:val="72"/>
          <w:szCs w:val="72"/>
        </w:rPr>
      </w:pPr>
    </w:p>
    <w:p>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技</w:t>
      </w:r>
    </w:p>
    <w:p>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术</w:t>
      </w:r>
    </w:p>
    <w:p>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书</w:t>
      </w:r>
    </w:p>
    <w:p>
      <w:pPr>
        <w:pStyle w:val="18"/>
      </w:pPr>
    </w:p>
    <w:p>
      <w:pPr>
        <w:spacing w:line="860" w:lineRule="exact"/>
        <w:rPr>
          <w:rFonts w:hint="eastAsia"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  张凯凯           </w:t>
      </w:r>
    </w:p>
    <w:p>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审核：  苏 磊       </w:t>
      </w:r>
    </w:p>
    <w:p>
      <w:pPr>
        <w:spacing w:line="860" w:lineRule="exact"/>
        <w:ind w:firstLine="2570" w:firstLineChars="800"/>
        <w:rPr>
          <w:rFonts w:hint="eastAsia" w:ascii="华文仿宋" w:hAnsi="华文仿宋" w:eastAsia="华文仿宋"/>
          <w:b/>
          <w:bCs/>
          <w:sz w:val="32"/>
          <w:szCs w:val="28"/>
        </w:rPr>
      </w:pPr>
      <w:r>
        <w:rPr>
          <w:rFonts w:hint="eastAsia" w:ascii="华文仿宋" w:hAnsi="华文仿宋" w:eastAsia="华文仿宋"/>
          <w:b/>
          <w:bCs/>
          <w:sz w:val="32"/>
          <w:szCs w:val="28"/>
        </w:rPr>
        <w:t>会签：屈定国、袁志法、庄福河、彭昆、刘乐</w:t>
      </w:r>
    </w:p>
    <w:p>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批准：  李成伍   </w:t>
      </w:r>
    </w:p>
    <w:p>
      <w:pPr>
        <w:pStyle w:val="18"/>
        <w:rPr>
          <w:b/>
          <w:bCs/>
        </w:rPr>
      </w:pPr>
    </w:p>
    <w:p>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人：中国重汽集团济南动力有限公司发动机厂</w:t>
      </w:r>
    </w:p>
    <w:p>
      <w:pPr>
        <w:jc w:val="center"/>
        <w:rPr>
          <w:rFonts w:ascii="Calibri" w:hAnsi="Calibri" w:eastAsia="宋体" w:cs="Times New Roman"/>
          <w:b/>
          <w:bCs/>
          <w:kern w:val="44"/>
          <w:sz w:val="36"/>
          <w:szCs w:val="44"/>
        </w:rPr>
      </w:pPr>
      <w:r>
        <w:rPr>
          <w:rFonts w:hint="eastAsia" w:ascii="Calibri" w:hAnsi="Calibri" w:eastAsia="宋体" w:cs="Times New Roman"/>
          <w:color w:val="000000"/>
          <w:sz w:val="28"/>
          <w:szCs w:val="28"/>
        </w:rPr>
        <w:t>2025年1</w:t>
      </w:r>
      <w:r>
        <w:rPr>
          <w:rFonts w:hint="eastAsia" w:ascii="Calibri" w:hAnsi="Calibri" w:eastAsia="宋体" w:cs="Times New Roman"/>
          <w:color w:val="000000"/>
          <w:sz w:val="28"/>
          <w:szCs w:val="28"/>
          <w:lang w:val="en-US" w:eastAsia="zh-CN"/>
        </w:rPr>
        <w:t>1</w:t>
      </w:r>
      <w:r>
        <w:rPr>
          <w:rFonts w:hint="eastAsia" w:ascii="Calibri" w:hAnsi="Calibri" w:eastAsia="宋体" w:cs="Times New Roman"/>
          <w:color w:val="000000"/>
          <w:sz w:val="28"/>
          <w:szCs w:val="28"/>
        </w:rPr>
        <w:t>月</w:t>
      </w:r>
    </w:p>
    <w:p>
      <w:pPr>
        <w:spacing w:line="360" w:lineRule="auto"/>
        <w:rPr>
          <w:rFonts w:hint="eastAsia" w:ascii="宋体" w:hAnsi="宋体" w:eastAsia="宋体" w:cs="Times New Roman"/>
          <w:b/>
          <w:sz w:val="36"/>
          <w:szCs w:val="36"/>
        </w:rPr>
        <w:sectPr>
          <w:pgSz w:w="11907" w:h="16840"/>
          <w:pgMar w:top="1304" w:right="1418" w:bottom="1304" w:left="1418" w:header="724" w:footer="851" w:gutter="0"/>
          <w:cols w:space="720" w:num="1"/>
          <w:docGrid w:linePitch="290" w:charSpace="-3931"/>
        </w:sectPr>
      </w:pPr>
      <w:bookmarkStart w:id="127" w:name="_GoBack"/>
      <w:bookmarkEnd w:id="127"/>
    </w:p>
    <w:p>
      <w:pPr>
        <w:ind w:firstLine="880"/>
        <w:rPr>
          <w:rFonts w:hint="eastAsia" w:ascii="黑体" w:hAnsi="宋体" w:eastAsia="黑体"/>
          <w:sz w:val="44"/>
          <w:szCs w:val="44"/>
        </w:rPr>
      </w:pPr>
    </w:p>
    <w:p>
      <w:pPr>
        <w:spacing w:line="480" w:lineRule="exact"/>
        <w:jc w:val="center"/>
        <w:rPr>
          <w:rFonts w:hint="eastAsia" w:ascii="宋体" w:hAnsi="宋体"/>
          <w:sz w:val="32"/>
          <w:szCs w:val="32"/>
        </w:rPr>
      </w:pPr>
      <w:r>
        <w:rPr>
          <w:rFonts w:hint="eastAsia" w:ascii="黑体" w:hAnsi="宋体" w:eastAsia="黑体"/>
          <w:sz w:val="32"/>
          <w:szCs w:val="32"/>
        </w:rPr>
        <w:t>目        录</w:t>
      </w:r>
    </w:p>
    <w:p>
      <w:pPr>
        <w:spacing w:line="480" w:lineRule="exact"/>
        <w:rPr>
          <w:rFonts w:hint="eastAsia" w:ascii="宋体" w:hAnsi="宋体"/>
          <w:sz w:val="24"/>
          <w:szCs w:val="24"/>
        </w:rPr>
      </w:pPr>
    </w:p>
    <w:p>
      <w:pPr>
        <w:pStyle w:val="25"/>
        <w:tabs>
          <w:tab w:val="right" w:leader="dot" w:pos="8787"/>
        </w:tabs>
        <w:spacing w:line="480" w:lineRule="auto"/>
        <w:rPr>
          <w:rFonts w:hint="eastAsia"/>
          <w:b w:val="0"/>
          <w:bCs/>
          <w:color w:val="auto"/>
          <w:sz w:val="24"/>
          <w:szCs w:val="24"/>
        </w:rPr>
      </w:pPr>
      <w:r>
        <w:rPr>
          <w:rFonts w:hint="eastAsia"/>
          <w:b w:val="0"/>
          <w:bCs/>
          <w:color w:val="auto"/>
          <w:sz w:val="24"/>
          <w:szCs w:val="24"/>
        </w:rPr>
        <w:fldChar w:fldCharType="begin"/>
      </w:r>
      <w:r>
        <w:rPr>
          <w:rFonts w:hint="eastAsia"/>
          <w:b w:val="0"/>
          <w:bCs/>
          <w:color w:val="auto"/>
          <w:sz w:val="24"/>
          <w:szCs w:val="24"/>
        </w:rPr>
        <w:instrText xml:space="preserve"> TOC \o "1-2" \h \z \u </w:instrText>
      </w:r>
      <w:r>
        <w:rPr>
          <w:rFonts w:hint="eastAsia"/>
          <w:b w:val="0"/>
          <w:bCs/>
          <w:color w:val="auto"/>
          <w:sz w:val="24"/>
          <w:szCs w:val="24"/>
        </w:rPr>
        <w:fldChar w:fldCharType="separate"/>
      </w:r>
      <w:r>
        <w:fldChar w:fldCharType="begin"/>
      </w:r>
      <w:r>
        <w:instrText xml:space="preserve"> HYPERLINK \l "_Toc2567" </w:instrText>
      </w:r>
      <w:r>
        <w:fldChar w:fldCharType="separate"/>
      </w:r>
      <w:r>
        <w:rPr>
          <w:rFonts w:hint="eastAsia" w:ascii="黑体" w:eastAsia="黑体"/>
          <w:b w:val="0"/>
          <w:bCs/>
          <w:color w:val="auto"/>
          <w:sz w:val="24"/>
          <w:szCs w:val="24"/>
        </w:rPr>
        <w:t>第一章  采购货物概况</w:t>
      </w:r>
      <w:r>
        <w:rPr>
          <w:b w:val="0"/>
          <w:bCs/>
          <w:color w:val="auto"/>
          <w:sz w:val="24"/>
          <w:szCs w:val="24"/>
        </w:rPr>
        <w:tab/>
      </w:r>
      <w:r>
        <w:rPr>
          <w:b w:val="0"/>
          <w:bCs/>
          <w:color w:val="auto"/>
          <w:sz w:val="24"/>
          <w:szCs w:val="24"/>
        </w:rPr>
        <w:fldChar w:fldCharType="begin"/>
      </w:r>
      <w:r>
        <w:rPr>
          <w:b w:val="0"/>
          <w:bCs/>
          <w:color w:val="auto"/>
          <w:sz w:val="24"/>
          <w:szCs w:val="24"/>
        </w:rPr>
        <w:instrText xml:space="preserve"> PAGEREF _Toc2567 </w:instrText>
      </w:r>
      <w:r>
        <w:rPr>
          <w:b w:val="0"/>
          <w:bCs/>
          <w:color w:val="auto"/>
          <w:sz w:val="24"/>
          <w:szCs w:val="24"/>
        </w:rPr>
        <w:fldChar w:fldCharType="separate"/>
      </w:r>
      <w:r>
        <w:rPr>
          <w:b w:val="0"/>
          <w:bCs/>
          <w:color w:val="auto"/>
          <w:sz w:val="24"/>
          <w:szCs w:val="24"/>
        </w:rPr>
        <w:t>1</w:t>
      </w:r>
      <w:r>
        <w:rPr>
          <w:b w:val="0"/>
          <w:bCs/>
          <w:color w:val="auto"/>
          <w:sz w:val="24"/>
          <w:szCs w:val="24"/>
        </w:rPr>
        <w:fldChar w:fldCharType="end"/>
      </w:r>
      <w:r>
        <w:rPr>
          <w:b w:val="0"/>
          <w:bCs/>
          <w:color w:val="auto"/>
          <w:sz w:val="24"/>
          <w:szCs w:val="24"/>
        </w:rPr>
        <w:fldChar w:fldCharType="end"/>
      </w:r>
    </w:p>
    <w:p>
      <w:pPr>
        <w:pStyle w:val="25"/>
        <w:tabs>
          <w:tab w:val="right" w:leader="dot" w:pos="8787"/>
        </w:tabs>
        <w:spacing w:line="480" w:lineRule="auto"/>
        <w:rPr>
          <w:rFonts w:hint="eastAsia"/>
          <w:b w:val="0"/>
          <w:bCs/>
          <w:color w:val="auto"/>
          <w:sz w:val="24"/>
          <w:szCs w:val="24"/>
        </w:rPr>
      </w:pPr>
      <w:r>
        <w:fldChar w:fldCharType="begin"/>
      </w:r>
      <w:r>
        <w:instrText xml:space="preserve"> HYPERLINK \l "_Toc32262" </w:instrText>
      </w:r>
      <w:r>
        <w:fldChar w:fldCharType="separate"/>
      </w:r>
      <w:r>
        <w:rPr>
          <w:rFonts w:hint="eastAsia" w:ascii="黑体" w:eastAsia="黑体"/>
          <w:b w:val="0"/>
          <w:bCs/>
          <w:color w:val="auto"/>
          <w:sz w:val="24"/>
          <w:szCs w:val="24"/>
        </w:rPr>
        <w:t>第二章  技术要求</w:t>
      </w:r>
      <w:r>
        <w:rPr>
          <w:b w:val="0"/>
          <w:bCs/>
          <w:color w:val="auto"/>
          <w:sz w:val="24"/>
          <w:szCs w:val="24"/>
        </w:rPr>
        <w:tab/>
      </w:r>
      <w:r>
        <w:rPr>
          <w:b w:val="0"/>
          <w:bCs/>
          <w:color w:val="auto"/>
          <w:sz w:val="24"/>
          <w:szCs w:val="24"/>
        </w:rPr>
        <w:fldChar w:fldCharType="begin"/>
      </w:r>
      <w:r>
        <w:rPr>
          <w:b w:val="0"/>
          <w:bCs/>
          <w:color w:val="auto"/>
          <w:sz w:val="24"/>
          <w:szCs w:val="24"/>
        </w:rPr>
        <w:instrText xml:space="preserve"> PAGEREF _Toc32262 </w:instrText>
      </w:r>
      <w:r>
        <w:rPr>
          <w:b w:val="0"/>
          <w:bCs/>
          <w:color w:val="auto"/>
          <w:sz w:val="24"/>
          <w:szCs w:val="24"/>
        </w:rPr>
        <w:fldChar w:fldCharType="separate"/>
      </w:r>
      <w:r>
        <w:rPr>
          <w:b w:val="0"/>
          <w:bCs/>
          <w:color w:val="auto"/>
          <w:sz w:val="24"/>
          <w:szCs w:val="24"/>
        </w:rPr>
        <w:t>3</w:t>
      </w:r>
      <w:r>
        <w:rPr>
          <w:b w:val="0"/>
          <w:bCs/>
          <w:color w:val="auto"/>
          <w:sz w:val="24"/>
          <w:szCs w:val="24"/>
        </w:rPr>
        <w:fldChar w:fldCharType="end"/>
      </w:r>
      <w:r>
        <w:rPr>
          <w:b w:val="0"/>
          <w:bCs/>
          <w:color w:val="auto"/>
          <w:sz w:val="24"/>
          <w:szCs w:val="24"/>
        </w:rPr>
        <w:fldChar w:fldCharType="end"/>
      </w:r>
    </w:p>
    <w:p>
      <w:pPr>
        <w:pStyle w:val="25"/>
        <w:tabs>
          <w:tab w:val="right" w:leader="dot" w:pos="8787"/>
        </w:tabs>
        <w:spacing w:line="480" w:lineRule="auto"/>
        <w:rPr>
          <w:rFonts w:hint="eastAsia"/>
          <w:b w:val="0"/>
          <w:bCs/>
          <w:color w:val="auto"/>
          <w:sz w:val="24"/>
          <w:szCs w:val="24"/>
        </w:rPr>
      </w:pPr>
      <w:r>
        <w:fldChar w:fldCharType="begin"/>
      </w:r>
      <w:r>
        <w:instrText xml:space="preserve"> HYPERLINK \l "_Toc10963" </w:instrText>
      </w:r>
      <w:r>
        <w:fldChar w:fldCharType="separate"/>
      </w:r>
      <w:r>
        <w:rPr>
          <w:rFonts w:hint="eastAsia" w:ascii="黑体" w:eastAsia="黑体"/>
          <w:b w:val="0"/>
          <w:bCs/>
          <w:color w:val="auto"/>
          <w:sz w:val="24"/>
          <w:szCs w:val="24"/>
        </w:rPr>
        <w:t>第三章  供货范围及供货方式</w:t>
      </w:r>
      <w:r>
        <w:rPr>
          <w:b w:val="0"/>
          <w:bCs/>
          <w:color w:val="auto"/>
          <w:sz w:val="24"/>
          <w:szCs w:val="24"/>
        </w:rPr>
        <w:tab/>
      </w:r>
      <w:r>
        <w:rPr>
          <w:b w:val="0"/>
          <w:bCs/>
          <w:color w:val="auto"/>
          <w:sz w:val="24"/>
          <w:szCs w:val="24"/>
        </w:rPr>
        <w:fldChar w:fldCharType="begin"/>
      </w:r>
      <w:r>
        <w:rPr>
          <w:b w:val="0"/>
          <w:bCs/>
          <w:color w:val="auto"/>
          <w:sz w:val="24"/>
          <w:szCs w:val="24"/>
        </w:rPr>
        <w:instrText xml:space="preserve"> PAGEREF _Toc10963 </w:instrText>
      </w:r>
      <w:r>
        <w:rPr>
          <w:b w:val="0"/>
          <w:bCs/>
          <w:color w:val="auto"/>
          <w:sz w:val="24"/>
          <w:szCs w:val="24"/>
        </w:rPr>
        <w:fldChar w:fldCharType="separate"/>
      </w:r>
      <w:r>
        <w:rPr>
          <w:b w:val="0"/>
          <w:bCs/>
          <w:color w:val="auto"/>
          <w:sz w:val="24"/>
          <w:szCs w:val="24"/>
        </w:rPr>
        <w:t>11</w:t>
      </w:r>
      <w:r>
        <w:rPr>
          <w:b w:val="0"/>
          <w:bCs/>
          <w:color w:val="auto"/>
          <w:sz w:val="24"/>
          <w:szCs w:val="24"/>
        </w:rPr>
        <w:fldChar w:fldCharType="end"/>
      </w:r>
      <w:r>
        <w:rPr>
          <w:b w:val="0"/>
          <w:bCs/>
          <w:color w:val="auto"/>
          <w:sz w:val="24"/>
          <w:szCs w:val="24"/>
        </w:rPr>
        <w:fldChar w:fldCharType="end"/>
      </w:r>
    </w:p>
    <w:p>
      <w:pPr>
        <w:pStyle w:val="25"/>
        <w:tabs>
          <w:tab w:val="right" w:leader="dot" w:pos="8787"/>
        </w:tabs>
        <w:spacing w:line="480" w:lineRule="auto"/>
        <w:rPr>
          <w:rFonts w:hint="eastAsia"/>
          <w:b w:val="0"/>
          <w:bCs/>
          <w:color w:val="auto"/>
          <w:sz w:val="24"/>
          <w:szCs w:val="24"/>
        </w:rPr>
      </w:pPr>
      <w:r>
        <w:fldChar w:fldCharType="begin"/>
      </w:r>
      <w:r>
        <w:instrText xml:space="preserve"> HYPERLINK \l "_Toc30960" </w:instrText>
      </w:r>
      <w:r>
        <w:fldChar w:fldCharType="separate"/>
      </w:r>
      <w:r>
        <w:rPr>
          <w:rFonts w:hint="eastAsia" w:ascii="黑体" w:eastAsia="黑体"/>
          <w:b w:val="0"/>
          <w:bCs/>
          <w:color w:val="auto"/>
          <w:sz w:val="24"/>
          <w:szCs w:val="24"/>
        </w:rPr>
        <w:t>第四章  售中售后服务</w:t>
      </w:r>
      <w:r>
        <w:rPr>
          <w:b w:val="0"/>
          <w:bCs/>
          <w:color w:val="auto"/>
          <w:sz w:val="24"/>
          <w:szCs w:val="24"/>
        </w:rPr>
        <w:tab/>
      </w:r>
      <w:r>
        <w:rPr>
          <w:b w:val="0"/>
          <w:bCs/>
          <w:color w:val="auto"/>
          <w:sz w:val="24"/>
          <w:szCs w:val="24"/>
        </w:rPr>
        <w:fldChar w:fldCharType="begin"/>
      </w:r>
      <w:r>
        <w:rPr>
          <w:b w:val="0"/>
          <w:bCs/>
          <w:color w:val="auto"/>
          <w:sz w:val="24"/>
          <w:szCs w:val="24"/>
        </w:rPr>
        <w:instrText xml:space="preserve"> PAGEREF _Toc30960 </w:instrText>
      </w:r>
      <w:r>
        <w:rPr>
          <w:b w:val="0"/>
          <w:bCs/>
          <w:color w:val="auto"/>
          <w:sz w:val="24"/>
          <w:szCs w:val="24"/>
        </w:rPr>
        <w:fldChar w:fldCharType="separate"/>
      </w:r>
      <w:r>
        <w:rPr>
          <w:b w:val="0"/>
          <w:bCs/>
          <w:color w:val="auto"/>
          <w:sz w:val="24"/>
          <w:szCs w:val="24"/>
        </w:rPr>
        <w:t>16</w:t>
      </w:r>
      <w:r>
        <w:rPr>
          <w:b w:val="0"/>
          <w:bCs/>
          <w:color w:val="auto"/>
          <w:sz w:val="24"/>
          <w:szCs w:val="24"/>
        </w:rPr>
        <w:fldChar w:fldCharType="end"/>
      </w:r>
      <w:r>
        <w:rPr>
          <w:b w:val="0"/>
          <w:bCs/>
          <w:color w:val="auto"/>
          <w:sz w:val="24"/>
          <w:szCs w:val="24"/>
        </w:rPr>
        <w:fldChar w:fldCharType="end"/>
      </w:r>
    </w:p>
    <w:p>
      <w:pPr>
        <w:pStyle w:val="25"/>
        <w:tabs>
          <w:tab w:val="right" w:leader="dot" w:pos="8787"/>
        </w:tabs>
        <w:spacing w:line="480" w:lineRule="auto"/>
        <w:rPr>
          <w:rFonts w:hint="eastAsia"/>
          <w:b w:val="0"/>
          <w:bCs/>
          <w:color w:val="auto"/>
          <w:sz w:val="24"/>
          <w:szCs w:val="24"/>
        </w:rPr>
      </w:pPr>
      <w:r>
        <w:fldChar w:fldCharType="begin"/>
      </w:r>
      <w:r>
        <w:instrText xml:space="preserve"> HYPERLINK \l "_Toc21539" </w:instrText>
      </w:r>
      <w:r>
        <w:fldChar w:fldCharType="separate"/>
      </w:r>
      <w:r>
        <w:rPr>
          <w:rFonts w:hint="eastAsia" w:ascii="黑体" w:eastAsia="黑体"/>
          <w:b w:val="0"/>
          <w:bCs/>
          <w:color w:val="auto"/>
          <w:sz w:val="24"/>
          <w:szCs w:val="24"/>
        </w:rPr>
        <w:t>第五章  预验收和终验收</w:t>
      </w:r>
      <w:r>
        <w:rPr>
          <w:b w:val="0"/>
          <w:bCs/>
          <w:color w:val="auto"/>
          <w:sz w:val="24"/>
          <w:szCs w:val="24"/>
        </w:rPr>
        <w:tab/>
      </w:r>
      <w:r>
        <w:rPr>
          <w:b w:val="0"/>
          <w:bCs/>
          <w:color w:val="auto"/>
          <w:sz w:val="24"/>
          <w:szCs w:val="24"/>
        </w:rPr>
        <w:fldChar w:fldCharType="begin"/>
      </w:r>
      <w:r>
        <w:rPr>
          <w:b w:val="0"/>
          <w:bCs/>
          <w:color w:val="auto"/>
          <w:sz w:val="24"/>
          <w:szCs w:val="24"/>
        </w:rPr>
        <w:instrText xml:space="preserve"> PAGEREF _Toc21539 </w:instrText>
      </w:r>
      <w:r>
        <w:rPr>
          <w:b w:val="0"/>
          <w:bCs/>
          <w:color w:val="auto"/>
          <w:sz w:val="24"/>
          <w:szCs w:val="24"/>
        </w:rPr>
        <w:fldChar w:fldCharType="separate"/>
      </w:r>
      <w:r>
        <w:rPr>
          <w:b w:val="0"/>
          <w:bCs/>
          <w:color w:val="auto"/>
          <w:sz w:val="24"/>
          <w:szCs w:val="24"/>
        </w:rPr>
        <w:t>18</w:t>
      </w:r>
      <w:r>
        <w:rPr>
          <w:b w:val="0"/>
          <w:bCs/>
          <w:color w:val="auto"/>
          <w:sz w:val="24"/>
          <w:szCs w:val="24"/>
        </w:rPr>
        <w:fldChar w:fldCharType="end"/>
      </w:r>
      <w:r>
        <w:rPr>
          <w:b w:val="0"/>
          <w:bCs/>
          <w:color w:val="auto"/>
          <w:sz w:val="24"/>
          <w:szCs w:val="24"/>
        </w:rPr>
        <w:fldChar w:fldCharType="end"/>
      </w:r>
    </w:p>
    <w:p>
      <w:pPr>
        <w:pStyle w:val="25"/>
        <w:tabs>
          <w:tab w:val="right" w:leader="dot" w:pos="8787"/>
        </w:tabs>
        <w:spacing w:line="480" w:lineRule="auto"/>
        <w:rPr>
          <w:rFonts w:hint="eastAsia"/>
          <w:b w:val="0"/>
          <w:bCs/>
          <w:color w:val="auto"/>
          <w:sz w:val="24"/>
          <w:szCs w:val="24"/>
        </w:rPr>
      </w:pPr>
      <w:r>
        <w:fldChar w:fldCharType="begin"/>
      </w:r>
      <w:r>
        <w:instrText xml:space="preserve"> HYPERLINK \l "_Toc12996" </w:instrText>
      </w:r>
      <w:r>
        <w:fldChar w:fldCharType="separate"/>
      </w:r>
      <w:r>
        <w:rPr>
          <w:rFonts w:hint="eastAsia" w:ascii="黑体" w:eastAsia="黑体"/>
          <w:b w:val="0"/>
          <w:bCs/>
          <w:color w:val="auto"/>
          <w:sz w:val="24"/>
          <w:szCs w:val="24"/>
        </w:rPr>
        <w:t>第六章  投标技术文件一般要求</w:t>
      </w:r>
      <w:r>
        <w:rPr>
          <w:b w:val="0"/>
          <w:bCs/>
          <w:color w:val="auto"/>
          <w:sz w:val="24"/>
          <w:szCs w:val="24"/>
        </w:rPr>
        <w:tab/>
      </w:r>
      <w:r>
        <w:rPr>
          <w:b w:val="0"/>
          <w:bCs/>
          <w:color w:val="auto"/>
          <w:sz w:val="24"/>
          <w:szCs w:val="24"/>
        </w:rPr>
        <w:fldChar w:fldCharType="begin"/>
      </w:r>
      <w:r>
        <w:rPr>
          <w:b w:val="0"/>
          <w:bCs/>
          <w:color w:val="auto"/>
          <w:sz w:val="24"/>
          <w:szCs w:val="24"/>
        </w:rPr>
        <w:instrText xml:space="preserve"> PAGEREF _Toc12996 </w:instrText>
      </w:r>
      <w:r>
        <w:rPr>
          <w:b w:val="0"/>
          <w:bCs/>
          <w:color w:val="auto"/>
          <w:sz w:val="24"/>
          <w:szCs w:val="24"/>
        </w:rPr>
        <w:fldChar w:fldCharType="separate"/>
      </w:r>
      <w:r>
        <w:rPr>
          <w:b w:val="0"/>
          <w:bCs/>
          <w:color w:val="auto"/>
          <w:sz w:val="24"/>
          <w:szCs w:val="24"/>
        </w:rPr>
        <w:t>21</w:t>
      </w:r>
      <w:r>
        <w:rPr>
          <w:b w:val="0"/>
          <w:bCs/>
          <w:color w:val="auto"/>
          <w:sz w:val="24"/>
          <w:szCs w:val="24"/>
        </w:rPr>
        <w:fldChar w:fldCharType="end"/>
      </w:r>
      <w:r>
        <w:rPr>
          <w:b w:val="0"/>
          <w:bCs/>
          <w:color w:val="auto"/>
          <w:sz w:val="24"/>
          <w:szCs w:val="24"/>
        </w:rPr>
        <w:fldChar w:fldCharType="end"/>
      </w:r>
    </w:p>
    <w:p>
      <w:pPr>
        <w:pStyle w:val="25"/>
        <w:tabs>
          <w:tab w:val="right" w:leader="dot" w:pos="8787"/>
        </w:tabs>
        <w:spacing w:line="480" w:lineRule="auto"/>
        <w:rPr>
          <w:rFonts w:hint="eastAsia"/>
          <w:b w:val="0"/>
          <w:bCs/>
          <w:color w:val="auto"/>
          <w:sz w:val="24"/>
          <w:szCs w:val="24"/>
        </w:rPr>
      </w:pPr>
      <w:r>
        <w:fldChar w:fldCharType="begin"/>
      </w:r>
      <w:r>
        <w:instrText xml:space="preserve"> HYPERLINK \l "_Toc31849" </w:instrText>
      </w:r>
      <w:r>
        <w:fldChar w:fldCharType="separate"/>
      </w:r>
      <w:r>
        <w:rPr>
          <w:rFonts w:hint="eastAsia" w:ascii="黑体" w:eastAsia="黑体"/>
          <w:b w:val="0"/>
          <w:bCs/>
          <w:color w:val="auto"/>
          <w:sz w:val="24"/>
          <w:szCs w:val="24"/>
        </w:rPr>
        <w:t>第七章  其它要求及说明</w:t>
      </w:r>
      <w:r>
        <w:rPr>
          <w:b w:val="0"/>
          <w:bCs/>
          <w:color w:val="auto"/>
          <w:sz w:val="24"/>
          <w:szCs w:val="24"/>
        </w:rPr>
        <w:tab/>
      </w:r>
      <w:r>
        <w:rPr>
          <w:b w:val="0"/>
          <w:bCs/>
          <w:color w:val="auto"/>
          <w:sz w:val="24"/>
          <w:szCs w:val="24"/>
        </w:rPr>
        <w:fldChar w:fldCharType="begin"/>
      </w:r>
      <w:r>
        <w:rPr>
          <w:b w:val="0"/>
          <w:bCs/>
          <w:color w:val="auto"/>
          <w:sz w:val="24"/>
          <w:szCs w:val="24"/>
        </w:rPr>
        <w:instrText xml:space="preserve"> PAGEREF _Toc31849 </w:instrText>
      </w:r>
      <w:r>
        <w:rPr>
          <w:b w:val="0"/>
          <w:bCs/>
          <w:color w:val="auto"/>
          <w:sz w:val="24"/>
          <w:szCs w:val="24"/>
        </w:rPr>
        <w:fldChar w:fldCharType="separate"/>
      </w:r>
      <w:r>
        <w:rPr>
          <w:b w:val="0"/>
          <w:bCs/>
          <w:color w:val="auto"/>
          <w:sz w:val="24"/>
          <w:szCs w:val="24"/>
        </w:rPr>
        <w:t>23</w:t>
      </w:r>
      <w:r>
        <w:rPr>
          <w:b w:val="0"/>
          <w:bCs/>
          <w:color w:val="auto"/>
          <w:sz w:val="24"/>
          <w:szCs w:val="24"/>
        </w:rPr>
        <w:fldChar w:fldCharType="end"/>
      </w:r>
      <w:r>
        <w:rPr>
          <w:b w:val="0"/>
          <w:bCs/>
          <w:color w:val="auto"/>
          <w:sz w:val="24"/>
          <w:szCs w:val="24"/>
        </w:rPr>
        <w:fldChar w:fldCharType="end"/>
      </w:r>
    </w:p>
    <w:p>
      <w:pPr>
        <w:spacing w:line="480" w:lineRule="auto"/>
        <w:rPr>
          <w:rFonts w:hint="eastAsia" w:ascii="宋体" w:hAnsi="宋体"/>
        </w:rPr>
      </w:pPr>
      <w:r>
        <w:rPr>
          <w:rFonts w:hint="eastAsia" w:ascii="宋体" w:hAnsi="宋体"/>
          <w:bCs/>
          <w:sz w:val="24"/>
          <w:szCs w:val="24"/>
        </w:rPr>
        <w:fldChar w:fldCharType="end"/>
      </w:r>
    </w:p>
    <w:p>
      <w:pPr>
        <w:spacing w:line="480" w:lineRule="exact"/>
        <w:ind w:firstLine="840" w:firstLineChars="400"/>
        <w:rPr>
          <w:rFonts w:hint="eastAsia" w:ascii="黑体" w:hAnsi="宋体" w:eastAsia="黑体"/>
        </w:rPr>
      </w:pPr>
    </w:p>
    <w:p>
      <w:pPr>
        <w:spacing w:line="480" w:lineRule="exact"/>
        <w:ind w:firstLine="840" w:firstLineChars="400"/>
        <w:rPr>
          <w:rFonts w:hint="eastAsia" w:ascii="黑体" w:hAnsi="宋体" w:eastAsia="黑体"/>
        </w:rPr>
      </w:pPr>
    </w:p>
    <w:p>
      <w:pPr>
        <w:spacing w:line="480" w:lineRule="exact"/>
        <w:ind w:firstLine="840" w:firstLineChars="400"/>
        <w:rPr>
          <w:rFonts w:hint="eastAsia" w:ascii="黑体" w:hAnsi="宋体" w:eastAsia="黑体"/>
        </w:rPr>
      </w:pPr>
    </w:p>
    <w:p>
      <w:pPr>
        <w:spacing w:line="480" w:lineRule="exact"/>
        <w:ind w:firstLine="840" w:firstLineChars="400"/>
        <w:rPr>
          <w:rFonts w:hint="eastAsia" w:ascii="黑体" w:hAnsi="宋体" w:eastAsia="黑体"/>
        </w:rPr>
      </w:pPr>
    </w:p>
    <w:p>
      <w:pPr>
        <w:spacing w:line="480" w:lineRule="exact"/>
        <w:ind w:firstLine="840" w:firstLineChars="400"/>
        <w:rPr>
          <w:rFonts w:hint="eastAsia" w:ascii="黑体" w:hAnsi="宋体" w:eastAsia="黑体"/>
        </w:rPr>
      </w:pPr>
    </w:p>
    <w:p>
      <w:pPr>
        <w:spacing w:line="480" w:lineRule="exact"/>
        <w:ind w:firstLine="840" w:firstLineChars="400"/>
        <w:rPr>
          <w:rFonts w:hint="eastAsia" w:ascii="黑体" w:hAnsi="宋体" w:eastAsia="黑体"/>
        </w:rPr>
      </w:pPr>
    </w:p>
    <w:p>
      <w:pPr>
        <w:spacing w:line="480" w:lineRule="exact"/>
        <w:ind w:firstLine="840" w:firstLineChars="400"/>
        <w:rPr>
          <w:rFonts w:hint="eastAsia" w:ascii="黑体" w:hAnsi="宋体" w:eastAsia="黑体"/>
        </w:rPr>
      </w:pPr>
    </w:p>
    <w:p>
      <w:pPr>
        <w:spacing w:line="480" w:lineRule="exact"/>
        <w:ind w:firstLine="840" w:firstLineChars="400"/>
        <w:rPr>
          <w:rFonts w:hint="eastAsia" w:ascii="黑体" w:hAnsi="宋体" w:eastAsia="黑体"/>
        </w:rPr>
      </w:pPr>
    </w:p>
    <w:p>
      <w:pPr>
        <w:spacing w:line="480" w:lineRule="exact"/>
        <w:ind w:firstLine="840" w:firstLineChars="400"/>
        <w:rPr>
          <w:rFonts w:hint="eastAsia" w:ascii="黑体" w:hAnsi="宋体" w:eastAsia="黑体"/>
        </w:rPr>
      </w:pPr>
    </w:p>
    <w:p>
      <w:pPr>
        <w:spacing w:line="480" w:lineRule="exact"/>
        <w:ind w:firstLine="840" w:firstLineChars="400"/>
        <w:rPr>
          <w:rFonts w:hint="eastAsia" w:ascii="黑体" w:hAnsi="宋体" w:eastAsia="黑体"/>
        </w:rPr>
      </w:pPr>
    </w:p>
    <w:p>
      <w:pPr>
        <w:spacing w:line="480" w:lineRule="exact"/>
        <w:ind w:firstLine="840" w:firstLineChars="400"/>
        <w:rPr>
          <w:rFonts w:hint="eastAsia" w:ascii="黑体" w:hAnsi="宋体" w:eastAsia="黑体"/>
        </w:rPr>
      </w:pPr>
    </w:p>
    <w:p>
      <w:pPr>
        <w:spacing w:line="480" w:lineRule="exact"/>
        <w:ind w:firstLine="840" w:firstLineChars="400"/>
        <w:rPr>
          <w:rFonts w:hint="eastAsia" w:ascii="黑体" w:hAnsi="宋体" w:eastAsia="黑体"/>
        </w:rPr>
      </w:pPr>
    </w:p>
    <w:p>
      <w:pPr>
        <w:spacing w:line="480" w:lineRule="exact"/>
        <w:ind w:firstLine="840" w:firstLineChars="400"/>
        <w:rPr>
          <w:rFonts w:hint="eastAsia" w:ascii="黑体" w:hAnsi="宋体" w:eastAsia="黑体"/>
        </w:rPr>
      </w:pPr>
    </w:p>
    <w:p>
      <w:pPr>
        <w:spacing w:line="480" w:lineRule="exact"/>
        <w:ind w:firstLine="840" w:firstLineChars="400"/>
        <w:rPr>
          <w:rFonts w:hint="eastAsia" w:ascii="黑体" w:hAnsi="宋体" w:eastAsia="黑体"/>
        </w:rPr>
      </w:pPr>
    </w:p>
    <w:p>
      <w:pPr>
        <w:spacing w:line="480" w:lineRule="exact"/>
        <w:ind w:firstLine="840" w:firstLineChars="400"/>
        <w:rPr>
          <w:rFonts w:hint="eastAsia" w:ascii="黑体" w:hAnsi="宋体" w:eastAsia="黑体"/>
        </w:rPr>
        <w:sectPr>
          <w:headerReference r:id="rId10" w:type="default"/>
          <w:footerReference r:id="rId11" w:type="default"/>
          <w:pgSz w:w="11906" w:h="16838"/>
          <w:pgMar w:top="1701" w:right="1418" w:bottom="1134" w:left="1701" w:header="1021" w:footer="680" w:gutter="0"/>
          <w:pgNumType w:start="1"/>
          <w:cols w:space="720" w:num="1"/>
          <w:docGrid w:type="lines" w:linePitch="312" w:charSpace="0"/>
        </w:sectPr>
      </w:pPr>
    </w:p>
    <w:p>
      <w:pPr>
        <w:pStyle w:val="2"/>
        <w:spacing w:before="120" w:after="120" w:line="480" w:lineRule="exact"/>
        <w:rPr>
          <w:rFonts w:hint="eastAsia" w:ascii="宋体" w:hAnsi="宋体" w:cs="宋体"/>
          <w:bCs w:val="0"/>
          <w:sz w:val="28"/>
          <w:szCs w:val="28"/>
        </w:rPr>
      </w:pPr>
      <w:r>
        <w:rPr>
          <w:rFonts w:hint="eastAsia" w:ascii="宋体" w:hAnsi="宋体" w:cs="宋体"/>
          <w:bCs w:val="0"/>
          <w:sz w:val="28"/>
          <w:szCs w:val="28"/>
        </w:rPr>
        <w:t>第一章  采购货物概况</w:t>
      </w:r>
    </w:p>
    <w:p>
      <w:pPr>
        <w:pStyle w:val="4"/>
        <w:spacing w:before="120" w:after="120" w:line="480" w:lineRule="exact"/>
        <w:jc w:val="center"/>
        <w:rPr>
          <w:rFonts w:hint="eastAsia" w:ascii="宋体" w:hAnsi="宋体" w:cs="宋体"/>
          <w:b w:val="0"/>
          <w:szCs w:val="24"/>
        </w:rPr>
      </w:pPr>
      <w:r>
        <w:rPr>
          <w:rFonts w:hint="eastAsia" w:ascii="宋体" w:hAnsi="宋体" w:cs="宋体"/>
          <w:b w:val="0"/>
          <w:szCs w:val="24"/>
        </w:rPr>
        <w:t>第一节  使用环境</w:t>
      </w:r>
    </w:p>
    <w:p>
      <w:pPr>
        <w:spacing w:line="480" w:lineRule="exact"/>
        <w:ind w:firstLine="482" w:firstLineChars="200"/>
        <w:rPr>
          <w:rFonts w:hint="eastAsia" w:ascii="宋体" w:hAnsi="宋体" w:eastAsia="宋体" w:cs="宋体"/>
          <w:sz w:val="24"/>
          <w:szCs w:val="24"/>
          <w:u w:val="single"/>
          <w:shd w:val="pct10" w:color="auto" w:fill="FFFFFF"/>
        </w:rPr>
      </w:pPr>
      <w:r>
        <w:rPr>
          <w:rFonts w:hint="eastAsia" w:ascii="宋体" w:hAnsi="宋体" w:eastAsia="宋体" w:cs="宋体"/>
          <w:b/>
          <w:bCs/>
          <w:sz w:val="24"/>
          <w:szCs w:val="24"/>
        </w:rPr>
        <w:t>一、项目名称：</w:t>
      </w:r>
      <w:r>
        <w:rPr>
          <w:rFonts w:hint="eastAsia" w:ascii="宋体" w:hAnsi="宋体" w:eastAsia="宋体" w:cs="宋体"/>
          <w:sz w:val="24"/>
          <w:szCs w:val="24"/>
          <w:u w:val="single"/>
          <w:shd w:val="pct10" w:color="auto" w:fill="FFFFFF"/>
        </w:rPr>
        <w:t xml:space="preserve">  曲轴、连杆检测能力提升项目  </w:t>
      </w:r>
    </w:p>
    <w:p>
      <w:pPr>
        <w:spacing w:line="480" w:lineRule="exact"/>
        <w:ind w:firstLine="482" w:firstLineChars="200"/>
        <w:rPr>
          <w:rFonts w:hint="eastAsia" w:ascii="宋体" w:hAnsi="宋体" w:eastAsia="宋体" w:cs="宋体"/>
          <w:sz w:val="24"/>
          <w:szCs w:val="24"/>
        </w:rPr>
      </w:pPr>
      <w:r>
        <w:rPr>
          <w:rFonts w:hint="eastAsia" w:ascii="宋体" w:hAnsi="宋体" w:eastAsia="宋体" w:cs="宋体"/>
          <w:b/>
          <w:bCs/>
          <w:sz w:val="24"/>
          <w:szCs w:val="24"/>
        </w:rPr>
        <w:t>二、建设地点：</w:t>
      </w:r>
      <w:r>
        <w:rPr>
          <w:rFonts w:hint="eastAsia" w:ascii="宋体" w:hAnsi="宋体" w:eastAsia="宋体" w:cs="宋体"/>
          <w:sz w:val="24"/>
          <w:szCs w:val="24"/>
          <w:u w:val="single"/>
          <w:shd w:val="pct10" w:color="auto" w:fill="FFFFFF"/>
        </w:rPr>
        <w:t xml:space="preserve">  章丘市圣井镇重汽工业园  </w:t>
      </w:r>
    </w:p>
    <w:p>
      <w:pPr>
        <w:spacing w:line="480" w:lineRule="exact"/>
        <w:ind w:firstLine="482" w:firstLineChars="200"/>
        <w:rPr>
          <w:rFonts w:hint="eastAsia" w:ascii="宋体" w:hAnsi="宋体" w:eastAsia="宋体" w:cs="宋体"/>
          <w:sz w:val="24"/>
          <w:szCs w:val="24"/>
          <w:u w:val="single"/>
          <w:shd w:val="pct10" w:color="auto" w:fill="FFFFFF"/>
        </w:rPr>
      </w:pPr>
      <w:r>
        <w:rPr>
          <w:rFonts w:hint="eastAsia" w:ascii="宋体" w:hAnsi="宋体" w:eastAsia="宋体" w:cs="宋体"/>
          <w:b/>
          <w:bCs/>
          <w:sz w:val="24"/>
          <w:szCs w:val="24"/>
        </w:rPr>
        <w:t>三、使用地点：</w:t>
      </w:r>
      <w:r>
        <w:rPr>
          <w:rFonts w:hint="eastAsia" w:ascii="宋体" w:hAnsi="宋体" w:eastAsia="宋体" w:cs="宋体"/>
          <w:sz w:val="24"/>
          <w:szCs w:val="24"/>
          <w:u w:val="single"/>
          <w:shd w:val="pct10" w:color="auto" w:fill="FFFFFF"/>
        </w:rPr>
        <w:t xml:space="preserve">  中国重汽集团济南发动机厂部件加工部 </w:t>
      </w:r>
      <w:r>
        <w:rPr>
          <w:rFonts w:hint="eastAsia" w:ascii="宋体" w:hAnsi="宋体" w:eastAsia="宋体" w:cs="宋体"/>
          <w:color w:val="000000"/>
          <w:sz w:val="24"/>
          <w:szCs w:val="24"/>
          <w:u w:val="single"/>
          <w:shd w:val="pct10" w:color="auto" w:fill="FFFFFF"/>
        </w:rPr>
        <w:t xml:space="preserve"> </w:t>
      </w:r>
    </w:p>
    <w:p>
      <w:pPr>
        <w:spacing w:line="480" w:lineRule="exact"/>
        <w:ind w:firstLine="482" w:firstLineChars="200"/>
        <w:rPr>
          <w:rFonts w:hint="eastAsia" w:ascii="宋体" w:hAnsi="宋体" w:eastAsia="宋体" w:cs="宋体"/>
          <w:sz w:val="24"/>
          <w:szCs w:val="24"/>
        </w:rPr>
      </w:pPr>
      <w:r>
        <w:rPr>
          <w:rFonts w:hint="eastAsia" w:ascii="宋体" w:hAnsi="宋体" w:eastAsia="宋体" w:cs="宋体"/>
          <w:b/>
          <w:bCs/>
          <w:sz w:val="24"/>
          <w:szCs w:val="24"/>
        </w:rPr>
        <w:t>四、工作制度：</w:t>
      </w:r>
      <w:r>
        <w:rPr>
          <w:rFonts w:hint="eastAsia" w:ascii="宋体" w:hAnsi="宋体" w:eastAsia="宋体" w:cs="宋体"/>
          <w:sz w:val="24"/>
          <w:szCs w:val="24"/>
        </w:rPr>
        <w:t>全年工作250天、</w:t>
      </w:r>
      <w:r>
        <w:rPr>
          <w:rFonts w:hint="eastAsia" w:ascii="宋体" w:hAnsi="宋体" w:eastAsia="宋体" w:cs="宋体"/>
          <w:sz w:val="24"/>
          <w:szCs w:val="24"/>
          <w:u w:val="single"/>
          <w:shd w:val="pct10" w:color="auto" w:fill="FFFFFF"/>
        </w:rPr>
        <w:t xml:space="preserve">   3  </w:t>
      </w:r>
      <w:r>
        <w:rPr>
          <w:rFonts w:hint="eastAsia" w:ascii="宋体" w:hAnsi="宋体" w:eastAsia="宋体" w:cs="宋体"/>
          <w:sz w:val="24"/>
          <w:szCs w:val="24"/>
        </w:rPr>
        <w:t>班制、设备年时基数</w:t>
      </w:r>
      <w:r>
        <w:rPr>
          <w:rFonts w:hint="eastAsia" w:ascii="宋体" w:hAnsi="宋体" w:eastAsia="宋体" w:cs="宋体"/>
          <w:sz w:val="24"/>
          <w:szCs w:val="24"/>
          <w:u w:val="single"/>
          <w:shd w:val="pct10" w:color="auto" w:fill="FFFFFF"/>
        </w:rPr>
        <w:t xml:space="preserve"> 5000 </w:t>
      </w:r>
      <w:r>
        <w:rPr>
          <w:rFonts w:hint="eastAsia" w:ascii="宋体" w:hAnsi="宋体" w:eastAsia="宋体" w:cs="宋体"/>
          <w:sz w:val="24"/>
          <w:szCs w:val="24"/>
        </w:rPr>
        <w:t>小时</w:t>
      </w:r>
    </w:p>
    <w:p>
      <w:pPr>
        <w:spacing w:line="48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五、使用地点区域自然环境：</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bCs/>
          <w:sz w:val="24"/>
          <w:szCs w:val="24"/>
        </w:rPr>
        <w:t>1、海拨高度：1000m以下</w:t>
      </w:r>
    </w:p>
    <w:p>
      <w:pPr>
        <w:spacing w:line="360" w:lineRule="auto"/>
        <w:ind w:left="2280" w:leftChars="200" w:hanging="1860" w:hangingChars="775"/>
        <w:rPr>
          <w:rFonts w:hint="eastAsia" w:ascii="宋体" w:hAnsi="宋体" w:eastAsia="宋体" w:cs="宋体"/>
          <w:sz w:val="24"/>
          <w:szCs w:val="24"/>
        </w:rPr>
      </w:pPr>
      <w:r>
        <w:rPr>
          <w:rFonts w:hint="eastAsia" w:ascii="宋体" w:hAnsi="宋体" w:eastAsia="宋体" w:cs="宋体"/>
          <w:sz w:val="24"/>
          <w:szCs w:val="24"/>
        </w:rPr>
        <w:t>2、环境温度：室外极端最低温度-19.7℃、极端最高温度42℃，昼夜最大温</w:t>
      </w:r>
      <w:r>
        <w:rPr>
          <w:rFonts w:hint="eastAsia" w:ascii="宋体" w:hAnsi="宋体" w:eastAsia="宋体" w:cs="宋体"/>
          <w:bCs/>
          <w:sz w:val="24"/>
          <w:szCs w:val="24"/>
        </w:rPr>
        <w:t>差25℃；室内温度5～40℃。</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3、相对湿度：年平均59%，</w:t>
      </w:r>
      <w:r>
        <w:rPr>
          <w:rFonts w:hint="eastAsia" w:ascii="宋体" w:hAnsi="宋体" w:eastAsia="宋体" w:cs="宋体"/>
          <w:bCs/>
          <w:sz w:val="24"/>
          <w:szCs w:val="24"/>
        </w:rPr>
        <w:t>最大95%、最小15%。</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4、降雨量：日最大降雨量300mm、时最大降雨量100mm。</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5、最大风速：33.3m/s。</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6、最大积雪厚度：200mm。</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7、最大冻土深度：450mm。</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8、地震设防裂度：七度。</w:t>
      </w:r>
    </w:p>
    <w:p>
      <w:pPr>
        <w:spacing w:line="480" w:lineRule="exact"/>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六、能源环境：</w:t>
      </w:r>
    </w:p>
    <w:p>
      <w:pPr>
        <w:spacing w:line="48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1、电力：中国制式，供电电压380V±15%/220V±15%，供电频率50Hz±2%。</w:t>
      </w:r>
    </w:p>
    <w:p>
      <w:pPr>
        <w:spacing w:line="48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2、压缩空气：自备空压机自产压缩空气，0.4～0.6MPa。</w:t>
      </w:r>
    </w:p>
    <w:p>
      <w:pPr>
        <w:spacing w:line="48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3、工位照度：不低于500Lx。</w:t>
      </w:r>
    </w:p>
    <w:p>
      <w:pPr>
        <w:spacing w:line="480" w:lineRule="exact"/>
        <w:ind w:firstLine="480" w:firstLineChars="200"/>
        <w:rPr>
          <w:rFonts w:hint="eastAsia" w:ascii="宋体" w:hAnsi="宋体" w:eastAsia="宋体" w:cs="宋体"/>
          <w:sz w:val="24"/>
          <w:szCs w:val="24"/>
        </w:rPr>
      </w:pPr>
    </w:p>
    <w:p>
      <w:pPr>
        <w:spacing w:line="480" w:lineRule="exact"/>
        <w:ind w:firstLine="480" w:firstLineChars="200"/>
        <w:rPr>
          <w:rFonts w:hint="eastAsia" w:ascii="宋体" w:hAnsi="宋体" w:eastAsia="宋体" w:cs="宋体"/>
          <w:sz w:val="24"/>
          <w:szCs w:val="24"/>
        </w:rPr>
      </w:pPr>
    </w:p>
    <w:p>
      <w:pPr>
        <w:spacing w:line="480" w:lineRule="exact"/>
        <w:ind w:firstLine="480" w:firstLineChars="200"/>
        <w:rPr>
          <w:rFonts w:hint="eastAsia" w:ascii="宋体" w:hAnsi="宋体" w:eastAsia="宋体" w:cs="宋体"/>
          <w:sz w:val="24"/>
          <w:szCs w:val="24"/>
        </w:rPr>
      </w:pPr>
    </w:p>
    <w:p>
      <w:pPr>
        <w:spacing w:line="480" w:lineRule="exact"/>
        <w:ind w:firstLine="480" w:firstLineChars="200"/>
        <w:rPr>
          <w:rFonts w:hint="eastAsia" w:ascii="宋体" w:hAnsi="宋体" w:eastAsia="宋体" w:cs="宋体"/>
          <w:sz w:val="24"/>
          <w:szCs w:val="24"/>
        </w:rPr>
      </w:pPr>
    </w:p>
    <w:p>
      <w:pPr>
        <w:spacing w:line="480" w:lineRule="exact"/>
        <w:ind w:firstLine="480" w:firstLineChars="200"/>
        <w:rPr>
          <w:rFonts w:hint="eastAsia" w:ascii="宋体" w:hAnsi="宋体" w:eastAsia="宋体" w:cs="宋体"/>
          <w:sz w:val="24"/>
          <w:szCs w:val="24"/>
        </w:rPr>
      </w:pPr>
    </w:p>
    <w:p>
      <w:pPr>
        <w:spacing w:line="480" w:lineRule="exact"/>
        <w:ind w:firstLine="480" w:firstLineChars="200"/>
        <w:rPr>
          <w:rFonts w:hint="eastAsia" w:ascii="宋体" w:hAnsi="宋体" w:eastAsia="宋体" w:cs="宋体"/>
          <w:sz w:val="24"/>
          <w:szCs w:val="24"/>
        </w:rPr>
      </w:pPr>
    </w:p>
    <w:p>
      <w:pPr>
        <w:spacing w:line="480" w:lineRule="exact"/>
        <w:rPr>
          <w:rFonts w:hint="eastAsia" w:ascii="宋体" w:hAnsi="宋体" w:eastAsia="宋体" w:cs="宋体"/>
          <w:sz w:val="24"/>
          <w:szCs w:val="24"/>
        </w:rPr>
      </w:pPr>
    </w:p>
    <w:p>
      <w:pPr>
        <w:pStyle w:val="4"/>
        <w:spacing w:before="120" w:after="120" w:line="480" w:lineRule="exact"/>
        <w:jc w:val="center"/>
        <w:rPr>
          <w:rFonts w:hint="eastAsia" w:ascii="宋体" w:hAnsi="宋体" w:cs="宋体"/>
          <w:b w:val="0"/>
          <w:szCs w:val="24"/>
        </w:rPr>
      </w:pPr>
      <w:r>
        <w:rPr>
          <w:rFonts w:hint="eastAsia" w:ascii="宋体" w:hAnsi="宋体" w:cs="宋体"/>
          <w:b w:val="0"/>
          <w:szCs w:val="24"/>
        </w:rPr>
        <w:t>第二节  采购货物概况</w:t>
      </w:r>
    </w:p>
    <w:p>
      <w:pPr>
        <w:spacing w:line="480" w:lineRule="exact"/>
        <w:ind w:firstLine="482" w:firstLineChars="200"/>
        <w:rPr>
          <w:rFonts w:hint="eastAsia" w:ascii="宋体" w:hAnsi="宋体" w:eastAsia="宋体" w:cs="宋体"/>
          <w:sz w:val="24"/>
          <w:szCs w:val="24"/>
        </w:rPr>
      </w:pPr>
      <w:r>
        <w:rPr>
          <w:rFonts w:hint="eastAsia" w:ascii="宋体" w:hAnsi="宋体" w:eastAsia="宋体" w:cs="宋体"/>
          <w:b/>
          <w:bCs/>
          <w:sz w:val="24"/>
          <w:szCs w:val="24"/>
        </w:rPr>
        <w:t>一、设备名称：</w:t>
      </w:r>
      <w:r>
        <w:rPr>
          <w:rFonts w:hint="eastAsia" w:ascii="宋体" w:hAnsi="宋体" w:eastAsia="宋体" w:cs="宋体"/>
          <w:sz w:val="24"/>
          <w:szCs w:val="24"/>
          <w:u w:val="single"/>
        </w:rPr>
        <w:t xml:space="preserve">  圆角粗糙度检测仪   </w:t>
      </w:r>
      <w:r>
        <w:rPr>
          <w:rFonts w:hint="eastAsia" w:ascii="宋体" w:hAnsi="宋体" w:eastAsia="宋体" w:cs="宋体"/>
          <w:sz w:val="24"/>
          <w:szCs w:val="24"/>
        </w:rPr>
        <w:t>（详见下表）</w:t>
      </w:r>
    </w:p>
    <w:p>
      <w:pPr>
        <w:spacing w:line="480" w:lineRule="exact"/>
        <w:ind w:firstLine="482" w:firstLineChars="200"/>
        <w:rPr>
          <w:rFonts w:hint="eastAsia" w:ascii="宋体" w:hAnsi="宋体" w:eastAsia="宋体" w:cs="宋体"/>
          <w:sz w:val="24"/>
          <w:szCs w:val="24"/>
        </w:rPr>
      </w:pPr>
      <w:r>
        <w:rPr>
          <w:rFonts w:hint="eastAsia" w:ascii="宋体" w:hAnsi="宋体" w:eastAsia="宋体" w:cs="宋体"/>
          <w:b/>
          <w:bCs/>
          <w:sz w:val="24"/>
          <w:szCs w:val="24"/>
        </w:rPr>
        <w:t>二、设备数量：</w:t>
      </w:r>
      <w:r>
        <w:rPr>
          <w:rFonts w:hint="eastAsia" w:ascii="宋体" w:hAnsi="宋体" w:eastAsia="宋体" w:cs="宋体"/>
          <w:sz w:val="24"/>
          <w:szCs w:val="24"/>
          <w:u w:val="single"/>
        </w:rPr>
        <w:t xml:space="preserve">  1套                </w:t>
      </w:r>
      <w:r>
        <w:rPr>
          <w:rFonts w:hint="eastAsia" w:ascii="宋体" w:hAnsi="宋体" w:eastAsia="宋体" w:cs="宋体"/>
          <w:sz w:val="24"/>
          <w:szCs w:val="24"/>
        </w:rPr>
        <w:t>（详见下表）</w:t>
      </w:r>
    </w:p>
    <w:p>
      <w:pPr>
        <w:spacing w:line="560" w:lineRule="exact"/>
        <w:ind w:firstLine="482" w:firstLineChars="200"/>
        <w:rPr>
          <w:rFonts w:hint="eastAsia" w:ascii="宋体" w:hAnsi="宋体" w:eastAsia="宋体" w:cs="宋体"/>
          <w:sz w:val="24"/>
          <w:szCs w:val="24"/>
        </w:rPr>
      </w:pPr>
      <w:r>
        <w:rPr>
          <w:rFonts w:hint="eastAsia" w:ascii="宋体" w:hAnsi="宋体" w:eastAsia="宋体" w:cs="宋体"/>
          <w:b/>
          <w:bCs/>
          <w:sz w:val="24"/>
          <w:szCs w:val="24"/>
        </w:rPr>
        <w:t>三、分投分中：</w:t>
      </w:r>
      <w:r>
        <w:rPr>
          <w:rFonts w:hint="eastAsia" w:ascii="宋体" w:hAnsi="宋体" w:eastAsia="宋体" w:cs="宋体"/>
          <w:sz w:val="24"/>
          <w:szCs w:val="24"/>
        </w:rPr>
        <w:t>不允许。</w:t>
      </w:r>
    </w:p>
    <w:p>
      <w:pPr>
        <w:widowControl/>
        <w:jc w:val="center"/>
        <w:rPr>
          <w:rFonts w:hint="eastAsia" w:ascii="宋体" w:hAnsi="宋体" w:eastAsia="宋体" w:cs="宋体"/>
          <w:sz w:val="24"/>
          <w:szCs w:val="24"/>
        </w:rPr>
      </w:pPr>
      <w:r>
        <w:rPr>
          <w:rFonts w:hint="eastAsia" w:ascii="宋体" w:hAnsi="宋体" w:eastAsia="宋体" w:cs="宋体"/>
          <w:sz w:val="24"/>
          <w:szCs w:val="24"/>
        </w:rPr>
        <w:t>采购货物主要构成一览表</w:t>
      </w:r>
    </w:p>
    <w:tbl>
      <w:tblPr>
        <w:tblStyle w:val="37"/>
        <w:tblpPr w:leftFromText="180" w:rightFromText="180" w:vertAnchor="text" w:horzAnchor="page" w:tblpX="1863" w:tblpY="431"/>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85"/>
        <w:gridCol w:w="1285"/>
        <w:gridCol w:w="1285"/>
        <w:gridCol w:w="1286"/>
        <w:gridCol w:w="1496"/>
        <w:gridCol w:w="1290"/>
        <w:gridCol w:w="1072"/>
      </w:tblGrid>
      <w:tr>
        <w:tc>
          <w:tcPr>
            <w:tcW w:w="1285" w:type="dxa"/>
            <w:vAlign w:val="center"/>
          </w:tcPr>
          <w:p>
            <w:pPr>
              <w:widowControl/>
              <w:jc w:val="center"/>
              <w:rPr>
                <w:rFonts w:hint="eastAsia" w:ascii="宋体" w:hAnsi="宋体" w:eastAsia="宋体" w:cs="宋体"/>
                <w:b/>
                <w:bCs/>
                <w:color w:val="000000"/>
                <w:kern w:val="0"/>
                <w:sz w:val="22"/>
              </w:rPr>
            </w:pPr>
            <w:r>
              <w:rPr>
                <w:rFonts w:hint="eastAsia" w:ascii="宋体" w:hAnsi="宋体" w:eastAsia="宋体" w:cs="宋体"/>
                <w:b/>
                <w:bCs/>
                <w:color w:val="000000"/>
                <w:kern w:val="0"/>
                <w:sz w:val="22"/>
              </w:rPr>
              <w:t>序号</w:t>
            </w:r>
          </w:p>
        </w:tc>
        <w:tc>
          <w:tcPr>
            <w:tcW w:w="1285" w:type="dxa"/>
            <w:vAlign w:val="center"/>
          </w:tcPr>
          <w:p>
            <w:pPr>
              <w:widowControl/>
              <w:jc w:val="center"/>
              <w:rPr>
                <w:rFonts w:hint="eastAsia" w:ascii="宋体" w:hAnsi="宋体" w:eastAsia="宋体" w:cs="宋体"/>
                <w:b/>
                <w:bCs/>
                <w:color w:val="000000"/>
                <w:kern w:val="0"/>
                <w:sz w:val="22"/>
              </w:rPr>
            </w:pPr>
            <w:r>
              <w:rPr>
                <w:rFonts w:hint="eastAsia" w:ascii="宋体" w:hAnsi="宋体" w:eastAsia="宋体" w:cs="宋体"/>
                <w:b/>
                <w:bCs/>
                <w:color w:val="000000"/>
                <w:kern w:val="0"/>
                <w:sz w:val="22"/>
              </w:rPr>
              <w:t>设备名称</w:t>
            </w:r>
          </w:p>
        </w:tc>
        <w:tc>
          <w:tcPr>
            <w:tcW w:w="1285" w:type="dxa"/>
            <w:vAlign w:val="center"/>
          </w:tcPr>
          <w:p>
            <w:pPr>
              <w:widowControl/>
              <w:jc w:val="center"/>
              <w:rPr>
                <w:rFonts w:hint="eastAsia" w:ascii="宋体" w:hAnsi="宋体" w:eastAsia="宋体" w:cs="宋体"/>
                <w:b/>
                <w:bCs/>
                <w:color w:val="000000"/>
                <w:kern w:val="0"/>
                <w:sz w:val="22"/>
              </w:rPr>
            </w:pPr>
            <w:r>
              <w:rPr>
                <w:rFonts w:hint="eastAsia" w:ascii="宋体" w:hAnsi="宋体" w:eastAsia="宋体" w:cs="宋体"/>
                <w:b/>
                <w:bCs/>
                <w:color w:val="000000"/>
                <w:kern w:val="0"/>
                <w:sz w:val="22"/>
              </w:rPr>
              <w:t>单位</w:t>
            </w:r>
          </w:p>
        </w:tc>
        <w:tc>
          <w:tcPr>
            <w:tcW w:w="1286" w:type="dxa"/>
            <w:vAlign w:val="center"/>
          </w:tcPr>
          <w:p>
            <w:pPr>
              <w:widowControl/>
              <w:jc w:val="center"/>
              <w:rPr>
                <w:rFonts w:hint="eastAsia" w:ascii="宋体" w:hAnsi="宋体" w:eastAsia="宋体" w:cs="宋体"/>
                <w:b/>
                <w:bCs/>
                <w:color w:val="000000"/>
                <w:kern w:val="0"/>
                <w:sz w:val="22"/>
              </w:rPr>
            </w:pPr>
            <w:r>
              <w:rPr>
                <w:rFonts w:hint="eastAsia" w:ascii="宋体" w:hAnsi="宋体" w:eastAsia="宋体" w:cs="宋体"/>
                <w:b/>
                <w:bCs/>
                <w:color w:val="000000"/>
                <w:kern w:val="0"/>
                <w:sz w:val="22"/>
              </w:rPr>
              <w:t>数量</w:t>
            </w:r>
          </w:p>
        </w:tc>
        <w:tc>
          <w:tcPr>
            <w:tcW w:w="1496" w:type="dxa"/>
          </w:tcPr>
          <w:p>
            <w:pPr>
              <w:widowControl/>
              <w:jc w:val="center"/>
              <w:rPr>
                <w:rFonts w:hint="eastAsia" w:ascii="宋体" w:hAnsi="宋体" w:eastAsia="宋体" w:cs="宋体"/>
                <w:b/>
                <w:bCs/>
                <w:color w:val="000000"/>
                <w:kern w:val="0"/>
                <w:sz w:val="22"/>
              </w:rPr>
            </w:pPr>
            <w:r>
              <w:rPr>
                <w:rFonts w:hint="eastAsia" w:ascii="宋体" w:hAnsi="宋体" w:eastAsia="宋体" w:cs="宋体"/>
                <w:b/>
                <w:bCs/>
                <w:color w:val="000000"/>
                <w:kern w:val="0"/>
                <w:sz w:val="22"/>
              </w:rPr>
              <w:t>安装地点/服务对象</w:t>
            </w:r>
          </w:p>
        </w:tc>
        <w:tc>
          <w:tcPr>
            <w:tcW w:w="1290" w:type="dxa"/>
            <w:vAlign w:val="center"/>
          </w:tcPr>
          <w:p>
            <w:pPr>
              <w:widowControl/>
              <w:jc w:val="center"/>
              <w:rPr>
                <w:rFonts w:hint="eastAsia" w:ascii="宋体" w:hAnsi="宋体" w:eastAsia="宋体" w:cs="宋体"/>
                <w:b/>
                <w:bCs/>
                <w:color w:val="000000"/>
                <w:kern w:val="0"/>
                <w:sz w:val="22"/>
              </w:rPr>
            </w:pPr>
            <w:r>
              <w:rPr>
                <w:rFonts w:hint="eastAsia" w:ascii="宋体" w:hAnsi="宋体" w:eastAsia="宋体" w:cs="宋体"/>
                <w:b/>
                <w:bCs/>
                <w:color w:val="000000"/>
                <w:kern w:val="0"/>
                <w:sz w:val="22"/>
              </w:rPr>
              <w:t>供货方式</w:t>
            </w:r>
          </w:p>
        </w:tc>
        <w:tc>
          <w:tcPr>
            <w:tcW w:w="1072" w:type="dxa"/>
            <w:vAlign w:val="center"/>
          </w:tcPr>
          <w:p>
            <w:pPr>
              <w:widowControl/>
              <w:jc w:val="center"/>
              <w:rPr>
                <w:rFonts w:hint="eastAsia" w:ascii="宋体" w:hAnsi="宋体" w:eastAsia="宋体" w:cs="宋体"/>
                <w:b/>
                <w:bCs/>
                <w:color w:val="000000"/>
                <w:kern w:val="0"/>
                <w:sz w:val="22"/>
              </w:rPr>
            </w:pPr>
            <w:r>
              <w:rPr>
                <w:rFonts w:hint="eastAsia" w:ascii="宋体" w:hAnsi="宋体" w:eastAsia="宋体" w:cs="宋体"/>
                <w:b/>
                <w:bCs/>
                <w:color w:val="000000"/>
                <w:kern w:val="0"/>
                <w:sz w:val="22"/>
              </w:rPr>
              <w:t>备注</w:t>
            </w:r>
          </w:p>
        </w:tc>
      </w:tr>
      <w:tr>
        <w:tc>
          <w:tcPr>
            <w:tcW w:w="1285" w:type="dxa"/>
            <w:vAlign w:val="center"/>
          </w:tcPr>
          <w:p>
            <w:pPr>
              <w:widowControl/>
              <w:jc w:val="center"/>
              <w:rPr>
                <w:rFonts w:hint="eastAsia" w:ascii="宋体" w:hAnsi="宋体" w:eastAsia="宋体" w:cs="宋体"/>
                <w:b/>
                <w:bCs/>
                <w:sz w:val="22"/>
              </w:rPr>
            </w:pPr>
            <w:r>
              <w:rPr>
                <w:rFonts w:hint="eastAsia" w:ascii="宋体" w:hAnsi="宋体" w:eastAsia="宋体" w:cs="宋体"/>
                <w:kern w:val="0"/>
                <w:sz w:val="22"/>
              </w:rPr>
              <w:t>1</w:t>
            </w:r>
          </w:p>
        </w:tc>
        <w:tc>
          <w:tcPr>
            <w:tcW w:w="1285" w:type="dxa"/>
            <w:vAlign w:val="center"/>
          </w:tcPr>
          <w:p>
            <w:pPr>
              <w:widowControl/>
              <w:jc w:val="center"/>
              <w:rPr>
                <w:rFonts w:hint="eastAsia" w:ascii="宋体" w:hAnsi="宋体" w:eastAsia="宋体" w:cs="宋体"/>
                <w:b/>
                <w:bCs/>
                <w:sz w:val="22"/>
              </w:rPr>
            </w:pPr>
            <w:r>
              <w:rPr>
                <w:rFonts w:hint="eastAsia" w:eastAsia="宋体" w:cs="宋体"/>
                <w:kern w:val="0"/>
                <w:sz w:val="24"/>
                <w:szCs w:val="24"/>
              </w:rPr>
              <w:t>圆角粗糙度检测仪</w:t>
            </w:r>
          </w:p>
        </w:tc>
        <w:tc>
          <w:tcPr>
            <w:tcW w:w="1285" w:type="dxa"/>
            <w:vAlign w:val="center"/>
          </w:tcPr>
          <w:p>
            <w:pPr>
              <w:widowControl/>
              <w:jc w:val="center"/>
              <w:rPr>
                <w:rFonts w:hint="eastAsia" w:ascii="宋体" w:hAnsi="宋体" w:eastAsia="宋体" w:cs="宋体"/>
                <w:b/>
                <w:bCs/>
                <w:sz w:val="22"/>
              </w:rPr>
            </w:pPr>
            <w:r>
              <w:rPr>
                <w:rFonts w:hint="eastAsia" w:ascii="宋体" w:hAnsi="宋体" w:eastAsia="宋体" w:cs="宋体"/>
                <w:kern w:val="0"/>
                <w:sz w:val="22"/>
              </w:rPr>
              <w:t>套</w:t>
            </w:r>
          </w:p>
        </w:tc>
        <w:tc>
          <w:tcPr>
            <w:tcW w:w="1286" w:type="dxa"/>
            <w:vAlign w:val="center"/>
          </w:tcPr>
          <w:p>
            <w:pPr>
              <w:widowControl/>
              <w:jc w:val="center"/>
              <w:rPr>
                <w:rFonts w:hint="eastAsia" w:ascii="宋体" w:hAnsi="宋体" w:eastAsia="宋体" w:cs="宋体"/>
                <w:b/>
                <w:bCs/>
                <w:sz w:val="22"/>
              </w:rPr>
            </w:pPr>
            <w:r>
              <w:rPr>
                <w:rFonts w:hint="eastAsia" w:ascii="宋体" w:hAnsi="宋体" w:eastAsia="宋体" w:cs="宋体"/>
                <w:kern w:val="0"/>
                <w:sz w:val="22"/>
              </w:rPr>
              <w:t>1</w:t>
            </w:r>
          </w:p>
        </w:tc>
        <w:tc>
          <w:tcPr>
            <w:tcW w:w="1496" w:type="dxa"/>
            <w:vAlign w:val="center"/>
          </w:tcPr>
          <w:p>
            <w:pPr>
              <w:widowControl/>
              <w:jc w:val="center"/>
              <w:rPr>
                <w:rFonts w:hint="eastAsia" w:ascii="宋体" w:hAnsi="宋体" w:eastAsia="宋体" w:cs="宋体"/>
                <w:b/>
                <w:bCs/>
                <w:sz w:val="22"/>
                <w:u w:val="single"/>
              </w:rPr>
            </w:pPr>
            <w:r>
              <w:rPr>
                <w:rFonts w:hint="eastAsia" w:eastAsia="宋体" w:cs="宋体"/>
                <w:kern w:val="0"/>
                <w:sz w:val="24"/>
                <w:szCs w:val="24"/>
              </w:rPr>
              <w:t>中国重汽集团济南发动机厂部件加工部</w:t>
            </w:r>
          </w:p>
        </w:tc>
        <w:tc>
          <w:tcPr>
            <w:tcW w:w="1290" w:type="dxa"/>
            <w:vAlign w:val="center"/>
          </w:tcPr>
          <w:p>
            <w:pPr>
              <w:spacing w:line="360" w:lineRule="auto"/>
              <w:jc w:val="center"/>
              <w:rPr>
                <w:rFonts w:hint="eastAsia" w:ascii="宋体" w:hAnsi="宋体" w:eastAsia="宋体" w:cs="宋体"/>
                <w:b/>
                <w:bCs/>
                <w:sz w:val="22"/>
              </w:rPr>
            </w:pPr>
            <w:r>
              <w:rPr>
                <w:rFonts w:hint="eastAsia" w:ascii="宋体" w:hAnsi="宋体" w:eastAsia="宋体" w:cs="宋体"/>
                <w:kern w:val="0"/>
                <w:sz w:val="22"/>
              </w:rPr>
              <w:t>交钥匙</w:t>
            </w:r>
          </w:p>
        </w:tc>
        <w:tc>
          <w:tcPr>
            <w:tcW w:w="1072" w:type="dxa"/>
          </w:tcPr>
          <w:p>
            <w:pPr>
              <w:spacing w:line="360" w:lineRule="auto"/>
              <w:rPr>
                <w:rFonts w:hint="eastAsia" w:ascii="宋体" w:hAnsi="宋体" w:eastAsia="宋体" w:cs="宋体"/>
                <w:b/>
                <w:bCs/>
                <w:sz w:val="22"/>
              </w:rPr>
            </w:pPr>
          </w:p>
        </w:tc>
      </w:tr>
    </w:tbl>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备注：</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①.本表所列采购货物仅为货物（或生产线）的主要构成部分，应包含配套供货以及招标方所列其它货物（或设备）和服务，请投标方认真阅读“供货范围”。若有异议，不管是多么微小，都应在投标文件“商务偏离”章节中予以详细说明。</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②.本表“供货方式”指：交钥匙方式——包括设计、制造、运输、安装、调试和验收直到交付使用以及培训等。</w:t>
      </w:r>
    </w:p>
    <w:p>
      <w:pPr>
        <w:spacing w:line="480" w:lineRule="exact"/>
        <w:ind w:firstLine="1050" w:firstLineChars="500"/>
        <w:rPr>
          <w:rFonts w:hint="eastAsia"/>
          <w:szCs w:val="21"/>
        </w:rPr>
      </w:pPr>
    </w:p>
    <w:p>
      <w:pPr>
        <w:pStyle w:val="13"/>
        <w:spacing w:after="156"/>
      </w:pPr>
    </w:p>
    <w:p>
      <w:pPr>
        <w:spacing w:line="480" w:lineRule="exact"/>
        <w:ind w:firstLine="1050" w:firstLineChars="500"/>
        <w:rPr>
          <w:rFonts w:hint="eastAsia"/>
          <w:szCs w:val="21"/>
        </w:rPr>
      </w:pPr>
    </w:p>
    <w:p>
      <w:pPr>
        <w:spacing w:line="480" w:lineRule="exact"/>
        <w:ind w:firstLine="1050" w:firstLineChars="500"/>
        <w:rPr>
          <w:rFonts w:hint="eastAsia"/>
          <w:szCs w:val="21"/>
        </w:rPr>
      </w:pPr>
    </w:p>
    <w:p>
      <w:pPr>
        <w:spacing w:line="480" w:lineRule="exact"/>
        <w:ind w:firstLine="1050" w:firstLineChars="500"/>
        <w:rPr>
          <w:rFonts w:hint="eastAsia"/>
          <w:szCs w:val="21"/>
        </w:rPr>
      </w:pPr>
    </w:p>
    <w:p>
      <w:pPr>
        <w:spacing w:line="480" w:lineRule="exact"/>
        <w:ind w:firstLine="1050" w:firstLineChars="500"/>
        <w:rPr>
          <w:rFonts w:hint="eastAsia"/>
          <w:szCs w:val="21"/>
        </w:rPr>
      </w:pPr>
    </w:p>
    <w:p>
      <w:pPr>
        <w:spacing w:line="480" w:lineRule="exact"/>
        <w:ind w:firstLine="1050" w:firstLineChars="500"/>
        <w:rPr>
          <w:rFonts w:hint="eastAsia"/>
          <w:szCs w:val="21"/>
        </w:rPr>
      </w:pPr>
    </w:p>
    <w:p>
      <w:pPr>
        <w:spacing w:line="480" w:lineRule="exact"/>
        <w:ind w:firstLine="1050" w:firstLineChars="500"/>
        <w:rPr>
          <w:rFonts w:hint="eastAsia"/>
          <w:szCs w:val="21"/>
        </w:rPr>
      </w:pPr>
    </w:p>
    <w:p>
      <w:pPr>
        <w:spacing w:line="480" w:lineRule="exact"/>
        <w:ind w:firstLine="1050" w:firstLineChars="500"/>
        <w:rPr>
          <w:rFonts w:hint="eastAsia"/>
          <w:szCs w:val="21"/>
        </w:rPr>
      </w:pPr>
    </w:p>
    <w:p>
      <w:pPr>
        <w:spacing w:line="480" w:lineRule="exact"/>
        <w:ind w:firstLine="1050" w:firstLineChars="500"/>
        <w:rPr>
          <w:rFonts w:hint="eastAsia"/>
          <w:szCs w:val="21"/>
        </w:rPr>
      </w:pPr>
    </w:p>
    <w:p>
      <w:pPr>
        <w:spacing w:line="480" w:lineRule="exact"/>
        <w:ind w:firstLine="1050" w:firstLineChars="500"/>
        <w:rPr>
          <w:rFonts w:hint="eastAsia"/>
          <w:szCs w:val="21"/>
        </w:rPr>
      </w:pPr>
    </w:p>
    <w:p>
      <w:pPr>
        <w:spacing w:line="480" w:lineRule="exact"/>
        <w:ind w:firstLine="1050" w:firstLineChars="500"/>
        <w:rPr>
          <w:rFonts w:hint="eastAsia"/>
          <w:szCs w:val="21"/>
        </w:rPr>
      </w:pPr>
    </w:p>
    <w:p>
      <w:pPr>
        <w:spacing w:line="480" w:lineRule="exact"/>
        <w:ind w:firstLine="1050" w:firstLineChars="500"/>
        <w:rPr>
          <w:rFonts w:hint="eastAsia"/>
          <w:szCs w:val="21"/>
        </w:rPr>
      </w:pPr>
    </w:p>
    <w:p>
      <w:pPr>
        <w:pStyle w:val="2"/>
        <w:spacing w:before="120" w:after="120"/>
        <w:rPr>
          <w:rFonts w:hint="eastAsia" w:ascii="宋体" w:hAnsi="宋体" w:cs="宋体"/>
          <w:sz w:val="28"/>
          <w:szCs w:val="28"/>
        </w:rPr>
      </w:pPr>
      <w:r>
        <w:rPr>
          <w:rFonts w:hint="eastAsia" w:ascii="宋体" w:hAnsi="宋体" w:cs="宋体"/>
          <w:sz w:val="28"/>
          <w:szCs w:val="28"/>
        </w:rPr>
        <w:t>第二章  技术要求</w:t>
      </w:r>
    </w:p>
    <w:p>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一、基本要求</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1、投标方所供的设备，必须符合中国最新版的法律、法规和相关标准、规范的要求，符合项目所在地政府有关特殊要求。</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2、投标方所供设备涉及的专利权技术以及知识产权保护的其它技术等，应保证招标方不因此受到任何侵权指控以及实际损失。</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3、投标方应保证所供设备的先进性、可靠性、经济性和实用性，并为全新设备。</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4、投标方应满足招标方提出的各项技术要求，必要时应当免费提供技术承诺或担保。</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5、投标方应保证所供设备为中国公布的非淘汰设备，并为中国指定或规定的主管部门认可的环保型和节能型设备。</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6、投标方应保证所供设备的完整性和成套性，能保证设备的正常运行、使用。</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7、投标方应对招标方采购的设备所涉及的技术、产能等信息负有保密义务，招标方拥有追究投标方泄密责任的权利；招标方如有需要，投标方应无条件签署保密协议。</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8、投标方需提供近三年内项目业绩证明。</w:t>
      </w:r>
    </w:p>
    <w:p>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二、执行标准</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1、招标方此处所列标准仅为涉及的主要标准，而且不保证其为最新版执行标准；投标方应当在投标文件中认真予以填写、补充和修改完善。</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2、投标方需要执行的标准，应当以所供设备通过招标方将来组织的最终验收之日开始执行的最新标准。</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采购设备的产品质量、技术标准如在招投标文件中无相应说明，则按中华人民共和国有关部门颁发的最新的国标或专业（部）标准执行及相应的国际标准。没有国家或专业（部）标准的，按企业标准执行。但当标准不统一时，原则上按照最严格标准执行。</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4、如果有采用国际标准的货物，其执行标准由投标方提供、招标方确认。</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5、涉及的主要标准：</w:t>
      </w:r>
    </w:p>
    <w:tbl>
      <w:tblPr>
        <w:tblStyle w:val="37"/>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1" w:type="dxa"/>
          <w:bottom w:w="0" w:type="dxa"/>
          <w:right w:w="51" w:type="dxa"/>
        </w:tblCellMar>
      </w:tblPr>
      <w:tblGrid>
        <w:gridCol w:w="639"/>
        <w:gridCol w:w="6354"/>
        <w:gridCol w:w="2173"/>
      </w:tblGrid>
      <w:tr>
        <w:trPr>
          <w:trHeight w:val="567" w:hRule="atLeast"/>
          <w:jc w:val="center"/>
        </w:trPr>
        <w:tc>
          <w:tcPr>
            <w:tcW w:w="349" w:type="pct"/>
            <w:vAlign w:val="center"/>
          </w:tcPr>
          <w:p>
            <w:pPr>
              <w:overflowPunct w:val="0"/>
              <w:jc w:val="center"/>
              <w:rPr>
                <w:rFonts w:hint="eastAsia" w:ascii="宋体" w:hAnsi="宋体" w:eastAsia="宋体" w:cs="宋体"/>
                <w:b/>
                <w:bCs/>
                <w:sz w:val="24"/>
                <w:szCs w:val="24"/>
              </w:rPr>
            </w:pPr>
            <w:r>
              <w:rPr>
                <w:rFonts w:hint="eastAsia" w:ascii="宋体" w:hAnsi="宋体" w:eastAsia="宋体" w:cs="宋体"/>
                <w:b/>
                <w:bCs/>
                <w:sz w:val="24"/>
                <w:szCs w:val="24"/>
              </w:rPr>
              <w:t>序号</w:t>
            </w:r>
          </w:p>
        </w:tc>
        <w:tc>
          <w:tcPr>
            <w:tcW w:w="3465" w:type="pct"/>
            <w:vAlign w:val="center"/>
          </w:tcPr>
          <w:p>
            <w:pPr>
              <w:overflowPunct w:val="0"/>
              <w:autoSpaceDE w:val="0"/>
              <w:autoSpaceDN w:val="0"/>
              <w:jc w:val="center"/>
              <w:rPr>
                <w:rFonts w:hint="eastAsia" w:ascii="宋体" w:hAnsi="宋体" w:eastAsia="宋体" w:cs="宋体"/>
                <w:b/>
                <w:bCs/>
                <w:sz w:val="24"/>
                <w:szCs w:val="24"/>
              </w:rPr>
            </w:pPr>
            <w:r>
              <w:rPr>
                <w:rFonts w:hint="eastAsia" w:ascii="宋体" w:hAnsi="宋体" w:eastAsia="宋体" w:cs="宋体"/>
                <w:b/>
                <w:bCs/>
                <w:sz w:val="24"/>
                <w:szCs w:val="24"/>
              </w:rPr>
              <w:t>标准名称</w:t>
            </w:r>
          </w:p>
        </w:tc>
        <w:tc>
          <w:tcPr>
            <w:tcW w:w="1185" w:type="pct"/>
            <w:vAlign w:val="center"/>
          </w:tcPr>
          <w:p>
            <w:pPr>
              <w:overflowPunct w:val="0"/>
              <w:jc w:val="center"/>
              <w:rPr>
                <w:rFonts w:hint="eastAsia" w:ascii="宋体" w:hAnsi="宋体" w:eastAsia="宋体" w:cs="宋体"/>
                <w:b/>
                <w:bCs/>
                <w:sz w:val="24"/>
                <w:szCs w:val="24"/>
              </w:rPr>
            </w:pPr>
            <w:r>
              <w:rPr>
                <w:rFonts w:hint="eastAsia" w:ascii="宋体" w:hAnsi="宋体" w:eastAsia="宋体" w:cs="宋体"/>
                <w:b/>
                <w:bCs/>
                <w:sz w:val="24"/>
                <w:szCs w:val="24"/>
              </w:rPr>
              <w:t>标准编号</w:t>
            </w:r>
          </w:p>
        </w:tc>
      </w:tr>
      <w:tr>
        <w:trPr>
          <w:trHeight w:val="567" w:hRule="atLeast"/>
          <w:jc w:val="center"/>
        </w:trPr>
        <w:tc>
          <w:tcPr>
            <w:tcW w:w="349" w:type="pct"/>
            <w:vAlign w:val="center"/>
          </w:tcPr>
          <w:p>
            <w:pPr>
              <w:overflowPunct w:val="0"/>
              <w:jc w:val="center"/>
              <w:rPr>
                <w:rFonts w:hint="eastAsia" w:ascii="宋体" w:hAnsi="宋体" w:eastAsia="宋体" w:cs="宋体"/>
                <w:szCs w:val="21"/>
              </w:rPr>
            </w:pPr>
            <w:r>
              <w:rPr>
                <w:rFonts w:hint="eastAsia" w:ascii="宋体" w:hAnsi="宋体" w:eastAsia="宋体" w:cs="宋体"/>
                <w:szCs w:val="21"/>
              </w:rPr>
              <w:t>1</w:t>
            </w:r>
          </w:p>
        </w:tc>
        <w:tc>
          <w:tcPr>
            <w:tcW w:w="3465" w:type="pct"/>
            <w:vAlign w:val="center"/>
          </w:tcPr>
          <w:p>
            <w:pPr>
              <w:overflowPunct w:val="0"/>
              <w:autoSpaceDE w:val="0"/>
              <w:autoSpaceDN w:val="0"/>
              <w:jc w:val="left"/>
              <w:rPr>
                <w:rFonts w:hint="eastAsia" w:ascii="宋体" w:hAnsi="宋体" w:eastAsia="宋体" w:cs="宋体"/>
                <w:color w:val="000000"/>
                <w:szCs w:val="21"/>
              </w:rPr>
            </w:pPr>
            <w:r>
              <w:rPr>
                <w:rFonts w:hint="eastAsia" w:ascii="宋体" w:hAnsi="宋体" w:eastAsia="宋体" w:cs="宋体"/>
                <w:szCs w:val="21"/>
              </w:rPr>
              <w:t>《产品几何技术规范(GPS)表面结构轮廓法术语、定义及表面结构参数》标准</w:t>
            </w:r>
          </w:p>
        </w:tc>
        <w:tc>
          <w:tcPr>
            <w:tcW w:w="1185" w:type="pct"/>
            <w:vAlign w:val="center"/>
          </w:tcPr>
          <w:p>
            <w:pPr>
              <w:overflowPunct w:val="0"/>
              <w:autoSpaceDE w:val="0"/>
              <w:autoSpaceDN w:val="0"/>
              <w:jc w:val="left"/>
              <w:rPr>
                <w:rFonts w:hint="eastAsia" w:ascii="宋体" w:hAnsi="宋体" w:eastAsia="宋体" w:cs="宋体"/>
                <w:color w:val="000000"/>
                <w:szCs w:val="21"/>
                <w:highlight w:val="red"/>
              </w:rPr>
            </w:pPr>
            <w:r>
              <w:rPr>
                <w:rFonts w:hint="eastAsia" w:ascii="宋体" w:hAnsi="宋体" w:eastAsia="宋体" w:cs="宋体"/>
                <w:szCs w:val="21"/>
              </w:rPr>
              <w:t>GB/T 3505-2009/ISO 4287</w:t>
            </w:r>
          </w:p>
        </w:tc>
      </w:tr>
      <w:tr>
        <w:trPr>
          <w:trHeight w:val="567" w:hRule="atLeast"/>
          <w:jc w:val="center"/>
        </w:trPr>
        <w:tc>
          <w:tcPr>
            <w:tcW w:w="349" w:type="pct"/>
            <w:vAlign w:val="center"/>
          </w:tcPr>
          <w:p>
            <w:pPr>
              <w:overflowPunct w:val="0"/>
              <w:jc w:val="center"/>
              <w:rPr>
                <w:rFonts w:hint="eastAsia" w:ascii="宋体" w:hAnsi="宋体" w:eastAsia="宋体" w:cs="宋体"/>
                <w:szCs w:val="21"/>
              </w:rPr>
            </w:pPr>
            <w:r>
              <w:rPr>
                <w:rFonts w:hint="eastAsia" w:ascii="宋体" w:hAnsi="宋体" w:eastAsia="宋体" w:cs="宋体"/>
                <w:szCs w:val="21"/>
              </w:rPr>
              <w:t>2</w:t>
            </w:r>
          </w:p>
        </w:tc>
        <w:tc>
          <w:tcPr>
            <w:tcW w:w="3465" w:type="pct"/>
            <w:vAlign w:val="center"/>
          </w:tcPr>
          <w:p>
            <w:pPr>
              <w:overflowPunct w:val="0"/>
              <w:autoSpaceDE w:val="0"/>
              <w:autoSpaceDN w:val="0"/>
              <w:jc w:val="left"/>
              <w:rPr>
                <w:rFonts w:hint="eastAsia" w:ascii="宋体" w:hAnsi="宋体" w:eastAsia="宋体" w:cs="宋体"/>
                <w:szCs w:val="21"/>
              </w:rPr>
            </w:pPr>
            <w:r>
              <w:rPr>
                <w:rFonts w:hint="eastAsia" w:ascii="宋体" w:hAnsi="宋体" w:eastAsia="宋体" w:cs="宋体"/>
                <w:szCs w:val="21"/>
              </w:rPr>
              <w:t>《产品几何技术规范(GPS)表面结构轮廓法接触(触针)式仪器的标称特性》标准</w:t>
            </w:r>
          </w:p>
        </w:tc>
        <w:tc>
          <w:tcPr>
            <w:tcW w:w="1185" w:type="pct"/>
            <w:vAlign w:val="center"/>
          </w:tcPr>
          <w:p>
            <w:pPr>
              <w:overflowPunct w:val="0"/>
              <w:autoSpaceDE w:val="0"/>
              <w:autoSpaceDN w:val="0"/>
              <w:jc w:val="left"/>
              <w:rPr>
                <w:rFonts w:hint="eastAsia" w:ascii="宋体" w:hAnsi="宋体" w:eastAsia="宋体" w:cs="宋体"/>
                <w:szCs w:val="21"/>
                <w:highlight w:val="red"/>
              </w:rPr>
            </w:pPr>
            <w:r>
              <w:rPr>
                <w:rFonts w:hint="eastAsia" w:ascii="宋体" w:hAnsi="宋体" w:eastAsia="宋体" w:cs="宋体"/>
                <w:szCs w:val="21"/>
              </w:rPr>
              <w:t>GB/T6062-2009/IS03274</w:t>
            </w:r>
          </w:p>
        </w:tc>
      </w:tr>
      <w:tr>
        <w:trPr>
          <w:trHeight w:val="567" w:hRule="atLeast"/>
          <w:jc w:val="center"/>
        </w:trPr>
        <w:tc>
          <w:tcPr>
            <w:tcW w:w="349" w:type="pct"/>
            <w:vAlign w:val="center"/>
          </w:tcPr>
          <w:p>
            <w:pPr>
              <w:overflowPunct w:val="0"/>
              <w:jc w:val="center"/>
              <w:rPr>
                <w:rFonts w:hint="eastAsia" w:ascii="宋体" w:hAnsi="宋体" w:eastAsia="宋体" w:cs="宋体"/>
                <w:szCs w:val="21"/>
              </w:rPr>
            </w:pPr>
            <w:r>
              <w:rPr>
                <w:rFonts w:hint="eastAsia" w:ascii="宋体" w:hAnsi="宋体" w:eastAsia="宋体" w:cs="宋体"/>
                <w:szCs w:val="21"/>
              </w:rPr>
              <w:t>3</w:t>
            </w:r>
          </w:p>
        </w:tc>
        <w:tc>
          <w:tcPr>
            <w:tcW w:w="3465" w:type="pct"/>
            <w:vAlign w:val="center"/>
          </w:tcPr>
          <w:p>
            <w:pPr>
              <w:overflowPunct w:val="0"/>
              <w:autoSpaceDE w:val="0"/>
              <w:autoSpaceDN w:val="0"/>
              <w:jc w:val="left"/>
              <w:rPr>
                <w:rFonts w:hint="eastAsia" w:ascii="宋体" w:hAnsi="宋体" w:eastAsia="宋体" w:cs="宋体"/>
                <w:szCs w:val="21"/>
              </w:rPr>
            </w:pPr>
            <w:r>
              <w:rPr>
                <w:rFonts w:hint="eastAsia" w:ascii="宋体" w:hAnsi="宋体" w:eastAsia="宋体" w:cs="宋体"/>
                <w:szCs w:val="21"/>
              </w:rPr>
              <w:t>《产品几何技术规范(GPS)表面结构轮廓法图形参数》标准</w:t>
            </w:r>
          </w:p>
        </w:tc>
        <w:tc>
          <w:tcPr>
            <w:tcW w:w="1185" w:type="pct"/>
            <w:vAlign w:val="center"/>
          </w:tcPr>
          <w:p>
            <w:pPr>
              <w:overflowPunct w:val="0"/>
              <w:autoSpaceDE w:val="0"/>
              <w:autoSpaceDN w:val="0"/>
              <w:jc w:val="left"/>
              <w:rPr>
                <w:rFonts w:hint="eastAsia" w:ascii="宋体" w:hAnsi="宋体" w:eastAsia="宋体" w:cs="宋体"/>
                <w:szCs w:val="21"/>
                <w:highlight w:val="red"/>
              </w:rPr>
            </w:pPr>
            <w:r>
              <w:rPr>
                <w:rFonts w:hint="eastAsia" w:ascii="宋体" w:hAnsi="宋体" w:eastAsia="宋体" w:cs="宋体"/>
                <w:szCs w:val="21"/>
              </w:rPr>
              <w:t>GB/T18618-2009/IS012085</w:t>
            </w:r>
          </w:p>
        </w:tc>
      </w:tr>
    </w:tbl>
    <w:p>
      <w:pPr>
        <w:spacing w:line="360" w:lineRule="exact"/>
        <w:rPr>
          <w:rFonts w:hint="eastAsia" w:ascii="宋体" w:hAnsi="宋体"/>
        </w:rPr>
      </w:pPr>
    </w:p>
    <w:p>
      <w:pPr>
        <w:numPr>
          <w:ilvl w:val="0"/>
          <w:numId w:val="10"/>
        </w:numPr>
        <w:spacing w:line="360" w:lineRule="auto"/>
        <w:rPr>
          <w:rFonts w:hint="eastAsia" w:ascii="宋体" w:hAnsi="宋体" w:eastAsia="宋体" w:cs="宋体"/>
          <w:b/>
          <w:bCs/>
          <w:sz w:val="24"/>
          <w:szCs w:val="24"/>
        </w:rPr>
      </w:pPr>
      <w:r>
        <w:rPr>
          <w:rFonts w:hint="eastAsia" w:ascii="宋体" w:hAnsi="宋体" w:eastAsia="宋体" w:cs="宋体"/>
          <w:b/>
          <w:bCs/>
          <w:sz w:val="24"/>
          <w:szCs w:val="24"/>
        </w:rPr>
        <w:t>技术规范和技术要求</w:t>
      </w:r>
    </w:p>
    <w:p>
      <w:pPr>
        <w:pStyle w:val="7"/>
        <w:keepNext w:val="0"/>
        <w:keepLines w:val="0"/>
        <w:spacing w:line="360" w:lineRule="auto"/>
        <w:jc w:val="left"/>
        <w:rPr>
          <w:rFonts w:ascii="宋体" w:hAnsi="Courier New" w:eastAsia="宋体" w:cs="宋体"/>
          <w:sz w:val="24"/>
          <w:szCs w:val="24"/>
          <w:highlight w:val="yellow"/>
        </w:rPr>
      </w:pPr>
      <w:r>
        <w:rPr>
          <w:rFonts w:hint="eastAsia" w:ascii="宋体" w:hAnsi="Courier New" w:eastAsia="宋体" w:cs="宋体"/>
          <w:sz w:val="24"/>
          <w:szCs w:val="24"/>
        </w:rPr>
        <w:t>1、</w:t>
      </w:r>
      <w:r>
        <w:rPr>
          <w:rFonts w:hint="eastAsia" w:ascii="宋体" w:hAnsi="宋体" w:eastAsia="宋体" w:cs="宋体"/>
          <w:bCs w:val="0"/>
          <w:sz w:val="24"/>
          <w:szCs w:val="24"/>
        </w:rPr>
        <w:t>项目工艺要求</w:t>
      </w:r>
      <w:r>
        <w:rPr>
          <w:rFonts w:hint="eastAsia" w:ascii="宋体" w:hAnsi="Courier New" w:eastAsia="宋体" w:cs="宋体"/>
          <w:sz w:val="24"/>
          <w:szCs w:val="24"/>
        </w:rPr>
        <w:t>：MC11/11-TD、MC13/13-TD曲轴主轴颈及连杆轴颈圆角粗糙度≤Rz4，MC07/07H曲轴主轴颈及连杆轴颈圆角粗糙度≤Rz4.5。</w:t>
      </w:r>
    </w:p>
    <w:p>
      <w:pPr>
        <w:pStyle w:val="18"/>
      </w:pPr>
      <w:r>
        <w:rPr>
          <w:rFonts w:hint="eastAsia"/>
        </w:rPr>
        <w:t xml:space="preserve">            </w:t>
      </w:r>
      <w:r>
        <w:drawing>
          <wp:inline distT="0" distB="0" distL="114300" distR="114300">
            <wp:extent cx="1423670" cy="1389380"/>
            <wp:effectExtent l="0" t="0" r="5080" b="1270"/>
            <wp:docPr id="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pic:cNvPicPr>
                      <a:picLocks noChangeAspect="1"/>
                    </pic:cNvPicPr>
                  </pic:nvPicPr>
                  <pic:blipFill>
                    <a:blip r:embed="rId40"/>
                    <a:stretch>
                      <a:fillRect/>
                    </a:stretch>
                  </pic:blipFill>
                  <pic:spPr>
                    <a:xfrm>
                      <a:off x="0" y="0"/>
                      <a:ext cx="1423670" cy="1389380"/>
                    </a:xfrm>
                    <a:prstGeom prst="rect">
                      <a:avLst/>
                    </a:prstGeom>
                    <a:noFill/>
                    <a:ln>
                      <a:noFill/>
                    </a:ln>
                  </pic:spPr>
                </pic:pic>
              </a:graphicData>
            </a:graphic>
          </wp:inline>
        </w:drawing>
      </w:r>
      <w:r>
        <w:rPr>
          <w:rFonts w:hint="eastAsia"/>
        </w:rPr>
        <w:t xml:space="preserve">            </w:t>
      </w:r>
      <w:r>
        <w:drawing>
          <wp:inline distT="0" distB="0" distL="114300" distR="114300">
            <wp:extent cx="1292860" cy="1294765"/>
            <wp:effectExtent l="0" t="0" r="2540" b="635"/>
            <wp:docPr id="32"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
                    <pic:cNvPicPr>
                      <a:picLocks noChangeAspect="1"/>
                    </pic:cNvPicPr>
                  </pic:nvPicPr>
                  <pic:blipFill>
                    <a:blip r:embed="rId41"/>
                    <a:srcRect l="7571" r="4129"/>
                    <a:stretch>
                      <a:fillRect/>
                    </a:stretch>
                  </pic:blipFill>
                  <pic:spPr>
                    <a:xfrm>
                      <a:off x="0" y="0"/>
                      <a:ext cx="1292860" cy="1294765"/>
                    </a:xfrm>
                    <a:prstGeom prst="rect">
                      <a:avLst/>
                    </a:prstGeom>
                    <a:noFill/>
                    <a:ln>
                      <a:noFill/>
                    </a:ln>
                  </pic:spPr>
                </pic:pic>
              </a:graphicData>
            </a:graphic>
          </wp:inline>
        </w:drawing>
      </w:r>
    </w:p>
    <w:p>
      <w:pPr>
        <w:pStyle w:val="18"/>
      </w:pPr>
    </w:p>
    <w:p>
      <w:pPr>
        <w:pStyle w:val="18"/>
        <w:jc w:val="center"/>
        <w:rPr>
          <w:rFonts w:eastAsia="宋体"/>
          <w:b/>
          <w:sz w:val="18"/>
          <w:szCs w:val="18"/>
        </w:rPr>
      </w:pPr>
      <w:r>
        <w:rPr>
          <w:rFonts w:hint="eastAsia" w:eastAsia="宋体" w:cs="宋体"/>
          <w:b/>
          <w:sz w:val="18"/>
          <w:szCs w:val="18"/>
        </w:rPr>
        <w:t>MC11/11-TD、MC13/13-TD曲轴连杆颈、主轴颈圆角及粗糙度要求</w:t>
      </w:r>
    </w:p>
    <w:p>
      <w:pPr>
        <w:pStyle w:val="18"/>
      </w:pPr>
    </w:p>
    <w:p>
      <w:pPr>
        <w:pStyle w:val="18"/>
      </w:pPr>
    </w:p>
    <w:p>
      <w:pPr>
        <w:spacing w:line="360" w:lineRule="auto"/>
        <w:jc w:val="center"/>
        <w:rPr>
          <w:rFonts w:hint="eastAsia"/>
        </w:rPr>
      </w:pPr>
      <w:r>
        <w:drawing>
          <wp:inline distT="0" distB="0" distL="114300" distR="114300">
            <wp:extent cx="1576705" cy="1477010"/>
            <wp:effectExtent l="0" t="0" r="4445" b="8890"/>
            <wp:docPr id="3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4"/>
                    <pic:cNvPicPr>
                      <a:picLocks noChangeAspect="1"/>
                    </pic:cNvPicPr>
                  </pic:nvPicPr>
                  <pic:blipFill>
                    <a:blip r:embed="rId42"/>
                    <a:srcRect l="3600" t="5362" r="32797" b="30343"/>
                    <a:stretch>
                      <a:fillRect/>
                    </a:stretch>
                  </pic:blipFill>
                  <pic:spPr>
                    <a:xfrm>
                      <a:off x="0" y="0"/>
                      <a:ext cx="1576705" cy="1477010"/>
                    </a:xfrm>
                    <a:prstGeom prst="rect">
                      <a:avLst/>
                    </a:prstGeom>
                    <a:noFill/>
                    <a:ln>
                      <a:noFill/>
                    </a:ln>
                  </pic:spPr>
                </pic:pic>
              </a:graphicData>
            </a:graphic>
          </wp:inline>
        </w:drawing>
      </w:r>
      <w:r>
        <w:rPr>
          <w:rFonts w:hint="eastAsia"/>
        </w:rPr>
        <w:t xml:space="preserve">     </w:t>
      </w:r>
      <w:r>
        <w:drawing>
          <wp:inline distT="0" distB="0" distL="114300" distR="114300">
            <wp:extent cx="1557655" cy="1491615"/>
            <wp:effectExtent l="0" t="0" r="4445" b="13335"/>
            <wp:docPr id="37"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6"/>
                    <pic:cNvPicPr>
                      <a:picLocks noChangeAspect="1"/>
                    </pic:cNvPicPr>
                  </pic:nvPicPr>
                  <pic:blipFill>
                    <a:blip r:embed="rId43"/>
                    <a:srcRect l="27739" t="35011" r="4690" b="641"/>
                    <a:stretch>
                      <a:fillRect/>
                    </a:stretch>
                  </pic:blipFill>
                  <pic:spPr>
                    <a:xfrm>
                      <a:off x="0" y="0"/>
                      <a:ext cx="1557655" cy="1491615"/>
                    </a:xfrm>
                    <a:prstGeom prst="rect">
                      <a:avLst/>
                    </a:prstGeom>
                    <a:noFill/>
                    <a:ln>
                      <a:noFill/>
                    </a:ln>
                  </pic:spPr>
                </pic:pic>
              </a:graphicData>
            </a:graphic>
          </wp:inline>
        </w:drawing>
      </w:r>
    </w:p>
    <w:p>
      <w:pPr>
        <w:pStyle w:val="18"/>
        <w:jc w:val="center"/>
        <w:rPr>
          <w:rFonts w:eastAsia="宋体" w:cs="宋体"/>
          <w:b/>
          <w:sz w:val="18"/>
          <w:szCs w:val="18"/>
        </w:rPr>
      </w:pPr>
      <w:r>
        <w:rPr>
          <w:rFonts w:hint="eastAsia" w:eastAsia="宋体" w:cs="宋体"/>
          <w:b/>
          <w:sz w:val="18"/>
          <w:szCs w:val="18"/>
        </w:rPr>
        <w:t>MC07/07H曲轴连杆颈、主轴颈圆角及粗糙度要求</w:t>
      </w:r>
    </w:p>
    <w:p>
      <w:pPr>
        <w:pStyle w:val="18"/>
        <w:jc w:val="center"/>
        <w:rPr>
          <w:rFonts w:eastAsia="宋体" w:cs="宋体"/>
          <w:b/>
          <w:sz w:val="24"/>
          <w:szCs w:val="24"/>
        </w:rPr>
      </w:pPr>
    </w:p>
    <w:p>
      <w:pPr>
        <w:pStyle w:val="18"/>
        <w:numPr>
          <w:ilvl w:val="0"/>
          <w:numId w:val="11"/>
        </w:numPr>
        <w:spacing w:line="360" w:lineRule="auto"/>
        <w:rPr>
          <w:rFonts w:hint="eastAsia" w:hAnsi="宋体" w:eastAsia="宋体" w:cs="宋体"/>
          <w:sz w:val="24"/>
          <w:szCs w:val="24"/>
        </w:rPr>
      </w:pPr>
      <w:r>
        <w:rPr>
          <w:rFonts w:hint="eastAsia" w:hAnsi="宋体" w:eastAsia="宋体" w:cs="宋体"/>
          <w:sz w:val="24"/>
          <w:szCs w:val="24"/>
        </w:rPr>
        <w:t>设备基本要求：</w:t>
      </w:r>
    </w:p>
    <w:p>
      <w:pPr>
        <w:pStyle w:val="18"/>
        <w:numPr>
          <w:ilvl w:val="0"/>
          <w:numId w:val="12"/>
        </w:numPr>
        <w:spacing w:line="360" w:lineRule="auto"/>
        <w:rPr>
          <w:rFonts w:eastAsia="宋体" w:cs="宋体"/>
          <w:bCs/>
          <w:sz w:val="24"/>
          <w:szCs w:val="24"/>
        </w:rPr>
      </w:pPr>
      <w:r>
        <w:rPr>
          <w:rFonts w:hint="eastAsia" w:eastAsia="宋体" w:cs="宋体"/>
          <w:bCs/>
          <w:sz w:val="24"/>
          <w:szCs w:val="24"/>
        </w:rPr>
        <w:t>主机：内置主机控制系统、主机液晶显示系统、粗糙度专用滤波器。</w:t>
      </w:r>
    </w:p>
    <w:p>
      <w:pPr>
        <w:pStyle w:val="18"/>
        <w:numPr>
          <w:ilvl w:val="1"/>
          <w:numId w:val="12"/>
        </w:numPr>
        <w:spacing w:line="360" w:lineRule="auto"/>
        <w:rPr>
          <w:rFonts w:eastAsia="宋体" w:cs="宋体"/>
          <w:bCs/>
          <w:sz w:val="24"/>
          <w:szCs w:val="24"/>
        </w:rPr>
      </w:pPr>
      <w:r>
        <w:rPr>
          <w:rFonts w:hint="eastAsia" w:eastAsia="宋体" w:cs="宋体"/>
          <w:bCs/>
          <w:sz w:val="24"/>
          <w:szCs w:val="24"/>
        </w:rPr>
        <w:t>支持评价方式不少于Ra、Rz、Rp、Rsk、RSm五种方式。</w:t>
      </w:r>
    </w:p>
    <w:p>
      <w:pPr>
        <w:pStyle w:val="18"/>
        <w:numPr>
          <w:ilvl w:val="1"/>
          <w:numId w:val="12"/>
        </w:numPr>
        <w:spacing w:line="360" w:lineRule="auto"/>
        <w:rPr>
          <w:rFonts w:eastAsia="宋体" w:cs="宋体"/>
          <w:bCs/>
          <w:sz w:val="24"/>
          <w:szCs w:val="24"/>
        </w:rPr>
      </w:pPr>
      <w:r>
        <w:rPr>
          <w:rFonts w:hint="eastAsia" w:eastAsia="宋体" w:cs="宋体"/>
          <w:bCs/>
          <w:sz w:val="24"/>
          <w:szCs w:val="24"/>
        </w:rPr>
        <w:t>具备一次测量ISO全参数及粗糙度曲线图直接出值显示功能；具备四种曲线（未滤波原始轮廓、滤波原始轮廓、波纹度、粗糙度）任意切换显示功能；</w:t>
      </w:r>
    </w:p>
    <w:p>
      <w:pPr>
        <w:pStyle w:val="18"/>
        <w:numPr>
          <w:ilvl w:val="1"/>
          <w:numId w:val="12"/>
        </w:numPr>
        <w:spacing w:line="360" w:lineRule="auto"/>
        <w:rPr>
          <w:rFonts w:eastAsia="宋体" w:cs="宋体"/>
          <w:bCs/>
          <w:sz w:val="24"/>
          <w:szCs w:val="24"/>
        </w:rPr>
      </w:pPr>
      <w:r>
        <w:rPr>
          <w:rFonts w:hint="eastAsia" w:eastAsia="宋体" w:cs="宋体"/>
          <w:bCs/>
          <w:sz w:val="24"/>
          <w:szCs w:val="24"/>
        </w:rPr>
        <w:t>配备专用测量软件，可对表面结构进行微观分析；</w:t>
      </w:r>
    </w:p>
    <w:p>
      <w:pPr>
        <w:pStyle w:val="18"/>
        <w:numPr>
          <w:ilvl w:val="1"/>
          <w:numId w:val="12"/>
        </w:numPr>
        <w:spacing w:line="360" w:lineRule="auto"/>
        <w:rPr>
          <w:rFonts w:eastAsia="宋体" w:cs="宋体"/>
          <w:bCs/>
          <w:sz w:val="24"/>
          <w:szCs w:val="24"/>
        </w:rPr>
      </w:pPr>
      <w:r>
        <w:rPr>
          <w:rFonts w:hint="eastAsia" w:eastAsia="宋体" w:cs="宋体"/>
          <w:bCs/>
          <w:sz w:val="24"/>
          <w:szCs w:val="24"/>
        </w:rPr>
        <w:t>配备不少于GAUSS滤波一种滤波器，且带轮廓补偿功能，在测量球面、曲面、平面的表面粗糙度时，能够得到准确的测值；</w:t>
      </w:r>
    </w:p>
    <w:p>
      <w:pPr>
        <w:pStyle w:val="18"/>
        <w:numPr>
          <w:ilvl w:val="1"/>
          <w:numId w:val="12"/>
        </w:numPr>
        <w:spacing w:line="360" w:lineRule="auto"/>
        <w:rPr>
          <w:rFonts w:eastAsia="宋体" w:cs="宋体"/>
          <w:bCs/>
          <w:sz w:val="24"/>
          <w:szCs w:val="24"/>
        </w:rPr>
      </w:pPr>
      <w:r>
        <w:rPr>
          <w:rFonts w:hint="eastAsia" w:eastAsia="宋体" w:cs="宋体"/>
          <w:bCs/>
          <w:sz w:val="24"/>
          <w:szCs w:val="24"/>
        </w:rPr>
        <w:t>具备触针位置显示功能，机身水平可调（垂直面俯仰可调），可覆盖R1～R10圆角的粗糙度检测；</w:t>
      </w:r>
    </w:p>
    <w:p>
      <w:pPr>
        <w:pStyle w:val="18"/>
        <w:numPr>
          <w:ilvl w:val="0"/>
          <w:numId w:val="12"/>
        </w:numPr>
        <w:spacing w:line="360" w:lineRule="auto"/>
        <w:rPr>
          <w:rFonts w:eastAsia="宋体" w:cs="宋体"/>
          <w:bCs/>
          <w:sz w:val="24"/>
          <w:szCs w:val="24"/>
        </w:rPr>
      </w:pPr>
      <w:r>
        <w:rPr>
          <w:rFonts w:hint="eastAsia" w:eastAsia="宋体" w:cs="宋体"/>
          <w:bCs/>
          <w:sz w:val="24"/>
          <w:szCs w:val="24"/>
        </w:rPr>
        <w:t>探头驱动器：驱动器避免与曲轴辅板及加工面产生干涉。</w:t>
      </w:r>
    </w:p>
    <w:p>
      <w:pPr>
        <w:pStyle w:val="18"/>
        <w:numPr>
          <w:ilvl w:val="0"/>
          <w:numId w:val="12"/>
        </w:numPr>
        <w:spacing w:line="360" w:lineRule="auto"/>
        <w:rPr>
          <w:rFonts w:eastAsia="宋体" w:cs="宋体"/>
          <w:bCs/>
          <w:sz w:val="24"/>
          <w:szCs w:val="24"/>
        </w:rPr>
      </w:pPr>
      <w:r>
        <w:rPr>
          <w:rFonts w:hint="eastAsia" w:eastAsia="宋体" w:cs="宋体"/>
          <w:bCs/>
          <w:sz w:val="24"/>
          <w:szCs w:val="24"/>
        </w:rPr>
        <w:t>探头：探针确保不与曲轴轴颈开档面干涉，针尖半径不大于2μm，探头配备2件，满足一用一备需求。</w:t>
      </w:r>
    </w:p>
    <w:p>
      <w:pPr>
        <w:pStyle w:val="18"/>
        <w:numPr>
          <w:ilvl w:val="0"/>
          <w:numId w:val="12"/>
        </w:numPr>
        <w:spacing w:line="360" w:lineRule="auto"/>
        <w:rPr>
          <w:rFonts w:eastAsia="宋体" w:cs="宋体"/>
          <w:bCs/>
          <w:sz w:val="24"/>
          <w:szCs w:val="24"/>
        </w:rPr>
      </w:pPr>
      <w:r>
        <w:rPr>
          <w:rFonts w:hint="eastAsia" w:eastAsia="宋体" w:cs="宋体"/>
          <w:bCs/>
          <w:sz w:val="24"/>
          <w:szCs w:val="24"/>
        </w:rPr>
        <w:t>测量支架：配备专用支架用于固定及调节粗糙度仪传感器，支架最高高度满足不低于450mm高的测量，满足MC07、MC07H、MC11、MC11-TD、MC13、MC13-TD曲轴在平台上实施轴颈两侧圆角粗糙度的测量；可使用专用支架连接调节探头驱动器高度。</w:t>
      </w:r>
    </w:p>
    <w:p>
      <w:pPr>
        <w:pStyle w:val="18"/>
        <w:numPr>
          <w:ilvl w:val="0"/>
          <w:numId w:val="12"/>
        </w:numPr>
        <w:spacing w:line="360" w:lineRule="auto"/>
        <w:rPr>
          <w:rFonts w:eastAsia="宋体" w:cs="宋体"/>
          <w:bCs/>
          <w:sz w:val="24"/>
          <w:szCs w:val="24"/>
        </w:rPr>
      </w:pPr>
      <w:r>
        <w:rPr>
          <w:rFonts w:hint="eastAsia" w:eastAsia="宋体" w:cs="宋体"/>
          <w:bCs/>
          <w:sz w:val="24"/>
          <w:szCs w:val="24"/>
        </w:rPr>
        <w:t>专用上位机：配备台式电脑及电脑桌一套，并安装配备专用上位机软件及所需的线缆，使检测仪与电脑端建立连接，可进行检测轮廓的分析及报告的存储；</w:t>
      </w:r>
      <w:r>
        <w:rPr>
          <w:rFonts w:hint="eastAsia" w:eastAsia="宋体" w:cs="宋体"/>
          <w:bCs/>
          <w:sz w:val="24"/>
          <w:szCs w:val="24"/>
          <w:lang w:val="en-US" w:eastAsia="zh-CN"/>
        </w:rPr>
        <w:t>电脑配置要求</w:t>
      </w:r>
      <w:r>
        <w:rPr>
          <w:rFonts w:hint="eastAsia" w:hAnsi="宋体" w:eastAsia="宋体" w:cs="宋体"/>
          <w:sz w:val="24"/>
          <w:szCs w:val="24"/>
        </w:rPr>
        <w:t>处理器i5及以上、硬盘容量不少于</w:t>
      </w:r>
      <w:r>
        <w:rPr>
          <w:rFonts w:hint="eastAsia" w:hAnsi="宋体" w:eastAsia="宋体" w:cs="宋体"/>
          <w:sz w:val="24"/>
          <w:szCs w:val="24"/>
          <w:lang w:val="en-US" w:eastAsia="zh-CN"/>
        </w:rPr>
        <w:t>512</w:t>
      </w:r>
      <w:r>
        <w:rPr>
          <w:rFonts w:hint="eastAsia" w:hAnsi="宋体" w:eastAsia="宋体" w:cs="宋体"/>
          <w:sz w:val="24"/>
          <w:szCs w:val="24"/>
        </w:rPr>
        <w:t>G、内存不少于8G，预装操作系统</w:t>
      </w:r>
      <w:r>
        <w:rPr>
          <w:rFonts w:hint="eastAsia" w:hAnsi="宋体" w:eastAsia="宋体" w:cs="宋体"/>
          <w:sz w:val="24"/>
          <w:szCs w:val="24"/>
          <w:lang w:eastAsia="zh-CN"/>
        </w:rPr>
        <w:t>，</w:t>
      </w:r>
      <w:r>
        <w:rPr>
          <w:rFonts w:hint="eastAsia" w:hAnsi="宋体" w:eastAsia="宋体" w:cs="宋体"/>
          <w:sz w:val="24"/>
          <w:szCs w:val="24"/>
        </w:rPr>
        <w:t>显示屏采用DELL、</w:t>
      </w:r>
      <w:r>
        <w:rPr>
          <w:rFonts w:hint="eastAsia" w:hAnsi="宋体" w:eastAsia="宋体" w:cs="宋体"/>
          <w:sz w:val="24"/>
          <w:szCs w:val="24"/>
          <w:lang w:val="en-US" w:eastAsia="zh-CN"/>
        </w:rPr>
        <w:t>联想</w:t>
      </w:r>
      <w:r>
        <w:rPr>
          <w:rFonts w:hint="eastAsia" w:hAnsi="宋体" w:eastAsia="宋体" w:cs="宋体"/>
          <w:sz w:val="24"/>
          <w:szCs w:val="24"/>
        </w:rPr>
        <w:t>等国内外知名品牌。</w:t>
      </w:r>
    </w:p>
    <w:p>
      <w:pPr>
        <w:pStyle w:val="18"/>
        <w:numPr>
          <w:ilvl w:val="0"/>
          <w:numId w:val="12"/>
        </w:numPr>
        <w:spacing w:line="360" w:lineRule="auto"/>
        <w:rPr>
          <w:rFonts w:eastAsia="宋体" w:cs="宋体"/>
          <w:bCs/>
          <w:sz w:val="24"/>
          <w:szCs w:val="24"/>
        </w:rPr>
      </w:pPr>
      <w:r>
        <w:rPr>
          <w:rFonts w:hint="eastAsia" w:eastAsia="宋体" w:cs="宋体"/>
          <w:bCs/>
          <w:sz w:val="24"/>
          <w:szCs w:val="24"/>
        </w:rPr>
        <w:t>配备不少于2块Rz4粗糙度仪校准样块，满足一用一备需求。</w:t>
      </w:r>
    </w:p>
    <w:p>
      <w:pPr>
        <w:numPr>
          <w:ilvl w:val="0"/>
          <w:numId w:val="10"/>
        </w:numPr>
        <w:spacing w:line="360" w:lineRule="auto"/>
        <w:rPr>
          <w:rFonts w:hint="eastAsia" w:ascii="宋体" w:hAnsi="宋体" w:eastAsia="宋体" w:cs="宋体"/>
          <w:b/>
          <w:bCs/>
          <w:sz w:val="24"/>
          <w:szCs w:val="24"/>
        </w:rPr>
      </w:pPr>
      <w:r>
        <w:rPr>
          <w:rFonts w:hint="eastAsia" w:ascii="宋体" w:hAnsi="宋体" w:eastAsia="宋体" w:cs="宋体"/>
          <w:b/>
          <w:bCs/>
          <w:sz w:val="24"/>
          <w:szCs w:val="24"/>
        </w:rPr>
        <w:t>主要技术状态说明</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项目实施地点在济南发动机厂部件加工部，现场环境符合发动机装配要求。</w:t>
      </w:r>
    </w:p>
    <w:p>
      <w:pPr>
        <w:pStyle w:val="18"/>
        <w:numPr>
          <w:ilvl w:val="0"/>
          <w:numId w:val="13"/>
        </w:numPr>
        <w:spacing w:line="360" w:lineRule="auto"/>
        <w:rPr>
          <w:rFonts w:hint="eastAsia" w:hAnsi="宋体" w:eastAsia="宋体" w:cs="宋体"/>
          <w:sz w:val="24"/>
          <w:szCs w:val="24"/>
        </w:rPr>
      </w:pPr>
      <w:r>
        <w:rPr>
          <w:rFonts w:hint="eastAsia" w:hAnsi="宋体" w:eastAsia="宋体" w:cs="宋体"/>
          <w:kern w:val="0"/>
          <w:sz w:val="24"/>
          <w:szCs w:val="24"/>
        </w:rPr>
        <w:t>圆角粗糙度检测仪：</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配置清单：主机、</w:t>
      </w:r>
      <w:r>
        <w:rPr>
          <w:rFonts w:hint="eastAsia" w:eastAsia="宋体" w:cs="宋体"/>
          <w:bCs/>
          <w:sz w:val="24"/>
          <w:szCs w:val="24"/>
        </w:rPr>
        <w:t>探头驱动器</w:t>
      </w:r>
      <w:r>
        <w:rPr>
          <w:rFonts w:hint="eastAsia" w:hAnsi="宋体" w:eastAsia="宋体" w:cs="宋体"/>
          <w:sz w:val="24"/>
          <w:szCs w:val="24"/>
        </w:rPr>
        <w:t>、</w:t>
      </w:r>
      <w:r>
        <w:rPr>
          <w:rFonts w:hint="eastAsia" w:eastAsia="宋体" w:cs="宋体"/>
          <w:bCs/>
          <w:sz w:val="24"/>
          <w:szCs w:val="24"/>
        </w:rPr>
        <w:t>探头</w:t>
      </w:r>
      <w:r>
        <w:rPr>
          <w:rFonts w:hint="eastAsia" w:hAnsi="宋体" w:eastAsia="宋体" w:cs="宋体"/>
          <w:sz w:val="24"/>
          <w:szCs w:val="24"/>
        </w:rPr>
        <w:t>、</w:t>
      </w:r>
      <w:r>
        <w:rPr>
          <w:rFonts w:hint="eastAsia" w:eastAsia="宋体" w:cs="宋体"/>
          <w:bCs/>
          <w:sz w:val="24"/>
          <w:szCs w:val="24"/>
        </w:rPr>
        <w:t>测量支架</w:t>
      </w:r>
      <w:r>
        <w:rPr>
          <w:rFonts w:hint="eastAsia" w:hAnsi="宋体" w:eastAsia="宋体" w:cs="宋体"/>
          <w:sz w:val="24"/>
          <w:szCs w:val="24"/>
        </w:rPr>
        <w:t>、</w:t>
      </w:r>
      <w:r>
        <w:rPr>
          <w:rFonts w:hint="eastAsia" w:eastAsia="宋体" w:cs="宋体"/>
          <w:bCs/>
          <w:sz w:val="24"/>
          <w:szCs w:val="24"/>
        </w:rPr>
        <w:t>直角测量机构</w:t>
      </w:r>
      <w:r>
        <w:rPr>
          <w:rFonts w:hint="eastAsia" w:hAnsi="宋体" w:eastAsia="宋体" w:cs="宋体"/>
          <w:sz w:val="24"/>
          <w:szCs w:val="24"/>
        </w:rPr>
        <w:t>、</w:t>
      </w:r>
      <w:r>
        <w:rPr>
          <w:rFonts w:hint="eastAsia" w:eastAsia="宋体" w:cs="宋体"/>
          <w:bCs/>
          <w:sz w:val="24"/>
          <w:szCs w:val="24"/>
        </w:rPr>
        <w:t>专用上位机</w:t>
      </w:r>
      <w:r>
        <w:rPr>
          <w:rFonts w:hint="eastAsia" w:hAnsi="宋体" w:eastAsia="宋体" w:cs="宋体"/>
          <w:sz w:val="24"/>
          <w:szCs w:val="24"/>
        </w:rPr>
        <w:t>、</w:t>
      </w:r>
      <w:r>
        <w:rPr>
          <w:rFonts w:hint="eastAsia" w:eastAsia="宋体" w:cs="宋体"/>
          <w:bCs/>
          <w:sz w:val="24"/>
          <w:szCs w:val="24"/>
        </w:rPr>
        <w:t>校准样块</w:t>
      </w:r>
      <w:r>
        <w:rPr>
          <w:rFonts w:hint="eastAsia" w:hAnsi="宋体" w:eastAsia="宋体" w:cs="宋体"/>
          <w:sz w:val="24"/>
          <w:szCs w:val="24"/>
        </w:rPr>
        <w:t>、通讯线缆、使用说明书、合格证、保修卡。</w:t>
      </w:r>
    </w:p>
    <w:p>
      <w:pPr>
        <w:pStyle w:val="18"/>
        <w:numPr>
          <w:ilvl w:val="0"/>
          <w:numId w:val="13"/>
        </w:numPr>
        <w:spacing w:line="360" w:lineRule="auto"/>
        <w:rPr>
          <w:rFonts w:hint="eastAsia" w:hAnsi="宋体" w:eastAsia="宋体" w:cs="宋体"/>
          <w:sz w:val="24"/>
          <w:szCs w:val="24"/>
        </w:rPr>
      </w:pPr>
      <w:r>
        <w:rPr>
          <w:rFonts w:hint="eastAsia" w:hAnsi="宋体" w:eastAsia="宋体" w:cs="宋体"/>
          <w:sz w:val="24"/>
          <w:szCs w:val="24"/>
        </w:rPr>
        <w:t>检测辅助部分要求：</w:t>
      </w:r>
    </w:p>
    <w:p>
      <w:pPr>
        <w:pStyle w:val="18"/>
        <w:numPr>
          <w:ilvl w:val="0"/>
          <w:numId w:val="14"/>
        </w:numPr>
        <w:spacing w:line="360" w:lineRule="auto"/>
        <w:ind w:left="315" w:leftChars="150"/>
        <w:outlineLvl w:val="0"/>
        <w:rPr>
          <w:rFonts w:eastAsia="宋体" w:cs="宋体"/>
          <w:bCs/>
          <w:sz w:val="24"/>
          <w:szCs w:val="24"/>
        </w:rPr>
      </w:pPr>
      <w:r>
        <w:rPr>
          <w:rFonts w:hint="eastAsia" w:hAnsi="宋体" w:eastAsia="宋体" w:cs="宋体"/>
          <w:sz w:val="24"/>
          <w:szCs w:val="24"/>
        </w:rPr>
        <w:t>测量支架：</w:t>
      </w:r>
      <w:r>
        <w:rPr>
          <w:rFonts w:hint="eastAsia" w:eastAsia="宋体" w:cs="宋体"/>
          <w:bCs/>
          <w:sz w:val="24"/>
          <w:szCs w:val="24"/>
        </w:rPr>
        <w:t>配备专用支架用于固定及调节粗糙度仪传感器，支架最高高度满足不低于450mm高的测量，满足MC07、MC07H、MC11、MC11-TD、MC13、MC13-TD曲轴在平台上实施轴颈两侧圆角粗糙度的测量；可使用专用支架连接调节探头驱动器高度；</w:t>
      </w:r>
    </w:p>
    <w:p>
      <w:pPr>
        <w:pStyle w:val="18"/>
        <w:numPr>
          <w:ilvl w:val="0"/>
          <w:numId w:val="14"/>
        </w:numPr>
        <w:spacing w:line="360" w:lineRule="auto"/>
        <w:ind w:left="315" w:leftChars="150"/>
        <w:outlineLvl w:val="0"/>
        <w:rPr>
          <w:rFonts w:eastAsia="宋体" w:cs="宋体"/>
          <w:bCs/>
          <w:sz w:val="24"/>
          <w:szCs w:val="24"/>
        </w:rPr>
      </w:pPr>
      <w:r>
        <w:rPr>
          <w:rFonts w:hint="eastAsia" w:eastAsia="宋体" w:cs="宋体"/>
          <w:bCs/>
          <w:sz w:val="24"/>
          <w:szCs w:val="24"/>
        </w:rPr>
        <w:t>电脑：台式机，</w:t>
      </w:r>
      <w:r>
        <w:rPr>
          <w:rFonts w:hint="eastAsia" w:hAnsi="宋体" w:eastAsia="宋体" w:cs="宋体"/>
          <w:sz w:val="24"/>
          <w:szCs w:val="24"/>
        </w:rPr>
        <w:t>处理器i5及以上、硬盘容量不少于</w:t>
      </w:r>
      <w:r>
        <w:rPr>
          <w:rFonts w:hint="eastAsia" w:hAnsi="宋体" w:eastAsia="宋体" w:cs="宋体"/>
          <w:sz w:val="24"/>
          <w:szCs w:val="24"/>
          <w:lang w:val="en-US" w:eastAsia="zh-CN"/>
        </w:rPr>
        <w:t>512</w:t>
      </w:r>
      <w:r>
        <w:rPr>
          <w:rFonts w:hint="eastAsia" w:hAnsi="宋体" w:eastAsia="宋体" w:cs="宋体"/>
          <w:sz w:val="24"/>
          <w:szCs w:val="24"/>
        </w:rPr>
        <w:t>G、内存不少于8G，预装操作系统</w:t>
      </w:r>
      <w:r>
        <w:rPr>
          <w:rFonts w:hint="eastAsia" w:hAnsi="宋体" w:eastAsia="宋体" w:cs="宋体"/>
          <w:sz w:val="24"/>
          <w:szCs w:val="24"/>
          <w:lang w:eastAsia="zh-CN"/>
        </w:rPr>
        <w:t>，</w:t>
      </w:r>
      <w:r>
        <w:rPr>
          <w:rFonts w:hint="eastAsia" w:hAnsi="宋体" w:eastAsia="宋体" w:cs="宋体"/>
          <w:sz w:val="24"/>
          <w:szCs w:val="24"/>
        </w:rPr>
        <w:t>显示屏采用DELL、</w:t>
      </w:r>
      <w:r>
        <w:rPr>
          <w:rFonts w:hint="eastAsia" w:hAnsi="宋体" w:eastAsia="宋体" w:cs="宋体"/>
          <w:sz w:val="24"/>
          <w:szCs w:val="24"/>
          <w:lang w:val="en-US" w:eastAsia="zh-CN"/>
        </w:rPr>
        <w:t>联想</w:t>
      </w:r>
      <w:r>
        <w:rPr>
          <w:rFonts w:hint="eastAsia" w:hAnsi="宋体" w:eastAsia="宋体" w:cs="宋体"/>
          <w:sz w:val="24"/>
          <w:szCs w:val="24"/>
        </w:rPr>
        <w:t>等国内外知名品牌</w:t>
      </w:r>
      <w:r>
        <w:rPr>
          <w:rFonts w:hint="eastAsia" w:eastAsia="宋体" w:cs="宋体"/>
          <w:bCs/>
          <w:sz w:val="24"/>
          <w:szCs w:val="24"/>
        </w:rPr>
        <w:t>；</w:t>
      </w:r>
    </w:p>
    <w:p>
      <w:pPr>
        <w:pStyle w:val="18"/>
        <w:numPr>
          <w:ilvl w:val="0"/>
          <w:numId w:val="14"/>
        </w:numPr>
        <w:spacing w:line="360" w:lineRule="auto"/>
        <w:ind w:left="315" w:leftChars="150"/>
        <w:outlineLvl w:val="0"/>
        <w:rPr>
          <w:rFonts w:eastAsia="宋体" w:cs="宋体"/>
          <w:bCs/>
          <w:sz w:val="24"/>
          <w:szCs w:val="24"/>
        </w:rPr>
      </w:pPr>
      <w:r>
        <w:rPr>
          <w:rFonts w:hint="eastAsia" w:eastAsia="宋体" w:cs="宋体"/>
          <w:bCs/>
          <w:sz w:val="24"/>
          <w:szCs w:val="24"/>
        </w:rPr>
        <w:t>电脑桌：承重≥50Kg，桌面深度≥60cm，宽度≥120cm。</w:t>
      </w:r>
    </w:p>
    <w:p>
      <w:pPr>
        <w:pStyle w:val="18"/>
        <w:numPr>
          <w:ilvl w:val="0"/>
          <w:numId w:val="13"/>
        </w:numPr>
        <w:spacing w:line="360" w:lineRule="auto"/>
        <w:outlineLvl w:val="0"/>
        <w:rPr>
          <w:rFonts w:hint="eastAsia" w:hAnsi="宋体" w:eastAsia="宋体" w:cs="宋体"/>
          <w:sz w:val="24"/>
          <w:szCs w:val="24"/>
        </w:rPr>
      </w:pPr>
      <w:r>
        <w:rPr>
          <w:rFonts w:hint="eastAsia" w:hAnsi="宋体" w:eastAsia="宋体" w:cs="宋体"/>
          <w:sz w:val="24"/>
          <w:szCs w:val="24"/>
        </w:rPr>
        <w:t>计量检测要求：</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仪器满足国家、省、市级法定计量检测机构等法定计量检测机构出具的检定、校准或测试报告。</w:t>
      </w:r>
    </w:p>
    <w:p>
      <w:pPr>
        <w:numPr>
          <w:ilvl w:val="0"/>
          <w:numId w:val="10"/>
        </w:numPr>
        <w:spacing w:line="360" w:lineRule="auto"/>
        <w:rPr>
          <w:rFonts w:hint="eastAsia" w:ascii="宋体" w:hAnsi="宋体" w:eastAsia="宋体" w:cs="宋体"/>
          <w:b/>
          <w:bCs/>
          <w:sz w:val="24"/>
          <w:szCs w:val="24"/>
        </w:rPr>
      </w:pPr>
      <w:r>
        <w:rPr>
          <w:rFonts w:hint="eastAsia" w:ascii="宋体" w:hAnsi="宋体" w:eastAsia="宋体" w:cs="宋体"/>
          <w:b/>
          <w:bCs/>
          <w:sz w:val="24"/>
          <w:szCs w:val="24"/>
        </w:rPr>
        <w:t>安全要求</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1. 安全防护、环境保护、节能要求应满足ISO及国家相关标准；</w:t>
      </w:r>
    </w:p>
    <w:p>
      <w:pPr>
        <w:numPr>
          <w:ilvl w:val="0"/>
          <w:numId w:val="10"/>
        </w:numPr>
        <w:spacing w:line="360" w:lineRule="auto"/>
        <w:rPr>
          <w:rFonts w:hint="eastAsia" w:ascii="宋体" w:hAnsi="宋体" w:eastAsia="宋体" w:cs="宋体"/>
          <w:b/>
          <w:bCs/>
          <w:sz w:val="24"/>
          <w:szCs w:val="24"/>
        </w:rPr>
      </w:pPr>
      <w:r>
        <w:rPr>
          <w:rFonts w:hint="eastAsia" w:ascii="宋体" w:hAnsi="宋体" w:eastAsia="宋体" w:cs="宋体"/>
          <w:b/>
          <w:bCs/>
          <w:sz w:val="24"/>
          <w:szCs w:val="24"/>
        </w:rPr>
        <w:t>供货要求</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1. 供货范围包括货物维护维修所必需的专用工具；</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2. 供货范围包括货物为达到产品标准以及环保、消防和劳动安全卫生等国家法律、法规和标准、规范要求而必须配备但标书未明确提出的通风系统、近距离照明系统以及劳动安全防护设施（不包括人体防护用品）等使用现场配套的设备、材料等；</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3. 供货范围包括货物正常运行所必需的全套连线设备、材料等。如货物端连接法兰外端面之内的、电气系统接口压线板（插座等）之内的设备、材料、连接螺栓、垫片等；</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4. 供货范围包括货物正常运行、使用所需要的过桥、护栏、防护网、盖板等辅助设施；</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5. 备品备件、易损件和专用耗材是招标方为保证货物质保期之后正常运行一年所自备自用的备品备件、易损件和专用耗材。质保期之内正常需要的备品备件、易损件和专用耗材全部包括在供货范围之内而不属于本条款界定的范围（应有明细）；</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6. 供货范围包括易损件和专用耗材的制造图纸及其技术要求等资料；</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7. 在合同签订后15个日历日内，提供货物基础及相关的设计、制作所需的纸质及电子版资料；电子版文件应当能够使用常用版本软件可以阅读甚至使用，进口货物、设备应有中外文对照；</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8. 在预验收前，提供货物各部分的功能描述文件、图片、影像等资料（进口、设备应有中外文对照）；</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9. 在终验收前，提供为保证货物后续正常运行所需的工装、吊（挂）具明细及其图纸、具体技术要求等资料（如果供货范围包含该部分实物）；</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10. 在终验收前，提供确定的维修所需要且买方可以自行采购的外购件、外协件、电气元件及主要原材料的供货厂家明细表；</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11. 在终验收后、终验收后的第一笔货款支付日之前，提供包括货物的备品备件、易损件和专用耗材的图纸及技术参数、技术要求等资料；</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12. 在终验收后、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pPr>
        <w:pStyle w:val="18"/>
        <w:spacing w:line="360" w:lineRule="auto"/>
        <w:ind w:firstLine="480" w:firstLineChars="200"/>
        <w:rPr>
          <w:rFonts w:hint="eastAsia" w:hAnsi="宋体" w:eastAsia="宋体" w:cs="宋体"/>
          <w:color w:val="000000"/>
          <w:sz w:val="24"/>
          <w:szCs w:val="24"/>
        </w:rPr>
      </w:pPr>
      <w:r>
        <w:rPr>
          <w:rFonts w:hint="eastAsia" w:hAnsi="宋体" w:eastAsia="宋体" w:cs="宋体"/>
          <w:sz w:val="24"/>
          <w:szCs w:val="24"/>
        </w:rPr>
        <w:t>13. 在终验收后、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r>
        <w:rPr>
          <w:rFonts w:hint="eastAsia" w:hAnsi="宋体" w:eastAsia="宋体" w:cs="宋体"/>
          <w:color w:val="000000"/>
          <w:sz w:val="24"/>
          <w:szCs w:val="24"/>
        </w:rPr>
        <w:t>项目所涉及的设备和电气程序需开源不得加密。</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14. 本条款所列的技术资料、图片、影像等，投标方应各提供5套，每份技术文件应装有目录清单；</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15. 全部供货范围内的设备、材料、零配件和工器具等，除合同特别约定外，其质保期均至终验收签字生效之日起12个月；</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16. 投标货物或涉及的关键总成和零件，如果有更长时间质保期，允许更改并说明，此将有利于投标方；</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17. 设计使用寿命短于质保期的易损件除外，但属于易损件的，应当有明确说明；</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18. 质保期之内，如果出现设备、总成、关键零部件或者多处一般零部件的更换或维修行为，则质保期自更换或维修行为结束、货物重新正常运行使用之日起重新计算；</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19. 质保期内免费提供零部件和及时有效的服务。质保期内因货物本身缺陷造成的各种故障，卖方应负责免费维修和服务；</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20. 质保期终止之日起一年内重复出现的质保期之内出现的故障，仍属于质保范围而且应当免费；</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21. 本条款所列要求，如招标方认为投标方提供的资料不能满足要求时，有权要求投标方免费补充或增加；</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22. 本项目需在中标后</w:t>
      </w:r>
      <w:r>
        <w:rPr>
          <w:rFonts w:hint="eastAsia" w:hAnsi="宋体" w:eastAsia="宋体" w:cs="宋体"/>
          <w:sz w:val="24"/>
          <w:szCs w:val="24"/>
          <w:shd w:val="clear" w:color="FFFFFF" w:fill="D9D9D9"/>
        </w:rPr>
        <w:t>50</w:t>
      </w:r>
      <w:r>
        <w:rPr>
          <w:rFonts w:hint="eastAsia" w:hAnsi="宋体" w:eastAsia="宋体" w:cs="宋体"/>
          <w:sz w:val="24"/>
          <w:szCs w:val="24"/>
        </w:rPr>
        <w:t>个日历日内完成发货，到货后</w:t>
      </w:r>
      <w:r>
        <w:rPr>
          <w:rFonts w:hint="eastAsia" w:hAnsi="宋体" w:eastAsia="宋体" w:cs="宋体"/>
          <w:sz w:val="24"/>
          <w:szCs w:val="24"/>
          <w:shd w:val="clear" w:color="FFFFFF" w:fill="D9D9D9"/>
        </w:rPr>
        <w:t>7</w:t>
      </w:r>
      <w:r>
        <w:rPr>
          <w:rFonts w:hint="eastAsia" w:hAnsi="宋体" w:eastAsia="宋体" w:cs="宋体"/>
          <w:sz w:val="24"/>
          <w:szCs w:val="24"/>
        </w:rPr>
        <w:t>个日历日内完成安装。卖方应根据该时间节点制定一个详细的、确保可行的设计制造时间进度表，时间表应着重标出重点时间节点。</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23.  全部供货范围内的设备、材料、零配件和工器具等，除合同特别约定外，其质保期均自终验收签字生效之日起</w:t>
      </w:r>
      <w:r>
        <w:rPr>
          <w:rFonts w:hint="eastAsia" w:hAnsi="宋体" w:eastAsia="宋体" w:cs="宋体"/>
          <w:sz w:val="24"/>
          <w:szCs w:val="24"/>
          <w:shd w:val="pct10" w:color="auto" w:fill="FFFFFF"/>
        </w:rPr>
        <w:t xml:space="preserve"> 12</w:t>
      </w:r>
      <w:r>
        <w:rPr>
          <w:rFonts w:hint="eastAsia" w:hAnsi="宋体" w:eastAsia="宋体" w:cs="宋体"/>
          <w:sz w:val="24"/>
          <w:szCs w:val="24"/>
        </w:rPr>
        <w:t>个月。</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24.  质保期之内，如果设备出现设备、总成、关键零部件或者多处一般零部件的更换或维修行为，则质保期自更换或维修行为结束、设备重新正常运行使用之日起重新计算。</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25.  质保期内免费提供零部件和及时有效的服务。质保期内因货物本身缺陷造成的各种故障，卖方应负责免费维修和服务。</w:t>
      </w:r>
    </w:p>
    <w:p>
      <w:pPr>
        <w:numPr>
          <w:ilvl w:val="0"/>
          <w:numId w:val="10"/>
        </w:numPr>
        <w:spacing w:line="360" w:lineRule="auto"/>
        <w:rPr>
          <w:rFonts w:hint="eastAsia" w:ascii="宋体" w:hAnsi="宋体" w:eastAsia="宋体" w:cs="宋体"/>
          <w:b/>
          <w:bCs/>
          <w:sz w:val="24"/>
          <w:szCs w:val="24"/>
        </w:rPr>
      </w:pPr>
      <w:r>
        <w:rPr>
          <w:rFonts w:hint="eastAsia" w:ascii="宋体" w:hAnsi="宋体" w:eastAsia="宋体" w:cs="宋体"/>
          <w:b/>
          <w:bCs/>
          <w:sz w:val="24"/>
          <w:szCs w:val="24"/>
        </w:rPr>
        <w:t>售中售后服务</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 应负责对买方技术、维修和操作人员提供免费的、卖方生产制造现场的理论、技术和操作、维修等方面的技术指导和培训。</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 应负责在买方设备使用现场，进行2工作日免费的技术指导和培训。</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 应免费提供培训资料2份。</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 应按要求免费积极协助和提供买方以及买方所委托的工程设计单位有关人员所需要的、与设备有关的工程设计资料、技术咨询等</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 若卖方提供的设备涉及到外购外协货物、而且该货物的技术质量等较为关键时，卖方应能保证得到配套厂家的技术支持，并免费为买方提供技术服务。</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 负责制定对买方人员在运行、维修等方面的培训计划，并有专人负责实施培训计划，负责指导买方受培训人员正确理解设计和制造意图，认识设备的特点和特性，掌握在运行、维修和使用管理中应遵守的规则等方面的综合知识。</w:t>
      </w:r>
    </w:p>
    <w:p>
      <w:pPr>
        <w:numPr>
          <w:ilvl w:val="0"/>
          <w:numId w:val="10"/>
        </w:numPr>
        <w:spacing w:line="360" w:lineRule="auto"/>
        <w:rPr>
          <w:rFonts w:hint="eastAsia" w:ascii="宋体" w:hAnsi="宋体" w:eastAsia="宋体" w:cs="宋体"/>
          <w:b/>
          <w:bCs/>
          <w:sz w:val="24"/>
          <w:szCs w:val="24"/>
        </w:rPr>
      </w:pPr>
      <w:r>
        <w:rPr>
          <w:rFonts w:hint="eastAsia" w:ascii="宋体" w:hAnsi="宋体" w:eastAsia="宋体" w:cs="宋体"/>
          <w:b/>
          <w:bCs/>
          <w:sz w:val="24"/>
          <w:szCs w:val="24"/>
        </w:rPr>
        <w:t>其他</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 投标人承诺对参与该项目所获得的与招标人产品相关的所有信息都予以保密，并承担与此相关的所有法律责任；</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 终验收合格后，质保期一年。在正常运行的情况下，系统出现故障，在接到通知后4小时以内予以答复，并在24小时以内派出服务人员，无偿维修；在质保期满后，投标方在接到通知后4小时以内予以答复，并在24小时以内派出服务人员；</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 其余未尽事宜，投标人应与招标人指派的答疑人员充分沟通，理解认可并接受相关技术规范及服务要求；</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 中标人需安排专人负责本招标项目的联络、检测计划布置、检测现场指导工作，该负责人对于以上问题的响应时间不得超过2小时；</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 投标人需自备交通工具、各种设备及食宿等必需品；</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 中标方需对招标人提供的数据及企业资料进行保密，并不得向第三方扩散，因泄密对招标人造成的损失由中标方承担相应全部责任；</w:t>
      </w:r>
    </w:p>
    <w:p>
      <w:pPr>
        <w:pStyle w:val="13"/>
        <w:spacing w:after="156"/>
      </w:pPr>
      <w:r>
        <w:rPr>
          <w:rFonts w:hint="eastAsia" w:hAnsi="宋体" w:cs="宋体"/>
          <w:sz w:val="24"/>
        </w:rPr>
        <w:br w:type="page"/>
      </w:r>
    </w:p>
    <w:p>
      <w:pPr>
        <w:pStyle w:val="2"/>
        <w:spacing w:before="120" w:after="120" w:line="480" w:lineRule="exact"/>
        <w:rPr>
          <w:rFonts w:hint="eastAsia" w:ascii="宋体" w:hAnsi="宋体" w:cs="宋体"/>
          <w:bCs w:val="0"/>
          <w:sz w:val="28"/>
          <w:szCs w:val="28"/>
        </w:rPr>
      </w:pPr>
      <w:r>
        <w:rPr>
          <w:rFonts w:hint="eastAsia" w:ascii="宋体" w:hAnsi="宋体" w:cs="宋体"/>
          <w:bCs w:val="0"/>
          <w:sz w:val="28"/>
          <w:szCs w:val="28"/>
        </w:rPr>
        <w:t>第三章  供货范围及供货方式</w:t>
      </w:r>
    </w:p>
    <w:p>
      <w:pPr>
        <w:pStyle w:val="4"/>
        <w:spacing w:before="120" w:after="120" w:line="480" w:lineRule="exact"/>
        <w:jc w:val="center"/>
        <w:rPr>
          <w:b w:val="0"/>
          <w:szCs w:val="24"/>
        </w:rPr>
      </w:pPr>
      <w:r>
        <w:rPr>
          <w:rFonts w:hint="eastAsia"/>
          <w:b w:val="0"/>
          <w:szCs w:val="24"/>
        </w:rPr>
        <w:t>第一节  供货范围</w:t>
      </w:r>
    </w:p>
    <w:p>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一、主要货物一般供货范围界定</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1、供货范围包括本技术标书“采购货物概况” 所列及所要求的设备。</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2、供货范围包括为保证设备正常安装、调试和验收完成及以前所必需的整套配件、附件及材料、油料、控制软件及程序或指令等。</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如果终验收完成后，投标方有需要收回的配件、附件、材料、油料等，应当在投标文件的技术偏离条款中，予以详细说明；否则视同包括在供货范围之内。</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3、供货范围包括货物维护维修所必需的专用工具。</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供货范围包括设备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如投标方难以提供或无优势提供以及属于选用配置的，则应当在投标文件的技术偏离条款中，予以详细说明并注明投标报价未包含该部分的货值。</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5、供货范围包括为保证设备自身正常运行所必需的、满足使用地点环境条件的通风、冷却、降温等必需设施。</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6、以“交钥匙”方式采购的设备，在满足技术标书本节上述要求之外，供货范围还包括如下界定（货物）：</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6.1  招标方只提设备所需的厂房以及砼基础；只提供符合本技术标书中“采购货物概况”和“使用环境”章节所列明品质的电力、自来水、压缩空气、蒸汽、天然气管线至系统接口，如：系统电力接口的接线端，水、气、汽等外围管线端联接法兰外端面。</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6.2  供货范围包括设备正常运行所必需的全套连线设备、材料等。如货物端联接法兰外端面之内的、电气系统接口压线板（插座等）之内的设备、材料、联接螺栓、垫片等。</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6.3  供货范围包括设备正常运行、使用所需要的过桥、护栏、防护网、盖板等辅助设施。</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6.3  供货范围包括招标文件中无明确具体要求而投标方认为必须具备的其它货物。但是，在投标文件报价明细中，该部分货物单独报价（该报价含运杂费及税费等其它费用，而且不再作为其它报价涉及的其它费用的计算基数）。</w:t>
      </w:r>
    </w:p>
    <w:p>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二、备品备件、易损件和专用耗材供货范围</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备品备件、易损件和专用耗材是招标方为保证设备质保期之后正常运行一年所自备自用的备品备件、易损件和专用耗材。质保期之内正常需要的备品备件、易损件和专用耗材全部包括在供货范围之内而不属于本条款界定的范围。</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2、供货范围包括易损件和专用耗材的制造图纸及其技术要求等资料。</w:t>
      </w:r>
    </w:p>
    <w:p>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三、技术资料供货范围</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技术资料供货范围包括：</w:t>
      </w:r>
    </w:p>
    <w:p>
      <w:pPr>
        <w:spacing w:line="360" w:lineRule="auto"/>
        <w:ind w:firstLine="480" w:firstLineChars="200"/>
        <w:rPr>
          <w:rFonts w:hint="eastAsia" w:ascii="宋体" w:hAnsi="宋体" w:eastAsia="宋体" w:cs="宋体"/>
          <w:bCs/>
          <w:sz w:val="24"/>
          <w:szCs w:val="24"/>
        </w:rPr>
      </w:pPr>
      <w:r>
        <w:rPr>
          <w:rFonts w:hint="eastAsia" w:ascii="宋体" w:hAnsi="宋体" w:eastAsia="宋体" w:cs="宋体"/>
          <w:sz w:val="24"/>
          <w:szCs w:val="24"/>
        </w:rPr>
        <w:t>1、在</w:t>
      </w:r>
      <w:r>
        <w:rPr>
          <w:rFonts w:hint="eastAsia" w:ascii="宋体" w:hAnsi="宋体" w:eastAsia="宋体" w:cs="宋体"/>
          <w:bCs/>
          <w:sz w:val="24"/>
          <w:szCs w:val="24"/>
        </w:rPr>
        <w:t>定标后</w:t>
      </w:r>
      <w:r>
        <w:rPr>
          <w:rFonts w:hint="eastAsia" w:ascii="宋体" w:hAnsi="宋体" w:eastAsia="宋体" w:cs="宋体"/>
          <w:bCs/>
          <w:sz w:val="24"/>
          <w:szCs w:val="24"/>
          <w:u w:val="single"/>
          <w:shd w:val="pct10" w:color="auto" w:fill="FFFFFF"/>
        </w:rPr>
        <w:t xml:space="preserve">  15  </w:t>
      </w:r>
      <w:r>
        <w:rPr>
          <w:rFonts w:hint="eastAsia" w:ascii="宋体" w:hAnsi="宋体" w:eastAsia="宋体" w:cs="宋体"/>
          <w:bCs/>
          <w:sz w:val="24"/>
          <w:szCs w:val="24"/>
        </w:rPr>
        <w:t>个日历日内，提供设备基础及相关的设计、制作所需的纸质及电子版资料；电子版文件应当能够使用常用版本软件可以阅读甚至使用，进口货物、设备应有中外文对照。</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2、在预验收前，</w:t>
      </w:r>
      <w:r>
        <w:rPr>
          <w:rFonts w:hint="eastAsia" w:ascii="宋体" w:hAnsi="宋体" w:eastAsia="宋体" w:cs="宋体"/>
          <w:bCs/>
          <w:sz w:val="24"/>
          <w:szCs w:val="24"/>
        </w:rPr>
        <w:t>提供设备各部分的功能描述文件、图片、影像等资料（进口、设备应有中外文对照）。</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3、在终验收前，提供为保证设备后续正常运行所需的工装、吊（挂）具明细及其图纸、具体技术要求等资料（如果供货范围包含该部分实物）。</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4、在终验收前，提供确定的维修所需要且招标方可以自行采购的外购件、外协件、电气元件及主要原材料的供货厂家明细表。</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5、在终验收后的第一笔货款支付日之前，提供包括设备的备品备件、易损件和专用耗材的图纸及技术参数、技术要求等资料。</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在终验收后的第一笔货款支付日之前，提供关于采购设备的电气资料（包括接线图、原理图、布线图、梯形图等）、液压（气动）原理图和系统图、安装基础图、维修图等有关的资料（含图片和影像等资料）；非标准货物应提供整套设备3D模型、设计总图、全线布置图、部件装配图、工装夹具全套零件图纸等详细资料；对于进口设备，应有中外文资料说明。</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8、本条款所列的技术资料、图片、影像等，投标方应各提供4套，其中2套为电子版光（U）盘；每份技术文件应装有目录清单。</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9、本条款所列要求，如招标方认为投标方提供的资料不能满足要求时，有权要求投标方免费补充或增加。</w:t>
      </w:r>
    </w:p>
    <w:p>
      <w:pPr>
        <w:spacing w:line="480" w:lineRule="exact"/>
        <w:ind w:firstLine="420" w:firstLineChars="200"/>
        <w:rPr>
          <w:rFonts w:hint="eastAsia" w:ascii="宋体" w:hAnsi="宋体"/>
        </w:rPr>
      </w:pPr>
    </w:p>
    <w:p>
      <w:pPr>
        <w:pStyle w:val="4"/>
        <w:spacing w:before="120" w:after="120" w:line="480" w:lineRule="exact"/>
        <w:jc w:val="center"/>
        <w:rPr>
          <w:b w:val="0"/>
          <w:szCs w:val="24"/>
        </w:rPr>
      </w:pPr>
      <w:r>
        <w:rPr>
          <w:rFonts w:hint="eastAsia"/>
          <w:b w:val="0"/>
          <w:szCs w:val="24"/>
        </w:rPr>
        <w:t>第二节  供货方式</w:t>
      </w:r>
    </w:p>
    <w:p>
      <w:pPr>
        <w:spacing w:line="36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rPr>
        <w:t>一、供货地点：</w:t>
      </w:r>
      <w:r>
        <w:rPr>
          <w:rFonts w:hint="eastAsia" w:ascii="宋体" w:hAnsi="宋体" w:eastAsia="宋体" w:cs="宋体"/>
          <w:sz w:val="24"/>
          <w:szCs w:val="24"/>
        </w:rPr>
        <w:t>本项目建设工地。</w:t>
      </w:r>
    </w:p>
    <w:p>
      <w:pPr>
        <w:spacing w:line="360" w:lineRule="auto"/>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二、供货时间</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1、以交钥匙方式供货的，按照以下时间要求（安装调试工期超过10个日历日的，投标方应当随标书提供详细的工期计划）：</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1.1  自定标日起，</w:t>
      </w:r>
      <w:r>
        <w:rPr>
          <w:rFonts w:hint="eastAsia" w:ascii="宋体" w:hAnsi="宋体" w:eastAsia="宋体" w:cs="宋体"/>
          <w:sz w:val="24"/>
          <w:szCs w:val="24"/>
          <w:u w:val="single"/>
          <w:shd w:val="pct10" w:color="auto" w:fill="FFFFFF"/>
        </w:rPr>
        <w:t xml:space="preserve"> 50 </w:t>
      </w:r>
      <w:r>
        <w:rPr>
          <w:rFonts w:hint="eastAsia" w:ascii="宋体" w:hAnsi="宋体" w:eastAsia="宋体" w:cs="宋体"/>
          <w:sz w:val="24"/>
          <w:szCs w:val="24"/>
        </w:rPr>
        <w:t>个日历日之内交货至供货地点。</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1.2  接续</w:t>
      </w:r>
      <w:r>
        <w:rPr>
          <w:rFonts w:hint="eastAsia" w:ascii="宋体" w:hAnsi="宋体" w:eastAsia="宋体" w:cs="宋体"/>
          <w:sz w:val="24"/>
          <w:szCs w:val="24"/>
          <w:u w:val="single"/>
          <w:shd w:val="pct10" w:color="auto" w:fill="FFFFFF"/>
        </w:rPr>
        <w:t xml:space="preserve"> 7</w:t>
      </w:r>
      <w:r>
        <w:rPr>
          <w:rFonts w:hint="eastAsia" w:ascii="宋体" w:hAnsi="宋体" w:eastAsia="宋体" w:cs="宋体"/>
          <w:sz w:val="24"/>
          <w:szCs w:val="24"/>
        </w:rPr>
        <w:t>个日历日之内安装调试完毕。</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1.3  接续</w:t>
      </w:r>
      <w:r>
        <w:rPr>
          <w:rFonts w:hint="eastAsia" w:ascii="宋体" w:hAnsi="宋体" w:eastAsia="宋体" w:cs="宋体"/>
          <w:sz w:val="24"/>
          <w:szCs w:val="24"/>
          <w:u w:val="single"/>
          <w:shd w:val="pct10" w:color="auto" w:fill="FFFFFF"/>
        </w:rPr>
        <w:t xml:space="preserve"> 30  </w:t>
      </w:r>
      <w:r>
        <w:rPr>
          <w:rFonts w:hint="eastAsia" w:ascii="宋体" w:hAnsi="宋体" w:eastAsia="宋体" w:cs="宋体"/>
          <w:sz w:val="24"/>
          <w:szCs w:val="24"/>
        </w:rPr>
        <w:t>个日历日之内完成终验收。</w:t>
      </w:r>
    </w:p>
    <w:p>
      <w:pPr>
        <w:spacing w:line="360" w:lineRule="auto"/>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三、质保期及质保要求</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1、全部供货范围内的设备、材料、零配件和工器具等，除合同特别约定外，其质保期均自终验收签字生效之日起</w:t>
      </w:r>
      <w:r>
        <w:rPr>
          <w:rFonts w:hint="eastAsia" w:ascii="宋体" w:hAnsi="宋体" w:eastAsia="宋体" w:cs="宋体"/>
          <w:sz w:val="24"/>
          <w:szCs w:val="24"/>
          <w:u w:val="single"/>
          <w:shd w:val="pct10" w:color="auto" w:fill="FFFFFF"/>
        </w:rPr>
        <w:t xml:space="preserve">  12  </w:t>
      </w:r>
      <w:r>
        <w:rPr>
          <w:rFonts w:hint="eastAsia" w:ascii="宋体" w:hAnsi="宋体" w:eastAsia="宋体" w:cs="宋体"/>
          <w:sz w:val="24"/>
          <w:szCs w:val="24"/>
        </w:rPr>
        <w:t>个月。</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投标货物或涉及的关键总成和零件，如果有更长时间质保期，允许更改并说明，此将有利于投标方。</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2、质保期之内，如果设备出现设备、总成、关键零部件或者多处一般零部件的更换或维修行为，则质保期自更换或维修行为结束、设备重新正常运行使用之日起重新计算。</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3、质保期内免费提供零部件和及时有效的服务。质保期内因货物本身缺陷造成的各种故障，投标方应负责免费维修和服务。</w:t>
      </w:r>
    </w:p>
    <w:p>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4、质保期终止之日起18个月内重复出现的质保期之内出现的故障，仍属质保范围而且应当免费。</w:t>
      </w:r>
    </w:p>
    <w:p>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四、包装</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1、所提供设备的包装，应遵照国家标准和有关包装、包皮的技术条件，或按照最好的商业惯例进行包装。</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3、所提供设备的包装，应能防止其一般性被窃或受外力破坏；一般不得采用有大缝隙的板条包装。</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4、应对包装件做必要的加固和固定，以防止运输可能造成的损坏。</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5、每个包装件应有装箱单，并至少标明名称、型号规格、数量、净重和毛重、投标方（或供货商）名称和制造日期等相关内容。</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6、每个包装箱应有明显标志，并具有中文书写的合同号、装运标志、发货和到货地点名称、发货人和收货人名称、设备名称和项目号、箱号和外型尺寸等内容。</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7、应按照不同的装运要求在包装箱上标明“小心轻放”、“箭头向上”、“防潮”、“防磁”、“不准平放”等标志，以及其它适用的国标通用标志。</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8、包装箱应连续编号，不应出现重复编号。</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9、在不受到外界破坏情况下，包装应保证自交货日起一年内货物（或设备）完好无损。</w:t>
      </w:r>
    </w:p>
    <w:p>
      <w:pPr>
        <w:adjustRightInd w:val="0"/>
        <w:snapToGrid w:val="0"/>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五、运输</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1、应负责将设备运到目的地，并必须做到设备在任何运输过程中不受损坏和遗失。</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2、同批设备应统一包装、编号运输。</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3、一般情况下，经由铁路、公路运输的包装件尺寸和重量不应超过国家所规定的尺寸限制。特殊情况应予以说明。</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4、在每批设备发出后，应立即通知招标方；通知中应指明：合同号、货运单号、件数、重量和设备发出日期等相关内容。</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5、设备运抵交货地点后，应负责货物（或设备）的卸货、搬运、保管等事宜；或按照合同约定。</w:t>
      </w:r>
    </w:p>
    <w:p>
      <w:pPr>
        <w:pStyle w:val="2"/>
        <w:spacing w:before="120" w:after="120" w:line="480" w:lineRule="exact"/>
        <w:rPr>
          <w:rFonts w:hint="eastAsia" w:ascii="宋体" w:hAnsi="宋体" w:cs="宋体"/>
          <w:sz w:val="28"/>
          <w:szCs w:val="28"/>
        </w:rPr>
      </w:pPr>
      <w:r>
        <w:rPr>
          <w:rFonts w:ascii="宋体" w:hAnsi="宋体"/>
        </w:rPr>
        <w:br w:type="page"/>
      </w:r>
      <w:r>
        <w:rPr>
          <w:rFonts w:hint="eastAsia" w:ascii="宋体" w:hAnsi="宋体" w:cs="宋体"/>
          <w:sz w:val="28"/>
          <w:szCs w:val="28"/>
        </w:rPr>
        <w:t>第四章  售中售后服务</w:t>
      </w:r>
    </w:p>
    <w:p>
      <w:pPr>
        <w:adjustRightInd w:val="0"/>
        <w:snapToGrid w:val="0"/>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一、技术及培训服务</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1、应负责对招标方</w:t>
      </w:r>
      <w:r>
        <w:rPr>
          <w:rFonts w:hint="eastAsia" w:ascii="宋体" w:hAnsi="宋体" w:eastAsia="宋体" w:cs="宋体"/>
          <w:sz w:val="24"/>
          <w:szCs w:val="24"/>
          <w:u w:val="single"/>
          <w:shd w:val="pct10" w:color="auto" w:fill="FFFFFF"/>
        </w:rPr>
        <w:t xml:space="preserve">  1-2  </w:t>
      </w:r>
      <w:r>
        <w:rPr>
          <w:rFonts w:hint="eastAsia" w:ascii="宋体" w:hAnsi="宋体" w:eastAsia="宋体" w:cs="宋体"/>
          <w:sz w:val="24"/>
          <w:szCs w:val="24"/>
        </w:rPr>
        <w:t>名技术、维修和操作人员提供不少于</w:t>
      </w:r>
      <w:r>
        <w:rPr>
          <w:rFonts w:hint="eastAsia" w:ascii="宋体" w:hAnsi="宋体" w:eastAsia="宋体" w:cs="宋体"/>
          <w:sz w:val="24"/>
          <w:szCs w:val="24"/>
          <w:u w:val="single"/>
          <w:shd w:val="pct10" w:color="auto" w:fill="FFFFFF"/>
        </w:rPr>
        <w:t xml:space="preserve">   2  </w:t>
      </w:r>
      <w:r>
        <w:rPr>
          <w:rFonts w:hint="eastAsia" w:ascii="宋体" w:hAnsi="宋体" w:eastAsia="宋体" w:cs="宋体"/>
          <w:sz w:val="24"/>
          <w:szCs w:val="24"/>
        </w:rPr>
        <w:t>个日历日的免费的、招标方生产制造现场的理论、技术和操作、维修等方面的技术指导和培训</w:t>
      </w:r>
      <w:r>
        <w:rPr>
          <w:rFonts w:hint="eastAsia" w:ascii="宋体" w:hAnsi="宋体" w:eastAsia="宋体" w:cs="宋体"/>
          <w:sz w:val="24"/>
          <w:szCs w:val="24"/>
          <w:lang w:val="zh-CN"/>
        </w:rPr>
        <w:t>。</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2、应负责在招标方设备使用现场，进行1～2次免费的技术指导和培训，并接受招标方有关人员的技术咨询。</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3、应免费提供一定数量的培训资料。</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4、应按要求免费积极协助和提供招标方以及招标方所委托的工程设计单位有关人员所需要的、与设备有关的工程设计资料、技术咨询等。</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5、若投标方提供的设备涉及到外购外协货物、而且该货物的技术质量等较为关键时，投标方应能保证得到配套厂家的技术支持，并免费为招标方提供技术服务。</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负责制定对招标方人员在运行、维修和试验等方面的培训计划，并有专人负责实施培训计划，负责指导招标方受培训人员正确理解设计和制造意图，认识设备的特点和特性，掌握在运行、维修和使用管理中应遵守的规则等方面的综合知识。</w:t>
      </w:r>
    </w:p>
    <w:p>
      <w:pPr>
        <w:adjustRightInd w:val="0"/>
        <w:snapToGrid w:val="0"/>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二、安装调试及验收服务</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指导安装调试或负责安装调试以及协助验收，投标方均应在投标文件中明确其收费额或免费约定，否则视同免费；安装调试及验收服务均应按照合同约定或协议、通知及时组织并完成。因投标方原因造成的延期，所发生的费用全部由投标方承担。</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2、若投标方提供的设备涉及到外购外协货物、而且该货物的技术质量等较为关键时，应保证能得到供应商的技术支持，并免费为招标方提供安装使用现场的指导与培训。</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根据设备的要求，调试及验收可分空载和负载两个阶段进行；招标方将积极协助投标方达到设备的各项技术指标和性能要求。投标方在招标方现场进行的货物的安装、调试和试运行，招标方有权参与，投标方应无条件向招标方提供现场记录和试运行数据及报告。</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在投标方所提供设备需要得到招标方建设项目所在地政府或行业主管部门的查验、试验、验收时，投标方应当免费完成或协助招标方完成所需要的工作、材料和服务等。协助完成的，应当在投标文件报价内容中予以说明，否则视同免费。</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5、投标方应当向招标方提供货物试验、验收的有关标准、规范和方法，同时提供货物涉及并使用的软件合法性证明。</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6、服务缺陷视同货物缺陷和履约延期。</w:t>
      </w:r>
    </w:p>
    <w:p>
      <w:pPr>
        <w:adjustRightInd w:val="0"/>
        <w:snapToGrid w:val="0"/>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三、售后服务</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1、投标方提供的设备涉及的所有售后服务均由投标方负责。如果发生问题并且收到通知，投标方应当在2小时内予以答复。</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2、如发现所提供的设备存在问题，需要投标方解决或配合解决时：在质保期之内，应在接到通知后</w:t>
      </w:r>
      <w:r>
        <w:rPr>
          <w:rFonts w:hint="eastAsia" w:ascii="宋体" w:hAnsi="宋体" w:eastAsia="宋体" w:cs="宋体"/>
          <w:sz w:val="24"/>
          <w:szCs w:val="24"/>
          <w:u w:val="single"/>
          <w:shd w:val="pct10" w:color="auto" w:fill="FFFFFF"/>
        </w:rPr>
        <w:t xml:space="preserve">  24    </w:t>
      </w:r>
      <w:r>
        <w:rPr>
          <w:rFonts w:hint="eastAsia" w:ascii="宋体" w:hAnsi="宋体" w:eastAsia="宋体" w:cs="宋体"/>
          <w:sz w:val="24"/>
          <w:szCs w:val="24"/>
        </w:rPr>
        <w:t>小时内派有关人员到达现场；在质保期之外，应在接到通知后</w:t>
      </w:r>
      <w:r>
        <w:rPr>
          <w:rFonts w:hint="eastAsia" w:ascii="宋体" w:hAnsi="宋体" w:eastAsia="宋体" w:cs="宋体"/>
          <w:sz w:val="24"/>
          <w:szCs w:val="24"/>
          <w:u w:val="single"/>
          <w:shd w:val="pct10" w:color="auto" w:fill="FFFFFF"/>
        </w:rPr>
        <w:t xml:space="preserve">  24   </w:t>
      </w:r>
      <w:r>
        <w:rPr>
          <w:rFonts w:hint="eastAsia" w:ascii="宋体" w:hAnsi="宋体" w:eastAsia="宋体" w:cs="宋体"/>
          <w:sz w:val="24"/>
          <w:szCs w:val="24"/>
        </w:rPr>
        <w:t>小时内派有关人员到达现场。</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3、投标方派往招标方使用现场的人员，应具有较高的业务素质；现场解决问题时，不得无故拖延或推迟，应为招标方提供最佳的服务。</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四、其它服务</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1、若投标方所提供设备有需要进口的，投标方一般应自行、自费办理；必要时，买卖双方共同办理。</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2、除招标文件、投标文件、答疑文件、技术协议、合同等约定之外，投标方应免费负责必要的或强制性的设备的检验、试验、化验等直接费用。</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3、本章节条款所列“免费”，并非指定不可收费，而是指招标文件、投标文件、答疑文件、技术交流文件、技术协议书和合同等范围之外，投标方不可另行收取的费用。</w:t>
      </w:r>
    </w:p>
    <w:p>
      <w:pPr>
        <w:spacing w:line="360" w:lineRule="auto"/>
        <w:ind w:firstLine="480" w:firstLineChars="200"/>
        <w:rPr>
          <w:rFonts w:hint="eastAsia" w:ascii="宋体" w:hAnsi="宋体" w:eastAsia="宋体" w:cs="宋体"/>
          <w:sz w:val="24"/>
          <w:szCs w:val="24"/>
        </w:rPr>
      </w:pPr>
    </w:p>
    <w:p>
      <w:pPr>
        <w:pStyle w:val="2"/>
        <w:spacing w:before="120" w:after="120" w:line="480" w:lineRule="exact"/>
        <w:rPr>
          <w:rFonts w:hint="eastAsia" w:ascii="宋体" w:hAnsi="宋体" w:cs="宋体"/>
          <w:bCs w:val="0"/>
          <w:sz w:val="28"/>
          <w:szCs w:val="28"/>
        </w:rPr>
      </w:pPr>
      <w:r>
        <w:rPr>
          <w:rFonts w:ascii="宋体" w:hAnsi="宋体"/>
        </w:rPr>
        <w:br w:type="page"/>
      </w:r>
      <w:r>
        <w:rPr>
          <w:rFonts w:hint="eastAsia" w:ascii="宋体" w:hAnsi="宋体" w:cs="宋体"/>
          <w:bCs w:val="0"/>
          <w:sz w:val="28"/>
          <w:szCs w:val="28"/>
        </w:rPr>
        <w:t>第五章  预验收和终验收</w:t>
      </w:r>
    </w:p>
    <w:p>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一、验收的一般约定</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1、验收标准一般以技术协议书和合同规定验收。</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2、如果验收过程中，发现招标文件、投标文件、答疑文件、技术交流文件等与技术协议书、合同存在差异，原则上以涉及条款中对招标方最有利条款为验收依据。</w:t>
      </w:r>
    </w:p>
    <w:p>
      <w:pPr>
        <w:adjustRightInd w:val="0"/>
        <w:snapToGrid w:val="0"/>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二、检验</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1、国产货物的检验由买卖双方按照合同要求或在制造现场进行。</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2、进口货物的检验，投标方需要按照下述要求进行：</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2.1  进口货物发货前，应对货物的质量、型号、规格、性能和数量/重量作精密、全面的检验，并出具证明书，证明所供货物符合合同规定。</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2.2  应依据合同规定的要求，提供买卖双方达成一致的货物的验收标准和装箱单，作为招标方检验的依据。</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2.3  进口货物到达目的地后，招标方有权申请中国商品检验检疫局进行检验，如发现货物的品质及规格与合同或发票不符，除招标方的责任外，招标方有权在货物到达卸货目的地后180个日历日内，根据中国商品检验检疫局出具的证明书向投标方提出索赔，因索赔所发生的一切费用(包括检验检疫费等)均由投标方承担。</w:t>
      </w:r>
    </w:p>
    <w:p>
      <w:pPr>
        <w:adjustRightInd w:val="0"/>
        <w:snapToGrid w:val="0"/>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三、验收基本条件</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验收一般分预验收和终验收两部分。预验收一般在投标方现场进行，终验收在安装调试完成及试运行后的招标方现场进行。但是所有的项目，包括不能预验收的项目和预验收通过的项目都在终验收时重新检验，最终只以终验收为准。</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买卖双方按照合同约定执行了合同，同时设备完成了试运行并经检验合格，则具备验收条件。</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1、预验收一般条件</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1.1  投标方已经按照“供货范围”要求提供了预验收资料，并且资料齐全、完整和有效。</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1.2  设备应完整且所有的零部件应该安装牢固，外观无损伤，所有的焊缝饱满、无残渣等缺陷。</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1.3  一般情况下，所有的管路和线缆等，接头应完全正确、可靠地联接；应排列有序（正确、牢固、整齐），有必要的防护，无皱褶、收缩和裂缝等不良现象。</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1.4  设备的润滑系统工作正常、可靠，润滑点易于到达。</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1.5  使用的压力容器、电气等应具备合格证（如果有压力容器）。</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1.6 设备的油漆质量应饱满、有光泽，无掉漆、无色差、无“桔皮”等不良现象（特殊标志除外）。</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1.7 设备标牌完整、清晰、明确。</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1.8  地线联接和地极符合国际（ISO/IEC）标准规范。</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1.9  设备的安全要求符合中国最新的相关法律、法规、标准和规范以及合同要求。</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2、终验收一般条件</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2.1  经过预验收而且没有出现新的质量问题，或者满足预验收条款。</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2.2  设备安装调试完毕，并至少经过了验收要求的负荷试运行。</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2.3  设备正常运行时，噪声等环境影响因素满足国家和当地环保主管部门规定，安全措施落实、有效。</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2.4  计量仪器、仪表配套合理，采用中国的法定计量单位，计量准确、灵敏可靠。保证设计指标和仪器说明书的参数的实现。</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2.5  试运行期间或之后无维修、调整等行为（特殊情况除外）。</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2.6 设备质量、技术性能等，达到签定的技术协议书和合同规定的终验收标准。</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3、终验收基本要求</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3.1  所有供货清单符合合同要求。</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3.2  设备配置及功能与技术协议无偏离。</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3.3  出现下列问题之一，视作验收失败：</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3.3.1  在整个验收过程中发生关键零部件损坏或重大故障；</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3.3.2  一般性故障超过</w:t>
      </w:r>
      <w:r>
        <w:rPr>
          <w:rFonts w:hint="eastAsia" w:ascii="宋体" w:hAnsi="宋体" w:eastAsia="宋体" w:cs="宋体"/>
          <w:sz w:val="24"/>
          <w:szCs w:val="24"/>
          <w:u w:val="single"/>
          <w:shd w:val="pct10" w:color="auto" w:fill="FFFFFF"/>
        </w:rPr>
        <w:t xml:space="preserve">   3    </w:t>
      </w:r>
      <w:r>
        <w:rPr>
          <w:rFonts w:hint="eastAsia" w:ascii="宋体" w:hAnsi="宋体" w:eastAsia="宋体" w:cs="宋体"/>
          <w:sz w:val="24"/>
          <w:szCs w:val="24"/>
        </w:rPr>
        <w:t>次；</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3.3.3  所有出现的维修调整，每次时间均不超过</w:t>
      </w:r>
      <w:r>
        <w:rPr>
          <w:rFonts w:hint="eastAsia" w:ascii="宋体" w:hAnsi="宋体" w:eastAsia="宋体" w:cs="宋体"/>
          <w:sz w:val="24"/>
          <w:szCs w:val="24"/>
          <w:u w:val="single"/>
          <w:shd w:val="pct10" w:color="auto" w:fill="FFFFFF"/>
        </w:rPr>
        <w:t xml:space="preserve">   30    </w:t>
      </w:r>
      <w:r>
        <w:rPr>
          <w:rFonts w:hint="eastAsia" w:ascii="宋体" w:hAnsi="宋体" w:eastAsia="宋体" w:cs="宋体"/>
          <w:sz w:val="24"/>
          <w:szCs w:val="24"/>
        </w:rPr>
        <w:t>分钟；所有维修调整时间的总和不超过总运行时间的</w:t>
      </w:r>
      <w:r>
        <w:rPr>
          <w:rFonts w:hint="eastAsia" w:ascii="宋体" w:hAnsi="宋体" w:eastAsia="宋体" w:cs="宋体"/>
          <w:sz w:val="24"/>
          <w:szCs w:val="24"/>
          <w:u w:val="single"/>
          <w:shd w:val="pct10" w:color="auto" w:fill="FFFFFF"/>
        </w:rPr>
        <w:t xml:space="preserve">   2    </w:t>
      </w:r>
      <w:r>
        <w:rPr>
          <w:rFonts w:hint="eastAsia" w:ascii="宋体" w:hAnsi="宋体" w:eastAsia="宋体" w:cs="宋体"/>
          <w:sz w:val="24"/>
          <w:szCs w:val="24"/>
        </w:rPr>
        <w:t>%；</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3.3.4  更换的零部件货值不超过总货值的</w:t>
      </w:r>
      <w:r>
        <w:rPr>
          <w:rFonts w:hint="eastAsia" w:ascii="宋体" w:hAnsi="宋体" w:eastAsia="宋体" w:cs="宋体"/>
          <w:sz w:val="24"/>
          <w:szCs w:val="24"/>
          <w:u w:val="single"/>
          <w:shd w:val="pct10" w:color="auto" w:fill="FFFFFF"/>
        </w:rPr>
        <w:t xml:space="preserve">   2  </w:t>
      </w:r>
      <w:r>
        <w:rPr>
          <w:rFonts w:hint="eastAsia" w:ascii="宋体" w:hAnsi="宋体" w:eastAsia="宋体" w:cs="宋体"/>
          <w:sz w:val="24"/>
          <w:szCs w:val="24"/>
        </w:rPr>
        <w:t>%；</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3.4  累计负载运行实际性能达到合同规定；</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3.5  终验收内容包括以下内容：</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3.5.1终验收在招标方车间进行，验收内容包括但不限于设备资料、培训、设备配置、生产节拍、工期、重复定位精度。</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3.5.2 投标方在终验收时需提交一份预验收时发现的缺陷和设备故障确认完成整改的汇总表，列入终验收报告。</w:t>
      </w:r>
    </w:p>
    <w:p>
      <w:pPr>
        <w:tabs>
          <w:tab w:val="left" w:pos="1260"/>
        </w:tabs>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3.5.3存在影响节拍、装配质量、安全的缺陷，投标方应及时整改，整改合格后验收和移交。当由于招标方原因影响终验收进度时，则移交日期相应顺延。</w:t>
      </w:r>
    </w:p>
    <w:p>
      <w:pPr>
        <w:pStyle w:val="18"/>
        <w:spacing w:line="360" w:lineRule="auto"/>
        <w:ind w:firstLine="480" w:firstLineChars="200"/>
        <w:rPr>
          <w:rFonts w:hint="eastAsia" w:hAnsi="宋体" w:eastAsia="宋体" w:cs="宋体"/>
          <w:sz w:val="24"/>
          <w:szCs w:val="24"/>
        </w:rPr>
      </w:pPr>
      <w:r>
        <w:rPr>
          <w:rFonts w:hint="eastAsia" w:hAnsi="宋体" w:eastAsia="宋体" w:cs="宋体"/>
          <w:sz w:val="24"/>
          <w:szCs w:val="24"/>
        </w:rPr>
        <w:t>3.6</w:t>
      </w:r>
      <w:r>
        <w:rPr>
          <w:rFonts w:hint="eastAsia" w:hAnsi="宋体" w:eastAsia="宋体" w:cs="宋体"/>
          <w:sz w:val="24"/>
          <w:szCs w:val="24"/>
          <w:lang w:val="en-US" w:eastAsia="zh-CN"/>
        </w:rPr>
        <w:t xml:space="preserve">  </w:t>
      </w:r>
      <w:r>
        <w:rPr>
          <w:rFonts w:hint="eastAsia" w:hAnsi="宋体" w:eastAsia="宋体" w:cs="宋体"/>
          <w:sz w:val="24"/>
          <w:szCs w:val="24"/>
        </w:rPr>
        <w:t>满足国家、省、市级法定计量检测机构等法定计量检测机构要求，并出具检定、校准报告。</w:t>
      </w:r>
    </w:p>
    <w:p>
      <w:pPr>
        <w:pStyle w:val="18"/>
        <w:spacing w:line="360" w:lineRule="auto"/>
        <w:ind w:firstLine="480" w:firstLineChars="200"/>
        <w:rPr>
          <w:rFonts w:hint="default" w:hAnsi="宋体" w:eastAsia="宋体" w:cs="宋体"/>
          <w:sz w:val="24"/>
          <w:szCs w:val="24"/>
          <w:lang w:val="en-US" w:eastAsia="zh-CN"/>
        </w:rPr>
      </w:pPr>
      <w:r>
        <w:rPr>
          <w:rFonts w:hint="eastAsia" w:ascii="宋体" w:hAnsi="宋体" w:eastAsia="宋体" w:cs="宋体"/>
          <w:sz w:val="24"/>
          <w:szCs w:val="24"/>
          <w:lang w:val="en-US" w:eastAsia="zh-CN"/>
        </w:rPr>
        <w:t>3.7  圆角粗糙度检测仪应符合IATF16949中配套MSA要求对工件圆角粗糙度进行检测</w:t>
      </w:r>
      <w:r>
        <w:rPr>
          <w:rFonts w:hint="eastAsia" w:hAnsi="宋体" w:eastAsia="宋体" w:cs="宋体"/>
          <w:sz w:val="24"/>
          <w:szCs w:val="24"/>
        </w:rPr>
        <w:t>。</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val="en-US" w:eastAsia="zh-CN"/>
        </w:rPr>
        <w:t>8</w:t>
      </w:r>
      <w:r>
        <w:rPr>
          <w:rFonts w:hint="eastAsia" w:ascii="宋体" w:hAnsi="宋体" w:eastAsia="宋体" w:cs="宋体"/>
          <w:sz w:val="24"/>
          <w:szCs w:val="24"/>
        </w:rPr>
        <w:t xml:space="preserve">  终验收原则上要求一次完成。若一次验收不成功，最多允许两次；如果出现第三次验收失败，重新作价或退货；</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val="en-US" w:eastAsia="zh-CN"/>
        </w:rPr>
        <w:t>9</w:t>
      </w:r>
      <w:r>
        <w:rPr>
          <w:rFonts w:hint="eastAsia" w:ascii="宋体" w:hAnsi="宋体" w:eastAsia="宋体" w:cs="宋体"/>
          <w:sz w:val="24"/>
          <w:szCs w:val="24"/>
        </w:rPr>
        <w:t xml:space="preserve">  终验收通过后买卖双方共同签署终验收报告，并移交、核对全部供货范围内物品。</w:t>
      </w:r>
    </w:p>
    <w:p>
      <w:pPr>
        <w:spacing w:line="480" w:lineRule="exact"/>
        <w:ind w:firstLine="420" w:firstLineChars="200"/>
        <w:rPr>
          <w:rFonts w:hint="eastAsia" w:ascii="宋体" w:hAnsi="宋体"/>
        </w:rPr>
      </w:pPr>
    </w:p>
    <w:p>
      <w:pPr>
        <w:pStyle w:val="2"/>
        <w:spacing w:before="120" w:after="120" w:line="480" w:lineRule="exact"/>
        <w:rPr>
          <w:rFonts w:hint="eastAsia" w:ascii="宋体" w:hAnsi="宋体" w:cs="宋体"/>
          <w:bCs w:val="0"/>
          <w:sz w:val="28"/>
          <w:szCs w:val="28"/>
        </w:rPr>
      </w:pPr>
      <w:r>
        <w:rPr>
          <w:rFonts w:ascii="宋体" w:hAnsi="宋体"/>
        </w:rPr>
        <w:br w:type="page"/>
      </w:r>
      <w:r>
        <w:rPr>
          <w:rFonts w:hint="eastAsia" w:ascii="宋体" w:hAnsi="宋体" w:cs="宋体"/>
          <w:bCs w:val="0"/>
          <w:sz w:val="28"/>
          <w:szCs w:val="28"/>
        </w:rPr>
        <w:t>第六章  投标技术文件一般要求</w:t>
      </w:r>
    </w:p>
    <w:p>
      <w:pPr>
        <w:adjustRightInd w:val="0"/>
        <w:snapToGrid w:val="0"/>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一、技术文件一般内容要求</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1、投标方应认真阅读招标文件和本技术标书，并按要求编写投标技术文件。</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2、投标技术文件至少应对投标设备的功能用途、技术性能、质量标准、技术参数等作出详细说明。</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3、投标技术文件至少应根据投标设备的关键设备、总成、零部件或系统作出优越性说明。</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4、投标技术文件至少应按照招标文件要求（或投标方建议）列明备品备件、易损件和专用耗材明细。</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5、投标方应当而且必须分别说明所列备品备件、易损件和专用耗材的使用寿命（以有效工作小时数说明）。</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6、投标的设备，应当根据其配置和备品备件、易损件、专用耗材情况，尽可能详细且分类填入下表：</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6.1  投标设备配置一览表：</w:t>
      </w:r>
    </w:p>
    <w:p>
      <w:pPr>
        <w:adjustRightInd w:val="0"/>
        <w:snapToGrid w:val="0"/>
        <w:spacing w:line="460" w:lineRule="exact"/>
        <w:ind w:firstLine="1890" w:firstLineChars="900"/>
        <w:rPr>
          <w:rFonts w:hint="eastAsia" w:ascii="宋体" w:hAnsi="宋体" w:eastAsia="宋体" w:cs="宋体"/>
          <w:highlight w:val="red"/>
        </w:rPr>
      </w:pPr>
      <w:r>
        <w:rPr>
          <w:rFonts w:hint="eastAsia" w:ascii="宋体" w:hAnsi="宋体" w:eastAsia="宋体" w:cs="宋体"/>
        </w:rPr>
        <w:t>投标货物配置一览表          单位：元</w:t>
      </w:r>
    </w:p>
    <w:tbl>
      <w:tblPr>
        <w:tblStyle w:val="3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972"/>
        <w:gridCol w:w="887"/>
        <w:gridCol w:w="1816"/>
      </w:tblGrid>
      <w:tr>
        <w:trPr>
          <w:trHeight w:val="512" w:hRule="atLeast"/>
        </w:trPr>
        <w:tc>
          <w:tcPr>
            <w:tcW w:w="816"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序号</w:t>
            </w:r>
          </w:p>
        </w:tc>
        <w:tc>
          <w:tcPr>
            <w:tcW w:w="1924"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名称</w:t>
            </w:r>
          </w:p>
        </w:tc>
        <w:tc>
          <w:tcPr>
            <w:tcW w:w="1236"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型号规格</w:t>
            </w:r>
          </w:p>
        </w:tc>
        <w:tc>
          <w:tcPr>
            <w:tcW w:w="720"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单位</w:t>
            </w:r>
          </w:p>
        </w:tc>
        <w:tc>
          <w:tcPr>
            <w:tcW w:w="720"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数量</w:t>
            </w:r>
          </w:p>
        </w:tc>
        <w:tc>
          <w:tcPr>
            <w:tcW w:w="972"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单价</w:t>
            </w:r>
          </w:p>
        </w:tc>
        <w:tc>
          <w:tcPr>
            <w:tcW w:w="887"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总价</w:t>
            </w:r>
          </w:p>
        </w:tc>
        <w:tc>
          <w:tcPr>
            <w:tcW w:w="1816"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制造商</w:t>
            </w:r>
          </w:p>
        </w:tc>
      </w:tr>
      <w:tr>
        <w:tc>
          <w:tcPr>
            <w:tcW w:w="816" w:type="dxa"/>
          </w:tcPr>
          <w:p>
            <w:pPr>
              <w:adjustRightInd w:val="0"/>
              <w:snapToGrid w:val="0"/>
              <w:spacing w:line="360" w:lineRule="exact"/>
              <w:jc w:val="center"/>
              <w:rPr>
                <w:rFonts w:hint="eastAsia" w:ascii="宋体" w:hAnsi="宋体" w:eastAsia="宋体" w:cs="宋体"/>
                <w:highlight w:val="red"/>
              </w:rPr>
            </w:pPr>
          </w:p>
        </w:tc>
        <w:tc>
          <w:tcPr>
            <w:tcW w:w="1924" w:type="dxa"/>
          </w:tcPr>
          <w:p>
            <w:pPr>
              <w:adjustRightInd w:val="0"/>
              <w:snapToGrid w:val="0"/>
              <w:spacing w:line="360" w:lineRule="exact"/>
              <w:rPr>
                <w:rFonts w:hint="eastAsia" w:ascii="宋体" w:hAnsi="宋体" w:eastAsia="宋体" w:cs="宋体"/>
                <w:highlight w:val="red"/>
              </w:rPr>
            </w:pPr>
          </w:p>
        </w:tc>
        <w:tc>
          <w:tcPr>
            <w:tcW w:w="1236" w:type="dxa"/>
          </w:tcPr>
          <w:p>
            <w:pPr>
              <w:adjustRightInd w:val="0"/>
              <w:snapToGrid w:val="0"/>
              <w:spacing w:line="360" w:lineRule="exact"/>
              <w:jc w:val="center"/>
              <w:rPr>
                <w:rFonts w:hint="eastAsia" w:ascii="宋体" w:hAnsi="宋体" w:eastAsia="宋体" w:cs="宋体"/>
                <w:highlight w:val="red"/>
              </w:rPr>
            </w:pPr>
          </w:p>
        </w:tc>
        <w:tc>
          <w:tcPr>
            <w:tcW w:w="720" w:type="dxa"/>
          </w:tcPr>
          <w:p>
            <w:pPr>
              <w:adjustRightInd w:val="0"/>
              <w:snapToGrid w:val="0"/>
              <w:spacing w:line="360" w:lineRule="exact"/>
              <w:jc w:val="center"/>
              <w:rPr>
                <w:rFonts w:hint="eastAsia" w:ascii="宋体" w:hAnsi="宋体" w:eastAsia="宋体" w:cs="宋体"/>
                <w:highlight w:val="red"/>
              </w:rPr>
            </w:pPr>
          </w:p>
        </w:tc>
        <w:tc>
          <w:tcPr>
            <w:tcW w:w="720" w:type="dxa"/>
          </w:tcPr>
          <w:p>
            <w:pPr>
              <w:adjustRightInd w:val="0"/>
              <w:snapToGrid w:val="0"/>
              <w:spacing w:line="360" w:lineRule="exact"/>
              <w:jc w:val="center"/>
              <w:rPr>
                <w:rFonts w:hint="eastAsia" w:ascii="宋体" w:hAnsi="宋体" w:eastAsia="宋体" w:cs="宋体"/>
                <w:highlight w:val="red"/>
              </w:rPr>
            </w:pPr>
          </w:p>
        </w:tc>
        <w:tc>
          <w:tcPr>
            <w:tcW w:w="972" w:type="dxa"/>
          </w:tcPr>
          <w:p>
            <w:pPr>
              <w:adjustRightInd w:val="0"/>
              <w:snapToGrid w:val="0"/>
              <w:spacing w:line="360" w:lineRule="exact"/>
              <w:jc w:val="center"/>
              <w:rPr>
                <w:rFonts w:hint="eastAsia" w:ascii="宋体" w:hAnsi="宋体" w:eastAsia="宋体" w:cs="宋体"/>
                <w:highlight w:val="red"/>
              </w:rPr>
            </w:pPr>
          </w:p>
        </w:tc>
        <w:tc>
          <w:tcPr>
            <w:tcW w:w="887" w:type="dxa"/>
          </w:tcPr>
          <w:p>
            <w:pPr>
              <w:adjustRightInd w:val="0"/>
              <w:snapToGrid w:val="0"/>
              <w:spacing w:line="360" w:lineRule="exact"/>
              <w:jc w:val="center"/>
              <w:rPr>
                <w:rFonts w:hint="eastAsia" w:ascii="宋体" w:hAnsi="宋体" w:eastAsia="宋体" w:cs="宋体"/>
                <w:highlight w:val="red"/>
              </w:rPr>
            </w:pPr>
          </w:p>
        </w:tc>
        <w:tc>
          <w:tcPr>
            <w:tcW w:w="1816" w:type="dxa"/>
          </w:tcPr>
          <w:p>
            <w:pPr>
              <w:adjustRightInd w:val="0"/>
              <w:snapToGrid w:val="0"/>
              <w:spacing w:line="360" w:lineRule="exact"/>
              <w:jc w:val="center"/>
              <w:rPr>
                <w:rFonts w:hint="eastAsia" w:ascii="宋体" w:hAnsi="宋体" w:eastAsia="宋体" w:cs="宋体"/>
                <w:highlight w:val="red"/>
              </w:rPr>
            </w:pPr>
          </w:p>
        </w:tc>
      </w:tr>
      <w:tr>
        <w:tc>
          <w:tcPr>
            <w:tcW w:w="816" w:type="dxa"/>
          </w:tcPr>
          <w:p>
            <w:pPr>
              <w:adjustRightInd w:val="0"/>
              <w:snapToGrid w:val="0"/>
              <w:spacing w:line="360" w:lineRule="exact"/>
              <w:jc w:val="center"/>
              <w:rPr>
                <w:rFonts w:hint="eastAsia" w:ascii="宋体" w:hAnsi="宋体" w:eastAsia="宋体" w:cs="宋体"/>
                <w:highlight w:val="red"/>
              </w:rPr>
            </w:pPr>
          </w:p>
        </w:tc>
        <w:tc>
          <w:tcPr>
            <w:tcW w:w="1924" w:type="dxa"/>
          </w:tcPr>
          <w:p>
            <w:pPr>
              <w:adjustRightInd w:val="0"/>
              <w:snapToGrid w:val="0"/>
              <w:spacing w:line="360" w:lineRule="exact"/>
              <w:rPr>
                <w:rFonts w:hint="eastAsia" w:ascii="宋体" w:hAnsi="宋体" w:eastAsia="宋体" w:cs="宋体"/>
                <w:highlight w:val="red"/>
              </w:rPr>
            </w:pPr>
          </w:p>
        </w:tc>
        <w:tc>
          <w:tcPr>
            <w:tcW w:w="1236" w:type="dxa"/>
          </w:tcPr>
          <w:p>
            <w:pPr>
              <w:adjustRightInd w:val="0"/>
              <w:snapToGrid w:val="0"/>
              <w:spacing w:line="360" w:lineRule="exact"/>
              <w:jc w:val="center"/>
              <w:rPr>
                <w:rFonts w:hint="eastAsia" w:ascii="宋体" w:hAnsi="宋体" w:eastAsia="宋体" w:cs="宋体"/>
                <w:highlight w:val="red"/>
              </w:rPr>
            </w:pPr>
          </w:p>
        </w:tc>
        <w:tc>
          <w:tcPr>
            <w:tcW w:w="720" w:type="dxa"/>
          </w:tcPr>
          <w:p>
            <w:pPr>
              <w:adjustRightInd w:val="0"/>
              <w:snapToGrid w:val="0"/>
              <w:spacing w:line="360" w:lineRule="exact"/>
              <w:jc w:val="center"/>
              <w:rPr>
                <w:rFonts w:hint="eastAsia" w:ascii="宋体" w:hAnsi="宋体" w:eastAsia="宋体" w:cs="宋体"/>
                <w:highlight w:val="red"/>
              </w:rPr>
            </w:pPr>
          </w:p>
        </w:tc>
        <w:tc>
          <w:tcPr>
            <w:tcW w:w="720" w:type="dxa"/>
          </w:tcPr>
          <w:p>
            <w:pPr>
              <w:adjustRightInd w:val="0"/>
              <w:snapToGrid w:val="0"/>
              <w:spacing w:line="360" w:lineRule="exact"/>
              <w:jc w:val="center"/>
              <w:rPr>
                <w:rFonts w:hint="eastAsia" w:ascii="宋体" w:hAnsi="宋体" w:eastAsia="宋体" w:cs="宋体"/>
                <w:highlight w:val="red"/>
              </w:rPr>
            </w:pPr>
          </w:p>
        </w:tc>
        <w:tc>
          <w:tcPr>
            <w:tcW w:w="972" w:type="dxa"/>
          </w:tcPr>
          <w:p>
            <w:pPr>
              <w:adjustRightInd w:val="0"/>
              <w:snapToGrid w:val="0"/>
              <w:spacing w:line="360" w:lineRule="exact"/>
              <w:jc w:val="center"/>
              <w:rPr>
                <w:rFonts w:hint="eastAsia" w:ascii="宋体" w:hAnsi="宋体" w:eastAsia="宋体" w:cs="宋体"/>
                <w:highlight w:val="red"/>
              </w:rPr>
            </w:pPr>
          </w:p>
        </w:tc>
        <w:tc>
          <w:tcPr>
            <w:tcW w:w="887" w:type="dxa"/>
          </w:tcPr>
          <w:p>
            <w:pPr>
              <w:adjustRightInd w:val="0"/>
              <w:snapToGrid w:val="0"/>
              <w:spacing w:line="360" w:lineRule="exact"/>
              <w:jc w:val="center"/>
              <w:rPr>
                <w:rFonts w:hint="eastAsia" w:ascii="宋体" w:hAnsi="宋体" w:eastAsia="宋体" w:cs="宋体"/>
                <w:highlight w:val="red"/>
              </w:rPr>
            </w:pPr>
          </w:p>
        </w:tc>
        <w:tc>
          <w:tcPr>
            <w:tcW w:w="1816" w:type="dxa"/>
          </w:tcPr>
          <w:p>
            <w:pPr>
              <w:adjustRightInd w:val="0"/>
              <w:snapToGrid w:val="0"/>
              <w:spacing w:line="360" w:lineRule="exact"/>
              <w:jc w:val="center"/>
              <w:rPr>
                <w:rFonts w:hint="eastAsia" w:ascii="宋体" w:hAnsi="宋体" w:eastAsia="宋体" w:cs="宋体"/>
                <w:highlight w:val="red"/>
              </w:rPr>
            </w:pPr>
          </w:p>
        </w:tc>
      </w:tr>
      <w:tr>
        <w:tc>
          <w:tcPr>
            <w:tcW w:w="816" w:type="dxa"/>
          </w:tcPr>
          <w:p>
            <w:pPr>
              <w:adjustRightInd w:val="0"/>
              <w:snapToGrid w:val="0"/>
              <w:spacing w:line="360" w:lineRule="exact"/>
              <w:jc w:val="center"/>
              <w:rPr>
                <w:rFonts w:hint="eastAsia" w:ascii="宋体" w:hAnsi="宋体" w:eastAsia="宋体" w:cs="宋体"/>
                <w:highlight w:val="red"/>
              </w:rPr>
            </w:pPr>
          </w:p>
        </w:tc>
        <w:tc>
          <w:tcPr>
            <w:tcW w:w="1924" w:type="dxa"/>
          </w:tcPr>
          <w:p>
            <w:pPr>
              <w:adjustRightInd w:val="0"/>
              <w:snapToGrid w:val="0"/>
              <w:spacing w:line="360" w:lineRule="exact"/>
              <w:rPr>
                <w:rFonts w:hint="eastAsia" w:ascii="宋体" w:hAnsi="宋体" w:eastAsia="宋体" w:cs="宋体"/>
                <w:highlight w:val="red"/>
              </w:rPr>
            </w:pPr>
          </w:p>
        </w:tc>
        <w:tc>
          <w:tcPr>
            <w:tcW w:w="1236" w:type="dxa"/>
          </w:tcPr>
          <w:p>
            <w:pPr>
              <w:adjustRightInd w:val="0"/>
              <w:snapToGrid w:val="0"/>
              <w:spacing w:line="360" w:lineRule="exact"/>
              <w:jc w:val="center"/>
              <w:rPr>
                <w:rFonts w:hint="eastAsia" w:ascii="宋体" w:hAnsi="宋体" w:eastAsia="宋体" w:cs="宋体"/>
                <w:highlight w:val="red"/>
              </w:rPr>
            </w:pPr>
          </w:p>
        </w:tc>
        <w:tc>
          <w:tcPr>
            <w:tcW w:w="720" w:type="dxa"/>
          </w:tcPr>
          <w:p>
            <w:pPr>
              <w:adjustRightInd w:val="0"/>
              <w:snapToGrid w:val="0"/>
              <w:spacing w:line="360" w:lineRule="exact"/>
              <w:jc w:val="center"/>
              <w:rPr>
                <w:rFonts w:hint="eastAsia" w:ascii="宋体" w:hAnsi="宋体" w:eastAsia="宋体" w:cs="宋体"/>
                <w:highlight w:val="red"/>
              </w:rPr>
            </w:pPr>
          </w:p>
        </w:tc>
        <w:tc>
          <w:tcPr>
            <w:tcW w:w="720" w:type="dxa"/>
          </w:tcPr>
          <w:p>
            <w:pPr>
              <w:adjustRightInd w:val="0"/>
              <w:snapToGrid w:val="0"/>
              <w:spacing w:line="360" w:lineRule="exact"/>
              <w:jc w:val="center"/>
              <w:rPr>
                <w:rFonts w:hint="eastAsia" w:ascii="宋体" w:hAnsi="宋体" w:eastAsia="宋体" w:cs="宋体"/>
                <w:highlight w:val="red"/>
              </w:rPr>
            </w:pPr>
          </w:p>
        </w:tc>
        <w:tc>
          <w:tcPr>
            <w:tcW w:w="972" w:type="dxa"/>
          </w:tcPr>
          <w:p>
            <w:pPr>
              <w:adjustRightInd w:val="0"/>
              <w:snapToGrid w:val="0"/>
              <w:spacing w:line="360" w:lineRule="exact"/>
              <w:jc w:val="center"/>
              <w:rPr>
                <w:rFonts w:hint="eastAsia" w:ascii="宋体" w:hAnsi="宋体" w:eastAsia="宋体" w:cs="宋体"/>
                <w:highlight w:val="red"/>
              </w:rPr>
            </w:pPr>
          </w:p>
        </w:tc>
        <w:tc>
          <w:tcPr>
            <w:tcW w:w="887" w:type="dxa"/>
          </w:tcPr>
          <w:p>
            <w:pPr>
              <w:adjustRightInd w:val="0"/>
              <w:snapToGrid w:val="0"/>
              <w:spacing w:line="360" w:lineRule="exact"/>
              <w:jc w:val="center"/>
              <w:rPr>
                <w:rFonts w:hint="eastAsia" w:ascii="宋体" w:hAnsi="宋体" w:eastAsia="宋体" w:cs="宋体"/>
                <w:highlight w:val="red"/>
              </w:rPr>
            </w:pPr>
          </w:p>
        </w:tc>
        <w:tc>
          <w:tcPr>
            <w:tcW w:w="1816" w:type="dxa"/>
          </w:tcPr>
          <w:p>
            <w:pPr>
              <w:adjustRightInd w:val="0"/>
              <w:snapToGrid w:val="0"/>
              <w:spacing w:line="360" w:lineRule="exact"/>
              <w:jc w:val="center"/>
              <w:rPr>
                <w:rFonts w:hint="eastAsia" w:ascii="宋体" w:hAnsi="宋体" w:eastAsia="宋体" w:cs="宋体"/>
                <w:highlight w:val="red"/>
              </w:rPr>
            </w:pPr>
          </w:p>
        </w:tc>
      </w:tr>
    </w:tbl>
    <w:p>
      <w:pPr>
        <w:adjustRightInd w:val="0"/>
        <w:snapToGrid w:val="0"/>
        <w:spacing w:line="460" w:lineRule="exact"/>
        <w:ind w:firstLine="480" w:firstLineChars="200"/>
        <w:rPr>
          <w:rFonts w:hint="eastAsia" w:ascii="宋体" w:hAnsi="宋体" w:eastAsia="宋体" w:cs="宋体"/>
          <w:sz w:val="24"/>
          <w:szCs w:val="28"/>
        </w:rPr>
      </w:pPr>
      <w:r>
        <w:rPr>
          <w:rFonts w:hint="eastAsia" w:ascii="宋体" w:hAnsi="宋体" w:eastAsia="宋体" w:cs="宋体"/>
          <w:sz w:val="24"/>
          <w:szCs w:val="28"/>
        </w:rPr>
        <w:t>6.2  备品备件、易损件和专用耗材明细表：</w:t>
      </w:r>
    </w:p>
    <w:p>
      <w:pPr>
        <w:adjustRightInd w:val="0"/>
        <w:snapToGrid w:val="0"/>
        <w:spacing w:line="460" w:lineRule="exact"/>
        <w:ind w:firstLine="1890" w:firstLineChars="900"/>
        <w:rPr>
          <w:rFonts w:hint="eastAsia" w:ascii="宋体" w:hAnsi="宋体" w:eastAsia="宋体" w:cs="宋体"/>
        </w:rPr>
      </w:pPr>
      <w:r>
        <w:rPr>
          <w:rFonts w:hint="eastAsia" w:ascii="宋体" w:hAnsi="宋体" w:eastAsia="宋体" w:cs="宋体"/>
        </w:rPr>
        <w:t>备品备件、易损件和专用耗材明细表             单位：元</w:t>
      </w:r>
    </w:p>
    <w:tbl>
      <w:tblPr>
        <w:tblStyle w:val="3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tc>
          <w:tcPr>
            <w:tcW w:w="816"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序号</w:t>
            </w:r>
          </w:p>
        </w:tc>
        <w:tc>
          <w:tcPr>
            <w:tcW w:w="1924"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名称</w:t>
            </w:r>
          </w:p>
        </w:tc>
        <w:tc>
          <w:tcPr>
            <w:tcW w:w="1236"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型号规格</w:t>
            </w:r>
          </w:p>
        </w:tc>
        <w:tc>
          <w:tcPr>
            <w:tcW w:w="720"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单位</w:t>
            </w:r>
          </w:p>
        </w:tc>
        <w:tc>
          <w:tcPr>
            <w:tcW w:w="720"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数量</w:t>
            </w:r>
          </w:p>
        </w:tc>
        <w:tc>
          <w:tcPr>
            <w:tcW w:w="720"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单价</w:t>
            </w:r>
          </w:p>
        </w:tc>
        <w:tc>
          <w:tcPr>
            <w:tcW w:w="720"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总价</w:t>
            </w:r>
          </w:p>
        </w:tc>
        <w:tc>
          <w:tcPr>
            <w:tcW w:w="2235"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制造商</w:t>
            </w:r>
          </w:p>
        </w:tc>
      </w:tr>
      <w:tr>
        <w:tc>
          <w:tcPr>
            <w:tcW w:w="816" w:type="dxa"/>
          </w:tcPr>
          <w:p>
            <w:pPr>
              <w:adjustRightInd w:val="0"/>
              <w:snapToGrid w:val="0"/>
              <w:spacing w:line="360" w:lineRule="exact"/>
              <w:jc w:val="center"/>
              <w:rPr>
                <w:rFonts w:hint="eastAsia" w:ascii="宋体" w:hAnsi="宋体" w:eastAsia="宋体" w:cs="宋体"/>
              </w:rPr>
            </w:pPr>
          </w:p>
        </w:tc>
        <w:tc>
          <w:tcPr>
            <w:tcW w:w="1924" w:type="dxa"/>
          </w:tcPr>
          <w:p>
            <w:pPr>
              <w:adjustRightInd w:val="0"/>
              <w:snapToGrid w:val="0"/>
              <w:spacing w:line="360" w:lineRule="exact"/>
              <w:rPr>
                <w:rFonts w:hint="eastAsia" w:ascii="宋体" w:hAnsi="宋体" w:eastAsia="宋体" w:cs="宋体"/>
              </w:rPr>
            </w:pPr>
          </w:p>
        </w:tc>
        <w:tc>
          <w:tcPr>
            <w:tcW w:w="1236" w:type="dxa"/>
          </w:tcPr>
          <w:p>
            <w:pPr>
              <w:adjustRightInd w:val="0"/>
              <w:snapToGrid w:val="0"/>
              <w:spacing w:line="360" w:lineRule="exact"/>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2235" w:type="dxa"/>
          </w:tcPr>
          <w:p>
            <w:pPr>
              <w:adjustRightInd w:val="0"/>
              <w:snapToGrid w:val="0"/>
              <w:spacing w:line="360" w:lineRule="exact"/>
              <w:rPr>
                <w:rFonts w:hint="eastAsia" w:ascii="宋体" w:hAnsi="宋体" w:eastAsia="宋体" w:cs="宋体"/>
              </w:rPr>
            </w:pPr>
          </w:p>
        </w:tc>
      </w:tr>
      <w:tr>
        <w:tc>
          <w:tcPr>
            <w:tcW w:w="816" w:type="dxa"/>
          </w:tcPr>
          <w:p>
            <w:pPr>
              <w:adjustRightInd w:val="0"/>
              <w:snapToGrid w:val="0"/>
              <w:spacing w:line="360" w:lineRule="exact"/>
              <w:jc w:val="center"/>
              <w:rPr>
                <w:rFonts w:hint="eastAsia" w:ascii="宋体" w:hAnsi="宋体" w:eastAsia="宋体" w:cs="宋体"/>
              </w:rPr>
            </w:pPr>
          </w:p>
        </w:tc>
        <w:tc>
          <w:tcPr>
            <w:tcW w:w="1924" w:type="dxa"/>
          </w:tcPr>
          <w:p>
            <w:pPr>
              <w:adjustRightInd w:val="0"/>
              <w:snapToGrid w:val="0"/>
              <w:spacing w:line="360" w:lineRule="exact"/>
              <w:rPr>
                <w:rFonts w:hint="eastAsia" w:ascii="宋体" w:hAnsi="宋体" w:eastAsia="宋体" w:cs="宋体"/>
              </w:rPr>
            </w:pPr>
          </w:p>
        </w:tc>
        <w:tc>
          <w:tcPr>
            <w:tcW w:w="1236" w:type="dxa"/>
          </w:tcPr>
          <w:p>
            <w:pPr>
              <w:adjustRightInd w:val="0"/>
              <w:snapToGrid w:val="0"/>
              <w:spacing w:line="360" w:lineRule="exact"/>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2235" w:type="dxa"/>
          </w:tcPr>
          <w:p>
            <w:pPr>
              <w:adjustRightInd w:val="0"/>
              <w:snapToGrid w:val="0"/>
              <w:spacing w:line="360" w:lineRule="exact"/>
              <w:rPr>
                <w:rFonts w:hint="eastAsia" w:ascii="宋体" w:hAnsi="宋体" w:eastAsia="宋体" w:cs="宋体"/>
              </w:rPr>
            </w:pPr>
          </w:p>
        </w:tc>
      </w:tr>
      <w:tr>
        <w:tc>
          <w:tcPr>
            <w:tcW w:w="816" w:type="dxa"/>
          </w:tcPr>
          <w:p>
            <w:pPr>
              <w:adjustRightInd w:val="0"/>
              <w:snapToGrid w:val="0"/>
              <w:spacing w:line="360" w:lineRule="exact"/>
              <w:jc w:val="center"/>
              <w:rPr>
                <w:rFonts w:hint="eastAsia" w:ascii="宋体" w:hAnsi="宋体" w:eastAsia="宋体" w:cs="宋体"/>
              </w:rPr>
            </w:pPr>
          </w:p>
        </w:tc>
        <w:tc>
          <w:tcPr>
            <w:tcW w:w="1924" w:type="dxa"/>
          </w:tcPr>
          <w:p>
            <w:pPr>
              <w:adjustRightInd w:val="0"/>
              <w:snapToGrid w:val="0"/>
              <w:spacing w:line="360" w:lineRule="exact"/>
              <w:rPr>
                <w:rFonts w:hint="eastAsia" w:ascii="宋体" w:hAnsi="宋体" w:eastAsia="宋体" w:cs="宋体"/>
              </w:rPr>
            </w:pPr>
          </w:p>
        </w:tc>
        <w:tc>
          <w:tcPr>
            <w:tcW w:w="1236" w:type="dxa"/>
          </w:tcPr>
          <w:p>
            <w:pPr>
              <w:adjustRightInd w:val="0"/>
              <w:snapToGrid w:val="0"/>
              <w:spacing w:line="360" w:lineRule="exact"/>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2235" w:type="dxa"/>
          </w:tcPr>
          <w:p>
            <w:pPr>
              <w:adjustRightInd w:val="0"/>
              <w:snapToGrid w:val="0"/>
              <w:spacing w:line="360" w:lineRule="exact"/>
              <w:rPr>
                <w:rFonts w:hint="eastAsia" w:ascii="宋体" w:hAnsi="宋体" w:eastAsia="宋体" w:cs="宋体"/>
              </w:rPr>
            </w:pPr>
          </w:p>
        </w:tc>
      </w:tr>
      <w:tr>
        <w:tc>
          <w:tcPr>
            <w:tcW w:w="816" w:type="dxa"/>
          </w:tcPr>
          <w:p>
            <w:pPr>
              <w:adjustRightInd w:val="0"/>
              <w:snapToGrid w:val="0"/>
              <w:spacing w:line="360" w:lineRule="exact"/>
              <w:jc w:val="center"/>
              <w:rPr>
                <w:rFonts w:hint="eastAsia" w:ascii="宋体" w:hAnsi="宋体" w:eastAsia="宋体" w:cs="宋体"/>
              </w:rPr>
            </w:pPr>
          </w:p>
        </w:tc>
        <w:tc>
          <w:tcPr>
            <w:tcW w:w="1924" w:type="dxa"/>
          </w:tcPr>
          <w:p>
            <w:pPr>
              <w:adjustRightInd w:val="0"/>
              <w:snapToGrid w:val="0"/>
              <w:spacing w:line="360" w:lineRule="exact"/>
              <w:rPr>
                <w:rFonts w:hint="eastAsia" w:ascii="宋体" w:hAnsi="宋体" w:eastAsia="宋体" w:cs="宋体"/>
              </w:rPr>
            </w:pPr>
          </w:p>
        </w:tc>
        <w:tc>
          <w:tcPr>
            <w:tcW w:w="1236" w:type="dxa"/>
          </w:tcPr>
          <w:p>
            <w:pPr>
              <w:adjustRightInd w:val="0"/>
              <w:snapToGrid w:val="0"/>
              <w:spacing w:line="360" w:lineRule="exact"/>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2235" w:type="dxa"/>
          </w:tcPr>
          <w:p>
            <w:pPr>
              <w:adjustRightInd w:val="0"/>
              <w:snapToGrid w:val="0"/>
              <w:spacing w:line="360" w:lineRule="exact"/>
              <w:rPr>
                <w:rFonts w:hint="eastAsia" w:ascii="宋体" w:hAnsi="宋体" w:eastAsia="宋体" w:cs="宋体"/>
              </w:rPr>
            </w:pPr>
          </w:p>
        </w:tc>
      </w:tr>
      <w:tr>
        <w:tc>
          <w:tcPr>
            <w:tcW w:w="816" w:type="dxa"/>
          </w:tcPr>
          <w:p>
            <w:pPr>
              <w:adjustRightInd w:val="0"/>
              <w:snapToGrid w:val="0"/>
              <w:spacing w:line="360" w:lineRule="exact"/>
              <w:jc w:val="center"/>
              <w:rPr>
                <w:rFonts w:hint="eastAsia" w:ascii="宋体" w:hAnsi="宋体" w:eastAsia="宋体" w:cs="宋体"/>
              </w:rPr>
            </w:pPr>
          </w:p>
        </w:tc>
        <w:tc>
          <w:tcPr>
            <w:tcW w:w="1924" w:type="dxa"/>
          </w:tcPr>
          <w:p>
            <w:pPr>
              <w:adjustRightInd w:val="0"/>
              <w:snapToGrid w:val="0"/>
              <w:spacing w:line="360" w:lineRule="exact"/>
              <w:rPr>
                <w:rFonts w:hint="eastAsia" w:ascii="宋体" w:hAnsi="宋体" w:eastAsia="宋体" w:cs="宋体"/>
              </w:rPr>
            </w:pPr>
          </w:p>
        </w:tc>
        <w:tc>
          <w:tcPr>
            <w:tcW w:w="1236" w:type="dxa"/>
          </w:tcPr>
          <w:p>
            <w:pPr>
              <w:adjustRightInd w:val="0"/>
              <w:snapToGrid w:val="0"/>
              <w:spacing w:line="360" w:lineRule="exact"/>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2235" w:type="dxa"/>
          </w:tcPr>
          <w:p>
            <w:pPr>
              <w:adjustRightInd w:val="0"/>
              <w:snapToGrid w:val="0"/>
              <w:spacing w:line="360" w:lineRule="exact"/>
              <w:rPr>
                <w:rFonts w:hint="eastAsia" w:ascii="宋体" w:hAnsi="宋体" w:eastAsia="宋体" w:cs="宋体"/>
              </w:rPr>
            </w:pPr>
          </w:p>
        </w:tc>
      </w:tr>
      <w:tr>
        <w:tc>
          <w:tcPr>
            <w:tcW w:w="816" w:type="dxa"/>
          </w:tcPr>
          <w:p>
            <w:pPr>
              <w:adjustRightInd w:val="0"/>
              <w:snapToGrid w:val="0"/>
              <w:spacing w:line="360" w:lineRule="exact"/>
              <w:jc w:val="center"/>
              <w:rPr>
                <w:rFonts w:hint="eastAsia" w:ascii="宋体" w:hAnsi="宋体" w:eastAsia="宋体" w:cs="宋体"/>
              </w:rPr>
            </w:pPr>
          </w:p>
        </w:tc>
        <w:tc>
          <w:tcPr>
            <w:tcW w:w="1924" w:type="dxa"/>
          </w:tcPr>
          <w:p>
            <w:pPr>
              <w:adjustRightInd w:val="0"/>
              <w:snapToGrid w:val="0"/>
              <w:spacing w:line="360" w:lineRule="exact"/>
              <w:rPr>
                <w:rFonts w:hint="eastAsia" w:ascii="宋体" w:hAnsi="宋体" w:eastAsia="宋体" w:cs="宋体"/>
              </w:rPr>
            </w:pPr>
          </w:p>
        </w:tc>
        <w:tc>
          <w:tcPr>
            <w:tcW w:w="1236" w:type="dxa"/>
          </w:tcPr>
          <w:p>
            <w:pPr>
              <w:adjustRightInd w:val="0"/>
              <w:snapToGrid w:val="0"/>
              <w:spacing w:line="360" w:lineRule="exact"/>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2235" w:type="dxa"/>
          </w:tcPr>
          <w:p>
            <w:pPr>
              <w:adjustRightInd w:val="0"/>
              <w:snapToGrid w:val="0"/>
              <w:spacing w:line="360" w:lineRule="exact"/>
              <w:rPr>
                <w:rFonts w:hint="eastAsia" w:ascii="宋体" w:hAnsi="宋体" w:eastAsia="宋体" w:cs="宋体"/>
              </w:rPr>
            </w:pPr>
          </w:p>
        </w:tc>
      </w:tr>
    </w:tbl>
    <w:p>
      <w:pPr>
        <w:adjustRightInd w:val="0"/>
        <w:snapToGrid w:val="0"/>
        <w:spacing w:line="360" w:lineRule="exact"/>
        <w:ind w:firstLine="420" w:firstLineChars="200"/>
        <w:rPr>
          <w:rFonts w:hint="eastAsia" w:ascii="宋体" w:hAnsi="宋体" w:eastAsia="宋体" w:cs="宋体"/>
        </w:rPr>
      </w:pP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6.3  “一览表”和“明细表”仅作为投标方编制投标技术文件的一般格式。其中序号编写应当便于招标方了解分类或分项货物之间的所属关系，如1、1.1、1.2。</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6.4  应当尽可能将设备的配置列全、列细，这将有助于投标方胜出。</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6.5  单价与总价之间、总价与分类小计价之间、分类小计价与合计价之间数据应当齐全而且准确。</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6.6  本条款表格中的制造商，应当为全称或公认的简称。</w:t>
      </w:r>
    </w:p>
    <w:p>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二、技术文件中设备报价格式要求</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设备配置一览表合计价以及备品备件、易损件和专用耗材明细表合计价应当在投标总报价内对应重现而且应当数据准确。其中，质保期之内需要的备品备件、易损件和专用耗材，需要在配置一览表内单独分类列出并计入设备配置一览表合计价。</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投标技术文件中，如未按照要求编写、或者存在漏项和缺项，将有可能造成对投标方不必要的误解；必要时，漏项和缺项涉及的费用，将有可能以其它投标方中，相同或相似项目的最高价，计入投标方的投标总报价之内，作为评标的依据之一。</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3、如果投标总报价与其它价格出现错误或不一致，将有可能导致废标。</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4、投标总报价为自合同签定生效至合同无异议执行完毕涉及的招标方需要支付的全部费用。如投标方认为本招标及投标设备涉及专门的设计，应当列明设计费。</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5、备品备件、易损件和专用耗材，招标方将可能与投标方按照投标价格另行签署供货合同。</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6、要求投标总报价、分项报价、明细报价之间应当具有相互间对应关系以及填报分项和明细报价，仅为便于评标而不妨碍投标人以最合适的形式签署合同。</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三、验收标准及内容要求</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除招标文件明确的验收标准或内容之外，投标方应当在投标文件中提供预验收（必要时）和终验收的标准以及规程；在合同签定之前，经投标方和招标方双方洽谈确认并签署，以作为验收标准执行。</w:t>
      </w:r>
    </w:p>
    <w:p>
      <w:pPr>
        <w:pStyle w:val="2"/>
        <w:spacing w:before="120" w:after="120" w:line="480" w:lineRule="exact"/>
        <w:rPr>
          <w:rFonts w:hint="eastAsia" w:ascii="宋体" w:hAnsi="宋体" w:cs="宋体"/>
          <w:bCs w:val="0"/>
          <w:sz w:val="24"/>
          <w:szCs w:val="24"/>
        </w:rPr>
      </w:pPr>
      <w:r>
        <w:rPr>
          <w:rFonts w:ascii="宋体" w:hAnsi="宋体"/>
        </w:rPr>
        <w:br w:type="page"/>
      </w:r>
      <w:r>
        <w:rPr>
          <w:rFonts w:hint="eastAsia" w:ascii="宋体" w:hAnsi="宋体" w:cs="宋体"/>
          <w:bCs w:val="0"/>
          <w:sz w:val="24"/>
          <w:szCs w:val="24"/>
        </w:rPr>
        <w:t>第七章  其它要求及说明</w:t>
      </w:r>
    </w:p>
    <w:p>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一、要求</w:t>
      </w:r>
    </w:p>
    <w:p>
      <w:pPr>
        <w:pStyle w:val="21"/>
        <w:spacing w:after="0" w:line="360" w:lineRule="auto"/>
        <w:ind w:left="0" w:leftChars="0" w:firstLine="480" w:firstLineChars="200"/>
        <w:rPr>
          <w:rFonts w:hint="eastAsia" w:ascii="宋体" w:hAnsi="宋体" w:eastAsia="宋体" w:cs="宋体"/>
          <w:sz w:val="24"/>
          <w:szCs w:val="24"/>
        </w:rPr>
      </w:pPr>
      <w:r>
        <w:rPr>
          <w:rFonts w:hint="eastAsia" w:ascii="宋体" w:hAnsi="宋体" w:eastAsia="宋体" w:cs="宋体"/>
          <w:sz w:val="24"/>
          <w:szCs w:val="24"/>
        </w:rPr>
        <w:t>为保证本技术标书所列采购设备的质量以及先进性、可靠性、经济性和实用性，要求投标方在投标文件中，至少应具备以下资格证明文件或资料：</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1、投标方应是独立法人或得到法人授权的机构。应当在投标文件中提供法人营业执照（复印件）、税务登记证以及组织机构代码证（国外供应商参考该要求提供有效证明文件），并保证其真实性和有效性。</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2、投标方应当是通过有关资格认证的法人。应当在投标文件中提供有效期内的资格认证证书，如：ISO9001、VDA6.1、QS9000等。</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3、国产设备应附有采购设备涉及的由“中国质量认证中心”颁发的《中国国家强制性产品认证证书》（CCC证书）。</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4、应附有其它与投标单位、采购货物有关的荣誉证书或资料。</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5、必须附有投标货物涉及产品要求的、国家或行业管理规定要求的、或者投标方认为能够体现其投标货物合法性及先进性的最高级别的证明材料（投标货物不涉及的除外）：</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5.1  国家相关机构颁发的有效期之内所必需的《生产许可证》。</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5.2  产品（或技术）鉴定报告/证书、专利证书或专利许可证书、新技术成果证书等。</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5.3  产品相关检验、试验报告，如：型式试验检验报告、安全试验检验报告、电弧效应试验报告、噪声检测报告等</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5.4  其它能够证明所供设备的质量水平、技术水平、安全性水平、节能性水平、环保性水平等相关的其它证明文件或资料、报告等。</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5.5  该类报告或证明材料对于投标方胜出乃至中标极为重要！</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6、必须附有与本采购设备相同或相似技术规格、型号的而且已经正常使用或通过验收的近三年以上的设备的市场销售业绩清单，清单中应具备：招标方单位名称、销售设备的规格型号、数量、（交货）时间、联系人和联系电话（非移动通信号码）等条目内容；投标方应当保证其业绩的真实性，否则将影响投标或中标资格。</w:t>
      </w:r>
    </w:p>
    <w:p>
      <w:pPr>
        <w:spacing w:line="360" w:lineRule="auto"/>
        <w:ind w:firstLine="479" w:firstLineChars="199"/>
        <w:rPr>
          <w:rFonts w:hint="eastAsia" w:ascii="宋体" w:hAnsi="宋体" w:eastAsia="宋体" w:cs="宋体"/>
          <w:b/>
          <w:bCs/>
          <w:sz w:val="24"/>
          <w:szCs w:val="24"/>
        </w:rPr>
      </w:pPr>
      <w:r>
        <w:rPr>
          <w:rFonts w:hint="eastAsia" w:ascii="宋体" w:hAnsi="宋体" w:eastAsia="宋体" w:cs="宋体"/>
          <w:b/>
          <w:bCs/>
          <w:sz w:val="24"/>
          <w:szCs w:val="24"/>
        </w:rPr>
        <w:t>二、说明</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1、投标方可以根据自身的技术、经验等优势以及对招标文件和本技术标书的理解，写明对招标方所采购设备的优化方案或建议意见。投标方的这些努力，招标方表示感谢，并将有助于投标方优先胜出。</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2、即使有建议意见或建议方案，仍应依据招标文件和本技术标书要求，编写符合要求的投标文件。建议方案或建议意见，应以单独篇章或文件，予以说明。</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3、请投标方仔细阅读“采购货物概况”章节内说明，针对允许分投分中的设备，招标方有权利选择其中优秀设备或服务，作为投标方合同供货范围中的指定选用设备或服务（替代投标方分投而未中标部分）。</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4、招标文件、投标文件、答疑文件、技术交流文件、技术协议书等，在采购过程全部为有效文件，如有差异，以对招标方最有利的条款为准。</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5、为避免歧异，本技术标书涉及招投标环节的条款，均将潜在的卖方称为投标方、将买方称为招标方；定标后合同签署环节以及后续的合同执行环节条款，招标方称为买方、投标方中的中标方称为卖方。</w:t>
      </w:r>
    </w:p>
    <w:p>
      <w:pPr>
        <w:spacing w:line="480" w:lineRule="exact"/>
        <w:rPr>
          <w:rFonts w:hint="eastAsia" w:ascii="宋体" w:hAnsi="宋体"/>
        </w:rPr>
      </w:pPr>
    </w:p>
    <w:p>
      <w:pPr>
        <w:spacing w:line="480" w:lineRule="exact"/>
        <w:ind w:firstLine="482" w:firstLineChars="200"/>
        <w:rPr>
          <w:rFonts w:hint="eastAsia" w:ascii="宋体" w:hAnsi="宋体" w:eastAsia="宋体" w:cs="宋体"/>
          <w:sz w:val="24"/>
          <w:szCs w:val="24"/>
        </w:rPr>
      </w:pPr>
      <w:r>
        <w:rPr>
          <w:rFonts w:hint="eastAsia" w:ascii="宋体" w:hAnsi="宋体" w:eastAsia="宋体" w:cs="宋体"/>
          <w:b/>
          <w:sz w:val="24"/>
          <w:szCs w:val="24"/>
        </w:rPr>
        <w:t>技术部分答疑人： 张凯凯 15966636621</w:t>
      </w:r>
    </w:p>
    <w:p>
      <w:pPr>
        <w:rPr>
          <w:rFonts w:hint="eastAsia"/>
        </w:rPr>
      </w:pPr>
    </w:p>
    <w:p>
      <w:pPr>
        <w:rPr>
          <w:rFonts w:hint="eastAsia"/>
        </w:rPr>
      </w:pPr>
    </w:p>
    <w:p>
      <w:pPr>
        <w:pStyle w:val="2"/>
        <w:spacing w:before="120" w:after="120" w:line="360" w:lineRule="auto"/>
        <w:rPr>
          <w:sz w:val="32"/>
          <w:szCs w:val="32"/>
        </w:rPr>
      </w:pPr>
    </w:p>
    <w:p>
      <w:pPr>
        <w:rPr>
          <w:rFonts w:hint="eastAsia" w:hAnsi="宋体" w:eastAsia="宋体" w:cs="Times New Roman"/>
          <w:b/>
          <w:color w:val="000000"/>
          <w:sz w:val="24"/>
          <w:szCs w:val="24"/>
        </w:rPr>
      </w:pPr>
    </w:p>
    <w:bookmarkEnd w:id="32"/>
    <w:p>
      <w:pPr>
        <w:rPr>
          <w:rFonts w:hint="eastAsia"/>
        </w:rPr>
      </w:pPr>
      <w:bookmarkStart w:id="33" w:name="_Toc465187648"/>
      <w:bookmarkStart w:id="34" w:name="_Toc169605877"/>
      <w:bookmarkStart w:id="35" w:name="_Toc227726571"/>
      <w:bookmarkStart w:id="36" w:name="_Toc257033749"/>
      <w:bookmarkStart w:id="37" w:name="_Toc227726361"/>
      <w:bookmarkStart w:id="38" w:name="_Toc127880405"/>
      <w:bookmarkStart w:id="39" w:name="_Toc257037877"/>
      <w:bookmarkStart w:id="40" w:name="_Toc137705865"/>
    </w:p>
    <w:p>
      <w:pPr>
        <w:pStyle w:val="2"/>
        <w:spacing w:before="120" w:after="120" w:line="360" w:lineRule="auto"/>
        <w:rPr>
          <w:sz w:val="32"/>
          <w:szCs w:val="32"/>
        </w:rPr>
      </w:pPr>
    </w:p>
    <w:bookmarkEnd w:id="33"/>
    <w:bookmarkEnd w:id="34"/>
    <w:bookmarkEnd w:id="35"/>
    <w:bookmarkEnd w:id="36"/>
    <w:bookmarkEnd w:id="37"/>
    <w:bookmarkEnd w:id="38"/>
    <w:bookmarkEnd w:id="39"/>
    <w:bookmarkEnd w:id="40"/>
    <w:p>
      <w:pPr>
        <w:rPr>
          <w:rFonts w:hint="eastAsia"/>
        </w:rPr>
      </w:pPr>
      <w:r>
        <w:br w:type="page"/>
      </w:r>
    </w:p>
    <w:p>
      <w:pPr>
        <w:pStyle w:val="18"/>
      </w:pPr>
    </w:p>
    <w:p>
      <w:pPr>
        <w:spacing w:line="360" w:lineRule="auto"/>
        <w:jc w:val="center"/>
        <w:outlineLvl w:val="0"/>
        <w:rPr>
          <w:rFonts w:ascii="宋体" w:hAnsi="Calibri" w:eastAsia="宋体" w:cs="Times New Roman"/>
          <w:b/>
          <w:sz w:val="36"/>
          <w:szCs w:val="36"/>
        </w:rPr>
      </w:pPr>
      <w:bookmarkStart w:id="41" w:name="_Toc28859"/>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41"/>
    </w:p>
    <w:p>
      <w:pPr>
        <w:adjustRightInd w:val="0"/>
        <w:snapToGrid w:val="0"/>
        <w:spacing w:line="360" w:lineRule="auto"/>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pPr>
        <w:wordWrap w:val="0"/>
        <w:adjustRightInd w:val="0"/>
        <w:snapToGrid w:val="0"/>
        <w:spacing w:line="360" w:lineRule="auto"/>
        <w:jc w:val="right"/>
        <w:rPr>
          <w:rFonts w:hint="eastAsia"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pPr>
        <w:adjustRightInd w:val="0"/>
        <w:snapToGrid w:val="0"/>
        <w:spacing w:line="360" w:lineRule="auto"/>
        <w:jc w:val="left"/>
        <w:rPr>
          <w:rFonts w:hint="eastAsia" w:ascii="宋体" w:hAnsi="宋体"/>
          <w:sz w:val="20"/>
          <w:szCs w:val="20"/>
        </w:rPr>
      </w:pPr>
    </w:p>
    <w:p>
      <w:pPr>
        <w:adjustRightInd w:val="0"/>
        <w:snapToGrid w:val="0"/>
        <w:spacing w:line="360" w:lineRule="auto"/>
        <w:jc w:val="left"/>
        <w:rPr>
          <w:rFonts w:hint="eastAsia" w:ascii="宋体" w:hAnsi="宋体"/>
          <w:sz w:val="20"/>
          <w:szCs w:val="20"/>
        </w:rPr>
      </w:pPr>
    </w:p>
    <w:p>
      <w:pPr>
        <w:adjustRightInd w:val="0"/>
        <w:snapToGrid w:val="0"/>
        <w:spacing w:line="360" w:lineRule="auto"/>
        <w:jc w:val="left"/>
        <w:rPr>
          <w:rFonts w:hint="eastAsia" w:ascii="宋体" w:hAnsi="宋体"/>
          <w:sz w:val="20"/>
          <w:szCs w:val="20"/>
        </w:rPr>
      </w:pPr>
    </w:p>
    <w:p>
      <w:pPr>
        <w:adjustRightInd w:val="0"/>
        <w:snapToGrid w:val="0"/>
        <w:spacing w:line="360" w:lineRule="auto"/>
        <w:jc w:val="left"/>
        <w:rPr>
          <w:rFonts w:hint="eastAsia" w:ascii="宋体" w:hAnsi="宋体"/>
          <w:sz w:val="20"/>
          <w:szCs w:val="20"/>
        </w:rPr>
      </w:pPr>
    </w:p>
    <w:p>
      <w:pPr>
        <w:adjustRightInd w:val="0"/>
        <w:snapToGrid w:val="0"/>
        <w:spacing w:line="360" w:lineRule="auto"/>
        <w:jc w:val="center"/>
        <w:rPr>
          <w:rFonts w:hint="eastAsia" w:ascii="方正小标宋简体" w:hAnsi="宋体" w:eastAsia="方正小标宋简体"/>
          <w:bCs/>
          <w:sz w:val="52"/>
          <w:szCs w:val="36"/>
        </w:rPr>
      </w:pPr>
    </w:p>
    <w:p>
      <w:pPr>
        <w:adjustRightInd w:val="0"/>
        <w:snapToGrid w:val="0"/>
        <w:spacing w:line="360" w:lineRule="auto"/>
        <w:jc w:val="center"/>
        <w:rPr>
          <w:rFonts w:hint="eastAsia" w:ascii="方正小标宋简体" w:hAnsi="宋体" w:eastAsia="方正小标宋简体"/>
          <w:bCs/>
          <w:sz w:val="52"/>
          <w:szCs w:val="36"/>
        </w:rPr>
      </w:pPr>
    </w:p>
    <w:p>
      <w:pPr>
        <w:adjustRightInd w:val="0"/>
        <w:snapToGrid w:val="0"/>
        <w:spacing w:line="360" w:lineRule="auto"/>
        <w:jc w:val="center"/>
        <w:rPr>
          <w:rFonts w:hint="eastAsia" w:ascii="方正小标宋简体" w:hAnsi="宋体" w:eastAsia="方正小标宋简体"/>
          <w:bCs/>
          <w:sz w:val="52"/>
          <w:szCs w:val="36"/>
        </w:rPr>
      </w:pPr>
      <w:r>
        <w:rPr>
          <w:rFonts w:hint="eastAsia" w:ascii="方正小标宋简体" w:hAnsi="宋体" w:eastAsia="方正小标宋简体"/>
          <w:bCs/>
          <w:sz w:val="52"/>
          <w:szCs w:val="36"/>
        </w:rPr>
        <w:t>设备采购合同（模板）</w:t>
      </w:r>
    </w:p>
    <w:p>
      <w:pPr>
        <w:pStyle w:val="18"/>
        <w:jc w:val="center"/>
      </w:pPr>
      <w:r>
        <w:rPr>
          <w:rFonts w:hint="eastAsia" w:hAnsi="宋体" w:eastAsia="宋体" w:cs="宋体"/>
          <w:b/>
          <w:sz w:val="24"/>
          <w:szCs w:val="24"/>
        </w:rPr>
        <w:t>（合同以双方最终签署的版本为准）</w:t>
      </w:r>
    </w:p>
    <w:p>
      <w:pPr>
        <w:adjustRightInd w:val="0"/>
        <w:snapToGrid w:val="0"/>
        <w:spacing w:line="360" w:lineRule="auto"/>
        <w:jc w:val="left"/>
        <w:rPr>
          <w:rFonts w:hint="eastAsia" w:ascii="宋体" w:hAnsi="宋体"/>
          <w:b/>
          <w:sz w:val="36"/>
          <w:szCs w:val="36"/>
        </w:rPr>
      </w:pPr>
    </w:p>
    <w:p>
      <w:pPr>
        <w:adjustRightInd w:val="0"/>
        <w:snapToGrid w:val="0"/>
        <w:spacing w:line="360" w:lineRule="auto"/>
        <w:jc w:val="left"/>
        <w:rPr>
          <w:rFonts w:hint="eastAsia" w:ascii="宋体" w:hAnsi="宋体"/>
          <w:b/>
          <w:sz w:val="36"/>
          <w:szCs w:val="36"/>
        </w:rPr>
      </w:pPr>
    </w:p>
    <w:p>
      <w:pPr>
        <w:adjustRightInd w:val="0"/>
        <w:snapToGrid w:val="0"/>
        <w:spacing w:line="360" w:lineRule="auto"/>
        <w:jc w:val="left"/>
        <w:rPr>
          <w:rFonts w:hint="eastAsia" w:ascii="宋体" w:hAnsi="宋体"/>
          <w:b/>
          <w:sz w:val="36"/>
          <w:szCs w:val="36"/>
        </w:rPr>
      </w:pPr>
    </w:p>
    <w:p>
      <w:pPr>
        <w:adjustRightInd w:val="0"/>
        <w:snapToGrid w:val="0"/>
        <w:spacing w:line="360" w:lineRule="auto"/>
        <w:jc w:val="left"/>
        <w:rPr>
          <w:rFonts w:hint="eastAsia" w:ascii="宋体" w:hAnsi="宋体"/>
          <w:b/>
          <w:sz w:val="36"/>
          <w:szCs w:val="36"/>
        </w:rPr>
      </w:pPr>
    </w:p>
    <w:p>
      <w:pPr>
        <w:adjustRightInd w:val="0"/>
        <w:snapToGrid w:val="0"/>
        <w:spacing w:line="360" w:lineRule="auto"/>
        <w:jc w:val="left"/>
        <w:rPr>
          <w:rFonts w:hint="eastAsia" w:ascii="宋体" w:hAnsi="宋体"/>
          <w:b/>
          <w:sz w:val="36"/>
          <w:szCs w:val="36"/>
        </w:rPr>
      </w:pPr>
    </w:p>
    <w:p>
      <w:pPr>
        <w:adjustRightInd w:val="0"/>
        <w:snapToGrid w:val="0"/>
        <w:spacing w:line="360" w:lineRule="auto"/>
        <w:jc w:val="left"/>
        <w:rPr>
          <w:rFonts w:hint="eastAsia" w:ascii="宋体" w:hAnsi="宋体"/>
          <w:b/>
          <w:sz w:val="36"/>
          <w:szCs w:val="36"/>
        </w:rPr>
      </w:pPr>
    </w:p>
    <w:p>
      <w:pPr>
        <w:adjustRightInd w:val="0"/>
        <w:snapToGrid w:val="0"/>
        <w:spacing w:line="360" w:lineRule="auto"/>
        <w:ind w:firstLine="2107" w:firstLineChars="878"/>
        <w:jc w:val="left"/>
        <w:rPr>
          <w:rFonts w:hint="eastAsia"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627" w:firstLineChars="678"/>
        <w:jc w:val="left"/>
        <w:rPr>
          <w:rFonts w:hint="eastAsia" w:ascii="方正小标宋简体" w:hAnsi="宋体" w:eastAsia="方正小标宋简体"/>
          <w:sz w:val="24"/>
          <w:szCs w:val="24"/>
        </w:rPr>
      </w:pPr>
      <w:r>
        <w:rPr>
          <w:rFonts w:hint="eastAsia" w:ascii="方正小标宋简体" w:hAnsi="宋体" w:eastAsia="方正小标宋简体"/>
          <w:sz w:val="24"/>
          <w:szCs w:val="24"/>
        </w:rPr>
        <w:t xml:space="preserve"> </w:t>
      </w:r>
    </w:p>
    <w:p>
      <w:pPr>
        <w:adjustRightInd w:val="0"/>
        <w:snapToGrid w:val="0"/>
        <w:spacing w:line="360" w:lineRule="auto"/>
        <w:ind w:firstLine="2107" w:firstLineChars="878"/>
        <w:jc w:val="left"/>
        <w:rPr>
          <w:rFonts w:hint="eastAsia"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pPr>
        <w:spacing w:line="360" w:lineRule="auto"/>
        <w:ind w:right="480"/>
        <w:rPr>
          <w:rFonts w:hint="eastAsia" w:ascii="宋体" w:hAnsi="宋体" w:cs="宋体"/>
          <w:bCs/>
          <w:sz w:val="24"/>
          <w:u w:val="single"/>
        </w:rPr>
      </w:pPr>
      <w:r>
        <w:rPr>
          <w:rFonts w:hint="eastAsia" w:ascii="宋体" w:hAnsi="宋体" w:cs="宋体"/>
          <w:bCs/>
          <w:sz w:val="24"/>
        </w:rPr>
        <w:t xml:space="preserve">                                       </w:t>
      </w:r>
    </w:p>
    <w:p>
      <w:pPr>
        <w:spacing w:line="360" w:lineRule="auto"/>
        <w:rPr>
          <w:rFonts w:hint="eastAsia" w:ascii="宋体" w:hAnsi="宋体" w:cs="宋体"/>
          <w:bCs/>
          <w:sz w:val="22"/>
        </w:rPr>
        <w:sectPr>
          <w:headerReference r:id="rId12" w:type="default"/>
          <w:footerReference r:id="rId13" w:type="default"/>
          <w:pgSz w:w="11907" w:h="16840"/>
          <w:pgMar w:top="1304" w:right="1418" w:bottom="1304" w:left="1418" w:header="724" w:footer="851" w:gutter="0"/>
          <w:cols w:space="720" w:num="1"/>
          <w:docGrid w:linePitch="290" w:charSpace="-3931"/>
        </w:sectPr>
      </w:pPr>
    </w:p>
    <w:p>
      <w:pPr>
        <w:spacing w:line="360" w:lineRule="auto"/>
        <w:rPr>
          <w:rFonts w:hint="eastAsia" w:ascii="仿宋_GB2312" w:hAnsi="宋体" w:eastAsia="仿宋_GB2312" w:cs="宋体"/>
          <w:bCs/>
          <w:sz w:val="24"/>
          <w:szCs w:val="24"/>
        </w:rPr>
      </w:pPr>
      <w:r>
        <w:rPr>
          <w:rFonts w:hint="eastAsia" w:ascii="宋体" w:hAnsi="宋体" w:cs="宋体"/>
          <w:bCs/>
          <w:sz w:val="22"/>
        </w:rPr>
        <w:t xml:space="preserve"> </w:t>
      </w:r>
      <w:bookmarkStart w:id="42" w:name="_Toc29691"/>
      <w:r>
        <w:rPr>
          <w:rFonts w:hint="eastAsia" w:ascii="宋体" w:hAnsi="宋体" w:cs="宋体"/>
          <w:bCs/>
          <w:sz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pPr>
        <w:spacing w:line="360" w:lineRule="auto"/>
        <w:rPr>
          <w:rFonts w:hint="eastAsia" w:ascii="仿宋_GB2312" w:hAnsi="宋体" w:eastAsia="仿宋_GB2312" w:cs="宋体"/>
          <w:bCs/>
          <w:sz w:val="24"/>
          <w:szCs w:val="24"/>
        </w:rPr>
      </w:pPr>
      <w:r>
        <w:rPr>
          <w:rFonts w:hint="eastAsia" w:ascii="仿宋_GB2312" w:hAnsi="宋体" w:eastAsia="仿宋_GB2312" w:cs="宋体"/>
          <w:bCs/>
          <w:sz w:val="24"/>
          <w:szCs w:val="24"/>
        </w:rPr>
        <w:t xml:space="preserve">    </w:t>
      </w:r>
    </w:p>
    <w:p>
      <w:pPr>
        <w:spacing w:line="360" w:lineRule="auto"/>
        <w:ind w:right="-189" w:rightChars="-90" w:firstLine="120" w:firstLineChars="50"/>
        <w:jc w:val="left"/>
        <w:rPr>
          <w:rFonts w:hint="eastAsia"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pPr>
        <w:spacing w:line="360" w:lineRule="auto"/>
        <w:ind w:right="-189" w:rightChars="-90"/>
        <w:jc w:val="left"/>
        <w:rPr>
          <w:rFonts w:hint="eastAsia" w:ascii="仿宋_GB2312" w:hAnsi="宋体" w:eastAsia="仿宋_GB2312" w:cs="宋体"/>
          <w:b/>
          <w:bCs/>
          <w:sz w:val="24"/>
          <w:szCs w:val="24"/>
          <w:u w:val="single"/>
        </w:rPr>
      </w:pPr>
    </w:p>
    <w:p>
      <w:pPr>
        <w:spacing w:line="360" w:lineRule="auto"/>
        <w:ind w:firstLine="480" w:firstLineChars="200"/>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本设备采购合同由甲乙双方于山东省济南市（</w:t>
      </w:r>
      <w:r>
        <w:rPr>
          <w:rFonts w:hint="eastAsia" w:ascii="仿宋_GB2312" w:hAnsi="等线" w:eastAsia="仿宋_GB2312" w:cs="等线"/>
          <w:i/>
          <w:iCs/>
          <w:sz w:val="24"/>
          <w:u w:val="single"/>
        </w:rPr>
        <w:t>可根据实际情况调整为甲方/买方所在地</w:t>
      </w:r>
      <w:r>
        <w:rPr>
          <w:rFonts w:hint="eastAsia" w:ascii="仿宋_GB2312" w:eastAsia="仿宋_GB2312" w:hAnsiTheme="minorEastAsia" w:cstheme="minorEastAsia"/>
          <w:sz w:val="24"/>
          <w:szCs w:val="24"/>
        </w:rPr>
        <w:t>）签订：</w:t>
      </w:r>
    </w:p>
    <w:p>
      <w:pPr>
        <w:spacing w:line="360" w:lineRule="auto"/>
        <w:ind w:right="-189" w:rightChars="-90" w:firstLine="480" w:firstLineChars="20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鉴于，买方向卖方购买</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项目</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设备</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台（套），就该设备的设计、制造、运输、定点卸货、安装（或指导安装）、调试、验收、培训及售后服务等有关问题，以上所列内容经买卖双方协商自愿达成本合同：</w:t>
      </w:r>
    </w:p>
    <w:p>
      <w:pPr>
        <w:pStyle w:val="4"/>
        <w:tabs>
          <w:tab w:val="right" w:leader="dot" w:pos="9061"/>
        </w:tabs>
        <w:spacing w:before="312" w:beforeLines="100"/>
        <w:ind w:firstLine="529" w:firstLineChars="189"/>
        <w:rPr>
          <w:rFonts w:hint="eastAsia" w:ascii="黑体" w:hAnsi="黑体" w:eastAsia="黑体" w:cstheme="minorEastAsia"/>
          <w:b w:val="0"/>
          <w:sz w:val="28"/>
          <w:szCs w:val="28"/>
        </w:rPr>
      </w:pPr>
      <w:bookmarkStart w:id="43" w:name="_Toc11930"/>
      <w:bookmarkStart w:id="44" w:name="_Toc11823"/>
      <w:bookmarkStart w:id="45" w:name="_Toc17619"/>
      <w:bookmarkStart w:id="46" w:name="_Toc16330018"/>
      <w:r>
        <w:rPr>
          <w:rFonts w:hint="eastAsia" w:ascii="黑体" w:hAnsi="黑体" w:eastAsia="黑体" w:cstheme="minorEastAsia"/>
          <w:b w:val="0"/>
          <w:sz w:val="28"/>
          <w:szCs w:val="28"/>
        </w:rPr>
        <w:t>1 合同设备</w:t>
      </w:r>
      <w:bookmarkEnd w:id="43"/>
      <w:bookmarkEnd w:id="44"/>
      <w:bookmarkEnd w:id="45"/>
      <w:bookmarkEnd w:id="46"/>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1.1买方向卖方购买的设备信息见附件一：《设备清单明细表》</w:t>
      </w:r>
    </w:p>
    <w:p>
      <w:pPr>
        <w:spacing w:line="360" w:lineRule="auto"/>
        <w:ind w:firstLine="453" w:firstLineChars="189"/>
        <w:rPr>
          <w:rFonts w:hint="eastAsia" w:ascii="仿宋_GB2312" w:eastAsia="仿宋_GB2312" w:hAnsiTheme="minorEastAsia" w:cstheme="minorEastAsia"/>
          <w:sz w:val="24"/>
          <w:szCs w:val="24"/>
        </w:rPr>
      </w:pPr>
      <w:bookmarkStart w:id="47" w:name="_Toc32510"/>
      <w:bookmarkStart w:id="48" w:name="_Toc29026"/>
      <w:bookmarkStart w:id="49" w:name="_Toc22800"/>
      <w:r>
        <w:rPr>
          <w:rFonts w:hint="eastAsia" w:ascii="仿宋_GB2312" w:eastAsia="仿宋_GB2312" w:hAnsiTheme="minorEastAsia" w:cstheme="minorEastAsia"/>
          <w:sz w:val="24"/>
          <w:szCs w:val="24"/>
        </w:rPr>
        <w:t>1.2技术规格和标准</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1.2.1本合同约定设备的技术规格详见附件二《技术协议书》。</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1.3在设备所有权转移到买方之前，有关设备的保险由卖方负责办理并承担保险费用。</w:t>
      </w:r>
    </w:p>
    <w:p>
      <w:pPr>
        <w:pStyle w:val="4"/>
        <w:tabs>
          <w:tab w:val="right" w:leader="dot" w:pos="9061"/>
        </w:tabs>
        <w:spacing w:before="312" w:beforeLines="100"/>
        <w:ind w:firstLine="529" w:firstLineChars="189"/>
        <w:rPr>
          <w:rFonts w:hint="eastAsia" w:ascii="黑体" w:hAnsi="黑体" w:eastAsia="黑体" w:cstheme="minorEastAsia"/>
          <w:b w:val="0"/>
          <w:sz w:val="28"/>
          <w:szCs w:val="28"/>
        </w:rPr>
      </w:pPr>
      <w:bookmarkStart w:id="50" w:name="_Toc16330019"/>
      <w:r>
        <w:rPr>
          <w:rFonts w:hint="eastAsia" w:ascii="黑体" w:hAnsi="黑体" w:eastAsia="黑体" w:cstheme="minorEastAsia"/>
          <w:b w:val="0"/>
          <w:sz w:val="28"/>
          <w:szCs w:val="28"/>
        </w:rPr>
        <w:t>2 包装</w:t>
      </w:r>
      <w:bookmarkEnd w:id="47"/>
      <w:bookmarkEnd w:id="48"/>
      <w:bookmarkEnd w:id="49"/>
      <w:bookmarkEnd w:id="50"/>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2.2每件包装应附有详细的装箱单和质量证书各两套，一套在包装箱里，一套在包装箱外。</w:t>
      </w:r>
    </w:p>
    <w:p>
      <w:pPr>
        <w:pStyle w:val="4"/>
        <w:tabs>
          <w:tab w:val="right" w:leader="dot" w:pos="9061"/>
        </w:tabs>
        <w:spacing w:before="312" w:beforeLines="100"/>
        <w:ind w:firstLine="529" w:firstLineChars="189"/>
        <w:rPr>
          <w:rFonts w:hint="eastAsia" w:ascii="黑体" w:hAnsi="黑体" w:eastAsia="黑体" w:cstheme="minorEastAsia"/>
          <w:b w:val="0"/>
          <w:sz w:val="28"/>
          <w:szCs w:val="28"/>
        </w:rPr>
      </w:pPr>
      <w:bookmarkStart w:id="51" w:name="_Toc27453"/>
      <w:bookmarkStart w:id="52" w:name="_Toc16330020"/>
      <w:bookmarkStart w:id="53" w:name="_Toc2833"/>
      <w:bookmarkStart w:id="54" w:name="_Toc27144"/>
      <w:r>
        <w:rPr>
          <w:rFonts w:hint="eastAsia" w:ascii="黑体" w:hAnsi="黑体" w:eastAsia="黑体" w:cstheme="minorEastAsia"/>
          <w:b w:val="0"/>
          <w:sz w:val="28"/>
          <w:szCs w:val="28"/>
        </w:rPr>
        <w:t>3 运输标记</w:t>
      </w:r>
      <w:bookmarkEnd w:id="51"/>
      <w:bookmarkEnd w:id="52"/>
      <w:bookmarkEnd w:id="53"/>
      <w:bookmarkEnd w:id="54"/>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3.1卖方应在每一包装箱邻近的四个侧面用不易褪色的油漆以醒目的中文印刷字体标明以下各项：</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3.1.1收货人</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3.1.2合同号</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3.1.3发货标记（唛头）</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3.1.4设备的名称、品目号、箱号</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3.1.5毛重/净重（公斤）</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3.1.6尺寸（长×宽×高，以厘米计）</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pStyle w:val="4"/>
        <w:tabs>
          <w:tab w:val="right" w:leader="dot" w:pos="9061"/>
        </w:tabs>
        <w:spacing w:before="312" w:beforeLines="100"/>
        <w:ind w:firstLine="529" w:firstLineChars="189"/>
        <w:rPr>
          <w:rFonts w:hint="eastAsia" w:ascii="黑体" w:hAnsi="黑体" w:eastAsia="黑体" w:cstheme="minorEastAsia"/>
          <w:b w:val="0"/>
          <w:sz w:val="28"/>
          <w:szCs w:val="28"/>
        </w:rPr>
      </w:pPr>
      <w:bookmarkStart w:id="55" w:name="_Toc16330021"/>
      <w:bookmarkStart w:id="56" w:name="_Toc16133"/>
      <w:bookmarkStart w:id="57" w:name="_Toc10630"/>
      <w:bookmarkStart w:id="58" w:name="_Toc7431"/>
      <w:r>
        <w:rPr>
          <w:rFonts w:hint="eastAsia" w:ascii="黑体" w:hAnsi="黑体" w:eastAsia="黑体" w:cstheme="minorEastAsia"/>
          <w:b w:val="0"/>
          <w:sz w:val="28"/>
          <w:szCs w:val="28"/>
        </w:rPr>
        <w:t>4 检验</w:t>
      </w:r>
      <w:bookmarkEnd w:id="55"/>
      <w:bookmarkEnd w:id="56"/>
      <w:bookmarkEnd w:id="57"/>
      <w:bookmarkEnd w:id="58"/>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4.2国家强制检验检测的设备，需要经过国家有关部门进行检验检测，卖方保证提供的设备通过其检验并承担费用。</w:t>
      </w:r>
    </w:p>
    <w:p>
      <w:pPr>
        <w:pStyle w:val="4"/>
        <w:tabs>
          <w:tab w:val="right" w:leader="dot" w:pos="9061"/>
        </w:tabs>
        <w:spacing w:before="312" w:beforeLines="100"/>
        <w:ind w:firstLine="529" w:firstLineChars="189"/>
        <w:rPr>
          <w:rFonts w:hint="eastAsia" w:ascii="黑体" w:hAnsi="黑体" w:eastAsia="黑体" w:cstheme="minorEastAsia"/>
          <w:b w:val="0"/>
          <w:sz w:val="28"/>
          <w:szCs w:val="28"/>
        </w:rPr>
      </w:pPr>
      <w:bookmarkStart w:id="59" w:name="_Toc16330022"/>
      <w:bookmarkStart w:id="60" w:name="_Toc19850"/>
      <w:bookmarkStart w:id="61" w:name="_Toc24467"/>
      <w:bookmarkStart w:id="62" w:name="_Toc11217"/>
      <w:r>
        <w:rPr>
          <w:rFonts w:hint="eastAsia" w:ascii="黑体" w:hAnsi="黑体" w:eastAsia="黑体" w:cstheme="minorEastAsia"/>
          <w:b w:val="0"/>
          <w:sz w:val="28"/>
          <w:szCs w:val="28"/>
        </w:rPr>
        <w:t>5 权利担保</w:t>
      </w:r>
      <w:bookmarkEnd w:id="59"/>
      <w:bookmarkEnd w:id="60"/>
      <w:bookmarkEnd w:id="61"/>
      <w:bookmarkEnd w:id="62"/>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5.2卖方应保证第三方对其提交的设备不得以侵权或其他类似理由提出合法要求，如侵犯知识产权等。</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5.4买方应在已知道第三方的权利或要求后的一段合理时间内，将此权利或要求的性质通知卖方。</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pStyle w:val="4"/>
        <w:tabs>
          <w:tab w:val="right" w:leader="dot" w:pos="9061"/>
        </w:tabs>
        <w:spacing w:before="312" w:beforeLines="100"/>
        <w:ind w:firstLine="529" w:firstLineChars="189"/>
        <w:rPr>
          <w:rFonts w:hint="eastAsia" w:ascii="黑体" w:hAnsi="黑体" w:eastAsia="黑体" w:cstheme="minorEastAsia"/>
          <w:b w:val="0"/>
          <w:sz w:val="28"/>
          <w:szCs w:val="28"/>
        </w:rPr>
      </w:pPr>
      <w:bookmarkStart w:id="63" w:name="_Toc16330023"/>
      <w:bookmarkStart w:id="64" w:name="_Toc27500"/>
      <w:bookmarkStart w:id="65" w:name="_Toc14809"/>
      <w:bookmarkStart w:id="66" w:name="_Toc11759"/>
      <w:r>
        <w:rPr>
          <w:rFonts w:hint="eastAsia" w:ascii="黑体" w:hAnsi="黑体" w:eastAsia="黑体" w:cstheme="minorEastAsia"/>
          <w:b w:val="0"/>
          <w:sz w:val="28"/>
          <w:szCs w:val="28"/>
        </w:rPr>
        <w:t>6 交货</w:t>
      </w:r>
      <w:bookmarkEnd w:id="63"/>
      <w:bookmarkEnd w:id="64"/>
      <w:bookmarkEnd w:id="65"/>
      <w:bookmarkEnd w:id="66"/>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hint="eastAsia" w:ascii="仿宋_GB2312" w:eastAsia="仿宋_GB2312" w:hAnsiTheme="minorEastAsia" w:cstheme="minorEastAsia"/>
          <w:i/>
          <w:iCs/>
          <w:sz w:val="24"/>
          <w:szCs w:val="24"/>
          <w:u w:val="double"/>
        </w:rPr>
      </w:pPr>
      <w:r>
        <w:rPr>
          <w:rFonts w:hint="eastAsia" w:ascii="仿宋_GB2312" w:eastAsia="仿宋_GB2312" w:hAnsiTheme="minorEastAsia" w:cstheme="minorEastAsia"/>
          <w:sz w:val="24"/>
          <w:szCs w:val="24"/>
        </w:rPr>
        <w:t>6.4交货方式</w:t>
      </w:r>
      <w:r>
        <w:rPr>
          <w:rFonts w:hint="eastAsia" w:ascii="仿宋_GB2312" w:eastAsia="仿宋_GB2312" w:hAnsiTheme="minorEastAsia" w:cstheme="minorEastAsia"/>
          <w:bCs/>
          <w:sz w:val="24"/>
          <w:szCs w:val="24"/>
        </w:rPr>
        <w:t>：</w:t>
      </w:r>
      <w:r>
        <w:rPr>
          <w:rFonts w:hint="eastAsia" w:ascii="仿宋_GB2312" w:eastAsia="仿宋_GB2312" w:hAnsiTheme="minorEastAsia" w:cstheme="minorEastAsia"/>
          <w:bCs/>
          <w:sz w:val="24"/>
          <w:szCs w:val="24"/>
          <w:u w:val="single"/>
        </w:rPr>
        <w:t xml:space="preserve">        </w:t>
      </w:r>
      <w:r>
        <w:rPr>
          <w:rFonts w:hint="eastAsia" w:ascii="仿宋_GB2312" w:eastAsia="仿宋_GB2312" w:hAnsiTheme="minorEastAsia" w:cstheme="minorEastAsia"/>
          <w:iCs/>
          <w:sz w:val="24"/>
          <w:szCs w:val="24"/>
          <w:u w:val="single"/>
        </w:rPr>
        <w:t>（可选择6.4.1-6.4.3定义的方式或根据实际约定）</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6.4.1交钥匙方式：卖方负责合同设备的设计、制造、运输、定点卸货、安装、调试、培训及售后服务等所有内容，直至买方验收合格并交付使用。</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6.4.3自提：买方依照合同约定到卖方所在地提取合同设备，经买方根据合同所约定的数量、型号及配置等内容逐一确认无误后，双方完成交付手续。</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6.5交货地点：</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 xml:space="preserve">      </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6.6到货时间：</w:t>
      </w:r>
      <w:r>
        <w:rPr>
          <w:rFonts w:hint="eastAsia" w:ascii="仿宋_GB2312" w:eastAsia="仿宋_GB2312" w:hAnsiTheme="minorEastAsia" w:cstheme="minorEastAsia"/>
          <w:sz w:val="24"/>
          <w:szCs w:val="24"/>
          <w:u w:val="single"/>
        </w:rPr>
        <w:t>20  年  月   日前</w:t>
      </w:r>
      <w:r>
        <w:rPr>
          <w:rFonts w:hint="eastAsia" w:ascii="仿宋_GB2312" w:eastAsia="仿宋_GB2312" w:hAnsiTheme="minorEastAsia" w:cstheme="minorEastAsia"/>
          <w:sz w:val="24"/>
          <w:szCs w:val="24"/>
        </w:rPr>
        <w:t xml:space="preserve">         </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6.8卖方在交付设备前需通知买方。</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6.9风险的转移：</w:t>
      </w:r>
    </w:p>
    <w:p>
      <w:pPr>
        <w:spacing w:line="360" w:lineRule="auto"/>
        <w:ind w:firstLine="453" w:firstLineChars="189"/>
        <w:rPr>
          <w:rFonts w:hint="eastAsia" w:asciiTheme="minorEastAsia" w:hAnsiTheme="minorEastAsia" w:cstheme="minorEastAsia"/>
          <w:sz w:val="20"/>
          <w:szCs w:val="20"/>
        </w:rPr>
      </w:pPr>
      <w:r>
        <w:rPr>
          <w:rFonts w:hint="eastAsia" w:ascii="仿宋_GB2312" w:eastAsia="仿宋_GB2312" w:hAnsiTheme="minorEastAsia" w:cstheme="minor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pStyle w:val="4"/>
        <w:tabs>
          <w:tab w:val="right" w:leader="dot" w:pos="9061"/>
        </w:tabs>
        <w:spacing w:before="312" w:beforeLines="100"/>
        <w:ind w:firstLine="529" w:firstLineChars="189"/>
        <w:rPr>
          <w:rFonts w:hint="eastAsia" w:ascii="黑体" w:hAnsi="黑体" w:eastAsia="黑体" w:cstheme="minorEastAsia"/>
          <w:b w:val="0"/>
          <w:sz w:val="28"/>
          <w:szCs w:val="28"/>
        </w:rPr>
      </w:pPr>
      <w:bookmarkStart w:id="67" w:name="_Toc8024"/>
      <w:bookmarkStart w:id="68" w:name="_Toc16330024"/>
      <w:bookmarkStart w:id="69" w:name="_Toc25510"/>
      <w:bookmarkStart w:id="70" w:name="_Toc2984"/>
      <w:r>
        <w:rPr>
          <w:rFonts w:hint="eastAsia" w:ascii="黑体" w:hAnsi="黑体" w:eastAsia="黑体" w:cstheme="minorEastAsia"/>
          <w:b w:val="0"/>
          <w:sz w:val="28"/>
          <w:szCs w:val="28"/>
        </w:rPr>
        <w:t>7 安装、调试</w:t>
      </w:r>
      <w:bookmarkEnd w:id="67"/>
      <w:bookmarkEnd w:id="68"/>
      <w:bookmarkEnd w:id="69"/>
      <w:bookmarkEnd w:id="70"/>
    </w:p>
    <w:p>
      <w:pPr>
        <w:pStyle w:val="12"/>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7.1 卖方须在到货后</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日内安装调试完成。</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7.4</w:t>
      </w:r>
      <w:r>
        <w:rPr>
          <w:rFonts w:hint="eastAsia" w:ascii="仿宋_GB2312" w:hAnsi="黑体" w:eastAsia="仿宋_GB2312" w:cstheme="minorEastAsia"/>
          <w:bCs/>
          <w:sz w:val="24"/>
          <w:szCs w:val="24"/>
        </w:rPr>
        <w:t xml:space="preserve"> </w:t>
      </w:r>
      <w:r>
        <w:rPr>
          <w:rFonts w:hint="eastAsia" w:ascii="仿宋_GB2312" w:hAnsi="黑体" w:eastAsia="仿宋_GB2312" w:cstheme="minorEastAsia"/>
          <w:sz w:val="24"/>
          <w:szCs w:val="24"/>
        </w:rPr>
        <w:t>卖方须对安装、调试过程中造成的买方或他人人身损害或财产损失承担赔偿责任。</w:t>
      </w:r>
    </w:p>
    <w:p>
      <w:pPr>
        <w:spacing w:line="360" w:lineRule="auto"/>
        <w:ind w:firstLine="453" w:firstLineChars="189"/>
        <w:rPr>
          <w:rFonts w:hint="eastAsia" w:ascii="仿宋_GB2312" w:hAnsi="黑体" w:eastAsia="仿宋_GB2312" w:cstheme="minorEastAsia"/>
          <w:sz w:val="24"/>
          <w:szCs w:val="24"/>
        </w:rPr>
      </w:pPr>
      <w:r>
        <w:rPr>
          <w:rFonts w:ascii="仿宋_GB2312" w:hAnsi="黑体" w:eastAsia="仿宋_GB2312" w:cstheme="minorEastAsia"/>
          <w:sz w:val="24"/>
          <w:szCs w:val="24"/>
        </w:rPr>
        <w:t>7.5 若设备安装、调试过程中需使用买方产品的，买方提供调试所用产品数量【】件，超出此数量部分由卖方提供，由此产生的相关费用由卖方承担。</w:t>
      </w:r>
    </w:p>
    <w:p>
      <w:pPr>
        <w:pStyle w:val="4"/>
        <w:tabs>
          <w:tab w:val="right" w:leader="dot" w:pos="9061"/>
        </w:tabs>
        <w:spacing w:before="312" w:beforeLines="100"/>
        <w:ind w:firstLine="529" w:firstLineChars="189"/>
        <w:rPr>
          <w:rFonts w:hint="eastAsia" w:ascii="黑体" w:hAnsi="黑体" w:eastAsia="黑体" w:cstheme="minorEastAsia"/>
          <w:b w:val="0"/>
          <w:sz w:val="28"/>
          <w:szCs w:val="28"/>
        </w:rPr>
      </w:pPr>
      <w:bookmarkStart w:id="71" w:name="_Toc14260"/>
      <w:bookmarkStart w:id="72" w:name="_Toc14098"/>
      <w:bookmarkStart w:id="73" w:name="_Toc6350"/>
      <w:bookmarkStart w:id="74" w:name="_Toc16330025"/>
      <w:r>
        <w:rPr>
          <w:rFonts w:hint="eastAsia" w:ascii="黑体" w:hAnsi="黑体" w:eastAsia="黑体" w:cstheme="minorEastAsia"/>
          <w:b w:val="0"/>
          <w:sz w:val="28"/>
          <w:szCs w:val="28"/>
        </w:rPr>
        <w:t>8 价款与支付</w:t>
      </w:r>
      <w:bookmarkEnd w:id="71"/>
      <w:bookmarkEnd w:id="72"/>
      <w:bookmarkEnd w:id="73"/>
      <w:bookmarkEnd w:id="74"/>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8.1本合同不含税总价为人民币</w:t>
      </w:r>
      <w:r>
        <w:rPr>
          <w:rFonts w:hint="eastAsia" w:ascii="仿宋_GB2312" w:eastAsia="仿宋_GB2312" w:cs="Calibri"/>
          <w:sz w:val="24"/>
          <w:szCs w:val="24"/>
        </w:rPr>
        <w:t>¥</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），增值税税率</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rPr>
        <w:t>【】</w:t>
      </w:r>
      <w:r>
        <w:rPr>
          <w:rFonts w:hint="eastAsia" w:ascii="仿宋_GB2312" w:hAnsi="黑体" w:eastAsia="仿宋_GB2312" w:cstheme="minorEastAsia"/>
          <w:sz w:val="24"/>
          <w:szCs w:val="24"/>
        </w:rPr>
        <w:t>%，税额</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元，含税总价</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元人民币（大写：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），如国家出台新政策对增值税率进行了调整，则不含税价款不变，本合同含税总价在不含税价基础上根据国家最新税法进行相应的调整。</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8.2合同价款的结算方式：半年期商业汇票（包括银行承兑汇票和商业承兑汇票）（如有其它方式可据实填写）</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 xml:space="preserve">         </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8.3合同价款的支付：（如有不同付款比例，则按照招标文件约定据实填写）</w:t>
      </w:r>
    </w:p>
    <w:p>
      <w:pPr>
        <w:spacing w:line="360" w:lineRule="auto"/>
        <w:ind w:firstLine="453" w:firstLineChars="189"/>
        <w:rPr>
          <w:rFonts w:hint="eastAsia" w:ascii="仿宋_GB2312" w:hAnsi="黑体" w:eastAsia="仿宋_GB2312" w:cstheme="minorEastAsia"/>
          <w:i/>
          <w:sz w:val="24"/>
          <w:szCs w:val="24"/>
        </w:rPr>
      </w:pPr>
      <w:r>
        <w:rPr>
          <w:rFonts w:hint="eastAsia" w:ascii="仿宋_GB2312" w:hAnsi="黑体" w:eastAsia="仿宋_GB2312" w:cstheme="minorEastAsia"/>
          <w:sz w:val="24"/>
          <w:szCs w:val="24"/>
        </w:rPr>
        <w:t>8.3.1合同生效设备全部到齐无质量问题通过买方初步验收后, 卖方提交金额为合同含税价款60 %的收据（正本一份，复印件二份），经买方依照财务制度审核无误后【】日后支付。</w:t>
      </w:r>
      <w:r>
        <w:rPr>
          <w:rFonts w:hint="eastAsia" w:ascii="仿宋_GB2312" w:hAnsi="黑体" w:eastAsia="仿宋_GB2312" w:cstheme="minorEastAsia"/>
          <w:i/>
          <w:sz w:val="24"/>
          <w:szCs w:val="24"/>
        </w:rPr>
        <w:t>【按照实际业务的</w:t>
      </w:r>
      <w:r>
        <w:rPr>
          <w:rFonts w:ascii="仿宋_GB2312" w:hAnsi="黑体" w:eastAsia="仿宋_GB2312" w:cstheme="minorEastAsia"/>
          <w:i/>
          <w:sz w:val="24"/>
          <w:szCs w:val="24"/>
        </w:rPr>
        <w:t>SAP</w:t>
      </w:r>
      <w:r>
        <w:rPr>
          <w:rFonts w:hint="eastAsia" w:ascii="仿宋_GB2312" w:hAnsi="黑体" w:eastAsia="仿宋_GB2312" w:cstheme="minorEastAsia"/>
          <w:i/>
          <w:sz w:val="24"/>
          <w:szCs w:val="24"/>
        </w:rPr>
        <w:t>付款条件填写】</w:t>
      </w:r>
    </w:p>
    <w:p>
      <w:pPr>
        <w:spacing w:line="360" w:lineRule="auto"/>
        <w:ind w:firstLine="453" w:firstLineChars="189"/>
        <w:rPr>
          <w:rFonts w:hint="eastAsia" w:ascii="仿宋_GB2312" w:hAnsi="黑体" w:eastAsia="仿宋_GB2312" w:cstheme="minorEastAsia"/>
          <w:i/>
          <w:sz w:val="24"/>
          <w:szCs w:val="24"/>
        </w:rPr>
      </w:pPr>
      <w:r>
        <w:rPr>
          <w:rFonts w:hint="eastAsia" w:ascii="仿宋_GB2312" w:hAnsi="黑体" w:eastAsia="仿宋_GB2312" w:cstheme="minorEastAsia"/>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p>
    <w:p>
      <w:pPr>
        <w:spacing w:line="360" w:lineRule="auto"/>
        <w:ind w:firstLine="453" w:firstLineChars="189"/>
        <w:rPr>
          <w:rFonts w:hint="eastAsia" w:ascii="仿宋_GB2312" w:hAnsi="黑体" w:eastAsia="仿宋_GB2312" w:cstheme="minorEastAsia"/>
          <w:i/>
          <w:sz w:val="24"/>
          <w:szCs w:val="24"/>
        </w:rPr>
      </w:pPr>
      <w:bookmarkStart w:id="75" w:name="_Toc14676804"/>
      <w:bookmarkStart w:id="76" w:name="_Toc14531628"/>
      <w:r>
        <w:rPr>
          <w:rFonts w:hint="eastAsia" w:ascii="仿宋_GB2312" w:hAnsi="黑体" w:eastAsia="仿宋_GB2312" w:cstheme="minorEastAsia"/>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r>
        <w:rPr>
          <w:rFonts w:hint="eastAsia" w:ascii="仿宋_GB2312" w:hAnsi="黑体" w:eastAsia="仿宋_GB2312" w:cstheme="minorEastAsia"/>
          <w:sz w:val="24"/>
          <w:szCs w:val="24"/>
        </w:rPr>
        <w:t>如有质量问题，质量保证金予以相应扣除。</w:t>
      </w:r>
      <w:bookmarkEnd w:id="75"/>
      <w:bookmarkEnd w:id="76"/>
    </w:p>
    <w:p>
      <w:pPr>
        <w:pStyle w:val="4"/>
        <w:tabs>
          <w:tab w:val="right" w:leader="dot" w:pos="9061"/>
        </w:tabs>
        <w:spacing w:before="312" w:beforeLines="100"/>
        <w:ind w:firstLine="529" w:firstLineChars="189"/>
        <w:rPr>
          <w:rFonts w:hint="eastAsia" w:ascii="黑体" w:hAnsi="黑体" w:eastAsia="黑体" w:cstheme="minorEastAsia"/>
          <w:b w:val="0"/>
          <w:sz w:val="28"/>
          <w:szCs w:val="28"/>
        </w:rPr>
      </w:pPr>
      <w:bookmarkStart w:id="77" w:name="_Toc24085"/>
      <w:bookmarkStart w:id="78" w:name="_Toc6726"/>
      <w:bookmarkStart w:id="79" w:name="_Toc16330026"/>
      <w:bookmarkStart w:id="80" w:name="_Toc25708"/>
      <w:r>
        <w:rPr>
          <w:rFonts w:hint="eastAsia" w:ascii="黑体" w:hAnsi="黑体" w:eastAsia="黑体" w:cstheme="minorEastAsia"/>
          <w:b w:val="0"/>
          <w:sz w:val="28"/>
          <w:szCs w:val="28"/>
        </w:rPr>
        <w:t>9 质量保证及售后服务</w:t>
      </w:r>
      <w:bookmarkEnd w:id="77"/>
      <w:bookmarkEnd w:id="78"/>
      <w:bookmarkEnd w:id="79"/>
      <w:bookmarkEnd w:id="80"/>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9.4本合同约定设备的质量保证期：自最终验收报告签署之日（以签署日期最晚者为准）起</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年。</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9.7质量保证期满后，卖方保证向买方提供及时的、质优的、价格优惠的技术服务和备品备件供应。</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9.8质量保证期满后，如出现质量问题，卖方也应及时修复和更换，且只收取成本费，费用由买方承担，卖方对设备质量问题所负的责任直到设备使用寿命周期结束。</w:t>
      </w:r>
    </w:p>
    <w:p>
      <w:pPr>
        <w:pStyle w:val="4"/>
        <w:tabs>
          <w:tab w:val="right" w:leader="dot" w:pos="9061"/>
        </w:tabs>
        <w:spacing w:before="312" w:beforeLines="100"/>
        <w:ind w:firstLine="529" w:firstLineChars="189"/>
        <w:rPr>
          <w:rFonts w:hint="eastAsia" w:ascii="黑体" w:hAnsi="黑体" w:eastAsia="黑体" w:cstheme="minorEastAsia"/>
          <w:b w:val="0"/>
          <w:sz w:val="28"/>
          <w:szCs w:val="28"/>
        </w:rPr>
      </w:pPr>
      <w:bookmarkStart w:id="81" w:name="_Toc12927"/>
      <w:bookmarkStart w:id="82" w:name="_Toc16330027"/>
      <w:bookmarkStart w:id="83" w:name="_Toc15570"/>
      <w:bookmarkStart w:id="84" w:name="_Toc10359"/>
      <w:r>
        <w:rPr>
          <w:rFonts w:hint="eastAsia" w:ascii="黑体" w:hAnsi="黑体" w:eastAsia="黑体" w:cstheme="minorEastAsia"/>
          <w:b w:val="0"/>
          <w:sz w:val="28"/>
          <w:szCs w:val="28"/>
        </w:rPr>
        <w:t>10法定责任</w:t>
      </w:r>
      <w:bookmarkEnd w:id="81"/>
      <w:bookmarkEnd w:id="82"/>
      <w:bookmarkEnd w:id="83"/>
      <w:bookmarkEnd w:id="84"/>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10.2除非本合同中另有规定或买方同意，卖方不得全部或部分转让本合同项下的权利义务。</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hint="eastAsia" w:asciiTheme="minorEastAsia" w:hAnsiTheme="minorEastAsia" w:cstheme="minorEastAsia"/>
          <w:sz w:val="20"/>
          <w:szCs w:val="20"/>
        </w:rPr>
      </w:pPr>
      <w:r>
        <w:rPr>
          <w:rFonts w:hint="eastAsia" w:ascii="仿宋_GB2312" w:hAnsi="黑体" w:eastAsia="仿宋_GB2312" w:cstheme="minorEastAsia"/>
          <w:sz w:val="24"/>
          <w:szCs w:val="24"/>
        </w:rPr>
        <w:t>10.4除对方预先书面同意外，任何一方在本合同签订和履行期间或本合同终止后不得向第三方披露在本合同履行过程中知悉的与对方有关的任何商业秘密。</w:t>
      </w:r>
    </w:p>
    <w:p>
      <w:pPr>
        <w:pStyle w:val="4"/>
        <w:tabs>
          <w:tab w:val="right" w:leader="dot" w:pos="9061"/>
        </w:tabs>
        <w:spacing w:before="312" w:beforeLines="100"/>
        <w:ind w:firstLine="529" w:firstLineChars="189"/>
        <w:rPr>
          <w:rFonts w:hint="eastAsia" w:ascii="黑体" w:hAnsi="黑体" w:eastAsia="黑体" w:cstheme="minorEastAsia"/>
          <w:b w:val="0"/>
          <w:sz w:val="28"/>
          <w:szCs w:val="28"/>
        </w:rPr>
      </w:pPr>
      <w:bookmarkStart w:id="85" w:name="_Toc9708"/>
      <w:bookmarkStart w:id="86" w:name="_Toc30381"/>
      <w:bookmarkStart w:id="87" w:name="_Toc27314"/>
      <w:bookmarkStart w:id="88" w:name="_Toc16330028"/>
      <w:r>
        <w:rPr>
          <w:rFonts w:hint="eastAsia" w:ascii="黑体" w:hAnsi="黑体" w:eastAsia="黑体" w:cstheme="minorEastAsia"/>
          <w:b w:val="0"/>
          <w:sz w:val="28"/>
          <w:szCs w:val="28"/>
        </w:rPr>
        <w:t>11 违约责任</w:t>
      </w:r>
      <w:bookmarkEnd w:id="85"/>
      <w:bookmarkEnd w:id="86"/>
      <w:bookmarkEnd w:id="87"/>
      <w:bookmarkEnd w:id="88"/>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11.1.2根据设备的瑕疵和受损程度以及买方遭受损失的金额，经买方同意降低设备价格。</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hint="eastAsia" w:ascii="仿宋_GB2312" w:hAnsi="黑体" w:eastAsia="仿宋_GB2312" w:cstheme="minorEastAsia"/>
          <w:sz w:val="24"/>
          <w:szCs w:val="24"/>
        </w:rPr>
      </w:pPr>
      <w:r>
        <w:rPr>
          <w:rFonts w:ascii="仿宋_GB2312" w:hAnsi="黑体" w:eastAsia="仿宋_GB2312" w:cstheme="minorEastAsia"/>
          <w:sz w:val="24"/>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p>
    <w:p>
      <w:pPr>
        <w:spacing w:line="360" w:lineRule="auto"/>
        <w:ind w:firstLine="453" w:firstLineChars="189"/>
        <w:rPr>
          <w:rFonts w:hint="eastAsia" w:ascii="仿宋_GB2312" w:hAnsi="黑体" w:eastAsia="仿宋_GB2312" w:cstheme="minorEastAsia"/>
          <w:sz w:val="24"/>
          <w:szCs w:val="24"/>
        </w:rPr>
      </w:pPr>
      <w:r>
        <w:rPr>
          <w:rFonts w:ascii="仿宋_GB2312" w:hAnsi="黑体" w:eastAsia="仿宋_GB2312" w:cstheme="minorEastAsia"/>
          <w:sz w:val="24"/>
          <w:szCs w:val="24"/>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pPr>
        <w:spacing w:line="360" w:lineRule="auto"/>
        <w:ind w:firstLine="453" w:firstLineChars="189"/>
        <w:rPr>
          <w:rFonts w:hint="eastAsia" w:ascii="仿宋_GB2312" w:hAnsi="黑体" w:eastAsia="仿宋_GB2312" w:cstheme="minorEastAsia"/>
          <w:sz w:val="24"/>
          <w:szCs w:val="24"/>
        </w:rPr>
      </w:pPr>
      <w:r>
        <w:rPr>
          <w:rFonts w:ascii="仿宋_GB2312" w:hAnsi="黑体" w:eastAsia="仿宋_GB2312" w:cstheme="minorEastAsia"/>
          <w:sz w:val="24"/>
          <w:szCs w:val="24"/>
        </w:rPr>
        <w:t>11.5买方延期付款时（有正当拒付理由者除外），每日按延付金额的 3 ‰向卖方偿付延期付款违约金，但违约金总额不超过延付金额的 50 ‰。</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‰的违约金（合同额不足10万元按照2000元/天计取），且不免除维修的责任。违约金在质保金中扣除。</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w:t>
      </w:r>
      <w:r>
        <w:rPr>
          <w:rFonts w:ascii="仿宋_GB2312" w:hAnsi="黑体" w:eastAsia="仿宋_GB2312" w:cstheme="minorEastAsia"/>
          <w:sz w:val="24"/>
          <w:szCs w:val="24"/>
        </w:rPr>
        <w:t>1.7</w:t>
      </w:r>
      <w:r>
        <w:rPr>
          <w:rFonts w:hint="eastAsia" w:ascii="仿宋_GB2312" w:hAnsi="黑体" w:eastAsia="仿宋_GB2312" w:cstheme="minorEastAsia"/>
          <w:sz w:val="24"/>
          <w:szCs w:val="24"/>
        </w:rPr>
        <w:t>因发票违规给买方造成的增值税、所得税等损失，由卖方承担相关责任，包括但不限于税款、滞纳金、罚款及其它相关损失。</w:t>
      </w:r>
    </w:p>
    <w:p>
      <w:pPr>
        <w:spacing w:line="360" w:lineRule="auto"/>
        <w:ind w:firstLine="453" w:firstLineChars="189"/>
        <w:rPr>
          <w:rFonts w:hint="eastAsia" w:asciiTheme="minorEastAsia" w:hAnsiTheme="minorEastAsia" w:cstheme="minorEastAsia"/>
          <w:sz w:val="20"/>
          <w:szCs w:val="20"/>
        </w:rPr>
      </w:pPr>
      <w:r>
        <w:rPr>
          <w:rFonts w:hint="eastAsia" w:ascii="仿宋_GB2312" w:hAnsi="黑体" w:eastAsia="仿宋_GB2312" w:cstheme="minorEastAsia"/>
          <w:sz w:val="24"/>
          <w:szCs w:val="24"/>
        </w:rPr>
        <w:t>11.</w:t>
      </w:r>
      <w:r>
        <w:rPr>
          <w:rFonts w:ascii="仿宋_GB2312" w:hAnsi="黑体" w:eastAsia="仿宋_GB2312" w:cstheme="minorEastAsia"/>
          <w:sz w:val="24"/>
          <w:szCs w:val="24"/>
        </w:rPr>
        <w:t>8</w:t>
      </w:r>
      <w:r>
        <w:rPr>
          <w:rFonts w:hint="eastAsia" w:ascii="仿宋_GB2312" w:hAnsi="黑体" w:eastAsia="仿宋_GB2312" w:cstheme="minorEastAsia"/>
          <w:sz w:val="24"/>
          <w:szCs w:val="24"/>
        </w:rPr>
        <w:t>如果卖方违反本合同其他约定（包括本合同及所有附件）应赔偿因此给买方造成的一切损失。</w:t>
      </w:r>
    </w:p>
    <w:p>
      <w:pPr>
        <w:pStyle w:val="4"/>
        <w:tabs>
          <w:tab w:val="right" w:leader="dot" w:pos="9061"/>
        </w:tabs>
        <w:spacing w:before="312" w:beforeLines="100"/>
        <w:ind w:firstLine="529" w:firstLineChars="189"/>
        <w:rPr>
          <w:rFonts w:hint="eastAsia" w:ascii="黑体" w:hAnsi="黑体" w:eastAsia="黑体" w:cstheme="minorEastAsia"/>
          <w:b w:val="0"/>
          <w:sz w:val="28"/>
          <w:szCs w:val="28"/>
        </w:rPr>
      </w:pPr>
      <w:bookmarkStart w:id="89" w:name="_Toc16330029"/>
      <w:bookmarkStart w:id="90" w:name="_Toc31554"/>
      <w:bookmarkStart w:id="91" w:name="_Toc1827"/>
      <w:bookmarkStart w:id="92" w:name="_Toc9172"/>
      <w:r>
        <w:rPr>
          <w:rFonts w:hint="eastAsia" w:ascii="黑体" w:hAnsi="黑体" w:eastAsia="黑体" w:cstheme="minorEastAsia"/>
          <w:b w:val="0"/>
          <w:sz w:val="28"/>
          <w:szCs w:val="28"/>
        </w:rPr>
        <w:t>12 合同的终止与解除</w:t>
      </w:r>
      <w:bookmarkEnd w:id="89"/>
      <w:bookmarkEnd w:id="90"/>
      <w:bookmarkEnd w:id="91"/>
      <w:bookmarkEnd w:id="92"/>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12.2经双方协商一致，可以解除本合同。</w:t>
      </w:r>
    </w:p>
    <w:p>
      <w:pPr>
        <w:spacing w:line="360" w:lineRule="auto"/>
        <w:ind w:left="397" w:leftChars="189"/>
        <w:rPr>
          <w:rFonts w:hint="eastAsia" w:ascii="仿宋_GB2312" w:hAnsi="黑体" w:eastAsia="仿宋_GB2312" w:cstheme="minorEastAsia"/>
          <w:sz w:val="24"/>
          <w:szCs w:val="24"/>
        </w:rPr>
      </w:pPr>
      <w:r>
        <w:rPr>
          <w:rFonts w:ascii="仿宋_GB2312" w:hAnsi="黑体" w:eastAsia="仿宋_GB2312" w:cstheme="minorEastAsia"/>
          <w:sz w:val="24"/>
          <w:szCs w:val="24"/>
        </w:rPr>
        <w:t>12.3有下列情形之一的，买方可以解除本合同：</w:t>
      </w:r>
    </w:p>
    <w:p>
      <w:pPr>
        <w:spacing w:line="360" w:lineRule="auto"/>
        <w:ind w:left="397" w:leftChars="189"/>
        <w:rPr>
          <w:rFonts w:hint="eastAsia" w:ascii="仿宋_GB2312" w:hAnsi="黑体" w:eastAsia="仿宋_GB2312" w:cstheme="minorEastAsia"/>
          <w:sz w:val="24"/>
          <w:szCs w:val="24"/>
        </w:rPr>
      </w:pPr>
      <w:r>
        <w:rPr>
          <w:rFonts w:ascii="仿宋_GB2312" w:hAnsi="黑体" w:eastAsia="仿宋_GB2312" w:cstheme="minorEastAsia"/>
          <w:sz w:val="24"/>
          <w:szCs w:val="24"/>
        </w:rPr>
        <w:t>12.3.1卖方明确表示或者以自己的行为表明不履行主要义务的；</w:t>
      </w:r>
    </w:p>
    <w:p>
      <w:pPr>
        <w:spacing w:line="360" w:lineRule="auto"/>
        <w:ind w:left="397" w:leftChars="189"/>
        <w:rPr>
          <w:rFonts w:hint="eastAsia" w:ascii="仿宋_GB2312" w:hAnsi="黑体" w:eastAsia="仿宋_GB2312" w:cstheme="minorEastAsia"/>
          <w:sz w:val="24"/>
          <w:szCs w:val="24"/>
        </w:rPr>
      </w:pPr>
      <w:r>
        <w:rPr>
          <w:rFonts w:ascii="仿宋_GB2312" w:hAnsi="黑体" w:eastAsia="仿宋_GB2312" w:cstheme="minorEastAsia"/>
          <w:sz w:val="24"/>
          <w:szCs w:val="24"/>
        </w:rPr>
        <w:t>12.3.2卖方所提交的设备不符合本合同的规定；</w:t>
      </w:r>
    </w:p>
    <w:p>
      <w:pPr>
        <w:spacing w:line="360" w:lineRule="auto"/>
        <w:ind w:left="397" w:leftChars="189"/>
        <w:rPr>
          <w:rFonts w:hint="eastAsia" w:ascii="仿宋_GB2312" w:hAnsi="黑体" w:eastAsia="仿宋_GB2312" w:cstheme="minorEastAsia"/>
          <w:sz w:val="24"/>
          <w:szCs w:val="24"/>
        </w:rPr>
      </w:pPr>
      <w:r>
        <w:rPr>
          <w:rFonts w:ascii="仿宋_GB2312" w:hAnsi="黑体" w:eastAsia="仿宋_GB2312" w:cstheme="minorEastAsia"/>
          <w:sz w:val="24"/>
          <w:szCs w:val="24"/>
        </w:rPr>
        <w:t>12.3.3卖方发生本合同约定的解除情形的；</w:t>
      </w:r>
    </w:p>
    <w:p>
      <w:pPr>
        <w:spacing w:line="360" w:lineRule="auto"/>
        <w:ind w:left="397" w:leftChars="189"/>
        <w:rPr>
          <w:rFonts w:hint="eastAsia" w:ascii="仿宋_GB2312" w:hAnsi="黑体" w:eastAsia="仿宋_GB2312" w:cstheme="minorEastAsia"/>
          <w:sz w:val="24"/>
          <w:szCs w:val="24"/>
        </w:rPr>
      </w:pPr>
      <w:r>
        <w:rPr>
          <w:rFonts w:ascii="仿宋_GB2312" w:hAnsi="黑体" w:eastAsia="仿宋_GB2312" w:cstheme="minorEastAsia"/>
          <w:sz w:val="24"/>
          <w:szCs w:val="24"/>
        </w:rPr>
        <w:t>12.3.4卖方有其他违约行为。</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hint="eastAsia" w:asciiTheme="minorEastAsia" w:hAnsiTheme="minorEastAsia" w:cstheme="minorEastAsia"/>
          <w:sz w:val="20"/>
          <w:szCs w:val="20"/>
        </w:rPr>
      </w:pPr>
      <w:r>
        <w:rPr>
          <w:rFonts w:hint="eastAsia" w:ascii="仿宋_GB2312" w:hAnsi="黑体" w:eastAsia="仿宋_GB2312" w:cstheme="minorEastAsia"/>
          <w:sz w:val="24"/>
          <w:szCs w:val="24"/>
        </w:rPr>
        <w:t>12.7因为卖方违约导致买方解除合同的，卖方应赔偿买方因此所遭受的一切损失。</w:t>
      </w:r>
    </w:p>
    <w:p>
      <w:pPr>
        <w:pStyle w:val="4"/>
        <w:tabs>
          <w:tab w:val="right" w:leader="dot" w:pos="9061"/>
        </w:tabs>
        <w:spacing w:before="312" w:beforeLines="100"/>
        <w:ind w:firstLine="529" w:firstLineChars="189"/>
        <w:rPr>
          <w:rFonts w:hint="eastAsia" w:ascii="黑体" w:hAnsi="黑体" w:eastAsia="黑体" w:cstheme="minorEastAsia"/>
          <w:b w:val="0"/>
          <w:sz w:val="28"/>
          <w:szCs w:val="28"/>
        </w:rPr>
      </w:pPr>
      <w:bookmarkStart w:id="93" w:name="_Toc8620"/>
      <w:bookmarkStart w:id="94" w:name="_Toc16330030"/>
      <w:bookmarkStart w:id="95" w:name="_Toc31945"/>
      <w:bookmarkStart w:id="96" w:name="_Toc13671"/>
      <w:r>
        <w:rPr>
          <w:rFonts w:hint="eastAsia" w:ascii="黑体" w:hAnsi="黑体" w:eastAsia="黑体" w:cstheme="minorEastAsia"/>
          <w:b w:val="0"/>
          <w:sz w:val="28"/>
          <w:szCs w:val="28"/>
        </w:rPr>
        <w:t>13 不可抗力</w:t>
      </w:r>
      <w:bookmarkEnd w:id="93"/>
      <w:bookmarkEnd w:id="94"/>
      <w:bookmarkEnd w:id="95"/>
      <w:bookmarkEnd w:id="96"/>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13.2各方应该通过协商决定是否终止本合同，或推迟全部或部分本合同的履行或免除对方全部或部分相关履行义务。</w:t>
      </w:r>
    </w:p>
    <w:p>
      <w:pPr>
        <w:pStyle w:val="4"/>
        <w:tabs>
          <w:tab w:val="right" w:leader="dot" w:pos="9061"/>
        </w:tabs>
        <w:spacing w:before="312" w:beforeLines="100"/>
        <w:ind w:firstLine="529" w:firstLineChars="189"/>
        <w:rPr>
          <w:rFonts w:hint="eastAsia" w:ascii="黑体" w:hAnsi="黑体" w:eastAsia="黑体" w:cstheme="minorEastAsia"/>
          <w:b w:val="0"/>
          <w:sz w:val="28"/>
          <w:szCs w:val="28"/>
        </w:rPr>
      </w:pPr>
      <w:bookmarkStart w:id="97" w:name="_Toc31243"/>
      <w:bookmarkStart w:id="98" w:name="_Toc16330031"/>
      <w:bookmarkStart w:id="99" w:name="_Toc637"/>
      <w:bookmarkStart w:id="100" w:name="_Toc30389"/>
      <w:r>
        <w:rPr>
          <w:rFonts w:hint="eastAsia" w:ascii="黑体" w:hAnsi="黑体" w:eastAsia="黑体" w:cstheme="minorEastAsia"/>
          <w:b w:val="0"/>
          <w:sz w:val="28"/>
          <w:szCs w:val="28"/>
        </w:rPr>
        <w:t>14 通讯</w:t>
      </w:r>
      <w:bookmarkEnd w:id="97"/>
      <w:bookmarkEnd w:id="98"/>
      <w:bookmarkEnd w:id="99"/>
      <w:bookmarkEnd w:id="100"/>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14.1通讯地址：</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本合同下的任何通讯按照本合同双方提供的信息，以书信、传真、电子通讯方式或电话作出。</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14.2生效</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14.2.1书信。书信为送达时生效；</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14.2.2传真。发送人取得成功传输的信息时生效；</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14.2.3电子邮件。电子邮件于发送之时生效，前提是寄件者于该邮件发送后24小时内没有收到发送失败通知；</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14.3书面法律证据。根据本合同以书信、传真或电子邮件方式送达任何订约方的任何通讯，将作为书面法律证据。</w:t>
      </w:r>
    </w:p>
    <w:p>
      <w:pPr>
        <w:pStyle w:val="4"/>
        <w:tabs>
          <w:tab w:val="right" w:leader="dot" w:pos="9061"/>
        </w:tabs>
        <w:spacing w:before="312" w:beforeLines="100"/>
        <w:rPr>
          <w:rFonts w:hint="eastAsia" w:ascii="黑体" w:hAnsi="黑体" w:eastAsia="黑体" w:cstheme="minorEastAsia"/>
          <w:b w:val="0"/>
          <w:sz w:val="28"/>
          <w:szCs w:val="28"/>
        </w:rPr>
      </w:pPr>
      <w:bookmarkStart w:id="101" w:name="_Toc11290"/>
      <w:bookmarkStart w:id="102" w:name="_Toc9915"/>
      <w:bookmarkStart w:id="103" w:name="_Toc12984"/>
      <w:bookmarkStart w:id="104" w:name="_Toc16330032"/>
      <w:r>
        <w:rPr>
          <w:rFonts w:hint="eastAsia" w:ascii="黑体" w:hAnsi="黑体" w:eastAsia="黑体" w:cstheme="minorEastAsia"/>
          <w:b w:val="0"/>
          <w:sz w:val="28"/>
          <w:szCs w:val="28"/>
        </w:rPr>
        <w:t>15 适用法律及争议解决</w:t>
      </w:r>
      <w:bookmarkEnd w:id="101"/>
      <w:bookmarkEnd w:id="102"/>
      <w:bookmarkEnd w:id="103"/>
      <w:bookmarkEnd w:id="104"/>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15.1本合同条款的效力和解释适用中华人民共和国法律。</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pPr>
        <w:pStyle w:val="4"/>
        <w:tabs>
          <w:tab w:val="right" w:leader="dot" w:pos="9061"/>
        </w:tabs>
        <w:spacing w:before="312" w:beforeLines="100"/>
        <w:ind w:firstLine="529" w:firstLineChars="189"/>
        <w:rPr>
          <w:rFonts w:hint="eastAsia" w:ascii="黑体" w:hAnsi="黑体" w:eastAsia="黑体" w:cstheme="minorEastAsia"/>
          <w:b w:val="0"/>
          <w:sz w:val="28"/>
          <w:szCs w:val="28"/>
        </w:rPr>
      </w:pPr>
      <w:bookmarkStart w:id="105" w:name="_Toc23906"/>
      <w:bookmarkStart w:id="106" w:name="_Toc23765"/>
      <w:bookmarkStart w:id="107" w:name="_Toc16330033"/>
      <w:bookmarkStart w:id="108" w:name="_Toc18207"/>
      <w:r>
        <w:rPr>
          <w:rFonts w:hint="eastAsia" w:ascii="黑体" w:hAnsi="黑体" w:eastAsia="黑体" w:cstheme="minorEastAsia"/>
          <w:b w:val="0"/>
          <w:sz w:val="28"/>
          <w:szCs w:val="28"/>
        </w:rPr>
        <w:t>16 附件</w:t>
      </w:r>
      <w:bookmarkEnd w:id="105"/>
      <w:bookmarkEnd w:id="106"/>
      <w:bookmarkEnd w:id="107"/>
      <w:bookmarkEnd w:id="108"/>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本合同及其附件构成双方关于本合同标的之全部协议，包括但不限于下列文件：</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16.1技术协议书；</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16.2合同设备一览表；</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16.3卖方中标的设备投标书以及一切书面承诺；</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16.4招标文件。</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上述附件内容与本合同约定有冲突的，以本合同约定为准。</w:t>
      </w:r>
    </w:p>
    <w:p>
      <w:pPr>
        <w:pStyle w:val="4"/>
        <w:tabs>
          <w:tab w:val="right" w:leader="dot" w:pos="9061"/>
        </w:tabs>
        <w:spacing w:before="312" w:beforeLines="100"/>
        <w:ind w:firstLine="529" w:firstLineChars="189"/>
        <w:rPr>
          <w:rFonts w:hint="eastAsia" w:ascii="黑体" w:hAnsi="黑体" w:eastAsia="黑体" w:cstheme="minorEastAsia"/>
          <w:b w:val="0"/>
          <w:sz w:val="28"/>
          <w:szCs w:val="28"/>
        </w:rPr>
      </w:pPr>
      <w:bookmarkStart w:id="109" w:name="_Toc16330034"/>
      <w:bookmarkStart w:id="110" w:name="_Toc31331"/>
      <w:bookmarkStart w:id="111" w:name="_Toc27202"/>
      <w:bookmarkStart w:id="112" w:name="_Toc17656"/>
      <w:r>
        <w:rPr>
          <w:rFonts w:hint="eastAsia" w:ascii="黑体" w:hAnsi="黑体" w:eastAsia="黑体" w:cstheme="minorEastAsia"/>
          <w:b w:val="0"/>
          <w:sz w:val="28"/>
          <w:szCs w:val="28"/>
        </w:rPr>
        <w:t>17 其他规定</w:t>
      </w:r>
      <w:bookmarkEnd w:id="109"/>
      <w:bookmarkEnd w:id="110"/>
      <w:bookmarkEnd w:id="111"/>
      <w:bookmarkEnd w:id="112"/>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17.2如果本合同的任何条款和条件在任何时间成为非法、无效或不可强制执行的，则其他条款不应受其影响。</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hint="eastAsia" w:ascii="仿宋_GB2312" w:eastAsia="仿宋_GB2312" w:hAnsiTheme="minorEastAsia" w:cstheme="minorEastAsia"/>
          <w:sz w:val="24"/>
          <w:szCs w:val="24"/>
        </w:rPr>
      </w:pPr>
      <w:bookmarkStart w:id="113" w:name="_Toc19077"/>
      <w:bookmarkStart w:id="114" w:name="_Toc16330035"/>
      <w:bookmarkStart w:id="115" w:name="_Toc17952"/>
      <w:bookmarkStart w:id="116" w:name="_Toc29136"/>
      <w:r>
        <w:rPr>
          <w:rFonts w:hint="eastAsia" w:ascii="仿宋_GB2312" w:eastAsia="仿宋_GB2312" w:hAnsiTheme="minorEastAsia" w:cstheme="minorEastAsia"/>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pStyle w:val="4"/>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18 签署事项</w:t>
      </w:r>
      <w:bookmarkEnd w:id="113"/>
      <w:bookmarkEnd w:id="114"/>
      <w:bookmarkEnd w:id="115"/>
      <w:bookmarkEnd w:id="116"/>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本合同一式</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份，买方持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份，卖方持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份；本合同经双方签署后生效。</w:t>
      </w:r>
    </w:p>
    <w:p>
      <w:pPr>
        <w:spacing w:line="360" w:lineRule="auto"/>
        <w:ind w:firstLine="455" w:firstLineChars="189"/>
        <w:rPr>
          <w:rFonts w:hint="eastAsia" w:ascii="仿宋_GB2312" w:eastAsia="仿宋_GB2312" w:hAnsiTheme="minorEastAsia" w:cstheme="minorEastAsia"/>
          <w:b/>
          <w:sz w:val="24"/>
          <w:szCs w:val="24"/>
        </w:rPr>
      </w:pPr>
      <w:r>
        <w:rPr>
          <w:rFonts w:ascii="仿宋_GB2312" w:eastAsia="仿宋_GB2312" w:hAnsiTheme="minorEastAsia" w:cstheme="minorEastAsia"/>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pPr>
        <w:spacing w:line="360" w:lineRule="auto"/>
        <w:ind w:firstLine="455" w:firstLineChars="189"/>
        <w:rPr>
          <w:rFonts w:hint="eastAsia" w:ascii="仿宋_GB2312" w:eastAsia="仿宋_GB2312" w:hAnsiTheme="minorEastAsia" w:cstheme="minorEastAsia"/>
          <w:b/>
          <w:sz w:val="24"/>
          <w:szCs w:val="24"/>
        </w:rPr>
      </w:pPr>
      <w:r>
        <w:rPr>
          <w:rFonts w:hint="eastAsia" w:ascii="仿宋_GB2312" w:eastAsia="仿宋_GB2312" w:hAnsiTheme="minorEastAsia" w:cstheme="minorEastAsia"/>
          <w:b/>
          <w:sz w:val="24"/>
          <w:szCs w:val="24"/>
        </w:rPr>
        <w:t xml:space="preserve"> </w:t>
      </w:r>
      <w:r>
        <w:rPr>
          <w:rFonts w:ascii="仿宋_GB2312" w:eastAsia="仿宋_GB2312" w:hAnsiTheme="minorEastAsia" w:cstheme="minorEastAsia"/>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（以下无正文）</w:t>
      </w:r>
    </w:p>
    <w:p>
      <w:pPr>
        <w:spacing w:line="360" w:lineRule="auto"/>
        <w:ind w:firstLine="420" w:firstLineChars="200"/>
        <w:rPr>
          <w:rFonts w:hint="eastAsia" w:asciiTheme="minorEastAsia" w:hAnsiTheme="minorEastAsia" w:cstheme="minorEastAsia"/>
          <w:sz w:val="20"/>
          <w:szCs w:val="20"/>
        </w:rPr>
      </w:pPr>
      <w:r>
        <w:rPr>
          <w:rFonts w:hint="eastAsia"/>
        </w:rPr>
        <w:t xml:space="preserve">    </w:t>
      </w:r>
    </w:p>
    <w:p>
      <w:pPr>
        <w:spacing w:line="360" w:lineRule="auto"/>
        <w:rPr>
          <w:rFonts w:hint="eastAsia" w:ascii="宋体" w:hAnsi="宋体"/>
          <w:snapToGrid w:val="0"/>
          <w:kern w:val="0"/>
          <w:sz w:val="20"/>
          <w:szCs w:val="20"/>
          <w:lang w:eastAsia="zh-Hans"/>
        </w:rPr>
      </w:pPr>
    </w:p>
    <w:p>
      <w:pPr>
        <w:widowControl/>
        <w:adjustRightInd w:val="0"/>
        <w:snapToGrid w:val="0"/>
        <w:spacing w:line="360" w:lineRule="auto"/>
        <w:jc w:val="left"/>
        <w:rPr>
          <w:rFonts w:hint="eastAsia"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kern w:val="0"/>
          <w:sz w:val="24"/>
          <w:szCs w:val="24"/>
        </w:rPr>
        <w:t xml:space="preserve">           </w:t>
      </w:r>
      <w:r>
        <w:rPr>
          <w:rFonts w:hint="eastAsia" w:ascii="仿宋_GB2312" w:hAnsi="宋体" w:eastAsia="仿宋_GB2312"/>
          <w:snapToGrid w:val="0"/>
          <w:kern w:val="0"/>
          <w:sz w:val="24"/>
          <w:szCs w:val="24"/>
          <w:lang w:eastAsia="zh-Hans"/>
        </w:rPr>
        <w:t>乙方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
    <w:p>
      <w:pPr>
        <w:widowControl/>
        <w:adjustRightInd w:val="0"/>
        <w:snapToGrid w:val="0"/>
        <w:spacing w:line="360" w:lineRule="auto"/>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法定代表人或代理人（签字）：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法定代表人或代理人（签字）：</w:t>
      </w:r>
    </w:p>
    <w:p>
      <w:pPr>
        <w:widowControl/>
        <w:adjustRightInd w:val="0"/>
        <w:snapToGrid w:val="0"/>
        <w:spacing w:line="360" w:lineRule="auto"/>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地  址：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地  址： </w:t>
      </w:r>
    </w:p>
    <w:p>
      <w:pPr>
        <w:widowControl/>
        <w:adjustRightInd w:val="0"/>
        <w:snapToGrid w:val="0"/>
        <w:spacing w:line="360" w:lineRule="auto"/>
        <w:jc w:val="left"/>
        <w:rPr>
          <w:rFonts w:hint="eastAsia"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电话：                                       电话： </w:t>
      </w:r>
    </w:p>
    <w:p>
      <w:pPr>
        <w:widowControl/>
        <w:adjustRightInd w:val="0"/>
        <w:snapToGrid w:val="0"/>
        <w:spacing w:line="360" w:lineRule="auto"/>
        <w:jc w:val="left"/>
        <w:rPr>
          <w:rFonts w:hint="eastAsia"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传真：                                       传真： </w:t>
      </w:r>
    </w:p>
    <w:p>
      <w:pPr>
        <w:widowControl/>
        <w:adjustRightInd w:val="0"/>
        <w:snapToGrid w:val="0"/>
        <w:spacing w:line="360" w:lineRule="auto"/>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开户银行：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开户银行：   </w:t>
      </w:r>
    </w:p>
    <w:p>
      <w:pPr>
        <w:widowControl/>
        <w:adjustRightInd w:val="0"/>
        <w:snapToGrid w:val="0"/>
        <w:spacing w:line="360" w:lineRule="auto"/>
        <w:jc w:val="left"/>
        <w:rPr>
          <w:rFonts w:hint="eastAsia"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账  号：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账 号： </w:t>
      </w:r>
    </w:p>
    <w:p>
      <w:pPr>
        <w:spacing w:line="360" w:lineRule="auto"/>
        <w:rPr>
          <w:rFonts w:hint="eastAsia" w:ascii="仿宋_GB2312" w:eastAsia="仿宋_GB2312"/>
          <w:sz w:val="24"/>
          <w:szCs w:val="24"/>
        </w:rPr>
      </w:pPr>
    </w:p>
    <w:p>
      <w:pPr>
        <w:pStyle w:val="4"/>
        <w:tabs>
          <w:tab w:val="right" w:leader="dot" w:pos="9061"/>
        </w:tabs>
        <w:rPr>
          <w:rFonts w:hint="eastAsia"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pPr>
        <w:rPr>
          <w:rFonts w:hint="eastAsia"/>
        </w:rPr>
      </w:pP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trPr>
          <w:trHeight w:val="578" w:hRule="atLeast"/>
          <w:jc w:val="center"/>
        </w:trPr>
        <w:tc>
          <w:tcPr>
            <w:tcW w:w="989"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pPr>
              <w:pStyle w:val="27"/>
              <w:spacing w:line="360" w:lineRule="auto"/>
              <w:ind w:left="480" w:hanging="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pPr>
              <w:pStyle w:val="27"/>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trPr>
          <w:trHeight w:val="575" w:hRule="atLeast"/>
          <w:jc w:val="center"/>
        </w:trPr>
        <w:tc>
          <w:tcPr>
            <w:tcW w:w="989"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p>
        </w:tc>
      </w:tr>
      <w:tr>
        <w:trPr>
          <w:trHeight w:val="575" w:hRule="atLeast"/>
          <w:jc w:val="center"/>
        </w:trPr>
        <w:tc>
          <w:tcPr>
            <w:tcW w:w="989"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p>
        </w:tc>
      </w:tr>
      <w:tr>
        <w:trPr>
          <w:trHeight w:val="575" w:hRule="atLeast"/>
          <w:jc w:val="center"/>
        </w:trPr>
        <w:tc>
          <w:tcPr>
            <w:tcW w:w="989"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p>
        </w:tc>
      </w:tr>
      <w:tr>
        <w:trPr>
          <w:trHeight w:val="575" w:hRule="atLeast"/>
          <w:jc w:val="center"/>
        </w:trPr>
        <w:tc>
          <w:tcPr>
            <w:tcW w:w="989"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27"/>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r>
    </w:tbl>
    <w:p>
      <w:pPr>
        <w:rPr>
          <w:rFonts w:hint="eastAsia" w:asciiTheme="minorEastAsia" w:hAnsiTheme="minorEastAsia" w:cstheme="minorEastAsia"/>
          <w:sz w:val="20"/>
          <w:szCs w:val="20"/>
        </w:rPr>
      </w:pPr>
      <w:bookmarkStart w:id="117" w:name="_Toc25120"/>
      <w:bookmarkStart w:id="118" w:name="_Toc3778"/>
      <w:bookmarkStart w:id="119" w:name="_Toc5379"/>
      <w:bookmarkStart w:id="120" w:name="_Toc16330037"/>
      <w:bookmarkStart w:id="121" w:name="_Toc24623"/>
      <w:r>
        <w:rPr>
          <w:rFonts w:hint="eastAsia" w:asciiTheme="minorEastAsia" w:hAnsiTheme="minorEastAsia" w:cstheme="minorEastAsia"/>
          <w:sz w:val="20"/>
          <w:szCs w:val="20"/>
        </w:rPr>
        <w:br w:type="page"/>
      </w:r>
    </w:p>
    <w:p>
      <w:pPr>
        <w:pStyle w:val="4"/>
        <w:tabs>
          <w:tab w:val="right" w:leader="dot" w:pos="9061"/>
        </w:tabs>
        <w:rPr>
          <w:rFonts w:hint="eastAsia" w:ascii="黑体" w:hAnsi="黑体" w:eastAsia="黑体" w:cstheme="minorEastAsia"/>
          <w:b w:val="0"/>
          <w:i/>
          <w:sz w:val="28"/>
          <w:szCs w:val="28"/>
        </w:rPr>
      </w:pPr>
      <w:r>
        <w:rPr>
          <w:rFonts w:hint="eastAsia" w:ascii="黑体" w:hAnsi="黑体" w:eastAsia="黑体" w:cstheme="minorEastAsia"/>
          <w:b w:val="0"/>
          <w:sz w:val="28"/>
          <w:szCs w:val="28"/>
        </w:rPr>
        <w:t xml:space="preserve">附件二 </w:t>
      </w:r>
      <w:bookmarkEnd w:id="117"/>
      <w:bookmarkEnd w:id="118"/>
      <w:bookmarkEnd w:id="119"/>
      <w:bookmarkEnd w:id="120"/>
      <w:bookmarkEnd w:id="121"/>
      <w:r>
        <w:rPr>
          <w:rFonts w:hint="eastAsia" w:ascii="黑体" w:hAnsi="黑体" w:eastAsia="黑体" w:cstheme="minorEastAsia"/>
          <w:b w:val="0"/>
          <w:sz w:val="28"/>
          <w:szCs w:val="28"/>
        </w:rPr>
        <w:t>技术协议书</w:t>
      </w:r>
    </w:p>
    <w:p>
      <w:pPr>
        <w:ind w:right="360"/>
        <w:rPr>
          <w:rFonts w:hint="eastAsia" w:asciiTheme="minorEastAsia" w:hAnsiTheme="minorEastAsia" w:cstheme="minorEastAsia"/>
          <w:sz w:val="20"/>
          <w:szCs w:val="20"/>
        </w:rPr>
      </w:pPr>
    </w:p>
    <w:p>
      <w:pPr>
        <w:jc w:val="right"/>
        <w:rPr>
          <w:rFonts w:hint="eastAsia" w:asciiTheme="minorEastAsia" w:hAnsiTheme="minorEastAsia" w:cstheme="minorEastAsia"/>
          <w:sz w:val="20"/>
          <w:szCs w:val="20"/>
        </w:rPr>
      </w:pPr>
    </w:p>
    <w:p>
      <w:pPr>
        <w:jc w:val="right"/>
        <w:rPr>
          <w:rFonts w:hint="eastAsia" w:asciiTheme="minorEastAsia" w:hAnsiTheme="minorEastAsia" w:cstheme="minorEastAsia"/>
          <w:sz w:val="20"/>
          <w:szCs w:val="20"/>
        </w:rPr>
      </w:pPr>
    </w:p>
    <w:p>
      <w:pPr>
        <w:jc w:val="right"/>
        <w:rPr>
          <w:rFonts w:hint="eastAsia" w:asciiTheme="minorEastAsia" w:hAnsiTheme="minorEastAsia" w:cstheme="minorEastAsia"/>
          <w:sz w:val="20"/>
          <w:szCs w:val="20"/>
        </w:rPr>
      </w:pPr>
      <w:r>
        <w:rPr>
          <w:rFonts w:hint="eastAsia" w:asciiTheme="minorEastAsia" w:hAnsiTheme="minorEastAsia" w:cstheme="minorEastAsia"/>
          <w:sz w:val="20"/>
          <w:szCs w:val="20"/>
        </w:rPr>
        <w:t xml:space="preserve">                                      </w:t>
      </w:r>
    </w:p>
    <w:p>
      <w:pPr>
        <w:jc w:val="right"/>
        <w:rPr>
          <w:rFonts w:hint="eastAsia" w:asciiTheme="minorEastAsia" w:hAnsiTheme="minorEastAsia" w:cstheme="minorEastAsia"/>
          <w:sz w:val="20"/>
          <w:szCs w:val="20"/>
        </w:rPr>
      </w:pPr>
    </w:p>
    <w:p>
      <w:pPr>
        <w:wordWrap w:val="0"/>
        <w:ind w:right="480"/>
        <w:rPr>
          <w:rFonts w:hint="eastAsia" w:asciiTheme="minorEastAsia" w:hAnsiTheme="minorEastAsia" w:cstheme="minorEastAsia"/>
          <w:sz w:val="20"/>
          <w:szCs w:val="20"/>
        </w:rPr>
      </w:pPr>
    </w:p>
    <w:p>
      <w:pPr>
        <w:jc w:val="right"/>
        <w:rPr>
          <w:rFonts w:hint="eastAsia" w:ascii="楷体_GB2312" w:hAnsi="宋体" w:eastAsia="楷体_GB2312"/>
          <w:sz w:val="24"/>
        </w:rPr>
      </w:pPr>
      <w:bookmarkStart w:id="122" w:name="_Toc14341849"/>
    </w:p>
    <w:p>
      <w:pPr>
        <w:ind w:right="480"/>
        <w:jc w:val="center"/>
        <w:rPr>
          <w:rFonts w:hint="eastAsia"/>
          <w:sz w:val="24"/>
          <w:szCs w:val="24"/>
        </w:rPr>
      </w:pPr>
      <w:r>
        <w:rPr>
          <w:rFonts w:hint="eastAsia" w:ascii="楷体_GB2312" w:hAnsi="宋体" w:eastAsia="楷体_GB2312"/>
          <w:sz w:val="24"/>
        </w:rPr>
        <w:t xml:space="preserve">                                    </w:t>
      </w:r>
    </w:p>
    <w:bookmarkEnd w:id="122"/>
    <w:p>
      <w:pPr>
        <w:rPr>
          <w:rFonts w:hint="eastAsia" w:ascii="方正小标宋简体" w:hAnsi="方正小标宋简体" w:eastAsia="方正小标宋简体" w:cs="方正小标宋简体"/>
          <w:sz w:val="40"/>
          <w:szCs w:val="21"/>
        </w:rPr>
      </w:pPr>
      <w:r>
        <w:rPr>
          <w:rFonts w:hint="eastAsia" w:ascii="方正小标宋简体" w:hAnsi="方正小标宋简体" w:eastAsia="方正小标宋简体" w:cs="方正小标宋简体"/>
          <w:sz w:val="40"/>
          <w:szCs w:val="21"/>
        </w:rPr>
        <w:br w:type="page"/>
      </w:r>
    </w:p>
    <w:p>
      <w:pPr>
        <w:spacing w:before="118"/>
        <w:ind w:right="30"/>
        <w:jc w:val="center"/>
        <w:outlineLvl w:val="0"/>
        <w:rPr>
          <w:rFonts w:hint="eastAsia" w:ascii="楷体" w:hAnsi="楷体" w:eastAsia="楷体" w:cs="楷体"/>
          <w:sz w:val="40"/>
          <w:szCs w:val="21"/>
        </w:rPr>
      </w:pPr>
      <w:r>
        <w:rPr>
          <w:rFonts w:hint="eastAsia" w:ascii="方正小标宋简体" w:hAnsi="方正小标宋简体" w:eastAsia="方正小标宋简体" w:cs="方正小标宋简体"/>
          <w:sz w:val="40"/>
          <w:szCs w:val="21"/>
        </w:rPr>
        <w:t>廉洁诚信协议</w:t>
      </w:r>
    </w:p>
    <w:p>
      <w:pPr>
        <w:pStyle w:val="13"/>
        <w:spacing w:before="8" w:after="156"/>
        <w:rPr>
          <w:rFonts w:hint="eastAsia" w:ascii="楷体" w:hAnsi="楷体" w:eastAsia="楷体" w:cs="楷体"/>
          <w:sz w:val="44"/>
          <w:szCs w:val="28"/>
        </w:rPr>
      </w:pPr>
    </w:p>
    <w:p>
      <w:pPr>
        <w:spacing w:line="607" w:lineRule="auto"/>
        <w:ind w:left="117" w:right="3769"/>
        <w:rPr>
          <w:rFonts w:hint="eastAsia" w:ascii="楷体" w:hAnsi="楷体" w:eastAsia="楷体" w:cs="楷体"/>
          <w:b/>
          <w:sz w:val="28"/>
          <w:szCs w:val="21"/>
        </w:rPr>
      </w:pPr>
      <w:r>
        <w:rPr>
          <w:rFonts w:hint="eastAsia" w:ascii="楷体" w:hAnsi="楷体" w:eastAsia="楷体" w:cs="楷体"/>
          <w:b/>
          <w:sz w:val="28"/>
          <w:szCs w:val="21"/>
        </w:rPr>
        <w:t>甲方：</w:t>
      </w:r>
    </w:p>
    <w:p>
      <w:pPr>
        <w:spacing w:line="607" w:lineRule="auto"/>
        <w:ind w:left="117" w:right="3769"/>
        <w:rPr>
          <w:rFonts w:hint="eastAsia" w:ascii="楷体" w:hAnsi="楷体" w:eastAsia="楷体" w:cs="楷体"/>
          <w:b/>
          <w:sz w:val="28"/>
          <w:szCs w:val="21"/>
        </w:rPr>
      </w:pPr>
      <w:r>
        <w:rPr>
          <w:rFonts w:hint="eastAsia" w:ascii="楷体" w:hAnsi="楷体" w:eastAsia="楷体" w:cs="楷体"/>
          <w:b/>
          <w:sz w:val="28"/>
          <w:szCs w:val="21"/>
        </w:rPr>
        <w:t>乙方：</w:t>
      </w:r>
    </w:p>
    <w:p>
      <w:pPr>
        <w:pStyle w:val="126"/>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pPr>
        <w:pStyle w:val="126"/>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pPr>
        <w:pStyle w:val="126"/>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pPr>
        <w:pStyle w:val="126"/>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rPr>
        <w:t>违规</w:t>
      </w:r>
      <w:r>
        <w:rPr>
          <w:rFonts w:ascii="楷体" w:hAnsi="楷体" w:eastAsia="楷体" w:cs="楷体"/>
          <w:spacing w:val="-2"/>
          <w:sz w:val="28"/>
          <w:szCs w:val="28"/>
        </w:rPr>
        <w:t>发放薪酬。</w:t>
      </w:r>
      <w:r>
        <w:rPr>
          <w:rFonts w:hint="eastAsia" w:ascii="楷体" w:hAnsi="楷体" w:eastAsia="楷体" w:cs="楷体"/>
          <w:spacing w:val="-2"/>
          <w:sz w:val="28"/>
          <w:szCs w:val="28"/>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rPr>
        <w:t>若乙方为甲方</w:t>
      </w:r>
      <w:r>
        <w:rPr>
          <w:rFonts w:ascii="楷体" w:hAnsi="楷体" w:eastAsia="楷体" w:cs="楷体"/>
          <w:spacing w:val="-2"/>
          <w:sz w:val="28"/>
          <w:szCs w:val="28"/>
        </w:rPr>
        <w:t>新</w:t>
      </w:r>
      <w:r>
        <w:rPr>
          <w:rFonts w:hint="eastAsia" w:ascii="楷体" w:hAnsi="楷体" w:eastAsia="楷体" w:cs="楷体"/>
          <w:spacing w:val="-2"/>
          <w:sz w:val="28"/>
          <w:szCs w:val="28"/>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rPr>
        <w:t>甲方所属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w:t>
      </w:r>
      <w:r>
        <w:rPr>
          <w:rFonts w:hint="eastAsia" w:ascii="楷体" w:hAnsi="楷体" w:eastAsia="楷体" w:cs="楷体"/>
          <w:spacing w:val="-2"/>
          <w:sz w:val="28"/>
          <w:szCs w:val="28"/>
        </w:rPr>
        <w:t>门</w:t>
      </w:r>
      <w:r>
        <w:rPr>
          <w:rFonts w:ascii="楷体" w:hAnsi="楷体" w:eastAsia="楷体" w:cs="楷体"/>
          <w:spacing w:val="-2"/>
          <w:sz w:val="28"/>
          <w:szCs w:val="28"/>
        </w:rPr>
        <w:t>备案）。</w:t>
      </w:r>
    </w:p>
    <w:p>
      <w:pPr>
        <w:pStyle w:val="126"/>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rPr>
        <w:t>已</w:t>
      </w:r>
      <w:r>
        <w:rPr>
          <w:rFonts w:ascii="楷体" w:hAnsi="楷体" w:eastAsia="楷体" w:cs="楷体"/>
          <w:spacing w:val="-2"/>
          <w:sz w:val="28"/>
          <w:szCs w:val="28"/>
        </w:rPr>
        <w:t>签订的</w:t>
      </w:r>
      <w:r>
        <w:rPr>
          <w:rFonts w:hint="eastAsia" w:ascii="楷体" w:hAnsi="楷体" w:eastAsia="楷体" w:cs="楷体"/>
          <w:spacing w:val="-2"/>
          <w:sz w:val="28"/>
          <w:szCs w:val="28"/>
        </w:rPr>
        <w:t>所有合同</w:t>
      </w:r>
      <w:r>
        <w:rPr>
          <w:rFonts w:ascii="楷体" w:hAnsi="楷体" w:eastAsia="楷体" w:cs="楷体"/>
          <w:spacing w:val="-2"/>
          <w:sz w:val="28"/>
          <w:szCs w:val="28"/>
        </w:rPr>
        <w:t>协议，并要求乙方赔偿。</w:t>
      </w:r>
    </w:p>
    <w:p>
      <w:pPr>
        <w:pStyle w:val="126"/>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配偶、子女及其配偶等亲属和其他特定关系人提供如下：</w:t>
      </w:r>
    </w:p>
    <w:p>
      <w:pPr>
        <w:pStyle w:val="126"/>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a)</w:t>
      </w:r>
      <w:r>
        <w:rPr>
          <w:rFonts w:ascii="楷体" w:hAnsi="楷体" w:eastAsia="楷体" w:cs="楷体"/>
          <w:spacing w:val="-2"/>
          <w:sz w:val="28"/>
          <w:szCs w:val="28"/>
        </w:rPr>
        <w:t>赠送</w:t>
      </w:r>
      <w:r>
        <w:rPr>
          <w:rFonts w:hint="eastAsia" w:ascii="楷体" w:hAnsi="楷体" w:eastAsia="楷体" w:cs="楷体"/>
          <w:spacing w:val="-2"/>
          <w:sz w:val="28"/>
          <w:szCs w:val="28"/>
        </w:rPr>
        <w:t>礼品、</w:t>
      </w:r>
      <w:r>
        <w:rPr>
          <w:rFonts w:ascii="楷体" w:hAnsi="楷体" w:eastAsia="楷体" w:cs="楷体"/>
          <w:spacing w:val="-2"/>
          <w:sz w:val="28"/>
          <w:szCs w:val="28"/>
        </w:rPr>
        <w:t>礼金、</w:t>
      </w:r>
      <w:r>
        <w:rPr>
          <w:rFonts w:hint="eastAsia" w:ascii="楷体" w:hAnsi="楷体" w:eastAsia="楷体" w:cs="楷体"/>
          <w:spacing w:val="-2"/>
          <w:sz w:val="28"/>
          <w:szCs w:val="28"/>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rPr>
        <w:t>和</w:t>
      </w:r>
      <w:r>
        <w:rPr>
          <w:rFonts w:ascii="楷体" w:hAnsi="楷体" w:eastAsia="楷体" w:cs="楷体"/>
          <w:spacing w:val="-2"/>
          <w:sz w:val="28"/>
          <w:szCs w:val="28"/>
        </w:rPr>
        <w:t>有价证券</w:t>
      </w:r>
      <w:r>
        <w:rPr>
          <w:rFonts w:hint="eastAsia" w:ascii="楷体" w:hAnsi="楷体" w:eastAsia="楷体" w:cs="楷体"/>
          <w:spacing w:val="-2"/>
          <w:sz w:val="28"/>
          <w:szCs w:val="28"/>
        </w:rPr>
        <w:t>、股权、其他金融产品等财物</w:t>
      </w:r>
      <w:r>
        <w:rPr>
          <w:rFonts w:ascii="楷体" w:hAnsi="楷体" w:eastAsia="楷体" w:cs="楷体"/>
          <w:spacing w:val="-2"/>
          <w:sz w:val="28"/>
          <w:szCs w:val="28"/>
        </w:rPr>
        <w:t>和其他贵重物品；</w:t>
      </w:r>
    </w:p>
    <w:p>
      <w:pPr>
        <w:pStyle w:val="126"/>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b)</w:t>
      </w:r>
      <w:r>
        <w:rPr>
          <w:rFonts w:ascii="楷体" w:hAnsi="楷体" w:eastAsia="楷体" w:cs="楷体"/>
          <w:spacing w:val="-2"/>
          <w:sz w:val="28"/>
          <w:szCs w:val="28"/>
        </w:rPr>
        <w:t>报销个人费用</w:t>
      </w:r>
      <w:r>
        <w:rPr>
          <w:rFonts w:hint="eastAsia" w:ascii="楷体" w:hAnsi="楷体" w:eastAsia="楷体" w:cs="楷体"/>
          <w:spacing w:val="-2"/>
          <w:sz w:val="28"/>
          <w:szCs w:val="28"/>
        </w:rPr>
        <w:t>或以讲课费、课题费、咨询费等名义支付费用</w:t>
      </w:r>
      <w:r>
        <w:rPr>
          <w:rFonts w:ascii="楷体" w:hAnsi="楷体" w:eastAsia="楷体" w:cs="楷体"/>
          <w:spacing w:val="-2"/>
          <w:sz w:val="28"/>
          <w:szCs w:val="28"/>
        </w:rPr>
        <w:t>；</w:t>
      </w:r>
    </w:p>
    <w:p>
      <w:pPr>
        <w:pStyle w:val="126"/>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、健身、娱乐</w:t>
      </w:r>
      <w:r>
        <w:rPr>
          <w:rFonts w:ascii="楷体" w:hAnsi="楷体" w:eastAsia="楷体" w:cs="楷体"/>
          <w:spacing w:val="-2"/>
          <w:sz w:val="28"/>
          <w:szCs w:val="28"/>
        </w:rPr>
        <w:t>和进入营业性娱乐场所；</w:t>
      </w:r>
    </w:p>
    <w:p>
      <w:pPr>
        <w:pStyle w:val="126"/>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rPr>
        <w:t>、钱款、住房、车辆等或提供通过民间借贷等金融助其获得大额回报</w:t>
      </w:r>
      <w:r>
        <w:rPr>
          <w:rFonts w:ascii="楷体" w:hAnsi="楷体" w:eastAsia="楷体" w:cs="楷体"/>
          <w:spacing w:val="-2"/>
          <w:sz w:val="28"/>
          <w:szCs w:val="28"/>
        </w:rPr>
        <w:t>；</w:t>
      </w:r>
    </w:p>
    <w:p>
      <w:pPr>
        <w:pStyle w:val="126"/>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pPr>
        <w:pStyle w:val="126"/>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f)吸收存款、推销金融产品、经营名贵特产类资源等提供帮助谋取利益；</w:t>
      </w:r>
    </w:p>
    <w:p>
      <w:pPr>
        <w:pStyle w:val="126"/>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g)其他可能影响甲方人员公平、公正的履行职权或者履行职责的情形</w:t>
      </w:r>
      <w:r>
        <w:rPr>
          <w:rFonts w:ascii="楷体" w:hAnsi="楷体" w:eastAsia="楷体" w:cs="楷体"/>
          <w:spacing w:val="-2"/>
          <w:sz w:val="28"/>
          <w:szCs w:val="28"/>
        </w:rPr>
        <w:t>。</w:t>
      </w:r>
    </w:p>
    <w:p>
      <w:pPr>
        <w:pStyle w:val="126"/>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rPr>
        <w:t>物项</w:t>
      </w:r>
      <w:r>
        <w:rPr>
          <w:rFonts w:ascii="楷体" w:hAnsi="楷体" w:eastAsia="楷体" w:cs="楷体"/>
          <w:spacing w:val="-2"/>
          <w:sz w:val="28"/>
          <w:szCs w:val="28"/>
        </w:rPr>
        <w:t>数量、价格</w:t>
      </w:r>
      <w:r>
        <w:rPr>
          <w:rFonts w:hint="eastAsia" w:ascii="楷体" w:hAnsi="楷体" w:eastAsia="楷体" w:cs="楷体"/>
          <w:spacing w:val="-2"/>
          <w:sz w:val="28"/>
          <w:szCs w:val="28"/>
        </w:rPr>
        <w:t>条件</w:t>
      </w:r>
      <w:r>
        <w:rPr>
          <w:rFonts w:ascii="楷体" w:hAnsi="楷体" w:eastAsia="楷体" w:cs="楷体"/>
          <w:spacing w:val="-2"/>
          <w:sz w:val="28"/>
          <w:szCs w:val="28"/>
        </w:rPr>
        <w:t>、</w:t>
      </w:r>
      <w:r>
        <w:rPr>
          <w:rFonts w:hint="eastAsia" w:ascii="楷体" w:hAnsi="楷体" w:eastAsia="楷体" w:cs="楷体"/>
          <w:spacing w:val="-2"/>
          <w:sz w:val="28"/>
          <w:szCs w:val="28"/>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pPr>
        <w:pStyle w:val="126"/>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纪委监察部门举报（举报电话：0531-58062233，举报邮箱：jianchabu@sinotruk.com）。甲方不得</w:t>
      </w:r>
      <w:r>
        <w:rPr>
          <w:rFonts w:hint="eastAsia" w:ascii="楷体" w:hAnsi="楷体" w:eastAsia="楷体" w:cs="楷体"/>
          <w:spacing w:val="-2"/>
          <w:sz w:val="28"/>
          <w:szCs w:val="28"/>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pPr>
        <w:pStyle w:val="126"/>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rPr>
        <w:t>或</w:t>
      </w:r>
      <w:r>
        <w:rPr>
          <w:rFonts w:ascii="楷体" w:hAnsi="楷体" w:eastAsia="楷体" w:cs="楷体"/>
          <w:spacing w:val="-2"/>
          <w:sz w:val="28"/>
          <w:szCs w:val="28"/>
        </w:rPr>
        <w:t>甲方</w:t>
      </w:r>
      <w:r>
        <w:rPr>
          <w:rFonts w:hint="eastAsia" w:ascii="楷体" w:hAnsi="楷体" w:eastAsia="楷体" w:cs="楷体"/>
          <w:spacing w:val="-2"/>
          <w:sz w:val="28"/>
          <w:szCs w:val="28"/>
        </w:rPr>
        <w:t>所属</w:t>
      </w:r>
      <w:r>
        <w:rPr>
          <w:rFonts w:ascii="楷体" w:hAnsi="楷体" w:eastAsia="楷体" w:cs="楷体"/>
          <w:spacing w:val="-2"/>
          <w:sz w:val="28"/>
          <w:szCs w:val="28"/>
        </w:rPr>
        <w:t>重汽集团</w:t>
      </w:r>
      <w:r>
        <w:rPr>
          <w:rFonts w:hint="eastAsia" w:ascii="楷体" w:hAnsi="楷体" w:eastAsia="楷体" w:cs="楷体"/>
          <w:spacing w:val="-2"/>
          <w:sz w:val="28"/>
          <w:szCs w:val="28"/>
        </w:rPr>
        <w:t>的</w:t>
      </w:r>
      <w:r>
        <w:rPr>
          <w:rFonts w:ascii="楷体" w:hAnsi="楷体" w:eastAsia="楷体" w:cs="楷体"/>
          <w:spacing w:val="-2"/>
          <w:sz w:val="28"/>
          <w:szCs w:val="28"/>
        </w:rPr>
        <w:t>纪委监察部门检举并提供证据。</w:t>
      </w:r>
    </w:p>
    <w:p>
      <w:pPr>
        <w:pStyle w:val="126"/>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pPr>
        <w:pStyle w:val="126"/>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pPr>
        <w:pStyle w:val="126"/>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pPr>
        <w:pStyle w:val="126"/>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rPr>
        <w:t>等</w:t>
      </w:r>
      <w:r>
        <w:rPr>
          <w:rFonts w:ascii="楷体" w:hAnsi="楷体" w:eastAsia="楷体" w:cs="楷体"/>
          <w:spacing w:val="-2"/>
          <w:sz w:val="28"/>
          <w:szCs w:val="28"/>
        </w:rPr>
        <w:t>能够对其实际支配的企业或单位。</w:t>
      </w:r>
    </w:p>
    <w:p>
      <w:pPr>
        <w:pStyle w:val="126"/>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pPr>
        <w:pStyle w:val="126"/>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pPr>
        <w:pStyle w:val="126"/>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pStyle w:val="126"/>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14.本协议作为执行</w:t>
      </w:r>
      <w:r>
        <w:rPr>
          <w:rFonts w:hint="eastAsia" w:ascii="楷体" w:hAnsi="楷体" w:eastAsia="楷体" w:cs="楷体"/>
          <w:spacing w:val="-2"/>
          <w:sz w:val="28"/>
          <w:szCs w:val="28"/>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rPr>
        <w:t>甲乙</w:t>
      </w:r>
      <w:r>
        <w:rPr>
          <w:rFonts w:ascii="楷体" w:hAnsi="楷体" w:eastAsia="楷体" w:cs="楷体"/>
          <w:spacing w:val="-2"/>
          <w:sz w:val="28"/>
          <w:szCs w:val="28"/>
        </w:rPr>
        <w:t>双方</w:t>
      </w:r>
      <w:r>
        <w:rPr>
          <w:rFonts w:hint="eastAsia" w:ascii="楷体" w:hAnsi="楷体" w:eastAsia="楷体" w:cs="楷体"/>
          <w:spacing w:val="-2"/>
          <w:sz w:val="28"/>
          <w:szCs w:val="28"/>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pPr>
        <w:pStyle w:val="126"/>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pPr>
        <w:pStyle w:val="13"/>
        <w:spacing w:before="9" w:after="156"/>
        <w:rPr>
          <w:rFonts w:hint="eastAsia" w:ascii="楷体" w:hAnsi="楷体" w:eastAsia="楷体" w:cs="楷体"/>
          <w:sz w:val="40"/>
          <w:szCs w:val="28"/>
        </w:rPr>
      </w:pPr>
    </w:p>
    <w:p>
      <w:pPr>
        <w:tabs>
          <w:tab w:val="left" w:pos="5457"/>
        </w:tabs>
        <w:spacing w:before="1"/>
        <w:ind w:left="117"/>
        <w:rPr>
          <w:rFonts w:hint="eastAsia" w:ascii="楷体" w:hAnsi="楷体" w:eastAsia="楷体" w:cs="楷体"/>
          <w:b/>
          <w:sz w:val="24"/>
          <w:szCs w:val="21"/>
        </w:rPr>
      </w:pPr>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p>
    <w:p>
      <w:pPr>
        <w:pStyle w:val="13"/>
        <w:spacing w:after="156"/>
        <w:rPr>
          <w:rFonts w:hint="eastAsia" w:ascii="楷体" w:hAnsi="楷体" w:eastAsia="楷体" w:cs="楷体"/>
          <w:b/>
          <w:sz w:val="24"/>
          <w:szCs w:val="28"/>
        </w:rPr>
      </w:pPr>
    </w:p>
    <w:p>
      <w:pPr>
        <w:pStyle w:val="13"/>
        <w:spacing w:before="1" w:after="156"/>
        <w:rPr>
          <w:rFonts w:hint="eastAsia" w:ascii="楷体" w:hAnsi="楷体" w:eastAsia="楷体" w:cs="楷体"/>
          <w:b/>
          <w:sz w:val="24"/>
          <w:szCs w:val="28"/>
        </w:rPr>
      </w:pPr>
    </w:p>
    <w:p>
      <w:pPr>
        <w:tabs>
          <w:tab w:val="left" w:pos="5457"/>
        </w:tabs>
        <w:ind w:left="117"/>
        <w:rPr>
          <w:rFonts w:hint="eastAsia" w:ascii="楷体" w:hAnsi="楷体" w:eastAsia="楷体" w:cs="楷体"/>
          <w:b/>
          <w:sz w:val="24"/>
          <w:szCs w:val="21"/>
        </w:rPr>
      </w:pPr>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p>
    <w:p>
      <w:pPr>
        <w:pStyle w:val="13"/>
        <w:spacing w:after="156"/>
        <w:rPr>
          <w:rFonts w:hint="eastAsia" w:ascii="楷体" w:hAnsi="楷体" w:eastAsia="楷体" w:cs="楷体"/>
          <w:b/>
          <w:sz w:val="24"/>
          <w:szCs w:val="28"/>
        </w:rPr>
      </w:pPr>
    </w:p>
    <w:p>
      <w:pPr>
        <w:pStyle w:val="13"/>
        <w:spacing w:before="4" w:after="156"/>
        <w:rPr>
          <w:rFonts w:hint="eastAsia" w:ascii="楷体" w:hAnsi="楷体" w:eastAsia="楷体" w:cs="楷体"/>
          <w:b/>
          <w:sz w:val="24"/>
          <w:szCs w:val="28"/>
        </w:rPr>
      </w:pPr>
    </w:p>
    <w:p>
      <w:pPr>
        <w:tabs>
          <w:tab w:val="left" w:pos="5457"/>
        </w:tabs>
        <w:ind w:left="117"/>
        <w:rPr>
          <w:rFonts w:hint="eastAsia" w:ascii="楷体" w:hAnsi="楷体" w:eastAsia="楷体" w:cs="楷体"/>
          <w:b/>
          <w:sz w:val="24"/>
          <w:szCs w:val="21"/>
        </w:rPr>
      </w:pPr>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p>
    <w:p>
      <w:pPr>
        <w:tabs>
          <w:tab w:val="left" w:pos="5457"/>
        </w:tabs>
        <w:ind w:left="117"/>
        <w:rPr>
          <w:rFonts w:hint="eastAsia" w:ascii="楷体" w:hAnsi="楷体" w:eastAsia="楷体" w:cs="楷体"/>
          <w:b/>
          <w:sz w:val="24"/>
          <w:szCs w:val="21"/>
        </w:rPr>
      </w:pPr>
    </w:p>
    <w:p>
      <w:pPr>
        <w:keepNext/>
        <w:keepLines/>
        <w:jc w:val="center"/>
        <w:outlineLvl w:val="0"/>
        <w:rPr>
          <w:rFonts w:ascii="Calibri" w:hAnsi="Calibri" w:eastAsia="宋体" w:cs="Times New Roman"/>
          <w:b/>
          <w:bCs/>
          <w:kern w:val="44"/>
          <w:sz w:val="36"/>
          <w:szCs w:val="44"/>
        </w:rPr>
        <w:sectPr>
          <w:footerReference r:id="rId16" w:type="first"/>
          <w:headerReference r:id="rId14" w:type="default"/>
          <w:footerReference r:id="rId15" w:type="default"/>
          <w:pgSz w:w="11906" w:h="16838"/>
          <w:pgMar w:top="1588" w:right="1418" w:bottom="1134" w:left="1418" w:header="851" w:footer="992" w:gutter="0"/>
          <w:cols w:space="720" w:num="1"/>
          <w:titlePg/>
          <w:docGrid w:type="lines" w:linePitch="312" w:charSpace="0"/>
        </w:sectPr>
      </w:pPr>
    </w:p>
    <w:p>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42"/>
    </w:p>
    <w:p>
      <w:pPr>
        <w:keepNext/>
        <w:keepLines/>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pPr>
        <w:pStyle w:val="18"/>
        <w:rPr>
          <w:rFonts w:ascii="Times New Roman" w:hAnsi="Times New Roman" w:eastAsia="宋体" w:cs="Times New Roman"/>
          <w:b/>
          <w:bCs/>
          <w:color w:val="000000"/>
          <w:sz w:val="24"/>
          <w:szCs w:val="24"/>
        </w:rPr>
        <w:sectPr>
          <w:footerReference r:id="rId19" w:type="first"/>
          <w:headerReference r:id="rId17" w:type="default"/>
          <w:footerReference r:id="rId18"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23" w:name="_Toc353881012"/>
      <w:bookmarkStart w:id="124" w:name="_Toc639004"/>
      <w:bookmarkStart w:id="125" w:name="_Toc212369550"/>
      <w:bookmarkStart w:id="126" w:name="_Toc25811"/>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23"/>
      <w:bookmarkEnd w:id="124"/>
      <w:bookmarkEnd w:id="125"/>
      <w:bookmarkEnd w:id="126"/>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szCs w:val="24"/>
          <w:u w:val="single"/>
        </w:rPr>
        <w:t>曲轴、连杆检测能力提升项目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份；电子版投标文件一份。</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 xml:space="preserve">联行号：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18"/>
        <w:rPr>
          <w:rFonts w:ascii="黑体" w:hAnsi="Calibri" w:eastAsia="黑体" w:cs="Times New Roman"/>
          <w:color w:val="000000"/>
          <w:sz w:val="24"/>
          <w:szCs w:val="24"/>
        </w:rPr>
      </w:pPr>
    </w:p>
    <w:p>
      <w:pPr>
        <w:pStyle w:val="18"/>
        <w:rPr>
          <w:rFonts w:ascii="黑体" w:hAnsi="Calibri" w:eastAsia="黑体" w:cs="Times New Roman"/>
          <w:color w:val="000000"/>
          <w:sz w:val="24"/>
          <w:szCs w:val="24"/>
        </w:rPr>
      </w:pPr>
    </w:p>
    <w:p>
      <w:pPr>
        <w:pStyle w:val="18"/>
        <w:rPr>
          <w:rFonts w:ascii="黑体" w:hAnsi="Calibri" w:eastAsia="黑体" w:cs="Times New Roman"/>
          <w:color w:val="000000"/>
          <w:sz w:val="24"/>
          <w:szCs w:val="24"/>
        </w:rPr>
      </w:pPr>
    </w:p>
    <w:p>
      <w:pPr>
        <w:pStyle w:val="18"/>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szCs w:val="24"/>
          <w:u w:val="single"/>
        </w:rPr>
        <w:t>曲轴、连杆检测能力提升项目</w:t>
      </w:r>
      <w:r>
        <w:rPr>
          <w:rFonts w:ascii="宋体" w:hAnsi="宋体" w:eastAsia="宋体" w:cs="Times New Roman"/>
          <w:b/>
          <w:bCs/>
          <w:color w:val="000000"/>
          <w:sz w:val="24"/>
          <w:szCs w:val="24"/>
        </w:rPr>
        <w:t xml:space="preserve"> </w:t>
      </w:r>
      <w:r>
        <w:rPr>
          <w:rFonts w:hint="eastAsia" w:ascii="宋体" w:hAnsi="宋体" w:eastAsia="宋体" w:cs="Times New Roman"/>
          <w:color w:val="000000"/>
          <w:sz w:val="24"/>
          <w:szCs w:val="24"/>
        </w:rPr>
        <w:t>（FSCZB2025110090）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7"/>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18"/>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投标人基本情况表(格式)</w:t>
      </w:r>
    </w:p>
    <w:tbl>
      <w:tblPr>
        <w:tblStyle w:val="128"/>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rPr>
          <w:trHeight w:val="411" w:hRule="atLeast"/>
        </w:trPr>
        <w:tc>
          <w:tcPr>
            <w:tcW w:w="1956" w:type="dxa"/>
          </w:tcPr>
          <w:p>
            <w:pPr>
              <w:pStyle w:val="130"/>
              <w:spacing w:before="114"/>
              <w:ind w:left="720"/>
              <w:rPr>
                <w:rFonts w:hint="eastAsia"/>
              </w:rPr>
            </w:pPr>
            <w:r>
              <w:t xml:space="preserve">企业名称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0"/>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rPr>
          <w:trHeight w:val="502" w:hRule="atLeast"/>
        </w:trPr>
        <w:tc>
          <w:tcPr>
            <w:tcW w:w="1956" w:type="dxa"/>
          </w:tcPr>
          <w:p>
            <w:pPr>
              <w:pStyle w:val="130"/>
              <w:spacing w:before="114"/>
              <w:ind w:left="720"/>
              <w:rPr>
                <w:rFonts w:hint="eastAsia"/>
              </w:rPr>
            </w:pPr>
            <w:r>
              <w:t xml:space="preserve">企业地址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0"/>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rPr>
          <w:trHeight w:val="376" w:hRule="atLeast"/>
        </w:trPr>
        <w:tc>
          <w:tcPr>
            <w:tcW w:w="1956" w:type="dxa"/>
          </w:tcPr>
          <w:p>
            <w:pPr>
              <w:pStyle w:val="130"/>
              <w:spacing w:before="111"/>
              <w:ind w:left="720"/>
              <w:rPr>
                <w:rFonts w:hint="eastAsia"/>
              </w:rPr>
            </w:pPr>
            <w:r>
              <w:t xml:space="preserve">企业性质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0"/>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rPr>
          <w:trHeight w:val="464" w:hRule="atLeast"/>
        </w:trPr>
        <w:tc>
          <w:tcPr>
            <w:tcW w:w="1956" w:type="dxa"/>
          </w:tcPr>
          <w:p>
            <w:pPr>
              <w:pStyle w:val="130"/>
              <w:spacing w:before="111"/>
              <w:ind w:left="509"/>
              <w:rPr>
                <w:rFonts w:hint="eastAsia"/>
                <w:highlight w:val="yellow"/>
              </w:rPr>
            </w:pPr>
            <w:r>
              <w:t xml:space="preserve">企业法人代表  </w:t>
            </w:r>
          </w:p>
        </w:tc>
        <w:tc>
          <w:tcPr>
            <w:tcW w:w="4680" w:type="dxa"/>
            <w:gridSpan w:val="4"/>
          </w:tcPr>
          <w:p>
            <w:pPr>
              <w:pStyle w:val="5"/>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pPr>
              <w:pStyle w:val="130"/>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rPr>
          <w:trHeight w:val="492" w:hRule="atLeast"/>
        </w:trPr>
        <w:tc>
          <w:tcPr>
            <w:tcW w:w="1956" w:type="dxa"/>
          </w:tcPr>
          <w:p>
            <w:pPr>
              <w:pStyle w:val="130"/>
              <w:spacing w:before="114"/>
              <w:ind w:left="720"/>
              <w:rPr>
                <w:rFonts w:hint="eastAsia"/>
              </w:rPr>
            </w:pPr>
            <w:r>
              <w:t xml:space="preserve">品牌区分 </w:t>
            </w:r>
          </w:p>
        </w:tc>
        <w:tc>
          <w:tcPr>
            <w:tcW w:w="7500" w:type="dxa"/>
            <w:gridSpan w:val="6"/>
          </w:tcPr>
          <w:p>
            <w:pPr>
              <w:pStyle w:val="130"/>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rPr>
          <w:trHeight w:val="492" w:hRule="atLeast"/>
        </w:trPr>
        <w:tc>
          <w:tcPr>
            <w:tcW w:w="1956" w:type="dxa"/>
          </w:tcPr>
          <w:p>
            <w:pPr>
              <w:pStyle w:val="130"/>
              <w:spacing w:before="178"/>
              <w:ind w:left="720"/>
              <w:rPr>
                <w:rFonts w:hint="eastAsia"/>
              </w:rPr>
            </w:pPr>
            <w:r>
              <w:t xml:space="preserve">品牌名称 </w:t>
            </w:r>
          </w:p>
        </w:tc>
        <w:tc>
          <w:tcPr>
            <w:tcW w:w="3583" w:type="dxa"/>
            <w:gridSpan w:val="3"/>
            <w:vAlign w:val="center"/>
          </w:tcPr>
          <w:p>
            <w:pPr>
              <w:widowControl/>
              <w:rPr>
                <w:rFonts w:hint="eastAsia" w:ascii="宋体" w:hAnsi="宋体" w:eastAsia="仿宋_GB2312"/>
                <w:kern w:val="0"/>
                <w:szCs w:val="21"/>
                <w:lang w:bidi="ar"/>
              </w:rPr>
            </w:pPr>
          </w:p>
        </w:tc>
        <w:tc>
          <w:tcPr>
            <w:tcW w:w="1097" w:type="dxa"/>
          </w:tcPr>
          <w:p>
            <w:pPr>
              <w:pStyle w:val="130"/>
              <w:spacing w:before="15"/>
              <w:ind w:left="279"/>
              <w:rPr>
                <w:rFonts w:hint="eastAsia"/>
              </w:rPr>
            </w:pPr>
            <w:r>
              <w:rPr>
                <w:spacing w:val="-2"/>
              </w:rPr>
              <w:t>质量</w:t>
            </w:r>
            <w:r>
              <w:t xml:space="preserve"> </w:t>
            </w:r>
          </w:p>
          <w:p>
            <w:pPr>
              <w:pStyle w:val="130"/>
              <w:spacing w:before="30" w:line="277" w:lineRule="exact"/>
              <w:ind w:left="279"/>
              <w:rPr>
                <w:rFonts w:hint="eastAsia"/>
              </w:rPr>
            </w:pPr>
            <w:r>
              <w:rPr>
                <w:rFonts w:hint="eastAsia"/>
              </w:rPr>
              <w:t>体系</w:t>
            </w:r>
          </w:p>
        </w:tc>
        <w:tc>
          <w:tcPr>
            <w:tcW w:w="2820" w:type="dxa"/>
            <w:gridSpan w:val="2"/>
          </w:tcPr>
          <w:p>
            <w:pPr>
              <w:pStyle w:val="130"/>
              <w:spacing w:before="158"/>
              <w:jc w:val="center"/>
              <w:rPr>
                <w:rFonts w:hint="eastAsia"/>
                <w:sz w:val="24"/>
              </w:rPr>
            </w:pPr>
            <w:r>
              <w:rPr>
                <w:rFonts w:hint="eastAsia"/>
                <w:kern w:val="0"/>
                <w:szCs w:val="21"/>
                <w:lang w:bidi="ar"/>
              </w:rPr>
              <w:t>/</w:t>
            </w:r>
          </w:p>
        </w:tc>
      </w:tr>
      <w:tr>
        <w:trPr>
          <w:trHeight w:val="405" w:hRule="atLeast"/>
        </w:trPr>
        <w:tc>
          <w:tcPr>
            <w:tcW w:w="9456" w:type="dxa"/>
            <w:gridSpan w:val="7"/>
          </w:tcPr>
          <w:p>
            <w:pPr>
              <w:pStyle w:val="130"/>
              <w:spacing w:before="149"/>
              <w:ind w:left="3345" w:right="3223"/>
              <w:jc w:val="center"/>
              <w:rPr>
                <w:rFonts w:hint="eastAsia"/>
              </w:rPr>
            </w:pPr>
            <w:r>
              <w:rPr>
                <w:rFonts w:hint="eastAsia"/>
                <w:szCs w:val="21"/>
              </w:rPr>
              <w:t>单位概况</w:t>
            </w:r>
          </w:p>
        </w:tc>
      </w:tr>
      <w:tr>
        <w:trPr>
          <w:trHeight w:val="59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hint="eastAsia" w:ascii="宋体" w:hAnsi="宋体" w:eastAsia="宋体" w:cs="宋体"/>
                <w:szCs w:val="21"/>
              </w:rPr>
            </w:pPr>
          </w:p>
        </w:tc>
        <w:tc>
          <w:tcPr>
            <w:tcW w:w="1530"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hint="eastAsia" w:ascii="宋体" w:hAnsi="宋体" w:eastAsia="宋体" w:cs="宋体"/>
                <w:szCs w:val="21"/>
              </w:rPr>
            </w:pPr>
          </w:p>
        </w:tc>
        <w:tc>
          <w:tcPr>
            <w:tcW w:w="1097" w:type="dxa"/>
            <w:vAlign w:val="center"/>
          </w:tcPr>
          <w:p>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hint="eastAsia" w:ascii="宋体" w:hAnsi="宋体" w:eastAsia="宋体" w:cs="宋体"/>
                <w:szCs w:val="21"/>
              </w:rPr>
            </w:pPr>
          </w:p>
        </w:tc>
      </w:tr>
      <w:tr>
        <w:trPr>
          <w:trHeight w:val="97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rPr>
          <w:trHeight w:val="786"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rPr>
          <w:trHeight w:val="1049" w:hRule="atLeast"/>
        </w:trPr>
        <w:tc>
          <w:tcPr>
            <w:tcW w:w="1956"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rPr>
          <w:trHeight w:val="110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rPr>
          <w:trHeight w:val="1020"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rPr>
          <w:trHeight w:val="1020" w:hRule="atLeast"/>
        </w:trPr>
        <w:tc>
          <w:tcPr>
            <w:tcW w:w="1956" w:type="dxa"/>
            <w:vAlign w:val="center"/>
          </w:tcPr>
          <w:p>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hint="eastAsia" w:ascii="宋体" w:hAnsi="宋体" w:eastAsia="宋体" w:cs="宋体"/>
                <w:kern w:val="0"/>
                <w:szCs w:val="21"/>
                <w:lang w:bidi="ar"/>
              </w:rPr>
            </w:pPr>
          </w:p>
        </w:tc>
      </w:tr>
    </w:tbl>
    <w:p>
      <w:pPr>
        <w:pStyle w:val="18"/>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pPr>
    </w:p>
    <w:p>
      <w:pPr>
        <w:pStyle w:val="18"/>
        <w:rPr>
          <w:rFonts w:ascii="Times New Roman" w:hAnsi="Times New Roman" w:eastAsia="宋体" w:cs="Times New Roman"/>
          <w:b/>
          <w:bCs/>
          <w:color w:val="000000"/>
          <w:sz w:val="24"/>
          <w:szCs w:val="24"/>
        </w:rPr>
      </w:pPr>
    </w:p>
    <w:p>
      <w:pPr>
        <w:pStyle w:val="18"/>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18"/>
        <w:rPr>
          <w:rFonts w:ascii="Times New Roman" w:hAnsi="Times New Roman" w:eastAsia="宋体" w:cs="Times New Roman"/>
          <w:b/>
          <w:bCs/>
          <w:color w:val="000000"/>
          <w:sz w:val="24"/>
          <w:szCs w:val="24"/>
        </w:rPr>
      </w:pP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trPr>
          <w:trHeight w:val="737" w:hRule="atLeast"/>
          <w:jc w:val="center"/>
        </w:trPr>
        <w:tc>
          <w:tcPr>
            <w:tcW w:w="8449" w:type="dxa"/>
            <w:gridSpan w:val="4"/>
            <w:vAlign w:val="center"/>
          </w:tcPr>
          <w:p>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注册资金（万元）</w:t>
            </w:r>
          </w:p>
        </w:tc>
        <w:tc>
          <w:tcPr>
            <w:tcW w:w="3865" w:type="dxa"/>
            <w:gridSpan w:val="3"/>
          </w:tcPr>
          <w:p>
            <w:pPr>
              <w:spacing w:line="440" w:lineRule="exact"/>
              <w:jc w:val="center"/>
              <w:rPr>
                <w:rFonts w:hint="eastAsia" w:ascii="宋体" w:hAnsi="宋体"/>
                <w:color w:val="000000"/>
                <w:sz w:val="24"/>
                <w:szCs w:val="24"/>
              </w:rPr>
            </w:pPr>
          </w:p>
        </w:tc>
      </w:tr>
      <w:tr>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实收资金（万元）</w:t>
            </w:r>
          </w:p>
        </w:tc>
        <w:tc>
          <w:tcPr>
            <w:tcW w:w="3865" w:type="dxa"/>
            <w:gridSpan w:val="3"/>
          </w:tcPr>
          <w:p>
            <w:pPr>
              <w:spacing w:line="440" w:lineRule="exact"/>
              <w:jc w:val="center"/>
              <w:rPr>
                <w:rFonts w:hint="eastAsia" w:ascii="宋体" w:hAnsi="宋体"/>
                <w:color w:val="000000"/>
                <w:sz w:val="24"/>
                <w:szCs w:val="24"/>
              </w:rPr>
            </w:pPr>
          </w:p>
        </w:tc>
      </w:tr>
      <w:tr>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2024年</w:t>
            </w:r>
          </w:p>
        </w:tc>
      </w:tr>
      <w:tr>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1" w:type="first"/>
          <w:footerReference r:id="rId20"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sz w:val="24"/>
          <w:szCs w:val="24"/>
          <w:u w:val="single"/>
        </w:rPr>
        <w:t>曲轴、连杆检测能力提升项目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23" w:type="first"/>
          <w:footerReference r:id="rId22"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u w:val="single"/>
        </w:rPr>
        <w:t>曲轴、连杆检测能力提升项目</w:t>
      </w:r>
      <w:r>
        <w:rPr>
          <w:rFonts w:ascii="宋体" w:hAnsi="宋体" w:eastAsia="宋体" w:cs="Times New Roman"/>
          <w:color w:val="000000"/>
          <w:sz w:val="24"/>
          <w:szCs w:val="24"/>
        </w:rPr>
        <w:t xml:space="preserve">                                                           </w:t>
      </w:r>
    </w:p>
    <w:tbl>
      <w:tblPr>
        <w:tblStyle w:val="37"/>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trPr>
          <w:trHeight w:val="619" w:hRule="atLeast"/>
        </w:trPr>
        <w:tc>
          <w:tcPr>
            <w:tcW w:w="15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rPr>
          <w:trHeight w:val="523" w:hRule="exac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bl>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rPr>
          <w:rFonts w:ascii="宋体" w:hAnsi="Calibri" w:eastAsia="宋体" w:cs="宋体"/>
          <w:b/>
          <w:bCs/>
          <w:color w:val="000000"/>
          <w:sz w:val="28"/>
          <w:szCs w:val="20"/>
        </w:rPr>
      </w:pPr>
    </w:p>
    <w:p>
      <w:pPr>
        <w:rPr>
          <w:rFonts w:ascii="宋体" w:hAnsi="Calibri" w:eastAsia="宋体" w:cs="宋体"/>
          <w:b/>
          <w:bCs/>
          <w:color w:val="000000"/>
          <w:sz w:val="28"/>
          <w:szCs w:val="20"/>
        </w:rPr>
        <w:sectPr>
          <w:footerReference r:id="rId25" w:type="first"/>
          <w:footerReference r:id="rId24"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附件5-2</w:t>
      </w:r>
      <w:r>
        <w:rPr>
          <w:rFonts w:ascii="Times New Roman" w:hAnsi="Times New Roman" w:eastAsia="宋体" w:cs="宋体"/>
          <w:b/>
          <w:bCs/>
          <w:color w:val="000000"/>
          <w:sz w:val="24"/>
          <w:szCs w:val="24"/>
        </w:rPr>
        <w:t xml:space="preserve"> </w:t>
      </w: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14:textOutline w14:w="5791" w14:cap="flat" w14:cmpd="sng" w14:algn="ctr">
            <w14:solidFill>
              <w14:srgbClr w14:val="000000"/>
            </w14:solidFill>
            <w14:prstDash w14:val="solid"/>
            <w14:miter w14:val="0"/>
          </w14:textOutline>
        </w:rPr>
        <w:t>配置</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28"/>
        <w:tblW w:w="1391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63"/>
        <w:gridCol w:w="3997"/>
        <w:gridCol w:w="3015"/>
        <w:gridCol w:w="1563"/>
        <w:gridCol w:w="1034"/>
        <w:gridCol w:w="2178"/>
        <w:gridCol w:w="1267"/>
      </w:tblGrid>
      <w:tr>
        <w:trPr>
          <w:trHeight w:val="253" w:hRule="atLeast"/>
        </w:trPr>
        <w:tc>
          <w:tcPr>
            <w:tcW w:w="863" w:type="dxa"/>
            <w:vAlign w:val="center"/>
          </w:tcPr>
          <w:p>
            <w:pPr>
              <w:spacing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3997" w:type="dxa"/>
            <w:vAlign w:val="center"/>
          </w:tcPr>
          <w:p>
            <w:pPr>
              <w:spacing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3015" w:type="dxa"/>
            <w:vAlign w:val="center"/>
          </w:tcPr>
          <w:p>
            <w:pPr>
              <w:spacing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563" w:type="dxa"/>
            <w:vAlign w:val="center"/>
          </w:tcPr>
          <w:p>
            <w:pPr>
              <w:spacing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034" w:type="dxa"/>
            <w:vAlign w:val="center"/>
          </w:tcPr>
          <w:p>
            <w:pPr>
              <w:spacing w:line="182"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2178" w:type="dxa"/>
            <w:tcBorders>
              <w:left w:val="single" w:color="000000" w:sz="4" w:space="0"/>
            </w:tcBorders>
            <w:vAlign w:val="center"/>
          </w:tcPr>
          <w:p>
            <w:pPr>
              <w:spacing w:line="182"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6</w:t>
            </w:r>
          </w:p>
        </w:tc>
        <w:tc>
          <w:tcPr>
            <w:tcW w:w="1267" w:type="dxa"/>
            <w:vAlign w:val="center"/>
          </w:tcPr>
          <w:p>
            <w:pPr>
              <w:spacing w:line="183" w:lineRule="auto"/>
              <w:ind w:firstLine="420" w:firstLineChars="200"/>
              <w:jc w:val="left"/>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r>
      <w:tr>
        <w:trPr>
          <w:trHeight w:val="299" w:hRule="atLeast"/>
        </w:trPr>
        <w:tc>
          <w:tcPr>
            <w:tcW w:w="863" w:type="dxa"/>
            <w:vAlign w:val="center"/>
          </w:tcPr>
          <w:p>
            <w:pPr>
              <w:spacing w:line="221" w:lineRule="auto"/>
              <w:jc w:val="cente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t>序号</w:t>
            </w:r>
          </w:p>
        </w:tc>
        <w:tc>
          <w:tcPr>
            <w:tcW w:w="3997" w:type="dxa"/>
            <w:vAlign w:val="center"/>
          </w:tcPr>
          <w:p>
            <w:pPr>
              <w:spacing w:line="221" w:lineRule="auto"/>
              <w:jc w:val="cente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b/>
                <w:bCs/>
                <w:spacing w:val="-1"/>
                <w:szCs w:val="21"/>
                <w14:textOutline w14:w="3835" w14:cap="flat" w14:cmpd="sng" w14:algn="ctr">
                  <w14:solidFill>
                    <w14:srgbClr w14:val="000000"/>
                  </w14:solidFill>
                  <w14:prstDash w14:val="solid"/>
                  <w14:miter w14:val="0"/>
                </w14:textOutline>
              </w:rPr>
              <w:t>货物名称</w:t>
            </w:r>
          </w:p>
        </w:tc>
        <w:tc>
          <w:tcPr>
            <w:tcW w:w="301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56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034"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2178" w:type="dxa"/>
            <w:tcBorders>
              <w:lef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126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备注</w:t>
            </w:r>
          </w:p>
        </w:tc>
      </w:tr>
      <w:tr>
        <w:trPr>
          <w:trHeight w:val="309" w:hRule="atLeast"/>
        </w:trPr>
        <w:tc>
          <w:tcPr>
            <w:tcW w:w="863" w:type="dxa"/>
            <w:vAlign w:val="center"/>
          </w:tcPr>
          <w:p>
            <w:pPr>
              <w:widowControl/>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1</w:t>
            </w:r>
          </w:p>
        </w:tc>
        <w:tc>
          <w:tcPr>
            <w:tcW w:w="3997"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015" w:type="dxa"/>
            <w:vAlign w:val="center"/>
          </w:tcPr>
          <w:p>
            <w:pPr>
              <w:widowControl/>
              <w:jc w:val="center"/>
              <w:textAlignment w:val="center"/>
              <w:rPr>
                <w:rFonts w:hint="eastAsia" w:ascii="宋体" w:hAnsi="宋体" w:eastAsia="宋体" w:cs="宋体"/>
                <w:color w:val="000000"/>
                <w:kern w:val="0"/>
                <w:sz w:val="20"/>
                <w:szCs w:val="20"/>
                <w:highlight w:val="yellow"/>
                <w:lang w:bidi="ar"/>
              </w:rPr>
            </w:pPr>
          </w:p>
        </w:tc>
        <w:tc>
          <w:tcPr>
            <w:tcW w:w="1563" w:type="dxa"/>
            <w:vAlign w:val="center"/>
          </w:tcPr>
          <w:p>
            <w:pPr>
              <w:widowControl/>
              <w:jc w:val="center"/>
              <w:textAlignment w:val="center"/>
              <w:rPr>
                <w:rFonts w:hint="eastAsia" w:ascii="宋体" w:hAnsi="宋体" w:eastAsia="宋体" w:cs="宋体"/>
                <w:sz w:val="20"/>
                <w:szCs w:val="20"/>
                <w:highlight w:val="yellow"/>
              </w:rPr>
            </w:pPr>
          </w:p>
        </w:tc>
        <w:tc>
          <w:tcPr>
            <w:tcW w:w="1034" w:type="dxa"/>
            <w:vAlign w:val="center"/>
          </w:tcPr>
          <w:p>
            <w:pPr>
              <w:widowControl/>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widowControl/>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rPr>
          <w:trHeight w:val="309" w:hRule="atLeast"/>
        </w:trPr>
        <w:tc>
          <w:tcPr>
            <w:tcW w:w="863" w:type="dxa"/>
            <w:vAlign w:val="center"/>
          </w:tcPr>
          <w:p>
            <w:pPr>
              <w:widowControl/>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2</w:t>
            </w:r>
          </w:p>
        </w:tc>
        <w:tc>
          <w:tcPr>
            <w:tcW w:w="3997"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015" w:type="dxa"/>
            <w:vAlign w:val="center"/>
          </w:tcPr>
          <w:p>
            <w:pPr>
              <w:widowControl/>
              <w:jc w:val="center"/>
              <w:textAlignment w:val="center"/>
              <w:rPr>
                <w:rFonts w:hint="eastAsia" w:ascii="宋体" w:hAnsi="宋体" w:eastAsia="宋体" w:cs="宋体"/>
                <w:color w:val="000000"/>
                <w:kern w:val="0"/>
                <w:sz w:val="20"/>
                <w:szCs w:val="20"/>
                <w:highlight w:val="yellow"/>
                <w:lang w:bidi="ar"/>
              </w:rPr>
            </w:pPr>
          </w:p>
        </w:tc>
        <w:tc>
          <w:tcPr>
            <w:tcW w:w="1563" w:type="dxa"/>
            <w:vAlign w:val="center"/>
          </w:tcPr>
          <w:p>
            <w:pPr>
              <w:widowControl/>
              <w:jc w:val="center"/>
              <w:textAlignment w:val="center"/>
              <w:rPr>
                <w:rFonts w:hint="eastAsia" w:ascii="宋体" w:hAnsi="宋体" w:eastAsia="宋体" w:cs="宋体"/>
                <w:sz w:val="20"/>
                <w:szCs w:val="20"/>
                <w:highlight w:val="yellow"/>
              </w:rPr>
            </w:pPr>
          </w:p>
        </w:tc>
        <w:tc>
          <w:tcPr>
            <w:tcW w:w="1034" w:type="dxa"/>
            <w:vAlign w:val="center"/>
          </w:tcPr>
          <w:p>
            <w:pPr>
              <w:widowControl/>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widowControl/>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rPr>
          <w:trHeight w:val="309" w:hRule="atLeast"/>
        </w:trPr>
        <w:tc>
          <w:tcPr>
            <w:tcW w:w="863" w:type="dxa"/>
            <w:vAlign w:val="center"/>
          </w:tcPr>
          <w:p>
            <w:pPr>
              <w:widowControl/>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w:t>
            </w:r>
          </w:p>
        </w:tc>
        <w:tc>
          <w:tcPr>
            <w:tcW w:w="3997"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015" w:type="dxa"/>
            <w:vAlign w:val="center"/>
          </w:tcPr>
          <w:p>
            <w:pPr>
              <w:widowControl/>
              <w:jc w:val="center"/>
              <w:textAlignment w:val="center"/>
              <w:rPr>
                <w:rFonts w:hint="eastAsia" w:ascii="宋体" w:hAnsi="宋体" w:eastAsia="宋体" w:cs="宋体"/>
                <w:color w:val="000000"/>
                <w:kern w:val="0"/>
                <w:sz w:val="20"/>
                <w:szCs w:val="20"/>
                <w:highlight w:val="yellow"/>
                <w:lang w:bidi="ar"/>
              </w:rPr>
            </w:pPr>
          </w:p>
        </w:tc>
        <w:tc>
          <w:tcPr>
            <w:tcW w:w="1563" w:type="dxa"/>
            <w:vAlign w:val="center"/>
          </w:tcPr>
          <w:p>
            <w:pPr>
              <w:widowControl/>
              <w:jc w:val="center"/>
              <w:textAlignment w:val="center"/>
              <w:rPr>
                <w:rFonts w:hint="eastAsia" w:ascii="宋体" w:hAnsi="宋体" w:eastAsia="宋体" w:cs="宋体"/>
                <w:sz w:val="20"/>
                <w:szCs w:val="20"/>
                <w:highlight w:val="yellow"/>
              </w:rPr>
            </w:pPr>
          </w:p>
        </w:tc>
        <w:tc>
          <w:tcPr>
            <w:tcW w:w="1034" w:type="dxa"/>
            <w:vAlign w:val="center"/>
          </w:tcPr>
          <w:p>
            <w:pPr>
              <w:widowControl/>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widowControl/>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rPr>
          <w:trHeight w:val="309" w:hRule="atLeast"/>
        </w:trPr>
        <w:tc>
          <w:tcPr>
            <w:tcW w:w="863" w:type="dxa"/>
            <w:vAlign w:val="center"/>
          </w:tcPr>
          <w:p>
            <w:pPr>
              <w:widowControl/>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4</w:t>
            </w:r>
          </w:p>
        </w:tc>
        <w:tc>
          <w:tcPr>
            <w:tcW w:w="3997"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015" w:type="dxa"/>
            <w:vAlign w:val="center"/>
          </w:tcPr>
          <w:p>
            <w:pPr>
              <w:widowControl/>
              <w:jc w:val="center"/>
              <w:textAlignment w:val="center"/>
              <w:rPr>
                <w:rFonts w:hint="eastAsia" w:ascii="宋体" w:hAnsi="宋体" w:eastAsia="宋体" w:cs="宋体"/>
                <w:color w:val="000000"/>
                <w:kern w:val="0"/>
                <w:sz w:val="20"/>
                <w:szCs w:val="20"/>
                <w:highlight w:val="yellow"/>
                <w:lang w:bidi="ar"/>
              </w:rPr>
            </w:pPr>
          </w:p>
        </w:tc>
        <w:tc>
          <w:tcPr>
            <w:tcW w:w="1563" w:type="dxa"/>
            <w:vAlign w:val="center"/>
          </w:tcPr>
          <w:p>
            <w:pPr>
              <w:widowControl/>
              <w:jc w:val="center"/>
              <w:textAlignment w:val="center"/>
              <w:rPr>
                <w:rFonts w:hint="eastAsia" w:ascii="宋体" w:hAnsi="宋体" w:eastAsia="宋体" w:cs="宋体"/>
                <w:sz w:val="20"/>
                <w:szCs w:val="20"/>
                <w:highlight w:val="yellow"/>
              </w:rPr>
            </w:pPr>
          </w:p>
        </w:tc>
        <w:tc>
          <w:tcPr>
            <w:tcW w:w="1034" w:type="dxa"/>
            <w:vAlign w:val="center"/>
          </w:tcPr>
          <w:p>
            <w:pPr>
              <w:widowControl/>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widowControl/>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rPr>
          <w:trHeight w:val="309" w:hRule="atLeast"/>
        </w:trPr>
        <w:tc>
          <w:tcPr>
            <w:tcW w:w="863"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997"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015" w:type="dxa"/>
            <w:vAlign w:val="center"/>
          </w:tcPr>
          <w:p>
            <w:pPr>
              <w:widowControl/>
              <w:jc w:val="center"/>
              <w:textAlignment w:val="center"/>
              <w:rPr>
                <w:rFonts w:hint="eastAsia" w:ascii="宋体" w:hAnsi="宋体" w:eastAsia="宋体" w:cs="宋体"/>
                <w:color w:val="000000"/>
                <w:kern w:val="0"/>
                <w:sz w:val="20"/>
                <w:szCs w:val="20"/>
                <w:highlight w:val="yellow"/>
                <w:lang w:bidi="ar"/>
              </w:rPr>
            </w:pPr>
          </w:p>
        </w:tc>
        <w:tc>
          <w:tcPr>
            <w:tcW w:w="1563" w:type="dxa"/>
            <w:vAlign w:val="center"/>
          </w:tcPr>
          <w:p>
            <w:pPr>
              <w:widowControl/>
              <w:jc w:val="center"/>
              <w:textAlignment w:val="center"/>
              <w:rPr>
                <w:rFonts w:hint="eastAsia" w:ascii="宋体" w:hAnsi="宋体" w:eastAsia="宋体" w:cs="宋体"/>
                <w:sz w:val="20"/>
                <w:szCs w:val="20"/>
                <w:highlight w:val="yellow"/>
              </w:rPr>
            </w:pPr>
          </w:p>
        </w:tc>
        <w:tc>
          <w:tcPr>
            <w:tcW w:w="1034" w:type="dxa"/>
            <w:vAlign w:val="center"/>
          </w:tcPr>
          <w:p>
            <w:pPr>
              <w:widowControl/>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widowControl/>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rPr>
          <w:trHeight w:val="309" w:hRule="atLeast"/>
        </w:trPr>
        <w:tc>
          <w:tcPr>
            <w:tcW w:w="863"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997"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015" w:type="dxa"/>
            <w:vAlign w:val="center"/>
          </w:tcPr>
          <w:p>
            <w:pPr>
              <w:widowControl/>
              <w:jc w:val="center"/>
              <w:textAlignment w:val="center"/>
              <w:rPr>
                <w:rFonts w:hint="eastAsia" w:ascii="宋体" w:hAnsi="宋体" w:eastAsia="宋体" w:cs="宋体"/>
                <w:color w:val="000000"/>
                <w:kern w:val="0"/>
                <w:sz w:val="20"/>
                <w:szCs w:val="20"/>
                <w:highlight w:val="yellow"/>
                <w:lang w:bidi="ar"/>
              </w:rPr>
            </w:pPr>
          </w:p>
        </w:tc>
        <w:tc>
          <w:tcPr>
            <w:tcW w:w="1563" w:type="dxa"/>
            <w:vAlign w:val="center"/>
          </w:tcPr>
          <w:p>
            <w:pPr>
              <w:widowControl/>
              <w:jc w:val="center"/>
              <w:textAlignment w:val="center"/>
              <w:rPr>
                <w:rFonts w:hint="eastAsia" w:ascii="宋体" w:hAnsi="宋体" w:eastAsia="宋体" w:cs="宋体"/>
                <w:sz w:val="20"/>
                <w:szCs w:val="20"/>
                <w:highlight w:val="yellow"/>
              </w:rPr>
            </w:pPr>
          </w:p>
        </w:tc>
        <w:tc>
          <w:tcPr>
            <w:tcW w:w="1034" w:type="dxa"/>
            <w:vAlign w:val="center"/>
          </w:tcPr>
          <w:p>
            <w:pPr>
              <w:widowControl/>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widowControl/>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rPr>
          <w:trHeight w:val="309" w:hRule="atLeast"/>
        </w:trPr>
        <w:tc>
          <w:tcPr>
            <w:tcW w:w="863"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997"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015" w:type="dxa"/>
            <w:vAlign w:val="center"/>
          </w:tcPr>
          <w:p>
            <w:pPr>
              <w:widowControl/>
              <w:jc w:val="center"/>
              <w:textAlignment w:val="center"/>
              <w:rPr>
                <w:rFonts w:hint="eastAsia" w:ascii="宋体" w:hAnsi="宋体" w:eastAsia="宋体" w:cs="宋体"/>
                <w:color w:val="000000"/>
                <w:kern w:val="0"/>
                <w:sz w:val="20"/>
                <w:szCs w:val="20"/>
                <w:highlight w:val="yellow"/>
                <w:lang w:bidi="ar"/>
              </w:rPr>
            </w:pPr>
          </w:p>
        </w:tc>
        <w:tc>
          <w:tcPr>
            <w:tcW w:w="1563" w:type="dxa"/>
            <w:vAlign w:val="center"/>
          </w:tcPr>
          <w:p>
            <w:pPr>
              <w:widowControl/>
              <w:jc w:val="center"/>
              <w:textAlignment w:val="center"/>
              <w:rPr>
                <w:rFonts w:hint="eastAsia" w:ascii="宋体" w:hAnsi="宋体" w:eastAsia="宋体" w:cs="宋体"/>
                <w:sz w:val="20"/>
                <w:szCs w:val="20"/>
                <w:highlight w:val="yellow"/>
              </w:rPr>
            </w:pPr>
          </w:p>
        </w:tc>
        <w:tc>
          <w:tcPr>
            <w:tcW w:w="1034" w:type="dxa"/>
            <w:vAlign w:val="center"/>
          </w:tcPr>
          <w:p>
            <w:pPr>
              <w:widowControl/>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widowControl/>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rPr>
          <w:trHeight w:val="309" w:hRule="atLeast"/>
        </w:trPr>
        <w:tc>
          <w:tcPr>
            <w:tcW w:w="863"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997"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015" w:type="dxa"/>
            <w:vAlign w:val="center"/>
          </w:tcPr>
          <w:p>
            <w:pPr>
              <w:widowControl/>
              <w:jc w:val="center"/>
              <w:textAlignment w:val="center"/>
              <w:rPr>
                <w:rFonts w:hint="eastAsia" w:ascii="宋体" w:hAnsi="宋体" w:eastAsia="宋体" w:cs="宋体"/>
                <w:color w:val="000000"/>
                <w:kern w:val="0"/>
                <w:sz w:val="20"/>
                <w:szCs w:val="20"/>
                <w:highlight w:val="yellow"/>
                <w:lang w:bidi="ar"/>
              </w:rPr>
            </w:pPr>
          </w:p>
        </w:tc>
        <w:tc>
          <w:tcPr>
            <w:tcW w:w="1563" w:type="dxa"/>
            <w:vAlign w:val="center"/>
          </w:tcPr>
          <w:p>
            <w:pPr>
              <w:widowControl/>
              <w:jc w:val="center"/>
              <w:textAlignment w:val="center"/>
              <w:rPr>
                <w:rFonts w:hint="eastAsia" w:ascii="宋体" w:hAnsi="宋体" w:eastAsia="宋体" w:cs="宋体"/>
                <w:sz w:val="20"/>
                <w:szCs w:val="20"/>
                <w:highlight w:val="yellow"/>
              </w:rPr>
            </w:pPr>
          </w:p>
        </w:tc>
        <w:tc>
          <w:tcPr>
            <w:tcW w:w="1034" w:type="dxa"/>
            <w:vAlign w:val="center"/>
          </w:tcPr>
          <w:p>
            <w:pPr>
              <w:widowControl/>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widowControl/>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rPr>
          <w:trHeight w:val="309" w:hRule="atLeast"/>
        </w:trPr>
        <w:tc>
          <w:tcPr>
            <w:tcW w:w="863"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997"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015" w:type="dxa"/>
            <w:vAlign w:val="center"/>
          </w:tcPr>
          <w:p>
            <w:pPr>
              <w:widowControl/>
              <w:jc w:val="center"/>
              <w:textAlignment w:val="center"/>
              <w:rPr>
                <w:rFonts w:hint="eastAsia" w:ascii="宋体" w:hAnsi="宋体" w:eastAsia="宋体" w:cs="宋体"/>
                <w:color w:val="000000"/>
                <w:kern w:val="0"/>
                <w:sz w:val="20"/>
                <w:szCs w:val="20"/>
                <w:highlight w:val="yellow"/>
                <w:lang w:bidi="ar"/>
              </w:rPr>
            </w:pPr>
          </w:p>
        </w:tc>
        <w:tc>
          <w:tcPr>
            <w:tcW w:w="1563" w:type="dxa"/>
            <w:vAlign w:val="center"/>
          </w:tcPr>
          <w:p>
            <w:pPr>
              <w:widowControl/>
              <w:jc w:val="center"/>
              <w:textAlignment w:val="center"/>
              <w:rPr>
                <w:rFonts w:hint="eastAsia" w:ascii="宋体" w:hAnsi="宋体" w:eastAsia="宋体" w:cs="宋体"/>
                <w:sz w:val="20"/>
                <w:szCs w:val="20"/>
                <w:highlight w:val="yellow"/>
              </w:rPr>
            </w:pPr>
          </w:p>
        </w:tc>
        <w:tc>
          <w:tcPr>
            <w:tcW w:w="1034" w:type="dxa"/>
            <w:vAlign w:val="center"/>
          </w:tcPr>
          <w:p>
            <w:pPr>
              <w:widowControl/>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widowControl/>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rPr>
          <w:trHeight w:val="309" w:hRule="atLeast"/>
        </w:trPr>
        <w:tc>
          <w:tcPr>
            <w:tcW w:w="863"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997"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015" w:type="dxa"/>
            <w:vAlign w:val="center"/>
          </w:tcPr>
          <w:p>
            <w:pPr>
              <w:widowControl/>
              <w:jc w:val="center"/>
              <w:textAlignment w:val="center"/>
              <w:rPr>
                <w:rFonts w:hint="eastAsia" w:ascii="宋体" w:hAnsi="宋体" w:eastAsia="宋体" w:cs="宋体"/>
                <w:color w:val="000000"/>
                <w:kern w:val="0"/>
                <w:sz w:val="20"/>
                <w:szCs w:val="20"/>
                <w:highlight w:val="yellow"/>
                <w:lang w:bidi="ar"/>
              </w:rPr>
            </w:pPr>
          </w:p>
        </w:tc>
        <w:tc>
          <w:tcPr>
            <w:tcW w:w="1563" w:type="dxa"/>
            <w:vAlign w:val="center"/>
          </w:tcPr>
          <w:p>
            <w:pPr>
              <w:widowControl/>
              <w:jc w:val="center"/>
              <w:textAlignment w:val="center"/>
              <w:rPr>
                <w:rFonts w:hint="eastAsia" w:ascii="宋体" w:hAnsi="宋体" w:eastAsia="宋体" w:cs="宋体"/>
                <w:sz w:val="20"/>
                <w:szCs w:val="20"/>
                <w:highlight w:val="yellow"/>
              </w:rPr>
            </w:pPr>
          </w:p>
        </w:tc>
        <w:tc>
          <w:tcPr>
            <w:tcW w:w="1034" w:type="dxa"/>
            <w:vAlign w:val="center"/>
          </w:tcPr>
          <w:p>
            <w:pPr>
              <w:widowControl/>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widowControl/>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rPr>
          <w:trHeight w:val="309" w:hRule="atLeast"/>
        </w:trPr>
        <w:tc>
          <w:tcPr>
            <w:tcW w:w="863"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997"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015" w:type="dxa"/>
            <w:vAlign w:val="center"/>
          </w:tcPr>
          <w:p>
            <w:pPr>
              <w:widowControl/>
              <w:jc w:val="center"/>
              <w:textAlignment w:val="center"/>
              <w:rPr>
                <w:rFonts w:hint="eastAsia" w:ascii="宋体" w:hAnsi="宋体" w:eastAsia="宋体" w:cs="宋体"/>
                <w:color w:val="000000"/>
                <w:kern w:val="0"/>
                <w:sz w:val="20"/>
                <w:szCs w:val="20"/>
                <w:highlight w:val="yellow"/>
                <w:lang w:bidi="ar"/>
              </w:rPr>
            </w:pPr>
          </w:p>
        </w:tc>
        <w:tc>
          <w:tcPr>
            <w:tcW w:w="1563" w:type="dxa"/>
            <w:vAlign w:val="center"/>
          </w:tcPr>
          <w:p>
            <w:pPr>
              <w:widowControl/>
              <w:jc w:val="center"/>
              <w:textAlignment w:val="center"/>
              <w:rPr>
                <w:rFonts w:hint="eastAsia" w:ascii="宋体" w:hAnsi="宋体" w:eastAsia="宋体" w:cs="宋体"/>
                <w:sz w:val="20"/>
                <w:szCs w:val="20"/>
                <w:highlight w:val="yellow"/>
              </w:rPr>
            </w:pPr>
          </w:p>
        </w:tc>
        <w:tc>
          <w:tcPr>
            <w:tcW w:w="1034" w:type="dxa"/>
            <w:vAlign w:val="center"/>
          </w:tcPr>
          <w:p>
            <w:pPr>
              <w:widowControl/>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widowControl/>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rPr>
          <w:trHeight w:val="309" w:hRule="atLeast"/>
        </w:trPr>
        <w:tc>
          <w:tcPr>
            <w:tcW w:w="863"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997"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015" w:type="dxa"/>
            <w:vAlign w:val="center"/>
          </w:tcPr>
          <w:p>
            <w:pPr>
              <w:widowControl/>
              <w:jc w:val="center"/>
              <w:textAlignment w:val="center"/>
              <w:rPr>
                <w:rFonts w:hint="eastAsia" w:ascii="宋体" w:hAnsi="宋体" w:eastAsia="宋体" w:cs="宋体"/>
                <w:color w:val="000000"/>
                <w:kern w:val="0"/>
                <w:sz w:val="20"/>
                <w:szCs w:val="20"/>
                <w:highlight w:val="yellow"/>
                <w:lang w:bidi="ar"/>
              </w:rPr>
            </w:pPr>
          </w:p>
        </w:tc>
        <w:tc>
          <w:tcPr>
            <w:tcW w:w="1563" w:type="dxa"/>
            <w:vAlign w:val="center"/>
          </w:tcPr>
          <w:p>
            <w:pPr>
              <w:widowControl/>
              <w:jc w:val="center"/>
              <w:textAlignment w:val="center"/>
              <w:rPr>
                <w:rFonts w:hint="eastAsia" w:ascii="宋体" w:hAnsi="宋体" w:eastAsia="宋体" w:cs="宋体"/>
                <w:sz w:val="20"/>
                <w:szCs w:val="20"/>
                <w:highlight w:val="yellow"/>
              </w:rPr>
            </w:pPr>
          </w:p>
        </w:tc>
        <w:tc>
          <w:tcPr>
            <w:tcW w:w="1034" w:type="dxa"/>
            <w:vAlign w:val="center"/>
          </w:tcPr>
          <w:p>
            <w:pPr>
              <w:widowControl/>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widowControl/>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rPr>
          <w:trHeight w:val="309" w:hRule="atLeast"/>
        </w:trPr>
        <w:tc>
          <w:tcPr>
            <w:tcW w:w="863"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997"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015" w:type="dxa"/>
            <w:vAlign w:val="center"/>
          </w:tcPr>
          <w:p>
            <w:pPr>
              <w:widowControl/>
              <w:jc w:val="center"/>
              <w:textAlignment w:val="center"/>
              <w:rPr>
                <w:rFonts w:hint="eastAsia" w:ascii="宋体" w:hAnsi="宋体" w:eastAsia="宋体" w:cs="宋体"/>
                <w:color w:val="000000"/>
                <w:kern w:val="0"/>
                <w:sz w:val="20"/>
                <w:szCs w:val="20"/>
                <w:highlight w:val="yellow"/>
                <w:lang w:bidi="ar"/>
              </w:rPr>
            </w:pPr>
          </w:p>
        </w:tc>
        <w:tc>
          <w:tcPr>
            <w:tcW w:w="1563" w:type="dxa"/>
            <w:vAlign w:val="center"/>
          </w:tcPr>
          <w:p>
            <w:pPr>
              <w:widowControl/>
              <w:jc w:val="center"/>
              <w:textAlignment w:val="center"/>
              <w:rPr>
                <w:rFonts w:hint="eastAsia" w:ascii="宋体" w:hAnsi="宋体" w:eastAsia="宋体" w:cs="宋体"/>
                <w:sz w:val="20"/>
                <w:szCs w:val="20"/>
                <w:highlight w:val="yellow"/>
              </w:rPr>
            </w:pPr>
          </w:p>
        </w:tc>
        <w:tc>
          <w:tcPr>
            <w:tcW w:w="1034" w:type="dxa"/>
            <w:vAlign w:val="center"/>
          </w:tcPr>
          <w:p>
            <w:pPr>
              <w:widowControl/>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widowControl/>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rPr>
          <w:trHeight w:val="309" w:hRule="atLeast"/>
        </w:trPr>
        <w:tc>
          <w:tcPr>
            <w:tcW w:w="863"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997"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015" w:type="dxa"/>
            <w:vAlign w:val="center"/>
          </w:tcPr>
          <w:p>
            <w:pPr>
              <w:widowControl/>
              <w:jc w:val="center"/>
              <w:textAlignment w:val="center"/>
              <w:rPr>
                <w:rFonts w:hint="eastAsia" w:ascii="宋体" w:hAnsi="宋体" w:eastAsia="宋体" w:cs="宋体"/>
                <w:color w:val="000000"/>
                <w:kern w:val="0"/>
                <w:sz w:val="20"/>
                <w:szCs w:val="20"/>
                <w:highlight w:val="yellow"/>
                <w:lang w:bidi="ar"/>
              </w:rPr>
            </w:pPr>
          </w:p>
        </w:tc>
        <w:tc>
          <w:tcPr>
            <w:tcW w:w="1563" w:type="dxa"/>
            <w:vAlign w:val="center"/>
          </w:tcPr>
          <w:p>
            <w:pPr>
              <w:widowControl/>
              <w:jc w:val="center"/>
              <w:textAlignment w:val="center"/>
              <w:rPr>
                <w:rFonts w:hint="eastAsia" w:ascii="宋体" w:hAnsi="宋体" w:eastAsia="宋体" w:cs="宋体"/>
                <w:sz w:val="20"/>
                <w:szCs w:val="20"/>
                <w:highlight w:val="yellow"/>
              </w:rPr>
            </w:pPr>
          </w:p>
        </w:tc>
        <w:tc>
          <w:tcPr>
            <w:tcW w:w="1034" w:type="dxa"/>
            <w:vAlign w:val="center"/>
          </w:tcPr>
          <w:p>
            <w:pPr>
              <w:widowControl/>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widowControl/>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rPr>
          <w:trHeight w:val="309" w:hRule="atLeast"/>
        </w:trPr>
        <w:tc>
          <w:tcPr>
            <w:tcW w:w="863"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997"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015" w:type="dxa"/>
            <w:vAlign w:val="center"/>
          </w:tcPr>
          <w:p>
            <w:pPr>
              <w:widowControl/>
              <w:jc w:val="center"/>
              <w:textAlignment w:val="center"/>
              <w:rPr>
                <w:rFonts w:hint="eastAsia" w:ascii="宋体" w:hAnsi="宋体" w:eastAsia="宋体" w:cs="宋体"/>
                <w:color w:val="000000"/>
                <w:kern w:val="0"/>
                <w:sz w:val="20"/>
                <w:szCs w:val="20"/>
                <w:highlight w:val="yellow"/>
                <w:lang w:bidi="ar"/>
              </w:rPr>
            </w:pPr>
          </w:p>
        </w:tc>
        <w:tc>
          <w:tcPr>
            <w:tcW w:w="1563" w:type="dxa"/>
            <w:vAlign w:val="center"/>
          </w:tcPr>
          <w:p>
            <w:pPr>
              <w:widowControl/>
              <w:jc w:val="center"/>
              <w:textAlignment w:val="center"/>
              <w:rPr>
                <w:rFonts w:hint="eastAsia" w:ascii="宋体" w:hAnsi="宋体" w:eastAsia="宋体" w:cs="宋体"/>
                <w:sz w:val="20"/>
                <w:szCs w:val="20"/>
                <w:highlight w:val="yellow"/>
              </w:rPr>
            </w:pPr>
          </w:p>
        </w:tc>
        <w:tc>
          <w:tcPr>
            <w:tcW w:w="1034" w:type="dxa"/>
            <w:vAlign w:val="center"/>
          </w:tcPr>
          <w:p>
            <w:pPr>
              <w:widowControl/>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widowControl/>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rPr>
          <w:trHeight w:val="309" w:hRule="atLeast"/>
        </w:trPr>
        <w:tc>
          <w:tcPr>
            <w:tcW w:w="863"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997"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015" w:type="dxa"/>
            <w:vAlign w:val="center"/>
          </w:tcPr>
          <w:p>
            <w:pPr>
              <w:widowControl/>
              <w:jc w:val="center"/>
              <w:textAlignment w:val="center"/>
              <w:rPr>
                <w:rFonts w:hint="eastAsia" w:ascii="宋体" w:hAnsi="宋体" w:eastAsia="宋体" w:cs="宋体"/>
                <w:sz w:val="20"/>
                <w:szCs w:val="20"/>
                <w:highlight w:val="yellow"/>
              </w:rPr>
            </w:pPr>
          </w:p>
        </w:tc>
        <w:tc>
          <w:tcPr>
            <w:tcW w:w="1563" w:type="dxa"/>
            <w:vAlign w:val="center"/>
          </w:tcPr>
          <w:p>
            <w:pPr>
              <w:widowControl/>
              <w:jc w:val="center"/>
              <w:textAlignment w:val="center"/>
              <w:rPr>
                <w:rFonts w:hint="eastAsia" w:ascii="宋体" w:hAnsi="宋体" w:eastAsia="宋体" w:cs="宋体"/>
                <w:sz w:val="20"/>
                <w:szCs w:val="20"/>
                <w:highlight w:val="yellow"/>
              </w:rPr>
            </w:pPr>
          </w:p>
        </w:tc>
        <w:tc>
          <w:tcPr>
            <w:tcW w:w="1034" w:type="dxa"/>
            <w:vAlign w:val="center"/>
          </w:tcPr>
          <w:p>
            <w:pPr>
              <w:widowControl/>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widowControl/>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r>
        <w:trPr>
          <w:trHeight w:val="315" w:hRule="atLeast"/>
        </w:trPr>
        <w:tc>
          <w:tcPr>
            <w:tcW w:w="863"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997"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015" w:type="dxa"/>
            <w:vAlign w:val="center"/>
          </w:tcPr>
          <w:p>
            <w:pPr>
              <w:widowControl/>
              <w:jc w:val="center"/>
              <w:textAlignment w:val="center"/>
              <w:rPr>
                <w:rFonts w:hint="eastAsia" w:ascii="宋体" w:hAnsi="宋体" w:eastAsia="宋体" w:cs="宋体"/>
                <w:sz w:val="20"/>
                <w:szCs w:val="20"/>
                <w:highlight w:val="yellow"/>
              </w:rPr>
            </w:pPr>
          </w:p>
        </w:tc>
        <w:tc>
          <w:tcPr>
            <w:tcW w:w="1563" w:type="dxa"/>
            <w:vAlign w:val="center"/>
          </w:tcPr>
          <w:p>
            <w:pPr>
              <w:widowControl/>
              <w:jc w:val="center"/>
              <w:textAlignment w:val="center"/>
              <w:rPr>
                <w:rFonts w:hint="eastAsia" w:ascii="宋体" w:hAnsi="宋体" w:eastAsia="宋体" w:cs="宋体"/>
                <w:sz w:val="20"/>
                <w:szCs w:val="20"/>
                <w:highlight w:val="yellow"/>
              </w:rPr>
            </w:pPr>
          </w:p>
        </w:tc>
        <w:tc>
          <w:tcPr>
            <w:tcW w:w="1034" w:type="dxa"/>
            <w:vAlign w:val="center"/>
          </w:tcPr>
          <w:p>
            <w:pPr>
              <w:widowControl/>
              <w:jc w:val="center"/>
              <w:textAlignment w:val="center"/>
              <w:rPr>
                <w:rFonts w:hint="eastAsia" w:ascii="宋体" w:hAnsi="宋体" w:eastAsia="宋体" w:cs="宋体"/>
                <w:sz w:val="20"/>
                <w:szCs w:val="20"/>
                <w:highlight w:val="yellow"/>
              </w:rPr>
            </w:pPr>
          </w:p>
        </w:tc>
        <w:tc>
          <w:tcPr>
            <w:tcW w:w="2178" w:type="dxa"/>
            <w:tcBorders>
              <w:left w:val="single" w:color="000000" w:sz="4" w:space="0"/>
            </w:tcBorders>
            <w:vAlign w:val="center"/>
          </w:tcPr>
          <w:p>
            <w:pPr>
              <w:widowControl/>
              <w:jc w:val="center"/>
              <w:textAlignment w:val="center"/>
              <w:rPr>
                <w:rFonts w:hint="eastAsia" w:ascii="宋体" w:hAnsi="宋体" w:eastAsia="宋体" w:cs="宋体"/>
                <w:sz w:val="20"/>
                <w:szCs w:val="20"/>
                <w:highlight w:val="yellow"/>
              </w:rPr>
            </w:pPr>
          </w:p>
        </w:tc>
        <w:tc>
          <w:tcPr>
            <w:tcW w:w="1267" w:type="dxa"/>
            <w:vAlign w:val="center"/>
          </w:tcPr>
          <w:p>
            <w:pPr>
              <w:jc w:val="center"/>
              <w:rPr>
                <w:rFonts w:hint="eastAsia" w:ascii="宋体" w:hAnsi="宋体" w:eastAsia="宋体" w:cs="宋体"/>
                <w:sz w:val="20"/>
                <w:szCs w:val="20"/>
                <w:highlight w:val="yellow"/>
              </w:rPr>
            </w:pPr>
          </w:p>
        </w:tc>
      </w:tr>
    </w:tbl>
    <w:p>
      <w:pPr>
        <w:spacing w:before="78" w:line="219" w:lineRule="auto"/>
        <w:ind w:left="431"/>
        <w:rPr>
          <w:rFonts w:hint="eastAsia" w:ascii="宋体" w:hAnsi="宋体" w:eastAsia="宋体" w:cs="宋体"/>
          <w:spacing w:val="-8"/>
          <w:szCs w:val="21"/>
        </w:rPr>
      </w:pPr>
    </w:p>
    <w:p>
      <w:pPr>
        <w:spacing w:before="78" w:line="219" w:lineRule="auto"/>
        <w:ind w:left="431"/>
        <w:rPr>
          <w:rFonts w:hint="eastAsia" w:ascii="宋体" w:hAnsi="宋体" w:eastAsia="宋体" w:cs="宋体"/>
          <w:spacing w:val="-6"/>
          <w:szCs w:val="21"/>
        </w:rPr>
      </w:pPr>
      <w:r>
        <w:rPr>
          <w:rFonts w:ascii="宋体" w:hAnsi="宋体" w:eastAsia="宋体" w:cs="宋体"/>
          <w:spacing w:val="-8"/>
          <w:szCs w:val="21"/>
        </w:rPr>
        <w:t>注：</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pPr>
        <w:spacing w:before="78" w:line="219" w:lineRule="auto"/>
        <w:ind w:left="431"/>
        <w:rPr>
          <w:rFonts w:hint="eastAsia" w:ascii="宋体" w:hAnsi="宋体" w:eastAsia="宋体" w:cs="宋体"/>
          <w:b/>
          <w:bCs/>
          <w:spacing w:val="-6"/>
          <w:szCs w:val="21"/>
          <w:highlight w:val="yellow"/>
        </w:rPr>
      </w:pPr>
      <w:r>
        <w:rPr>
          <w:rFonts w:hint="eastAsia" w:ascii="宋体" w:hAnsi="宋体" w:eastAsia="宋体" w:cs="宋体"/>
          <w:b/>
          <w:bCs/>
          <w:spacing w:val="-6"/>
          <w:szCs w:val="21"/>
          <w:highlight w:val="yellow"/>
        </w:rPr>
        <w:t>2.此表格需在技术标中体现，并明确规格型号、品牌等信息。</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3.此表分项明细需要和附表9-1完全对应。</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pPr>
        <w:spacing w:before="78" w:line="219" w:lineRule="auto"/>
        <w:ind w:left="431"/>
        <w:rPr>
          <w:rFonts w:hint="eastAsia" w:ascii="宋体" w:hAnsi="宋体" w:eastAsia="宋体" w:cs="宋体"/>
          <w:spacing w:val="-6"/>
          <w:szCs w:val="21"/>
        </w:rPr>
      </w:pPr>
    </w:p>
    <w:p>
      <w:pPr>
        <w:spacing w:line="105" w:lineRule="exact"/>
        <w:rPr>
          <w:rFonts w:hint="eastAsia"/>
        </w:rPr>
      </w:pPr>
    </w:p>
    <w:p>
      <w:pPr>
        <w:rPr>
          <w:rFonts w:hint="eastAsia"/>
        </w:rPr>
        <w:sectPr>
          <w:footerReference r:id="rId26" w:type="default"/>
          <w:pgSz w:w="16841" w:h="11907" w:orient="landscape"/>
          <w:pgMar w:top="400" w:right="1387" w:bottom="1168" w:left="1473" w:header="0" w:footer="990" w:gutter="0"/>
          <w:cols w:equalWidth="0" w:num="1">
            <w:col w:w="13980"/>
          </w:cols>
        </w:sectPr>
      </w:pPr>
    </w:p>
    <w:p>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 xml:space="preserve"> 2022年1月1日至今同类项目业绩一览表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u w:val="single"/>
        </w:rPr>
        <w:t>曲轴、连杆检测能力提升项目</w:t>
      </w:r>
      <w:r>
        <w:rPr>
          <w:rFonts w:ascii="宋体" w:hAnsi="宋体" w:eastAsia="宋体" w:cs="Times New Roman"/>
          <w:color w:val="000000"/>
          <w:sz w:val="24"/>
          <w:szCs w:val="24"/>
        </w:rPr>
        <w:t xml:space="preserve">                                                             </w:t>
      </w:r>
    </w:p>
    <w:tbl>
      <w:tblPr>
        <w:tblStyle w:val="37"/>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rPr>
          <w:trHeight w:val="620" w:hRule="atLeast"/>
        </w:trPr>
        <w:tc>
          <w:tcPr>
            <w:tcW w:w="4297" w:type="dxa"/>
            <w:gridSpan w:val="3"/>
          </w:tcPr>
          <w:p>
            <w:pPr>
              <w:ind w:left="420" w:hanging="420"/>
              <w:rPr>
                <w:rFonts w:ascii="宋体" w:hAnsi="Times New Roman" w:eastAsia="宋体" w:cs="Times New Roman"/>
                <w:b/>
                <w:szCs w:val="20"/>
              </w:rPr>
            </w:pPr>
            <w:r>
              <w:rPr>
                <w:rFonts w:ascii="宋体" w:hAnsi="宋体" w:eastAsia="宋体" w:cs="宋体"/>
                <w:sz w:val="24"/>
                <w:szCs w:val="24"/>
                <w:highlight w:val="yellow"/>
              </w:rPr>
              <w:t>20</w:t>
            </w:r>
            <w:r>
              <w:rPr>
                <w:rFonts w:hint="eastAsia" w:ascii="宋体" w:hAnsi="宋体" w:eastAsia="宋体" w:cs="宋体"/>
                <w:sz w:val="24"/>
                <w:szCs w:val="24"/>
                <w:highlight w:val="yellow"/>
              </w:rPr>
              <w:t>22</w:t>
            </w:r>
            <w:r>
              <w:rPr>
                <w:rFonts w:ascii="宋体" w:hAnsi="宋体" w:eastAsia="宋体" w:cs="宋体"/>
                <w:sz w:val="24"/>
                <w:szCs w:val="24"/>
                <w:highlight w:val="yellow"/>
              </w:rPr>
              <w:t>年1月1日至今所有业绩合同总额汇总（必填）</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提供2022年1月1日以来同类产品的制造销售业绩（用户名单、联系方式）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pP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hint="eastAsia" w:ascii="宋体" w:hAnsi="宋体" w:eastAsia="宋体" w:cs="Times New Roman"/>
          <w:szCs w:val="20"/>
        </w:rPr>
      </w:pPr>
      <w:r>
        <w:rPr>
          <w:rFonts w:ascii="宋体" w:hAnsi="宋体" w:eastAsia="宋体" w:cs="Times New Roman"/>
          <w:szCs w:val="20"/>
        </w:rPr>
        <w:t xml:space="preserve">                                               </w:t>
      </w:r>
    </w:p>
    <w:p>
      <w:pPr>
        <w:spacing w:line="360" w:lineRule="auto"/>
        <w:rPr>
          <w:rFonts w:hint="eastAsia" w:ascii="宋体" w:hAnsi="宋体" w:eastAsia="宋体" w:cs="Times New Roman"/>
          <w:sz w:val="24"/>
          <w:szCs w:val="20"/>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szCs w:val="24"/>
          <w:u w:val="single"/>
        </w:rPr>
        <w:t>曲轴、连杆检测能力提升项目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8" w:type="first"/>
          <w:footerReference r:id="rId27"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szCs w:val="24"/>
          <w:u w:val="single"/>
        </w:rPr>
        <w:t>曲轴、连杆检测能力提升项目</w:t>
      </w:r>
      <w:r>
        <w:rPr>
          <w:rFonts w:ascii="宋体" w:hAnsi="宋体" w:eastAsia="宋体" w:cs="Times New Roman"/>
          <w:color w:val="000000"/>
          <w:sz w:val="24"/>
          <w:szCs w:val="24"/>
        </w:rPr>
        <w:t xml:space="preserve">                                                        </w:t>
      </w:r>
    </w:p>
    <w:tbl>
      <w:tblPr>
        <w:tblStyle w:val="37"/>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pPr>
              <w:jc w:val="center"/>
              <w:rPr>
                <w:rFonts w:hint="eastAsia" w:ascii="等线" w:hAnsi="等线" w:eastAsia="等线" w:cs="Times New Roman"/>
                <w:b/>
                <w:szCs w:val="20"/>
              </w:rPr>
            </w:pPr>
            <w:r>
              <w:rPr>
                <w:rFonts w:hint="eastAsia" w:ascii="等线" w:hAnsi="等线" w:eastAsia="等线" w:cs="Times New Roman"/>
                <w:b/>
                <w:szCs w:val="20"/>
              </w:rPr>
              <w:t>付款方式及比例是否偏离</w:t>
            </w:r>
          </w:p>
        </w:tc>
      </w:tr>
      <w:tr>
        <w:trPr>
          <w:cantSplit/>
          <w:trHeight w:val="1534" w:hRule="atLeast"/>
          <w:jc w:val="center"/>
        </w:trPr>
        <w:tc>
          <w:tcPr>
            <w:tcW w:w="677" w:type="dxa"/>
            <w:vAlign w:val="center"/>
          </w:tcPr>
          <w:p>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pPr>
              <w:jc w:val="center"/>
              <w:rPr>
                <w:rFonts w:ascii="Times New Roman" w:hAnsi="Times New Roman" w:eastAsia="宋体" w:cs="Times New Roman"/>
                <w:b/>
                <w:szCs w:val="20"/>
              </w:rPr>
            </w:pPr>
            <w:r>
              <w:rPr>
                <w:rFonts w:hint="eastAsia" w:ascii="宋体" w:hAnsi="宋体" w:eastAsia="宋体" w:cs="宋体"/>
                <w:sz w:val="24"/>
                <w:szCs w:val="24"/>
                <w:u w:val="single"/>
              </w:rPr>
              <w:t>曲轴、连杆检测能力提升项目</w:t>
            </w:r>
          </w:p>
        </w:tc>
        <w:tc>
          <w:tcPr>
            <w:tcW w:w="848" w:type="dxa"/>
            <w:vAlign w:val="center"/>
          </w:tcPr>
          <w:p>
            <w:pPr>
              <w:jc w:val="center"/>
              <w:rPr>
                <w:rFonts w:ascii="Times New Roman" w:hAnsi="Times New Roman" w:eastAsia="宋体" w:cs="Times New Roman"/>
                <w:b/>
                <w:szCs w:val="20"/>
              </w:rPr>
            </w:pPr>
            <w:r>
              <w:rPr>
                <w:rFonts w:ascii="Times New Roman" w:hAnsi="Times New Roman" w:eastAsia="宋体" w:cs="Times New Roman"/>
                <w:b/>
                <w:szCs w:val="20"/>
              </w:rPr>
              <w:t>1</w:t>
            </w:r>
            <w:r>
              <w:rPr>
                <w:rFonts w:hint="eastAsia" w:ascii="Times New Roman" w:hAnsi="Times New Roman" w:eastAsia="宋体" w:cs="Times New Roman"/>
                <w:b/>
                <w:szCs w:val="20"/>
              </w:rPr>
              <w:t>套</w:t>
            </w:r>
          </w:p>
        </w:tc>
        <w:tc>
          <w:tcPr>
            <w:tcW w:w="2270" w:type="dxa"/>
            <w:vAlign w:val="center"/>
          </w:tcPr>
          <w:p>
            <w:pPr>
              <w:jc w:val="center"/>
              <w:rPr>
                <w:rFonts w:hint="eastAsia" w:ascii="等线" w:hAnsi="等线" w:eastAsia="等线" w:cs="Times New Roman"/>
                <w:b/>
                <w:szCs w:val="20"/>
              </w:rPr>
            </w:pPr>
            <w:r>
              <w:rPr>
                <w:rFonts w:hint="eastAsia" w:ascii="等线" w:hAnsi="等线" w:eastAsia="等线" w:cs="Times New Roman"/>
                <w:b/>
                <w:szCs w:val="20"/>
              </w:rPr>
              <w:t>不含税价：</w:t>
            </w:r>
          </w:p>
          <w:p>
            <w:pPr>
              <w:jc w:val="center"/>
              <w:rPr>
                <w:rFonts w:hint="eastAsia"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pPr>
              <w:jc w:val="center"/>
              <w:rPr>
                <w:rFonts w:ascii="Times New Roman" w:hAnsi="Times New Roman" w:eastAsia="宋体" w:cs="Times New Roman"/>
                <w:b/>
                <w:szCs w:val="20"/>
              </w:rPr>
            </w:pPr>
          </w:p>
        </w:tc>
        <w:tc>
          <w:tcPr>
            <w:tcW w:w="1243" w:type="dxa"/>
            <w:vAlign w:val="center"/>
          </w:tcPr>
          <w:p>
            <w:pPr>
              <w:jc w:val="center"/>
              <w:rPr>
                <w:rFonts w:ascii="Times New Roman" w:hAnsi="Times New Roman" w:eastAsia="宋体" w:cs="Times New Roman"/>
                <w:b/>
                <w:szCs w:val="20"/>
              </w:rPr>
            </w:pPr>
          </w:p>
        </w:tc>
        <w:tc>
          <w:tcPr>
            <w:tcW w:w="705" w:type="dxa"/>
            <w:vAlign w:val="center"/>
          </w:tcPr>
          <w:p>
            <w:pPr>
              <w:jc w:val="center"/>
              <w:rPr>
                <w:rFonts w:ascii="Times New Roman" w:hAnsi="Times New Roman" w:eastAsia="宋体" w:cs="Times New Roman"/>
                <w:b/>
                <w:szCs w:val="20"/>
              </w:rPr>
            </w:pPr>
          </w:p>
        </w:tc>
        <w:tc>
          <w:tcPr>
            <w:tcW w:w="699"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pPr>
        <w:pStyle w:val="18"/>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18"/>
        <w:sectPr>
          <w:pgSz w:w="11906" w:h="16838"/>
          <w:pgMar w:top="1588" w:right="1418" w:bottom="1134" w:left="1418" w:header="851" w:footer="992" w:gutter="0"/>
          <w:cols w:space="720" w:num="1"/>
          <w:titlePg/>
          <w:docGrid w:type="lines" w:linePitch="312" w:charSpace="0"/>
        </w:sectPr>
      </w:pPr>
    </w:p>
    <w:p>
      <w:pPr>
        <w:rPr>
          <w:rFonts w:hint="eastAsia" w:ascii="宋体" w:hAnsi="宋体" w:cs="宋体"/>
          <w:color w:val="000000"/>
          <w:sz w:val="24"/>
          <w:szCs w:val="24"/>
        </w:rPr>
      </w:pPr>
    </w:p>
    <w:p>
      <w:pPr>
        <w:pStyle w:val="5"/>
        <w:spacing w:after="0" w:line="240" w:lineRule="auto"/>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6"/>
        <w:spacing w:after="0"/>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28"/>
        <w:tblW w:w="14474"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4"/>
        <w:gridCol w:w="4421"/>
        <w:gridCol w:w="2210"/>
        <w:gridCol w:w="790"/>
        <w:gridCol w:w="929"/>
        <w:gridCol w:w="1147"/>
        <w:gridCol w:w="1428"/>
        <w:gridCol w:w="1783"/>
        <w:gridCol w:w="1192"/>
      </w:tblGrid>
      <w:tr>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b/>
                <w:bCs/>
                <w:kern w:val="0"/>
                <w:sz w:val="20"/>
                <w:szCs w:val="20"/>
              </w:rPr>
            </w:pPr>
            <w:r>
              <w:rPr>
                <w:rFonts w:hint="eastAsia" w:ascii="宋体" w:hAnsi="宋体" w:eastAsia="宋体" w:cs="宋体"/>
                <w:b/>
                <w:bCs/>
                <w:color w:val="000000"/>
                <w:kern w:val="0"/>
                <w:sz w:val="20"/>
                <w:szCs w:val="20"/>
                <w:lang w:bidi="ar"/>
              </w:rPr>
              <w:t>1</w:t>
            </w:r>
          </w:p>
        </w:tc>
        <w:tc>
          <w:tcPr>
            <w:tcW w:w="4421"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b/>
                <w:bCs/>
                <w:kern w:val="0"/>
                <w:sz w:val="20"/>
                <w:szCs w:val="20"/>
              </w:rPr>
            </w:pPr>
            <w:r>
              <w:rPr>
                <w:rFonts w:hint="eastAsia" w:ascii="宋体" w:hAnsi="宋体" w:eastAsia="宋体" w:cs="宋体"/>
                <w:b/>
                <w:bCs/>
                <w:color w:val="000000"/>
                <w:kern w:val="0"/>
                <w:sz w:val="20"/>
                <w:szCs w:val="20"/>
                <w:lang w:bidi="ar"/>
              </w:rPr>
              <w:t>2</w:t>
            </w:r>
          </w:p>
        </w:tc>
        <w:tc>
          <w:tcPr>
            <w:tcW w:w="22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b/>
                <w:bCs/>
                <w:kern w:val="0"/>
                <w:sz w:val="20"/>
                <w:szCs w:val="20"/>
              </w:rPr>
            </w:pPr>
            <w:r>
              <w:rPr>
                <w:rFonts w:hint="eastAsia" w:ascii="宋体" w:hAnsi="宋体" w:eastAsia="宋体" w:cs="宋体"/>
                <w:b/>
                <w:bCs/>
                <w:color w:val="000000"/>
                <w:kern w:val="0"/>
                <w:sz w:val="20"/>
                <w:szCs w:val="20"/>
                <w:lang w:bidi="ar"/>
              </w:rPr>
              <w:t>3</w:t>
            </w:r>
          </w:p>
        </w:tc>
        <w:tc>
          <w:tcPr>
            <w:tcW w:w="79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b/>
                <w:bCs/>
                <w:kern w:val="0"/>
                <w:sz w:val="20"/>
                <w:szCs w:val="20"/>
              </w:rPr>
            </w:pPr>
            <w:r>
              <w:rPr>
                <w:rFonts w:hint="eastAsia" w:ascii="宋体" w:hAnsi="宋体" w:eastAsia="宋体" w:cs="宋体"/>
                <w:b/>
                <w:bCs/>
                <w:color w:val="000000"/>
                <w:kern w:val="0"/>
                <w:sz w:val="20"/>
                <w:szCs w:val="20"/>
                <w:lang w:bidi="ar"/>
              </w:rPr>
              <w:t>4</w:t>
            </w:r>
          </w:p>
        </w:tc>
        <w:tc>
          <w:tcPr>
            <w:tcW w:w="929"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b/>
                <w:bCs/>
                <w:kern w:val="0"/>
                <w:sz w:val="20"/>
                <w:szCs w:val="20"/>
              </w:rPr>
            </w:pPr>
            <w:r>
              <w:rPr>
                <w:rFonts w:hint="eastAsia" w:ascii="宋体" w:hAnsi="宋体" w:eastAsia="宋体" w:cs="宋体"/>
                <w:b/>
                <w:bCs/>
                <w:color w:val="000000"/>
                <w:kern w:val="0"/>
                <w:sz w:val="20"/>
                <w:szCs w:val="20"/>
                <w:lang w:bidi="ar"/>
              </w:rPr>
              <w:t>5</w:t>
            </w:r>
          </w:p>
        </w:tc>
        <w:tc>
          <w:tcPr>
            <w:tcW w:w="1147"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b/>
                <w:bCs/>
                <w:kern w:val="0"/>
                <w:sz w:val="20"/>
                <w:szCs w:val="20"/>
              </w:rPr>
            </w:pPr>
            <w:r>
              <w:rPr>
                <w:rFonts w:hint="eastAsia" w:ascii="宋体" w:hAnsi="宋体" w:eastAsia="宋体" w:cs="宋体"/>
                <w:b/>
                <w:bCs/>
                <w:color w:val="000000"/>
                <w:kern w:val="0"/>
                <w:sz w:val="20"/>
                <w:szCs w:val="20"/>
                <w:lang w:bidi="ar"/>
              </w:rPr>
              <w:t>6</w:t>
            </w:r>
          </w:p>
        </w:tc>
        <w:tc>
          <w:tcPr>
            <w:tcW w:w="1428"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hint="eastAsia" w:ascii="宋体" w:hAnsi="宋体" w:eastAsia="宋体" w:cs="宋体"/>
                <w:b/>
                <w:bCs/>
                <w:kern w:val="0"/>
                <w:sz w:val="20"/>
                <w:szCs w:val="20"/>
              </w:rPr>
            </w:pPr>
            <w:r>
              <w:rPr>
                <w:rFonts w:hint="eastAsia" w:ascii="宋体" w:hAnsi="宋体" w:eastAsia="宋体" w:cs="宋体"/>
                <w:b/>
                <w:bCs/>
                <w:color w:val="000000"/>
                <w:kern w:val="0"/>
                <w:sz w:val="20"/>
                <w:szCs w:val="20"/>
                <w:lang w:bidi="ar"/>
              </w:rPr>
              <w:t>7</w:t>
            </w:r>
          </w:p>
        </w:tc>
        <w:tc>
          <w:tcPr>
            <w:tcW w:w="1783" w:type="dxa"/>
            <w:tcBorders>
              <w:top w:val="single" w:color="000000" w:sz="2" w:space="0"/>
              <w:left w:val="nil"/>
              <w:bottom w:val="single" w:color="000000" w:sz="2" w:space="0"/>
              <w:right w:val="single" w:color="000000" w:sz="2" w:space="0"/>
            </w:tcBorders>
            <w:vAlign w:val="center"/>
          </w:tcPr>
          <w:p>
            <w:pPr>
              <w:widowControl/>
              <w:jc w:val="center"/>
              <w:textAlignment w:val="center"/>
              <w:rPr>
                <w:rFonts w:hint="eastAsia" w:ascii="宋体" w:hAnsi="宋体" w:eastAsia="宋体" w:cs="宋体"/>
                <w:b/>
                <w:bCs/>
                <w:kern w:val="0"/>
                <w:sz w:val="20"/>
                <w:szCs w:val="20"/>
              </w:rPr>
            </w:pPr>
            <w:r>
              <w:rPr>
                <w:rFonts w:hint="eastAsia" w:ascii="宋体" w:hAnsi="宋体" w:eastAsia="宋体" w:cs="宋体"/>
                <w:b/>
                <w:bCs/>
                <w:color w:val="000000"/>
                <w:kern w:val="0"/>
                <w:sz w:val="20"/>
                <w:szCs w:val="20"/>
                <w:lang w:bidi="ar"/>
              </w:rPr>
              <w:t>8</w:t>
            </w:r>
          </w:p>
        </w:tc>
        <w:tc>
          <w:tcPr>
            <w:tcW w:w="1192"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b/>
                <w:bCs/>
                <w:kern w:val="0"/>
                <w:sz w:val="20"/>
                <w:szCs w:val="20"/>
              </w:rPr>
            </w:pPr>
            <w:r>
              <w:rPr>
                <w:rFonts w:hint="eastAsia" w:ascii="宋体" w:hAnsi="宋体" w:eastAsia="宋体" w:cs="宋体"/>
                <w:b/>
                <w:bCs/>
                <w:color w:val="000000"/>
                <w:kern w:val="0"/>
                <w:sz w:val="20"/>
                <w:szCs w:val="20"/>
                <w:lang w:bidi="ar"/>
              </w:rPr>
              <w:t>9</w:t>
            </w:r>
          </w:p>
        </w:tc>
      </w:tr>
      <w:tr>
        <w:trPr>
          <w:trHeight w:val="606" w:hRule="atLeast"/>
          <w:jc w:val="center"/>
        </w:trPr>
        <w:tc>
          <w:tcPr>
            <w:tcW w:w="574"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b/>
                <w:bCs/>
                <w:kern w:val="0"/>
                <w:sz w:val="20"/>
                <w:szCs w:val="20"/>
              </w:rPr>
            </w:pPr>
            <w:r>
              <w:rPr>
                <w:rFonts w:hint="eastAsia" w:ascii="宋体" w:hAnsi="宋体" w:eastAsia="宋体" w:cs="宋体"/>
                <w:b/>
                <w:bCs/>
                <w:color w:val="000000"/>
                <w:kern w:val="0"/>
                <w:sz w:val="20"/>
                <w:szCs w:val="20"/>
                <w:lang w:bidi="ar"/>
              </w:rPr>
              <w:t>序号</w:t>
            </w:r>
          </w:p>
        </w:tc>
        <w:tc>
          <w:tcPr>
            <w:tcW w:w="4421"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b/>
                <w:bCs/>
                <w:kern w:val="0"/>
                <w:sz w:val="20"/>
                <w:szCs w:val="20"/>
              </w:rPr>
            </w:pPr>
            <w:r>
              <w:rPr>
                <w:rFonts w:hint="eastAsia" w:ascii="宋体" w:hAnsi="宋体" w:eastAsia="宋体" w:cs="宋体"/>
                <w:b/>
                <w:bCs/>
                <w:color w:val="000000"/>
                <w:kern w:val="0"/>
                <w:sz w:val="20"/>
                <w:szCs w:val="20"/>
                <w:lang w:bidi="ar"/>
              </w:rPr>
              <w:t>货物名称</w:t>
            </w:r>
          </w:p>
        </w:tc>
        <w:tc>
          <w:tcPr>
            <w:tcW w:w="22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b/>
                <w:bCs/>
                <w:kern w:val="0"/>
                <w:sz w:val="20"/>
                <w:szCs w:val="20"/>
              </w:rPr>
            </w:pPr>
            <w:r>
              <w:rPr>
                <w:rFonts w:hint="eastAsia" w:ascii="宋体" w:hAnsi="宋体" w:eastAsia="宋体" w:cs="宋体"/>
                <w:b/>
                <w:bCs/>
                <w:color w:val="000000"/>
                <w:kern w:val="0"/>
                <w:sz w:val="20"/>
                <w:szCs w:val="20"/>
                <w:lang w:bidi="ar"/>
              </w:rPr>
              <w:t>型号和规格</w:t>
            </w:r>
          </w:p>
        </w:tc>
        <w:tc>
          <w:tcPr>
            <w:tcW w:w="79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b/>
                <w:bCs/>
                <w:spacing w:val="-2"/>
                <w:kern w:val="0"/>
                <w:sz w:val="20"/>
                <w:szCs w:val="20"/>
              </w:rPr>
            </w:pPr>
            <w:r>
              <w:rPr>
                <w:rFonts w:hint="eastAsia" w:ascii="宋体" w:hAnsi="宋体" w:eastAsia="宋体" w:cs="宋体"/>
                <w:b/>
                <w:bCs/>
                <w:color w:val="000000"/>
                <w:kern w:val="0"/>
                <w:sz w:val="20"/>
                <w:szCs w:val="20"/>
                <w:lang w:bidi="ar"/>
              </w:rPr>
              <w:t>单位</w:t>
            </w:r>
          </w:p>
        </w:tc>
        <w:tc>
          <w:tcPr>
            <w:tcW w:w="929"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b/>
                <w:bCs/>
                <w:kern w:val="0"/>
                <w:sz w:val="20"/>
                <w:szCs w:val="20"/>
              </w:rPr>
            </w:pPr>
            <w:r>
              <w:rPr>
                <w:rFonts w:hint="eastAsia" w:ascii="宋体" w:hAnsi="宋体" w:eastAsia="宋体" w:cs="宋体"/>
                <w:b/>
                <w:bCs/>
                <w:color w:val="000000"/>
                <w:kern w:val="0"/>
                <w:sz w:val="20"/>
                <w:szCs w:val="20"/>
                <w:lang w:bidi="ar"/>
              </w:rPr>
              <w:t>数量</w:t>
            </w:r>
          </w:p>
        </w:tc>
        <w:tc>
          <w:tcPr>
            <w:tcW w:w="1147"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b/>
                <w:bCs/>
                <w:kern w:val="0"/>
                <w:sz w:val="20"/>
                <w:szCs w:val="20"/>
              </w:rPr>
            </w:pPr>
            <w:r>
              <w:rPr>
                <w:rFonts w:hint="eastAsia" w:ascii="宋体" w:hAnsi="宋体" w:eastAsia="宋体" w:cs="宋体"/>
                <w:b/>
                <w:bCs/>
                <w:color w:val="000000"/>
                <w:kern w:val="0"/>
                <w:sz w:val="20"/>
                <w:szCs w:val="20"/>
                <w:lang w:bidi="ar"/>
              </w:rPr>
              <w:t>原产地和制造商名称</w:t>
            </w:r>
          </w:p>
        </w:tc>
        <w:tc>
          <w:tcPr>
            <w:tcW w:w="1428"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hint="eastAsia" w:ascii="宋体" w:hAnsi="宋体" w:eastAsia="宋体" w:cs="宋体"/>
                <w:b/>
                <w:bCs/>
                <w:kern w:val="0"/>
                <w:sz w:val="20"/>
                <w:szCs w:val="20"/>
              </w:rPr>
            </w:pPr>
            <w:r>
              <w:rPr>
                <w:rFonts w:hint="eastAsia" w:ascii="宋体" w:hAnsi="宋体" w:eastAsia="宋体" w:cs="宋体"/>
                <w:b/>
                <w:bCs/>
                <w:color w:val="000000"/>
                <w:kern w:val="0"/>
                <w:sz w:val="20"/>
                <w:szCs w:val="20"/>
                <w:lang w:bidi="ar"/>
              </w:rPr>
              <w:t>单价（不含税）</w:t>
            </w:r>
          </w:p>
        </w:tc>
        <w:tc>
          <w:tcPr>
            <w:tcW w:w="1783" w:type="dxa"/>
            <w:tcBorders>
              <w:top w:val="single" w:color="000000" w:sz="2" w:space="0"/>
              <w:left w:val="nil"/>
              <w:bottom w:val="single" w:color="000000" w:sz="2" w:space="0"/>
              <w:right w:val="single" w:color="000000" w:sz="2" w:space="0"/>
            </w:tcBorders>
            <w:vAlign w:val="center"/>
          </w:tcPr>
          <w:p>
            <w:pPr>
              <w:widowControl/>
              <w:jc w:val="center"/>
              <w:textAlignment w:val="center"/>
              <w:rPr>
                <w:rFonts w:hint="eastAsia" w:ascii="宋体" w:hAnsi="宋体" w:eastAsia="宋体" w:cs="宋体"/>
                <w:b/>
                <w:bCs/>
                <w:kern w:val="0"/>
                <w:sz w:val="20"/>
                <w:szCs w:val="20"/>
              </w:rPr>
            </w:pPr>
            <w:r>
              <w:rPr>
                <w:rFonts w:hint="eastAsia" w:ascii="宋体" w:hAnsi="宋体" w:eastAsia="宋体" w:cs="宋体"/>
                <w:b/>
                <w:bCs/>
                <w:color w:val="000000"/>
                <w:kern w:val="0"/>
                <w:sz w:val="20"/>
                <w:szCs w:val="20"/>
                <w:lang w:bidi="ar"/>
              </w:rPr>
              <w:t>总价[5×7]（不含税）</w:t>
            </w:r>
          </w:p>
        </w:tc>
        <w:tc>
          <w:tcPr>
            <w:tcW w:w="1192"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b/>
                <w:bCs/>
                <w:kern w:val="0"/>
                <w:sz w:val="20"/>
                <w:szCs w:val="20"/>
              </w:rPr>
            </w:pPr>
            <w:r>
              <w:rPr>
                <w:rFonts w:hint="eastAsia" w:ascii="宋体" w:hAnsi="宋体" w:eastAsia="宋体" w:cs="宋体"/>
                <w:b/>
                <w:bCs/>
                <w:color w:val="000000"/>
                <w:kern w:val="0"/>
                <w:sz w:val="20"/>
                <w:szCs w:val="20"/>
                <w:lang w:bidi="ar"/>
              </w:rPr>
              <w:t>备  注</w:t>
            </w:r>
          </w:p>
        </w:tc>
      </w:tr>
      <w:tr>
        <w:trPr>
          <w:trHeight w:val="324" w:hRule="atLeast"/>
          <w:jc w:val="center"/>
        </w:trPr>
        <w:tc>
          <w:tcPr>
            <w:tcW w:w="574"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1</w:t>
            </w:r>
          </w:p>
        </w:tc>
        <w:tc>
          <w:tcPr>
            <w:tcW w:w="4421"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22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79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sz w:val="20"/>
                <w:szCs w:val="20"/>
              </w:rPr>
            </w:pPr>
          </w:p>
        </w:tc>
        <w:tc>
          <w:tcPr>
            <w:tcW w:w="929"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sz w:val="20"/>
                <w:szCs w:val="20"/>
              </w:rPr>
            </w:pPr>
          </w:p>
        </w:tc>
        <w:tc>
          <w:tcPr>
            <w:tcW w:w="1147"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hint="eastAsia" w:ascii="宋体" w:hAnsi="宋体" w:eastAsia="宋体" w:cs="宋体"/>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widowControl/>
              <w:jc w:val="center"/>
              <w:textAlignment w:val="center"/>
              <w:rPr>
                <w:rFonts w:hint="eastAsia" w:ascii="宋体" w:hAnsi="宋体" w:eastAsia="宋体" w:cs="宋体"/>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kern w:val="0"/>
                <w:sz w:val="20"/>
                <w:szCs w:val="20"/>
              </w:rPr>
            </w:pPr>
          </w:p>
        </w:tc>
      </w:tr>
      <w:tr>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2</w:t>
            </w:r>
          </w:p>
        </w:tc>
        <w:tc>
          <w:tcPr>
            <w:tcW w:w="4421"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22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79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929"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1147"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1428"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hint="eastAsia" w:ascii="宋体" w:hAnsi="宋体" w:eastAsia="宋体" w:cs="宋体"/>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widowControl/>
              <w:jc w:val="center"/>
              <w:textAlignment w:val="center"/>
              <w:rPr>
                <w:rFonts w:hint="eastAsia" w:ascii="宋体" w:hAnsi="宋体" w:eastAsia="宋体" w:cs="宋体"/>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kern w:val="0"/>
                <w:sz w:val="20"/>
                <w:szCs w:val="20"/>
              </w:rPr>
            </w:pPr>
          </w:p>
        </w:tc>
      </w:tr>
      <w:tr>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3</w:t>
            </w:r>
          </w:p>
        </w:tc>
        <w:tc>
          <w:tcPr>
            <w:tcW w:w="4421"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22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79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929"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1147"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1428"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hint="eastAsia" w:ascii="宋体" w:hAnsi="宋体" w:eastAsia="宋体" w:cs="宋体"/>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widowControl/>
              <w:jc w:val="center"/>
              <w:textAlignment w:val="center"/>
              <w:rPr>
                <w:rFonts w:hint="eastAsia" w:ascii="宋体" w:hAnsi="宋体" w:eastAsia="宋体" w:cs="宋体"/>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kern w:val="0"/>
                <w:sz w:val="20"/>
                <w:szCs w:val="20"/>
              </w:rPr>
            </w:pPr>
          </w:p>
        </w:tc>
      </w:tr>
      <w:tr>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sz w:val="20"/>
                <w:szCs w:val="20"/>
              </w:rPr>
            </w:pPr>
            <w:r>
              <w:rPr>
                <w:rFonts w:hint="eastAsia" w:ascii="宋体" w:hAnsi="宋体" w:eastAsia="宋体" w:cs="宋体"/>
                <w:color w:val="000000"/>
                <w:kern w:val="0"/>
                <w:sz w:val="20"/>
                <w:szCs w:val="20"/>
                <w:lang w:bidi="ar"/>
              </w:rPr>
              <w:t>4</w:t>
            </w:r>
          </w:p>
        </w:tc>
        <w:tc>
          <w:tcPr>
            <w:tcW w:w="4421"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22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79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sz w:val="20"/>
                <w:szCs w:val="20"/>
              </w:rPr>
            </w:pPr>
          </w:p>
        </w:tc>
        <w:tc>
          <w:tcPr>
            <w:tcW w:w="929"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sz w:val="20"/>
                <w:szCs w:val="20"/>
              </w:rPr>
            </w:pPr>
          </w:p>
        </w:tc>
        <w:tc>
          <w:tcPr>
            <w:tcW w:w="1147"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hint="eastAsia" w:ascii="宋体" w:hAnsi="宋体" w:eastAsia="宋体" w:cs="宋体"/>
                <w:kern w:val="0"/>
                <w:sz w:val="20"/>
                <w:szCs w:val="20"/>
              </w:rPr>
            </w:pPr>
          </w:p>
        </w:tc>
        <w:tc>
          <w:tcPr>
            <w:tcW w:w="1783" w:type="dxa"/>
            <w:tcBorders>
              <w:top w:val="single" w:color="000000" w:sz="2" w:space="0"/>
              <w:left w:val="nil"/>
              <w:bottom w:val="single" w:color="000000" w:sz="2" w:space="0"/>
              <w:right w:val="single" w:color="000000" w:sz="2" w:space="0"/>
            </w:tcBorders>
            <w:vAlign w:val="center"/>
          </w:tcPr>
          <w:p>
            <w:pPr>
              <w:widowControl/>
              <w:jc w:val="center"/>
              <w:textAlignment w:val="center"/>
              <w:rPr>
                <w:rFonts w:hint="eastAsia" w:ascii="宋体" w:hAnsi="宋体" w:eastAsia="宋体" w:cs="宋体"/>
                <w:kern w:val="0"/>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kern w:val="0"/>
                <w:sz w:val="20"/>
                <w:szCs w:val="20"/>
              </w:rPr>
            </w:pPr>
          </w:p>
        </w:tc>
      </w:tr>
      <w:tr>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5</w:t>
            </w:r>
          </w:p>
        </w:tc>
        <w:tc>
          <w:tcPr>
            <w:tcW w:w="4421"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22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79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sz w:val="20"/>
                <w:szCs w:val="20"/>
              </w:rPr>
            </w:pPr>
          </w:p>
        </w:tc>
        <w:tc>
          <w:tcPr>
            <w:tcW w:w="929"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sz w:val="20"/>
                <w:szCs w:val="20"/>
              </w:rPr>
            </w:pPr>
          </w:p>
        </w:tc>
        <w:tc>
          <w:tcPr>
            <w:tcW w:w="1147"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hint="eastAsia" w:ascii="宋体" w:hAnsi="宋体" w:eastAsia="宋体" w:cs="宋体"/>
                <w:sz w:val="20"/>
                <w:szCs w:val="20"/>
              </w:rPr>
            </w:pPr>
          </w:p>
        </w:tc>
        <w:tc>
          <w:tcPr>
            <w:tcW w:w="1783" w:type="dxa"/>
            <w:tcBorders>
              <w:top w:val="single" w:color="000000" w:sz="2" w:space="0"/>
              <w:left w:val="nil"/>
              <w:bottom w:val="single" w:color="000000" w:sz="2" w:space="0"/>
              <w:right w:val="single" w:color="000000" w:sz="2" w:space="0"/>
            </w:tcBorders>
            <w:vAlign w:val="center"/>
          </w:tcPr>
          <w:p>
            <w:pPr>
              <w:widowControl/>
              <w:jc w:val="center"/>
              <w:textAlignment w:val="center"/>
              <w:rPr>
                <w:rFonts w:hint="eastAsia" w:ascii="宋体" w:hAnsi="宋体" w:eastAsia="宋体" w:cs="宋体"/>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sz w:val="20"/>
                <w:szCs w:val="20"/>
              </w:rPr>
            </w:pPr>
          </w:p>
        </w:tc>
      </w:tr>
      <w:tr>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6</w:t>
            </w:r>
          </w:p>
        </w:tc>
        <w:tc>
          <w:tcPr>
            <w:tcW w:w="4421"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22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79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sz w:val="20"/>
                <w:szCs w:val="20"/>
              </w:rPr>
            </w:pPr>
          </w:p>
        </w:tc>
        <w:tc>
          <w:tcPr>
            <w:tcW w:w="929"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sz w:val="20"/>
                <w:szCs w:val="20"/>
              </w:rPr>
            </w:pPr>
          </w:p>
        </w:tc>
        <w:tc>
          <w:tcPr>
            <w:tcW w:w="1147"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hint="eastAsia" w:ascii="宋体" w:hAnsi="宋体" w:eastAsia="宋体" w:cs="宋体"/>
                <w:sz w:val="20"/>
                <w:szCs w:val="20"/>
              </w:rPr>
            </w:pPr>
          </w:p>
        </w:tc>
        <w:tc>
          <w:tcPr>
            <w:tcW w:w="1783" w:type="dxa"/>
            <w:tcBorders>
              <w:top w:val="single" w:color="000000" w:sz="2" w:space="0"/>
              <w:left w:val="nil"/>
              <w:bottom w:val="single" w:color="000000" w:sz="2" w:space="0"/>
              <w:right w:val="single" w:color="000000" w:sz="2" w:space="0"/>
            </w:tcBorders>
            <w:vAlign w:val="center"/>
          </w:tcPr>
          <w:p>
            <w:pPr>
              <w:widowControl/>
              <w:jc w:val="center"/>
              <w:textAlignment w:val="center"/>
              <w:rPr>
                <w:rFonts w:hint="eastAsia" w:ascii="宋体" w:hAnsi="宋体" w:eastAsia="宋体" w:cs="宋体"/>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sz w:val="20"/>
                <w:szCs w:val="20"/>
              </w:rPr>
            </w:pPr>
          </w:p>
        </w:tc>
      </w:tr>
      <w:tr>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7</w:t>
            </w:r>
          </w:p>
        </w:tc>
        <w:tc>
          <w:tcPr>
            <w:tcW w:w="4421"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22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79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sz w:val="20"/>
                <w:szCs w:val="20"/>
              </w:rPr>
            </w:pPr>
          </w:p>
        </w:tc>
        <w:tc>
          <w:tcPr>
            <w:tcW w:w="929"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sz w:val="20"/>
                <w:szCs w:val="20"/>
              </w:rPr>
            </w:pPr>
          </w:p>
        </w:tc>
        <w:tc>
          <w:tcPr>
            <w:tcW w:w="1147"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hint="eastAsia" w:ascii="宋体" w:hAnsi="宋体" w:eastAsia="宋体" w:cs="宋体"/>
                <w:sz w:val="20"/>
                <w:szCs w:val="20"/>
              </w:rPr>
            </w:pPr>
          </w:p>
        </w:tc>
        <w:tc>
          <w:tcPr>
            <w:tcW w:w="1783" w:type="dxa"/>
            <w:tcBorders>
              <w:top w:val="single" w:color="000000" w:sz="2" w:space="0"/>
              <w:left w:val="nil"/>
              <w:bottom w:val="single" w:color="000000" w:sz="2" w:space="0"/>
              <w:right w:val="single" w:color="000000" w:sz="2" w:space="0"/>
            </w:tcBorders>
            <w:vAlign w:val="center"/>
          </w:tcPr>
          <w:p>
            <w:pPr>
              <w:widowControl/>
              <w:jc w:val="center"/>
              <w:textAlignment w:val="center"/>
              <w:rPr>
                <w:rFonts w:hint="eastAsia" w:ascii="宋体" w:hAnsi="宋体" w:eastAsia="宋体" w:cs="宋体"/>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sz w:val="20"/>
                <w:szCs w:val="20"/>
              </w:rPr>
            </w:pPr>
          </w:p>
        </w:tc>
      </w:tr>
      <w:tr>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8</w:t>
            </w:r>
          </w:p>
        </w:tc>
        <w:tc>
          <w:tcPr>
            <w:tcW w:w="4421"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22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79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sz w:val="20"/>
                <w:szCs w:val="20"/>
              </w:rPr>
            </w:pPr>
          </w:p>
        </w:tc>
        <w:tc>
          <w:tcPr>
            <w:tcW w:w="929"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sz w:val="20"/>
                <w:szCs w:val="20"/>
              </w:rPr>
            </w:pPr>
          </w:p>
        </w:tc>
        <w:tc>
          <w:tcPr>
            <w:tcW w:w="1147"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hint="eastAsia" w:ascii="宋体" w:hAnsi="宋体" w:eastAsia="宋体" w:cs="宋体"/>
                <w:sz w:val="20"/>
                <w:szCs w:val="20"/>
              </w:rPr>
            </w:pPr>
          </w:p>
        </w:tc>
        <w:tc>
          <w:tcPr>
            <w:tcW w:w="1783" w:type="dxa"/>
            <w:tcBorders>
              <w:top w:val="single" w:color="000000" w:sz="2" w:space="0"/>
              <w:left w:val="nil"/>
              <w:bottom w:val="single" w:color="000000" w:sz="2" w:space="0"/>
              <w:right w:val="single" w:color="000000" w:sz="2" w:space="0"/>
            </w:tcBorders>
            <w:vAlign w:val="center"/>
          </w:tcPr>
          <w:p>
            <w:pPr>
              <w:widowControl/>
              <w:jc w:val="center"/>
              <w:textAlignment w:val="center"/>
              <w:rPr>
                <w:rFonts w:hint="eastAsia" w:ascii="宋体" w:hAnsi="宋体" w:eastAsia="宋体" w:cs="宋体"/>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sz w:val="20"/>
                <w:szCs w:val="20"/>
              </w:rPr>
            </w:pPr>
          </w:p>
        </w:tc>
      </w:tr>
      <w:tr>
        <w:trPr>
          <w:trHeight w:val="306" w:hRule="atLeast"/>
          <w:jc w:val="center"/>
        </w:trPr>
        <w:tc>
          <w:tcPr>
            <w:tcW w:w="574"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9</w:t>
            </w:r>
          </w:p>
        </w:tc>
        <w:tc>
          <w:tcPr>
            <w:tcW w:w="4421"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22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79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sz w:val="20"/>
                <w:szCs w:val="20"/>
              </w:rPr>
            </w:pPr>
          </w:p>
        </w:tc>
        <w:tc>
          <w:tcPr>
            <w:tcW w:w="929"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sz w:val="20"/>
                <w:szCs w:val="20"/>
              </w:rPr>
            </w:pPr>
          </w:p>
        </w:tc>
        <w:tc>
          <w:tcPr>
            <w:tcW w:w="1147"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hint="eastAsia" w:ascii="宋体" w:hAnsi="宋体" w:eastAsia="宋体" w:cs="宋体"/>
                <w:sz w:val="20"/>
                <w:szCs w:val="20"/>
              </w:rPr>
            </w:pPr>
          </w:p>
        </w:tc>
        <w:tc>
          <w:tcPr>
            <w:tcW w:w="1783" w:type="dxa"/>
            <w:tcBorders>
              <w:top w:val="single" w:color="000000" w:sz="2" w:space="0"/>
              <w:left w:val="nil"/>
              <w:bottom w:val="single" w:color="000000" w:sz="2" w:space="0"/>
              <w:right w:val="single" w:color="000000" w:sz="2" w:space="0"/>
            </w:tcBorders>
            <w:vAlign w:val="center"/>
          </w:tcPr>
          <w:p>
            <w:pPr>
              <w:widowControl/>
              <w:jc w:val="center"/>
              <w:textAlignment w:val="center"/>
              <w:rPr>
                <w:rFonts w:hint="eastAsia" w:ascii="宋体" w:hAnsi="宋体" w:eastAsia="宋体" w:cs="宋体"/>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sz w:val="20"/>
                <w:szCs w:val="20"/>
              </w:rPr>
            </w:pPr>
          </w:p>
        </w:tc>
      </w:tr>
      <w:tr>
        <w:trPr>
          <w:trHeight w:val="309" w:hRule="atLeast"/>
          <w:jc w:val="center"/>
        </w:trPr>
        <w:tc>
          <w:tcPr>
            <w:tcW w:w="574"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4421"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22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79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sz w:val="20"/>
                <w:szCs w:val="20"/>
              </w:rPr>
            </w:pPr>
          </w:p>
        </w:tc>
        <w:tc>
          <w:tcPr>
            <w:tcW w:w="929"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sz w:val="20"/>
                <w:szCs w:val="20"/>
              </w:rPr>
            </w:pPr>
          </w:p>
        </w:tc>
        <w:tc>
          <w:tcPr>
            <w:tcW w:w="1147"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hint="eastAsia" w:ascii="宋体" w:hAnsi="宋体" w:eastAsia="宋体" w:cs="宋体"/>
                <w:sz w:val="20"/>
                <w:szCs w:val="20"/>
              </w:rPr>
            </w:pPr>
          </w:p>
        </w:tc>
        <w:tc>
          <w:tcPr>
            <w:tcW w:w="1783" w:type="dxa"/>
            <w:tcBorders>
              <w:top w:val="single" w:color="000000" w:sz="2" w:space="0"/>
              <w:left w:val="nil"/>
              <w:bottom w:val="single" w:color="000000" w:sz="2" w:space="0"/>
              <w:right w:val="single" w:color="000000" w:sz="2" w:space="0"/>
            </w:tcBorders>
            <w:vAlign w:val="center"/>
          </w:tcPr>
          <w:p>
            <w:pPr>
              <w:widowControl/>
              <w:jc w:val="center"/>
              <w:textAlignment w:val="center"/>
              <w:rPr>
                <w:rFonts w:hint="eastAsia" w:ascii="宋体" w:hAnsi="宋体" w:eastAsia="宋体" w:cs="宋体"/>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sz w:val="20"/>
                <w:szCs w:val="20"/>
              </w:rPr>
            </w:pPr>
          </w:p>
        </w:tc>
      </w:tr>
      <w:tr>
        <w:trPr>
          <w:trHeight w:val="360" w:hRule="atLeast"/>
          <w:jc w:val="center"/>
        </w:trPr>
        <w:tc>
          <w:tcPr>
            <w:tcW w:w="574"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4421"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221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p>
        </w:tc>
        <w:tc>
          <w:tcPr>
            <w:tcW w:w="790"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sz w:val="20"/>
                <w:szCs w:val="20"/>
              </w:rPr>
            </w:pPr>
          </w:p>
        </w:tc>
        <w:tc>
          <w:tcPr>
            <w:tcW w:w="929"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sz w:val="20"/>
                <w:szCs w:val="20"/>
              </w:rPr>
            </w:pPr>
          </w:p>
        </w:tc>
        <w:tc>
          <w:tcPr>
            <w:tcW w:w="1147" w:type="dxa"/>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sz w:val="20"/>
                <w:szCs w:val="20"/>
              </w:rPr>
            </w:pPr>
          </w:p>
        </w:tc>
        <w:tc>
          <w:tcPr>
            <w:tcW w:w="1428" w:type="dxa"/>
            <w:tcBorders>
              <w:top w:val="single" w:color="000000" w:sz="2" w:space="0"/>
              <w:left w:val="single" w:color="000000" w:sz="2" w:space="0"/>
              <w:bottom w:val="single" w:color="000000" w:sz="2" w:space="0"/>
              <w:right w:val="single" w:color="000000" w:sz="4" w:space="0"/>
            </w:tcBorders>
            <w:vAlign w:val="center"/>
          </w:tcPr>
          <w:p>
            <w:pPr>
              <w:widowControl/>
              <w:jc w:val="center"/>
              <w:textAlignment w:val="center"/>
              <w:rPr>
                <w:rFonts w:hint="eastAsia" w:ascii="宋体" w:hAnsi="宋体" w:eastAsia="宋体" w:cs="宋体"/>
                <w:sz w:val="20"/>
                <w:szCs w:val="20"/>
              </w:rPr>
            </w:pPr>
          </w:p>
        </w:tc>
        <w:tc>
          <w:tcPr>
            <w:tcW w:w="1783" w:type="dxa"/>
            <w:tcBorders>
              <w:top w:val="single" w:color="000000" w:sz="2" w:space="0"/>
              <w:left w:val="nil"/>
              <w:bottom w:val="single" w:color="000000" w:sz="2" w:space="0"/>
              <w:right w:val="single" w:color="000000" w:sz="2" w:space="0"/>
            </w:tcBorders>
            <w:vAlign w:val="center"/>
          </w:tcPr>
          <w:p>
            <w:pPr>
              <w:widowControl/>
              <w:jc w:val="center"/>
              <w:textAlignment w:val="center"/>
              <w:rPr>
                <w:rFonts w:hint="eastAsia" w:ascii="宋体" w:hAnsi="宋体" w:eastAsia="宋体" w:cs="宋体"/>
                <w:sz w:val="20"/>
                <w:szCs w:val="20"/>
              </w:rPr>
            </w:pPr>
          </w:p>
        </w:tc>
        <w:tc>
          <w:tcPr>
            <w:tcW w:w="1192"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sz w:val="20"/>
                <w:szCs w:val="20"/>
              </w:rPr>
            </w:pPr>
          </w:p>
        </w:tc>
      </w:tr>
      <w:tr>
        <w:trPr>
          <w:trHeight w:val="398" w:hRule="atLeast"/>
          <w:jc w:val="center"/>
        </w:trPr>
        <w:tc>
          <w:tcPr>
            <w:tcW w:w="574" w:type="dxa"/>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color w:val="000000"/>
                <w:kern w:val="0"/>
                <w:sz w:val="20"/>
                <w:szCs w:val="20"/>
                <w:lang w:bidi="ar"/>
              </w:rPr>
            </w:pPr>
          </w:p>
        </w:tc>
        <w:tc>
          <w:tcPr>
            <w:tcW w:w="9497" w:type="dxa"/>
            <w:gridSpan w:val="5"/>
            <w:tcBorders>
              <w:top w:val="single" w:color="000000" w:sz="2" w:space="0"/>
              <w:left w:val="single" w:color="000000" w:sz="2" w:space="0"/>
              <w:bottom w:val="single" w:color="000000" w:sz="2" w:space="0"/>
              <w:right w:val="single" w:color="000000" w:sz="2" w:space="0"/>
            </w:tcBorders>
            <w:vAlign w:val="center"/>
          </w:tcPr>
          <w:p>
            <w:pPr>
              <w:widowControl/>
              <w:jc w:val="center"/>
              <w:textAlignment w:val="center"/>
              <w:rPr>
                <w:rFonts w:hint="eastAsia" w:ascii="宋体" w:hAnsi="宋体" w:eastAsia="宋体" w:cs="宋体"/>
                <w:color w:val="000000"/>
                <w:kern w:val="0"/>
                <w:sz w:val="20"/>
                <w:szCs w:val="20"/>
                <w:lang w:bidi="ar"/>
              </w:rPr>
            </w:pPr>
            <w:r>
              <w:rPr>
                <w:rFonts w:hint="eastAsia" w:ascii="宋体" w:hAnsi="宋体" w:eastAsia="宋体" w:cs="宋体"/>
                <w:b/>
                <w:bCs/>
                <w:color w:val="000000"/>
                <w:kern w:val="0"/>
                <w:sz w:val="20"/>
                <w:szCs w:val="20"/>
                <w:lang w:bidi="ar"/>
              </w:rPr>
              <w:t>总</w:t>
            </w:r>
            <w:r>
              <w:rPr>
                <w:rStyle w:val="136"/>
                <w:rFonts w:hint="eastAsia" w:ascii="宋体" w:hAnsi="宋体" w:eastAsia="宋体" w:cs="宋体"/>
                <w:b/>
                <w:bCs/>
                <w:lang w:bidi="ar"/>
              </w:rPr>
              <w:t xml:space="preserve">价合计列入价格汇总表 </w:t>
            </w:r>
            <w:r>
              <w:rPr>
                <w:rStyle w:val="137"/>
                <w:b/>
                <w:bCs/>
                <w:lang w:bidi="ar"/>
              </w:rPr>
              <w:t>9-5</w:t>
            </w:r>
          </w:p>
        </w:tc>
        <w:tc>
          <w:tcPr>
            <w:tcW w:w="4403" w:type="dxa"/>
            <w:gridSpan w:val="3"/>
            <w:tcBorders>
              <w:top w:val="single" w:color="000000" w:sz="2" w:space="0"/>
              <w:left w:val="single" w:color="000000" w:sz="2" w:space="0"/>
              <w:bottom w:val="single" w:color="000000" w:sz="2" w:space="0"/>
              <w:right w:val="single" w:color="000000" w:sz="2" w:space="0"/>
            </w:tcBorders>
            <w:vAlign w:val="center"/>
          </w:tcPr>
          <w:p>
            <w:pPr>
              <w:jc w:val="center"/>
              <w:rPr>
                <w:rFonts w:hint="eastAsia" w:ascii="宋体" w:hAnsi="宋体" w:eastAsia="宋体" w:cs="宋体"/>
                <w:sz w:val="20"/>
                <w:szCs w:val="20"/>
              </w:rPr>
            </w:pPr>
            <w:r>
              <w:rPr>
                <w:rFonts w:hint="eastAsia" w:ascii="宋体" w:hAnsi="宋体" w:eastAsia="宋体" w:cs="宋体"/>
                <w:b/>
                <w:bCs/>
                <w:color w:val="000000"/>
                <w:kern w:val="0"/>
                <w:sz w:val="20"/>
                <w:szCs w:val="20"/>
                <w:lang w:bidi="ar"/>
              </w:rPr>
              <w:t>总价合计（不含税）￥    元</w:t>
            </w:r>
          </w:p>
        </w:tc>
      </w:tr>
    </w:tbl>
    <w:p>
      <w:pPr>
        <w:spacing w:before="58" w:line="219" w:lineRule="auto"/>
        <w:ind w:left="8"/>
        <w:rPr>
          <w:rFonts w:hint="eastAsia" w:ascii="宋体" w:hAnsi="宋体" w:eastAsia="宋体" w:cs="宋体"/>
          <w:spacing w:val="-8"/>
          <w:szCs w:val="21"/>
        </w:rPr>
      </w:pPr>
    </w:p>
    <w:p>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line="105" w:lineRule="exact"/>
        <w:rPr>
          <w:rFonts w:hint="eastAsia"/>
        </w:rPr>
      </w:pPr>
    </w:p>
    <w:p>
      <w:pPr>
        <w:rPr>
          <w:rFonts w:hint="eastAsia"/>
        </w:rPr>
        <w:sectPr>
          <w:footerReference r:id="rId29" w:type="default"/>
          <w:pgSz w:w="16841" w:h="11907" w:orient="landscape"/>
          <w:pgMar w:top="400" w:right="1387" w:bottom="1168" w:left="1473" w:header="0" w:footer="990" w:gutter="0"/>
          <w:cols w:equalWidth="0" w:num="1">
            <w:col w:w="13980"/>
          </w:cols>
        </w:sectPr>
      </w:pPr>
    </w:p>
    <w:p>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28"/>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rPr>
          <w:trHeight w:val="470" w:hRule="atLeast"/>
        </w:trPr>
        <w:tc>
          <w:tcPr>
            <w:tcW w:w="799" w:type="dxa"/>
            <w:vMerge w:val="restart"/>
            <w:tcBorders>
              <w:bottom w:val="nil"/>
            </w:tcBorders>
          </w:tcPr>
          <w:p>
            <w:pPr>
              <w:spacing w:line="296" w:lineRule="auto"/>
              <w:rPr>
                <w:rFonts w:hint="eastAsia" w:ascii="Arial"/>
              </w:rPr>
            </w:pPr>
          </w:p>
          <w:p>
            <w:pPr>
              <w:spacing w:before="68" w:line="222" w:lineRule="auto"/>
              <w:ind w:left="194"/>
              <w:rPr>
                <w:rFonts w:hint="eastAsia" w:ascii="宋体" w:hAnsi="宋体" w:eastAsia="宋体" w:cs="宋体"/>
                <w:szCs w:val="21"/>
              </w:rPr>
            </w:pPr>
            <w:r>
              <w:rPr>
                <w:rFonts w:ascii="宋体" w:hAnsi="宋体" w:eastAsia="宋体" w:cs="宋体"/>
                <w:spacing w:val="-1"/>
                <w:szCs w:val="21"/>
              </w:rPr>
              <w:t>序号</w:t>
            </w:r>
          </w:p>
        </w:tc>
        <w:tc>
          <w:tcPr>
            <w:tcW w:w="3530" w:type="dxa"/>
            <w:vMerge w:val="restart"/>
            <w:tcBorders>
              <w:bottom w:val="nil"/>
            </w:tcBorders>
          </w:tcPr>
          <w:p>
            <w:pPr>
              <w:spacing w:line="295" w:lineRule="auto"/>
              <w:rPr>
                <w:rFonts w:hint="eastAsia" w:ascii="Arial"/>
              </w:rPr>
            </w:pPr>
          </w:p>
          <w:p>
            <w:pPr>
              <w:spacing w:before="68" w:line="221" w:lineRule="auto"/>
              <w:ind w:left="1476"/>
              <w:rPr>
                <w:rFonts w:hint="eastAsia" w:ascii="宋体" w:hAnsi="宋体" w:eastAsia="宋体" w:cs="宋体"/>
                <w:szCs w:val="21"/>
              </w:rPr>
            </w:pPr>
            <w:r>
              <w:rPr>
                <w:rFonts w:ascii="宋体" w:hAnsi="宋体" w:eastAsia="宋体" w:cs="宋体"/>
                <w:spacing w:val="-1"/>
                <w:szCs w:val="21"/>
              </w:rPr>
              <w:t>内  容</w:t>
            </w:r>
          </w:p>
        </w:tc>
        <w:tc>
          <w:tcPr>
            <w:tcW w:w="2159" w:type="dxa"/>
          </w:tcPr>
          <w:p>
            <w:pPr>
              <w:spacing w:before="130" w:line="221" w:lineRule="auto"/>
              <w:ind w:left="766"/>
              <w:rPr>
                <w:rFonts w:hint="eastAsia" w:ascii="宋体" w:hAnsi="宋体" w:eastAsia="宋体" w:cs="宋体"/>
                <w:szCs w:val="21"/>
              </w:rPr>
            </w:pPr>
            <w:r>
              <w:rPr>
                <w:rFonts w:ascii="宋体" w:hAnsi="宋体" w:eastAsia="宋体" w:cs="宋体"/>
                <w:spacing w:val="-1"/>
                <w:szCs w:val="21"/>
              </w:rPr>
              <w:t>数  量</w:t>
            </w:r>
          </w:p>
        </w:tc>
        <w:tc>
          <w:tcPr>
            <w:tcW w:w="2186" w:type="dxa"/>
          </w:tcPr>
          <w:p>
            <w:pPr>
              <w:spacing w:before="131" w:line="219" w:lineRule="auto"/>
              <w:jc w:val="center"/>
              <w:rPr>
                <w:rFonts w:hint="eastAsia" w:ascii="宋体" w:hAnsi="宋体" w:eastAsia="宋体" w:cs="宋体"/>
                <w:spacing w:val="-1"/>
                <w:szCs w:val="21"/>
              </w:rPr>
            </w:pPr>
            <w:r>
              <w:rPr>
                <w:rFonts w:ascii="宋体" w:hAnsi="宋体" w:eastAsia="宋体" w:cs="宋体"/>
                <w:spacing w:val="-1"/>
                <w:szCs w:val="21"/>
              </w:rPr>
              <w:t>单价(元)</w:t>
            </w:r>
            <w:r>
              <w:rPr>
                <w:rFonts w:hint="eastAsia" w:ascii="宋体" w:hAnsi="宋体" w:eastAsia="宋体" w:cs="宋体"/>
                <w:spacing w:val="-1"/>
                <w:szCs w:val="21"/>
              </w:rPr>
              <w:t>（不含税）</w:t>
            </w:r>
          </w:p>
        </w:tc>
        <w:tc>
          <w:tcPr>
            <w:tcW w:w="2596" w:type="dxa"/>
          </w:tcPr>
          <w:p>
            <w:pPr>
              <w:spacing w:before="131" w:line="219" w:lineRule="auto"/>
              <w:jc w:val="center"/>
              <w:rPr>
                <w:rFonts w:hint="eastAsia" w:ascii="宋体" w:hAnsi="宋体" w:eastAsia="宋体" w:cs="宋体"/>
                <w:spacing w:val="-1"/>
                <w:szCs w:val="21"/>
              </w:rPr>
            </w:pPr>
            <w:r>
              <w:rPr>
                <w:rFonts w:ascii="宋体" w:hAnsi="宋体" w:eastAsia="宋体" w:cs="宋体"/>
                <w:spacing w:val="-1"/>
                <w:szCs w:val="21"/>
              </w:rPr>
              <w:t>总价(元)</w:t>
            </w:r>
            <w:r>
              <w:rPr>
                <w:rFonts w:hint="eastAsia" w:ascii="宋体" w:hAnsi="宋体" w:eastAsia="宋体" w:cs="宋体"/>
                <w:spacing w:val="-1"/>
                <w:szCs w:val="21"/>
              </w:rPr>
              <w:t>（不含税）</w:t>
            </w:r>
          </w:p>
        </w:tc>
        <w:tc>
          <w:tcPr>
            <w:tcW w:w="2164" w:type="dxa"/>
          </w:tcPr>
          <w:p>
            <w:pPr>
              <w:spacing w:before="130" w:line="222" w:lineRule="auto"/>
              <w:ind w:left="770"/>
              <w:rPr>
                <w:rFonts w:hint="eastAsia" w:ascii="宋体" w:hAnsi="宋体" w:eastAsia="宋体" w:cs="宋体"/>
                <w:szCs w:val="21"/>
              </w:rPr>
            </w:pPr>
            <w:r>
              <w:rPr>
                <w:rFonts w:ascii="宋体" w:hAnsi="宋体" w:eastAsia="宋体" w:cs="宋体"/>
                <w:spacing w:val="-1"/>
                <w:szCs w:val="21"/>
              </w:rPr>
              <w:t>备  注</w:t>
            </w:r>
          </w:p>
        </w:tc>
      </w:tr>
      <w:tr>
        <w:trPr>
          <w:trHeight w:val="465" w:hRule="atLeast"/>
        </w:trPr>
        <w:tc>
          <w:tcPr>
            <w:tcW w:w="799" w:type="dxa"/>
            <w:vMerge w:val="continue"/>
            <w:tcBorders>
              <w:top w:val="nil"/>
            </w:tcBorders>
          </w:tcPr>
          <w:p>
            <w:pPr>
              <w:rPr>
                <w:rFonts w:hint="eastAsia" w:ascii="Arial"/>
              </w:rPr>
            </w:pPr>
          </w:p>
        </w:tc>
        <w:tc>
          <w:tcPr>
            <w:tcW w:w="3530" w:type="dxa"/>
            <w:vMerge w:val="continue"/>
            <w:tcBorders>
              <w:top w:val="nil"/>
            </w:tcBorders>
          </w:tcPr>
          <w:p>
            <w:pPr>
              <w:rPr>
                <w:rFonts w:hint="eastAsia" w:ascii="Arial"/>
              </w:rPr>
            </w:pPr>
          </w:p>
        </w:tc>
        <w:tc>
          <w:tcPr>
            <w:tcW w:w="2159" w:type="dxa"/>
          </w:tcPr>
          <w:p>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hint="eastAsia" w:ascii="宋体" w:hAnsi="宋体" w:eastAsia="宋体" w:cs="宋体"/>
                <w:szCs w:val="21"/>
              </w:rPr>
            </w:pPr>
            <w:r>
              <w:rPr>
                <w:rFonts w:ascii="宋体" w:hAnsi="宋体" w:eastAsia="宋体" w:cs="宋体"/>
                <w:szCs w:val="21"/>
              </w:rPr>
              <w:t>4</w:t>
            </w:r>
          </w:p>
        </w:tc>
      </w:tr>
      <w:tr>
        <w:trPr>
          <w:trHeight w:val="628" w:hRule="atLeast"/>
        </w:trPr>
        <w:tc>
          <w:tcPr>
            <w:tcW w:w="799" w:type="dxa"/>
          </w:tcPr>
          <w:p>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rPr>
                <w:rFonts w:hint="eastAsia" w:ascii="Arial"/>
              </w:rPr>
            </w:pPr>
          </w:p>
        </w:tc>
      </w:tr>
      <w:tr>
        <w:trPr>
          <w:trHeight w:val="628" w:hRule="atLeast"/>
        </w:trPr>
        <w:tc>
          <w:tcPr>
            <w:tcW w:w="799" w:type="dxa"/>
          </w:tcPr>
          <w:p>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restart"/>
            <w:tcBorders>
              <w:bottom w:val="nil"/>
            </w:tcBorders>
          </w:tcPr>
          <w:p>
            <w:pPr>
              <w:spacing w:line="295" w:lineRule="auto"/>
              <w:rPr>
                <w:rFonts w:hint="eastAsia" w:ascii="Arial"/>
              </w:rPr>
            </w:pPr>
          </w:p>
          <w:p>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rPr>
          <w:trHeight w:val="631" w:hRule="atLeast"/>
        </w:trPr>
        <w:tc>
          <w:tcPr>
            <w:tcW w:w="799" w:type="dxa"/>
          </w:tcPr>
          <w:p>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continue"/>
            <w:tcBorders>
              <w:top w:val="nil"/>
            </w:tcBorders>
          </w:tcPr>
          <w:p>
            <w:pPr>
              <w:rPr>
                <w:rFonts w:hint="eastAsia" w:ascii="Arial"/>
              </w:rPr>
            </w:pPr>
          </w:p>
        </w:tc>
      </w:tr>
      <w:tr>
        <w:trPr>
          <w:trHeight w:val="628" w:hRule="atLeast"/>
        </w:trPr>
        <w:tc>
          <w:tcPr>
            <w:tcW w:w="799" w:type="dxa"/>
          </w:tcPr>
          <w:p>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rPr>
          <w:trHeight w:val="628" w:hRule="atLeast"/>
        </w:trPr>
        <w:tc>
          <w:tcPr>
            <w:tcW w:w="799" w:type="dxa"/>
          </w:tcPr>
          <w:p>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ind w:left="1557"/>
              <w:rPr>
                <w:rFonts w:hint="eastAsia" w:ascii="宋体" w:hAnsi="宋体" w:eastAsia="宋体" w:cs="宋体"/>
                <w:spacing w:val="-2"/>
                <w:szCs w:val="21"/>
              </w:rPr>
            </w:pPr>
            <w:r>
              <w:rPr>
                <w:rFonts w:ascii="宋体" w:hAnsi="宋体" w:eastAsia="宋体" w:cs="宋体"/>
                <w:spacing w:val="-2"/>
                <w:szCs w:val="21"/>
              </w:rPr>
              <w:t>其他</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6"/>
              <w:rPr>
                <w:rFonts w:hint="eastAsia" w:ascii="宋体" w:hAnsi="宋体" w:eastAsia="宋体" w:cs="宋体"/>
                <w:spacing w:val="-2"/>
                <w:szCs w:val="21"/>
              </w:rPr>
            </w:pPr>
            <w:r>
              <w:rPr>
                <w:rFonts w:ascii="宋体" w:hAnsi="宋体" w:eastAsia="宋体" w:cs="宋体"/>
                <w:spacing w:val="-2"/>
                <w:szCs w:val="21"/>
              </w:rPr>
              <w:t>说明</w:t>
            </w:r>
            <w:r>
              <w:rPr>
                <w:rFonts w:ascii="宋体" w:hAnsi="宋体" w:eastAsia="宋体" w:cs="宋体"/>
                <w:spacing w:val="-1"/>
                <w:szCs w:val="21"/>
              </w:rPr>
              <w:t>具体内容</w:t>
            </w:r>
          </w:p>
        </w:tc>
      </w:tr>
      <w:tr>
        <w:trPr>
          <w:trHeight w:val="633" w:hRule="atLeast"/>
        </w:trPr>
        <w:tc>
          <w:tcPr>
            <w:tcW w:w="8674" w:type="dxa"/>
            <w:gridSpan w:val="4"/>
          </w:tcPr>
          <w:p>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line="172" w:lineRule="exact"/>
        <w:rPr>
          <w:rFonts w:hint="eastAsia"/>
        </w:rPr>
      </w:pPr>
    </w:p>
    <w:p>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rFonts w:hint="eastAsia"/>
          <w:sz w:val="24"/>
          <w:szCs w:val="24"/>
        </w:rPr>
        <w:sectPr>
          <w:footerReference r:id="rId30" w:type="default"/>
          <w:pgSz w:w="16841" w:h="11907"/>
          <w:pgMar w:top="400" w:right="1699" w:bottom="1184" w:left="1481" w:header="0" w:footer="1022" w:gutter="0"/>
          <w:cols w:space="720" w:num="1"/>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rPr>
          <w:rFonts w:hint="eastAsia"/>
        </w:rPr>
      </w:pPr>
    </w:p>
    <w:p>
      <w:pPr>
        <w:spacing w:line="20" w:lineRule="exact"/>
        <w:rPr>
          <w:rFonts w:hint="eastAsia"/>
        </w:rPr>
      </w:pPr>
    </w:p>
    <w:tbl>
      <w:tblPr>
        <w:tblStyle w:val="128"/>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rPr>
          <w:trHeight w:val="727" w:hRule="atLeast"/>
        </w:trPr>
        <w:tc>
          <w:tcPr>
            <w:tcW w:w="71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rPr>
          <w:trHeight w:val="723" w:hRule="atLeast"/>
        </w:trPr>
        <w:tc>
          <w:tcPr>
            <w:tcW w:w="710" w:type="dxa"/>
            <w:vAlign w:val="center"/>
          </w:tcPr>
          <w:p>
            <w:pPr>
              <w:spacing w:before="300" w:line="186" w:lineRule="auto"/>
              <w:jc w:val="center"/>
              <w:rPr>
                <w:rFonts w:hint="eastAsia" w:ascii="宋体" w:hAnsi="宋体" w:eastAsia="宋体" w:cs="宋体"/>
                <w:szCs w:val="21"/>
              </w:rPr>
            </w:pPr>
            <w:r>
              <w:rPr>
                <w:rFonts w:ascii="宋体" w:hAnsi="宋体" w:eastAsia="宋体" w:cs="宋体"/>
                <w:szCs w:val="21"/>
              </w:rPr>
              <w:t>1</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w:t>
            </w:r>
          </w:p>
        </w:tc>
        <w:tc>
          <w:tcPr>
            <w:tcW w:w="1126" w:type="dxa"/>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trPr>
          <w:trHeight w:val="723" w:hRule="atLeast"/>
        </w:trPr>
        <w:tc>
          <w:tcPr>
            <w:tcW w:w="710" w:type="dxa"/>
            <w:vAlign w:val="center"/>
          </w:tcPr>
          <w:p>
            <w:pPr>
              <w:spacing w:before="302" w:line="185" w:lineRule="auto"/>
              <w:jc w:val="center"/>
              <w:rPr>
                <w:rFonts w:hint="eastAsia" w:ascii="宋体" w:hAnsi="宋体" w:eastAsia="宋体" w:cs="宋体"/>
                <w:szCs w:val="21"/>
              </w:rPr>
            </w:pPr>
            <w:r>
              <w:rPr>
                <w:rFonts w:ascii="宋体" w:hAnsi="宋体" w:eastAsia="宋体" w:cs="宋体"/>
                <w:szCs w:val="21"/>
              </w:rPr>
              <w:t>2</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trPr>
          <w:trHeight w:val="725" w:hRule="atLeast"/>
        </w:trPr>
        <w:tc>
          <w:tcPr>
            <w:tcW w:w="710" w:type="dxa"/>
            <w:vAlign w:val="center"/>
          </w:tcPr>
          <w:p>
            <w:pPr>
              <w:spacing w:before="303" w:line="183" w:lineRule="auto"/>
              <w:jc w:val="center"/>
              <w:rPr>
                <w:rFonts w:hint="eastAsia" w:ascii="宋体" w:hAnsi="宋体" w:eastAsia="宋体" w:cs="宋体"/>
                <w:szCs w:val="21"/>
              </w:rPr>
            </w:pPr>
            <w:r>
              <w:rPr>
                <w:rFonts w:ascii="宋体" w:hAnsi="宋体" w:eastAsia="宋体" w:cs="宋体"/>
                <w:szCs w:val="21"/>
              </w:rPr>
              <w:t>3</w:t>
            </w:r>
          </w:p>
        </w:tc>
        <w:tc>
          <w:tcPr>
            <w:tcW w:w="3625" w:type="dxa"/>
            <w:vAlign w:val="center"/>
          </w:tcPr>
          <w:p>
            <w:pPr>
              <w:spacing w:before="266" w:line="221" w:lineRule="auto"/>
              <w:jc w:val="center"/>
              <w:rPr>
                <w:rFonts w:hint="eastAsia" w:ascii="宋体" w:hAnsi="宋体" w:eastAsia="宋体" w:cs="宋体"/>
                <w:szCs w:val="21"/>
              </w:rPr>
            </w:pPr>
            <w:r>
              <w:rPr>
                <w:rFonts w:hint="eastAsia" w:ascii="宋体" w:hAnsi="宋体" w:eastAsia="宋体" w:cs="宋体"/>
                <w:spacing w:val="-2"/>
                <w:szCs w:val="21"/>
              </w:rPr>
              <w:t>技术</w:t>
            </w:r>
            <w:r>
              <w:rPr>
                <w:rFonts w:ascii="宋体" w:hAnsi="宋体" w:eastAsia="宋体" w:cs="宋体"/>
                <w:spacing w:val="-2"/>
                <w:szCs w:val="21"/>
              </w:rPr>
              <w:t>培</w:t>
            </w:r>
            <w:r>
              <w:rPr>
                <w:rFonts w:ascii="宋体" w:hAnsi="宋体" w:eastAsia="宋体" w:cs="宋体"/>
                <w:spacing w:val="-1"/>
                <w:szCs w:val="21"/>
              </w:rPr>
              <w:t>训费</w:t>
            </w:r>
          </w:p>
        </w:tc>
        <w:tc>
          <w:tcPr>
            <w:tcW w:w="1126" w:type="dxa"/>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trPr>
          <w:trHeight w:val="723" w:hRule="atLeast"/>
        </w:trPr>
        <w:tc>
          <w:tcPr>
            <w:tcW w:w="710" w:type="dxa"/>
            <w:vAlign w:val="center"/>
          </w:tcPr>
          <w:p>
            <w:pPr>
              <w:spacing w:before="306" w:line="182" w:lineRule="auto"/>
              <w:jc w:val="center"/>
              <w:rPr>
                <w:rFonts w:hint="eastAsia" w:ascii="宋体" w:hAnsi="宋体" w:eastAsia="宋体" w:cs="宋体"/>
                <w:szCs w:val="21"/>
              </w:rPr>
            </w:pPr>
            <w:r>
              <w:rPr>
                <w:rFonts w:hint="eastAsia" w:ascii="宋体" w:hAnsi="宋体" w:eastAsia="宋体" w:cs="宋体"/>
                <w:szCs w:val="21"/>
              </w:rPr>
              <w:t>4</w:t>
            </w:r>
          </w:p>
        </w:tc>
        <w:tc>
          <w:tcPr>
            <w:tcW w:w="3625" w:type="dxa"/>
            <w:vAlign w:val="center"/>
          </w:tcPr>
          <w:p>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tcPr>
          <w:p>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trPr>
          <w:trHeight w:val="734" w:hRule="atLeast"/>
        </w:trPr>
        <w:tc>
          <w:tcPr>
            <w:tcW w:w="433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rPr>
          <w:rFonts w:hint="eastAsia"/>
        </w:rPr>
      </w:pPr>
    </w:p>
    <w:p>
      <w:pPr>
        <w:pStyle w:val="18"/>
      </w:pPr>
    </w:p>
    <w:p>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hint="eastAsia" w:ascii="宋体" w:hAnsi="宋体" w:eastAsia="宋体" w:cs="宋体"/>
          <w:spacing w:val="-1"/>
          <w:sz w:val="24"/>
          <w:szCs w:val="24"/>
        </w:rPr>
        <w:sectPr>
          <w:footerReference r:id="rId31" w:type="default"/>
          <w:pgSz w:w="16841" w:h="11907"/>
          <w:pgMar w:top="400" w:right="1699" w:bottom="1184" w:left="1481" w:header="0" w:footer="1022" w:gutter="0"/>
          <w:cols w:space="720" w:num="1"/>
        </w:sectPr>
      </w:pPr>
    </w:p>
    <w:p>
      <w:pPr>
        <w:pStyle w:val="6"/>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28"/>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trPr>
          <w:trHeight w:val="336" w:hRule="atLeast"/>
        </w:trPr>
        <w:tc>
          <w:tcPr>
            <w:tcW w:w="509" w:type="dxa"/>
          </w:tcPr>
          <w:p>
            <w:pPr>
              <w:spacing w:before="100" w:line="186" w:lineRule="auto"/>
              <w:ind w:left="223"/>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pPr>
              <w:spacing w:before="101" w:line="185" w:lineRule="auto"/>
              <w:ind w:left="122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pPr>
              <w:spacing w:before="102" w:line="183" w:lineRule="auto"/>
              <w:ind w:left="100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pPr>
              <w:spacing w:before="101" w:line="185" w:lineRule="auto"/>
              <w:ind w:left="37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39" w:type="dxa"/>
          </w:tcPr>
          <w:p>
            <w:pPr>
              <w:spacing w:before="103" w:line="182" w:lineRule="auto"/>
              <w:ind w:left="107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498" w:type="dxa"/>
          </w:tcPr>
          <w:p>
            <w:pPr>
              <w:spacing w:before="102" w:line="183" w:lineRule="auto"/>
              <w:ind w:left="58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61" w:type="dxa"/>
          </w:tcPr>
          <w:p>
            <w:pPr>
              <w:spacing w:before="103" w:line="182" w:lineRule="auto"/>
              <w:ind w:left="101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pPr>
              <w:spacing w:before="102" w:line="183" w:lineRule="auto"/>
              <w:ind w:left="516"/>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trPr>
          <w:trHeight w:val="719" w:hRule="atLeast"/>
        </w:trPr>
        <w:tc>
          <w:tcPr>
            <w:tcW w:w="509" w:type="dxa"/>
            <w:textDirection w:val="tbRlV"/>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4×6]（不含税）(元)</w:t>
            </w:r>
          </w:p>
        </w:tc>
        <w:tc>
          <w:tcPr>
            <w:tcW w:w="112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rPr>
          <w:trHeight w:val="618" w:hRule="atLeast"/>
        </w:trPr>
        <w:tc>
          <w:tcPr>
            <w:tcW w:w="509" w:type="dxa"/>
          </w:tcPr>
          <w:p>
            <w:pPr>
              <w:spacing w:before="237" w:line="186" w:lineRule="auto"/>
              <w:ind w:left="223"/>
              <w:rPr>
                <w:rFonts w:hint="eastAsia" w:ascii="宋体" w:hAnsi="宋体" w:eastAsia="宋体" w:cs="宋体"/>
                <w:szCs w:val="21"/>
              </w:rPr>
            </w:pPr>
            <w:r>
              <w:rPr>
                <w:rFonts w:ascii="宋体" w:hAnsi="宋体" w:eastAsia="宋体" w:cs="宋体"/>
                <w:szCs w:val="21"/>
              </w:rPr>
              <w:t>1</w:t>
            </w: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rPr>
          <w:trHeight w:val="619" w:hRule="atLeast"/>
        </w:trPr>
        <w:tc>
          <w:tcPr>
            <w:tcW w:w="509" w:type="dxa"/>
          </w:tcPr>
          <w:p>
            <w:pPr>
              <w:spacing w:before="237" w:line="186" w:lineRule="auto"/>
              <w:ind w:left="223"/>
              <w:rPr>
                <w:rFonts w:hint="eastAsia" w:ascii="宋体" w:hAnsi="宋体" w:eastAsia="宋体" w:cs="宋体"/>
                <w:szCs w:val="21"/>
              </w:rPr>
            </w:pPr>
            <w:r>
              <w:rPr>
                <w:rFonts w:ascii="宋体" w:hAnsi="宋体" w:eastAsia="宋体" w:cs="宋体"/>
                <w:szCs w:val="21"/>
              </w:rPr>
              <w:t>2</w:t>
            </w: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rPr>
          <w:trHeight w:val="619" w:hRule="atLeast"/>
        </w:trPr>
        <w:tc>
          <w:tcPr>
            <w:tcW w:w="509" w:type="dxa"/>
          </w:tcPr>
          <w:p>
            <w:pPr>
              <w:spacing w:before="237" w:line="186" w:lineRule="auto"/>
              <w:ind w:left="223"/>
              <w:rPr>
                <w:rFonts w:hint="eastAsia" w:ascii="宋体" w:hAnsi="宋体" w:eastAsia="宋体" w:cs="宋体"/>
                <w:szCs w:val="21"/>
              </w:rPr>
            </w:pPr>
            <w:r>
              <w:rPr>
                <w:rFonts w:hint="eastAsia" w:ascii="宋体" w:hAnsi="宋体" w:eastAsia="宋体" w:cs="宋体"/>
                <w:szCs w:val="21"/>
              </w:rPr>
              <w:t>3</w:t>
            </w: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rPr>
          <w:trHeight w:val="618" w:hRule="atLeast"/>
        </w:trPr>
        <w:tc>
          <w:tcPr>
            <w:tcW w:w="509" w:type="dxa"/>
          </w:tcPr>
          <w:p>
            <w:pPr>
              <w:spacing w:before="237" w:line="186" w:lineRule="auto"/>
              <w:ind w:left="223"/>
              <w:rPr>
                <w:rFonts w:hint="eastAsia" w:ascii="宋体" w:hAnsi="宋体" w:eastAsia="宋体" w:cs="宋体"/>
                <w:szCs w:val="21"/>
              </w:rPr>
            </w:pPr>
            <w:r>
              <w:rPr>
                <w:rFonts w:hint="eastAsia" w:ascii="宋体" w:hAnsi="宋体" w:eastAsia="宋体" w:cs="宋体"/>
                <w:szCs w:val="21"/>
              </w:rPr>
              <w:t>4</w:t>
            </w: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rPr>
          <w:trHeight w:val="618" w:hRule="atLeast"/>
        </w:trPr>
        <w:tc>
          <w:tcPr>
            <w:tcW w:w="509" w:type="dxa"/>
          </w:tcPr>
          <w:p>
            <w:pPr>
              <w:spacing w:before="237" w:line="186" w:lineRule="auto"/>
              <w:ind w:left="223"/>
              <w:rPr>
                <w:rFonts w:hint="eastAsia" w:ascii="宋体" w:hAnsi="宋体" w:eastAsia="宋体" w:cs="宋体"/>
                <w:szCs w:val="21"/>
              </w:rPr>
            </w:pPr>
            <w:r>
              <w:rPr>
                <w:rFonts w:hint="eastAsia" w:ascii="宋体" w:hAnsi="宋体" w:eastAsia="宋体" w:cs="宋体"/>
                <w:szCs w:val="21"/>
              </w:rPr>
              <w:t>5</w:t>
            </w: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rPr>
          <w:trHeight w:val="618" w:hRule="atLeast"/>
        </w:trPr>
        <w:tc>
          <w:tcPr>
            <w:tcW w:w="509" w:type="dxa"/>
          </w:tcPr>
          <w:p>
            <w:pPr>
              <w:spacing w:before="237" w:line="186" w:lineRule="auto"/>
              <w:ind w:left="223"/>
              <w:rPr>
                <w:rFonts w:hint="eastAsia" w:ascii="宋体" w:hAnsi="宋体" w:eastAsia="宋体" w:cs="宋体"/>
                <w:szCs w:val="21"/>
              </w:rPr>
            </w:pPr>
            <w:r>
              <w:rPr>
                <w:rFonts w:hint="eastAsia" w:ascii="宋体" w:hAnsi="宋体" w:eastAsia="宋体" w:cs="宋体"/>
                <w:szCs w:val="21"/>
              </w:rPr>
              <w:t>6</w:t>
            </w: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rPr>
          <w:trHeight w:val="618" w:hRule="atLeast"/>
        </w:trPr>
        <w:tc>
          <w:tcPr>
            <w:tcW w:w="509" w:type="dxa"/>
          </w:tcPr>
          <w:p>
            <w:pPr>
              <w:spacing w:before="237" w:line="186" w:lineRule="auto"/>
              <w:ind w:left="223"/>
              <w:rPr>
                <w:rFonts w:hint="eastAsia" w:ascii="宋体" w:hAnsi="宋体" w:eastAsia="宋体" w:cs="宋体"/>
                <w:szCs w:val="21"/>
              </w:rPr>
            </w:pPr>
            <w:r>
              <w:rPr>
                <w:rFonts w:hint="eastAsia" w:ascii="宋体" w:hAnsi="宋体" w:eastAsia="宋体" w:cs="宋体"/>
                <w:szCs w:val="21"/>
              </w:rPr>
              <w:t>7</w:t>
            </w: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rPr>
          <w:trHeight w:val="618" w:hRule="atLeast"/>
        </w:trPr>
        <w:tc>
          <w:tcPr>
            <w:tcW w:w="509" w:type="dxa"/>
          </w:tcPr>
          <w:p>
            <w:pPr>
              <w:spacing w:before="237" w:line="186" w:lineRule="auto"/>
              <w:ind w:left="223"/>
              <w:rPr>
                <w:rFonts w:hint="eastAsia" w:ascii="宋体" w:hAnsi="宋体" w:eastAsia="宋体" w:cs="宋体"/>
                <w:szCs w:val="21"/>
              </w:rPr>
            </w:pPr>
            <w:r>
              <w:rPr>
                <w:rFonts w:hint="eastAsia" w:ascii="宋体" w:hAnsi="宋体" w:eastAsia="宋体" w:cs="宋体"/>
                <w:szCs w:val="21"/>
              </w:rPr>
              <w:t>8</w:t>
            </w: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rPr>
          <w:trHeight w:val="618" w:hRule="atLeast"/>
        </w:trPr>
        <w:tc>
          <w:tcPr>
            <w:tcW w:w="509" w:type="dxa"/>
          </w:tcPr>
          <w:p>
            <w:pPr>
              <w:spacing w:before="237" w:line="186" w:lineRule="auto"/>
              <w:ind w:left="223"/>
              <w:rPr>
                <w:rFonts w:hint="eastAsia" w:ascii="宋体" w:hAnsi="宋体" w:eastAsia="宋体" w:cs="宋体"/>
                <w:szCs w:val="21"/>
              </w:rPr>
            </w:pPr>
            <w:r>
              <w:rPr>
                <w:rFonts w:hint="eastAsia" w:ascii="宋体" w:hAnsi="宋体" w:eastAsia="宋体" w:cs="宋体"/>
                <w:szCs w:val="21"/>
              </w:rPr>
              <w:t>9</w:t>
            </w:r>
          </w:p>
        </w:tc>
        <w:tc>
          <w:tcPr>
            <w:tcW w:w="2543" w:type="dxa"/>
          </w:tcPr>
          <w:p>
            <w:pPr>
              <w:rPr>
                <w:rFonts w:hint="eastAsia" w:ascii="Arial"/>
              </w:rPr>
            </w:pPr>
          </w:p>
        </w:tc>
        <w:tc>
          <w:tcPr>
            <w:tcW w:w="2100" w:type="dxa"/>
          </w:tcPr>
          <w:p>
            <w:pPr>
              <w:rPr>
                <w:rFonts w:hint="eastAsia" w:ascii="Arial"/>
              </w:rPr>
            </w:pPr>
          </w:p>
        </w:tc>
        <w:tc>
          <w:tcPr>
            <w:tcW w:w="840" w:type="dxa"/>
          </w:tcPr>
          <w:p>
            <w:pPr>
              <w:rPr>
                <w:rFonts w:hint="eastAsia" w:ascii="Arial"/>
              </w:rPr>
            </w:pPr>
          </w:p>
        </w:tc>
        <w:tc>
          <w:tcPr>
            <w:tcW w:w="2239" w:type="dxa"/>
          </w:tcPr>
          <w:p>
            <w:pPr>
              <w:rPr>
                <w:rFonts w:hint="eastAsia" w:ascii="Arial"/>
              </w:rPr>
            </w:pPr>
          </w:p>
        </w:tc>
        <w:tc>
          <w:tcPr>
            <w:tcW w:w="1498" w:type="dxa"/>
          </w:tcPr>
          <w:p>
            <w:pPr>
              <w:rPr>
                <w:rFonts w:hint="eastAsia" w:ascii="Arial"/>
              </w:rPr>
            </w:pPr>
          </w:p>
        </w:tc>
        <w:tc>
          <w:tcPr>
            <w:tcW w:w="1861" w:type="dxa"/>
          </w:tcPr>
          <w:p>
            <w:pPr>
              <w:rPr>
                <w:rFonts w:hint="eastAsia" w:ascii="Arial"/>
              </w:rPr>
            </w:pPr>
          </w:p>
        </w:tc>
        <w:tc>
          <w:tcPr>
            <w:tcW w:w="1120" w:type="dxa"/>
          </w:tcPr>
          <w:p>
            <w:pPr>
              <w:rPr>
                <w:rFonts w:hint="eastAsia" w:ascii="Arial"/>
              </w:rPr>
            </w:pPr>
          </w:p>
        </w:tc>
        <w:tc>
          <w:tcPr>
            <w:tcW w:w="1125" w:type="dxa"/>
          </w:tcPr>
          <w:p>
            <w:pPr>
              <w:rPr>
                <w:rFonts w:hint="eastAsia" w:ascii="Arial"/>
              </w:rPr>
            </w:pPr>
          </w:p>
        </w:tc>
      </w:tr>
      <w:tr>
        <w:trPr>
          <w:trHeight w:val="623" w:hRule="atLeast"/>
        </w:trPr>
        <w:tc>
          <w:tcPr>
            <w:tcW w:w="9729" w:type="dxa"/>
            <w:gridSpan w:val="6"/>
          </w:tcPr>
          <w:p>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hint="eastAsia" w:ascii="宋体" w:hAnsi="宋体" w:eastAsia="宋体" w:cs="宋体"/>
          <w:spacing w:val="-2"/>
          <w:sz w:val="24"/>
          <w:szCs w:val="24"/>
        </w:rPr>
        <w:sectPr>
          <w:footerReference r:id="rId32" w:type="default"/>
          <w:pgSz w:w="16841" w:h="11907"/>
          <w:pgMar w:top="400" w:right="1500" w:bottom="1184" w:left="1480" w:header="0" w:footer="1022" w:gutter="0"/>
          <w:cols w:space="720" w:num="1"/>
        </w:sectPr>
      </w:pPr>
    </w:p>
    <w:p>
      <w:pPr>
        <w:pStyle w:val="6"/>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rPr>
          <w:rFonts w:hint="eastAsia"/>
        </w:rPr>
      </w:pPr>
    </w:p>
    <w:tbl>
      <w:tblPr>
        <w:tblStyle w:val="128"/>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rPr>
          <w:trHeight w:val="765" w:hRule="atLeast"/>
        </w:trPr>
        <w:tc>
          <w:tcPr>
            <w:tcW w:w="1080" w:type="dxa"/>
          </w:tcPr>
          <w:p>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rPr>
          <w:trHeight w:val="765" w:hRule="atLeast"/>
        </w:trPr>
        <w:tc>
          <w:tcPr>
            <w:tcW w:w="1080" w:type="dxa"/>
          </w:tcPr>
          <w:p>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pPr>
              <w:rPr>
                <w:rFonts w:hint="eastAsia" w:ascii="Arial"/>
              </w:rPr>
            </w:pPr>
          </w:p>
        </w:tc>
        <w:tc>
          <w:tcPr>
            <w:tcW w:w="3362" w:type="dxa"/>
          </w:tcPr>
          <w:p>
            <w:pPr>
              <w:rPr>
                <w:rFonts w:hint="eastAsia" w:ascii="Arial"/>
              </w:rPr>
            </w:pPr>
          </w:p>
        </w:tc>
      </w:tr>
      <w:tr>
        <w:trPr>
          <w:trHeight w:val="743" w:hRule="atLeast"/>
        </w:trPr>
        <w:tc>
          <w:tcPr>
            <w:tcW w:w="1080" w:type="dxa"/>
          </w:tcPr>
          <w:p>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rPr>
          <w:trHeight w:val="762" w:hRule="atLeast"/>
        </w:trPr>
        <w:tc>
          <w:tcPr>
            <w:tcW w:w="1080" w:type="dxa"/>
          </w:tcPr>
          <w:p>
            <w:pPr>
              <w:rPr>
                <w:rFonts w:hint="eastAsia" w:ascii="Arial"/>
              </w:rPr>
            </w:pPr>
          </w:p>
          <w:p>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rPr>
          <w:trHeight w:val="741" w:hRule="atLeast"/>
        </w:trPr>
        <w:tc>
          <w:tcPr>
            <w:tcW w:w="1080" w:type="dxa"/>
          </w:tcPr>
          <w:p>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hint="eastAsia" w:ascii="Arial"/>
        </w:rPr>
      </w:pPr>
    </w:p>
    <w:p>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18"/>
      </w:pPr>
    </w:p>
    <w:p>
      <w:pPr>
        <w:pStyle w:val="18"/>
      </w:pPr>
    </w:p>
    <w:p>
      <w:pPr>
        <w:spacing w:before="140" w:line="220" w:lineRule="auto"/>
        <w:ind w:left="2" w:firstLine="464" w:firstLineChars="200"/>
        <w:rPr>
          <w:rFonts w:hint="eastAsia" w:ascii="宋体" w:hAnsi="宋体" w:eastAsia="宋体" w:cs="宋体"/>
          <w:spacing w:val="-2"/>
          <w:szCs w:val="21"/>
        </w:rPr>
        <w:sectPr>
          <w:footerReference r:id="rId33"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ascii="Calibri" w:hAnsi="Calibri" w:eastAsia="宋体" w:cs="Times New Roman"/>
          <w:szCs w:val="20"/>
        </w:rPr>
      </w:pPr>
    </w:p>
    <w:tbl>
      <w:tblPr>
        <w:tblStyle w:val="37"/>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sz w:val="24"/>
                <w:szCs w:val="24"/>
                <w:u w:val="single"/>
              </w:rPr>
              <w:t>曲轴、连杆检测能力提升项目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hint="eastAsia" w:ascii="Arial"/>
        </w:rPr>
      </w:pPr>
    </w:p>
    <w:p>
      <w:pPr>
        <w:spacing w:before="75" w:line="228" w:lineRule="auto"/>
        <w:ind w:left="134"/>
        <w:rPr>
          <w:rFonts w:hint="eastAsia"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szCs w:val="24"/>
          <w:u w:val="single"/>
        </w:rPr>
        <w:t>曲轴、连杆检测能力提升项目</w:t>
      </w:r>
    </w:p>
    <w:p>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Pr>
        <w:rPr>
          <w:rFonts w:hint="eastAsia"/>
        </w:rPr>
      </w:pPr>
    </w:p>
    <w:p>
      <w:pPr>
        <w:spacing w:line="109" w:lineRule="exact"/>
        <w:rPr>
          <w:rFonts w:hint="eastAsia"/>
        </w:rPr>
      </w:pPr>
    </w:p>
    <w:tbl>
      <w:tblPr>
        <w:tblStyle w:val="128"/>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rPr>
          <w:trHeight w:val="4186" w:hRule="atLeast"/>
        </w:trPr>
        <w:tc>
          <w:tcPr>
            <w:tcW w:w="9289" w:type="dxa"/>
          </w:tcPr>
          <w:p>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eastAsia="宋体"/>
          <w:sz w:val="24"/>
          <w:szCs w:val="24"/>
        </w:rPr>
        <w:sectPr>
          <w:footerReference r:id="rId34"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ascii="宋体" w:hAnsi="Calibri" w:eastAsia="宋体" w:cs="Times New Roman"/>
          <w:sz w:val="24"/>
          <w:szCs w:val="20"/>
        </w:rPr>
      </w:pPr>
      <w:r>
        <w:rPr>
          <w:rFonts w:hint="eastAsia" w:ascii="宋体" w:hAnsi="宋体" w:eastAsia="宋体" w:cs="Times New Roman"/>
          <w:sz w:val="24"/>
          <w:szCs w:val="20"/>
        </w:rPr>
        <w:t>项目名称：</w:t>
      </w:r>
      <w:r>
        <w:rPr>
          <w:rFonts w:hint="eastAsia" w:ascii="宋体" w:hAnsi="宋体" w:eastAsia="宋体" w:cs="宋体"/>
          <w:sz w:val="24"/>
          <w:szCs w:val="24"/>
          <w:u w:val="single"/>
        </w:rPr>
        <w:t>曲轴、连杆检测能力提升项目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我代表（投标人名称）对中标合同产品的服务作如下承诺：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18"/>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7"/>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r>
              <w:rPr>
                <w:rFonts w:hint="eastAsia" w:ascii="宋体" w:hAnsi="宋体" w:eastAsia="宋体" w:cs="宋体"/>
                <w:b/>
                <w:szCs w:val="20"/>
              </w:rPr>
              <w:t>项目名称：</w:t>
            </w:r>
            <w:r>
              <w:rPr>
                <w:rFonts w:hint="eastAsia" w:ascii="宋体" w:hAnsi="宋体" w:eastAsia="宋体" w:cs="宋体"/>
                <w:sz w:val="24"/>
                <w:szCs w:val="24"/>
                <w:u w:val="single"/>
              </w:rPr>
              <w:t>曲轴、连杆检测能力提升项目</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18"/>
      </w:pPr>
    </w:p>
    <w:p>
      <w:pPr>
        <w:jc w:val="right"/>
        <w:rPr>
          <w:rFonts w:hint="eastAsia" w:asciiTheme="minorEastAsia" w:hAnsiTheme="minorEastAsia" w:cstheme="minorEastAsia"/>
          <w:sz w:val="20"/>
          <w:szCs w:val="20"/>
        </w:rPr>
      </w:pPr>
    </w:p>
    <w:p>
      <w:pPr>
        <w:jc w:val="right"/>
        <w:rPr>
          <w:rFonts w:hint="eastAsia" w:asciiTheme="minorEastAsia" w:hAnsiTheme="minorEastAsia" w:cstheme="minorEastAsia"/>
          <w:sz w:val="20"/>
          <w:szCs w:val="20"/>
        </w:rPr>
      </w:pPr>
    </w:p>
    <w:p>
      <w:pPr>
        <w:rPr>
          <w:rFonts w:hint="eastAsia"/>
        </w:rPr>
        <w:sectPr>
          <w:headerReference r:id="rId36" w:type="first"/>
          <w:footerReference r:id="rId38" w:type="first"/>
          <w:headerReference r:id="rId35" w:type="default"/>
          <w:footerReference r:id="rId37" w:type="default"/>
          <w:pgSz w:w="11906" w:h="16838"/>
          <w:pgMar w:top="1588" w:right="1418" w:bottom="1134" w:left="1418" w:header="851" w:footer="992" w:gutter="0"/>
          <w:cols w:space="720" w:num="1"/>
          <w:titlePg/>
          <w:docGrid w:type="lines" w:linePitch="312" w:charSpace="0"/>
        </w:sectPr>
      </w:pPr>
    </w:p>
    <w:p>
      <w:pPr>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附件14技术标评分标准</w:t>
      </w:r>
    </w:p>
    <w:p>
      <w:pPr>
        <w:rPr>
          <w:rFonts w:hint="eastAsia" w:ascii="宋体" w:hAnsi="宋体" w:eastAsia="宋体" w:cs="Times New Roman"/>
          <w:b/>
          <w:bCs/>
          <w:sz w:val="24"/>
          <w:szCs w:val="24"/>
        </w:rPr>
      </w:pPr>
    </w:p>
    <w:tbl>
      <w:tblPr>
        <w:tblStyle w:val="37"/>
        <w:tblW w:w="93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0"/>
        <w:gridCol w:w="552"/>
        <w:gridCol w:w="554"/>
        <w:gridCol w:w="2213"/>
        <w:gridCol w:w="582"/>
        <w:gridCol w:w="4796"/>
      </w:tblGrid>
      <w:tr>
        <w:trPr>
          <w:cantSplit/>
          <w:trHeight w:val="1251" w:hRule="atLeast"/>
          <w:jc w:val="center"/>
        </w:trPr>
        <w:tc>
          <w:tcPr>
            <w:tcW w:w="660"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评价类型</w:t>
            </w:r>
          </w:p>
        </w:tc>
        <w:tc>
          <w:tcPr>
            <w:tcW w:w="552"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评审内容</w:t>
            </w:r>
          </w:p>
        </w:tc>
        <w:tc>
          <w:tcPr>
            <w:tcW w:w="554"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序号</w:t>
            </w:r>
          </w:p>
        </w:tc>
        <w:tc>
          <w:tcPr>
            <w:tcW w:w="2213"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内   容</w:t>
            </w:r>
          </w:p>
        </w:tc>
        <w:tc>
          <w:tcPr>
            <w:tcW w:w="582"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标准分</w:t>
            </w:r>
          </w:p>
        </w:tc>
        <w:tc>
          <w:tcPr>
            <w:tcW w:w="4796"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评分标准</w:t>
            </w:r>
          </w:p>
        </w:tc>
      </w:tr>
      <w:tr>
        <w:trPr>
          <w:cantSplit/>
          <w:trHeight w:val="1750" w:hRule="atLeast"/>
          <w:jc w:val="center"/>
        </w:trPr>
        <w:tc>
          <w:tcPr>
            <w:tcW w:w="660" w:type="dxa"/>
            <w:vMerge w:val="restart"/>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技术标</w:t>
            </w:r>
          </w:p>
          <w:p>
            <w:pPr>
              <w:tabs>
                <w:tab w:val="left" w:pos="13965"/>
              </w:tabs>
              <w:jc w:val="center"/>
              <w:rPr>
                <w:rFonts w:hint="eastAsia" w:ascii="宋体" w:hAnsi="宋体" w:cs="Times New Roman"/>
                <w:sz w:val="18"/>
                <w:szCs w:val="18"/>
              </w:rPr>
            </w:pPr>
            <w:r>
              <w:rPr>
                <w:rFonts w:hint="eastAsia" w:ascii="宋体" w:hAnsi="宋体" w:cs="Times New Roman"/>
                <w:sz w:val="18"/>
                <w:szCs w:val="18"/>
              </w:rPr>
              <w:t>100分</w:t>
            </w:r>
          </w:p>
        </w:tc>
        <w:tc>
          <w:tcPr>
            <w:tcW w:w="552"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业绩</w:t>
            </w:r>
          </w:p>
        </w:tc>
        <w:tc>
          <w:tcPr>
            <w:tcW w:w="554"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1</w:t>
            </w:r>
          </w:p>
        </w:tc>
        <w:tc>
          <w:tcPr>
            <w:tcW w:w="2213"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设备制造商同 类型项目业绩</w:t>
            </w:r>
          </w:p>
        </w:tc>
        <w:tc>
          <w:tcPr>
            <w:tcW w:w="582"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6</w:t>
            </w:r>
          </w:p>
        </w:tc>
        <w:tc>
          <w:tcPr>
            <w:tcW w:w="4796"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由评标委员会成员独立进行客观、公正的评价，按照优、良、一般进行赋分，优得6分，良得4分， 一般得2分(时间以签订日期为准)。投标人在2022年1月1日以来在中国与本标同类规格产品的业绩，以合同复印件加盖公章为准(须有客户联系方式及联系人以供招标人核实确认)。</w:t>
            </w:r>
          </w:p>
        </w:tc>
      </w:tr>
      <w:tr>
        <w:trPr>
          <w:cantSplit/>
          <w:trHeight w:val="1087" w:hRule="atLeast"/>
          <w:jc w:val="center"/>
        </w:trPr>
        <w:tc>
          <w:tcPr>
            <w:tcW w:w="660" w:type="dxa"/>
            <w:vMerge w:val="continue"/>
            <w:vAlign w:val="center"/>
          </w:tcPr>
          <w:p>
            <w:pPr>
              <w:tabs>
                <w:tab w:val="left" w:pos="13965"/>
              </w:tabs>
              <w:jc w:val="center"/>
              <w:rPr>
                <w:rFonts w:hint="eastAsia" w:ascii="宋体" w:hAnsi="宋体" w:cs="Times New Roman"/>
                <w:sz w:val="18"/>
                <w:szCs w:val="18"/>
              </w:rPr>
            </w:pPr>
          </w:p>
        </w:tc>
        <w:tc>
          <w:tcPr>
            <w:tcW w:w="552" w:type="dxa"/>
            <w:vMerge w:val="restart"/>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产品技术</w:t>
            </w:r>
          </w:p>
        </w:tc>
        <w:tc>
          <w:tcPr>
            <w:tcW w:w="554"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2</w:t>
            </w:r>
          </w:p>
        </w:tc>
        <w:tc>
          <w:tcPr>
            <w:tcW w:w="2213"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设备制造商装备制造能力、生产设备、加工工艺、完善程度</w:t>
            </w:r>
          </w:p>
        </w:tc>
        <w:tc>
          <w:tcPr>
            <w:tcW w:w="582"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6</w:t>
            </w:r>
          </w:p>
        </w:tc>
        <w:tc>
          <w:tcPr>
            <w:tcW w:w="4796"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由评标委员会成员独立进行客观、公正的评价，按照优、良、一般进行赋分，优得6分，良得4分，一般得2分。</w:t>
            </w:r>
          </w:p>
        </w:tc>
      </w:tr>
      <w:tr>
        <w:trPr>
          <w:cantSplit/>
          <w:trHeight w:val="2619" w:hRule="atLeast"/>
          <w:jc w:val="center"/>
        </w:trPr>
        <w:tc>
          <w:tcPr>
            <w:tcW w:w="660" w:type="dxa"/>
            <w:vMerge w:val="continue"/>
            <w:vAlign w:val="center"/>
          </w:tcPr>
          <w:p>
            <w:pPr>
              <w:tabs>
                <w:tab w:val="left" w:pos="13965"/>
              </w:tabs>
              <w:jc w:val="center"/>
              <w:rPr>
                <w:rFonts w:hint="eastAsia" w:ascii="宋体" w:hAnsi="宋体" w:cs="Times New Roman"/>
                <w:sz w:val="18"/>
                <w:szCs w:val="18"/>
              </w:rPr>
            </w:pPr>
          </w:p>
        </w:tc>
        <w:tc>
          <w:tcPr>
            <w:tcW w:w="552" w:type="dxa"/>
            <w:vMerge w:val="continue"/>
            <w:vAlign w:val="center"/>
          </w:tcPr>
          <w:p>
            <w:pPr>
              <w:tabs>
                <w:tab w:val="left" w:pos="13965"/>
              </w:tabs>
              <w:jc w:val="center"/>
              <w:rPr>
                <w:rFonts w:hint="eastAsia" w:ascii="宋体" w:hAnsi="宋体" w:cs="Times New Roman"/>
                <w:sz w:val="18"/>
                <w:szCs w:val="18"/>
              </w:rPr>
            </w:pPr>
          </w:p>
        </w:tc>
        <w:tc>
          <w:tcPr>
            <w:tcW w:w="554"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3</w:t>
            </w:r>
          </w:p>
        </w:tc>
        <w:tc>
          <w:tcPr>
            <w:tcW w:w="2213"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产品方案技术先进、各系统完善、性能可靠，设备主要核心部件，具备自身技术优势</w:t>
            </w:r>
          </w:p>
        </w:tc>
        <w:tc>
          <w:tcPr>
            <w:tcW w:w="582"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50</w:t>
            </w:r>
          </w:p>
        </w:tc>
        <w:tc>
          <w:tcPr>
            <w:tcW w:w="4796"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以下各项由评标委员会成员独立进行客观、公正的评价打分。</w:t>
            </w:r>
          </w:p>
          <w:p>
            <w:pPr>
              <w:tabs>
                <w:tab w:val="left" w:pos="13965"/>
              </w:tabs>
              <w:jc w:val="center"/>
              <w:rPr>
                <w:rFonts w:hint="eastAsia" w:ascii="宋体" w:hAnsi="宋体" w:cs="Times New Roman"/>
                <w:sz w:val="18"/>
                <w:szCs w:val="18"/>
              </w:rPr>
            </w:pPr>
            <w:r>
              <w:rPr>
                <w:rFonts w:hint="eastAsia" w:ascii="宋体" w:hAnsi="宋体" w:cs="Times New Roman"/>
                <w:sz w:val="18"/>
                <w:szCs w:val="18"/>
              </w:rPr>
              <w:t>①定制系统方案已到达招标要求，设备主要核心部件，具备自身技术优势，打分0-16分。</w:t>
            </w:r>
          </w:p>
          <w:p>
            <w:pPr>
              <w:tabs>
                <w:tab w:val="left" w:pos="13965"/>
              </w:tabs>
              <w:jc w:val="center"/>
              <w:rPr>
                <w:rFonts w:hint="eastAsia" w:ascii="宋体" w:hAnsi="宋体" w:cs="Times New Roman"/>
                <w:sz w:val="18"/>
                <w:szCs w:val="18"/>
              </w:rPr>
            </w:pPr>
            <w:r>
              <w:rPr>
                <w:rFonts w:hint="eastAsia" w:ascii="宋体" w:hAnsi="宋体" w:cs="Times New Roman"/>
                <w:sz w:val="18"/>
                <w:szCs w:val="18"/>
              </w:rPr>
              <w:t>②系统配置齐全，其精度、参数、技术水平、可靠性等优势明显，打分0-16分。</w:t>
            </w:r>
          </w:p>
          <w:p>
            <w:pPr>
              <w:tabs>
                <w:tab w:val="left" w:pos="13965"/>
              </w:tabs>
              <w:jc w:val="center"/>
              <w:rPr>
                <w:rFonts w:hint="eastAsia" w:ascii="宋体" w:hAnsi="宋体" w:cs="Times New Roman"/>
                <w:sz w:val="18"/>
                <w:szCs w:val="18"/>
              </w:rPr>
            </w:pPr>
            <w:r>
              <w:rPr>
                <w:rFonts w:hint="eastAsia" w:ascii="宋体" w:hAnsi="宋体" w:cs="Times New Roman"/>
                <w:sz w:val="18"/>
                <w:szCs w:val="18"/>
              </w:rPr>
              <w:t>③操作灵活方便，系统开放程度高，打分0-10分。</w:t>
            </w:r>
          </w:p>
          <w:p>
            <w:pPr>
              <w:tabs>
                <w:tab w:val="left" w:pos="13965"/>
              </w:tabs>
              <w:jc w:val="center"/>
              <w:rPr>
                <w:rFonts w:hint="eastAsia" w:ascii="宋体" w:hAnsi="宋体" w:cs="Times New Roman"/>
                <w:sz w:val="18"/>
                <w:szCs w:val="18"/>
              </w:rPr>
            </w:pPr>
            <w:r>
              <w:rPr>
                <w:rFonts w:hint="eastAsia" w:ascii="宋体" w:hAnsi="宋体" w:cs="Times New Roman"/>
                <w:sz w:val="18"/>
                <w:szCs w:val="18"/>
              </w:rPr>
              <w:t>④综合评价，打分0-8分。</w:t>
            </w:r>
          </w:p>
        </w:tc>
      </w:tr>
      <w:tr>
        <w:trPr>
          <w:cantSplit/>
          <w:trHeight w:val="800" w:hRule="atLeast"/>
          <w:jc w:val="center"/>
        </w:trPr>
        <w:tc>
          <w:tcPr>
            <w:tcW w:w="660" w:type="dxa"/>
            <w:vMerge w:val="continue"/>
            <w:vAlign w:val="center"/>
          </w:tcPr>
          <w:p>
            <w:pPr>
              <w:tabs>
                <w:tab w:val="left" w:pos="13965"/>
              </w:tabs>
              <w:jc w:val="center"/>
              <w:rPr>
                <w:rFonts w:hint="eastAsia" w:ascii="宋体" w:hAnsi="宋体" w:cs="Times New Roman"/>
                <w:sz w:val="18"/>
                <w:szCs w:val="18"/>
              </w:rPr>
            </w:pPr>
          </w:p>
        </w:tc>
        <w:tc>
          <w:tcPr>
            <w:tcW w:w="552"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答疑</w:t>
            </w:r>
          </w:p>
        </w:tc>
        <w:tc>
          <w:tcPr>
            <w:tcW w:w="554"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4</w:t>
            </w:r>
          </w:p>
        </w:tc>
        <w:tc>
          <w:tcPr>
            <w:tcW w:w="2213"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现场答疑</w:t>
            </w:r>
          </w:p>
        </w:tc>
        <w:tc>
          <w:tcPr>
            <w:tcW w:w="582"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8</w:t>
            </w:r>
          </w:p>
        </w:tc>
        <w:tc>
          <w:tcPr>
            <w:tcW w:w="4796"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投标人代表对方案、技术优势的讲解，</w:t>
            </w:r>
          </w:p>
          <w:p>
            <w:pPr>
              <w:tabs>
                <w:tab w:val="left" w:pos="13965"/>
              </w:tabs>
              <w:jc w:val="center"/>
              <w:rPr>
                <w:rFonts w:hint="eastAsia" w:ascii="宋体" w:hAnsi="宋体" w:cs="Times New Roman"/>
                <w:sz w:val="18"/>
                <w:szCs w:val="18"/>
              </w:rPr>
            </w:pPr>
            <w:r>
              <w:rPr>
                <w:rFonts w:hint="eastAsia" w:ascii="宋体" w:hAnsi="宋体" w:cs="Times New Roman"/>
                <w:sz w:val="18"/>
                <w:szCs w:val="18"/>
              </w:rPr>
              <w:t>以及就该项目难点回答评标专家现场提问，打分0-8分。</w:t>
            </w:r>
          </w:p>
        </w:tc>
      </w:tr>
      <w:tr>
        <w:trPr>
          <w:cantSplit/>
          <w:trHeight w:val="1411" w:hRule="atLeast"/>
          <w:jc w:val="center"/>
        </w:trPr>
        <w:tc>
          <w:tcPr>
            <w:tcW w:w="660" w:type="dxa"/>
            <w:vMerge w:val="continue"/>
            <w:vAlign w:val="center"/>
          </w:tcPr>
          <w:p>
            <w:pPr>
              <w:tabs>
                <w:tab w:val="left" w:pos="13965"/>
              </w:tabs>
              <w:jc w:val="center"/>
              <w:rPr>
                <w:rFonts w:hint="eastAsia" w:ascii="宋体" w:hAnsi="宋体" w:cs="Times New Roman"/>
                <w:sz w:val="18"/>
                <w:szCs w:val="18"/>
              </w:rPr>
            </w:pPr>
          </w:p>
        </w:tc>
        <w:tc>
          <w:tcPr>
            <w:tcW w:w="552"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技术偏离</w:t>
            </w:r>
          </w:p>
        </w:tc>
        <w:tc>
          <w:tcPr>
            <w:tcW w:w="554"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5</w:t>
            </w:r>
          </w:p>
        </w:tc>
        <w:tc>
          <w:tcPr>
            <w:tcW w:w="2213"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技术偏离</w:t>
            </w:r>
          </w:p>
        </w:tc>
        <w:tc>
          <w:tcPr>
            <w:tcW w:w="582"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12</w:t>
            </w:r>
          </w:p>
        </w:tc>
        <w:tc>
          <w:tcPr>
            <w:tcW w:w="4796"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由评标委员会成员独立进行客观、公正的评价，根据各投标人的核心产品的配置参数、技术偏离情况，在满足我司技术基本要求的前提下偏离，无偏离得满分12分，较大偏离每一项扣4分，一般偏离每一项扣2分，最低0分。</w:t>
            </w:r>
          </w:p>
        </w:tc>
      </w:tr>
      <w:tr>
        <w:trPr>
          <w:cantSplit/>
          <w:trHeight w:val="1123" w:hRule="atLeast"/>
          <w:jc w:val="center"/>
        </w:trPr>
        <w:tc>
          <w:tcPr>
            <w:tcW w:w="660" w:type="dxa"/>
            <w:vMerge w:val="continue"/>
            <w:vAlign w:val="center"/>
          </w:tcPr>
          <w:p>
            <w:pPr>
              <w:tabs>
                <w:tab w:val="left" w:pos="13965"/>
              </w:tabs>
              <w:jc w:val="center"/>
              <w:rPr>
                <w:rFonts w:hint="eastAsia" w:ascii="宋体" w:hAnsi="宋体" w:cs="Times New Roman"/>
                <w:sz w:val="18"/>
                <w:szCs w:val="18"/>
              </w:rPr>
            </w:pPr>
          </w:p>
        </w:tc>
        <w:tc>
          <w:tcPr>
            <w:tcW w:w="552" w:type="dxa"/>
            <w:vMerge w:val="restart"/>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售后服务</w:t>
            </w:r>
          </w:p>
        </w:tc>
        <w:tc>
          <w:tcPr>
            <w:tcW w:w="554"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6</w:t>
            </w:r>
          </w:p>
        </w:tc>
        <w:tc>
          <w:tcPr>
            <w:tcW w:w="2213"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技 术 培 训 方 案：对招标方 人员的技术培 训方案安排科 学、合理、可 行</w:t>
            </w:r>
          </w:p>
        </w:tc>
        <w:tc>
          <w:tcPr>
            <w:tcW w:w="582"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6</w:t>
            </w:r>
          </w:p>
        </w:tc>
        <w:tc>
          <w:tcPr>
            <w:tcW w:w="4796"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由评标委员会成员独立进行客观、公正的评价，按照优、良、一般进行赋分，优得6分，良得4分，一般得2分。</w:t>
            </w:r>
          </w:p>
        </w:tc>
      </w:tr>
      <w:tr>
        <w:trPr>
          <w:cantSplit/>
          <w:trHeight w:val="1082" w:hRule="atLeast"/>
          <w:jc w:val="center"/>
        </w:trPr>
        <w:tc>
          <w:tcPr>
            <w:tcW w:w="660" w:type="dxa"/>
            <w:vMerge w:val="continue"/>
            <w:vAlign w:val="center"/>
          </w:tcPr>
          <w:p>
            <w:pPr>
              <w:tabs>
                <w:tab w:val="left" w:pos="13965"/>
              </w:tabs>
              <w:jc w:val="center"/>
              <w:rPr>
                <w:rFonts w:hint="eastAsia" w:ascii="宋体" w:hAnsi="宋体" w:cs="Times New Roman"/>
                <w:sz w:val="18"/>
                <w:szCs w:val="18"/>
              </w:rPr>
            </w:pPr>
          </w:p>
        </w:tc>
        <w:tc>
          <w:tcPr>
            <w:tcW w:w="552" w:type="dxa"/>
            <w:vMerge w:val="continue"/>
            <w:vAlign w:val="center"/>
          </w:tcPr>
          <w:p>
            <w:pPr>
              <w:tabs>
                <w:tab w:val="left" w:pos="13965"/>
              </w:tabs>
              <w:jc w:val="center"/>
              <w:rPr>
                <w:rFonts w:hint="eastAsia" w:ascii="宋体" w:hAnsi="宋体" w:cs="Times New Roman"/>
                <w:sz w:val="18"/>
                <w:szCs w:val="18"/>
              </w:rPr>
            </w:pPr>
          </w:p>
        </w:tc>
        <w:tc>
          <w:tcPr>
            <w:tcW w:w="554"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7</w:t>
            </w:r>
          </w:p>
        </w:tc>
        <w:tc>
          <w:tcPr>
            <w:tcW w:w="2213"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安装调试方案：有详尽的安装调试计划及方案，方案科学合理，可实施性强。</w:t>
            </w:r>
          </w:p>
        </w:tc>
        <w:tc>
          <w:tcPr>
            <w:tcW w:w="582"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6</w:t>
            </w:r>
          </w:p>
        </w:tc>
        <w:tc>
          <w:tcPr>
            <w:tcW w:w="4796"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由评标委员会成员独立进行客观、公正的评价，按照优、良、一般进行赋分，优得6分，良得4分，一般得2分。</w:t>
            </w:r>
          </w:p>
        </w:tc>
      </w:tr>
      <w:tr>
        <w:trPr>
          <w:cantSplit/>
          <w:trHeight w:val="1302" w:hRule="atLeast"/>
          <w:jc w:val="center"/>
        </w:trPr>
        <w:tc>
          <w:tcPr>
            <w:tcW w:w="660" w:type="dxa"/>
            <w:vMerge w:val="continue"/>
            <w:vAlign w:val="center"/>
          </w:tcPr>
          <w:p>
            <w:pPr>
              <w:tabs>
                <w:tab w:val="left" w:pos="13965"/>
              </w:tabs>
              <w:jc w:val="center"/>
              <w:rPr>
                <w:rFonts w:hint="eastAsia" w:ascii="宋体" w:hAnsi="宋体" w:cs="Times New Roman"/>
                <w:sz w:val="18"/>
                <w:szCs w:val="18"/>
              </w:rPr>
            </w:pPr>
          </w:p>
        </w:tc>
        <w:tc>
          <w:tcPr>
            <w:tcW w:w="552" w:type="dxa"/>
            <w:vMerge w:val="continue"/>
            <w:vAlign w:val="center"/>
          </w:tcPr>
          <w:p>
            <w:pPr>
              <w:tabs>
                <w:tab w:val="left" w:pos="13965"/>
              </w:tabs>
              <w:jc w:val="center"/>
              <w:rPr>
                <w:rFonts w:hint="eastAsia" w:ascii="宋体" w:hAnsi="宋体" w:cs="Times New Roman"/>
                <w:sz w:val="18"/>
                <w:szCs w:val="18"/>
              </w:rPr>
            </w:pPr>
          </w:p>
        </w:tc>
        <w:tc>
          <w:tcPr>
            <w:tcW w:w="554"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8</w:t>
            </w:r>
          </w:p>
        </w:tc>
        <w:tc>
          <w:tcPr>
            <w:tcW w:w="2213"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售后服务及时周到，有相应 的服务承诺和具体的保证措施</w:t>
            </w:r>
          </w:p>
        </w:tc>
        <w:tc>
          <w:tcPr>
            <w:tcW w:w="582"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6</w:t>
            </w:r>
          </w:p>
        </w:tc>
        <w:tc>
          <w:tcPr>
            <w:tcW w:w="4796"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由评标委员会成员独立进行客观、公正的评价，按照优、良、一般进行赋分，优得6分，良得4分，一般得2分。</w:t>
            </w:r>
          </w:p>
        </w:tc>
      </w:tr>
      <w:tr>
        <w:trPr>
          <w:cantSplit/>
          <w:trHeight w:val="1958" w:hRule="atLeast"/>
          <w:jc w:val="center"/>
        </w:trPr>
        <w:tc>
          <w:tcPr>
            <w:tcW w:w="660"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商务标100分</w:t>
            </w:r>
          </w:p>
        </w:tc>
        <w:tc>
          <w:tcPr>
            <w:tcW w:w="8697" w:type="dxa"/>
            <w:gridSpan w:val="5"/>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 xml:space="preserve">评标基准价： </w:t>
            </w:r>
          </w:p>
          <w:p>
            <w:pPr>
              <w:tabs>
                <w:tab w:val="left" w:pos="13965"/>
              </w:tabs>
              <w:jc w:val="center"/>
              <w:rPr>
                <w:rFonts w:hint="eastAsia" w:ascii="宋体" w:hAnsi="宋体" w:cs="Times New Roman"/>
                <w:sz w:val="18"/>
                <w:szCs w:val="18"/>
              </w:rPr>
            </w:pPr>
            <w:r>
              <w:rPr>
                <w:rFonts w:hint="eastAsia" w:ascii="宋体" w:hAnsi="宋体" w:cs="Times New Roman"/>
                <w:sz w:val="18"/>
                <w:szCs w:val="18"/>
              </w:rPr>
              <w:t>1、评标基准价为所有合理有效的最终投标报价的最低价。</w:t>
            </w:r>
          </w:p>
          <w:p>
            <w:pPr>
              <w:tabs>
                <w:tab w:val="left" w:pos="13965"/>
              </w:tabs>
              <w:jc w:val="center"/>
              <w:rPr>
                <w:rFonts w:hint="eastAsia" w:ascii="宋体" w:hAnsi="宋体" w:cs="Times New Roman"/>
                <w:sz w:val="18"/>
                <w:szCs w:val="18"/>
              </w:rPr>
            </w:pPr>
            <w:r>
              <w:rPr>
                <w:rFonts w:hint="eastAsia" w:ascii="宋体" w:hAnsi="宋体" w:cs="Times New Roman"/>
                <w:sz w:val="18"/>
                <w:szCs w:val="18"/>
              </w:rPr>
              <w:t>2、有效的评标基准价得100分；其他投标人的价格得分按下列公式计算：投标价格得分=100×（评标基准价/投标报价）。</w:t>
            </w:r>
          </w:p>
          <w:p>
            <w:pPr>
              <w:tabs>
                <w:tab w:val="left" w:pos="13965"/>
              </w:tabs>
              <w:jc w:val="center"/>
              <w:rPr>
                <w:rFonts w:hint="eastAsia" w:ascii="宋体" w:hAnsi="宋体" w:cs="Times New Roman"/>
                <w:sz w:val="18"/>
                <w:szCs w:val="18"/>
              </w:rPr>
            </w:pPr>
            <w:r>
              <w:rPr>
                <w:rFonts w:hint="eastAsia" w:ascii="宋体" w:hAnsi="宋体" w:cs="Times New Roman"/>
                <w:sz w:val="18"/>
                <w:szCs w:val="18"/>
              </w:rPr>
              <w:t xml:space="preserve">注：得分值取小数点后两位，不足一个百分点的，按照四舍五入法计算。 </w:t>
            </w:r>
          </w:p>
        </w:tc>
      </w:tr>
      <w:tr>
        <w:trPr>
          <w:cantSplit/>
          <w:trHeight w:val="1049" w:hRule="atLeast"/>
          <w:jc w:val="center"/>
        </w:trPr>
        <w:tc>
          <w:tcPr>
            <w:tcW w:w="660" w:type="dxa"/>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综合得分</w:t>
            </w:r>
          </w:p>
        </w:tc>
        <w:tc>
          <w:tcPr>
            <w:tcW w:w="8697" w:type="dxa"/>
            <w:gridSpan w:val="5"/>
            <w:vAlign w:val="center"/>
          </w:tcPr>
          <w:p>
            <w:pPr>
              <w:tabs>
                <w:tab w:val="left" w:pos="13965"/>
              </w:tabs>
              <w:jc w:val="center"/>
              <w:rPr>
                <w:rFonts w:hint="eastAsia" w:ascii="宋体" w:hAnsi="宋体" w:cs="Times New Roman"/>
                <w:sz w:val="18"/>
                <w:szCs w:val="18"/>
              </w:rPr>
            </w:pPr>
            <w:r>
              <w:rPr>
                <w:rFonts w:hint="eastAsia" w:ascii="宋体" w:hAnsi="宋体" w:cs="Times New Roman"/>
                <w:sz w:val="18"/>
                <w:szCs w:val="18"/>
              </w:rPr>
              <w:tab/>
            </w:r>
            <w:r>
              <w:rPr>
                <w:rFonts w:hint="eastAsia" w:ascii="宋体" w:hAnsi="宋体" w:cs="Times New Roman"/>
                <w:sz w:val="18"/>
                <w:szCs w:val="18"/>
              </w:rPr>
              <w:t>综合得分=技术标得分×30%＋商务标得分×70%</w:t>
            </w:r>
          </w:p>
        </w:tc>
      </w:tr>
    </w:tbl>
    <w:p>
      <w:pPr>
        <w:pStyle w:val="18"/>
        <w:sectPr>
          <w:pgSz w:w="11906" w:h="16838"/>
          <w:pgMar w:top="1588" w:right="1418" w:bottom="1134" w:left="1418" w:header="851" w:footer="992" w:gutter="0"/>
          <w:cols w:space="720" w:num="1"/>
          <w:titlePg/>
          <w:docGrid w:type="lines" w:linePitch="312" w:charSpace="0"/>
        </w:sectPr>
      </w:pPr>
    </w:p>
    <w:p>
      <w:pPr>
        <w:pStyle w:val="18"/>
      </w:pPr>
    </w:p>
    <w:p>
      <w:pPr>
        <w:rPr>
          <w:rFonts w:hint="eastAsia" w:ascii="宋体" w:hAnsi="宋体" w:eastAsia="宋体" w:cs="宋体"/>
          <w:b/>
          <w:bCs/>
          <w:color w:val="000000"/>
          <w:sz w:val="24"/>
          <w:szCs w:val="24"/>
        </w:rPr>
      </w:pPr>
    </w:p>
    <w:p>
      <w:pPr>
        <w:pStyle w:val="18"/>
        <w:outlineLvl w:val="2"/>
        <w:rPr>
          <w:rFonts w:hint="eastAsia" w:hAnsi="宋体" w:eastAsia="宋体" w:cs="宋体"/>
          <w:b/>
          <w:bCs/>
          <w:color w:val="000000"/>
          <w:sz w:val="24"/>
          <w:szCs w:val="24"/>
        </w:rPr>
      </w:pPr>
      <w:r>
        <w:rPr>
          <w:rFonts w:hint="eastAsia" w:hAnsi="宋体" w:eastAsia="宋体" w:cs="宋体"/>
          <w:b/>
          <w:bCs/>
          <w:color w:val="000000"/>
          <w:sz w:val="24"/>
          <w:szCs w:val="24"/>
        </w:rPr>
        <w:t>附件15 SRM非生产供应商注册操作手册</w:t>
      </w:r>
    </w:p>
    <w:p>
      <w:pPr>
        <w:pStyle w:val="18"/>
        <w:rPr>
          <w:rFonts w:eastAsia="宋体"/>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44"/>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45"/>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46"/>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47"/>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pStyle w:val="18"/>
      </w:pPr>
    </w:p>
    <w:p>
      <w:pPr>
        <w:rPr>
          <w:rFonts w:hint="eastAsia"/>
        </w:rPr>
      </w:pPr>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48"/>
                    <a:stretch>
                      <a:fillRect/>
                    </a:stretch>
                  </pic:blipFill>
                  <pic:spPr>
                    <a:xfrm>
                      <a:off x="0" y="0"/>
                      <a:ext cx="5760085" cy="2810122"/>
                    </a:xfrm>
                    <a:prstGeom prst="rect">
                      <a:avLst/>
                    </a:prstGeom>
                  </pic:spPr>
                </pic:pic>
              </a:graphicData>
            </a:graphic>
          </wp:inline>
        </w:drawing>
      </w:r>
    </w:p>
    <w:p>
      <w:pPr>
        <w:pStyle w:val="18"/>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49"/>
                    <a:stretch>
                      <a:fillRect/>
                    </a:stretch>
                  </pic:blipFill>
                  <pic:spPr>
                    <a:xfrm>
                      <a:off x="0" y="0"/>
                      <a:ext cx="5760085" cy="2820042"/>
                    </a:xfrm>
                    <a:prstGeom prst="rect">
                      <a:avLst/>
                    </a:prstGeom>
                  </pic:spPr>
                </pic:pic>
              </a:graphicData>
            </a:graphic>
          </wp:inline>
        </w:drawing>
      </w:r>
    </w:p>
    <w:p>
      <w:pPr>
        <w:pStyle w:val="18"/>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18"/>
      </w:pPr>
      <w:r>
        <w:rPr>
          <w:rFonts w:hint="eastAsia" w:hAnsi="宋体" w:eastAsia="宋体" w:cs="宋体"/>
          <w:b/>
          <w:bCs/>
          <w:color w:val="000000"/>
          <w:sz w:val="24"/>
          <w:szCs w:val="28"/>
          <w:highlight w:val="yellow"/>
        </w:rPr>
        <w:t>2.配套能力“供货类别”填“工艺装备”，业务主管部门选择“工艺工匠研究院”。</w:t>
      </w:r>
    </w:p>
    <w:p>
      <w:pPr>
        <w:pStyle w:val="18"/>
        <w:sectPr>
          <w:pgSz w:w="11906" w:h="16838"/>
          <w:pgMar w:top="1588" w:right="1418" w:bottom="1134" w:left="1418" w:header="851" w:footer="992" w:gutter="0"/>
          <w:cols w:space="720" w:num="1"/>
          <w:titlePg/>
          <w:docGrid w:type="lines" w:linePitch="312" w:charSpace="0"/>
        </w:sectPr>
      </w:pPr>
    </w:p>
    <w:p>
      <w:pPr>
        <w:pStyle w:val="18"/>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5"/>
          <w:rFonts w:hint="eastAsia" w:ascii="宋体" w:hAnsi="宋体" w:eastAsia="宋体" w:cs="宋体"/>
          <w:sz w:val="24"/>
          <w:szCs w:val="24"/>
        </w:rPr>
        <w:t>https://ecaitong.sinotruk.com:8012/</w:t>
      </w:r>
      <w:r>
        <w:rPr>
          <w:rStyle w:val="45"/>
          <w:rFonts w:hint="eastAsia" w:ascii="宋体" w:hAnsi="宋体" w:eastAsia="宋体" w:cs="宋体"/>
          <w:sz w:val="24"/>
          <w:szCs w:val="24"/>
        </w:rPr>
        <w:fldChar w:fldCharType="end"/>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50"/>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51"/>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pStyle w:val="18"/>
      </w:pPr>
      <w:r>
        <w:rPr>
          <w:rFonts w:hint="eastAsia" w:hAnsi="宋体" w:eastAsia="宋体" w:cs="宋体"/>
          <w:color w:val="000000"/>
          <w:sz w:val="24"/>
          <w:szCs w:val="28"/>
          <w:highlight w:val="yellow"/>
        </w:rPr>
        <w:t>注意：系统内的投标报价单位为“万元”，如开标现场发现填错报价，即直接淘汰。</w:t>
      </w:r>
    </w:p>
    <w:p>
      <w:pPr>
        <w:pStyle w:val="6"/>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52"/>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53"/>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pStyle w:val="6"/>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54"/>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55"/>
                    <a:stretch>
                      <a:fillRect/>
                    </a:stretch>
                  </pic:blipFill>
                  <pic:spPr>
                    <a:xfrm>
                      <a:off x="0" y="0"/>
                      <a:ext cx="5760085" cy="1956600"/>
                    </a:xfrm>
                    <a:prstGeom prst="rect">
                      <a:avLst/>
                    </a:prstGeom>
                  </pic:spPr>
                </pic:pic>
              </a:graphicData>
            </a:graphic>
          </wp:inline>
        </w:drawing>
      </w:r>
    </w:p>
    <w:p>
      <w:pPr>
        <w:pStyle w:val="18"/>
        <w:rPr>
          <w:rFonts w:hint="eastAsia" w:hAnsi="宋体" w:eastAsia="宋体" w:cs="Times New Roman"/>
          <w:b/>
          <w:color w:val="000000"/>
          <w:sz w:val="24"/>
          <w:szCs w:val="24"/>
        </w:rPr>
        <w:sectPr>
          <w:pgSz w:w="11906" w:h="16838"/>
          <w:pgMar w:top="1588" w:right="1418" w:bottom="1134" w:left="1418" w:header="851" w:footer="992" w:gutter="0"/>
          <w:cols w:space="720" w:num="1"/>
          <w:titlePg/>
          <w:docGrid w:type="lines" w:linePitch="312" w:charSpace="0"/>
        </w:sectPr>
      </w:pPr>
    </w:p>
    <w:p>
      <w:pPr>
        <w:pStyle w:val="18"/>
        <w:rPr>
          <w:rFonts w:hint="eastAsia" w:hAnsi="宋体" w:eastAsia="宋体" w:cs="Times New Roman"/>
          <w:b/>
          <w:color w:val="000000"/>
          <w:sz w:val="24"/>
          <w:szCs w:val="24"/>
        </w:rPr>
      </w:pPr>
    </w:p>
    <w:sectPr>
      <w:type w:val="continuous"/>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华文仿宋">
    <w:altName w:val="仿宋"/>
    <w:panose1 w:val="02010600040101010101"/>
    <w:charset w:val="86"/>
    <w:family w:val="auto"/>
    <w:pitch w:val="default"/>
    <w:sig w:usb0="00000000" w:usb1="00000000" w:usb2="00000000" w:usb3="00000000" w:csb0="0004009F" w:csb1="DFD70000"/>
  </w:font>
  <w:font w:name="方正小标宋简体">
    <w:panose1 w:val="02000000000000000000"/>
    <w:charset w:val="86"/>
    <w:family w:val="auto"/>
    <w:pitch w:val="default"/>
    <w:sig w:usb0="A00002BF" w:usb1="184F6CFA" w:usb2="00000012" w:usb3="00000000" w:csb0="00040001"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rPr>
        <w:rFonts w:hint="eastAsia"/>
      </w:rP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43</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rPr>
        <w:rFonts w:hint="eastAsia"/>
      </w:rPr>
    </w:pP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hint="eastAsia"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pStyle w:val="23"/>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rPr>
                              <w:rFonts w:hint="eastAsia"/>
                            </w:rPr>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3"/>
                      <w:rPr>
                        <w:rFonts w:hint="eastAsia"/>
                      </w:rPr>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rPr>
        <w:rFonts w:hint="eastAsia"/>
      </w:rPr>
    </w:pPr>
    <w: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tabs>
        <w:tab w:val="clear" w:pos="4153"/>
      </w:tabs>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rPr>
                              <w:rFonts w:hint="eastAsia"/>
                            </w:rPr>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pPr>
                      <w:pStyle w:val="23"/>
                      <w:rPr>
                        <w:rFonts w:hint="eastAsia"/>
                      </w:rPr>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rPr>
        <w:rFonts w:hint="eastAsia"/>
      </w:rPr>
    </w:pPr>
  </w:p>
  <w:p>
    <w:pPr>
      <w:pStyle w:val="23"/>
      <w:rPr>
        <w:rFonts w:hint="eastAsia"/>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42</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right"/>
      <w:rPr>
        <w:rFonts w:hint="eastAsia"/>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rPr>
                              <w:rFonts w:hint="eastAsia"/>
                            </w:rPr>
                          </w:pPr>
                          <w:r>
                            <w:fldChar w:fldCharType="begin"/>
                          </w:r>
                          <w:r>
                            <w:instrText xml:space="preserve"> PAGE  \* MERGEFORMAT </w:instrText>
                          </w:r>
                          <w:r>
                            <w:fldChar w:fldCharType="separate"/>
                          </w:r>
                          <w:r>
                            <w:t>- 8 -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pPr>
                      <w:pStyle w:val="23"/>
                      <w:rPr>
                        <w:rFonts w:hint="eastAsia"/>
                      </w:rPr>
                    </w:pPr>
                    <w:r>
                      <w:fldChar w:fldCharType="begin"/>
                    </w:r>
                    <w:r>
                      <w:instrText xml:space="preserve"> PAGE  \* MERGEFORMAT </w:instrText>
                    </w:r>
                    <w:r>
                      <w:fldChar w:fldCharType="separate"/>
                    </w:r>
                    <w:r>
                      <w:t>- 8 -</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rPr>
                              <w:rFonts w:hint="eastAsia"/>
                            </w:rPr>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pPr>
                      <w:pStyle w:val="23"/>
                      <w:rPr>
                        <w:rFonts w:hint="eastAsia"/>
                      </w:rPr>
                    </w:pPr>
                    <w:r>
                      <w:fldChar w:fldCharType="begin"/>
                    </w:r>
                    <w:r>
                      <w:instrText xml:space="preserve"> PAGE  \* MERGEFORMAT </w:instrText>
                    </w:r>
                    <w:r>
                      <w:fldChar w:fldCharType="separate"/>
                    </w:r>
                    <w:r>
                      <w:t>94</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jc w:val="center"/>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3"/>
                            <w:rPr>
                              <w:rFonts w:hint="eastAsia"/>
                            </w:rPr>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pPr>
                      <w:pStyle w:val="23"/>
                      <w:rPr>
                        <w:rFonts w:hint="eastAsia"/>
                      </w:rPr>
                    </w:pPr>
                    <w:r>
                      <w:fldChar w:fldCharType="begin"/>
                    </w:r>
                    <w:r>
                      <w:instrText xml:space="preserve"> PAGE  \* MERGEFORMAT </w:instrText>
                    </w:r>
                    <w:r>
                      <w:fldChar w:fldCharType="separate"/>
                    </w:r>
                    <w:r>
                      <w:t>91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none" w:color="auto" w:sz="0" w:space="1"/>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none" w:color="auto" w:sz="0" w:space="0"/>
      </w:pBdr>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single" w:color="auto" w:sz="12" w:space="9"/>
      </w:pBdr>
      <w:jc w:val="both"/>
      <w:rPr>
        <w:rFonts w:hint="eastAsia"/>
      </w:rPr>
    </w:pPr>
    <w:r>
      <w:object>
        <v:shape id="_x0000_i1025" o:spt="75" type="#_x0000_t75" style="height:28.5pt;width:112.9pt;" o:ole="t" filled="f" o:preferrelative="t" stroked="f" coordsize="21600,21600">
          <v:path/>
          <v:fill on="f" focussize="0,0"/>
          <v:stroke on="f" joinstyle="miter"/>
          <v:imagedata r:id="rId2" o:title=""/>
          <o:lock v:ext="edit" aspectratio="t"/>
          <w10:wrap type="none"/>
          <w10:anchorlock/>
        </v:shape>
        <o:OLEObject Type="Embed" ProgID="PBrush" ShapeID="_x0000_i1025" DrawAspect="Content" ObjectID="_1468075725" r:id="rId1">
          <o:LockedField>false</o:LockedField>
        </o:OLEObject>
      </w:object>
    </w:r>
    <w:r>
      <w:rPr>
        <w:rFonts w:hint="eastAsia" w:ascii="黑体" w:eastAsia="黑体"/>
        <w:sz w:val="24"/>
      </w:rPr>
      <w:t xml:space="preserve">             </w:t>
    </w:r>
    <w:r>
      <w:rPr>
        <w:rFonts w:hint="eastAsia" w:ascii="黑体" w:eastAsia="黑体"/>
        <w:sz w:val="24"/>
        <w:szCs w:val="24"/>
      </w:rPr>
      <w:t xml:space="preserve">     曲轴、连杆检测能力提升项目技术标书</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none" w:color="auto" w:sz="0" w:space="0"/>
      </w:pBdr>
      <w:rPr>
        <w:rFonts w:hint="eastAsi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none" w:color="auto" w:sz="0" w:space="1"/>
      </w:pBdr>
      <w:rPr>
        <w:rFonts w:hint="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Bdr>
        <w:bottom w:val="none" w:color="auto" w:sz="0" w:space="1"/>
      </w:pBdr>
      <w:rPr>
        <w:rFonts w:hint="eastAsi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rPr>
        <w:rFonts w:hint="eastAsia"/>
      </w:rPr>
    </w:pPr>
  </w:p>
  <w:p>
    <w:pPr>
      <w:pStyle w:val="24"/>
      <w:rPr>
        <w:rFonts w:hint="eastAsia"/>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FB6B9761"/>
    <w:multiLevelType w:val="singleLevel"/>
    <w:tmpl w:val="FB6B9761"/>
    <w:lvl w:ilvl="0" w:tentative="0">
      <w:start w:val="2"/>
      <w:numFmt w:val="decimal"/>
      <w:suff w:val="nothing"/>
      <w:lvlText w:val="%1、"/>
      <w:lvlJc w:val="left"/>
    </w:lvl>
  </w:abstractNum>
  <w:abstractNum w:abstractNumId="3">
    <w:nsid w:val="FE640437"/>
    <w:multiLevelType w:val="singleLevel"/>
    <w:tmpl w:val="FE640437"/>
    <w:lvl w:ilvl="0" w:tentative="0">
      <w:start w:val="1"/>
      <w:numFmt w:val="decimal"/>
      <w:suff w:val="nothing"/>
      <w:lvlText w:val="（%1）"/>
      <w:lvlJc w:val="left"/>
    </w:lvl>
  </w:abstractNum>
  <w:abstractNum w:abstractNumId="4">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5">
    <w:nsid w:val="1DECDA7B"/>
    <w:multiLevelType w:val="singleLevel"/>
    <w:tmpl w:val="1DECDA7B"/>
    <w:lvl w:ilvl="0" w:tentative="0">
      <w:start w:val="3"/>
      <w:numFmt w:val="chineseCounting"/>
      <w:suff w:val="nothing"/>
      <w:lvlText w:val="%1、"/>
      <w:lvlJc w:val="left"/>
      <w:rPr>
        <w:rFonts w:hint="eastAsia"/>
      </w:rPr>
    </w:lvl>
  </w:abstractNum>
  <w:abstractNum w:abstractNumId="6">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7">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8">
    <w:nsid w:val="21C837A1"/>
    <w:multiLevelType w:val="singleLevel"/>
    <w:tmpl w:val="21C837A1"/>
    <w:lvl w:ilvl="0" w:tentative="0">
      <w:start w:val="1"/>
      <w:numFmt w:val="decimal"/>
      <w:lvlText w:val="%1."/>
      <w:lvlJc w:val="left"/>
      <w:pPr>
        <w:ind w:left="425" w:hanging="425"/>
      </w:pPr>
      <w:rPr>
        <w:rFonts w:hint="default"/>
      </w:rPr>
    </w:lvl>
  </w:abstractNum>
  <w:abstractNum w:abstractNumId="9">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10">
    <w:nsid w:val="3C4C7D93"/>
    <w:multiLevelType w:val="multilevel"/>
    <w:tmpl w:val="3C4C7D93"/>
    <w:lvl w:ilvl="0" w:tentative="0">
      <w:start w:val="1"/>
      <w:numFmt w:val="decimalEnclosedCircle"/>
      <w:lvlText w:val="%1"/>
      <w:lvlJc w:val="left"/>
      <w:pPr>
        <w:ind w:left="360" w:hanging="36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1">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12">
    <w:nsid w:val="6E8C6948"/>
    <w:multiLevelType w:val="singleLevel"/>
    <w:tmpl w:val="6E8C6948"/>
    <w:lvl w:ilvl="0" w:tentative="0">
      <w:start w:val="1"/>
      <w:numFmt w:val="chineseCounting"/>
      <w:suff w:val="space"/>
      <w:lvlText w:val="第%1部分"/>
      <w:lvlJc w:val="left"/>
      <w:rPr>
        <w:rFonts w:hint="eastAsia"/>
      </w:rPr>
    </w:lvl>
  </w:abstractNum>
  <w:abstractNum w:abstractNumId="13">
    <w:nsid w:val="7A612DE2"/>
    <w:multiLevelType w:val="singleLevel"/>
    <w:tmpl w:val="7A612DE2"/>
    <w:lvl w:ilvl="0" w:tentative="0">
      <w:start w:val="2"/>
      <w:numFmt w:val="decimal"/>
      <w:lvlText w:val="%1."/>
      <w:lvlJc w:val="left"/>
      <w:pPr>
        <w:tabs>
          <w:tab w:val="left" w:pos="312"/>
        </w:tabs>
      </w:pPr>
    </w:lvl>
  </w:abstractNum>
  <w:num w:numId="1">
    <w:abstractNumId w:val="12"/>
  </w:num>
  <w:num w:numId="2">
    <w:abstractNumId w:val="0"/>
  </w:num>
  <w:num w:numId="3">
    <w:abstractNumId w:val="13"/>
  </w:num>
  <w:num w:numId="4">
    <w:abstractNumId w:val="7"/>
  </w:num>
  <w:num w:numId="5">
    <w:abstractNumId w:val="4"/>
  </w:num>
  <w:num w:numId="6">
    <w:abstractNumId w:val="11"/>
  </w:num>
  <w:num w:numId="7">
    <w:abstractNumId w:val="1"/>
  </w:num>
  <w:num w:numId="8">
    <w:abstractNumId w:val="9"/>
  </w:num>
  <w:num w:numId="9">
    <w:abstractNumId w:val="6"/>
  </w:num>
  <w:num w:numId="10">
    <w:abstractNumId w:val="5"/>
  </w:num>
  <w:num w:numId="11">
    <w:abstractNumId w:val="2"/>
  </w:num>
  <w:num w:numId="12">
    <w:abstractNumId w:val="10"/>
  </w:num>
  <w:num w:numId="13">
    <w:abstractNumId w:val="8"/>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ExZmI5NTc2OTFhZWY2NDZlZTFkMTUzMWFkYzBmYWMifQ=="/>
    <w:docVar w:name="KSO_WPS_MARK_KEY" w:val="288773bf-0df4-413a-9f38-c1906dd68f40"/>
  </w:docVars>
  <w:rsids>
    <w:rsidRoot w:val="2F0D5C9B"/>
    <w:rsid w:val="000139F5"/>
    <w:rsid w:val="00022B06"/>
    <w:rsid w:val="00036836"/>
    <w:rsid w:val="00041CF8"/>
    <w:rsid w:val="0005777A"/>
    <w:rsid w:val="00065382"/>
    <w:rsid w:val="00080223"/>
    <w:rsid w:val="000A5309"/>
    <w:rsid w:val="000B52FC"/>
    <w:rsid w:val="000D6A51"/>
    <w:rsid w:val="000F45A3"/>
    <w:rsid w:val="001B397D"/>
    <w:rsid w:val="001C1EE3"/>
    <w:rsid w:val="001C713C"/>
    <w:rsid w:val="001D75B9"/>
    <w:rsid w:val="00200F05"/>
    <w:rsid w:val="00220056"/>
    <w:rsid w:val="002626ED"/>
    <w:rsid w:val="00265A40"/>
    <w:rsid w:val="00282FDE"/>
    <w:rsid w:val="0029130A"/>
    <w:rsid w:val="00372214"/>
    <w:rsid w:val="003A4540"/>
    <w:rsid w:val="003B4D7D"/>
    <w:rsid w:val="003E0AB3"/>
    <w:rsid w:val="00401C42"/>
    <w:rsid w:val="004076DE"/>
    <w:rsid w:val="00460AFB"/>
    <w:rsid w:val="00470130"/>
    <w:rsid w:val="00483B0A"/>
    <w:rsid w:val="004B5126"/>
    <w:rsid w:val="004F3814"/>
    <w:rsid w:val="004F7838"/>
    <w:rsid w:val="00503391"/>
    <w:rsid w:val="00552960"/>
    <w:rsid w:val="0056018A"/>
    <w:rsid w:val="00567344"/>
    <w:rsid w:val="005829DC"/>
    <w:rsid w:val="005C0B4E"/>
    <w:rsid w:val="005C421F"/>
    <w:rsid w:val="005F16F0"/>
    <w:rsid w:val="0065185D"/>
    <w:rsid w:val="00680629"/>
    <w:rsid w:val="00686C52"/>
    <w:rsid w:val="006F1414"/>
    <w:rsid w:val="007432BF"/>
    <w:rsid w:val="007525BF"/>
    <w:rsid w:val="007800DC"/>
    <w:rsid w:val="007838AA"/>
    <w:rsid w:val="00783D5E"/>
    <w:rsid w:val="00785FD6"/>
    <w:rsid w:val="007B212D"/>
    <w:rsid w:val="007C6B00"/>
    <w:rsid w:val="00806A61"/>
    <w:rsid w:val="00824BFD"/>
    <w:rsid w:val="008453B3"/>
    <w:rsid w:val="008D3B56"/>
    <w:rsid w:val="008D5CEF"/>
    <w:rsid w:val="00920F11"/>
    <w:rsid w:val="009360F9"/>
    <w:rsid w:val="00964F00"/>
    <w:rsid w:val="009959DB"/>
    <w:rsid w:val="009B511E"/>
    <w:rsid w:val="009E0F5E"/>
    <w:rsid w:val="00A21EB2"/>
    <w:rsid w:val="00A31561"/>
    <w:rsid w:val="00A54E95"/>
    <w:rsid w:val="00A80564"/>
    <w:rsid w:val="00A960B2"/>
    <w:rsid w:val="00AD0A88"/>
    <w:rsid w:val="00AE6633"/>
    <w:rsid w:val="00B01FF1"/>
    <w:rsid w:val="00B72516"/>
    <w:rsid w:val="00B92C97"/>
    <w:rsid w:val="00BA3C70"/>
    <w:rsid w:val="00BB4E42"/>
    <w:rsid w:val="00BB7460"/>
    <w:rsid w:val="00BF0E19"/>
    <w:rsid w:val="00C01073"/>
    <w:rsid w:val="00C12F60"/>
    <w:rsid w:val="00C855F6"/>
    <w:rsid w:val="00C92F53"/>
    <w:rsid w:val="00CD5223"/>
    <w:rsid w:val="00CE5010"/>
    <w:rsid w:val="00CE6E17"/>
    <w:rsid w:val="00CF71F5"/>
    <w:rsid w:val="00D0528A"/>
    <w:rsid w:val="00D11B37"/>
    <w:rsid w:val="00D408EF"/>
    <w:rsid w:val="00D5145C"/>
    <w:rsid w:val="00D64DAE"/>
    <w:rsid w:val="00D729A1"/>
    <w:rsid w:val="00DB5225"/>
    <w:rsid w:val="00DD1E5E"/>
    <w:rsid w:val="00DE6417"/>
    <w:rsid w:val="00E16182"/>
    <w:rsid w:val="00E1627A"/>
    <w:rsid w:val="00E34C35"/>
    <w:rsid w:val="00E650A8"/>
    <w:rsid w:val="00E878B4"/>
    <w:rsid w:val="00EB3D00"/>
    <w:rsid w:val="00F71720"/>
    <w:rsid w:val="00FC2C49"/>
    <w:rsid w:val="00FD4560"/>
    <w:rsid w:val="00FE040F"/>
    <w:rsid w:val="00FE42B3"/>
    <w:rsid w:val="014832F2"/>
    <w:rsid w:val="014D51C1"/>
    <w:rsid w:val="01714809"/>
    <w:rsid w:val="01C52478"/>
    <w:rsid w:val="027408EE"/>
    <w:rsid w:val="02963F39"/>
    <w:rsid w:val="02B3095A"/>
    <w:rsid w:val="02BA7274"/>
    <w:rsid w:val="03251978"/>
    <w:rsid w:val="0325718A"/>
    <w:rsid w:val="042921B6"/>
    <w:rsid w:val="043342B8"/>
    <w:rsid w:val="043B72BB"/>
    <w:rsid w:val="04461EC1"/>
    <w:rsid w:val="04504B3F"/>
    <w:rsid w:val="04AD02B8"/>
    <w:rsid w:val="04DE51C8"/>
    <w:rsid w:val="04DF17D4"/>
    <w:rsid w:val="04EE7F1F"/>
    <w:rsid w:val="05412745"/>
    <w:rsid w:val="05491761"/>
    <w:rsid w:val="05793C8D"/>
    <w:rsid w:val="05A351AD"/>
    <w:rsid w:val="05F9748A"/>
    <w:rsid w:val="06266F78"/>
    <w:rsid w:val="063E7B7A"/>
    <w:rsid w:val="06582413"/>
    <w:rsid w:val="06682E69"/>
    <w:rsid w:val="067E33B8"/>
    <w:rsid w:val="06B96433"/>
    <w:rsid w:val="06D02B99"/>
    <w:rsid w:val="06E82FCB"/>
    <w:rsid w:val="06F34B95"/>
    <w:rsid w:val="07571DAC"/>
    <w:rsid w:val="07837205"/>
    <w:rsid w:val="07867620"/>
    <w:rsid w:val="08916B94"/>
    <w:rsid w:val="08DD171B"/>
    <w:rsid w:val="08E64121"/>
    <w:rsid w:val="09390B2F"/>
    <w:rsid w:val="0942017F"/>
    <w:rsid w:val="09B73E1A"/>
    <w:rsid w:val="09BA1FBB"/>
    <w:rsid w:val="09CB139F"/>
    <w:rsid w:val="0A0106F5"/>
    <w:rsid w:val="0A112AB7"/>
    <w:rsid w:val="0A4E5482"/>
    <w:rsid w:val="0AAA504A"/>
    <w:rsid w:val="0AD71BC7"/>
    <w:rsid w:val="0AF420EB"/>
    <w:rsid w:val="0B2B2BF5"/>
    <w:rsid w:val="0B2F3908"/>
    <w:rsid w:val="0B3F6206"/>
    <w:rsid w:val="0BDE715C"/>
    <w:rsid w:val="0BE12DB6"/>
    <w:rsid w:val="0BFC6504"/>
    <w:rsid w:val="0C345AD1"/>
    <w:rsid w:val="0C360B29"/>
    <w:rsid w:val="0C626CE4"/>
    <w:rsid w:val="0CD43A86"/>
    <w:rsid w:val="0D030966"/>
    <w:rsid w:val="0D0C2B7B"/>
    <w:rsid w:val="0D5A4E61"/>
    <w:rsid w:val="0D9308F8"/>
    <w:rsid w:val="0DE76C3D"/>
    <w:rsid w:val="0E1A1D85"/>
    <w:rsid w:val="0E750568"/>
    <w:rsid w:val="0E9C3C97"/>
    <w:rsid w:val="0F2D7A80"/>
    <w:rsid w:val="0F4277E5"/>
    <w:rsid w:val="0FA75561"/>
    <w:rsid w:val="0FB83603"/>
    <w:rsid w:val="0FBD7C37"/>
    <w:rsid w:val="0FCA77F1"/>
    <w:rsid w:val="0FCD5DCC"/>
    <w:rsid w:val="10043197"/>
    <w:rsid w:val="10270545"/>
    <w:rsid w:val="103409DF"/>
    <w:rsid w:val="108A1D4B"/>
    <w:rsid w:val="10A10111"/>
    <w:rsid w:val="10BE093E"/>
    <w:rsid w:val="10E20BD8"/>
    <w:rsid w:val="111B0FE9"/>
    <w:rsid w:val="112C77F4"/>
    <w:rsid w:val="114755AB"/>
    <w:rsid w:val="115F67A8"/>
    <w:rsid w:val="11954A5C"/>
    <w:rsid w:val="119A7465"/>
    <w:rsid w:val="11A833CB"/>
    <w:rsid w:val="11C07DA5"/>
    <w:rsid w:val="11C2491E"/>
    <w:rsid w:val="11F36B75"/>
    <w:rsid w:val="12491386"/>
    <w:rsid w:val="12E60579"/>
    <w:rsid w:val="12EB0F02"/>
    <w:rsid w:val="13695B36"/>
    <w:rsid w:val="1372609F"/>
    <w:rsid w:val="13D73572"/>
    <w:rsid w:val="14504752"/>
    <w:rsid w:val="145A6A37"/>
    <w:rsid w:val="1463001B"/>
    <w:rsid w:val="1467440F"/>
    <w:rsid w:val="15400323"/>
    <w:rsid w:val="15433A9B"/>
    <w:rsid w:val="15FC2F04"/>
    <w:rsid w:val="16181FAC"/>
    <w:rsid w:val="168756A0"/>
    <w:rsid w:val="16F94849"/>
    <w:rsid w:val="17045E51"/>
    <w:rsid w:val="172011D4"/>
    <w:rsid w:val="17252C3B"/>
    <w:rsid w:val="173C25C7"/>
    <w:rsid w:val="173F0A2E"/>
    <w:rsid w:val="17770BC2"/>
    <w:rsid w:val="17860E2F"/>
    <w:rsid w:val="17A119AA"/>
    <w:rsid w:val="18586F2B"/>
    <w:rsid w:val="19A766B9"/>
    <w:rsid w:val="19CE76BA"/>
    <w:rsid w:val="19F26070"/>
    <w:rsid w:val="19F97C8B"/>
    <w:rsid w:val="1A1523CE"/>
    <w:rsid w:val="1AA730BD"/>
    <w:rsid w:val="1ADF38C8"/>
    <w:rsid w:val="1AEC7AC2"/>
    <w:rsid w:val="1B333D5D"/>
    <w:rsid w:val="1B587618"/>
    <w:rsid w:val="1B5F19C7"/>
    <w:rsid w:val="1C1C709B"/>
    <w:rsid w:val="1C4F6795"/>
    <w:rsid w:val="1C9F6814"/>
    <w:rsid w:val="1D492C08"/>
    <w:rsid w:val="1D5C514E"/>
    <w:rsid w:val="1D5E109A"/>
    <w:rsid w:val="1D865D14"/>
    <w:rsid w:val="1D8705EC"/>
    <w:rsid w:val="1DEC0E7D"/>
    <w:rsid w:val="1E43150B"/>
    <w:rsid w:val="1EA93E80"/>
    <w:rsid w:val="1ED33FB6"/>
    <w:rsid w:val="1EE81332"/>
    <w:rsid w:val="1F1C3BAF"/>
    <w:rsid w:val="1F32415A"/>
    <w:rsid w:val="1F542F9A"/>
    <w:rsid w:val="1F702632"/>
    <w:rsid w:val="1F7E2174"/>
    <w:rsid w:val="1FB64E98"/>
    <w:rsid w:val="20107567"/>
    <w:rsid w:val="205567CA"/>
    <w:rsid w:val="20AB56C6"/>
    <w:rsid w:val="21547789"/>
    <w:rsid w:val="2176507C"/>
    <w:rsid w:val="21BE35AF"/>
    <w:rsid w:val="21C11174"/>
    <w:rsid w:val="22244B28"/>
    <w:rsid w:val="22467FD4"/>
    <w:rsid w:val="22867B2D"/>
    <w:rsid w:val="229451FD"/>
    <w:rsid w:val="22A12DB6"/>
    <w:rsid w:val="236356D1"/>
    <w:rsid w:val="23A91C83"/>
    <w:rsid w:val="23C962E8"/>
    <w:rsid w:val="247E4FED"/>
    <w:rsid w:val="24A01CB7"/>
    <w:rsid w:val="24AD78E0"/>
    <w:rsid w:val="24B30BE8"/>
    <w:rsid w:val="24E34060"/>
    <w:rsid w:val="252C4420"/>
    <w:rsid w:val="253A0491"/>
    <w:rsid w:val="254E0478"/>
    <w:rsid w:val="25E036B2"/>
    <w:rsid w:val="25E9082A"/>
    <w:rsid w:val="25F42473"/>
    <w:rsid w:val="269C17B8"/>
    <w:rsid w:val="26AF2D79"/>
    <w:rsid w:val="26B34B91"/>
    <w:rsid w:val="270D66E8"/>
    <w:rsid w:val="27514612"/>
    <w:rsid w:val="278B0DAB"/>
    <w:rsid w:val="278D3850"/>
    <w:rsid w:val="279C6B0E"/>
    <w:rsid w:val="27A64735"/>
    <w:rsid w:val="27CC4DF2"/>
    <w:rsid w:val="280D64D7"/>
    <w:rsid w:val="281864F2"/>
    <w:rsid w:val="286903EF"/>
    <w:rsid w:val="287F5DD3"/>
    <w:rsid w:val="288047CB"/>
    <w:rsid w:val="289E62FA"/>
    <w:rsid w:val="28FD6E90"/>
    <w:rsid w:val="291E2CA6"/>
    <w:rsid w:val="29331862"/>
    <w:rsid w:val="299741EC"/>
    <w:rsid w:val="299E147F"/>
    <w:rsid w:val="29BD6726"/>
    <w:rsid w:val="29C32A87"/>
    <w:rsid w:val="29CF26DC"/>
    <w:rsid w:val="2A1C5DA0"/>
    <w:rsid w:val="2A200D39"/>
    <w:rsid w:val="2A507EFF"/>
    <w:rsid w:val="2ADC05A4"/>
    <w:rsid w:val="2AEF2177"/>
    <w:rsid w:val="2B161149"/>
    <w:rsid w:val="2B6F0D7F"/>
    <w:rsid w:val="2B8716BD"/>
    <w:rsid w:val="2B8A1EA0"/>
    <w:rsid w:val="2B8B76FF"/>
    <w:rsid w:val="2BD5034F"/>
    <w:rsid w:val="2D025012"/>
    <w:rsid w:val="2D4178F0"/>
    <w:rsid w:val="2DAE631A"/>
    <w:rsid w:val="2DD877E0"/>
    <w:rsid w:val="2DE616C9"/>
    <w:rsid w:val="2DFC2451"/>
    <w:rsid w:val="2E3422F8"/>
    <w:rsid w:val="2E6E566D"/>
    <w:rsid w:val="2E7A3497"/>
    <w:rsid w:val="2E7F188E"/>
    <w:rsid w:val="2EBC0905"/>
    <w:rsid w:val="2EC73739"/>
    <w:rsid w:val="2EFB1B0E"/>
    <w:rsid w:val="2F0D5C9B"/>
    <w:rsid w:val="2F5C684F"/>
    <w:rsid w:val="2F63756E"/>
    <w:rsid w:val="307610EA"/>
    <w:rsid w:val="307776D1"/>
    <w:rsid w:val="30862574"/>
    <w:rsid w:val="30B631E1"/>
    <w:rsid w:val="311933AA"/>
    <w:rsid w:val="317D15BB"/>
    <w:rsid w:val="31C825FC"/>
    <w:rsid w:val="31D07E6C"/>
    <w:rsid w:val="31F6203D"/>
    <w:rsid w:val="323F65DA"/>
    <w:rsid w:val="32412074"/>
    <w:rsid w:val="327C2FDC"/>
    <w:rsid w:val="32A43435"/>
    <w:rsid w:val="32DE0199"/>
    <w:rsid w:val="32E122D9"/>
    <w:rsid w:val="333C2963"/>
    <w:rsid w:val="335B2774"/>
    <w:rsid w:val="33A4642E"/>
    <w:rsid w:val="33D4039C"/>
    <w:rsid w:val="33D47E05"/>
    <w:rsid w:val="3413677D"/>
    <w:rsid w:val="342B544B"/>
    <w:rsid w:val="345E036E"/>
    <w:rsid w:val="34C47852"/>
    <w:rsid w:val="34DE1E4F"/>
    <w:rsid w:val="34F07DB1"/>
    <w:rsid w:val="35092435"/>
    <w:rsid w:val="359009FB"/>
    <w:rsid w:val="35D354B8"/>
    <w:rsid w:val="35D4025C"/>
    <w:rsid w:val="362666BC"/>
    <w:rsid w:val="367774C5"/>
    <w:rsid w:val="368A6B11"/>
    <w:rsid w:val="37085B1F"/>
    <w:rsid w:val="372E04CB"/>
    <w:rsid w:val="38891F93"/>
    <w:rsid w:val="38E070F2"/>
    <w:rsid w:val="390D33AB"/>
    <w:rsid w:val="391E6D06"/>
    <w:rsid w:val="39DB708C"/>
    <w:rsid w:val="3A074847"/>
    <w:rsid w:val="3A830B2E"/>
    <w:rsid w:val="3AA90FE6"/>
    <w:rsid w:val="3AA9318F"/>
    <w:rsid w:val="3AB62DA0"/>
    <w:rsid w:val="3ACF7DBC"/>
    <w:rsid w:val="3B69577B"/>
    <w:rsid w:val="3B702D85"/>
    <w:rsid w:val="3B7D3FD5"/>
    <w:rsid w:val="3B823DDF"/>
    <w:rsid w:val="3BD827B4"/>
    <w:rsid w:val="3C237ED3"/>
    <w:rsid w:val="3C460D90"/>
    <w:rsid w:val="3C4D2D59"/>
    <w:rsid w:val="3CAA596A"/>
    <w:rsid w:val="3CAF1D22"/>
    <w:rsid w:val="3CB1587B"/>
    <w:rsid w:val="3CB735F2"/>
    <w:rsid w:val="3D186684"/>
    <w:rsid w:val="3D363C36"/>
    <w:rsid w:val="3D8B2178"/>
    <w:rsid w:val="3DB34909"/>
    <w:rsid w:val="3DD115F5"/>
    <w:rsid w:val="3DE435F0"/>
    <w:rsid w:val="3DE5122C"/>
    <w:rsid w:val="3DF37E53"/>
    <w:rsid w:val="3E99042E"/>
    <w:rsid w:val="3ED26DE9"/>
    <w:rsid w:val="3EED17D0"/>
    <w:rsid w:val="3F0C0304"/>
    <w:rsid w:val="3F774839"/>
    <w:rsid w:val="3FEC147E"/>
    <w:rsid w:val="40376375"/>
    <w:rsid w:val="40632A1B"/>
    <w:rsid w:val="412732B7"/>
    <w:rsid w:val="4127791F"/>
    <w:rsid w:val="41281794"/>
    <w:rsid w:val="413C1FDF"/>
    <w:rsid w:val="41806A69"/>
    <w:rsid w:val="41B0259C"/>
    <w:rsid w:val="41BC6F1C"/>
    <w:rsid w:val="41EF2363"/>
    <w:rsid w:val="41F77860"/>
    <w:rsid w:val="420E6F2F"/>
    <w:rsid w:val="424A4B98"/>
    <w:rsid w:val="42581D3A"/>
    <w:rsid w:val="42AB29D0"/>
    <w:rsid w:val="42ED2EA4"/>
    <w:rsid w:val="42F6649D"/>
    <w:rsid w:val="42FE0080"/>
    <w:rsid w:val="43315D2E"/>
    <w:rsid w:val="433810DB"/>
    <w:rsid w:val="43670C99"/>
    <w:rsid w:val="43824A1C"/>
    <w:rsid w:val="43836958"/>
    <w:rsid w:val="43D110E1"/>
    <w:rsid w:val="43DF072A"/>
    <w:rsid w:val="43E873C9"/>
    <w:rsid w:val="44905B1F"/>
    <w:rsid w:val="45316885"/>
    <w:rsid w:val="45334280"/>
    <w:rsid w:val="45952E4D"/>
    <w:rsid w:val="45A95EE9"/>
    <w:rsid w:val="45FB0F21"/>
    <w:rsid w:val="46167166"/>
    <w:rsid w:val="4636719A"/>
    <w:rsid w:val="47200EE3"/>
    <w:rsid w:val="47435AC2"/>
    <w:rsid w:val="47544B78"/>
    <w:rsid w:val="47587AF7"/>
    <w:rsid w:val="47745A86"/>
    <w:rsid w:val="479C2B10"/>
    <w:rsid w:val="47E239AC"/>
    <w:rsid w:val="480F4B73"/>
    <w:rsid w:val="487974BD"/>
    <w:rsid w:val="48DB38E3"/>
    <w:rsid w:val="49001B5E"/>
    <w:rsid w:val="49376DB0"/>
    <w:rsid w:val="49804BB7"/>
    <w:rsid w:val="49826DCB"/>
    <w:rsid w:val="499013E7"/>
    <w:rsid w:val="49C8088A"/>
    <w:rsid w:val="4A0F6D68"/>
    <w:rsid w:val="4A301C93"/>
    <w:rsid w:val="4A3302AB"/>
    <w:rsid w:val="4A572A17"/>
    <w:rsid w:val="4A6F2535"/>
    <w:rsid w:val="4AC85D49"/>
    <w:rsid w:val="4AE308A9"/>
    <w:rsid w:val="4B260F2D"/>
    <w:rsid w:val="4B9A1456"/>
    <w:rsid w:val="4BA32C82"/>
    <w:rsid w:val="4BE70627"/>
    <w:rsid w:val="4C0A5AE1"/>
    <w:rsid w:val="4C130AB8"/>
    <w:rsid w:val="4C5A284D"/>
    <w:rsid w:val="4C5C0673"/>
    <w:rsid w:val="4CB96B43"/>
    <w:rsid w:val="4CC75FCC"/>
    <w:rsid w:val="4CC87A5E"/>
    <w:rsid w:val="4CD63947"/>
    <w:rsid w:val="4CFC49F4"/>
    <w:rsid w:val="4D073D73"/>
    <w:rsid w:val="4D1E27BA"/>
    <w:rsid w:val="4D23574A"/>
    <w:rsid w:val="4D4C4DB0"/>
    <w:rsid w:val="4D7322D5"/>
    <w:rsid w:val="4DB132DD"/>
    <w:rsid w:val="4DC000E1"/>
    <w:rsid w:val="4DD7034C"/>
    <w:rsid w:val="4DE312CB"/>
    <w:rsid w:val="4DF5318E"/>
    <w:rsid w:val="4E1F4862"/>
    <w:rsid w:val="4E2E4393"/>
    <w:rsid w:val="4E535EF2"/>
    <w:rsid w:val="4F08773C"/>
    <w:rsid w:val="4F31409F"/>
    <w:rsid w:val="4F5E670E"/>
    <w:rsid w:val="4F846A83"/>
    <w:rsid w:val="50070E2C"/>
    <w:rsid w:val="501112F3"/>
    <w:rsid w:val="504B57F2"/>
    <w:rsid w:val="50850D04"/>
    <w:rsid w:val="50952AC3"/>
    <w:rsid w:val="50C5433A"/>
    <w:rsid w:val="50C62BC7"/>
    <w:rsid w:val="50F72A66"/>
    <w:rsid w:val="5123368C"/>
    <w:rsid w:val="5130747C"/>
    <w:rsid w:val="515C765A"/>
    <w:rsid w:val="51905BB3"/>
    <w:rsid w:val="51946FCB"/>
    <w:rsid w:val="51DD796B"/>
    <w:rsid w:val="51DF373B"/>
    <w:rsid w:val="52EF4CB5"/>
    <w:rsid w:val="52F959F0"/>
    <w:rsid w:val="5302488E"/>
    <w:rsid w:val="53136173"/>
    <w:rsid w:val="534B12B7"/>
    <w:rsid w:val="539A4AC7"/>
    <w:rsid w:val="541A51E1"/>
    <w:rsid w:val="542631B6"/>
    <w:rsid w:val="543D6020"/>
    <w:rsid w:val="5447483C"/>
    <w:rsid w:val="54862A07"/>
    <w:rsid w:val="54942CAE"/>
    <w:rsid w:val="54A61722"/>
    <w:rsid w:val="54B31FAF"/>
    <w:rsid w:val="54FB10D7"/>
    <w:rsid w:val="55326D63"/>
    <w:rsid w:val="555D1A10"/>
    <w:rsid w:val="55C300FC"/>
    <w:rsid w:val="56AC4A78"/>
    <w:rsid w:val="56DB16B9"/>
    <w:rsid w:val="577A3463"/>
    <w:rsid w:val="57CC4919"/>
    <w:rsid w:val="57F967AD"/>
    <w:rsid w:val="58052975"/>
    <w:rsid w:val="58063909"/>
    <w:rsid w:val="580C2125"/>
    <w:rsid w:val="583A5AAD"/>
    <w:rsid w:val="584D1A65"/>
    <w:rsid w:val="584F5C44"/>
    <w:rsid w:val="58E525CA"/>
    <w:rsid w:val="58EE7372"/>
    <w:rsid w:val="593D045A"/>
    <w:rsid w:val="5960739E"/>
    <w:rsid w:val="59896D0A"/>
    <w:rsid w:val="59B72684"/>
    <w:rsid w:val="5A9579AE"/>
    <w:rsid w:val="5AC468CD"/>
    <w:rsid w:val="5B342B9A"/>
    <w:rsid w:val="5B5953B0"/>
    <w:rsid w:val="5B630802"/>
    <w:rsid w:val="5B807F68"/>
    <w:rsid w:val="5BA72CE5"/>
    <w:rsid w:val="5BEE7C3C"/>
    <w:rsid w:val="5C034D53"/>
    <w:rsid w:val="5C0A43A9"/>
    <w:rsid w:val="5D722852"/>
    <w:rsid w:val="5DA13E95"/>
    <w:rsid w:val="5DF60588"/>
    <w:rsid w:val="5E1D6F56"/>
    <w:rsid w:val="5E52187F"/>
    <w:rsid w:val="5E6567AD"/>
    <w:rsid w:val="5E6A13CD"/>
    <w:rsid w:val="5E705D15"/>
    <w:rsid w:val="5E93326C"/>
    <w:rsid w:val="5E9F1A7A"/>
    <w:rsid w:val="5EAF10E7"/>
    <w:rsid w:val="5EAF3818"/>
    <w:rsid w:val="5EFB4BA4"/>
    <w:rsid w:val="5F025452"/>
    <w:rsid w:val="5F5F46B5"/>
    <w:rsid w:val="5FB25360"/>
    <w:rsid w:val="5FBA3CC0"/>
    <w:rsid w:val="5FBE258A"/>
    <w:rsid w:val="5FD90D61"/>
    <w:rsid w:val="60177697"/>
    <w:rsid w:val="602329DB"/>
    <w:rsid w:val="607777D6"/>
    <w:rsid w:val="60BC76A1"/>
    <w:rsid w:val="610B7637"/>
    <w:rsid w:val="612279BA"/>
    <w:rsid w:val="615F5624"/>
    <w:rsid w:val="61D215CF"/>
    <w:rsid w:val="61D73926"/>
    <w:rsid w:val="624F75A7"/>
    <w:rsid w:val="625C563D"/>
    <w:rsid w:val="626A1704"/>
    <w:rsid w:val="626A7C7E"/>
    <w:rsid w:val="627921C2"/>
    <w:rsid w:val="62B362C8"/>
    <w:rsid w:val="62C1330E"/>
    <w:rsid w:val="6342085E"/>
    <w:rsid w:val="636F415C"/>
    <w:rsid w:val="638842CE"/>
    <w:rsid w:val="64917820"/>
    <w:rsid w:val="64AA1CC5"/>
    <w:rsid w:val="64D771FD"/>
    <w:rsid w:val="6528341F"/>
    <w:rsid w:val="656B2909"/>
    <w:rsid w:val="65970AF2"/>
    <w:rsid w:val="65A06FAF"/>
    <w:rsid w:val="65A3045D"/>
    <w:rsid w:val="65D97752"/>
    <w:rsid w:val="65E25E59"/>
    <w:rsid w:val="66307F76"/>
    <w:rsid w:val="66580EAF"/>
    <w:rsid w:val="66694D0D"/>
    <w:rsid w:val="667B4472"/>
    <w:rsid w:val="66D5676A"/>
    <w:rsid w:val="66F041A8"/>
    <w:rsid w:val="67171FB2"/>
    <w:rsid w:val="6721178A"/>
    <w:rsid w:val="6739399A"/>
    <w:rsid w:val="673F39DE"/>
    <w:rsid w:val="674C5D22"/>
    <w:rsid w:val="67663AF8"/>
    <w:rsid w:val="67762CFD"/>
    <w:rsid w:val="677A678D"/>
    <w:rsid w:val="67B77327"/>
    <w:rsid w:val="67D30B32"/>
    <w:rsid w:val="67FE1573"/>
    <w:rsid w:val="68011379"/>
    <w:rsid w:val="68252C37"/>
    <w:rsid w:val="683338F6"/>
    <w:rsid w:val="68817BAC"/>
    <w:rsid w:val="689A5E59"/>
    <w:rsid w:val="68A94E70"/>
    <w:rsid w:val="68EE72DF"/>
    <w:rsid w:val="68FE744E"/>
    <w:rsid w:val="690B4C92"/>
    <w:rsid w:val="6942733B"/>
    <w:rsid w:val="69485FEA"/>
    <w:rsid w:val="69677DC0"/>
    <w:rsid w:val="69937EC7"/>
    <w:rsid w:val="69D64558"/>
    <w:rsid w:val="6A042548"/>
    <w:rsid w:val="6A471EFD"/>
    <w:rsid w:val="6AB57116"/>
    <w:rsid w:val="6ADD183E"/>
    <w:rsid w:val="6B17424A"/>
    <w:rsid w:val="6B2218FA"/>
    <w:rsid w:val="6B686C59"/>
    <w:rsid w:val="6B691672"/>
    <w:rsid w:val="6BE97F42"/>
    <w:rsid w:val="6C5E6A51"/>
    <w:rsid w:val="6C6513C3"/>
    <w:rsid w:val="6C744268"/>
    <w:rsid w:val="6C913746"/>
    <w:rsid w:val="6CD62D03"/>
    <w:rsid w:val="6CD97FB6"/>
    <w:rsid w:val="6D0E5050"/>
    <w:rsid w:val="6D4B22B8"/>
    <w:rsid w:val="6D930013"/>
    <w:rsid w:val="6E1A1656"/>
    <w:rsid w:val="6E231DD6"/>
    <w:rsid w:val="6E5A5288"/>
    <w:rsid w:val="6EE013EE"/>
    <w:rsid w:val="6EE079F1"/>
    <w:rsid w:val="6EE42C42"/>
    <w:rsid w:val="6F243FDE"/>
    <w:rsid w:val="6F7F7CB0"/>
    <w:rsid w:val="6FE0165C"/>
    <w:rsid w:val="6FE10C44"/>
    <w:rsid w:val="6FE32EFA"/>
    <w:rsid w:val="70222744"/>
    <w:rsid w:val="706D25DF"/>
    <w:rsid w:val="706D2B21"/>
    <w:rsid w:val="707B1384"/>
    <w:rsid w:val="70857A34"/>
    <w:rsid w:val="70985D3C"/>
    <w:rsid w:val="70D80585"/>
    <w:rsid w:val="70F81685"/>
    <w:rsid w:val="71047C73"/>
    <w:rsid w:val="7109004F"/>
    <w:rsid w:val="71103167"/>
    <w:rsid w:val="712E56F7"/>
    <w:rsid w:val="71691ABB"/>
    <w:rsid w:val="71AE1AEA"/>
    <w:rsid w:val="71CF3B6C"/>
    <w:rsid w:val="71F80F33"/>
    <w:rsid w:val="722922C6"/>
    <w:rsid w:val="722973FA"/>
    <w:rsid w:val="727176A7"/>
    <w:rsid w:val="72AC2584"/>
    <w:rsid w:val="72CB03A1"/>
    <w:rsid w:val="732D4B5D"/>
    <w:rsid w:val="73393C88"/>
    <w:rsid w:val="7362513F"/>
    <w:rsid w:val="73771D49"/>
    <w:rsid w:val="73A1354E"/>
    <w:rsid w:val="74006876"/>
    <w:rsid w:val="74A11E7D"/>
    <w:rsid w:val="74DC1BFA"/>
    <w:rsid w:val="75590B0A"/>
    <w:rsid w:val="7582279F"/>
    <w:rsid w:val="75843EB5"/>
    <w:rsid w:val="75BB71AF"/>
    <w:rsid w:val="75F01962"/>
    <w:rsid w:val="760E19DF"/>
    <w:rsid w:val="764E52E0"/>
    <w:rsid w:val="764F3097"/>
    <w:rsid w:val="76557F3E"/>
    <w:rsid w:val="76676A53"/>
    <w:rsid w:val="76A3294D"/>
    <w:rsid w:val="76B620A1"/>
    <w:rsid w:val="76F20814"/>
    <w:rsid w:val="77462524"/>
    <w:rsid w:val="779A6594"/>
    <w:rsid w:val="77A21064"/>
    <w:rsid w:val="77E34EB2"/>
    <w:rsid w:val="78071E5D"/>
    <w:rsid w:val="781564B8"/>
    <w:rsid w:val="781B2E5F"/>
    <w:rsid w:val="78224ACF"/>
    <w:rsid w:val="78CD6DCC"/>
    <w:rsid w:val="78D07CAF"/>
    <w:rsid w:val="78DE12D7"/>
    <w:rsid w:val="79210683"/>
    <w:rsid w:val="799C3465"/>
    <w:rsid w:val="79B14EC4"/>
    <w:rsid w:val="7A2A6B4A"/>
    <w:rsid w:val="7A681070"/>
    <w:rsid w:val="7A860C7C"/>
    <w:rsid w:val="7AB879FE"/>
    <w:rsid w:val="7B072683"/>
    <w:rsid w:val="7B3264DD"/>
    <w:rsid w:val="7B81188A"/>
    <w:rsid w:val="7B9E2902"/>
    <w:rsid w:val="7BC854E2"/>
    <w:rsid w:val="7BE17CC7"/>
    <w:rsid w:val="7C0562EC"/>
    <w:rsid w:val="7C067A45"/>
    <w:rsid w:val="7C27683F"/>
    <w:rsid w:val="7CB14B4D"/>
    <w:rsid w:val="7CF26969"/>
    <w:rsid w:val="7D25523C"/>
    <w:rsid w:val="7DB23041"/>
    <w:rsid w:val="7E253FEC"/>
    <w:rsid w:val="7E5F7809"/>
    <w:rsid w:val="7ED56C53"/>
    <w:rsid w:val="7EEA1BAF"/>
    <w:rsid w:val="7F5460D4"/>
    <w:rsid w:val="7F55289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nhideWhenUsed="0" w:uiPriority="0" w:semiHidden="0"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3"/>
    <w:next w:val="1"/>
    <w:link w:val="47"/>
    <w:qFormat/>
    <w:uiPriority w:val="9"/>
    <w:pPr>
      <w:keepNext/>
      <w:keepLines/>
      <w:jc w:val="center"/>
      <w:outlineLvl w:val="0"/>
    </w:pPr>
    <w:rPr>
      <w:b/>
      <w:bCs/>
      <w:kern w:val="44"/>
      <w:sz w:val="36"/>
      <w:szCs w:val="44"/>
    </w:rPr>
  </w:style>
  <w:style w:type="paragraph" w:styleId="4">
    <w:name w:val="heading 2"/>
    <w:basedOn w:val="1"/>
    <w:next w:val="1"/>
    <w:link w:val="48"/>
    <w:qFormat/>
    <w:uiPriority w:val="9"/>
    <w:pPr>
      <w:keepNext/>
      <w:keepLines/>
      <w:spacing w:line="360" w:lineRule="auto"/>
      <w:outlineLvl w:val="1"/>
    </w:pPr>
    <w:rPr>
      <w:rFonts w:ascii="Arial" w:hAnsi="Arial" w:eastAsia="宋体" w:cs="Times New Roman"/>
      <w:b/>
      <w:bCs/>
      <w:sz w:val="24"/>
      <w:szCs w:val="32"/>
    </w:rPr>
  </w:style>
  <w:style w:type="paragraph" w:styleId="5">
    <w:name w:val="heading 3"/>
    <w:basedOn w:val="1"/>
    <w:next w:val="1"/>
    <w:link w:val="49"/>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6">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paragraph" w:styleId="7">
    <w:name w:val="heading 5"/>
    <w:basedOn w:val="1"/>
    <w:next w:val="1"/>
    <w:qFormat/>
    <w:uiPriority w:val="0"/>
    <w:pPr>
      <w:keepNext/>
      <w:keepLines/>
      <w:spacing w:line="480" w:lineRule="exact"/>
      <w:outlineLvl w:val="4"/>
    </w:pPr>
    <w:rPr>
      <w:bCs/>
      <w:szCs w:val="28"/>
    </w:rPr>
  </w:style>
  <w:style w:type="character" w:default="1" w:styleId="39">
    <w:name w:val="Default Paragraph Font"/>
    <w:semiHidden/>
    <w:unhideWhenUsed/>
    <w:qFormat/>
    <w:uiPriority w:val="1"/>
  </w:style>
  <w:style w:type="table" w:default="1" w:styleId="37">
    <w:name w:val="Normal Table"/>
    <w:semiHidden/>
    <w:unhideWhenUsed/>
    <w:qFormat/>
    <w:uiPriority w:val="99"/>
    <w:tblPr>
      <w:tblCellMar>
        <w:top w:w="0" w:type="dxa"/>
        <w:left w:w="108" w:type="dxa"/>
        <w:bottom w:w="0" w:type="dxa"/>
        <w:right w:w="108" w:type="dxa"/>
      </w:tblCellMar>
    </w:tblPr>
  </w:style>
  <w:style w:type="paragraph" w:styleId="3">
    <w:name w:val="toc 3"/>
    <w:basedOn w:val="1"/>
    <w:next w:val="1"/>
    <w:qFormat/>
    <w:uiPriority w:val="39"/>
    <w:pPr>
      <w:ind w:left="480"/>
      <w:jc w:val="left"/>
    </w:pPr>
    <w:rPr>
      <w:rFonts w:ascii="Calibri" w:hAnsi="Calibri" w:eastAsia="宋体" w:cs="Times New Roman"/>
      <w:i/>
      <w:iCs/>
      <w:sz w:val="20"/>
      <w:szCs w:val="20"/>
    </w:rPr>
  </w:style>
  <w:style w:type="paragraph" w:styleId="8">
    <w:name w:val="toc 7"/>
    <w:basedOn w:val="1"/>
    <w:next w:val="1"/>
    <w:qFormat/>
    <w:uiPriority w:val="39"/>
    <w:pPr>
      <w:ind w:left="1440"/>
      <w:jc w:val="left"/>
    </w:pPr>
    <w:rPr>
      <w:rFonts w:ascii="Calibri" w:hAnsi="Calibri" w:eastAsia="宋体" w:cs="Times New Roman"/>
      <w:sz w:val="18"/>
      <w:szCs w:val="18"/>
    </w:rPr>
  </w:style>
  <w:style w:type="paragraph" w:styleId="9">
    <w:name w:val="caption"/>
    <w:basedOn w:val="1"/>
    <w:next w:val="1"/>
    <w:qFormat/>
    <w:uiPriority w:val="35"/>
    <w:pPr>
      <w:spacing w:before="152" w:after="160"/>
    </w:pPr>
    <w:rPr>
      <w:rFonts w:ascii="Arial" w:hAnsi="Arial" w:eastAsia="黑体" w:cs="Arial"/>
      <w:sz w:val="20"/>
      <w:szCs w:val="20"/>
    </w:rPr>
  </w:style>
  <w:style w:type="paragraph" w:styleId="10">
    <w:name w:val="Document Map"/>
    <w:basedOn w:val="1"/>
    <w:link w:val="70"/>
    <w:qFormat/>
    <w:uiPriority w:val="0"/>
    <w:pPr>
      <w:shd w:val="clear" w:color="auto" w:fill="000080"/>
    </w:pPr>
    <w:rPr>
      <w:sz w:val="24"/>
    </w:rPr>
  </w:style>
  <w:style w:type="paragraph" w:styleId="11">
    <w:name w:val="toa heading"/>
    <w:basedOn w:val="1"/>
    <w:next w:val="1"/>
    <w:qFormat/>
    <w:uiPriority w:val="99"/>
    <w:pPr>
      <w:spacing w:before="120"/>
    </w:pPr>
    <w:rPr>
      <w:rFonts w:ascii="Arial" w:hAnsi="Arial" w:eastAsia="宋体" w:cs="Arial"/>
      <w:sz w:val="24"/>
      <w:szCs w:val="24"/>
    </w:rPr>
  </w:style>
  <w:style w:type="paragraph" w:styleId="12">
    <w:name w:val="annotation text"/>
    <w:basedOn w:val="1"/>
    <w:link w:val="61"/>
    <w:qFormat/>
    <w:uiPriority w:val="0"/>
    <w:pPr>
      <w:jc w:val="left"/>
    </w:pPr>
  </w:style>
  <w:style w:type="paragraph" w:styleId="13">
    <w:name w:val="Body Text"/>
    <w:basedOn w:val="1"/>
    <w:next w:val="14"/>
    <w:link w:val="81"/>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customStyle="1" w:styleId="14">
    <w:name w:val="Default"/>
    <w:link w:val="74"/>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paragraph" w:styleId="15">
    <w:name w:val="Body Text Indent"/>
    <w:basedOn w:val="1"/>
    <w:link w:val="78"/>
    <w:qFormat/>
    <w:uiPriority w:val="99"/>
    <w:pPr>
      <w:spacing w:after="120"/>
      <w:ind w:left="420" w:leftChars="200"/>
    </w:pPr>
    <w:rPr>
      <w:rFonts w:ascii="Calibri" w:hAnsi="Calibri" w:eastAsia="宋体" w:cs="Times New Roman"/>
      <w:szCs w:val="20"/>
    </w:rPr>
  </w:style>
  <w:style w:type="paragraph" w:styleId="16">
    <w:name w:val="index 4"/>
    <w:basedOn w:val="1"/>
    <w:next w:val="1"/>
    <w:qFormat/>
    <w:uiPriority w:val="0"/>
    <w:pPr>
      <w:ind w:left="600" w:leftChars="600"/>
    </w:pPr>
  </w:style>
  <w:style w:type="paragraph" w:styleId="17">
    <w:name w:val="toc 5"/>
    <w:basedOn w:val="1"/>
    <w:next w:val="1"/>
    <w:qFormat/>
    <w:uiPriority w:val="39"/>
    <w:pPr>
      <w:ind w:left="960"/>
      <w:jc w:val="left"/>
    </w:pPr>
    <w:rPr>
      <w:rFonts w:ascii="Calibri" w:hAnsi="Calibri" w:eastAsia="宋体" w:cs="Times New Roman"/>
      <w:sz w:val="18"/>
      <w:szCs w:val="18"/>
    </w:rPr>
  </w:style>
  <w:style w:type="paragraph" w:styleId="18">
    <w:name w:val="Plain Text"/>
    <w:basedOn w:val="1"/>
    <w:link w:val="72"/>
    <w:qFormat/>
    <w:uiPriority w:val="0"/>
    <w:rPr>
      <w:rFonts w:ascii="宋体" w:hAnsi="Courier New"/>
    </w:rPr>
  </w:style>
  <w:style w:type="paragraph" w:styleId="19">
    <w:name w:val="toc 8"/>
    <w:basedOn w:val="1"/>
    <w:next w:val="1"/>
    <w:qFormat/>
    <w:uiPriority w:val="39"/>
    <w:pPr>
      <w:ind w:left="1680"/>
      <w:jc w:val="left"/>
    </w:pPr>
    <w:rPr>
      <w:rFonts w:ascii="Calibri" w:hAnsi="Calibri" w:eastAsia="宋体" w:cs="Times New Roman"/>
      <w:sz w:val="18"/>
      <w:szCs w:val="18"/>
    </w:rPr>
  </w:style>
  <w:style w:type="paragraph" w:styleId="20">
    <w:name w:val="Date"/>
    <w:basedOn w:val="1"/>
    <w:next w:val="1"/>
    <w:link w:val="63"/>
    <w:qFormat/>
    <w:uiPriority w:val="0"/>
    <w:pPr>
      <w:ind w:left="100" w:leftChars="2500"/>
    </w:pPr>
    <w:rPr>
      <w:sz w:val="24"/>
    </w:rPr>
  </w:style>
  <w:style w:type="paragraph" w:styleId="21">
    <w:name w:val="Body Text Indent 2"/>
    <w:basedOn w:val="1"/>
    <w:link w:val="51"/>
    <w:qFormat/>
    <w:uiPriority w:val="0"/>
    <w:pPr>
      <w:spacing w:after="120" w:line="480" w:lineRule="auto"/>
      <w:ind w:left="420" w:leftChars="200"/>
    </w:pPr>
  </w:style>
  <w:style w:type="paragraph" w:styleId="22">
    <w:name w:val="Balloon Text"/>
    <w:basedOn w:val="1"/>
    <w:link w:val="67"/>
    <w:qFormat/>
    <w:uiPriority w:val="0"/>
    <w:rPr>
      <w:sz w:val="18"/>
    </w:rPr>
  </w:style>
  <w:style w:type="paragraph" w:styleId="23">
    <w:name w:val="footer"/>
    <w:basedOn w:val="1"/>
    <w:link w:val="73"/>
    <w:qFormat/>
    <w:uiPriority w:val="99"/>
    <w:pPr>
      <w:tabs>
        <w:tab w:val="center" w:pos="4153"/>
        <w:tab w:val="right" w:pos="8306"/>
      </w:tabs>
      <w:snapToGrid w:val="0"/>
      <w:jc w:val="left"/>
    </w:pPr>
    <w:rPr>
      <w:sz w:val="18"/>
    </w:rPr>
  </w:style>
  <w:style w:type="paragraph" w:styleId="24">
    <w:name w:val="header"/>
    <w:basedOn w:val="1"/>
    <w:link w:val="59"/>
    <w:qFormat/>
    <w:uiPriority w:val="0"/>
    <w:pPr>
      <w:pBdr>
        <w:bottom w:val="single" w:color="auto" w:sz="6" w:space="1"/>
      </w:pBdr>
      <w:tabs>
        <w:tab w:val="center" w:pos="4153"/>
        <w:tab w:val="right" w:pos="8306"/>
      </w:tabs>
      <w:snapToGrid w:val="0"/>
      <w:jc w:val="center"/>
    </w:pPr>
    <w:rPr>
      <w:sz w:val="18"/>
    </w:rPr>
  </w:style>
  <w:style w:type="paragraph" w:styleId="25">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6">
    <w:name w:val="toc 4"/>
    <w:basedOn w:val="1"/>
    <w:next w:val="1"/>
    <w:qFormat/>
    <w:uiPriority w:val="39"/>
    <w:pPr>
      <w:ind w:left="720"/>
      <w:jc w:val="left"/>
    </w:pPr>
    <w:rPr>
      <w:rFonts w:ascii="Calibri" w:hAnsi="Calibri" w:eastAsia="宋体" w:cs="Times New Roman"/>
      <w:sz w:val="18"/>
      <w:szCs w:val="18"/>
    </w:rPr>
  </w:style>
  <w:style w:type="paragraph" w:styleId="27">
    <w:name w:val="List"/>
    <w:basedOn w:val="1"/>
    <w:qFormat/>
    <w:uiPriority w:val="99"/>
    <w:pPr>
      <w:ind w:left="420" w:hanging="420"/>
    </w:pPr>
    <w:rPr>
      <w:rFonts w:ascii="Times New Roman" w:hAnsi="Times New Roman" w:eastAsia="宋体" w:cs="Times New Roman"/>
      <w:szCs w:val="20"/>
    </w:rPr>
  </w:style>
  <w:style w:type="paragraph" w:styleId="28">
    <w:name w:val="toc 6"/>
    <w:basedOn w:val="1"/>
    <w:next w:val="1"/>
    <w:qFormat/>
    <w:uiPriority w:val="39"/>
    <w:pPr>
      <w:ind w:left="1200"/>
      <w:jc w:val="left"/>
    </w:pPr>
    <w:rPr>
      <w:rFonts w:ascii="Calibri" w:hAnsi="Calibri" w:eastAsia="宋体" w:cs="Times New Roman"/>
      <w:sz w:val="18"/>
      <w:szCs w:val="18"/>
    </w:rPr>
  </w:style>
  <w:style w:type="paragraph" w:styleId="29">
    <w:name w:val="Body Text Indent 3"/>
    <w:basedOn w:val="1"/>
    <w:link w:val="53"/>
    <w:qFormat/>
    <w:uiPriority w:val="0"/>
    <w:pPr>
      <w:spacing w:after="120"/>
      <w:ind w:left="420" w:leftChars="200"/>
    </w:pPr>
    <w:rPr>
      <w:sz w:val="16"/>
    </w:rPr>
  </w:style>
  <w:style w:type="paragraph" w:styleId="30">
    <w:name w:val="toc 2"/>
    <w:basedOn w:val="1"/>
    <w:next w:val="1"/>
    <w:unhideWhenUsed/>
    <w:qFormat/>
    <w:uiPriority w:val="39"/>
    <w:pPr>
      <w:ind w:left="420" w:leftChars="200"/>
    </w:pPr>
    <w:rPr>
      <w:rFonts w:ascii="Calibri" w:hAnsi="Calibri" w:eastAsia="宋体" w:cs="Times New Roman"/>
      <w:szCs w:val="20"/>
    </w:rPr>
  </w:style>
  <w:style w:type="paragraph" w:styleId="31">
    <w:name w:val="toc 9"/>
    <w:basedOn w:val="1"/>
    <w:next w:val="1"/>
    <w:qFormat/>
    <w:uiPriority w:val="39"/>
    <w:pPr>
      <w:ind w:left="1920"/>
      <w:jc w:val="left"/>
    </w:pPr>
    <w:rPr>
      <w:rFonts w:ascii="Calibri" w:hAnsi="Calibri" w:eastAsia="宋体" w:cs="Times New Roman"/>
      <w:sz w:val="18"/>
      <w:szCs w:val="18"/>
    </w:rPr>
  </w:style>
  <w:style w:type="paragraph" w:styleId="32">
    <w:name w:val="Normal (Web)"/>
    <w:basedOn w:val="1"/>
    <w:qFormat/>
    <w:uiPriority w:val="99"/>
    <w:rPr>
      <w:rFonts w:ascii="Calibri" w:hAnsi="Calibri" w:eastAsia="宋体" w:cs="Times New Roman"/>
      <w:sz w:val="24"/>
      <w:szCs w:val="20"/>
    </w:rPr>
  </w:style>
  <w:style w:type="paragraph" w:styleId="33">
    <w:name w:val="index 1"/>
    <w:basedOn w:val="1"/>
    <w:next w:val="1"/>
    <w:qFormat/>
    <w:uiPriority w:val="99"/>
    <w:rPr>
      <w:rFonts w:ascii="Calibri" w:hAnsi="Calibri" w:eastAsia="宋体" w:cs="Times New Roman"/>
      <w:sz w:val="24"/>
      <w:szCs w:val="24"/>
    </w:rPr>
  </w:style>
  <w:style w:type="paragraph" w:styleId="34">
    <w:name w:val="Title"/>
    <w:basedOn w:val="1"/>
    <w:next w:val="1"/>
    <w:link w:val="62"/>
    <w:qFormat/>
    <w:uiPriority w:val="0"/>
    <w:pPr>
      <w:spacing w:before="160" w:after="40" w:line="240" w:lineRule="atLeast"/>
      <w:ind w:left="425" w:hanging="425"/>
      <w:jc w:val="center"/>
      <w:outlineLvl w:val="0"/>
    </w:pPr>
    <w:rPr>
      <w:rFonts w:ascii="Arial" w:hAnsi="Arial"/>
      <w:b/>
      <w:sz w:val="32"/>
    </w:rPr>
  </w:style>
  <w:style w:type="paragraph" w:styleId="35">
    <w:name w:val="annotation subject"/>
    <w:basedOn w:val="12"/>
    <w:next w:val="12"/>
    <w:link w:val="52"/>
    <w:qFormat/>
    <w:uiPriority w:val="0"/>
    <w:rPr>
      <w:b/>
    </w:rPr>
  </w:style>
  <w:style w:type="paragraph" w:styleId="36">
    <w:name w:val="Body Text First Indent 2"/>
    <w:basedOn w:val="15"/>
    <w:semiHidden/>
    <w:qFormat/>
    <w:uiPriority w:val="99"/>
    <w:pPr>
      <w:spacing w:line="276" w:lineRule="auto"/>
      <w:ind w:firstLine="420" w:firstLineChars="200"/>
      <w:jc w:val="left"/>
    </w:pPr>
  </w:style>
  <w:style w:type="table" w:styleId="38">
    <w:name w:val="Table Grid"/>
    <w:basedOn w:val="37"/>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0">
    <w:name w:val="Strong"/>
    <w:basedOn w:val="39"/>
    <w:qFormat/>
    <w:uiPriority w:val="22"/>
    <w:rPr>
      <w:b/>
    </w:rPr>
  </w:style>
  <w:style w:type="character" w:styleId="41">
    <w:name w:val="page number"/>
    <w:basedOn w:val="39"/>
    <w:qFormat/>
    <w:uiPriority w:val="99"/>
    <w:rPr>
      <w:rFonts w:cs="Times New Roman"/>
    </w:rPr>
  </w:style>
  <w:style w:type="character" w:styleId="42">
    <w:name w:val="FollowedHyperlink"/>
    <w:basedOn w:val="39"/>
    <w:qFormat/>
    <w:uiPriority w:val="99"/>
    <w:rPr>
      <w:color w:val="800080"/>
      <w:u w:val="single"/>
    </w:rPr>
  </w:style>
  <w:style w:type="character" w:styleId="43">
    <w:name w:val="Emphasis"/>
    <w:qFormat/>
    <w:uiPriority w:val="99"/>
    <w:rPr>
      <w:rFonts w:cs="Times New Roman"/>
      <w:color w:val="auto"/>
    </w:rPr>
  </w:style>
  <w:style w:type="character" w:styleId="44">
    <w:name w:val="HTML Acronym"/>
    <w:basedOn w:val="39"/>
    <w:qFormat/>
    <w:uiPriority w:val="99"/>
  </w:style>
  <w:style w:type="character" w:styleId="45">
    <w:name w:val="Hyperlink"/>
    <w:basedOn w:val="39"/>
    <w:qFormat/>
    <w:uiPriority w:val="99"/>
    <w:rPr>
      <w:color w:val="1F4F88"/>
      <w:u w:val="none"/>
    </w:rPr>
  </w:style>
  <w:style w:type="character" w:styleId="46">
    <w:name w:val="annotation reference"/>
    <w:basedOn w:val="39"/>
    <w:qFormat/>
    <w:uiPriority w:val="99"/>
    <w:rPr>
      <w:sz w:val="21"/>
    </w:rPr>
  </w:style>
  <w:style w:type="character" w:customStyle="1" w:styleId="47">
    <w:name w:val="标题 1 字符"/>
    <w:basedOn w:val="39"/>
    <w:link w:val="2"/>
    <w:qFormat/>
    <w:uiPriority w:val="9"/>
    <w:rPr>
      <w:rFonts w:ascii="Calibri" w:hAnsi="Calibri" w:eastAsia="宋体" w:cs="Times New Roman"/>
      <w:b/>
      <w:bCs/>
      <w:kern w:val="44"/>
      <w:sz w:val="36"/>
      <w:szCs w:val="44"/>
    </w:rPr>
  </w:style>
  <w:style w:type="character" w:customStyle="1" w:styleId="48">
    <w:name w:val="标题 2 字符"/>
    <w:basedOn w:val="39"/>
    <w:link w:val="4"/>
    <w:qFormat/>
    <w:uiPriority w:val="9"/>
    <w:rPr>
      <w:rFonts w:ascii="Arial" w:hAnsi="Arial" w:eastAsia="宋体" w:cs="Times New Roman"/>
      <w:b/>
      <w:bCs/>
      <w:sz w:val="24"/>
      <w:szCs w:val="32"/>
    </w:rPr>
  </w:style>
  <w:style w:type="character" w:customStyle="1" w:styleId="49">
    <w:name w:val="标题 3 字符"/>
    <w:basedOn w:val="39"/>
    <w:link w:val="5"/>
    <w:semiHidden/>
    <w:qFormat/>
    <w:uiPriority w:val="9"/>
    <w:rPr>
      <w:rFonts w:ascii="Calibri" w:hAnsi="Calibri" w:eastAsia="宋体" w:cs="Times New Roman"/>
      <w:b/>
      <w:bCs/>
      <w:sz w:val="32"/>
      <w:szCs w:val="32"/>
    </w:rPr>
  </w:style>
  <w:style w:type="character" w:customStyle="1" w:styleId="50">
    <w:name w:val="Char Char3"/>
    <w:qFormat/>
    <w:uiPriority w:val="0"/>
    <w:rPr>
      <w:rFonts w:ascii="宋体" w:hAnsi="Courier New" w:eastAsia="宋体"/>
      <w:kern w:val="2"/>
      <w:sz w:val="21"/>
      <w:lang w:val="en-US" w:eastAsia="zh-CN"/>
    </w:rPr>
  </w:style>
  <w:style w:type="character" w:customStyle="1" w:styleId="51">
    <w:name w:val="正文文本缩进 2 字符"/>
    <w:link w:val="21"/>
    <w:qFormat/>
    <w:locked/>
    <w:uiPriority w:val="0"/>
  </w:style>
  <w:style w:type="character" w:customStyle="1" w:styleId="52">
    <w:name w:val="批注主题 字符"/>
    <w:link w:val="35"/>
    <w:qFormat/>
    <w:locked/>
    <w:uiPriority w:val="0"/>
    <w:rPr>
      <w:b/>
    </w:rPr>
  </w:style>
  <w:style w:type="character" w:customStyle="1" w:styleId="53">
    <w:name w:val="正文文本缩进 3 字符"/>
    <w:link w:val="29"/>
    <w:qFormat/>
    <w:locked/>
    <w:uiPriority w:val="0"/>
    <w:rPr>
      <w:sz w:val="16"/>
    </w:rPr>
  </w:style>
  <w:style w:type="character" w:customStyle="1" w:styleId="54">
    <w:name w:val="纯文本 Char"/>
    <w:qFormat/>
    <w:uiPriority w:val="0"/>
    <w:rPr>
      <w:rFonts w:ascii="宋体" w:hAnsi="Courier New" w:eastAsia="宋体"/>
      <w:kern w:val="2"/>
      <w:sz w:val="21"/>
      <w:lang w:val="en-US" w:eastAsia="zh-CN"/>
    </w:rPr>
  </w:style>
  <w:style w:type="character" w:customStyle="1" w:styleId="55">
    <w:name w:val="Char Char2"/>
    <w:qFormat/>
    <w:uiPriority w:val="0"/>
    <w:rPr>
      <w:rFonts w:ascii="宋体" w:hAnsi="Courier New"/>
      <w:kern w:val="2"/>
      <w:sz w:val="21"/>
    </w:rPr>
  </w:style>
  <w:style w:type="character" w:customStyle="1" w:styleId="56">
    <w:name w:val="列出段落 字符"/>
    <w:link w:val="57"/>
    <w:qFormat/>
    <w:locked/>
    <w:uiPriority w:val="34"/>
    <w:rPr>
      <w:sz w:val="22"/>
    </w:rPr>
  </w:style>
  <w:style w:type="paragraph" w:customStyle="1" w:styleId="57">
    <w:name w:val="列出段落1"/>
    <w:basedOn w:val="1"/>
    <w:link w:val="56"/>
    <w:qFormat/>
    <w:uiPriority w:val="34"/>
    <w:pPr>
      <w:ind w:firstLine="420" w:firstLineChars="200"/>
    </w:pPr>
    <w:rPr>
      <w:sz w:val="22"/>
    </w:rPr>
  </w:style>
  <w:style w:type="character" w:customStyle="1" w:styleId="58">
    <w:name w:val="apple-converted-space"/>
    <w:basedOn w:val="39"/>
    <w:qFormat/>
    <w:uiPriority w:val="0"/>
    <w:rPr>
      <w:rFonts w:cs="Times New Roman"/>
    </w:rPr>
  </w:style>
  <w:style w:type="character" w:customStyle="1" w:styleId="59">
    <w:name w:val="页眉 字符"/>
    <w:link w:val="24"/>
    <w:qFormat/>
    <w:locked/>
    <w:uiPriority w:val="0"/>
    <w:rPr>
      <w:sz w:val="18"/>
    </w:rPr>
  </w:style>
  <w:style w:type="character" w:customStyle="1" w:styleId="60">
    <w:name w:val="BODY TEXT Char"/>
    <w:qFormat/>
    <w:locked/>
    <w:uiPriority w:val="0"/>
    <w:rPr>
      <w:rFonts w:eastAsia="新宋体"/>
      <w:kern w:val="2"/>
      <w:sz w:val="21"/>
    </w:rPr>
  </w:style>
  <w:style w:type="character" w:customStyle="1" w:styleId="61">
    <w:name w:val="批注文字 字符"/>
    <w:link w:val="12"/>
    <w:qFormat/>
    <w:locked/>
    <w:uiPriority w:val="0"/>
  </w:style>
  <w:style w:type="character" w:customStyle="1" w:styleId="62">
    <w:name w:val="标题 字符"/>
    <w:link w:val="34"/>
    <w:qFormat/>
    <w:locked/>
    <w:uiPriority w:val="0"/>
    <w:rPr>
      <w:rFonts w:ascii="Arial" w:hAnsi="Arial"/>
      <w:b/>
      <w:sz w:val="32"/>
    </w:rPr>
  </w:style>
  <w:style w:type="character" w:customStyle="1" w:styleId="63">
    <w:name w:val="日期 字符"/>
    <w:link w:val="20"/>
    <w:qFormat/>
    <w:locked/>
    <w:uiPriority w:val="0"/>
    <w:rPr>
      <w:sz w:val="24"/>
    </w:rPr>
  </w:style>
  <w:style w:type="character" w:customStyle="1" w:styleId="64">
    <w:name w:val="ATXT_Bullets Zchn"/>
    <w:link w:val="65"/>
    <w:qFormat/>
    <w:locked/>
    <w:uiPriority w:val="99"/>
    <w:rPr>
      <w:rFonts w:ascii="Arial" w:hAnsi="Arial"/>
      <w:lang w:val="de-AT" w:eastAsia="zh-CN"/>
    </w:rPr>
  </w:style>
  <w:style w:type="paragraph" w:customStyle="1" w:styleId="65">
    <w:name w:val="ATXT_Bullets"/>
    <w:link w:val="64"/>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6">
    <w:name w:val="Char Char5"/>
    <w:qFormat/>
    <w:uiPriority w:val="0"/>
    <w:rPr>
      <w:rFonts w:ascii="宋体" w:hAnsi="Courier New" w:eastAsia="宋体"/>
      <w:kern w:val="2"/>
      <w:sz w:val="21"/>
      <w:lang w:val="en-US" w:eastAsia="zh-CN"/>
    </w:rPr>
  </w:style>
  <w:style w:type="character" w:customStyle="1" w:styleId="67">
    <w:name w:val="批注框文本 字符"/>
    <w:link w:val="22"/>
    <w:qFormat/>
    <w:locked/>
    <w:uiPriority w:val="0"/>
    <w:rPr>
      <w:sz w:val="18"/>
    </w:rPr>
  </w:style>
  <w:style w:type="character" w:customStyle="1" w:styleId="68">
    <w:name w:val="批注文字 Char"/>
    <w:qFormat/>
    <w:uiPriority w:val="0"/>
    <w:rPr>
      <w:kern w:val="2"/>
    </w:rPr>
  </w:style>
  <w:style w:type="character" w:customStyle="1" w:styleId="69">
    <w:name w:val="批注主题 Char"/>
    <w:qFormat/>
    <w:uiPriority w:val="0"/>
    <w:rPr>
      <w:b/>
      <w:kern w:val="2"/>
    </w:rPr>
  </w:style>
  <w:style w:type="character" w:customStyle="1" w:styleId="70">
    <w:name w:val="文档结构图 字符"/>
    <w:link w:val="10"/>
    <w:qFormat/>
    <w:locked/>
    <w:uiPriority w:val="0"/>
    <w:rPr>
      <w:sz w:val="24"/>
      <w:shd w:val="clear" w:color="auto" w:fill="000080"/>
    </w:rPr>
  </w:style>
  <w:style w:type="character" w:customStyle="1" w:styleId="71">
    <w:name w:val="HTML Markup"/>
    <w:qFormat/>
    <w:uiPriority w:val="0"/>
    <w:rPr>
      <w:vanish/>
      <w:color w:val="FF0000"/>
    </w:rPr>
  </w:style>
  <w:style w:type="character" w:customStyle="1" w:styleId="72">
    <w:name w:val="纯文本 字符"/>
    <w:link w:val="18"/>
    <w:qFormat/>
    <w:locked/>
    <w:uiPriority w:val="0"/>
    <w:rPr>
      <w:rFonts w:ascii="宋体" w:hAnsi="Courier New"/>
    </w:rPr>
  </w:style>
  <w:style w:type="character" w:customStyle="1" w:styleId="73">
    <w:name w:val="页脚 字符"/>
    <w:link w:val="23"/>
    <w:qFormat/>
    <w:locked/>
    <w:uiPriority w:val="99"/>
    <w:rPr>
      <w:sz w:val="18"/>
    </w:rPr>
  </w:style>
  <w:style w:type="character" w:customStyle="1" w:styleId="74">
    <w:name w:val="Default Char"/>
    <w:link w:val="14"/>
    <w:qFormat/>
    <w:locked/>
    <w:uiPriority w:val="0"/>
    <w:rPr>
      <w:rFonts w:ascii="仿宋_GB2312" w:eastAsia="仿宋_GB2312"/>
      <w:color w:val="000000"/>
      <w:sz w:val="24"/>
    </w:rPr>
  </w:style>
  <w:style w:type="character" w:customStyle="1" w:styleId="75">
    <w:name w:val="页脚 Char"/>
    <w:qFormat/>
    <w:locked/>
    <w:uiPriority w:val="99"/>
    <w:rPr>
      <w:sz w:val="18"/>
    </w:rPr>
  </w:style>
  <w:style w:type="character" w:customStyle="1" w:styleId="76">
    <w:name w:val="批注文字 字符1"/>
    <w:basedOn w:val="39"/>
    <w:semiHidden/>
    <w:qFormat/>
    <w:uiPriority w:val="99"/>
  </w:style>
  <w:style w:type="character" w:customStyle="1" w:styleId="77">
    <w:name w:val="批注文字 字符11"/>
    <w:basedOn w:val="39"/>
    <w:qFormat/>
    <w:uiPriority w:val="0"/>
    <w:rPr>
      <w:rFonts w:cs="Times New Roman"/>
      <w:kern w:val="2"/>
      <w:sz w:val="21"/>
    </w:rPr>
  </w:style>
  <w:style w:type="character" w:customStyle="1" w:styleId="78">
    <w:name w:val="正文文本缩进 字符"/>
    <w:basedOn w:val="39"/>
    <w:link w:val="15"/>
    <w:qFormat/>
    <w:uiPriority w:val="99"/>
    <w:rPr>
      <w:rFonts w:ascii="Calibri" w:hAnsi="Calibri" w:eastAsia="宋体" w:cs="Times New Roman"/>
      <w:szCs w:val="20"/>
    </w:rPr>
  </w:style>
  <w:style w:type="character" w:customStyle="1" w:styleId="79">
    <w:name w:val="文档结构图 字符1"/>
    <w:basedOn w:val="39"/>
    <w:semiHidden/>
    <w:qFormat/>
    <w:uiPriority w:val="99"/>
    <w:rPr>
      <w:rFonts w:ascii="Microsoft YaHei UI" w:eastAsia="Microsoft YaHei UI"/>
      <w:sz w:val="18"/>
      <w:szCs w:val="18"/>
    </w:rPr>
  </w:style>
  <w:style w:type="character" w:customStyle="1" w:styleId="80">
    <w:name w:val="文档结构图 字符11"/>
    <w:basedOn w:val="39"/>
    <w:semiHidden/>
    <w:qFormat/>
    <w:uiPriority w:val="99"/>
    <w:rPr>
      <w:rFonts w:ascii="Microsoft YaHei UI" w:eastAsia="Microsoft YaHei UI" w:cs="Times New Roman"/>
      <w:kern w:val="2"/>
      <w:sz w:val="18"/>
      <w:szCs w:val="18"/>
    </w:rPr>
  </w:style>
  <w:style w:type="character" w:customStyle="1" w:styleId="81">
    <w:name w:val="正文文本 字符"/>
    <w:basedOn w:val="39"/>
    <w:link w:val="13"/>
    <w:qFormat/>
    <w:uiPriority w:val="99"/>
    <w:rPr>
      <w:rFonts w:ascii="Calibri" w:hAnsi="Calibri" w:eastAsia="新宋体" w:cs="Times New Roman"/>
      <w:szCs w:val="21"/>
    </w:rPr>
  </w:style>
  <w:style w:type="character" w:customStyle="1" w:styleId="82">
    <w:name w:val="纯文本 字符1"/>
    <w:basedOn w:val="39"/>
    <w:semiHidden/>
    <w:qFormat/>
    <w:uiPriority w:val="99"/>
    <w:rPr>
      <w:rFonts w:hAnsi="Courier New" w:cs="Courier New" w:asciiTheme="minorEastAsia"/>
    </w:rPr>
  </w:style>
  <w:style w:type="character" w:customStyle="1" w:styleId="83">
    <w:name w:val="纯文本 字符11"/>
    <w:basedOn w:val="39"/>
    <w:qFormat/>
    <w:uiPriority w:val="0"/>
    <w:rPr>
      <w:rFonts w:hAnsi="Courier New" w:cs="Courier New" w:asciiTheme="minorEastAsia" w:eastAsiaTheme="minorEastAsia"/>
      <w:kern w:val="2"/>
      <w:sz w:val="21"/>
    </w:rPr>
  </w:style>
  <w:style w:type="character" w:customStyle="1" w:styleId="84">
    <w:name w:val="页眉 字符1"/>
    <w:basedOn w:val="39"/>
    <w:semiHidden/>
    <w:qFormat/>
    <w:uiPriority w:val="99"/>
    <w:rPr>
      <w:sz w:val="18"/>
      <w:szCs w:val="18"/>
    </w:rPr>
  </w:style>
  <w:style w:type="character" w:customStyle="1" w:styleId="85">
    <w:name w:val="页眉 字符11"/>
    <w:basedOn w:val="39"/>
    <w:semiHidden/>
    <w:qFormat/>
    <w:uiPriority w:val="99"/>
    <w:rPr>
      <w:rFonts w:cs="Times New Roman"/>
      <w:kern w:val="2"/>
      <w:sz w:val="18"/>
      <w:szCs w:val="18"/>
    </w:rPr>
  </w:style>
  <w:style w:type="character" w:customStyle="1" w:styleId="86">
    <w:name w:val="批注框文本 字符1"/>
    <w:basedOn w:val="39"/>
    <w:semiHidden/>
    <w:qFormat/>
    <w:uiPriority w:val="99"/>
    <w:rPr>
      <w:sz w:val="18"/>
      <w:szCs w:val="18"/>
    </w:rPr>
  </w:style>
  <w:style w:type="character" w:customStyle="1" w:styleId="87">
    <w:name w:val="批注框文本 字符11"/>
    <w:basedOn w:val="39"/>
    <w:semiHidden/>
    <w:qFormat/>
    <w:uiPriority w:val="99"/>
    <w:rPr>
      <w:rFonts w:cs="Times New Roman"/>
      <w:kern w:val="2"/>
      <w:sz w:val="18"/>
      <w:szCs w:val="18"/>
    </w:rPr>
  </w:style>
  <w:style w:type="character" w:customStyle="1" w:styleId="88">
    <w:name w:val="日期 字符1"/>
    <w:basedOn w:val="39"/>
    <w:semiHidden/>
    <w:qFormat/>
    <w:uiPriority w:val="99"/>
  </w:style>
  <w:style w:type="character" w:customStyle="1" w:styleId="89">
    <w:name w:val="日期 字符11"/>
    <w:basedOn w:val="39"/>
    <w:semiHidden/>
    <w:qFormat/>
    <w:uiPriority w:val="99"/>
    <w:rPr>
      <w:rFonts w:cs="Times New Roman"/>
      <w:kern w:val="2"/>
      <w:sz w:val="21"/>
    </w:rPr>
  </w:style>
  <w:style w:type="character" w:customStyle="1" w:styleId="90">
    <w:name w:val="页脚 字符1"/>
    <w:basedOn w:val="39"/>
    <w:semiHidden/>
    <w:qFormat/>
    <w:uiPriority w:val="99"/>
    <w:rPr>
      <w:sz w:val="18"/>
      <w:szCs w:val="18"/>
    </w:rPr>
  </w:style>
  <w:style w:type="character" w:customStyle="1" w:styleId="91">
    <w:name w:val="页脚 字符11"/>
    <w:basedOn w:val="39"/>
    <w:semiHidden/>
    <w:qFormat/>
    <w:uiPriority w:val="99"/>
    <w:rPr>
      <w:rFonts w:cs="Times New Roman"/>
      <w:kern w:val="2"/>
      <w:sz w:val="18"/>
      <w:szCs w:val="18"/>
    </w:rPr>
  </w:style>
  <w:style w:type="character" w:customStyle="1" w:styleId="92">
    <w:name w:val="正文文本缩进 2 字符1"/>
    <w:basedOn w:val="39"/>
    <w:semiHidden/>
    <w:qFormat/>
    <w:uiPriority w:val="99"/>
  </w:style>
  <w:style w:type="character" w:customStyle="1" w:styleId="93">
    <w:name w:val="正文文本缩进 2 字符11"/>
    <w:basedOn w:val="39"/>
    <w:semiHidden/>
    <w:qFormat/>
    <w:uiPriority w:val="99"/>
    <w:rPr>
      <w:rFonts w:cs="Times New Roman"/>
      <w:kern w:val="2"/>
      <w:sz w:val="21"/>
    </w:rPr>
  </w:style>
  <w:style w:type="character" w:customStyle="1" w:styleId="94">
    <w:name w:val="正文文本缩进 3 字符1"/>
    <w:basedOn w:val="39"/>
    <w:semiHidden/>
    <w:qFormat/>
    <w:uiPriority w:val="99"/>
    <w:rPr>
      <w:sz w:val="16"/>
      <w:szCs w:val="16"/>
    </w:rPr>
  </w:style>
  <w:style w:type="character" w:customStyle="1" w:styleId="95">
    <w:name w:val="正文文本缩进 3 字符11"/>
    <w:basedOn w:val="39"/>
    <w:semiHidden/>
    <w:qFormat/>
    <w:uiPriority w:val="99"/>
    <w:rPr>
      <w:rFonts w:cs="Times New Roman"/>
      <w:kern w:val="2"/>
      <w:sz w:val="16"/>
      <w:szCs w:val="16"/>
    </w:rPr>
  </w:style>
  <w:style w:type="character" w:customStyle="1" w:styleId="96">
    <w:name w:val="批注主题 字符1"/>
    <w:basedOn w:val="76"/>
    <w:semiHidden/>
    <w:qFormat/>
    <w:uiPriority w:val="99"/>
    <w:rPr>
      <w:b/>
      <w:bCs/>
    </w:rPr>
  </w:style>
  <w:style w:type="character" w:customStyle="1" w:styleId="97">
    <w:name w:val="批注主题 字符11"/>
    <w:basedOn w:val="77"/>
    <w:semiHidden/>
    <w:qFormat/>
    <w:uiPriority w:val="99"/>
    <w:rPr>
      <w:rFonts w:cs="Times New Roman"/>
      <w:b/>
      <w:bCs/>
      <w:kern w:val="2"/>
      <w:sz w:val="21"/>
    </w:rPr>
  </w:style>
  <w:style w:type="character" w:customStyle="1" w:styleId="98">
    <w:name w:val="标题 字符1"/>
    <w:basedOn w:val="39"/>
    <w:qFormat/>
    <w:uiPriority w:val="10"/>
    <w:rPr>
      <w:rFonts w:asciiTheme="majorHAnsi" w:hAnsiTheme="majorHAnsi" w:eastAsiaTheme="majorEastAsia" w:cstheme="majorBidi"/>
      <w:b/>
      <w:bCs/>
      <w:sz w:val="32"/>
      <w:szCs w:val="32"/>
    </w:rPr>
  </w:style>
  <w:style w:type="character" w:customStyle="1" w:styleId="99">
    <w:name w:val="标题 字符11"/>
    <w:basedOn w:val="39"/>
    <w:qFormat/>
    <w:uiPriority w:val="10"/>
    <w:rPr>
      <w:rFonts w:cs="Times New Roman" w:asciiTheme="majorHAnsi" w:hAnsiTheme="majorHAnsi" w:eastAsiaTheme="majorEastAsia"/>
      <w:b/>
      <w:bCs/>
      <w:kern w:val="2"/>
      <w:sz w:val="32"/>
      <w:szCs w:val="32"/>
    </w:rPr>
  </w:style>
  <w:style w:type="paragraph" w:customStyle="1" w:styleId="100">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1">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2">
    <w:name w:val="二级列表 Char"/>
    <w:basedOn w:val="1"/>
    <w:qFormat/>
    <w:uiPriority w:val="0"/>
    <w:rPr>
      <w:rFonts w:ascii="Calibri" w:hAnsi="Calibri" w:eastAsia="宋体" w:cs="Times New Roman"/>
      <w:szCs w:val="20"/>
    </w:rPr>
  </w:style>
  <w:style w:type="paragraph" w:customStyle="1" w:styleId="103">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4">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5">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6">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07">
    <w:name w:val="Char Char Char Char Char Char Char"/>
    <w:basedOn w:val="1"/>
    <w:qFormat/>
    <w:uiPriority w:val="0"/>
    <w:rPr>
      <w:rFonts w:ascii="Verdana" w:hAnsi="Verdana" w:eastAsia="宋体" w:cs="Times New Roman"/>
      <w:kern w:val="0"/>
      <w:sz w:val="20"/>
      <w:szCs w:val="20"/>
      <w:lang w:eastAsia="en-US"/>
    </w:rPr>
  </w:style>
  <w:style w:type="paragraph" w:customStyle="1" w:styleId="108">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09">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0">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1">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2">
    <w:name w:val="标书正文格式"/>
    <w:basedOn w:val="18"/>
    <w:link w:val="114"/>
    <w:qFormat/>
    <w:uiPriority w:val="0"/>
    <w:pPr>
      <w:spacing w:line="360" w:lineRule="auto"/>
      <w:ind w:firstLine="200" w:firstLineChars="200"/>
    </w:pPr>
    <w:rPr>
      <w:rFonts w:hAnsi="宋体"/>
      <w:color w:val="000000"/>
      <w:sz w:val="24"/>
      <w:szCs w:val="24"/>
    </w:rPr>
  </w:style>
  <w:style w:type="paragraph" w:customStyle="1" w:styleId="113">
    <w:name w:val="标书二级标题"/>
    <w:basedOn w:val="4"/>
    <w:link w:val="116"/>
    <w:qFormat/>
    <w:uiPriority w:val="0"/>
    <w:pPr>
      <w:spacing w:line="240" w:lineRule="auto"/>
      <w:jc w:val="left"/>
    </w:pPr>
    <w:rPr>
      <w:rFonts w:ascii="宋体" w:hAnsi="宋体" w:eastAsia="黑体"/>
      <w:b w:val="0"/>
      <w:sz w:val="28"/>
      <w:szCs w:val="30"/>
    </w:rPr>
  </w:style>
  <w:style w:type="character" w:customStyle="1" w:styleId="114">
    <w:name w:val="标书正文格式 字符"/>
    <w:link w:val="112"/>
    <w:qFormat/>
    <w:locked/>
    <w:uiPriority w:val="0"/>
    <w:rPr>
      <w:rFonts w:ascii="宋体" w:hAnsi="宋体"/>
      <w:color w:val="000000"/>
      <w:sz w:val="24"/>
      <w:szCs w:val="24"/>
    </w:rPr>
  </w:style>
  <w:style w:type="paragraph" w:customStyle="1" w:styleId="115">
    <w:name w:val="标书表格"/>
    <w:basedOn w:val="1"/>
    <w:link w:val="117"/>
    <w:qFormat/>
    <w:uiPriority w:val="0"/>
    <w:pPr>
      <w:jc w:val="center"/>
    </w:pPr>
    <w:rPr>
      <w:rFonts w:ascii="Times New Roman" w:hAnsi="Times New Roman" w:eastAsia="宋体" w:cs="Times New Roman"/>
      <w:b/>
      <w:szCs w:val="20"/>
    </w:rPr>
  </w:style>
  <w:style w:type="character" w:customStyle="1" w:styleId="116">
    <w:name w:val="标书二级标题 字符"/>
    <w:link w:val="113"/>
    <w:qFormat/>
    <w:locked/>
    <w:uiPriority w:val="0"/>
    <w:rPr>
      <w:rFonts w:ascii="宋体" w:hAnsi="宋体" w:eastAsia="黑体" w:cs="Times New Roman"/>
      <w:bCs/>
      <w:sz w:val="28"/>
      <w:szCs w:val="30"/>
    </w:rPr>
  </w:style>
  <w:style w:type="character" w:customStyle="1" w:styleId="117">
    <w:name w:val="标书表格 字符"/>
    <w:link w:val="115"/>
    <w:qFormat/>
    <w:locked/>
    <w:uiPriority w:val="0"/>
    <w:rPr>
      <w:rFonts w:ascii="Times New Roman" w:hAnsi="Times New Roman" w:eastAsia="宋体" w:cs="Times New Roman"/>
      <w:b/>
      <w:szCs w:val="20"/>
    </w:rPr>
  </w:style>
  <w:style w:type="paragraph" w:customStyle="1" w:styleId="118">
    <w:name w:val="标书三级标题"/>
    <w:basedOn w:val="5"/>
    <w:next w:val="112"/>
    <w:link w:val="119"/>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19">
    <w:name w:val="标书三级标题 字符"/>
    <w:link w:val="118"/>
    <w:qFormat/>
    <w:locked/>
    <w:uiPriority w:val="0"/>
    <w:rPr>
      <w:rFonts w:ascii="Times New Roman" w:hAnsi="Times New Roman" w:eastAsia="宋体" w:cs="Times New Roman"/>
      <w:b/>
      <w:bCs/>
      <w:color w:val="000000"/>
      <w:sz w:val="24"/>
      <w:szCs w:val="24"/>
    </w:rPr>
  </w:style>
  <w:style w:type="character" w:customStyle="1" w:styleId="120">
    <w:name w:val="标三级标题 字符"/>
    <w:link w:val="121"/>
    <w:qFormat/>
    <w:locked/>
    <w:uiPriority w:val="0"/>
    <w:rPr>
      <w:b/>
      <w:color w:val="000000"/>
      <w:sz w:val="24"/>
    </w:rPr>
  </w:style>
  <w:style w:type="paragraph" w:customStyle="1" w:styleId="121">
    <w:name w:val="标三级标题"/>
    <w:basedOn w:val="118"/>
    <w:link w:val="120"/>
    <w:qFormat/>
    <w:uiPriority w:val="0"/>
    <w:rPr>
      <w:rFonts w:asciiTheme="minorHAnsi" w:hAnsiTheme="minorHAnsi" w:eastAsiaTheme="minorEastAsia" w:cstheme="minorBidi"/>
      <w:bCs w:val="0"/>
      <w:szCs w:val="22"/>
    </w:rPr>
  </w:style>
  <w:style w:type="character" w:customStyle="1" w:styleId="122">
    <w:name w:val="标正文 字符"/>
    <w:link w:val="123"/>
    <w:qFormat/>
    <w:locked/>
    <w:uiPriority w:val="0"/>
    <w:rPr>
      <w:rFonts w:ascii="宋体" w:eastAsia="宋体"/>
      <w:color w:val="000000"/>
      <w:sz w:val="24"/>
    </w:rPr>
  </w:style>
  <w:style w:type="paragraph" w:customStyle="1" w:styleId="123">
    <w:name w:val="标正文"/>
    <w:basedOn w:val="112"/>
    <w:link w:val="122"/>
    <w:qFormat/>
    <w:uiPriority w:val="0"/>
    <w:pPr>
      <w:ind w:firstLine="480"/>
    </w:pPr>
    <w:rPr>
      <w:rFonts w:eastAsia="宋体" w:hAnsiTheme="minorHAnsi"/>
      <w:szCs w:val="22"/>
    </w:rPr>
  </w:style>
  <w:style w:type="paragraph" w:customStyle="1" w:styleId="124">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5">
    <w:name w:val="HR正文表格"/>
    <w:basedOn w:val="1"/>
    <w:qFormat/>
    <w:uiPriority w:val="0"/>
    <w:pPr>
      <w:spacing w:beforeLines="25" w:afterLines="25" w:line="300" w:lineRule="auto"/>
    </w:pPr>
    <w:rPr>
      <w:szCs w:val="24"/>
    </w:rPr>
  </w:style>
  <w:style w:type="paragraph" w:styleId="126">
    <w:name w:val="List Paragraph"/>
    <w:basedOn w:val="1"/>
    <w:qFormat/>
    <w:uiPriority w:val="99"/>
    <w:pPr>
      <w:ind w:firstLine="420" w:firstLineChars="200"/>
    </w:pPr>
  </w:style>
  <w:style w:type="paragraph" w:customStyle="1" w:styleId="127">
    <w:name w:val="WPSOffice手动目录 1"/>
    <w:qFormat/>
    <w:uiPriority w:val="0"/>
    <w:rPr>
      <w:rFonts w:ascii="Times New Roman" w:hAnsi="Times New Roman" w:eastAsia="宋体" w:cs="Times New Roman"/>
      <w:lang w:val="en-US" w:eastAsia="zh-CN" w:bidi="ar-SA"/>
    </w:rPr>
  </w:style>
  <w:style w:type="table" w:customStyle="1" w:styleId="128">
    <w:name w:val="Table Normal"/>
    <w:semiHidden/>
    <w:unhideWhenUsed/>
    <w:qFormat/>
    <w:uiPriority w:val="0"/>
    <w:tblPr>
      <w:tblCellMar>
        <w:top w:w="0" w:type="dxa"/>
        <w:left w:w="0" w:type="dxa"/>
        <w:bottom w:w="0" w:type="dxa"/>
        <w:right w:w="0" w:type="dxa"/>
      </w:tblCellMar>
    </w:tblPr>
  </w:style>
  <w:style w:type="character" w:customStyle="1" w:styleId="129">
    <w:name w:val="NormalCharacter"/>
    <w:qFormat/>
    <w:uiPriority w:val="0"/>
  </w:style>
  <w:style w:type="paragraph" w:customStyle="1" w:styleId="130">
    <w:name w:val="Table Paragraph"/>
    <w:basedOn w:val="1"/>
    <w:qFormat/>
    <w:uiPriority w:val="1"/>
    <w:rPr>
      <w:rFonts w:ascii="宋体" w:hAnsi="宋体" w:eastAsia="宋体" w:cs="宋体"/>
    </w:rPr>
  </w:style>
  <w:style w:type="paragraph" w:customStyle="1" w:styleId="131">
    <w:name w:val="标书一级标题"/>
    <w:basedOn w:val="2"/>
    <w:qFormat/>
    <w:uiPriority w:val="0"/>
    <w:rPr>
      <w:rFonts w:eastAsia="黑体"/>
      <w:b w:val="0"/>
      <w:color w:val="000000"/>
      <w:sz w:val="30"/>
      <w:szCs w:val="24"/>
    </w:rPr>
  </w:style>
  <w:style w:type="paragraph" w:customStyle="1" w:styleId="132">
    <w:name w:val="无间隔1"/>
    <w:qFormat/>
    <w:uiPriority w:val="0"/>
    <w:rPr>
      <w:rFonts w:ascii="Calibri" w:hAnsi="Calibri" w:eastAsia="Calibri" w:cs="Times New Roman"/>
      <w:szCs w:val="22"/>
      <w:lang w:val="en-GB" w:eastAsia="en-US" w:bidi="ar-SA"/>
    </w:rPr>
  </w:style>
  <w:style w:type="character" w:customStyle="1" w:styleId="133">
    <w:name w:val="font21"/>
    <w:basedOn w:val="39"/>
    <w:qFormat/>
    <w:uiPriority w:val="0"/>
    <w:rPr>
      <w:rFonts w:hint="eastAsia" w:ascii="宋体" w:hAnsi="宋体" w:eastAsia="宋体" w:cs="宋体"/>
      <w:color w:val="000000"/>
      <w:sz w:val="24"/>
      <w:szCs w:val="24"/>
      <w:u w:val="none"/>
    </w:rPr>
  </w:style>
  <w:style w:type="character" w:customStyle="1" w:styleId="134">
    <w:name w:val="font01"/>
    <w:basedOn w:val="39"/>
    <w:qFormat/>
    <w:uiPriority w:val="0"/>
    <w:rPr>
      <w:rFonts w:hint="eastAsia" w:ascii="宋体" w:hAnsi="宋体" w:eastAsia="宋体" w:cs="宋体"/>
      <w:color w:val="000000"/>
      <w:sz w:val="18"/>
      <w:szCs w:val="18"/>
      <w:u w:val="none"/>
    </w:rPr>
  </w:style>
  <w:style w:type="character" w:customStyle="1" w:styleId="135">
    <w:name w:val="15"/>
    <w:qFormat/>
    <w:uiPriority w:val="0"/>
    <w:rPr>
      <w:rFonts w:hint="eastAsia" w:ascii="微软雅黑" w:hAnsi="微软雅黑" w:eastAsia="微软雅黑"/>
      <w:color w:val="000000"/>
      <w:sz w:val="22"/>
      <w:szCs w:val="22"/>
    </w:rPr>
  </w:style>
  <w:style w:type="character" w:customStyle="1" w:styleId="136">
    <w:name w:val="font61"/>
    <w:basedOn w:val="39"/>
    <w:qFormat/>
    <w:uiPriority w:val="0"/>
    <w:rPr>
      <w:rFonts w:hint="default" w:ascii="Times New Roman" w:hAnsi="Times New Roman" w:cs="Times New Roman"/>
      <w:color w:val="000000"/>
      <w:sz w:val="20"/>
      <w:szCs w:val="20"/>
      <w:u w:val="none"/>
    </w:rPr>
  </w:style>
  <w:style w:type="character" w:customStyle="1" w:styleId="137">
    <w:name w:val="font51"/>
    <w:basedOn w:val="39"/>
    <w:qFormat/>
    <w:uiPriority w:val="0"/>
    <w:rPr>
      <w:rFonts w:hint="eastAsia" w:ascii="宋体" w:hAnsi="宋体" w:eastAsia="宋体" w:cs="宋体"/>
      <w:color w:val="000000"/>
      <w:sz w:val="20"/>
      <w:szCs w:val="20"/>
      <w:u w:val="none"/>
    </w:rPr>
  </w:style>
  <w:style w:type="paragraph" w:customStyle="1" w:styleId="138">
    <w:name w:val="Table Text"/>
    <w:basedOn w:val="1"/>
    <w:semiHidden/>
    <w:qFormat/>
    <w:uiPriority w:val="0"/>
    <w:rPr>
      <w:rFonts w:ascii="宋体" w:hAnsi="宋体" w:eastAsia="宋体" w:cs="宋体"/>
      <w:szCs w:val="21"/>
      <w:lang w:eastAsia="en-US"/>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8" Type="http://schemas.openxmlformats.org/officeDocument/2006/relationships/fontTable" Target="fontTable.xml"/><Relationship Id="rId57" Type="http://schemas.openxmlformats.org/officeDocument/2006/relationships/numbering" Target="numbering.xml"/><Relationship Id="rId56" Type="http://schemas.openxmlformats.org/officeDocument/2006/relationships/customXml" Target="../customXml/item1.xml"/><Relationship Id="rId55" Type="http://schemas.openxmlformats.org/officeDocument/2006/relationships/image" Target="media/image17.png"/><Relationship Id="rId54" Type="http://schemas.openxmlformats.org/officeDocument/2006/relationships/image" Target="media/image16.png"/><Relationship Id="rId53" Type="http://schemas.openxmlformats.org/officeDocument/2006/relationships/image" Target="media/image15.png"/><Relationship Id="rId52" Type="http://schemas.openxmlformats.org/officeDocument/2006/relationships/image" Target="media/image14.png"/><Relationship Id="rId51" Type="http://schemas.openxmlformats.org/officeDocument/2006/relationships/image" Target="media/image13.png"/><Relationship Id="rId50" Type="http://schemas.openxmlformats.org/officeDocument/2006/relationships/image" Target="media/image12.png"/><Relationship Id="rId5" Type="http://schemas.openxmlformats.org/officeDocument/2006/relationships/header" Target="header1.xml"/><Relationship Id="rId49" Type="http://schemas.openxmlformats.org/officeDocument/2006/relationships/image" Target="media/image11.png"/><Relationship Id="rId48" Type="http://schemas.openxmlformats.org/officeDocument/2006/relationships/image" Target="media/image10.png"/><Relationship Id="rId47" Type="http://schemas.openxmlformats.org/officeDocument/2006/relationships/image" Target="media/image9.png"/><Relationship Id="rId46" Type="http://schemas.openxmlformats.org/officeDocument/2006/relationships/image" Target="media/image8.png"/><Relationship Id="rId45" Type="http://schemas.openxmlformats.org/officeDocument/2006/relationships/image" Target="media/image7.png"/><Relationship Id="rId44" Type="http://schemas.openxmlformats.org/officeDocument/2006/relationships/image" Target="media/image6.png"/><Relationship Id="rId43" Type="http://schemas.openxmlformats.org/officeDocument/2006/relationships/image" Target="media/image5.png"/><Relationship Id="rId42" Type="http://schemas.openxmlformats.org/officeDocument/2006/relationships/image" Target="media/image4.png"/><Relationship Id="rId41" Type="http://schemas.openxmlformats.org/officeDocument/2006/relationships/image" Target="media/image3.png"/><Relationship Id="rId40" Type="http://schemas.openxmlformats.org/officeDocument/2006/relationships/image" Target="media/image2.png"/><Relationship Id="rId4" Type="http://schemas.openxmlformats.org/officeDocument/2006/relationships/footer" Target="footer2.xml"/><Relationship Id="rId39" Type="http://schemas.openxmlformats.org/officeDocument/2006/relationships/theme" Target="theme/theme1.xml"/><Relationship Id="rId38" Type="http://schemas.openxmlformats.org/officeDocument/2006/relationships/footer" Target="footer28.xml"/><Relationship Id="rId37" Type="http://schemas.openxmlformats.org/officeDocument/2006/relationships/footer" Target="footer27.xml"/><Relationship Id="rId36" Type="http://schemas.openxmlformats.org/officeDocument/2006/relationships/header" Target="header8.xml"/><Relationship Id="rId35" Type="http://schemas.openxmlformats.org/officeDocument/2006/relationships/header" Target="header7.xml"/><Relationship Id="rId34" Type="http://schemas.openxmlformats.org/officeDocument/2006/relationships/footer" Target="footer26.xml"/><Relationship Id="rId33" Type="http://schemas.openxmlformats.org/officeDocument/2006/relationships/footer" Target="footer25.xml"/><Relationship Id="rId32" Type="http://schemas.openxmlformats.org/officeDocument/2006/relationships/footer" Target="footer24.xml"/><Relationship Id="rId31" Type="http://schemas.openxmlformats.org/officeDocument/2006/relationships/footer" Target="footer23.xml"/><Relationship Id="rId30" Type="http://schemas.openxmlformats.org/officeDocument/2006/relationships/footer" Target="footer22.xml"/><Relationship Id="rId3" Type="http://schemas.openxmlformats.org/officeDocument/2006/relationships/footer" Target="footer1.xml"/><Relationship Id="rId29" Type="http://schemas.openxmlformats.org/officeDocument/2006/relationships/footer" Target="footer21.xml"/><Relationship Id="rId28" Type="http://schemas.openxmlformats.org/officeDocument/2006/relationships/footer" Target="footer20.xml"/><Relationship Id="rId27" Type="http://schemas.openxmlformats.org/officeDocument/2006/relationships/footer" Target="footer19.xml"/><Relationship Id="rId26" Type="http://schemas.openxmlformats.org/officeDocument/2006/relationships/footer" Target="footer18.xml"/><Relationship Id="rId25" Type="http://schemas.openxmlformats.org/officeDocument/2006/relationships/footer" Target="footer17.xml"/><Relationship Id="rId24" Type="http://schemas.openxmlformats.org/officeDocument/2006/relationships/footer" Target="footer16.xml"/><Relationship Id="rId23" Type="http://schemas.openxmlformats.org/officeDocument/2006/relationships/footer" Target="footer15.xml"/><Relationship Id="rId22" Type="http://schemas.openxmlformats.org/officeDocument/2006/relationships/footer" Target="footer14.xml"/><Relationship Id="rId21" Type="http://schemas.openxmlformats.org/officeDocument/2006/relationships/footer" Target="footer13.xml"/><Relationship Id="rId20" Type="http://schemas.openxmlformats.org/officeDocument/2006/relationships/footer" Target="footer12.xml"/><Relationship Id="rId2" Type="http://schemas.openxmlformats.org/officeDocument/2006/relationships/settings" Target="settings.xml"/><Relationship Id="rId19" Type="http://schemas.openxmlformats.org/officeDocument/2006/relationships/footer" Target="footer11.xml"/><Relationship Id="rId18" Type="http://schemas.openxmlformats.org/officeDocument/2006/relationships/footer" Target="footer10.xml"/><Relationship Id="rId17" Type="http://schemas.openxmlformats.org/officeDocument/2006/relationships/header" Target="header6.xml"/><Relationship Id="rId16" Type="http://schemas.openxmlformats.org/officeDocument/2006/relationships/footer" Target="footer9.xml"/><Relationship Id="rId15" Type="http://schemas.openxmlformats.org/officeDocument/2006/relationships/footer" Target="footer8.xml"/><Relationship Id="rId14" Type="http://schemas.openxmlformats.org/officeDocument/2006/relationships/header" Target="header5.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header" Target="header3.xml"/><Relationship Id="rId1" Type="http://schemas.openxmlformats.org/officeDocument/2006/relationships/styles" Target="styles.xml"/></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oleObject" Target="embeddings/oleObject1.bin"/></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85</Pages>
  <Words>20004</Words>
  <Characters>21075</Characters>
  <Lines>1941</Lines>
  <Paragraphs>1650</Paragraphs>
  <TotalTime>8</TotalTime>
  <ScaleCrop>false</ScaleCrop>
  <LinksUpToDate>false</LinksUpToDate>
  <CharactersWithSpaces>21658</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2025-03-07T07:40:00Z</dcterms:created>
  <dc:creator>刘剑</dc:creator>
  <cp:lastModifiedBy>Administrator</cp:lastModifiedBy>
  <dcterms:modified xsi:type="dcterms:W3CDTF">2025-11-07T07:22:14Z</dcterms:modified>
  <cp:revision>52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09BDEC1243614C78AFDF3F798DF4106D_11</vt:lpwstr>
  </property>
  <property fmtid="{D5CDD505-2E9C-101B-9397-08002B2CF9AE}" pid="4" name="KSOTemplateDocerSaveRecord">
    <vt:lpwstr>eyJoZGlkIjoiZWQxZjNmOWI4MjYxMjE3YWYxMWY4NzIzOWZkNTY1ZGEiLCJ1c2VySWQiOiI4MjkwNzMwMzkifQ==</vt:lpwstr>
  </property>
  <property fmtid="{D5CDD505-2E9C-101B-9397-08002B2CF9AE}" pid="5" name="5B77E7CEEC58BC6AFAE8886BEB80DBEB">
    <vt:lpwstr>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</vt:lpwstr>
  </property>
</Properties>
</file>