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hint="eastAsia" w:ascii="Calibri" w:hAnsi="Calibri" w:eastAsia="宋体" w:cs="Times New Roman"/>
          <w:b/>
          <w:bCs/>
          <w:color w:val="000000"/>
          <w:spacing w:val="-8"/>
          <w:sz w:val="52"/>
          <w:szCs w:val="52"/>
        </w:rPr>
      </w:pPr>
      <w:r>
        <w:rPr>
          <w:rFonts w:hint="eastAsia" w:ascii="Calibri" w:hAnsi="Calibri" w:eastAsia="宋体" w:cs="Times New Roman"/>
          <w:b/>
          <w:bCs/>
          <w:color w:val="000000"/>
          <w:spacing w:val="-8"/>
          <w:sz w:val="52"/>
          <w:szCs w:val="52"/>
        </w:rPr>
        <w:t>中国重汽集团济南动力有限公司</w:t>
      </w:r>
    </w:p>
    <w:p>
      <w:pPr>
        <w:spacing w:line="276" w:lineRule="auto"/>
        <w:jc w:val="center"/>
        <w:rPr>
          <w:rFonts w:hint="eastAsia" w:ascii="Calibri" w:hAnsi="宋体" w:eastAsia="宋体" w:cs="Times New Roman"/>
          <w:b/>
          <w:bCs/>
          <w:color w:val="000000"/>
          <w:spacing w:val="-8"/>
          <w:sz w:val="48"/>
          <w:szCs w:val="44"/>
        </w:rPr>
      </w:pPr>
      <w:r>
        <w:rPr>
          <w:rFonts w:hint="eastAsia" w:ascii="Calibri" w:hAnsi="Calibri" w:eastAsia="宋体" w:cs="Times New Roman"/>
          <w:b/>
          <w:bCs/>
          <w:color w:val="000000"/>
          <w:spacing w:val="-8"/>
          <w:sz w:val="52"/>
          <w:szCs w:val="52"/>
        </w:rPr>
        <w:t>曲轴、连杆检测能力提升项目</w:t>
      </w:r>
    </w:p>
    <w:p>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pPr>
        <w:pStyle w:val="18"/>
      </w:pPr>
    </w:p>
    <w:p>
      <w:pPr>
        <w:pStyle w:val="18"/>
      </w:pPr>
    </w:p>
    <w:p>
      <w:pPr>
        <w:pStyle w:val="18"/>
      </w:pPr>
    </w:p>
    <w:p>
      <w:pPr>
        <w:pStyle w:val="18"/>
      </w:pPr>
    </w:p>
    <w:p>
      <w:pPr>
        <w:jc w:val="right"/>
        <w:rPr>
          <w:rFonts w:ascii="Calibri" w:hAnsi="Calibri" w:eastAsia="宋体" w:cs="Times New Roman"/>
          <w:color w:val="000000"/>
          <w:sz w:val="28"/>
          <w:szCs w:val="28"/>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hint="eastAsia" w:ascii="黑体" w:hAnsi="宋体" w:eastAsia="黑体" w:cs="Times New Roman"/>
          <w:color w:val="000000"/>
          <w:sz w:val="72"/>
          <w:szCs w:val="72"/>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hint="eastAsia"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张凯凯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苏  磊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李成伍</w:t>
      </w:r>
    </w:p>
    <w:p>
      <w:pPr>
        <w:pStyle w:val="18"/>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人：中国重汽集团济南动力有限公司发动机厂</w:t>
      </w:r>
    </w:p>
    <w:p>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rPr>
        <w:t>2025年1</w:t>
      </w:r>
      <w:r>
        <w:rPr>
          <w:rFonts w:hint="eastAsia" w:ascii="Calibri" w:hAnsi="Calibri" w:eastAsia="宋体" w:cs="Times New Roman"/>
          <w:color w:val="000000"/>
          <w:sz w:val="28"/>
          <w:szCs w:val="28"/>
          <w:lang w:val="en-US" w:eastAsia="zh-CN"/>
        </w:rPr>
        <w:t>1</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hint="eastAsia" w:cs="宋体"/>
              <w:b/>
              <w:bCs/>
              <w:sz w:val="48"/>
              <w:szCs w:val="48"/>
            </w:rPr>
          </w:pPr>
          <w:r>
            <w:rPr>
              <w:rFonts w:ascii="宋体" w:hAnsi="宋体" w:eastAsia="宋体" w:cs="宋体"/>
              <w:b/>
              <w:bCs/>
              <w:sz w:val="48"/>
              <w:szCs w:val="48"/>
            </w:rPr>
            <w:t>目录</w:t>
          </w:r>
        </w:p>
        <w:p>
          <w:pPr>
            <w:pStyle w:val="25"/>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5"/>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pPr>
            <w:pStyle w:val="25"/>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25"/>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25"/>
            <w:tabs>
              <w:tab w:val="right" w:leader="dot" w:pos="9071"/>
            </w:tabs>
            <w:spacing w:line="480" w:lineRule="auto"/>
            <w:rPr>
              <w:rFonts w:hint="eastAsia"/>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pPr>
            <w:pStyle w:val="25"/>
            <w:tabs>
              <w:tab w:val="right" w:leader="dot" w:pos="9071"/>
            </w:tabs>
            <w:spacing w:line="480" w:lineRule="auto"/>
            <w:rPr>
              <w:rFonts w:hint="eastAsia"/>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pPr>
            <w:pStyle w:val="18"/>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8"/>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8"/>
        <w:jc w:val="center"/>
        <w:rPr>
          <w:rFonts w:ascii="Calibri" w:hAnsi="Calibri" w:eastAsia="宋体" w:cs="Times New Roman"/>
          <w:b/>
          <w:bCs/>
          <w:kern w:val="44"/>
          <w:sz w:val="36"/>
          <w:szCs w:val="44"/>
        </w:rPr>
      </w:pP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9"/>
                <w:rFonts w:hint="eastAsia"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hint="eastAsia" w:ascii="宋体" w:hAnsi="宋体" w:eastAsia="宋体" w:cs="宋体"/>
                <w:b/>
                <w:bCs/>
                <w:sz w:val="28"/>
                <w:szCs w:val="28"/>
              </w:rPr>
            </w:pPr>
            <w:r>
              <w:rPr>
                <w:rStyle w:val="129"/>
                <w:rFonts w:hint="eastAsia" w:ascii="宋体" w:hAnsi="宋体" w:eastAsia="宋体" w:cs="宋体"/>
                <w:b/>
                <w:sz w:val="28"/>
                <w:szCs w:val="28"/>
              </w:rPr>
              <w:t>编  列  内  容</w:t>
            </w:r>
          </w:p>
        </w:tc>
      </w:tr>
      <w:tr>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u w:val="single"/>
              </w:rPr>
              <w:t>曲轴、连杆检测能力提升项目</w:t>
            </w:r>
          </w:p>
        </w:tc>
      </w:tr>
      <w:tr>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highlight w:val="yellow"/>
              </w:rPr>
              <w:t>采购形式编号：FSCZB2025110090</w:t>
            </w:r>
          </w:p>
        </w:tc>
      </w:tr>
      <w:tr>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sz w:val="24"/>
                <w:szCs w:val="24"/>
                <w:u w:val="single"/>
              </w:rPr>
              <w:t>圆角粗糙度检测仪</w:t>
            </w:r>
          </w:p>
        </w:tc>
      </w:tr>
      <w:tr>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rPr>
              <w:t>公开招标</w:t>
            </w:r>
          </w:p>
        </w:tc>
      </w:tr>
      <w:tr>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b w:val="0"/>
                <w:bCs/>
                <w:snapToGrid w:val="0"/>
                <w:kern w:val="0"/>
                <w:sz w:val="24"/>
                <w:szCs w:val="24"/>
              </w:rPr>
              <w:t xml:space="preserve">中国重汽集团济南动力有限公司发动机厂 </w:t>
            </w:r>
          </w:p>
          <w:p>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 xml:space="preserve">济南市章丘区世纪大道7777号 </w:t>
            </w:r>
          </w:p>
          <w:p>
            <w:pPr>
              <w:ind w:firstLine="482"/>
              <w:rPr>
                <w:rFonts w:hint="eastAsia" w:ascii="宋体" w:hAnsi="宋体" w:eastAsia="宋体" w:cs="宋体"/>
                <w:bCs/>
                <w:kern w:val="0"/>
                <w:sz w:val="24"/>
                <w:szCs w:val="24"/>
              </w:rPr>
            </w:pPr>
            <w:r>
              <w:rPr>
                <w:rFonts w:ascii="宋体" w:hAnsi="宋体" w:eastAsia="宋体" w:cs="宋体"/>
                <w:b/>
                <w:kern w:val="0"/>
                <w:sz w:val="24"/>
                <w:szCs w:val="24"/>
              </w:rPr>
              <w:t>商务联系人：</w:t>
            </w:r>
            <w:r>
              <w:rPr>
                <w:rFonts w:hint="eastAsia" w:ascii="宋体" w:hAnsi="宋体" w:eastAsia="宋体" w:cs="宋体"/>
                <w:sz w:val="24"/>
                <w:szCs w:val="24"/>
              </w:rPr>
              <w:t>崔毅刚</w:t>
            </w:r>
          </w:p>
          <w:p>
            <w:pPr>
              <w:pStyle w:val="18"/>
              <w:ind w:firstLine="482"/>
              <w:rPr>
                <w:rFonts w:eastAsia="宋体"/>
              </w:rPr>
            </w:pPr>
            <w:r>
              <w:rPr>
                <w:rFonts w:eastAsia="宋体" w:cs="宋体"/>
                <w:b/>
                <w:kern w:val="0"/>
                <w:sz w:val="24"/>
                <w:szCs w:val="24"/>
              </w:rPr>
              <w:t>电话：</w:t>
            </w:r>
            <w:r>
              <w:rPr>
                <w:rFonts w:hint="eastAsia" w:eastAsia="宋体" w:cs="宋体"/>
                <w:bCs/>
                <w:kern w:val="0"/>
                <w:sz w:val="24"/>
                <w:szCs w:val="24"/>
              </w:rPr>
              <w:t>15863137802</w:t>
            </w:r>
          </w:p>
          <w:p>
            <w:pPr>
              <w:ind w:firstLine="482"/>
              <w:rPr>
                <w:rFonts w:hint="eastAsia" w:ascii="宋体" w:hAnsi="宋体" w:eastAsia="宋体" w:cs="宋体"/>
                <w:bCs/>
                <w:kern w:val="0"/>
                <w:sz w:val="24"/>
                <w:szCs w:val="24"/>
              </w:rPr>
            </w:pPr>
            <w:r>
              <w:rPr>
                <w:rFonts w:ascii="宋体" w:hAnsi="宋体" w:eastAsia="宋体" w:cs="宋体"/>
                <w:b/>
                <w:kern w:val="0"/>
                <w:sz w:val="24"/>
                <w:szCs w:val="24"/>
              </w:rPr>
              <w:t>邮箱：</w:t>
            </w:r>
            <w:r>
              <w:fldChar w:fldCharType="begin"/>
            </w:r>
            <w:r>
              <w:instrText xml:space="preserve"> HYPERLINK "mailto:liujian1@sinotruk.com" \h </w:instrText>
            </w:r>
            <w:r>
              <w:fldChar w:fldCharType="separate"/>
            </w:r>
            <w:r>
              <w:rPr>
                <w:rFonts w:hint="eastAsia" w:ascii="宋体" w:hAnsi="宋体" w:eastAsia="宋体" w:cs="宋体"/>
                <w:bCs/>
                <w:kern w:val="0"/>
                <w:sz w:val="24"/>
                <w:szCs w:val="24"/>
              </w:rPr>
              <w:t>cuiyigang@sinotruk.com</w:t>
            </w:r>
            <w:r>
              <w:rPr>
                <w:rFonts w:ascii="宋体" w:hAnsi="宋体" w:eastAsia="宋体" w:cs="宋体"/>
                <w:bCs/>
                <w:kern w:val="0"/>
                <w:sz w:val="24"/>
                <w:szCs w:val="24"/>
              </w:rPr>
              <w:fldChar w:fldCharType="end"/>
            </w:r>
          </w:p>
          <w:p>
            <w:pPr>
              <w:ind w:firstLine="482"/>
              <w:rPr>
                <w:rFonts w:hint="eastAsia" w:ascii="宋体" w:hAnsi="宋体" w:eastAsia="宋体" w:cs="宋体"/>
                <w:bCs/>
                <w:kern w:val="0"/>
                <w:sz w:val="24"/>
                <w:szCs w:val="24"/>
              </w:rPr>
            </w:pPr>
            <w:r>
              <w:rPr>
                <w:rFonts w:ascii="宋体" w:hAnsi="宋体" w:eastAsia="宋体" w:cs="宋体"/>
                <w:b/>
                <w:kern w:val="0"/>
                <w:sz w:val="24"/>
                <w:szCs w:val="24"/>
              </w:rPr>
              <w:t>技术联系人：</w:t>
            </w:r>
            <w:r>
              <w:rPr>
                <w:rFonts w:hint="eastAsia" w:ascii="宋体" w:hAnsi="宋体" w:eastAsia="宋体" w:cs="宋体"/>
                <w:sz w:val="24"/>
                <w:szCs w:val="24"/>
              </w:rPr>
              <w:t>张凯凯</w:t>
            </w:r>
          </w:p>
          <w:p>
            <w:pPr>
              <w:pStyle w:val="18"/>
              <w:ind w:firstLine="482"/>
              <w:rPr>
                <w:rFonts w:eastAsia="宋体"/>
              </w:rPr>
            </w:pPr>
            <w:r>
              <w:rPr>
                <w:rFonts w:eastAsia="宋体" w:cs="宋体"/>
                <w:b/>
                <w:kern w:val="0"/>
                <w:sz w:val="24"/>
                <w:szCs w:val="24"/>
              </w:rPr>
              <w:t>电话：</w:t>
            </w:r>
            <w:r>
              <w:rPr>
                <w:rFonts w:hint="eastAsia" w:eastAsia="宋体" w:cs="宋体"/>
                <w:bCs/>
                <w:kern w:val="0"/>
                <w:sz w:val="24"/>
                <w:szCs w:val="24"/>
              </w:rPr>
              <w:t>15966636621</w:t>
            </w:r>
          </w:p>
          <w:p>
            <w:pPr>
              <w:ind w:firstLine="482" w:firstLineChars="200"/>
              <w:rPr>
                <w:rFonts w:hint="eastAsia" w:ascii="宋体" w:hAnsi="宋体" w:eastAsia="宋体" w:cs="宋体"/>
                <w:bCs/>
                <w:kern w:val="0"/>
                <w:sz w:val="24"/>
                <w:szCs w:val="24"/>
              </w:rPr>
            </w:pPr>
            <w:r>
              <w:rPr>
                <w:rFonts w:ascii="宋体" w:hAnsi="宋体" w:eastAsia="宋体" w:cs="宋体"/>
                <w:b/>
                <w:kern w:val="0"/>
                <w:sz w:val="24"/>
                <w:szCs w:val="24"/>
              </w:rPr>
              <w:t>邮箱：</w:t>
            </w:r>
            <w:r>
              <w:rPr>
                <w:rFonts w:hint="eastAsia" w:ascii="宋体" w:hAnsi="宋体" w:eastAsia="宋体" w:cs="宋体"/>
                <w:bCs/>
                <w:color w:val="auto"/>
                <w:kern w:val="0"/>
                <w:sz w:val="24"/>
                <w:szCs w:val="24"/>
                <w:u w:val="none"/>
              </w:rPr>
              <w:t>zhangkaikai@sinotruk.com</w:t>
            </w:r>
          </w:p>
          <w:p>
            <w:pPr>
              <w:ind w:firstLine="482" w:firstLineChars="200"/>
              <w:rPr>
                <w:rFonts w:hint="eastAsia" w:ascii="宋体" w:hAnsi="宋体" w:eastAsia="宋体" w:cs="宋体"/>
                <w:bCs/>
                <w:kern w:val="0"/>
                <w:sz w:val="24"/>
                <w:szCs w:val="24"/>
                <w:lang w:val="en-US" w:eastAsia="zh-CN"/>
              </w:rPr>
            </w:pPr>
            <w:r>
              <w:rPr>
                <w:rFonts w:hint="eastAsia" w:ascii="宋体" w:hAnsi="宋体" w:eastAsia="宋体" w:cs="宋体"/>
                <w:b/>
                <w:bCs w:val="0"/>
                <w:kern w:val="0"/>
                <w:sz w:val="24"/>
                <w:szCs w:val="24"/>
                <w:lang w:val="en-US" w:eastAsia="zh-CN"/>
              </w:rPr>
              <w:t>报名及投标招标事宜联系人</w:t>
            </w:r>
            <w:r>
              <w:rPr>
                <w:rFonts w:hint="eastAsia" w:ascii="宋体" w:hAnsi="宋体" w:eastAsia="宋体" w:cs="宋体"/>
                <w:bCs/>
                <w:kern w:val="0"/>
                <w:sz w:val="24"/>
                <w:szCs w:val="24"/>
                <w:lang w:val="en-US" w:eastAsia="zh-CN"/>
              </w:rPr>
              <w:t>：王瑄</w:t>
            </w:r>
          </w:p>
          <w:p>
            <w:pPr>
              <w:ind w:firstLine="482" w:firstLineChars="200"/>
              <w:rPr>
                <w:rFonts w:hint="eastAsia" w:ascii="宋体" w:hAnsi="宋体" w:eastAsia="宋体" w:cs="宋体"/>
                <w:bCs/>
                <w:kern w:val="0"/>
                <w:sz w:val="24"/>
                <w:szCs w:val="24"/>
              </w:rPr>
            </w:pPr>
            <w:r>
              <w:rPr>
                <w:rFonts w:hint="eastAsia" w:ascii="宋体" w:hAnsi="宋体" w:eastAsia="宋体" w:cs="宋体"/>
                <w:b/>
                <w:bCs w:val="0"/>
                <w:kern w:val="0"/>
                <w:sz w:val="24"/>
                <w:szCs w:val="24"/>
                <w:lang w:val="en-US" w:eastAsia="zh-CN"/>
              </w:rPr>
              <w:t>电话</w:t>
            </w:r>
            <w:r>
              <w:rPr>
                <w:rFonts w:hint="eastAsia" w:ascii="宋体" w:hAnsi="宋体" w:eastAsia="宋体" w:cs="宋体"/>
                <w:bCs/>
                <w:kern w:val="0"/>
                <w:sz w:val="24"/>
                <w:szCs w:val="24"/>
                <w:lang w:val="en-US" w:eastAsia="zh-CN"/>
              </w:rPr>
              <w:t>：17860605786</w:t>
            </w:r>
          </w:p>
        </w:tc>
      </w:tr>
      <w:tr>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pStyle w:val="18"/>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rPr>
              <w:t>27.8</w:t>
            </w:r>
            <w:r>
              <w:rPr>
                <w:rFonts w:hint="eastAsia" w:hAnsi="宋体" w:eastAsia="宋体" w:cs="Times New Roman"/>
                <w:color w:val="000000"/>
                <w:sz w:val="24"/>
                <w:szCs w:val="24"/>
              </w:rPr>
              <w:t>万元（含税，税率13%），超过投标限价无法投标。</w:t>
            </w:r>
          </w:p>
        </w:tc>
      </w:tr>
      <w:tr>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100万人民币（或等值其他货币）；公司成立三年以上（以营业执照成立日期到开标当日满三年为准），且经营范围满足招标人需求；并在人员、设备、资金等方面具有承担本项目的能力；</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4.拟投标人在国家市场监督管理总局的《国家企业信用信息公示系统》中查询不存在不良记录；</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近三年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且未显示异常；</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7.拟投标人近三年有与本次招标内容相同或类似项目业绩不少于三个（需出示合同），近三年内无因服务不当而造成重大事故；</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13.本项目不接受代理商投标；</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15.与招标人存在利害关系可能影响招标公正性的法人、其他组织或者个人，不得参加投标。</w:t>
            </w:r>
          </w:p>
        </w:tc>
      </w:tr>
      <w:tr>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11月7</w:t>
            </w:r>
            <w:r>
              <w:rPr>
                <w:rFonts w:hint="eastAsia" w:ascii="宋体" w:hAnsi="宋体" w:eastAsia="宋体" w:cs="宋体"/>
                <w:bCs/>
                <w:sz w:val="24"/>
                <w:szCs w:val="24"/>
                <w:highlight w:val="yellow"/>
              </w:rPr>
              <w:t>日;</w:t>
            </w:r>
          </w:p>
        </w:tc>
      </w:tr>
      <w:tr>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15</w:t>
            </w:r>
            <w:r>
              <w:rPr>
                <w:rFonts w:hint="eastAsia" w:ascii="宋体" w:hAnsi="宋体" w:eastAsia="宋体" w:cs="宋体"/>
                <w:bCs/>
                <w:sz w:val="24"/>
                <w:szCs w:val="24"/>
                <w:highlight w:val="yellow"/>
              </w:rPr>
              <w:t>日12:00前；</w:t>
            </w:r>
          </w:p>
          <w:p>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2025年</w:t>
            </w:r>
            <w:r>
              <w:rPr>
                <w:rFonts w:hint="eastAsia" w:ascii="宋体" w:hAnsi="宋体" w:eastAsia="宋体" w:cs="宋体"/>
                <w:sz w:val="24"/>
                <w:szCs w:val="24"/>
                <w:highlight w:val="yellow"/>
                <w:lang w:val="en-US" w:eastAsia="zh-CN"/>
              </w:rPr>
              <w:t>11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15</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hint="eastAsia"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trPr>
          <w:trHeight w:val="433" w:hRule="atLeast"/>
        </w:trPr>
        <w:tc>
          <w:tcPr>
            <w:tcW w:w="595" w:type="dxa"/>
            <w:vMerge w:val="continue"/>
            <w:tcBorders>
              <w:left w:val="single" w:color="auto" w:sz="2" w:space="0"/>
              <w:right w:val="single" w:color="auto" w:sz="2" w:space="0"/>
            </w:tcBorders>
            <w:vAlign w:val="center"/>
          </w:tcPr>
          <w:p>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hint="eastAsia" w:eastAsia="宋体" w:cs="宋体"/>
                <w:highlight w:val="yellow"/>
              </w:rPr>
            </w:pPr>
            <w:r>
              <w:rPr>
                <w:rFonts w:hint="eastAsia" w:eastAsia="宋体" w:cs="宋体"/>
                <w:b/>
                <w:bCs/>
              </w:rPr>
              <w:t>应标截止时间：</w:t>
            </w:r>
            <w:r>
              <w:rPr>
                <w:rFonts w:hint="eastAsia" w:eastAsia="宋体" w:cs="宋体"/>
                <w:highlight w:val="yellow"/>
              </w:rPr>
              <w:t>2025年</w:t>
            </w:r>
            <w:r>
              <w:rPr>
                <w:rFonts w:hint="eastAsia" w:eastAsia="宋体" w:cs="宋体"/>
                <w:highlight w:val="yellow"/>
                <w:lang w:val="en-US" w:eastAsia="zh-CN"/>
              </w:rPr>
              <w:t>11</w:t>
            </w:r>
            <w:r>
              <w:rPr>
                <w:rFonts w:hint="eastAsia" w:eastAsia="宋体" w:cs="宋体"/>
                <w:highlight w:val="yellow"/>
              </w:rPr>
              <w:t>月</w:t>
            </w:r>
            <w:r>
              <w:rPr>
                <w:rFonts w:hint="eastAsia" w:eastAsia="宋体" w:cs="宋体"/>
                <w:highlight w:val="yellow"/>
                <w:lang w:val="en-US" w:eastAsia="zh-CN"/>
              </w:rPr>
              <w:t>13</w:t>
            </w:r>
            <w:r>
              <w:rPr>
                <w:rFonts w:hint="eastAsia" w:eastAsia="宋体" w:cs="宋体"/>
                <w:highlight w:val="yellow"/>
              </w:rPr>
              <w:t>日17时00分00秒</w:t>
            </w:r>
          </w:p>
          <w:p>
            <w:pPr>
              <w:pStyle w:val="112"/>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pPr>
              <w:pStyle w:val="18"/>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pPr>
              <w:pStyle w:val="18"/>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pPr>
              <w:pStyle w:val="18"/>
              <w:rPr>
                <w:rFonts w:hint="eastAsia"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济南市章丘区世纪大道7777号</w:t>
            </w:r>
          </w:p>
          <w:p>
            <w:pPr>
              <w:pStyle w:val="18"/>
              <w:rPr>
                <w:rFonts w:hint="eastAsia"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hAnsi="宋体" w:eastAsia="宋体" w:cs="Times New Roman"/>
                <w:color w:val="000000"/>
                <w:sz w:val="24"/>
                <w:szCs w:val="24"/>
                <w:highlight w:val="yellow"/>
              </w:rPr>
              <w:t>崔毅刚/15863137802</w:t>
            </w:r>
          </w:p>
        </w:tc>
      </w:tr>
      <w:tr>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8"/>
              <w:rPr>
                <w:rFonts w:hint="eastAsia"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2025年</w:t>
            </w:r>
            <w:r>
              <w:rPr>
                <w:rFonts w:hint="eastAsia" w:hAnsi="宋体" w:eastAsia="宋体" w:cs="宋体"/>
                <w:sz w:val="24"/>
                <w:szCs w:val="24"/>
                <w:highlight w:val="yellow"/>
                <w:u w:val="single"/>
                <w:lang w:val="en-US" w:eastAsia="zh-CN"/>
              </w:rPr>
              <w:t>11</w:t>
            </w:r>
            <w:r>
              <w:rPr>
                <w:rFonts w:hint="eastAsia" w:hAnsi="宋体" w:eastAsia="宋体" w:cs="宋体"/>
                <w:sz w:val="24"/>
                <w:szCs w:val="24"/>
                <w:highlight w:val="yellow"/>
                <w:u w:val="single"/>
              </w:rPr>
              <w:t>月</w:t>
            </w:r>
            <w:r>
              <w:rPr>
                <w:rFonts w:hint="eastAsia" w:hAnsi="宋体" w:eastAsia="宋体" w:cs="宋体"/>
                <w:sz w:val="24"/>
                <w:szCs w:val="24"/>
                <w:highlight w:val="yellow"/>
                <w:u w:val="single"/>
                <w:lang w:val="en-US" w:eastAsia="zh-CN"/>
              </w:rPr>
              <w:t>19</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rPr>
                <w:rFonts w:hint="eastAsia" w:ascii="宋体" w:hAnsi="宋体" w:eastAsia="宋体" w:cs="宋体"/>
                <w:b/>
                <w:bCs/>
                <w:sz w:val="24"/>
                <w:szCs w:val="24"/>
                <w:highlight w:val="yellow"/>
              </w:rPr>
            </w:pPr>
            <w:r>
              <w:rPr>
                <w:rFonts w:ascii="宋体" w:hAnsi="宋体" w:eastAsia="宋体" w:cs="宋体"/>
                <w:b/>
                <w:bCs/>
                <w:sz w:val="24"/>
                <w:szCs w:val="24"/>
                <w:highlight w:val="yellow"/>
              </w:rPr>
              <w:t>投标保证金的金额：人民币</w:t>
            </w:r>
            <w:r>
              <w:rPr>
                <w:rFonts w:hint="eastAsia" w:ascii="宋体" w:hAnsi="宋体" w:eastAsia="宋体" w:cs="宋体"/>
                <w:b/>
                <w:bCs/>
                <w:sz w:val="24"/>
                <w:szCs w:val="24"/>
                <w:highlight w:val="yellow"/>
              </w:rPr>
              <w:t>5</w:t>
            </w:r>
            <w:r>
              <w:rPr>
                <w:rFonts w:ascii="宋体" w:hAnsi="宋体" w:eastAsia="宋体" w:cs="宋体"/>
                <w:b/>
                <w:bCs/>
                <w:sz w:val="24"/>
                <w:szCs w:val="24"/>
                <w:highlight w:val="yellow"/>
              </w:rPr>
              <w:t>000.00元</w:t>
            </w:r>
          </w:p>
          <w:p>
            <w:pPr>
              <w:tabs>
                <w:tab w:val="left" w:pos="932"/>
              </w:tabs>
              <w:ind w:firstLine="482"/>
              <w:rPr>
                <w:rFonts w:hint="eastAsia" w:ascii="宋体" w:hAnsi="宋体" w:eastAsia="宋体" w:cs="宋体"/>
                <w:b/>
                <w:bCs/>
                <w:sz w:val="24"/>
                <w:szCs w:val="24"/>
                <w:highlight w:val="yellow"/>
              </w:rPr>
            </w:pPr>
            <w:r>
              <w:rPr>
                <w:rFonts w:ascii="宋体" w:hAnsi="宋体" w:eastAsia="宋体" w:cs="宋体"/>
                <w:b/>
                <w:bCs/>
                <w:sz w:val="24"/>
                <w:szCs w:val="24"/>
                <w:highlight w:val="yellow"/>
              </w:rPr>
              <w:t>开户银行：</w:t>
            </w:r>
            <w:r>
              <w:rPr>
                <w:rFonts w:hint="eastAsia" w:ascii="宋体" w:hAnsi="宋体" w:eastAsia="宋体" w:cs="宋体"/>
                <w:b/>
                <w:bCs/>
                <w:sz w:val="24"/>
                <w:szCs w:val="24"/>
                <w:highlight w:val="yellow"/>
              </w:rPr>
              <w:t>中国银行章丘支行</w:t>
            </w:r>
          </w:p>
          <w:p>
            <w:pPr>
              <w:tabs>
                <w:tab w:val="left" w:pos="932"/>
              </w:tabs>
              <w:ind w:firstLine="482"/>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户名</w:t>
            </w:r>
            <w:r>
              <w:rPr>
                <w:rFonts w:ascii="宋体" w:hAnsi="宋体" w:eastAsia="宋体" w:cs="宋体"/>
                <w:b/>
                <w:bCs/>
                <w:sz w:val="24"/>
                <w:szCs w:val="24"/>
                <w:highlight w:val="yellow"/>
              </w:rPr>
              <w:t>：</w:t>
            </w:r>
            <w:r>
              <w:rPr>
                <w:rFonts w:hint="eastAsia" w:ascii="宋体" w:hAnsi="宋体" w:eastAsia="宋体" w:cs="宋体"/>
                <w:b/>
                <w:bCs/>
                <w:sz w:val="24"/>
                <w:szCs w:val="24"/>
                <w:highlight w:val="yellow"/>
              </w:rPr>
              <w:t>中国重汽集团济南动力有限公司发动机厂</w:t>
            </w:r>
          </w:p>
          <w:p>
            <w:pPr>
              <w:tabs>
                <w:tab w:val="left" w:pos="932"/>
              </w:tabs>
              <w:ind w:firstLine="482"/>
              <w:rPr>
                <w:rFonts w:hint="eastAsia" w:ascii="宋体" w:hAnsi="宋体" w:eastAsia="宋体" w:cs="宋体"/>
                <w:b/>
                <w:bCs/>
                <w:sz w:val="24"/>
                <w:szCs w:val="24"/>
                <w:highlight w:val="yellow"/>
              </w:rPr>
            </w:pPr>
            <w:r>
              <w:rPr>
                <w:rFonts w:ascii="宋体" w:hAnsi="宋体" w:eastAsia="宋体" w:cs="宋体"/>
                <w:b/>
                <w:bCs/>
                <w:sz w:val="24"/>
                <w:szCs w:val="24"/>
                <w:highlight w:val="yellow"/>
              </w:rPr>
              <w:t>账号：</w:t>
            </w:r>
            <w:r>
              <w:rPr>
                <w:rFonts w:hint="eastAsia" w:ascii="宋体" w:hAnsi="宋体" w:eastAsia="宋体" w:cs="宋体"/>
                <w:b/>
                <w:bCs/>
                <w:sz w:val="24"/>
                <w:szCs w:val="24"/>
                <w:highlight w:val="yellow"/>
              </w:rPr>
              <w:t>2234 0557 4478</w:t>
            </w:r>
          </w:p>
          <w:p>
            <w:pPr>
              <w:rPr>
                <w:rFonts w:hint="eastAsia" w:ascii="宋体" w:hAnsi="宋体" w:eastAsia="宋体" w:cs="宋体"/>
                <w:sz w:val="24"/>
                <w:szCs w:val="24"/>
                <w:highlight w:val="yellow"/>
              </w:rPr>
            </w:pPr>
            <w:r>
              <w:rPr>
                <w:rFonts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rPr>
            </w:pPr>
            <w:r>
              <w:rPr>
                <w:rFonts w:eastAsia="宋体" w:cs="Times New Roman"/>
                <w:sz w:val="24"/>
                <w:szCs w:val="28"/>
                <w:highlight w:val="yellow"/>
              </w:rPr>
              <w:t>转账附言：公司名称+项目名称+投标保证金。</w:t>
            </w:r>
          </w:p>
        </w:tc>
      </w:tr>
      <w:tr>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6"/>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2025年</w:t>
            </w:r>
            <w:r>
              <w:rPr>
                <w:rFonts w:hint="eastAsia" w:ascii="宋体" w:hAnsi="宋体" w:cs="宋体"/>
                <w:sz w:val="24"/>
                <w:szCs w:val="24"/>
                <w:highlight w:val="yellow"/>
                <w:lang w:val="en-US" w:eastAsia="zh-CN"/>
              </w:rPr>
              <w:t>11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19</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36"/>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6"/>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rPr>
              <w:t>2025年</w:t>
            </w:r>
            <w:r>
              <w:rPr>
                <w:rFonts w:hint="eastAsia" w:ascii="宋体" w:hAnsi="宋体" w:eastAsia="宋体" w:cs="宋体"/>
                <w:sz w:val="24"/>
                <w:szCs w:val="24"/>
                <w:highlight w:val="yellow"/>
                <w:lang w:val="en-US" w:eastAsia="zh-CN"/>
              </w:rPr>
              <w:t>11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19</w:t>
            </w:r>
            <w:r>
              <w:rPr>
                <w:rFonts w:hint="eastAsia" w:ascii="宋体" w:hAnsi="宋体" w:cs="宋体"/>
                <w:sz w:val="24"/>
                <w:szCs w:val="24"/>
                <w:highlight w:val="yellow"/>
              </w:rPr>
              <w:t>日9:00:00</w:t>
            </w:r>
            <w:r>
              <w:rPr>
                <w:rFonts w:hint="eastAsia" w:ascii="宋体" w:hAnsi="宋体" w:eastAsia="宋体" w:cs="宋体"/>
                <w:kern w:val="0"/>
                <w:sz w:val="24"/>
                <w:szCs w:val="24"/>
                <w:highlight w:val="yellow"/>
              </w:rPr>
              <w:t>。</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章丘区</w:t>
            </w:r>
            <w:r>
              <w:rPr>
                <w:rFonts w:hint="eastAsia" w:ascii="宋体" w:hAnsi="宋体" w:eastAsia="宋体" w:cs="宋体"/>
                <w:sz w:val="24"/>
                <w:szCs w:val="24"/>
                <w:highlight w:val="yellow"/>
              </w:rPr>
              <w:t>世纪大道7777号济南发动机厂C305会议室</w:t>
            </w:r>
            <w:r>
              <w:rPr>
                <w:rFonts w:hint="eastAsia" w:ascii="宋体" w:hAnsi="宋体" w:eastAsia="宋体" w:cs="宋体"/>
                <w:sz w:val="24"/>
                <w:szCs w:val="24"/>
              </w:rPr>
              <w:t>。</w:t>
            </w:r>
          </w:p>
          <w:p>
            <w:p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开标时间及地点若有变动另行通知。</w:t>
            </w:r>
          </w:p>
        </w:tc>
      </w:tr>
      <w:tr>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评标方法：资质标审核→唱标→商务标评审。</w:t>
            </w:r>
            <w:r>
              <w:rPr>
                <w:rFonts w:hint="eastAsia" w:ascii="宋体" w:hAnsi="宋体" w:eastAsia="宋体" w:cs="宋体"/>
                <w:b/>
                <w:bCs/>
                <w:sz w:val="24"/>
                <w:szCs w:val="24"/>
                <w:highlight w:val="magenta"/>
                <w:lang w:val="en-US" w:eastAsia="zh-CN"/>
              </w:rPr>
              <w:t>合理最低价</w:t>
            </w:r>
            <w:r>
              <w:rPr>
                <w:rFonts w:hint="eastAsia" w:ascii="宋体" w:hAnsi="宋体" w:eastAsia="宋体" w:cs="宋体"/>
                <w:b/>
                <w:bCs/>
                <w:sz w:val="24"/>
                <w:szCs w:val="24"/>
                <w:highlight w:val="magenta"/>
              </w:rPr>
              <w:t>中标。</w:t>
            </w:r>
            <w:r>
              <w:rPr>
                <w:rFonts w:hint="eastAsia" w:ascii="宋体" w:hAnsi="宋体" w:eastAsia="宋体" w:cs="宋体"/>
                <w:sz w:val="24"/>
                <w:szCs w:val="24"/>
              </w:rPr>
              <w:t>具体详见“第二部分投标须知第六条：评标原则”。</w:t>
            </w:r>
          </w:p>
        </w:tc>
      </w:tr>
      <w:tr>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1.自接到中标通知起，</w:t>
            </w:r>
            <w:r>
              <w:rPr>
                <w:rFonts w:hint="eastAsia" w:hAnsi="宋体" w:eastAsia="宋体" w:cs="宋体"/>
                <w:color w:val="000000"/>
                <w:sz w:val="24"/>
                <w:szCs w:val="24"/>
                <w:highlight w:val="yellow"/>
              </w:rPr>
              <w:t>4</w:t>
            </w:r>
            <w:r>
              <w:rPr>
                <w:rFonts w:hint="eastAsia" w:hAnsi="宋体" w:eastAsia="宋体" w:cs="宋体"/>
                <w:color w:val="000000"/>
                <w:sz w:val="24"/>
                <w:szCs w:val="24"/>
                <w:highlight w:val="yellow"/>
                <w:lang w:val="en-US" w:eastAsia="zh-CN"/>
              </w:rPr>
              <w:t>5</w:t>
            </w:r>
            <w:r>
              <w:rPr>
                <w:rFonts w:hint="eastAsia" w:hAnsi="宋体" w:eastAsia="宋体" w:cs="宋体"/>
                <w:color w:val="000000"/>
                <w:sz w:val="24"/>
                <w:szCs w:val="24"/>
                <w:highlight w:val="yellow"/>
              </w:rPr>
              <w:t>日历日</w:t>
            </w:r>
            <w:r>
              <w:rPr>
                <w:rFonts w:hint="eastAsia" w:hAnsi="宋体" w:eastAsia="宋体" w:cs="宋体"/>
                <w:color w:val="000000"/>
                <w:sz w:val="24"/>
                <w:szCs w:val="24"/>
              </w:rPr>
              <w:t>之内交货至供货地点。</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2.接续15个日历日之内安装完毕。</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3.接续15个日历日之内调试完毕。</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rPr>
              <w:t>规定时间</w:t>
            </w:r>
            <w:r>
              <w:rPr>
                <w:rFonts w:hint="eastAsia" w:hAnsi="宋体" w:eastAsia="宋体" w:cs="宋体"/>
                <w:color w:val="000000"/>
                <w:sz w:val="24"/>
                <w:szCs w:val="24"/>
              </w:rPr>
              <w:t>的，投标人应当随标书提供详细的工期计划。</w:t>
            </w:r>
          </w:p>
        </w:tc>
      </w:tr>
      <w:tr>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8"/>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u w:val="single"/>
              </w:rPr>
              <w:t>济南市章丘区世纪大道7777号中国重汽集团济南动力有限公司济南发动机厂</w:t>
            </w:r>
            <w:r>
              <w:rPr>
                <w:rFonts w:hint="eastAsia" w:hAnsi="宋体" w:eastAsia="宋体" w:cs="宋体"/>
                <w:color w:val="000000"/>
                <w:sz w:val="24"/>
                <w:szCs w:val="24"/>
              </w:rPr>
              <w:t>。</w:t>
            </w:r>
          </w:p>
        </w:tc>
      </w:tr>
      <w:tr>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8"/>
              <w:ind w:firstLine="482" w:firstLineChars="200"/>
              <w:rPr>
                <w:rFonts w:hint="eastAsia" w:hAnsi="宋体" w:eastAsia="宋体" w:cs="宋体"/>
                <w:color w:val="000000"/>
                <w:sz w:val="24"/>
                <w:szCs w:val="24"/>
                <w:highlight w:val="yellow"/>
              </w:rPr>
            </w:pPr>
            <w:r>
              <w:rPr>
                <w:rFonts w:hint="eastAsia" w:hAnsi="宋体" w:eastAsia="宋体" w:cs="宋体"/>
                <w:b/>
                <w:bCs/>
                <w:color w:val="000000"/>
                <w:sz w:val="24"/>
                <w:szCs w:val="24"/>
                <w:highlight w:val="yellow"/>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ind w:firstLine="480"/>
              <w:rPr>
                <w:rFonts w:hint="eastAsia" w:ascii="宋体" w:hAnsi="宋体" w:eastAsia="宋体" w:cs="宋体"/>
                <w:color w:val="000000"/>
                <w:sz w:val="24"/>
                <w:szCs w:val="24"/>
                <w:highlight w:val="yellow"/>
              </w:rPr>
            </w:pPr>
            <w:r>
              <w:rPr>
                <w:rFonts w:ascii="宋体" w:hAnsi="宋体" w:eastAsia="宋体" w:cs="宋体"/>
                <w:color w:val="000000"/>
                <w:sz w:val="24"/>
                <w:szCs w:val="24"/>
                <w:highlight w:val="yellow"/>
              </w:rPr>
              <w:t>设备验收合格后，中标人提交金额为合同价款</w:t>
            </w:r>
            <w:r>
              <w:rPr>
                <w:rFonts w:hint="eastAsia" w:ascii="宋体" w:hAnsi="宋体" w:eastAsia="宋体" w:cs="宋体"/>
                <w:color w:val="000000"/>
                <w:sz w:val="24"/>
                <w:szCs w:val="24"/>
                <w:highlight w:val="yellow"/>
              </w:rPr>
              <w:t>9</w:t>
            </w:r>
            <w:r>
              <w:rPr>
                <w:rFonts w:ascii="宋体" w:hAnsi="宋体" w:eastAsia="宋体" w:cs="宋体"/>
                <w:color w:val="000000"/>
                <w:sz w:val="24"/>
                <w:szCs w:val="24"/>
                <w:highlight w:val="yellow"/>
              </w:rPr>
              <w:t>0%的收据并提供合同价款</w:t>
            </w:r>
            <w:r>
              <w:rPr>
                <w:rFonts w:hint="eastAsia" w:ascii="宋体" w:hAnsi="宋体" w:eastAsia="宋体" w:cs="宋体"/>
                <w:color w:val="000000"/>
                <w:sz w:val="24"/>
                <w:szCs w:val="24"/>
                <w:highlight w:val="yellow"/>
              </w:rPr>
              <w:t>10</w:t>
            </w:r>
            <w:r>
              <w:rPr>
                <w:rFonts w:ascii="宋体" w:hAnsi="宋体" w:eastAsia="宋体" w:cs="宋体"/>
                <w:color w:val="000000"/>
                <w:sz w:val="24"/>
                <w:szCs w:val="24"/>
                <w:highlight w:val="yellow"/>
              </w:rPr>
              <w:t>0%的增值税专用发票（含复印件二份），经招标人依照财务制度审核通过后30日支付；</w:t>
            </w:r>
          </w:p>
          <w:p>
            <w:pPr>
              <w:ind w:firstLine="480" w:firstLineChars="200"/>
              <w:rPr>
                <w:rFonts w:ascii="宋体" w:hAnsi="宋体" w:eastAsia="宋体" w:cs="宋体"/>
                <w:color w:val="000000"/>
                <w:sz w:val="24"/>
                <w:szCs w:val="24"/>
                <w:highlight w:val="yellow"/>
              </w:rPr>
            </w:pPr>
            <w:r>
              <w:rPr>
                <w:rFonts w:ascii="宋体" w:hAnsi="宋体" w:eastAsia="宋体" w:cs="宋体"/>
                <w:color w:val="000000"/>
                <w:sz w:val="24"/>
                <w:szCs w:val="24"/>
                <w:highlight w:val="yellow"/>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p>
            <w:pPr>
              <w:ind w:firstLine="482" w:firstLineChars="200"/>
              <w:rPr>
                <w:rFonts w:hint="default" w:ascii="宋体" w:hAnsi="宋体" w:eastAsia="宋体" w:cs="宋体"/>
                <w:color w:val="000000"/>
                <w:sz w:val="24"/>
                <w:szCs w:val="24"/>
                <w:highlight w:val="yellow"/>
                <w:lang w:val="en-US" w:eastAsia="zh-CN"/>
              </w:rPr>
            </w:pPr>
            <w:r>
              <w:rPr>
                <w:rFonts w:hint="eastAsia" w:ascii="宋体" w:hAnsi="宋体" w:eastAsia="宋体" w:cs="宋体"/>
                <w:b/>
                <w:bCs/>
                <w:color w:val="000000"/>
                <w:sz w:val="24"/>
                <w:szCs w:val="24"/>
                <w:highlight w:val="yellow"/>
                <w:lang w:val="en-US" w:eastAsia="zh-CN"/>
              </w:rPr>
              <w:t>付款方式及比例不允许偏离。</w:t>
            </w:r>
          </w:p>
        </w:tc>
      </w:tr>
      <w:tr>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pPr>
              <w:ind w:firstLine="480" w:firstLineChars="200"/>
              <w:rPr>
                <w:rFonts w:hint="eastAsia" w:ascii="宋体" w:hAnsi="宋体" w:cs="宋体"/>
                <w:bCs/>
                <w:sz w:val="24"/>
                <w:szCs w:val="24"/>
              </w:rPr>
            </w:pPr>
            <w:r>
              <w:rPr>
                <w:rFonts w:hint="eastAsia" w:ascii="宋体" w:hAnsi="宋体" w:eastAsia="宋体" w:cs="宋体"/>
                <w:sz w:val="24"/>
                <w:szCs w:val="24"/>
                <w:lang w:bidi="ar"/>
              </w:rPr>
              <w:t>见最终合同签订信息</w:t>
            </w:r>
          </w:p>
        </w:tc>
      </w:tr>
      <w:tr>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2"/>
              <w:jc w:val="center"/>
              <w:rPr>
                <w:rFonts w:hint="eastAsia" w:ascii="宋体" w:hAnsi="宋体" w:eastAsia="宋体" w:cs="宋体"/>
                <w:sz w:val="24"/>
                <w:szCs w:val="24"/>
              </w:rPr>
            </w:pPr>
            <w:r>
              <w:rPr>
                <w:rFonts w:hint="eastAsia" w:ascii="宋体" w:hAnsi="宋体" w:eastAsia="宋体" w:cs="宋体"/>
                <w:b/>
                <w:bCs/>
                <w:sz w:val="24"/>
                <w:szCs w:val="24"/>
              </w:rPr>
              <w:t>8.其它</w:t>
            </w:r>
          </w:p>
        </w:tc>
      </w:tr>
      <w:tr>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15</w:t>
            </w:r>
            <w:r>
              <w:rPr>
                <w:rFonts w:hint="eastAsia" w:ascii="宋体" w:hAnsi="宋体" w:eastAsia="宋体" w:cs="宋体"/>
                <w:sz w:val="24"/>
                <w:szCs w:val="24"/>
              </w:rPr>
              <w:t>日内需根据设计</w:t>
            </w:r>
            <w:r>
              <w:rPr>
                <w:rStyle w:val="43"/>
                <w:rFonts w:hint="eastAsia" w:ascii="宋体" w:hAnsi="宋体" w:eastAsia="宋体" w:cs="宋体"/>
                <w:sz w:val="24"/>
                <w:szCs w:val="24"/>
              </w:rPr>
              <w:t>提资</w:t>
            </w:r>
            <w:r>
              <w:rPr>
                <w:rFonts w:hint="eastAsia" w:ascii="宋体" w:hAnsi="宋体" w:eastAsia="宋体" w:cs="宋体"/>
                <w:sz w:val="24"/>
                <w:szCs w:val="24"/>
              </w:rPr>
              <w:t>要求提供详细的</w:t>
            </w:r>
            <w:r>
              <w:rPr>
                <w:rStyle w:val="43"/>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3"/>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3"/>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18"/>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18"/>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pPr>
        <w:keepNext/>
        <w:keepLines/>
        <w:numPr>
          <w:ilvl w:val="0"/>
          <w:numId w:val="2"/>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2"/>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8"/>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8"/>
        <w:spacing w:line="360" w:lineRule="auto"/>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rPr>
        <w:t>4.7</w:t>
      </w:r>
      <w:r>
        <w:rPr>
          <w:rFonts w:hint="eastAsia" w:hAnsi="宋体" w:eastAsia="宋体" w:cs="宋体"/>
          <w:color w:val="000000"/>
          <w:sz w:val="24"/>
          <w:szCs w:val="24"/>
          <w:highlight w:val="yellow"/>
        </w:rPr>
        <w:t>设备设施颜色严格执行我公司企业标准《设备设施颜色标识》（Q/ZZ30070</w:t>
      </w:r>
    </w:p>
    <w:p>
      <w:pPr>
        <w:pStyle w:val="18"/>
        <w:spacing w:line="360" w:lineRule="auto"/>
        <w:rPr>
          <w:rFonts w:hint="eastAsia" w:hAnsi="宋体" w:eastAsia="宋体" w:cs="宋体"/>
          <w:color w:val="000000"/>
          <w:sz w:val="24"/>
          <w:szCs w:val="24"/>
        </w:rPr>
      </w:pPr>
      <w:r>
        <w:rPr>
          <w:rFonts w:hint="eastAsia" w:hAnsi="宋体" w:eastAsia="宋体" w:cs="宋体"/>
          <w:color w:val="000000"/>
          <w:sz w:val="24"/>
          <w:szCs w:val="24"/>
          <w:highlight w:val="yellow"/>
        </w:rPr>
        <w:t>—2020）</w:t>
      </w:r>
      <w:r>
        <w:rPr>
          <w:rFonts w:hint="eastAsia"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见《投标须知前附表》第二条，逾期不受理。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（保证金具体金额及缴纳截止时间见《投标须知前附表》4.2和4.3）。</w:t>
      </w:r>
    </w:p>
    <w:p>
      <w:pPr>
        <w:pStyle w:val="112"/>
        <w:ind w:firstLine="480"/>
        <w:rPr>
          <w:rFonts w:hint="eastAsia" w:eastAsia="宋体" w:cs="宋体"/>
        </w:rPr>
      </w:pPr>
      <w:r>
        <w:rPr>
          <w:rFonts w:hint="eastAsia" w:eastAsia="宋体" w:cs="宋体"/>
        </w:rPr>
        <w:t>4.2招标人银行账户信息如下：见《投标须知前附表》4.2。</w:t>
      </w:r>
    </w:p>
    <w:p>
      <w:pPr>
        <w:pStyle w:val="112"/>
        <w:ind w:firstLine="480"/>
        <w:rPr>
          <w:rFonts w:hint="eastAsia" w:eastAsia="宋体" w:cs="宋体"/>
        </w:rPr>
      </w:pPr>
      <w:r>
        <w:rPr>
          <w:rFonts w:hint="eastAsia" w:eastAsia="宋体" w:cs="宋体"/>
        </w:rPr>
        <w:t>转账附言：公司名称+项目名称+投标保证金；</w:t>
      </w:r>
    </w:p>
    <w:p>
      <w:pPr>
        <w:pStyle w:val="112"/>
        <w:ind w:firstLine="480"/>
        <w:rPr>
          <w:rFonts w:hint="eastAsia"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pPr>
        <w:pStyle w:val="112"/>
        <w:ind w:firstLine="480"/>
        <w:rPr>
          <w:rFonts w:hint="eastAsia" w:eastAsia="宋体" w:cs="宋体"/>
        </w:rPr>
      </w:pPr>
      <w:r>
        <w:rPr>
          <w:rFonts w:hint="eastAsia" w:eastAsia="宋体" w:cs="宋体"/>
        </w:rPr>
        <w:t>4.3说明</w:t>
      </w:r>
    </w:p>
    <w:p>
      <w:pPr>
        <w:pStyle w:val="112"/>
        <w:ind w:firstLine="480"/>
        <w:rPr>
          <w:rFonts w:hint="eastAsia" w:eastAsia="宋体" w:cs="宋体"/>
        </w:rPr>
      </w:pPr>
      <w:r>
        <w:rPr>
          <w:rFonts w:hint="eastAsia" w:eastAsia="宋体" w:cs="宋体"/>
        </w:rPr>
        <w:t>4.3.1 投标人在向招标人出示《投标保证金缴纳凭证》后方可进行投标；</w:t>
      </w:r>
    </w:p>
    <w:p>
      <w:pPr>
        <w:pStyle w:val="112"/>
        <w:ind w:firstLine="480"/>
        <w:rPr>
          <w:rFonts w:hint="eastAsia" w:eastAsia="宋体" w:cs="宋体"/>
        </w:rPr>
      </w:pPr>
      <w:r>
        <w:rPr>
          <w:rFonts w:hint="eastAsia" w:eastAsia="宋体" w:cs="宋体"/>
        </w:rPr>
        <w:t>4.3.2 发生以下情况时，招标人有权没收保证金：</w:t>
      </w:r>
    </w:p>
    <w:p>
      <w:pPr>
        <w:pStyle w:val="112"/>
        <w:ind w:firstLine="480"/>
        <w:rPr>
          <w:rFonts w:hint="eastAsia" w:eastAsia="宋体" w:cs="宋体"/>
        </w:rPr>
      </w:pPr>
      <w:r>
        <w:rPr>
          <w:rFonts w:hint="eastAsia" w:eastAsia="宋体" w:cs="宋体"/>
        </w:rPr>
        <w:t>4.3.2.1 截至开标前3天，投标人无正当理由且未以书面形式递交说明而在投标截止日不来投标的；</w:t>
      </w:r>
    </w:p>
    <w:p>
      <w:pPr>
        <w:pStyle w:val="112"/>
        <w:ind w:firstLine="480"/>
        <w:rPr>
          <w:rFonts w:hint="eastAsia" w:eastAsia="宋体" w:cs="宋体"/>
        </w:rPr>
      </w:pPr>
      <w:r>
        <w:rPr>
          <w:rFonts w:hint="eastAsia" w:eastAsia="宋体" w:cs="宋体"/>
        </w:rPr>
        <w:t>4.3.2.2 投标人递送投标文件后，无正当理由放弃投标的；</w:t>
      </w:r>
    </w:p>
    <w:p>
      <w:pPr>
        <w:pStyle w:val="112"/>
        <w:ind w:firstLine="480"/>
        <w:rPr>
          <w:rFonts w:hint="eastAsia" w:eastAsia="宋体" w:cs="宋体"/>
        </w:rPr>
      </w:pPr>
      <w:r>
        <w:rPr>
          <w:rFonts w:hint="eastAsia" w:eastAsia="宋体" w:cs="宋体"/>
        </w:rPr>
        <w:t>4.3.2.3若为视频开标，招标过程中澄清函等资料原件未按要求提交的；</w:t>
      </w:r>
    </w:p>
    <w:p>
      <w:pPr>
        <w:pStyle w:val="112"/>
        <w:ind w:firstLine="480"/>
        <w:rPr>
          <w:rFonts w:hint="eastAsia" w:eastAsia="宋体" w:cs="宋体"/>
        </w:rPr>
      </w:pPr>
      <w:r>
        <w:rPr>
          <w:rFonts w:hint="eastAsia" w:eastAsia="宋体" w:cs="宋体"/>
        </w:rPr>
        <w:t>4.3.2.4自中标通知书发出之日起30日内，中标人无正当理由不签订合同的；</w:t>
      </w:r>
    </w:p>
    <w:p>
      <w:pPr>
        <w:pStyle w:val="112"/>
        <w:ind w:firstLine="480"/>
        <w:rPr>
          <w:rFonts w:hint="eastAsia" w:eastAsia="宋体" w:cs="宋体"/>
        </w:rPr>
      </w:pPr>
      <w:r>
        <w:rPr>
          <w:rFonts w:hint="eastAsia" w:eastAsia="宋体" w:cs="宋体"/>
        </w:rPr>
        <w:t>4.3.2.5投标人在投标过程中被查实有串标、围标、陪标等违规违纪行为的；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pPr>
        <w:pStyle w:val="112"/>
        <w:ind w:firstLine="480"/>
        <w:rPr>
          <w:rFonts w:hint="eastAsia" w:eastAsia="宋体" w:cs="宋体"/>
        </w:rPr>
      </w:pPr>
      <w:r>
        <w:rPr>
          <w:rFonts w:hint="eastAsia" w:eastAsia="宋体" w:cs="宋体"/>
        </w:rPr>
        <w:t>4.4投标报名截止时间</w:t>
      </w:r>
    </w:p>
    <w:p>
      <w:pPr>
        <w:pStyle w:val="112"/>
        <w:ind w:firstLine="480"/>
        <w:rPr>
          <w:rFonts w:hint="eastAsia" w:eastAsia="宋体" w:cs="宋体"/>
        </w:rPr>
      </w:pPr>
      <w:r>
        <w:rPr>
          <w:rFonts w:hint="eastAsia" w:eastAsia="宋体" w:cs="宋体"/>
        </w:rPr>
        <w:t>报名方式：</w:t>
      </w:r>
      <w:r>
        <w:rPr>
          <w:rFonts w:hint="eastAsia" w:eastAsia="宋体" w:cs="宋体"/>
          <w:highlight w:val="yellow"/>
        </w:rPr>
        <w:t>见《投标须知前附表》2.3。</w:t>
      </w:r>
    </w:p>
    <w:p>
      <w:pPr>
        <w:pStyle w:val="112"/>
        <w:ind w:firstLine="480"/>
        <w:rPr>
          <w:rFonts w:hint="eastAsia" w:eastAsia="宋体" w:cs="宋体"/>
        </w:rPr>
      </w:pPr>
      <w:r>
        <w:rPr>
          <w:rFonts w:hint="eastAsia" w:eastAsia="宋体" w:cs="宋体"/>
        </w:rPr>
        <w:t>报名提交资料：均为盖章电子扫描版，用“公司名称+文件名称”命名。</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见《投标须知前附表》5.1，若有变动另行通知。</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p>
      <w:pPr>
        <w:spacing w:line="360" w:lineRule="auto"/>
        <w:jc w:val="left"/>
        <w:outlineLvl w:val="1"/>
        <w:rPr>
          <w:rFonts w:hint="eastAsia" w:ascii="宋体" w:hAnsi="宋体" w:eastAsia="宋体" w:cs="宋体"/>
          <w:b/>
          <w:sz w:val="24"/>
          <w:szCs w:val="24"/>
        </w:rPr>
      </w:pPr>
      <w:bookmarkStart w:id="6" w:name="_Toc33266627"/>
      <w:bookmarkStart w:id="7" w:name="_Toc33265653"/>
      <w:bookmarkStart w:id="8" w:name="_Toc33266950"/>
      <w:bookmarkStart w:id="9" w:name="_Toc33266914"/>
      <w:bookmarkStart w:id="10" w:name="_Toc33265752"/>
      <w:bookmarkStart w:id="11" w:name="_Toc33267001"/>
      <w:bookmarkStart w:id="12" w:name="_Toc33285487"/>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bookmarkStart w:id="14" w:name="_Toc33266951"/>
      <w:bookmarkStart w:id="15" w:name="_Toc33267002"/>
      <w:bookmarkStart w:id="16" w:name="_Toc33265753"/>
      <w:bookmarkStart w:id="17" w:name="_Toc395116634"/>
      <w:bookmarkStart w:id="18" w:name="_Toc33266915"/>
      <w:bookmarkStart w:id="19" w:name="_Toc33266628"/>
      <w:bookmarkStart w:id="20" w:name="_Toc33265654"/>
      <w:bookmarkStart w:id="21" w:name="_Toc33285489"/>
      <w:r>
        <w:rPr>
          <w:rFonts w:hint="eastAsia" w:ascii="宋体" w:hAnsi="宋体" w:eastAsia="宋体" w:cs="宋体"/>
          <w:b/>
          <w:bCs/>
          <w:sz w:val="24"/>
          <w:szCs w:val="24"/>
          <w:lang w:val="en-US" w:eastAsia="zh-CN"/>
        </w:rPr>
        <w:t>合理最低价</w:t>
      </w:r>
      <w:r>
        <w:rPr>
          <w:rFonts w:hint="eastAsia" w:ascii="宋体" w:hAnsi="宋体" w:eastAsia="宋体" w:cs="宋体"/>
          <w:sz w:val="24"/>
          <w:szCs w:val="24"/>
        </w:rPr>
        <w:t>。</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8"/>
        <w:spacing w:line="360" w:lineRule="auto"/>
        <w:ind w:firstLine="482" w:firstLineChars="200"/>
        <w:rPr>
          <w:rFonts w:hint="eastAsia"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pPr>
        <w:numPr>
          <w:ilvl w:val="0"/>
          <w:numId w:val="5"/>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按照第三部分第三条投标文件组成资格证明文件中的1.1-1.12准备资料，上传完毕后，等待审核</w:t>
      </w:r>
      <w:r>
        <w:rPr>
          <w:rFonts w:hint="eastAsia" w:ascii="宋体" w:hAnsi="宋体" w:eastAsia="宋体" w:cs="宋体"/>
          <w:b/>
          <w:color w:val="000000"/>
          <w:sz w:val="24"/>
          <w:szCs w:val="24"/>
        </w:rPr>
        <w:t>；</w:t>
      </w:r>
    </w:p>
    <w:p>
      <w:pPr>
        <w:numPr>
          <w:ilvl w:val="0"/>
          <w:numId w:val="6"/>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5"/>
        </w:numPr>
        <w:spacing w:line="360" w:lineRule="auto"/>
        <w:rPr>
          <w:rFonts w:hint="eastAsia"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pPr>
        <w:numPr>
          <w:ilvl w:val="0"/>
          <w:numId w:val="7"/>
        </w:numPr>
        <w:spacing w:line="360" w:lineRule="auto"/>
        <w:rPr>
          <w:rFonts w:hint="eastAsia"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pPr>
        <w:numPr>
          <w:ilvl w:val="0"/>
          <w:numId w:val="8"/>
        </w:numPr>
        <w:spacing w:line="360" w:lineRule="auto"/>
        <w:rPr>
          <w:rFonts w:hint="eastAsia"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pPr>
        <w:numPr>
          <w:ilvl w:val="0"/>
          <w:numId w:val="9"/>
        </w:numPr>
        <w:spacing w:line="360" w:lineRule="auto"/>
        <w:rPr>
          <w:rFonts w:hint="eastAsia" w:ascii="宋体" w:hAnsi="宋体" w:eastAsia="宋体" w:cs="宋体"/>
          <w:b/>
          <w:sz w:val="24"/>
          <w:szCs w:val="24"/>
        </w:rPr>
      </w:pPr>
      <w:r>
        <w:rPr>
          <w:rFonts w:hint="eastAsia" w:ascii="宋体" w:hAnsi="宋体" w:eastAsia="宋体" w:cs="宋体"/>
          <w:b/>
          <w:sz w:val="24"/>
          <w:szCs w:val="24"/>
          <w:highlight w:val="magenta"/>
        </w:rPr>
        <w:t>中标人确定：技术标入围后，原则上选取</w:t>
      </w:r>
      <w:r>
        <w:rPr>
          <w:rFonts w:hint="eastAsia" w:ascii="宋体" w:hAnsi="宋体" w:eastAsia="宋体" w:cs="宋体"/>
          <w:b/>
          <w:sz w:val="24"/>
          <w:szCs w:val="24"/>
          <w:highlight w:val="magenta"/>
          <w:lang w:val="en-US" w:eastAsia="zh-CN"/>
        </w:rPr>
        <w:t>合理最低价</w:t>
      </w:r>
      <w:r>
        <w:rPr>
          <w:rFonts w:hint="eastAsia" w:ascii="宋体" w:hAnsi="宋体" w:eastAsia="宋体" w:cs="宋体"/>
          <w:b/>
          <w:sz w:val="24"/>
          <w:szCs w:val="24"/>
          <w:highlight w:val="magenta"/>
        </w:rPr>
        <w:t>中标。</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5.</w:t>
      </w: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val="en-US"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.合同以双方最终签署的版本为准。</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8"/>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4</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6"/>
      <w:bookmarkStart w:id="24" w:name="OLE_LINK28"/>
      <w:bookmarkStart w:id="25" w:name="OLE_LINK25"/>
      <w:bookmarkStart w:id="26" w:name="OLE_LINK29"/>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8"/>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18"/>
        <w:spacing w:line="360" w:lineRule="auto"/>
        <w:jc w:val="center"/>
        <w:rPr>
          <w:rFonts w:hint="eastAsia"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pPr>
        <w:pStyle w:val="18"/>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w:t>
      </w:r>
      <w:r>
        <w:rPr>
          <w:rFonts w:hint="eastAsia" w:ascii="宋体" w:hAnsi="宋体" w:eastAsia="宋体" w:cs="Times New Roman"/>
          <w:color w:val="000000"/>
          <w:sz w:val="24"/>
          <w:szCs w:val="24"/>
        </w:rPr>
        <w:t>若没有财务审计报告，需提供资产负债表、利润表、现金流量表并加盖公章），</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（附投标当日系统内相关截图或报告）</w:t>
      </w:r>
    </w:p>
    <w:p>
      <w:pPr>
        <w:spacing w:line="360" w:lineRule="auto"/>
        <w:ind w:firstLine="480" w:firstLineChars="200"/>
        <w:rPr>
          <w:rFonts w:hint="eastAsia"/>
        </w:rPr>
      </w:pPr>
      <w:r>
        <w:rPr>
          <w:rFonts w:hint="eastAsia" w:ascii="宋体" w:hAnsi="宋体" w:eastAsia="宋体" w:cs="宋体"/>
          <w:color w:val="000000"/>
          <w:sz w:val="24"/>
          <w:szCs w:val="24"/>
        </w:rPr>
        <w:t>1.7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投标保证金缴纳凭证，同时</w:t>
      </w:r>
      <w:r>
        <w:rPr>
          <w:rFonts w:hint="eastAsia" w:ascii="宋体" w:hAnsi="宋体" w:eastAsia="宋体" w:cs="宋体"/>
          <w:color w:val="000000"/>
          <w:sz w:val="24"/>
          <w:szCs w:val="24"/>
          <w:highlight w:val="yellow"/>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设备分项配置表（附件5-2），列明项目设备分项配置规格型号、品牌等信息（要求分项明细与附表9-1完全对应），但</w:t>
      </w:r>
      <w:r>
        <w:rPr>
          <w:rFonts w:hint="eastAsia" w:ascii="宋体" w:hAnsi="宋体" w:eastAsia="宋体" w:cs="宋体"/>
          <w:b/>
          <w:color w:val="000000"/>
          <w:sz w:val="24"/>
          <w:szCs w:val="24"/>
          <w:highlight w:val="yellow"/>
        </w:rPr>
        <w:t>注意：</w:t>
      </w:r>
      <w:r>
        <w:rPr>
          <w:rFonts w:hint="eastAsia" w:hAnsi="宋体" w:eastAsia="宋体" w:cs="宋体"/>
          <w:b/>
          <w:color w:val="000000"/>
          <w:sz w:val="24"/>
          <w:szCs w:val="24"/>
          <w:highlight w:val="yellow"/>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2.3提供202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p>
    <w:p>
      <w:pPr>
        <w:pStyle w:val="18"/>
      </w:pPr>
    </w:p>
    <w:p>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中国重汽集团济南动力有限公司发动机厂</w:t>
      </w:r>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曲轴、连杆检测能力提升项目</w:t>
      </w:r>
    </w:p>
    <w:p>
      <w:pPr>
        <w:pStyle w:val="18"/>
      </w:pPr>
    </w:p>
    <w:p>
      <w:pPr>
        <w:pStyle w:val="18"/>
      </w:pPr>
    </w:p>
    <w:p>
      <w:pPr>
        <w:pStyle w:val="18"/>
      </w:pPr>
    </w:p>
    <w:p>
      <w:pPr>
        <w:pStyle w:val="18"/>
      </w:pPr>
    </w:p>
    <w:p>
      <w:pPr>
        <w:jc w:val="center"/>
        <w:rPr>
          <w:rFonts w:hint="eastAsia" w:ascii="黑体" w:hAnsi="宋体" w:eastAsia="黑体" w:cs="Times New Roman"/>
          <w:color w:val="000000"/>
          <w:sz w:val="72"/>
          <w:szCs w:val="72"/>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8"/>
      </w:pP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张凯凯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苏 磊       </w:t>
      </w:r>
    </w:p>
    <w:p>
      <w:pPr>
        <w:spacing w:line="860" w:lineRule="exact"/>
        <w:ind w:firstLine="2570" w:firstLineChars="800"/>
        <w:rPr>
          <w:rFonts w:hint="eastAsia" w:ascii="华文仿宋" w:hAnsi="华文仿宋" w:eastAsia="华文仿宋"/>
          <w:b/>
          <w:bCs/>
          <w:sz w:val="32"/>
          <w:szCs w:val="28"/>
        </w:rPr>
      </w:pPr>
      <w:r>
        <w:rPr>
          <w:rFonts w:hint="eastAsia" w:ascii="华文仿宋" w:hAnsi="华文仿宋" w:eastAsia="华文仿宋"/>
          <w:b/>
          <w:bCs/>
          <w:sz w:val="32"/>
          <w:szCs w:val="28"/>
        </w:rPr>
        <w:t>会签：屈定国、袁志法、庄福河、彭昆、刘乐</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李成伍   </w:t>
      </w:r>
    </w:p>
    <w:p>
      <w:pPr>
        <w:pStyle w:val="18"/>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人：中国重汽集团济南动力有限公司发动机厂</w:t>
      </w:r>
    </w:p>
    <w:p>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rPr>
        <w:t>2025年1</w:t>
      </w:r>
      <w:r>
        <w:rPr>
          <w:rFonts w:hint="eastAsia" w:ascii="Calibri" w:hAnsi="Calibri" w:eastAsia="宋体" w:cs="Times New Roman"/>
          <w:color w:val="000000"/>
          <w:sz w:val="28"/>
          <w:szCs w:val="28"/>
          <w:lang w:val="en-US" w:eastAsia="zh-CN"/>
        </w:rPr>
        <w:t>1</w:t>
      </w:r>
      <w:r>
        <w:rPr>
          <w:rFonts w:hint="eastAsia" w:ascii="Calibri" w:hAnsi="Calibri" w:eastAsia="宋体" w:cs="Times New Roman"/>
          <w:color w:val="000000"/>
          <w:sz w:val="28"/>
          <w:szCs w:val="28"/>
        </w:rPr>
        <w:t>月</w:t>
      </w:r>
    </w:p>
    <w:p>
      <w:pPr>
        <w:spacing w:line="360" w:lineRule="auto"/>
        <w:rPr>
          <w:rFonts w:hint="eastAsia" w:ascii="宋体" w:hAnsi="宋体" w:eastAsia="宋体" w:cs="Times New Roman"/>
          <w:b/>
          <w:sz w:val="36"/>
          <w:szCs w:val="36"/>
        </w:rPr>
        <w:sectPr>
          <w:pgSz w:w="11907" w:h="16840"/>
          <w:pgMar w:top="1304" w:right="1418" w:bottom="1304" w:left="1418" w:header="724" w:footer="851" w:gutter="0"/>
          <w:cols w:space="720" w:num="1"/>
          <w:docGrid w:linePitch="290" w:charSpace="-3931"/>
        </w:sectPr>
      </w:pPr>
      <w:bookmarkStart w:id="127" w:name="_GoBack"/>
      <w:bookmarkEnd w:id="127"/>
    </w:p>
    <w:p>
      <w:pPr>
        <w:ind w:firstLine="880"/>
        <w:rPr>
          <w:rFonts w:hint="eastAsia" w:ascii="黑体" w:hAnsi="宋体" w:eastAsia="黑体"/>
          <w:sz w:val="44"/>
          <w:szCs w:val="44"/>
        </w:rPr>
      </w:pPr>
    </w:p>
    <w:p>
      <w:pPr>
        <w:spacing w:line="480" w:lineRule="exact"/>
        <w:jc w:val="center"/>
        <w:rPr>
          <w:rFonts w:hint="eastAsia" w:ascii="宋体" w:hAnsi="宋体"/>
          <w:sz w:val="32"/>
          <w:szCs w:val="32"/>
        </w:rPr>
      </w:pPr>
      <w:r>
        <w:rPr>
          <w:rFonts w:hint="eastAsia" w:ascii="黑体" w:hAnsi="宋体" w:eastAsia="黑体"/>
          <w:sz w:val="32"/>
          <w:szCs w:val="32"/>
        </w:rPr>
        <w:t>目        录</w:t>
      </w:r>
    </w:p>
    <w:p>
      <w:pPr>
        <w:spacing w:line="480" w:lineRule="exact"/>
        <w:rPr>
          <w:rFonts w:hint="eastAsia" w:ascii="宋体" w:hAnsi="宋体"/>
          <w:sz w:val="24"/>
          <w:szCs w:val="24"/>
        </w:rPr>
      </w:pPr>
    </w:p>
    <w:p>
      <w:pPr>
        <w:pStyle w:val="25"/>
        <w:tabs>
          <w:tab w:val="right" w:leader="dot" w:pos="8787"/>
        </w:tabs>
        <w:spacing w:line="480" w:lineRule="auto"/>
        <w:rPr>
          <w:rFonts w:hint="eastAsia"/>
          <w:b w:val="0"/>
          <w:bCs/>
          <w:color w:val="auto"/>
          <w:sz w:val="24"/>
          <w:szCs w:val="24"/>
        </w:rPr>
      </w:pPr>
      <w:r>
        <w:rPr>
          <w:rFonts w:hint="eastAsia"/>
          <w:b w:val="0"/>
          <w:bCs/>
          <w:color w:val="auto"/>
          <w:sz w:val="24"/>
          <w:szCs w:val="24"/>
        </w:rPr>
        <w:fldChar w:fldCharType="begin"/>
      </w:r>
      <w:r>
        <w:rPr>
          <w:rFonts w:hint="eastAsia"/>
          <w:b w:val="0"/>
          <w:bCs/>
          <w:color w:val="auto"/>
          <w:sz w:val="24"/>
          <w:szCs w:val="24"/>
        </w:rPr>
        <w:instrText xml:space="preserve"> TOC \o "1-2" \h \z \u </w:instrText>
      </w:r>
      <w:r>
        <w:rPr>
          <w:rFonts w:hint="eastAsia"/>
          <w:b w:val="0"/>
          <w:bCs/>
          <w:color w:val="auto"/>
          <w:sz w:val="24"/>
          <w:szCs w:val="24"/>
        </w:rPr>
        <w:fldChar w:fldCharType="separate"/>
      </w:r>
      <w:r>
        <w:fldChar w:fldCharType="begin"/>
      </w:r>
      <w:r>
        <w:instrText xml:space="preserve"> HYPERLINK \l "_Toc2567" </w:instrText>
      </w:r>
      <w:r>
        <w:fldChar w:fldCharType="separate"/>
      </w:r>
      <w:r>
        <w:rPr>
          <w:rFonts w:hint="eastAsia" w:ascii="黑体" w:eastAsia="黑体"/>
          <w:b w:val="0"/>
          <w:bCs/>
          <w:color w:val="auto"/>
          <w:sz w:val="24"/>
          <w:szCs w:val="24"/>
        </w:rPr>
        <w:t>第一章  采购货物概况</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_Toc2567 </w:instrText>
      </w:r>
      <w:r>
        <w:rPr>
          <w:b w:val="0"/>
          <w:bCs/>
          <w:color w:val="auto"/>
          <w:sz w:val="24"/>
          <w:szCs w:val="24"/>
        </w:rPr>
        <w:fldChar w:fldCharType="separate"/>
      </w:r>
      <w:r>
        <w:rPr>
          <w:b w:val="0"/>
          <w:bCs/>
          <w:color w:val="auto"/>
          <w:sz w:val="24"/>
          <w:szCs w:val="24"/>
        </w:rPr>
        <w:t>1</w:t>
      </w:r>
      <w:r>
        <w:rPr>
          <w:b w:val="0"/>
          <w:bCs/>
          <w:color w:val="auto"/>
          <w:sz w:val="24"/>
          <w:szCs w:val="24"/>
        </w:rPr>
        <w:fldChar w:fldCharType="end"/>
      </w:r>
      <w:r>
        <w:rPr>
          <w:b w:val="0"/>
          <w:bCs/>
          <w:color w:val="auto"/>
          <w:sz w:val="24"/>
          <w:szCs w:val="24"/>
        </w:rPr>
        <w:fldChar w:fldCharType="end"/>
      </w:r>
    </w:p>
    <w:p>
      <w:pPr>
        <w:pStyle w:val="25"/>
        <w:tabs>
          <w:tab w:val="right" w:leader="dot" w:pos="8787"/>
        </w:tabs>
        <w:spacing w:line="480" w:lineRule="auto"/>
        <w:rPr>
          <w:rFonts w:hint="eastAsia"/>
          <w:b w:val="0"/>
          <w:bCs/>
          <w:color w:val="auto"/>
          <w:sz w:val="24"/>
          <w:szCs w:val="24"/>
        </w:rPr>
      </w:pPr>
      <w:r>
        <w:fldChar w:fldCharType="begin"/>
      </w:r>
      <w:r>
        <w:instrText xml:space="preserve"> HYPERLINK \l "_Toc32262" </w:instrText>
      </w:r>
      <w:r>
        <w:fldChar w:fldCharType="separate"/>
      </w:r>
      <w:r>
        <w:rPr>
          <w:rFonts w:hint="eastAsia" w:ascii="黑体" w:eastAsia="黑体"/>
          <w:b w:val="0"/>
          <w:bCs/>
          <w:color w:val="auto"/>
          <w:sz w:val="24"/>
          <w:szCs w:val="24"/>
        </w:rPr>
        <w:t>第二章  技术要求</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_Toc32262 </w:instrText>
      </w:r>
      <w:r>
        <w:rPr>
          <w:b w:val="0"/>
          <w:bCs/>
          <w:color w:val="auto"/>
          <w:sz w:val="24"/>
          <w:szCs w:val="24"/>
        </w:rPr>
        <w:fldChar w:fldCharType="separate"/>
      </w:r>
      <w:r>
        <w:rPr>
          <w:b w:val="0"/>
          <w:bCs/>
          <w:color w:val="auto"/>
          <w:sz w:val="24"/>
          <w:szCs w:val="24"/>
        </w:rPr>
        <w:t>3</w:t>
      </w:r>
      <w:r>
        <w:rPr>
          <w:b w:val="0"/>
          <w:bCs/>
          <w:color w:val="auto"/>
          <w:sz w:val="24"/>
          <w:szCs w:val="24"/>
        </w:rPr>
        <w:fldChar w:fldCharType="end"/>
      </w:r>
      <w:r>
        <w:rPr>
          <w:b w:val="0"/>
          <w:bCs/>
          <w:color w:val="auto"/>
          <w:sz w:val="24"/>
          <w:szCs w:val="24"/>
        </w:rPr>
        <w:fldChar w:fldCharType="end"/>
      </w:r>
    </w:p>
    <w:p>
      <w:pPr>
        <w:pStyle w:val="25"/>
        <w:tabs>
          <w:tab w:val="right" w:leader="dot" w:pos="8787"/>
        </w:tabs>
        <w:spacing w:line="480" w:lineRule="auto"/>
        <w:rPr>
          <w:rFonts w:hint="eastAsia"/>
          <w:b w:val="0"/>
          <w:bCs/>
          <w:color w:val="auto"/>
          <w:sz w:val="24"/>
          <w:szCs w:val="24"/>
        </w:rPr>
      </w:pPr>
      <w:r>
        <w:fldChar w:fldCharType="begin"/>
      </w:r>
      <w:r>
        <w:instrText xml:space="preserve"> HYPERLINK \l "_Toc10963" </w:instrText>
      </w:r>
      <w:r>
        <w:fldChar w:fldCharType="separate"/>
      </w:r>
      <w:r>
        <w:rPr>
          <w:rFonts w:hint="eastAsia" w:ascii="黑体" w:eastAsia="黑体"/>
          <w:b w:val="0"/>
          <w:bCs/>
          <w:color w:val="auto"/>
          <w:sz w:val="24"/>
          <w:szCs w:val="24"/>
        </w:rPr>
        <w:t>第三章  供货范围及供货方式</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_Toc10963 </w:instrText>
      </w:r>
      <w:r>
        <w:rPr>
          <w:b w:val="0"/>
          <w:bCs/>
          <w:color w:val="auto"/>
          <w:sz w:val="24"/>
          <w:szCs w:val="24"/>
        </w:rPr>
        <w:fldChar w:fldCharType="separate"/>
      </w:r>
      <w:r>
        <w:rPr>
          <w:b w:val="0"/>
          <w:bCs/>
          <w:color w:val="auto"/>
          <w:sz w:val="24"/>
          <w:szCs w:val="24"/>
        </w:rPr>
        <w:t>11</w:t>
      </w:r>
      <w:r>
        <w:rPr>
          <w:b w:val="0"/>
          <w:bCs/>
          <w:color w:val="auto"/>
          <w:sz w:val="24"/>
          <w:szCs w:val="24"/>
        </w:rPr>
        <w:fldChar w:fldCharType="end"/>
      </w:r>
      <w:r>
        <w:rPr>
          <w:b w:val="0"/>
          <w:bCs/>
          <w:color w:val="auto"/>
          <w:sz w:val="24"/>
          <w:szCs w:val="24"/>
        </w:rPr>
        <w:fldChar w:fldCharType="end"/>
      </w:r>
    </w:p>
    <w:p>
      <w:pPr>
        <w:pStyle w:val="25"/>
        <w:tabs>
          <w:tab w:val="right" w:leader="dot" w:pos="8787"/>
        </w:tabs>
        <w:spacing w:line="480" w:lineRule="auto"/>
        <w:rPr>
          <w:rFonts w:hint="eastAsia"/>
          <w:b w:val="0"/>
          <w:bCs/>
          <w:color w:val="auto"/>
          <w:sz w:val="24"/>
          <w:szCs w:val="24"/>
        </w:rPr>
      </w:pPr>
      <w:r>
        <w:fldChar w:fldCharType="begin"/>
      </w:r>
      <w:r>
        <w:instrText xml:space="preserve"> HYPERLINK \l "_Toc30960" </w:instrText>
      </w:r>
      <w:r>
        <w:fldChar w:fldCharType="separate"/>
      </w:r>
      <w:r>
        <w:rPr>
          <w:rFonts w:hint="eastAsia" w:ascii="黑体" w:eastAsia="黑体"/>
          <w:b w:val="0"/>
          <w:bCs/>
          <w:color w:val="auto"/>
          <w:sz w:val="24"/>
          <w:szCs w:val="24"/>
        </w:rPr>
        <w:t>第四章  售中售后服务</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_Toc30960 </w:instrText>
      </w:r>
      <w:r>
        <w:rPr>
          <w:b w:val="0"/>
          <w:bCs/>
          <w:color w:val="auto"/>
          <w:sz w:val="24"/>
          <w:szCs w:val="24"/>
        </w:rPr>
        <w:fldChar w:fldCharType="separate"/>
      </w:r>
      <w:r>
        <w:rPr>
          <w:b w:val="0"/>
          <w:bCs/>
          <w:color w:val="auto"/>
          <w:sz w:val="24"/>
          <w:szCs w:val="24"/>
        </w:rPr>
        <w:t>16</w:t>
      </w:r>
      <w:r>
        <w:rPr>
          <w:b w:val="0"/>
          <w:bCs/>
          <w:color w:val="auto"/>
          <w:sz w:val="24"/>
          <w:szCs w:val="24"/>
        </w:rPr>
        <w:fldChar w:fldCharType="end"/>
      </w:r>
      <w:r>
        <w:rPr>
          <w:b w:val="0"/>
          <w:bCs/>
          <w:color w:val="auto"/>
          <w:sz w:val="24"/>
          <w:szCs w:val="24"/>
        </w:rPr>
        <w:fldChar w:fldCharType="end"/>
      </w:r>
    </w:p>
    <w:p>
      <w:pPr>
        <w:pStyle w:val="25"/>
        <w:tabs>
          <w:tab w:val="right" w:leader="dot" w:pos="8787"/>
        </w:tabs>
        <w:spacing w:line="480" w:lineRule="auto"/>
        <w:rPr>
          <w:rFonts w:hint="eastAsia"/>
          <w:b w:val="0"/>
          <w:bCs/>
          <w:color w:val="auto"/>
          <w:sz w:val="24"/>
          <w:szCs w:val="24"/>
        </w:rPr>
      </w:pPr>
      <w:r>
        <w:fldChar w:fldCharType="begin"/>
      </w:r>
      <w:r>
        <w:instrText xml:space="preserve"> HYPERLINK \l "_Toc21539" </w:instrText>
      </w:r>
      <w:r>
        <w:fldChar w:fldCharType="separate"/>
      </w:r>
      <w:r>
        <w:rPr>
          <w:rFonts w:hint="eastAsia" w:ascii="黑体" w:eastAsia="黑体"/>
          <w:b w:val="0"/>
          <w:bCs/>
          <w:color w:val="auto"/>
          <w:sz w:val="24"/>
          <w:szCs w:val="24"/>
        </w:rPr>
        <w:t>第五章  预验收和终验收</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_Toc21539 </w:instrText>
      </w:r>
      <w:r>
        <w:rPr>
          <w:b w:val="0"/>
          <w:bCs/>
          <w:color w:val="auto"/>
          <w:sz w:val="24"/>
          <w:szCs w:val="24"/>
        </w:rPr>
        <w:fldChar w:fldCharType="separate"/>
      </w:r>
      <w:r>
        <w:rPr>
          <w:b w:val="0"/>
          <w:bCs/>
          <w:color w:val="auto"/>
          <w:sz w:val="24"/>
          <w:szCs w:val="24"/>
        </w:rPr>
        <w:t>18</w:t>
      </w:r>
      <w:r>
        <w:rPr>
          <w:b w:val="0"/>
          <w:bCs/>
          <w:color w:val="auto"/>
          <w:sz w:val="24"/>
          <w:szCs w:val="24"/>
        </w:rPr>
        <w:fldChar w:fldCharType="end"/>
      </w:r>
      <w:r>
        <w:rPr>
          <w:b w:val="0"/>
          <w:bCs/>
          <w:color w:val="auto"/>
          <w:sz w:val="24"/>
          <w:szCs w:val="24"/>
        </w:rPr>
        <w:fldChar w:fldCharType="end"/>
      </w:r>
    </w:p>
    <w:p>
      <w:pPr>
        <w:pStyle w:val="25"/>
        <w:tabs>
          <w:tab w:val="right" w:leader="dot" w:pos="8787"/>
        </w:tabs>
        <w:spacing w:line="480" w:lineRule="auto"/>
        <w:rPr>
          <w:rFonts w:hint="eastAsia"/>
          <w:b w:val="0"/>
          <w:bCs/>
          <w:color w:val="auto"/>
          <w:sz w:val="24"/>
          <w:szCs w:val="24"/>
        </w:rPr>
      </w:pPr>
      <w:r>
        <w:fldChar w:fldCharType="begin"/>
      </w:r>
      <w:r>
        <w:instrText xml:space="preserve"> HYPERLINK \l "_Toc12996" </w:instrText>
      </w:r>
      <w:r>
        <w:fldChar w:fldCharType="separate"/>
      </w:r>
      <w:r>
        <w:rPr>
          <w:rFonts w:hint="eastAsia" w:ascii="黑体" w:eastAsia="黑体"/>
          <w:b w:val="0"/>
          <w:bCs/>
          <w:color w:val="auto"/>
          <w:sz w:val="24"/>
          <w:szCs w:val="24"/>
        </w:rPr>
        <w:t>第六章  投标技术文件一般要求</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_Toc12996 </w:instrText>
      </w:r>
      <w:r>
        <w:rPr>
          <w:b w:val="0"/>
          <w:bCs/>
          <w:color w:val="auto"/>
          <w:sz w:val="24"/>
          <w:szCs w:val="24"/>
        </w:rPr>
        <w:fldChar w:fldCharType="separate"/>
      </w:r>
      <w:r>
        <w:rPr>
          <w:b w:val="0"/>
          <w:bCs/>
          <w:color w:val="auto"/>
          <w:sz w:val="24"/>
          <w:szCs w:val="24"/>
        </w:rPr>
        <w:t>21</w:t>
      </w:r>
      <w:r>
        <w:rPr>
          <w:b w:val="0"/>
          <w:bCs/>
          <w:color w:val="auto"/>
          <w:sz w:val="24"/>
          <w:szCs w:val="24"/>
        </w:rPr>
        <w:fldChar w:fldCharType="end"/>
      </w:r>
      <w:r>
        <w:rPr>
          <w:b w:val="0"/>
          <w:bCs/>
          <w:color w:val="auto"/>
          <w:sz w:val="24"/>
          <w:szCs w:val="24"/>
        </w:rPr>
        <w:fldChar w:fldCharType="end"/>
      </w:r>
    </w:p>
    <w:p>
      <w:pPr>
        <w:pStyle w:val="25"/>
        <w:tabs>
          <w:tab w:val="right" w:leader="dot" w:pos="8787"/>
        </w:tabs>
        <w:spacing w:line="480" w:lineRule="auto"/>
        <w:rPr>
          <w:rFonts w:hint="eastAsia"/>
          <w:b w:val="0"/>
          <w:bCs/>
          <w:color w:val="auto"/>
          <w:sz w:val="24"/>
          <w:szCs w:val="24"/>
        </w:rPr>
      </w:pPr>
      <w:r>
        <w:fldChar w:fldCharType="begin"/>
      </w:r>
      <w:r>
        <w:instrText xml:space="preserve"> HYPERLINK \l "_Toc31849" </w:instrText>
      </w:r>
      <w:r>
        <w:fldChar w:fldCharType="separate"/>
      </w:r>
      <w:r>
        <w:rPr>
          <w:rFonts w:hint="eastAsia" w:ascii="黑体" w:eastAsia="黑体"/>
          <w:b w:val="0"/>
          <w:bCs/>
          <w:color w:val="auto"/>
          <w:sz w:val="24"/>
          <w:szCs w:val="24"/>
        </w:rPr>
        <w:t>第七章  其它要求及说明</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_Toc31849 </w:instrText>
      </w:r>
      <w:r>
        <w:rPr>
          <w:b w:val="0"/>
          <w:bCs/>
          <w:color w:val="auto"/>
          <w:sz w:val="24"/>
          <w:szCs w:val="24"/>
        </w:rPr>
        <w:fldChar w:fldCharType="separate"/>
      </w:r>
      <w:r>
        <w:rPr>
          <w:b w:val="0"/>
          <w:bCs/>
          <w:color w:val="auto"/>
          <w:sz w:val="24"/>
          <w:szCs w:val="24"/>
        </w:rPr>
        <w:t>23</w:t>
      </w:r>
      <w:r>
        <w:rPr>
          <w:b w:val="0"/>
          <w:bCs/>
          <w:color w:val="auto"/>
          <w:sz w:val="24"/>
          <w:szCs w:val="24"/>
        </w:rPr>
        <w:fldChar w:fldCharType="end"/>
      </w:r>
      <w:r>
        <w:rPr>
          <w:b w:val="0"/>
          <w:bCs/>
          <w:color w:val="auto"/>
          <w:sz w:val="24"/>
          <w:szCs w:val="24"/>
        </w:rPr>
        <w:fldChar w:fldCharType="end"/>
      </w:r>
    </w:p>
    <w:p>
      <w:pPr>
        <w:spacing w:line="480" w:lineRule="auto"/>
        <w:rPr>
          <w:rFonts w:hint="eastAsia" w:ascii="宋体" w:hAnsi="宋体"/>
        </w:rPr>
      </w:pPr>
      <w:r>
        <w:rPr>
          <w:rFonts w:hint="eastAsia" w:ascii="宋体" w:hAnsi="宋体"/>
          <w:bCs/>
          <w:sz w:val="24"/>
          <w:szCs w:val="24"/>
        </w:rPr>
        <w:fldChar w:fldCharType="end"/>
      </w:r>
    </w:p>
    <w:p>
      <w:pPr>
        <w:spacing w:line="480" w:lineRule="exact"/>
        <w:ind w:firstLine="840" w:firstLineChars="400"/>
        <w:rPr>
          <w:rFonts w:hint="eastAsia" w:ascii="黑体" w:hAnsi="宋体" w:eastAsia="黑体"/>
        </w:rPr>
      </w:pPr>
    </w:p>
    <w:p>
      <w:pPr>
        <w:spacing w:line="480" w:lineRule="exact"/>
        <w:ind w:firstLine="840" w:firstLineChars="400"/>
        <w:rPr>
          <w:rFonts w:hint="eastAsia" w:ascii="黑体" w:hAnsi="宋体" w:eastAsia="黑体"/>
        </w:rPr>
      </w:pPr>
    </w:p>
    <w:p>
      <w:pPr>
        <w:spacing w:line="480" w:lineRule="exact"/>
        <w:ind w:firstLine="840" w:firstLineChars="400"/>
        <w:rPr>
          <w:rFonts w:hint="eastAsia" w:ascii="黑体" w:hAnsi="宋体" w:eastAsia="黑体"/>
        </w:rPr>
      </w:pPr>
    </w:p>
    <w:p>
      <w:pPr>
        <w:spacing w:line="480" w:lineRule="exact"/>
        <w:ind w:firstLine="840" w:firstLineChars="400"/>
        <w:rPr>
          <w:rFonts w:hint="eastAsia" w:ascii="黑体" w:hAnsi="宋体" w:eastAsia="黑体"/>
        </w:rPr>
      </w:pPr>
    </w:p>
    <w:p>
      <w:pPr>
        <w:spacing w:line="480" w:lineRule="exact"/>
        <w:ind w:firstLine="840" w:firstLineChars="400"/>
        <w:rPr>
          <w:rFonts w:hint="eastAsia" w:ascii="黑体" w:hAnsi="宋体" w:eastAsia="黑体"/>
        </w:rPr>
      </w:pPr>
    </w:p>
    <w:p>
      <w:pPr>
        <w:spacing w:line="480" w:lineRule="exact"/>
        <w:ind w:firstLine="840" w:firstLineChars="400"/>
        <w:rPr>
          <w:rFonts w:hint="eastAsia" w:ascii="黑体" w:hAnsi="宋体" w:eastAsia="黑体"/>
        </w:rPr>
      </w:pPr>
    </w:p>
    <w:p>
      <w:pPr>
        <w:spacing w:line="480" w:lineRule="exact"/>
        <w:ind w:firstLine="840" w:firstLineChars="400"/>
        <w:rPr>
          <w:rFonts w:hint="eastAsia" w:ascii="黑体" w:hAnsi="宋体" w:eastAsia="黑体"/>
        </w:rPr>
      </w:pPr>
    </w:p>
    <w:p>
      <w:pPr>
        <w:spacing w:line="480" w:lineRule="exact"/>
        <w:ind w:firstLine="840" w:firstLineChars="400"/>
        <w:rPr>
          <w:rFonts w:hint="eastAsia" w:ascii="黑体" w:hAnsi="宋体" w:eastAsia="黑体"/>
        </w:rPr>
      </w:pPr>
    </w:p>
    <w:p>
      <w:pPr>
        <w:spacing w:line="480" w:lineRule="exact"/>
        <w:ind w:firstLine="840" w:firstLineChars="400"/>
        <w:rPr>
          <w:rFonts w:hint="eastAsia" w:ascii="黑体" w:hAnsi="宋体" w:eastAsia="黑体"/>
        </w:rPr>
      </w:pPr>
    </w:p>
    <w:p>
      <w:pPr>
        <w:spacing w:line="480" w:lineRule="exact"/>
        <w:ind w:firstLine="840" w:firstLineChars="400"/>
        <w:rPr>
          <w:rFonts w:hint="eastAsia" w:ascii="黑体" w:hAnsi="宋体" w:eastAsia="黑体"/>
        </w:rPr>
      </w:pPr>
    </w:p>
    <w:p>
      <w:pPr>
        <w:spacing w:line="480" w:lineRule="exact"/>
        <w:ind w:firstLine="840" w:firstLineChars="400"/>
        <w:rPr>
          <w:rFonts w:hint="eastAsia" w:ascii="黑体" w:hAnsi="宋体" w:eastAsia="黑体"/>
        </w:rPr>
      </w:pPr>
    </w:p>
    <w:p>
      <w:pPr>
        <w:spacing w:line="480" w:lineRule="exact"/>
        <w:ind w:firstLine="840" w:firstLineChars="400"/>
        <w:rPr>
          <w:rFonts w:hint="eastAsia" w:ascii="黑体" w:hAnsi="宋体" w:eastAsia="黑体"/>
        </w:rPr>
      </w:pPr>
    </w:p>
    <w:p>
      <w:pPr>
        <w:spacing w:line="480" w:lineRule="exact"/>
        <w:ind w:firstLine="840" w:firstLineChars="400"/>
        <w:rPr>
          <w:rFonts w:hint="eastAsia" w:ascii="黑体" w:hAnsi="宋体" w:eastAsia="黑体"/>
        </w:rPr>
      </w:pPr>
    </w:p>
    <w:p>
      <w:pPr>
        <w:spacing w:line="480" w:lineRule="exact"/>
        <w:ind w:firstLine="840" w:firstLineChars="400"/>
        <w:rPr>
          <w:rFonts w:hint="eastAsia" w:ascii="黑体" w:hAnsi="宋体" w:eastAsia="黑体"/>
        </w:rPr>
      </w:pPr>
    </w:p>
    <w:p>
      <w:pPr>
        <w:spacing w:line="480" w:lineRule="exact"/>
        <w:ind w:firstLine="840" w:firstLineChars="400"/>
        <w:rPr>
          <w:rFonts w:hint="eastAsia" w:ascii="黑体" w:hAnsi="宋体" w:eastAsia="黑体"/>
        </w:rPr>
        <w:sectPr>
          <w:headerReference r:id="rId10" w:type="default"/>
          <w:footerReference r:id="rId11" w:type="default"/>
          <w:pgSz w:w="11906" w:h="16838"/>
          <w:pgMar w:top="1701" w:right="1418" w:bottom="1134" w:left="1701" w:header="1021" w:footer="680" w:gutter="0"/>
          <w:pgNumType w:start="1"/>
          <w:cols w:space="720" w:num="1"/>
          <w:docGrid w:type="lines" w:linePitch="312" w:charSpace="0"/>
        </w:sectPr>
      </w:pPr>
    </w:p>
    <w:p>
      <w:pPr>
        <w:pStyle w:val="2"/>
        <w:spacing w:before="120" w:after="120" w:line="480" w:lineRule="exact"/>
        <w:rPr>
          <w:rFonts w:hint="eastAsia" w:ascii="宋体" w:hAnsi="宋体" w:cs="宋体"/>
          <w:bCs w:val="0"/>
          <w:sz w:val="28"/>
          <w:szCs w:val="28"/>
        </w:rPr>
      </w:pPr>
      <w:r>
        <w:rPr>
          <w:rFonts w:hint="eastAsia" w:ascii="宋体" w:hAnsi="宋体" w:cs="宋体"/>
          <w:bCs w:val="0"/>
          <w:sz w:val="28"/>
          <w:szCs w:val="28"/>
        </w:rPr>
        <w:t>第一章  采购货物概况</w:t>
      </w:r>
    </w:p>
    <w:p>
      <w:pPr>
        <w:pStyle w:val="4"/>
        <w:spacing w:before="120" w:after="120" w:line="480" w:lineRule="exact"/>
        <w:jc w:val="center"/>
        <w:rPr>
          <w:rFonts w:hint="eastAsia" w:ascii="宋体" w:hAnsi="宋体" w:cs="宋体"/>
          <w:b w:val="0"/>
          <w:szCs w:val="24"/>
        </w:rPr>
      </w:pPr>
      <w:r>
        <w:rPr>
          <w:rFonts w:hint="eastAsia" w:ascii="宋体" w:hAnsi="宋体" w:cs="宋体"/>
          <w:b w:val="0"/>
          <w:szCs w:val="24"/>
        </w:rPr>
        <w:t>第一节  使用环境</w:t>
      </w:r>
    </w:p>
    <w:p>
      <w:pPr>
        <w:spacing w:line="480" w:lineRule="exact"/>
        <w:ind w:firstLine="482" w:firstLineChars="200"/>
        <w:rPr>
          <w:rFonts w:hint="eastAsia" w:ascii="宋体" w:hAnsi="宋体" w:eastAsia="宋体" w:cs="宋体"/>
          <w:sz w:val="24"/>
          <w:szCs w:val="24"/>
          <w:u w:val="single"/>
          <w:shd w:val="pct10" w:color="auto" w:fill="FFFFFF"/>
        </w:rPr>
      </w:pPr>
      <w:r>
        <w:rPr>
          <w:rFonts w:hint="eastAsia" w:ascii="宋体" w:hAnsi="宋体" w:eastAsia="宋体" w:cs="宋体"/>
          <w:b/>
          <w:bCs/>
          <w:sz w:val="24"/>
          <w:szCs w:val="24"/>
        </w:rPr>
        <w:t>一、项目名称：</w:t>
      </w:r>
      <w:r>
        <w:rPr>
          <w:rFonts w:hint="eastAsia" w:ascii="宋体" w:hAnsi="宋体" w:eastAsia="宋体" w:cs="宋体"/>
          <w:sz w:val="24"/>
          <w:szCs w:val="24"/>
          <w:u w:val="single"/>
          <w:shd w:val="pct10" w:color="auto" w:fill="FFFFFF"/>
        </w:rPr>
        <w:t xml:space="preserve">  曲轴、连杆检测能力提升项目  </w:t>
      </w:r>
    </w:p>
    <w:p>
      <w:pPr>
        <w:spacing w:line="480" w:lineRule="exact"/>
        <w:ind w:firstLine="482" w:firstLineChars="200"/>
        <w:rPr>
          <w:rFonts w:hint="eastAsia" w:ascii="宋体" w:hAnsi="宋体" w:eastAsia="宋体" w:cs="宋体"/>
          <w:sz w:val="24"/>
          <w:szCs w:val="24"/>
        </w:rPr>
      </w:pPr>
      <w:r>
        <w:rPr>
          <w:rFonts w:hint="eastAsia" w:ascii="宋体" w:hAnsi="宋体" w:eastAsia="宋体" w:cs="宋体"/>
          <w:b/>
          <w:bCs/>
          <w:sz w:val="24"/>
          <w:szCs w:val="24"/>
        </w:rPr>
        <w:t>二、建设地点：</w:t>
      </w:r>
      <w:r>
        <w:rPr>
          <w:rFonts w:hint="eastAsia" w:ascii="宋体" w:hAnsi="宋体" w:eastAsia="宋体" w:cs="宋体"/>
          <w:sz w:val="24"/>
          <w:szCs w:val="24"/>
          <w:u w:val="single"/>
          <w:shd w:val="pct10" w:color="auto" w:fill="FFFFFF"/>
        </w:rPr>
        <w:t xml:space="preserve">  章丘市圣井镇重汽工业园  </w:t>
      </w:r>
    </w:p>
    <w:p>
      <w:pPr>
        <w:spacing w:line="480" w:lineRule="exact"/>
        <w:ind w:firstLine="482" w:firstLineChars="200"/>
        <w:rPr>
          <w:rFonts w:hint="eastAsia" w:ascii="宋体" w:hAnsi="宋体" w:eastAsia="宋体" w:cs="宋体"/>
          <w:sz w:val="24"/>
          <w:szCs w:val="24"/>
          <w:u w:val="single"/>
          <w:shd w:val="pct10" w:color="auto" w:fill="FFFFFF"/>
        </w:rPr>
      </w:pPr>
      <w:r>
        <w:rPr>
          <w:rFonts w:hint="eastAsia" w:ascii="宋体" w:hAnsi="宋体" w:eastAsia="宋体" w:cs="宋体"/>
          <w:b/>
          <w:bCs/>
          <w:sz w:val="24"/>
          <w:szCs w:val="24"/>
        </w:rPr>
        <w:t>三、使用地点：</w:t>
      </w:r>
      <w:r>
        <w:rPr>
          <w:rFonts w:hint="eastAsia" w:ascii="宋体" w:hAnsi="宋体" w:eastAsia="宋体" w:cs="宋体"/>
          <w:sz w:val="24"/>
          <w:szCs w:val="24"/>
          <w:u w:val="single"/>
          <w:shd w:val="pct10" w:color="auto" w:fill="FFFFFF"/>
        </w:rPr>
        <w:t xml:space="preserve">  中国重汽集团济南发动机厂部件加工部 </w:t>
      </w:r>
      <w:r>
        <w:rPr>
          <w:rFonts w:hint="eastAsia" w:ascii="宋体" w:hAnsi="宋体" w:eastAsia="宋体" w:cs="宋体"/>
          <w:color w:val="000000"/>
          <w:sz w:val="24"/>
          <w:szCs w:val="24"/>
          <w:u w:val="single"/>
          <w:shd w:val="pct10" w:color="auto" w:fill="FFFFFF"/>
        </w:rPr>
        <w:t xml:space="preserve"> </w:t>
      </w:r>
    </w:p>
    <w:p>
      <w:pPr>
        <w:spacing w:line="480" w:lineRule="exact"/>
        <w:ind w:firstLine="482" w:firstLineChars="200"/>
        <w:rPr>
          <w:rFonts w:hint="eastAsia" w:ascii="宋体" w:hAnsi="宋体" w:eastAsia="宋体" w:cs="宋体"/>
          <w:sz w:val="24"/>
          <w:szCs w:val="24"/>
        </w:rPr>
      </w:pPr>
      <w:r>
        <w:rPr>
          <w:rFonts w:hint="eastAsia" w:ascii="宋体" w:hAnsi="宋体" w:eastAsia="宋体" w:cs="宋体"/>
          <w:b/>
          <w:bCs/>
          <w:sz w:val="24"/>
          <w:szCs w:val="24"/>
        </w:rPr>
        <w:t>四、工作制度：</w:t>
      </w:r>
      <w:r>
        <w:rPr>
          <w:rFonts w:hint="eastAsia" w:ascii="宋体" w:hAnsi="宋体" w:eastAsia="宋体" w:cs="宋体"/>
          <w:sz w:val="24"/>
          <w:szCs w:val="24"/>
        </w:rPr>
        <w:t>全年工作250天、</w:t>
      </w:r>
      <w:r>
        <w:rPr>
          <w:rFonts w:hint="eastAsia" w:ascii="宋体" w:hAnsi="宋体" w:eastAsia="宋体" w:cs="宋体"/>
          <w:sz w:val="24"/>
          <w:szCs w:val="24"/>
          <w:u w:val="single"/>
          <w:shd w:val="pct10" w:color="auto" w:fill="FFFFFF"/>
        </w:rPr>
        <w:t xml:space="preserve">   3  </w:t>
      </w:r>
      <w:r>
        <w:rPr>
          <w:rFonts w:hint="eastAsia" w:ascii="宋体" w:hAnsi="宋体" w:eastAsia="宋体" w:cs="宋体"/>
          <w:sz w:val="24"/>
          <w:szCs w:val="24"/>
        </w:rPr>
        <w:t>班制、设备年时基数</w:t>
      </w:r>
      <w:r>
        <w:rPr>
          <w:rFonts w:hint="eastAsia" w:ascii="宋体" w:hAnsi="宋体" w:eastAsia="宋体" w:cs="宋体"/>
          <w:sz w:val="24"/>
          <w:szCs w:val="24"/>
          <w:u w:val="single"/>
          <w:shd w:val="pct10" w:color="auto" w:fill="FFFFFF"/>
        </w:rPr>
        <w:t xml:space="preserve"> 5000 </w:t>
      </w:r>
      <w:r>
        <w:rPr>
          <w:rFonts w:hint="eastAsia" w:ascii="宋体" w:hAnsi="宋体" w:eastAsia="宋体" w:cs="宋体"/>
          <w:sz w:val="24"/>
          <w:szCs w:val="24"/>
        </w:rPr>
        <w:t>小时</w:t>
      </w:r>
    </w:p>
    <w:p>
      <w:pPr>
        <w:spacing w:line="48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五、使用地点区域自然环境：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bCs/>
          <w:sz w:val="24"/>
          <w:szCs w:val="24"/>
        </w:rPr>
        <w:t>1、海拨高度：1000m以下</w:t>
      </w:r>
    </w:p>
    <w:p>
      <w:pPr>
        <w:spacing w:line="360" w:lineRule="auto"/>
        <w:ind w:left="2280" w:leftChars="200" w:hanging="1860" w:hangingChars="775"/>
        <w:rPr>
          <w:rFonts w:hint="eastAsia" w:ascii="宋体" w:hAnsi="宋体" w:eastAsia="宋体" w:cs="宋体"/>
          <w:sz w:val="24"/>
          <w:szCs w:val="24"/>
        </w:rPr>
      </w:pPr>
      <w:r>
        <w:rPr>
          <w:rFonts w:hint="eastAsia" w:ascii="宋体" w:hAnsi="宋体" w:eastAsia="宋体" w:cs="宋体"/>
          <w:sz w:val="24"/>
          <w:szCs w:val="24"/>
        </w:rPr>
        <w:t>2、环境温度：室外极端最低温度-19.7℃、极端最高温度42℃，昼夜最大温</w:t>
      </w:r>
      <w:r>
        <w:rPr>
          <w:rFonts w:hint="eastAsia" w:ascii="宋体" w:hAnsi="宋体" w:eastAsia="宋体" w:cs="宋体"/>
          <w:bCs/>
          <w:sz w:val="24"/>
          <w:szCs w:val="24"/>
        </w:rPr>
        <w:t>差25℃；室内温度5～40℃。</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3、相对湿度：年平均59%，</w:t>
      </w:r>
      <w:r>
        <w:rPr>
          <w:rFonts w:hint="eastAsia" w:ascii="宋体" w:hAnsi="宋体" w:eastAsia="宋体" w:cs="宋体"/>
          <w:bCs/>
          <w:sz w:val="24"/>
          <w:szCs w:val="24"/>
        </w:rPr>
        <w:t>最大95%、最小15%。</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4、降雨量：日最大降雨量300mm、时最大降雨量100mm。</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5、最大风速：33.3m/s。</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6、最大积雪厚度：200mm。</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7、最大冻土深度：450mm。</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8、地震设防裂度：七度。</w:t>
      </w:r>
    </w:p>
    <w:p>
      <w:pPr>
        <w:spacing w:line="48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六、能源环境：</w:t>
      </w:r>
    </w:p>
    <w:p>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1、电力：中国制式，供电电压380V±15%/220V±15%，供电频率50Hz±2%。</w:t>
      </w:r>
    </w:p>
    <w:p>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2、压缩空气：自备空压机自产压缩空气，0.4～0.6MPa。</w:t>
      </w:r>
    </w:p>
    <w:p>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3、工位照度：不低于500Lx。</w:t>
      </w:r>
    </w:p>
    <w:p>
      <w:pPr>
        <w:spacing w:line="480" w:lineRule="exact"/>
        <w:ind w:firstLine="480" w:firstLineChars="200"/>
        <w:rPr>
          <w:rFonts w:hint="eastAsia" w:ascii="宋体" w:hAnsi="宋体" w:eastAsia="宋体" w:cs="宋体"/>
          <w:sz w:val="24"/>
          <w:szCs w:val="24"/>
        </w:rPr>
      </w:pPr>
    </w:p>
    <w:p>
      <w:pPr>
        <w:spacing w:line="480" w:lineRule="exact"/>
        <w:ind w:firstLine="480" w:firstLineChars="200"/>
        <w:rPr>
          <w:rFonts w:hint="eastAsia" w:ascii="宋体" w:hAnsi="宋体" w:eastAsia="宋体" w:cs="宋体"/>
          <w:sz w:val="24"/>
          <w:szCs w:val="24"/>
        </w:rPr>
      </w:pPr>
    </w:p>
    <w:p>
      <w:pPr>
        <w:spacing w:line="480" w:lineRule="exact"/>
        <w:ind w:firstLine="480" w:firstLineChars="200"/>
        <w:rPr>
          <w:rFonts w:hint="eastAsia" w:ascii="宋体" w:hAnsi="宋体" w:eastAsia="宋体" w:cs="宋体"/>
          <w:sz w:val="24"/>
          <w:szCs w:val="24"/>
        </w:rPr>
      </w:pPr>
    </w:p>
    <w:p>
      <w:pPr>
        <w:spacing w:line="480" w:lineRule="exact"/>
        <w:ind w:firstLine="480" w:firstLineChars="200"/>
        <w:rPr>
          <w:rFonts w:hint="eastAsia" w:ascii="宋体" w:hAnsi="宋体" w:eastAsia="宋体" w:cs="宋体"/>
          <w:sz w:val="24"/>
          <w:szCs w:val="24"/>
        </w:rPr>
      </w:pPr>
    </w:p>
    <w:p>
      <w:pPr>
        <w:spacing w:line="480" w:lineRule="exact"/>
        <w:ind w:firstLine="480" w:firstLineChars="200"/>
        <w:rPr>
          <w:rFonts w:hint="eastAsia" w:ascii="宋体" w:hAnsi="宋体" w:eastAsia="宋体" w:cs="宋体"/>
          <w:sz w:val="24"/>
          <w:szCs w:val="24"/>
        </w:rPr>
      </w:pPr>
    </w:p>
    <w:p>
      <w:pPr>
        <w:spacing w:line="480" w:lineRule="exact"/>
        <w:ind w:firstLine="480" w:firstLineChars="200"/>
        <w:rPr>
          <w:rFonts w:hint="eastAsia" w:ascii="宋体" w:hAnsi="宋体" w:eastAsia="宋体" w:cs="宋体"/>
          <w:sz w:val="24"/>
          <w:szCs w:val="24"/>
        </w:rPr>
      </w:pPr>
    </w:p>
    <w:p>
      <w:pPr>
        <w:spacing w:line="480" w:lineRule="exact"/>
        <w:rPr>
          <w:rFonts w:hint="eastAsia" w:ascii="宋体" w:hAnsi="宋体" w:eastAsia="宋体" w:cs="宋体"/>
          <w:sz w:val="24"/>
          <w:szCs w:val="24"/>
        </w:rPr>
      </w:pPr>
    </w:p>
    <w:p>
      <w:pPr>
        <w:pStyle w:val="4"/>
        <w:spacing w:before="120" w:after="120" w:line="480" w:lineRule="exact"/>
        <w:jc w:val="center"/>
        <w:rPr>
          <w:rFonts w:hint="eastAsia" w:ascii="宋体" w:hAnsi="宋体" w:cs="宋体"/>
          <w:b w:val="0"/>
          <w:szCs w:val="24"/>
        </w:rPr>
      </w:pPr>
      <w:r>
        <w:rPr>
          <w:rFonts w:hint="eastAsia" w:ascii="宋体" w:hAnsi="宋体" w:cs="宋体"/>
          <w:b w:val="0"/>
          <w:szCs w:val="24"/>
        </w:rPr>
        <w:t>第二节  采购货物概况</w:t>
      </w:r>
    </w:p>
    <w:p>
      <w:pPr>
        <w:spacing w:line="480" w:lineRule="exact"/>
        <w:ind w:firstLine="482" w:firstLineChars="200"/>
        <w:rPr>
          <w:rFonts w:hint="eastAsia" w:ascii="宋体" w:hAnsi="宋体" w:eastAsia="宋体" w:cs="宋体"/>
          <w:sz w:val="24"/>
          <w:szCs w:val="24"/>
        </w:rPr>
      </w:pPr>
      <w:r>
        <w:rPr>
          <w:rFonts w:hint="eastAsia" w:ascii="宋体" w:hAnsi="宋体" w:eastAsia="宋体" w:cs="宋体"/>
          <w:b/>
          <w:bCs/>
          <w:sz w:val="24"/>
          <w:szCs w:val="24"/>
        </w:rPr>
        <w:t>一、设备名称：</w:t>
      </w:r>
      <w:r>
        <w:rPr>
          <w:rFonts w:hint="eastAsia" w:ascii="宋体" w:hAnsi="宋体" w:eastAsia="宋体" w:cs="宋体"/>
          <w:sz w:val="24"/>
          <w:szCs w:val="24"/>
          <w:u w:val="single"/>
        </w:rPr>
        <w:t xml:space="preserve">  圆角粗糙度检测仪   </w:t>
      </w:r>
      <w:r>
        <w:rPr>
          <w:rFonts w:hint="eastAsia" w:ascii="宋体" w:hAnsi="宋体" w:eastAsia="宋体" w:cs="宋体"/>
          <w:sz w:val="24"/>
          <w:szCs w:val="24"/>
        </w:rPr>
        <w:t>（详见下表）</w:t>
      </w:r>
    </w:p>
    <w:p>
      <w:pPr>
        <w:spacing w:line="480" w:lineRule="exact"/>
        <w:ind w:firstLine="482" w:firstLineChars="200"/>
        <w:rPr>
          <w:rFonts w:hint="eastAsia" w:ascii="宋体" w:hAnsi="宋体" w:eastAsia="宋体" w:cs="宋体"/>
          <w:sz w:val="24"/>
          <w:szCs w:val="24"/>
        </w:rPr>
      </w:pPr>
      <w:r>
        <w:rPr>
          <w:rFonts w:hint="eastAsia" w:ascii="宋体" w:hAnsi="宋体" w:eastAsia="宋体" w:cs="宋体"/>
          <w:b/>
          <w:bCs/>
          <w:sz w:val="24"/>
          <w:szCs w:val="24"/>
        </w:rPr>
        <w:t>二、设备数量：</w:t>
      </w:r>
      <w:r>
        <w:rPr>
          <w:rFonts w:hint="eastAsia" w:ascii="宋体" w:hAnsi="宋体" w:eastAsia="宋体" w:cs="宋体"/>
          <w:sz w:val="24"/>
          <w:szCs w:val="24"/>
          <w:u w:val="single"/>
        </w:rPr>
        <w:t xml:space="preserve">  1套                </w:t>
      </w:r>
      <w:r>
        <w:rPr>
          <w:rFonts w:hint="eastAsia" w:ascii="宋体" w:hAnsi="宋体" w:eastAsia="宋体" w:cs="宋体"/>
          <w:sz w:val="24"/>
          <w:szCs w:val="24"/>
        </w:rPr>
        <w:t>（详见下表）</w:t>
      </w:r>
    </w:p>
    <w:p>
      <w:pPr>
        <w:spacing w:line="560" w:lineRule="exact"/>
        <w:ind w:firstLine="482" w:firstLineChars="200"/>
        <w:rPr>
          <w:rFonts w:hint="eastAsia" w:ascii="宋体" w:hAnsi="宋体" w:eastAsia="宋体" w:cs="宋体"/>
          <w:sz w:val="24"/>
          <w:szCs w:val="24"/>
        </w:rPr>
      </w:pPr>
      <w:r>
        <w:rPr>
          <w:rFonts w:hint="eastAsia" w:ascii="宋体" w:hAnsi="宋体" w:eastAsia="宋体" w:cs="宋体"/>
          <w:b/>
          <w:bCs/>
          <w:sz w:val="24"/>
          <w:szCs w:val="24"/>
        </w:rPr>
        <w:t>三、分投分中：</w:t>
      </w:r>
      <w:r>
        <w:rPr>
          <w:rFonts w:hint="eastAsia" w:ascii="宋体" w:hAnsi="宋体" w:eastAsia="宋体" w:cs="宋体"/>
          <w:sz w:val="24"/>
          <w:szCs w:val="24"/>
        </w:rPr>
        <w:t>不允许。</w:t>
      </w:r>
    </w:p>
    <w:p>
      <w:pPr>
        <w:widowControl/>
        <w:jc w:val="center"/>
        <w:rPr>
          <w:rFonts w:hint="eastAsia" w:ascii="宋体" w:hAnsi="宋体" w:eastAsia="宋体" w:cs="宋体"/>
          <w:sz w:val="24"/>
          <w:szCs w:val="24"/>
        </w:rPr>
      </w:pPr>
      <w:r>
        <w:rPr>
          <w:rFonts w:hint="eastAsia" w:ascii="宋体" w:hAnsi="宋体" w:eastAsia="宋体" w:cs="宋体"/>
          <w:sz w:val="24"/>
          <w:szCs w:val="24"/>
        </w:rPr>
        <w:t>采购货物主要构成一览表</w:t>
      </w:r>
    </w:p>
    <w:tbl>
      <w:tblPr>
        <w:tblStyle w:val="37"/>
        <w:tblpPr w:leftFromText="180" w:rightFromText="180" w:vertAnchor="text" w:horzAnchor="page" w:tblpX="1863" w:tblpY="4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1285"/>
        <w:gridCol w:w="1285"/>
        <w:gridCol w:w="1286"/>
        <w:gridCol w:w="1496"/>
        <w:gridCol w:w="1290"/>
        <w:gridCol w:w="1072"/>
      </w:tblGrid>
      <w:tr>
        <w:tc>
          <w:tcPr>
            <w:tcW w:w="1285" w:type="dxa"/>
            <w:vAlign w:val="center"/>
          </w:tcPr>
          <w:p>
            <w:pPr>
              <w:widowControl/>
              <w:jc w:val="center"/>
              <w:rPr>
                <w:rFonts w:hint="eastAsia" w:ascii="宋体" w:hAnsi="宋体" w:eastAsia="宋体" w:cs="宋体"/>
                <w:b/>
                <w:bCs/>
                <w:color w:val="000000"/>
                <w:kern w:val="0"/>
                <w:sz w:val="22"/>
              </w:rPr>
            </w:pPr>
            <w:r>
              <w:rPr>
                <w:rFonts w:hint="eastAsia" w:ascii="宋体" w:hAnsi="宋体" w:eastAsia="宋体" w:cs="宋体"/>
                <w:b/>
                <w:bCs/>
                <w:color w:val="000000"/>
                <w:kern w:val="0"/>
                <w:sz w:val="22"/>
              </w:rPr>
              <w:t>序号</w:t>
            </w:r>
          </w:p>
        </w:tc>
        <w:tc>
          <w:tcPr>
            <w:tcW w:w="1285" w:type="dxa"/>
            <w:vAlign w:val="center"/>
          </w:tcPr>
          <w:p>
            <w:pPr>
              <w:widowControl/>
              <w:jc w:val="center"/>
              <w:rPr>
                <w:rFonts w:hint="eastAsia" w:ascii="宋体" w:hAnsi="宋体" w:eastAsia="宋体" w:cs="宋体"/>
                <w:b/>
                <w:bCs/>
                <w:color w:val="000000"/>
                <w:kern w:val="0"/>
                <w:sz w:val="22"/>
              </w:rPr>
            </w:pPr>
            <w:r>
              <w:rPr>
                <w:rFonts w:hint="eastAsia" w:ascii="宋体" w:hAnsi="宋体" w:eastAsia="宋体" w:cs="宋体"/>
                <w:b/>
                <w:bCs/>
                <w:color w:val="000000"/>
                <w:kern w:val="0"/>
                <w:sz w:val="22"/>
              </w:rPr>
              <w:t>设备名称</w:t>
            </w:r>
          </w:p>
        </w:tc>
        <w:tc>
          <w:tcPr>
            <w:tcW w:w="1285" w:type="dxa"/>
            <w:vAlign w:val="center"/>
          </w:tcPr>
          <w:p>
            <w:pPr>
              <w:widowControl/>
              <w:jc w:val="center"/>
              <w:rPr>
                <w:rFonts w:hint="eastAsia" w:ascii="宋体" w:hAnsi="宋体" w:eastAsia="宋体" w:cs="宋体"/>
                <w:b/>
                <w:bCs/>
                <w:color w:val="000000"/>
                <w:kern w:val="0"/>
                <w:sz w:val="22"/>
              </w:rPr>
            </w:pPr>
            <w:r>
              <w:rPr>
                <w:rFonts w:hint="eastAsia" w:ascii="宋体" w:hAnsi="宋体" w:eastAsia="宋体" w:cs="宋体"/>
                <w:b/>
                <w:bCs/>
                <w:color w:val="000000"/>
                <w:kern w:val="0"/>
                <w:sz w:val="22"/>
              </w:rPr>
              <w:t>单位</w:t>
            </w:r>
          </w:p>
        </w:tc>
        <w:tc>
          <w:tcPr>
            <w:tcW w:w="1286" w:type="dxa"/>
            <w:vAlign w:val="center"/>
          </w:tcPr>
          <w:p>
            <w:pPr>
              <w:widowControl/>
              <w:jc w:val="center"/>
              <w:rPr>
                <w:rFonts w:hint="eastAsia" w:ascii="宋体" w:hAnsi="宋体" w:eastAsia="宋体" w:cs="宋体"/>
                <w:b/>
                <w:bCs/>
                <w:color w:val="000000"/>
                <w:kern w:val="0"/>
                <w:sz w:val="22"/>
              </w:rPr>
            </w:pPr>
            <w:r>
              <w:rPr>
                <w:rFonts w:hint="eastAsia" w:ascii="宋体" w:hAnsi="宋体" w:eastAsia="宋体" w:cs="宋体"/>
                <w:b/>
                <w:bCs/>
                <w:color w:val="000000"/>
                <w:kern w:val="0"/>
                <w:sz w:val="22"/>
              </w:rPr>
              <w:t>数量</w:t>
            </w:r>
          </w:p>
        </w:tc>
        <w:tc>
          <w:tcPr>
            <w:tcW w:w="1496" w:type="dxa"/>
          </w:tcPr>
          <w:p>
            <w:pPr>
              <w:widowControl/>
              <w:jc w:val="center"/>
              <w:rPr>
                <w:rFonts w:hint="eastAsia" w:ascii="宋体" w:hAnsi="宋体" w:eastAsia="宋体" w:cs="宋体"/>
                <w:b/>
                <w:bCs/>
                <w:color w:val="000000"/>
                <w:kern w:val="0"/>
                <w:sz w:val="22"/>
              </w:rPr>
            </w:pPr>
            <w:r>
              <w:rPr>
                <w:rFonts w:hint="eastAsia" w:ascii="宋体" w:hAnsi="宋体" w:eastAsia="宋体" w:cs="宋体"/>
                <w:b/>
                <w:bCs/>
                <w:color w:val="000000"/>
                <w:kern w:val="0"/>
                <w:sz w:val="22"/>
              </w:rPr>
              <w:t>安装地点/服务对象</w:t>
            </w:r>
          </w:p>
        </w:tc>
        <w:tc>
          <w:tcPr>
            <w:tcW w:w="1290" w:type="dxa"/>
            <w:vAlign w:val="center"/>
          </w:tcPr>
          <w:p>
            <w:pPr>
              <w:widowControl/>
              <w:jc w:val="center"/>
              <w:rPr>
                <w:rFonts w:hint="eastAsia" w:ascii="宋体" w:hAnsi="宋体" w:eastAsia="宋体" w:cs="宋体"/>
                <w:b/>
                <w:bCs/>
                <w:color w:val="000000"/>
                <w:kern w:val="0"/>
                <w:sz w:val="22"/>
              </w:rPr>
            </w:pPr>
            <w:r>
              <w:rPr>
                <w:rFonts w:hint="eastAsia" w:ascii="宋体" w:hAnsi="宋体" w:eastAsia="宋体" w:cs="宋体"/>
                <w:b/>
                <w:bCs/>
                <w:color w:val="000000"/>
                <w:kern w:val="0"/>
                <w:sz w:val="22"/>
              </w:rPr>
              <w:t>供货方式</w:t>
            </w:r>
          </w:p>
        </w:tc>
        <w:tc>
          <w:tcPr>
            <w:tcW w:w="1072" w:type="dxa"/>
            <w:vAlign w:val="center"/>
          </w:tcPr>
          <w:p>
            <w:pPr>
              <w:widowControl/>
              <w:jc w:val="center"/>
              <w:rPr>
                <w:rFonts w:hint="eastAsia" w:ascii="宋体" w:hAnsi="宋体" w:eastAsia="宋体" w:cs="宋体"/>
                <w:b/>
                <w:bCs/>
                <w:color w:val="000000"/>
                <w:kern w:val="0"/>
                <w:sz w:val="22"/>
              </w:rPr>
            </w:pPr>
            <w:r>
              <w:rPr>
                <w:rFonts w:hint="eastAsia" w:ascii="宋体" w:hAnsi="宋体" w:eastAsia="宋体" w:cs="宋体"/>
                <w:b/>
                <w:bCs/>
                <w:color w:val="000000"/>
                <w:kern w:val="0"/>
                <w:sz w:val="22"/>
              </w:rPr>
              <w:t>备注</w:t>
            </w:r>
          </w:p>
        </w:tc>
      </w:tr>
      <w:tr>
        <w:tc>
          <w:tcPr>
            <w:tcW w:w="1285" w:type="dxa"/>
            <w:vAlign w:val="center"/>
          </w:tcPr>
          <w:p>
            <w:pPr>
              <w:widowControl/>
              <w:jc w:val="center"/>
              <w:rPr>
                <w:rFonts w:hint="eastAsia" w:ascii="宋体" w:hAnsi="宋体" w:eastAsia="宋体" w:cs="宋体"/>
                <w:b/>
                <w:bCs/>
                <w:sz w:val="22"/>
              </w:rPr>
            </w:pPr>
            <w:r>
              <w:rPr>
                <w:rFonts w:hint="eastAsia" w:ascii="宋体" w:hAnsi="宋体" w:eastAsia="宋体" w:cs="宋体"/>
                <w:kern w:val="0"/>
                <w:sz w:val="22"/>
              </w:rPr>
              <w:t>1</w:t>
            </w:r>
          </w:p>
        </w:tc>
        <w:tc>
          <w:tcPr>
            <w:tcW w:w="1285" w:type="dxa"/>
            <w:vAlign w:val="center"/>
          </w:tcPr>
          <w:p>
            <w:pPr>
              <w:widowControl/>
              <w:jc w:val="center"/>
              <w:rPr>
                <w:rFonts w:hint="eastAsia" w:ascii="宋体" w:hAnsi="宋体" w:eastAsia="宋体" w:cs="宋体"/>
                <w:b/>
                <w:bCs/>
                <w:sz w:val="22"/>
              </w:rPr>
            </w:pPr>
            <w:r>
              <w:rPr>
                <w:rFonts w:hint="eastAsia" w:eastAsia="宋体" w:cs="宋体"/>
                <w:kern w:val="0"/>
                <w:sz w:val="24"/>
                <w:szCs w:val="24"/>
              </w:rPr>
              <w:t>圆角粗糙度检测仪</w:t>
            </w:r>
          </w:p>
        </w:tc>
        <w:tc>
          <w:tcPr>
            <w:tcW w:w="1285" w:type="dxa"/>
            <w:vAlign w:val="center"/>
          </w:tcPr>
          <w:p>
            <w:pPr>
              <w:widowControl/>
              <w:jc w:val="center"/>
              <w:rPr>
                <w:rFonts w:hint="eastAsia" w:ascii="宋体" w:hAnsi="宋体" w:eastAsia="宋体" w:cs="宋体"/>
                <w:b/>
                <w:bCs/>
                <w:sz w:val="22"/>
              </w:rPr>
            </w:pPr>
            <w:r>
              <w:rPr>
                <w:rFonts w:hint="eastAsia" w:ascii="宋体" w:hAnsi="宋体" w:eastAsia="宋体" w:cs="宋体"/>
                <w:kern w:val="0"/>
                <w:sz w:val="22"/>
              </w:rPr>
              <w:t>套</w:t>
            </w:r>
          </w:p>
        </w:tc>
        <w:tc>
          <w:tcPr>
            <w:tcW w:w="1286" w:type="dxa"/>
            <w:vAlign w:val="center"/>
          </w:tcPr>
          <w:p>
            <w:pPr>
              <w:widowControl/>
              <w:jc w:val="center"/>
              <w:rPr>
                <w:rFonts w:hint="eastAsia" w:ascii="宋体" w:hAnsi="宋体" w:eastAsia="宋体" w:cs="宋体"/>
                <w:b/>
                <w:bCs/>
                <w:sz w:val="22"/>
              </w:rPr>
            </w:pPr>
            <w:r>
              <w:rPr>
                <w:rFonts w:hint="eastAsia" w:ascii="宋体" w:hAnsi="宋体" w:eastAsia="宋体" w:cs="宋体"/>
                <w:kern w:val="0"/>
                <w:sz w:val="22"/>
              </w:rPr>
              <w:t>1</w:t>
            </w:r>
          </w:p>
        </w:tc>
        <w:tc>
          <w:tcPr>
            <w:tcW w:w="1496" w:type="dxa"/>
            <w:vAlign w:val="center"/>
          </w:tcPr>
          <w:p>
            <w:pPr>
              <w:widowControl/>
              <w:jc w:val="center"/>
              <w:rPr>
                <w:rFonts w:hint="eastAsia" w:ascii="宋体" w:hAnsi="宋体" w:eastAsia="宋体" w:cs="宋体"/>
                <w:b/>
                <w:bCs/>
                <w:sz w:val="22"/>
                <w:u w:val="single"/>
              </w:rPr>
            </w:pPr>
            <w:r>
              <w:rPr>
                <w:rFonts w:hint="eastAsia" w:eastAsia="宋体" w:cs="宋体"/>
                <w:kern w:val="0"/>
                <w:sz w:val="24"/>
                <w:szCs w:val="24"/>
              </w:rPr>
              <w:t>中国重汽集团济南发动机厂部件加工部</w:t>
            </w:r>
          </w:p>
        </w:tc>
        <w:tc>
          <w:tcPr>
            <w:tcW w:w="1290" w:type="dxa"/>
            <w:vAlign w:val="center"/>
          </w:tcPr>
          <w:p>
            <w:pPr>
              <w:spacing w:line="360" w:lineRule="auto"/>
              <w:jc w:val="center"/>
              <w:rPr>
                <w:rFonts w:hint="eastAsia" w:ascii="宋体" w:hAnsi="宋体" w:eastAsia="宋体" w:cs="宋体"/>
                <w:b/>
                <w:bCs/>
                <w:sz w:val="22"/>
              </w:rPr>
            </w:pPr>
            <w:r>
              <w:rPr>
                <w:rFonts w:hint="eastAsia" w:ascii="宋体" w:hAnsi="宋体" w:eastAsia="宋体" w:cs="宋体"/>
                <w:kern w:val="0"/>
                <w:sz w:val="22"/>
              </w:rPr>
              <w:t>交钥匙</w:t>
            </w:r>
          </w:p>
        </w:tc>
        <w:tc>
          <w:tcPr>
            <w:tcW w:w="1072" w:type="dxa"/>
          </w:tcPr>
          <w:p>
            <w:pPr>
              <w:spacing w:line="360" w:lineRule="auto"/>
              <w:rPr>
                <w:rFonts w:hint="eastAsia" w:ascii="宋体" w:hAnsi="宋体" w:eastAsia="宋体" w:cs="宋体"/>
                <w:b/>
                <w:bCs/>
                <w:sz w:val="22"/>
              </w:rPr>
            </w:pP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备注：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②.本表“供货方式”指：交钥匙方式——包括设计、制造、运输、安装、调试和验收直到交付使用以及培训等。</w:t>
      </w:r>
    </w:p>
    <w:p>
      <w:pPr>
        <w:spacing w:line="480" w:lineRule="exact"/>
        <w:ind w:firstLine="1050" w:firstLineChars="500"/>
        <w:rPr>
          <w:rFonts w:hint="eastAsia"/>
          <w:szCs w:val="21"/>
        </w:rPr>
      </w:pPr>
    </w:p>
    <w:p>
      <w:pPr>
        <w:pStyle w:val="13"/>
        <w:spacing w:after="156"/>
      </w:pPr>
    </w:p>
    <w:p>
      <w:pPr>
        <w:spacing w:line="480" w:lineRule="exact"/>
        <w:ind w:firstLine="1050" w:firstLineChars="500"/>
        <w:rPr>
          <w:rFonts w:hint="eastAsia"/>
          <w:szCs w:val="21"/>
        </w:rPr>
      </w:pPr>
    </w:p>
    <w:p>
      <w:pPr>
        <w:spacing w:line="480" w:lineRule="exact"/>
        <w:ind w:firstLine="1050" w:firstLineChars="500"/>
        <w:rPr>
          <w:rFonts w:hint="eastAsia"/>
          <w:szCs w:val="21"/>
        </w:rPr>
      </w:pPr>
    </w:p>
    <w:p>
      <w:pPr>
        <w:spacing w:line="480" w:lineRule="exact"/>
        <w:ind w:firstLine="1050" w:firstLineChars="500"/>
        <w:rPr>
          <w:rFonts w:hint="eastAsia"/>
          <w:szCs w:val="21"/>
        </w:rPr>
      </w:pPr>
    </w:p>
    <w:p>
      <w:pPr>
        <w:spacing w:line="480" w:lineRule="exact"/>
        <w:ind w:firstLine="1050" w:firstLineChars="500"/>
        <w:rPr>
          <w:rFonts w:hint="eastAsia"/>
          <w:szCs w:val="21"/>
        </w:rPr>
      </w:pPr>
    </w:p>
    <w:p>
      <w:pPr>
        <w:spacing w:line="480" w:lineRule="exact"/>
        <w:ind w:firstLine="1050" w:firstLineChars="500"/>
        <w:rPr>
          <w:rFonts w:hint="eastAsia"/>
          <w:szCs w:val="21"/>
        </w:rPr>
      </w:pPr>
    </w:p>
    <w:p>
      <w:pPr>
        <w:spacing w:line="480" w:lineRule="exact"/>
        <w:ind w:firstLine="1050" w:firstLineChars="500"/>
        <w:rPr>
          <w:rFonts w:hint="eastAsia"/>
          <w:szCs w:val="21"/>
        </w:rPr>
      </w:pPr>
    </w:p>
    <w:p>
      <w:pPr>
        <w:spacing w:line="480" w:lineRule="exact"/>
        <w:ind w:firstLine="1050" w:firstLineChars="500"/>
        <w:rPr>
          <w:rFonts w:hint="eastAsia"/>
          <w:szCs w:val="21"/>
        </w:rPr>
      </w:pPr>
    </w:p>
    <w:p>
      <w:pPr>
        <w:spacing w:line="480" w:lineRule="exact"/>
        <w:ind w:firstLine="1050" w:firstLineChars="500"/>
        <w:rPr>
          <w:rFonts w:hint="eastAsia"/>
          <w:szCs w:val="21"/>
        </w:rPr>
      </w:pPr>
    </w:p>
    <w:p>
      <w:pPr>
        <w:spacing w:line="480" w:lineRule="exact"/>
        <w:ind w:firstLine="1050" w:firstLineChars="500"/>
        <w:rPr>
          <w:rFonts w:hint="eastAsia"/>
          <w:szCs w:val="21"/>
        </w:rPr>
      </w:pPr>
    </w:p>
    <w:p>
      <w:pPr>
        <w:spacing w:line="480" w:lineRule="exact"/>
        <w:ind w:firstLine="1050" w:firstLineChars="500"/>
        <w:rPr>
          <w:rFonts w:hint="eastAsia"/>
          <w:szCs w:val="21"/>
        </w:rPr>
      </w:pPr>
    </w:p>
    <w:p>
      <w:pPr>
        <w:spacing w:line="480" w:lineRule="exact"/>
        <w:ind w:firstLine="1050" w:firstLineChars="500"/>
        <w:rPr>
          <w:rFonts w:hint="eastAsia"/>
          <w:szCs w:val="21"/>
        </w:rPr>
      </w:pPr>
    </w:p>
    <w:p>
      <w:pPr>
        <w:pStyle w:val="2"/>
        <w:spacing w:before="120" w:after="120"/>
        <w:rPr>
          <w:rFonts w:hint="eastAsia" w:ascii="宋体" w:hAnsi="宋体" w:cs="宋体"/>
          <w:sz w:val="28"/>
          <w:szCs w:val="28"/>
        </w:rPr>
      </w:pPr>
      <w:r>
        <w:rPr>
          <w:rFonts w:hint="eastAsia" w:ascii="宋体" w:hAnsi="宋体" w:cs="宋体"/>
          <w:sz w:val="28"/>
          <w:szCs w:val="28"/>
        </w:rPr>
        <w:t>第二章  技术要求</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一、基本要求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1、投标方所供的设备，必须符合中国最新版的法律、法规和相关标准、规范的要求，符合项目所在地政府有关特殊要求。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2、投标方所供设备涉及的专利权技术以及知识产权保护的其它技术等，应保证招标方不因此受到任何侵权指控以及实际损失。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3、投标方应保证所供设备的先进性、可靠性、经济性和实用性，并为全新设备。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4、投标方应满足招标方提出的各项技术要求，必要时应当免费提供技术承诺或担保。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5、投标方应保证所供设备为中国公布的非淘汰设备，并为中国指定或规定的主管部门认可的环保型和节能型设备。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6、投标方应保证所供设备的完整性和成套性，能保证设备的正常运行、使用。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7、投标方应对招标方采购的设备所涉及的技术、产能等信息负有保密义务，招标方拥有追究投标方泄密责任的权利；招标方如有需要，投标方应无条件签署保密协议。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8、投标方需提供近三年内项目业绩证明。</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二、执行标准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2、投标方需要执行的标准，应当以所供设备通过招标方将来组织的最终验收之日开始执行的最新标准。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4、如果有采用国际标准的货物，其执行标准由投标方提供、招标方确认。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5、涉及的主要标准：</w:t>
      </w:r>
    </w:p>
    <w:tbl>
      <w:tblPr>
        <w:tblStyle w:val="3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39"/>
        <w:gridCol w:w="6354"/>
        <w:gridCol w:w="2173"/>
      </w:tblGrid>
      <w:tr>
        <w:trPr>
          <w:trHeight w:val="567" w:hRule="atLeast"/>
          <w:jc w:val="center"/>
        </w:trPr>
        <w:tc>
          <w:tcPr>
            <w:tcW w:w="349" w:type="pct"/>
            <w:vAlign w:val="center"/>
          </w:tcPr>
          <w:p>
            <w:pPr>
              <w:overflowPunct w:val="0"/>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3465" w:type="pct"/>
            <w:vAlign w:val="center"/>
          </w:tcPr>
          <w:p>
            <w:pPr>
              <w:overflowPunct w:val="0"/>
              <w:autoSpaceDE w:val="0"/>
              <w:autoSpaceDN w:val="0"/>
              <w:jc w:val="center"/>
              <w:rPr>
                <w:rFonts w:hint="eastAsia" w:ascii="宋体" w:hAnsi="宋体" w:eastAsia="宋体" w:cs="宋体"/>
                <w:b/>
                <w:bCs/>
                <w:sz w:val="24"/>
                <w:szCs w:val="24"/>
              </w:rPr>
            </w:pPr>
            <w:r>
              <w:rPr>
                <w:rFonts w:hint="eastAsia" w:ascii="宋体" w:hAnsi="宋体" w:eastAsia="宋体" w:cs="宋体"/>
                <w:b/>
                <w:bCs/>
                <w:sz w:val="24"/>
                <w:szCs w:val="24"/>
              </w:rPr>
              <w:t>标准名称</w:t>
            </w:r>
          </w:p>
        </w:tc>
        <w:tc>
          <w:tcPr>
            <w:tcW w:w="1185" w:type="pct"/>
            <w:vAlign w:val="center"/>
          </w:tcPr>
          <w:p>
            <w:pPr>
              <w:overflowPunct w:val="0"/>
              <w:jc w:val="center"/>
              <w:rPr>
                <w:rFonts w:hint="eastAsia" w:ascii="宋体" w:hAnsi="宋体" w:eastAsia="宋体" w:cs="宋体"/>
                <w:b/>
                <w:bCs/>
                <w:sz w:val="24"/>
                <w:szCs w:val="24"/>
              </w:rPr>
            </w:pPr>
            <w:r>
              <w:rPr>
                <w:rFonts w:hint="eastAsia" w:ascii="宋体" w:hAnsi="宋体" w:eastAsia="宋体" w:cs="宋体"/>
                <w:b/>
                <w:bCs/>
                <w:sz w:val="24"/>
                <w:szCs w:val="24"/>
              </w:rPr>
              <w:t>标准编号</w:t>
            </w:r>
          </w:p>
        </w:tc>
      </w:tr>
      <w:tr>
        <w:trPr>
          <w:trHeight w:val="567" w:hRule="atLeast"/>
          <w:jc w:val="center"/>
        </w:trPr>
        <w:tc>
          <w:tcPr>
            <w:tcW w:w="349" w:type="pct"/>
            <w:vAlign w:val="center"/>
          </w:tcPr>
          <w:p>
            <w:pPr>
              <w:overflowPunct w:val="0"/>
              <w:jc w:val="center"/>
              <w:rPr>
                <w:rFonts w:hint="eastAsia" w:ascii="宋体" w:hAnsi="宋体" w:eastAsia="宋体" w:cs="宋体"/>
                <w:szCs w:val="21"/>
              </w:rPr>
            </w:pPr>
            <w:r>
              <w:rPr>
                <w:rFonts w:hint="eastAsia" w:ascii="宋体" w:hAnsi="宋体" w:eastAsia="宋体" w:cs="宋体"/>
                <w:szCs w:val="21"/>
              </w:rPr>
              <w:t>1</w:t>
            </w:r>
          </w:p>
        </w:tc>
        <w:tc>
          <w:tcPr>
            <w:tcW w:w="3465" w:type="pct"/>
            <w:vAlign w:val="center"/>
          </w:tcPr>
          <w:p>
            <w:pPr>
              <w:overflowPunct w:val="0"/>
              <w:autoSpaceDE w:val="0"/>
              <w:autoSpaceDN w:val="0"/>
              <w:jc w:val="left"/>
              <w:rPr>
                <w:rFonts w:hint="eastAsia" w:ascii="宋体" w:hAnsi="宋体" w:eastAsia="宋体" w:cs="宋体"/>
                <w:color w:val="000000"/>
                <w:szCs w:val="21"/>
              </w:rPr>
            </w:pPr>
            <w:r>
              <w:rPr>
                <w:rFonts w:hint="eastAsia" w:ascii="宋体" w:hAnsi="宋体" w:eastAsia="宋体" w:cs="宋体"/>
                <w:szCs w:val="21"/>
              </w:rPr>
              <w:t>《产品几何技术规范(GPS)表面结构轮廓法术语、定义及表面结构参数》标准</w:t>
            </w:r>
          </w:p>
        </w:tc>
        <w:tc>
          <w:tcPr>
            <w:tcW w:w="1185" w:type="pct"/>
            <w:vAlign w:val="center"/>
          </w:tcPr>
          <w:p>
            <w:pPr>
              <w:overflowPunct w:val="0"/>
              <w:autoSpaceDE w:val="0"/>
              <w:autoSpaceDN w:val="0"/>
              <w:jc w:val="left"/>
              <w:rPr>
                <w:rFonts w:hint="eastAsia" w:ascii="宋体" w:hAnsi="宋体" w:eastAsia="宋体" w:cs="宋体"/>
                <w:color w:val="000000"/>
                <w:szCs w:val="21"/>
                <w:highlight w:val="red"/>
              </w:rPr>
            </w:pPr>
            <w:r>
              <w:rPr>
                <w:rFonts w:hint="eastAsia" w:ascii="宋体" w:hAnsi="宋体" w:eastAsia="宋体" w:cs="宋体"/>
                <w:szCs w:val="21"/>
              </w:rPr>
              <w:t>GB/T 3505-2009/ISO 4287</w:t>
            </w:r>
          </w:p>
        </w:tc>
      </w:tr>
      <w:tr>
        <w:trPr>
          <w:trHeight w:val="567" w:hRule="atLeast"/>
          <w:jc w:val="center"/>
        </w:trPr>
        <w:tc>
          <w:tcPr>
            <w:tcW w:w="349" w:type="pct"/>
            <w:vAlign w:val="center"/>
          </w:tcPr>
          <w:p>
            <w:pPr>
              <w:overflowPunct w:val="0"/>
              <w:jc w:val="center"/>
              <w:rPr>
                <w:rFonts w:hint="eastAsia" w:ascii="宋体" w:hAnsi="宋体" w:eastAsia="宋体" w:cs="宋体"/>
                <w:szCs w:val="21"/>
              </w:rPr>
            </w:pPr>
            <w:r>
              <w:rPr>
                <w:rFonts w:hint="eastAsia" w:ascii="宋体" w:hAnsi="宋体" w:eastAsia="宋体" w:cs="宋体"/>
                <w:szCs w:val="21"/>
              </w:rPr>
              <w:t>2</w:t>
            </w:r>
          </w:p>
        </w:tc>
        <w:tc>
          <w:tcPr>
            <w:tcW w:w="3465" w:type="pct"/>
            <w:vAlign w:val="center"/>
          </w:tcPr>
          <w:p>
            <w:pPr>
              <w:overflowPunct w:val="0"/>
              <w:autoSpaceDE w:val="0"/>
              <w:autoSpaceDN w:val="0"/>
              <w:jc w:val="left"/>
              <w:rPr>
                <w:rFonts w:hint="eastAsia" w:ascii="宋体" w:hAnsi="宋体" w:eastAsia="宋体" w:cs="宋体"/>
                <w:szCs w:val="21"/>
              </w:rPr>
            </w:pPr>
            <w:r>
              <w:rPr>
                <w:rFonts w:hint="eastAsia" w:ascii="宋体" w:hAnsi="宋体" w:eastAsia="宋体" w:cs="宋体"/>
                <w:szCs w:val="21"/>
              </w:rPr>
              <w:t>《产品几何技术规范(GPS)表面结构轮廓法接触(触针)式仪器的标称特性》标准</w:t>
            </w:r>
          </w:p>
        </w:tc>
        <w:tc>
          <w:tcPr>
            <w:tcW w:w="1185" w:type="pct"/>
            <w:vAlign w:val="center"/>
          </w:tcPr>
          <w:p>
            <w:pPr>
              <w:overflowPunct w:val="0"/>
              <w:autoSpaceDE w:val="0"/>
              <w:autoSpaceDN w:val="0"/>
              <w:jc w:val="left"/>
              <w:rPr>
                <w:rFonts w:hint="eastAsia" w:ascii="宋体" w:hAnsi="宋体" w:eastAsia="宋体" w:cs="宋体"/>
                <w:szCs w:val="21"/>
                <w:highlight w:val="red"/>
              </w:rPr>
            </w:pPr>
            <w:r>
              <w:rPr>
                <w:rFonts w:hint="eastAsia" w:ascii="宋体" w:hAnsi="宋体" w:eastAsia="宋体" w:cs="宋体"/>
                <w:szCs w:val="21"/>
              </w:rPr>
              <w:t>GB/T6062-2009/IS03274</w:t>
            </w:r>
          </w:p>
        </w:tc>
      </w:tr>
      <w:tr>
        <w:trPr>
          <w:trHeight w:val="567" w:hRule="atLeast"/>
          <w:jc w:val="center"/>
        </w:trPr>
        <w:tc>
          <w:tcPr>
            <w:tcW w:w="349" w:type="pct"/>
            <w:vAlign w:val="center"/>
          </w:tcPr>
          <w:p>
            <w:pPr>
              <w:overflowPunct w:val="0"/>
              <w:jc w:val="center"/>
              <w:rPr>
                <w:rFonts w:hint="eastAsia" w:ascii="宋体" w:hAnsi="宋体" w:eastAsia="宋体" w:cs="宋体"/>
                <w:szCs w:val="21"/>
              </w:rPr>
            </w:pPr>
            <w:r>
              <w:rPr>
                <w:rFonts w:hint="eastAsia" w:ascii="宋体" w:hAnsi="宋体" w:eastAsia="宋体" w:cs="宋体"/>
                <w:szCs w:val="21"/>
              </w:rPr>
              <w:t>3</w:t>
            </w:r>
          </w:p>
        </w:tc>
        <w:tc>
          <w:tcPr>
            <w:tcW w:w="3465" w:type="pct"/>
            <w:vAlign w:val="center"/>
          </w:tcPr>
          <w:p>
            <w:pPr>
              <w:overflowPunct w:val="0"/>
              <w:autoSpaceDE w:val="0"/>
              <w:autoSpaceDN w:val="0"/>
              <w:jc w:val="left"/>
              <w:rPr>
                <w:rFonts w:hint="eastAsia" w:ascii="宋体" w:hAnsi="宋体" w:eastAsia="宋体" w:cs="宋体"/>
                <w:szCs w:val="21"/>
              </w:rPr>
            </w:pPr>
            <w:r>
              <w:rPr>
                <w:rFonts w:hint="eastAsia" w:ascii="宋体" w:hAnsi="宋体" w:eastAsia="宋体" w:cs="宋体"/>
                <w:szCs w:val="21"/>
              </w:rPr>
              <w:t>《产品几何技术规范(GPS)表面结构轮廓法图形参数》标准</w:t>
            </w:r>
          </w:p>
        </w:tc>
        <w:tc>
          <w:tcPr>
            <w:tcW w:w="1185" w:type="pct"/>
            <w:vAlign w:val="center"/>
          </w:tcPr>
          <w:p>
            <w:pPr>
              <w:overflowPunct w:val="0"/>
              <w:autoSpaceDE w:val="0"/>
              <w:autoSpaceDN w:val="0"/>
              <w:jc w:val="left"/>
              <w:rPr>
                <w:rFonts w:hint="eastAsia" w:ascii="宋体" w:hAnsi="宋体" w:eastAsia="宋体" w:cs="宋体"/>
                <w:szCs w:val="21"/>
                <w:highlight w:val="red"/>
              </w:rPr>
            </w:pPr>
            <w:r>
              <w:rPr>
                <w:rFonts w:hint="eastAsia" w:ascii="宋体" w:hAnsi="宋体" w:eastAsia="宋体" w:cs="宋体"/>
                <w:szCs w:val="21"/>
              </w:rPr>
              <w:t>GB/T18618-2009/IS012085</w:t>
            </w:r>
          </w:p>
        </w:tc>
      </w:tr>
    </w:tbl>
    <w:p>
      <w:pPr>
        <w:spacing w:line="360" w:lineRule="exact"/>
        <w:rPr>
          <w:rFonts w:hint="eastAsia" w:ascii="宋体" w:hAnsi="宋体"/>
        </w:rPr>
      </w:pPr>
    </w:p>
    <w:p>
      <w:pPr>
        <w:numPr>
          <w:ilvl w:val="0"/>
          <w:numId w:val="10"/>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技术规范和技术要求</w:t>
      </w:r>
    </w:p>
    <w:p>
      <w:pPr>
        <w:pStyle w:val="7"/>
        <w:keepNext w:val="0"/>
        <w:keepLines w:val="0"/>
        <w:spacing w:line="360" w:lineRule="auto"/>
        <w:jc w:val="left"/>
        <w:rPr>
          <w:rFonts w:ascii="宋体" w:hAnsi="Courier New" w:eastAsia="宋体" w:cs="宋体"/>
          <w:sz w:val="24"/>
          <w:szCs w:val="24"/>
          <w:highlight w:val="yellow"/>
        </w:rPr>
      </w:pPr>
      <w:r>
        <w:rPr>
          <w:rFonts w:hint="eastAsia" w:ascii="宋体" w:hAnsi="Courier New" w:eastAsia="宋体" w:cs="宋体"/>
          <w:sz w:val="24"/>
          <w:szCs w:val="24"/>
        </w:rPr>
        <w:t>1、</w:t>
      </w:r>
      <w:r>
        <w:rPr>
          <w:rFonts w:hint="eastAsia" w:ascii="宋体" w:hAnsi="宋体" w:eastAsia="宋体" w:cs="宋体"/>
          <w:bCs w:val="0"/>
          <w:sz w:val="24"/>
          <w:szCs w:val="24"/>
        </w:rPr>
        <w:t>项目工艺要求</w:t>
      </w:r>
      <w:r>
        <w:rPr>
          <w:rFonts w:hint="eastAsia" w:ascii="宋体" w:hAnsi="Courier New" w:eastAsia="宋体" w:cs="宋体"/>
          <w:sz w:val="24"/>
          <w:szCs w:val="24"/>
        </w:rPr>
        <w:t>：MC11/11-TD、MC13/13-TD曲轴主轴颈及连杆轴颈圆角粗糙度≤Rz4，MC07/07H曲轴主轴颈及连杆轴颈圆角粗糙度≤Rz4.5。</w:t>
      </w:r>
    </w:p>
    <w:p>
      <w:pPr>
        <w:pStyle w:val="18"/>
      </w:pPr>
      <w:r>
        <w:rPr>
          <w:rFonts w:hint="eastAsia"/>
        </w:rPr>
        <w:t xml:space="preserve">            </w:t>
      </w:r>
      <w:r>
        <w:drawing>
          <wp:inline distT="0" distB="0" distL="114300" distR="114300">
            <wp:extent cx="1423670" cy="1389380"/>
            <wp:effectExtent l="0" t="0" r="5080" b="127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0"/>
                    <a:stretch>
                      <a:fillRect/>
                    </a:stretch>
                  </pic:blipFill>
                  <pic:spPr>
                    <a:xfrm>
                      <a:off x="0" y="0"/>
                      <a:ext cx="1423670" cy="1389380"/>
                    </a:xfrm>
                    <a:prstGeom prst="rect">
                      <a:avLst/>
                    </a:prstGeom>
                    <a:noFill/>
                    <a:ln>
                      <a:noFill/>
                    </a:ln>
                  </pic:spPr>
                </pic:pic>
              </a:graphicData>
            </a:graphic>
          </wp:inline>
        </w:drawing>
      </w:r>
      <w:r>
        <w:rPr>
          <w:rFonts w:hint="eastAsia"/>
        </w:rPr>
        <w:t xml:space="preserve">            </w:t>
      </w:r>
      <w:r>
        <w:drawing>
          <wp:inline distT="0" distB="0" distL="114300" distR="114300">
            <wp:extent cx="1292860" cy="1294765"/>
            <wp:effectExtent l="0" t="0" r="2540" b="63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41"/>
                    <a:srcRect l="7571" r="4129"/>
                    <a:stretch>
                      <a:fillRect/>
                    </a:stretch>
                  </pic:blipFill>
                  <pic:spPr>
                    <a:xfrm>
                      <a:off x="0" y="0"/>
                      <a:ext cx="1292860" cy="1294765"/>
                    </a:xfrm>
                    <a:prstGeom prst="rect">
                      <a:avLst/>
                    </a:prstGeom>
                    <a:noFill/>
                    <a:ln>
                      <a:noFill/>
                    </a:ln>
                  </pic:spPr>
                </pic:pic>
              </a:graphicData>
            </a:graphic>
          </wp:inline>
        </w:drawing>
      </w:r>
    </w:p>
    <w:p>
      <w:pPr>
        <w:pStyle w:val="18"/>
      </w:pPr>
    </w:p>
    <w:p>
      <w:pPr>
        <w:pStyle w:val="18"/>
        <w:jc w:val="center"/>
        <w:rPr>
          <w:rFonts w:eastAsia="宋体"/>
          <w:b/>
          <w:sz w:val="18"/>
          <w:szCs w:val="18"/>
        </w:rPr>
      </w:pPr>
      <w:r>
        <w:rPr>
          <w:rFonts w:hint="eastAsia" w:eastAsia="宋体" w:cs="宋体"/>
          <w:b/>
          <w:sz w:val="18"/>
          <w:szCs w:val="18"/>
        </w:rPr>
        <w:t>MC11/11-TD、MC13/13-TD曲轴连杆颈、主轴颈圆角及粗糙度要求</w:t>
      </w:r>
    </w:p>
    <w:p>
      <w:pPr>
        <w:pStyle w:val="18"/>
      </w:pPr>
    </w:p>
    <w:p>
      <w:pPr>
        <w:pStyle w:val="18"/>
      </w:pPr>
    </w:p>
    <w:p>
      <w:pPr>
        <w:spacing w:line="360" w:lineRule="auto"/>
        <w:jc w:val="center"/>
        <w:rPr>
          <w:rFonts w:hint="eastAsia"/>
        </w:rPr>
      </w:pPr>
      <w:r>
        <w:drawing>
          <wp:inline distT="0" distB="0" distL="114300" distR="114300">
            <wp:extent cx="1576705" cy="1477010"/>
            <wp:effectExtent l="0" t="0" r="4445" b="889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42"/>
                    <a:srcRect l="3600" t="5362" r="32797" b="30343"/>
                    <a:stretch>
                      <a:fillRect/>
                    </a:stretch>
                  </pic:blipFill>
                  <pic:spPr>
                    <a:xfrm>
                      <a:off x="0" y="0"/>
                      <a:ext cx="1576705" cy="1477010"/>
                    </a:xfrm>
                    <a:prstGeom prst="rect">
                      <a:avLst/>
                    </a:prstGeom>
                    <a:noFill/>
                    <a:ln>
                      <a:noFill/>
                    </a:ln>
                  </pic:spPr>
                </pic:pic>
              </a:graphicData>
            </a:graphic>
          </wp:inline>
        </w:drawing>
      </w:r>
      <w:r>
        <w:rPr>
          <w:rFonts w:hint="eastAsia"/>
        </w:rPr>
        <w:t xml:space="preserve">     </w:t>
      </w:r>
      <w:r>
        <w:drawing>
          <wp:inline distT="0" distB="0" distL="114300" distR="114300">
            <wp:extent cx="1557655" cy="1491615"/>
            <wp:effectExtent l="0" t="0" r="4445" b="133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3"/>
                    <a:srcRect l="27739" t="35011" r="4690" b="641"/>
                    <a:stretch>
                      <a:fillRect/>
                    </a:stretch>
                  </pic:blipFill>
                  <pic:spPr>
                    <a:xfrm>
                      <a:off x="0" y="0"/>
                      <a:ext cx="1557655" cy="1491615"/>
                    </a:xfrm>
                    <a:prstGeom prst="rect">
                      <a:avLst/>
                    </a:prstGeom>
                    <a:noFill/>
                    <a:ln>
                      <a:noFill/>
                    </a:ln>
                  </pic:spPr>
                </pic:pic>
              </a:graphicData>
            </a:graphic>
          </wp:inline>
        </w:drawing>
      </w:r>
    </w:p>
    <w:p>
      <w:pPr>
        <w:pStyle w:val="18"/>
        <w:jc w:val="center"/>
        <w:rPr>
          <w:rFonts w:eastAsia="宋体" w:cs="宋体"/>
          <w:b/>
          <w:sz w:val="18"/>
          <w:szCs w:val="18"/>
        </w:rPr>
      </w:pPr>
      <w:r>
        <w:rPr>
          <w:rFonts w:hint="eastAsia" w:eastAsia="宋体" w:cs="宋体"/>
          <w:b/>
          <w:sz w:val="18"/>
          <w:szCs w:val="18"/>
        </w:rPr>
        <w:t>MC07/07H曲轴连杆颈、主轴颈圆角及粗糙度要求</w:t>
      </w:r>
    </w:p>
    <w:p>
      <w:pPr>
        <w:pStyle w:val="18"/>
        <w:jc w:val="center"/>
        <w:rPr>
          <w:rFonts w:eastAsia="宋体" w:cs="宋体"/>
          <w:b/>
          <w:sz w:val="24"/>
          <w:szCs w:val="24"/>
        </w:rPr>
      </w:pPr>
    </w:p>
    <w:p>
      <w:pPr>
        <w:pStyle w:val="18"/>
        <w:numPr>
          <w:ilvl w:val="0"/>
          <w:numId w:val="11"/>
        </w:numPr>
        <w:spacing w:line="360" w:lineRule="auto"/>
        <w:rPr>
          <w:rFonts w:hint="eastAsia" w:hAnsi="宋体" w:eastAsia="宋体" w:cs="宋体"/>
          <w:sz w:val="24"/>
          <w:szCs w:val="24"/>
        </w:rPr>
      </w:pPr>
      <w:r>
        <w:rPr>
          <w:rFonts w:hint="eastAsia" w:hAnsi="宋体" w:eastAsia="宋体" w:cs="宋体"/>
          <w:sz w:val="24"/>
          <w:szCs w:val="24"/>
        </w:rPr>
        <w:t>设备基本要求：</w:t>
      </w:r>
    </w:p>
    <w:p>
      <w:pPr>
        <w:pStyle w:val="18"/>
        <w:numPr>
          <w:ilvl w:val="0"/>
          <w:numId w:val="12"/>
        </w:numPr>
        <w:spacing w:line="360" w:lineRule="auto"/>
        <w:rPr>
          <w:rFonts w:eastAsia="宋体" w:cs="宋体"/>
          <w:bCs/>
          <w:sz w:val="24"/>
          <w:szCs w:val="24"/>
        </w:rPr>
      </w:pPr>
      <w:r>
        <w:rPr>
          <w:rFonts w:hint="eastAsia" w:eastAsia="宋体" w:cs="宋体"/>
          <w:bCs/>
          <w:sz w:val="24"/>
          <w:szCs w:val="24"/>
        </w:rPr>
        <w:t>主机：内置主机控制系统、主机液晶显示系统、粗糙度专用滤波器。</w:t>
      </w:r>
    </w:p>
    <w:p>
      <w:pPr>
        <w:pStyle w:val="18"/>
        <w:numPr>
          <w:ilvl w:val="1"/>
          <w:numId w:val="12"/>
        </w:numPr>
        <w:spacing w:line="360" w:lineRule="auto"/>
        <w:rPr>
          <w:rFonts w:eastAsia="宋体" w:cs="宋体"/>
          <w:bCs/>
          <w:sz w:val="24"/>
          <w:szCs w:val="24"/>
        </w:rPr>
      </w:pPr>
      <w:r>
        <w:rPr>
          <w:rFonts w:hint="eastAsia" w:eastAsia="宋体" w:cs="宋体"/>
          <w:bCs/>
          <w:sz w:val="24"/>
          <w:szCs w:val="24"/>
        </w:rPr>
        <w:t>支持评价方式不少于Ra、Rz、Rp、Rsk、RSm五种方式。</w:t>
      </w:r>
    </w:p>
    <w:p>
      <w:pPr>
        <w:pStyle w:val="18"/>
        <w:numPr>
          <w:ilvl w:val="1"/>
          <w:numId w:val="12"/>
        </w:numPr>
        <w:spacing w:line="360" w:lineRule="auto"/>
        <w:rPr>
          <w:rFonts w:eastAsia="宋体" w:cs="宋体"/>
          <w:bCs/>
          <w:sz w:val="24"/>
          <w:szCs w:val="24"/>
        </w:rPr>
      </w:pPr>
      <w:r>
        <w:rPr>
          <w:rFonts w:hint="eastAsia" w:eastAsia="宋体" w:cs="宋体"/>
          <w:bCs/>
          <w:sz w:val="24"/>
          <w:szCs w:val="24"/>
        </w:rPr>
        <w:t>具备一次测量ISO全参数及粗糙度曲线图直接出值显示功能；具备四种曲线（未滤波原始轮廓、滤波原始轮廓、波纹度、粗糙度）任意切换显示功能；</w:t>
      </w:r>
    </w:p>
    <w:p>
      <w:pPr>
        <w:pStyle w:val="18"/>
        <w:numPr>
          <w:ilvl w:val="1"/>
          <w:numId w:val="12"/>
        </w:numPr>
        <w:spacing w:line="360" w:lineRule="auto"/>
        <w:rPr>
          <w:rFonts w:eastAsia="宋体" w:cs="宋体"/>
          <w:bCs/>
          <w:sz w:val="24"/>
          <w:szCs w:val="24"/>
        </w:rPr>
      </w:pPr>
      <w:r>
        <w:rPr>
          <w:rFonts w:hint="eastAsia" w:eastAsia="宋体" w:cs="宋体"/>
          <w:bCs/>
          <w:sz w:val="24"/>
          <w:szCs w:val="24"/>
        </w:rPr>
        <w:t>配备专用测量软件，可对表面结构进行微观分析；</w:t>
      </w:r>
    </w:p>
    <w:p>
      <w:pPr>
        <w:pStyle w:val="18"/>
        <w:numPr>
          <w:ilvl w:val="1"/>
          <w:numId w:val="12"/>
        </w:numPr>
        <w:spacing w:line="360" w:lineRule="auto"/>
        <w:rPr>
          <w:rFonts w:eastAsia="宋体" w:cs="宋体"/>
          <w:bCs/>
          <w:sz w:val="24"/>
          <w:szCs w:val="24"/>
        </w:rPr>
      </w:pPr>
      <w:r>
        <w:rPr>
          <w:rFonts w:hint="eastAsia" w:eastAsia="宋体" w:cs="宋体"/>
          <w:bCs/>
          <w:sz w:val="24"/>
          <w:szCs w:val="24"/>
        </w:rPr>
        <w:t>配备不少于GAUSS滤波一种滤波器，且带轮廓补偿功能，在测量球面、曲面、平面的表面粗糙度时，能够得到准确的测值；</w:t>
      </w:r>
    </w:p>
    <w:p>
      <w:pPr>
        <w:pStyle w:val="18"/>
        <w:numPr>
          <w:ilvl w:val="1"/>
          <w:numId w:val="12"/>
        </w:numPr>
        <w:spacing w:line="360" w:lineRule="auto"/>
        <w:rPr>
          <w:rFonts w:eastAsia="宋体" w:cs="宋体"/>
          <w:bCs/>
          <w:sz w:val="24"/>
          <w:szCs w:val="24"/>
        </w:rPr>
      </w:pPr>
      <w:r>
        <w:rPr>
          <w:rFonts w:hint="eastAsia" w:eastAsia="宋体" w:cs="宋体"/>
          <w:bCs/>
          <w:sz w:val="24"/>
          <w:szCs w:val="24"/>
        </w:rPr>
        <w:t>具备触针位置显示功能，机身水平可调（垂直面俯仰可调），可覆盖R1～R10圆角的粗糙度检测；</w:t>
      </w:r>
    </w:p>
    <w:p>
      <w:pPr>
        <w:pStyle w:val="18"/>
        <w:numPr>
          <w:ilvl w:val="0"/>
          <w:numId w:val="12"/>
        </w:numPr>
        <w:spacing w:line="360" w:lineRule="auto"/>
        <w:rPr>
          <w:rFonts w:eastAsia="宋体" w:cs="宋体"/>
          <w:bCs/>
          <w:sz w:val="24"/>
          <w:szCs w:val="24"/>
        </w:rPr>
      </w:pPr>
      <w:r>
        <w:rPr>
          <w:rFonts w:hint="eastAsia" w:eastAsia="宋体" w:cs="宋体"/>
          <w:bCs/>
          <w:sz w:val="24"/>
          <w:szCs w:val="24"/>
        </w:rPr>
        <w:t>探头驱动器：驱动器避免与曲轴辅板及加工面产生干涉。</w:t>
      </w:r>
    </w:p>
    <w:p>
      <w:pPr>
        <w:pStyle w:val="18"/>
        <w:numPr>
          <w:ilvl w:val="0"/>
          <w:numId w:val="12"/>
        </w:numPr>
        <w:spacing w:line="360" w:lineRule="auto"/>
        <w:rPr>
          <w:rFonts w:eastAsia="宋体" w:cs="宋体"/>
          <w:bCs/>
          <w:sz w:val="24"/>
          <w:szCs w:val="24"/>
        </w:rPr>
      </w:pPr>
      <w:r>
        <w:rPr>
          <w:rFonts w:hint="eastAsia" w:eastAsia="宋体" w:cs="宋体"/>
          <w:bCs/>
          <w:sz w:val="24"/>
          <w:szCs w:val="24"/>
        </w:rPr>
        <w:t>探头：探针确保不与曲轴轴颈开档面干涉，针尖半径不大于2μm，探头配备2件，满足一用一备需求。</w:t>
      </w:r>
    </w:p>
    <w:p>
      <w:pPr>
        <w:pStyle w:val="18"/>
        <w:numPr>
          <w:ilvl w:val="0"/>
          <w:numId w:val="12"/>
        </w:numPr>
        <w:spacing w:line="360" w:lineRule="auto"/>
        <w:rPr>
          <w:rFonts w:eastAsia="宋体" w:cs="宋体"/>
          <w:bCs/>
          <w:sz w:val="24"/>
          <w:szCs w:val="24"/>
        </w:rPr>
      </w:pPr>
      <w:r>
        <w:rPr>
          <w:rFonts w:hint="eastAsia" w:eastAsia="宋体" w:cs="宋体"/>
          <w:bCs/>
          <w:sz w:val="24"/>
          <w:szCs w:val="24"/>
        </w:rPr>
        <w:t>测量支架：配备专用支架用于固定及调节粗糙度仪传感器，支架最高高度满足不低于450mm高的测量，满足MC07、MC07H、MC11、MC11-TD、MC13、MC13-TD曲轴在平台上实施轴颈两侧圆角粗糙度的测量；可使用专用支架连接调节探头驱动器高度。</w:t>
      </w:r>
    </w:p>
    <w:p>
      <w:pPr>
        <w:pStyle w:val="18"/>
        <w:numPr>
          <w:ilvl w:val="0"/>
          <w:numId w:val="12"/>
        </w:numPr>
        <w:spacing w:line="360" w:lineRule="auto"/>
        <w:rPr>
          <w:rFonts w:eastAsia="宋体" w:cs="宋体"/>
          <w:bCs/>
          <w:sz w:val="24"/>
          <w:szCs w:val="24"/>
        </w:rPr>
      </w:pPr>
      <w:r>
        <w:rPr>
          <w:rFonts w:hint="eastAsia" w:eastAsia="宋体" w:cs="宋体"/>
          <w:bCs/>
          <w:sz w:val="24"/>
          <w:szCs w:val="24"/>
        </w:rPr>
        <w:t>专用上位机：配备台式电脑及电脑桌一套，并安装配备专用上位机软件及所需的线缆，使检测仪与电脑端建立连接，可进行检测轮廓的分析及报告的存储；</w:t>
      </w:r>
      <w:r>
        <w:rPr>
          <w:rFonts w:hint="eastAsia" w:eastAsia="宋体" w:cs="宋体"/>
          <w:bCs/>
          <w:sz w:val="24"/>
          <w:szCs w:val="24"/>
          <w:lang w:val="en-US" w:eastAsia="zh-CN"/>
        </w:rPr>
        <w:t>电脑配置要求</w:t>
      </w:r>
      <w:r>
        <w:rPr>
          <w:rFonts w:hint="eastAsia" w:hAnsi="宋体" w:eastAsia="宋体" w:cs="宋体"/>
          <w:sz w:val="24"/>
          <w:szCs w:val="24"/>
        </w:rPr>
        <w:t>处理器i5及以上、硬盘容量不少于</w:t>
      </w:r>
      <w:r>
        <w:rPr>
          <w:rFonts w:hint="eastAsia" w:hAnsi="宋体" w:eastAsia="宋体" w:cs="宋体"/>
          <w:sz w:val="24"/>
          <w:szCs w:val="24"/>
          <w:lang w:val="en-US" w:eastAsia="zh-CN"/>
        </w:rPr>
        <w:t>512</w:t>
      </w:r>
      <w:r>
        <w:rPr>
          <w:rFonts w:hint="eastAsia" w:hAnsi="宋体" w:eastAsia="宋体" w:cs="宋体"/>
          <w:sz w:val="24"/>
          <w:szCs w:val="24"/>
        </w:rPr>
        <w:t>G、内存不少于8G，预装操作系统</w:t>
      </w:r>
      <w:r>
        <w:rPr>
          <w:rFonts w:hint="eastAsia" w:hAnsi="宋体" w:eastAsia="宋体" w:cs="宋体"/>
          <w:sz w:val="24"/>
          <w:szCs w:val="24"/>
          <w:lang w:eastAsia="zh-CN"/>
        </w:rPr>
        <w:t>，</w:t>
      </w:r>
      <w:r>
        <w:rPr>
          <w:rFonts w:hint="eastAsia" w:hAnsi="宋体" w:eastAsia="宋体" w:cs="宋体"/>
          <w:sz w:val="24"/>
          <w:szCs w:val="24"/>
        </w:rPr>
        <w:t>显示屏采用DELL、</w:t>
      </w:r>
      <w:r>
        <w:rPr>
          <w:rFonts w:hint="eastAsia" w:hAnsi="宋体" w:eastAsia="宋体" w:cs="宋体"/>
          <w:sz w:val="24"/>
          <w:szCs w:val="24"/>
          <w:lang w:val="en-US" w:eastAsia="zh-CN"/>
        </w:rPr>
        <w:t>联想</w:t>
      </w:r>
      <w:r>
        <w:rPr>
          <w:rFonts w:hint="eastAsia" w:hAnsi="宋体" w:eastAsia="宋体" w:cs="宋体"/>
          <w:sz w:val="24"/>
          <w:szCs w:val="24"/>
        </w:rPr>
        <w:t>等国内外知名品牌。</w:t>
      </w:r>
    </w:p>
    <w:p>
      <w:pPr>
        <w:pStyle w:val="18"/>
        <w:numPr>
          <w:ilvl w:val="0"/>
          <w:numId w:val="12"/>
        </w:numPr>
        <w:spacing w:line="360" w:lineRule="auto"/>
        <w:rPr>
          <w:rFonts w:eastAsia="宋体" w:cs="宋体"/>
          <w:bCs/>
          <w:sz w:val="24"/>
          <w:szCs w:val="24"/>
        </w:rPr>
      </w:pPr>
      <w:r>
        <w:rPr>
          <w:rFonts w:hint="eastAsia" w:eastAsia="宋体" w:cs="宋体"/>
          <w:bCs/>
          <w:sz w:val="24"/>
          <w:szCs w:val="24"/>
        </w:rPr>
        <w:t>配备不少于2块Rz4粗糙度仪校准样块，满足一用一备需求。</w:t>
      </w:r>
    </w:p>
    <w:p>
      <w:pPr>
        <w:numPr>
          <w:ilvl w:val="0"/>
          <w:numId w:val="10"/>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主要技术状态说明</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项目实施地点在济南发动机厂部件加工部，现场环境符合发动机装配要求。</w:t>
      </w:r>
    </w:p>
    <w:p>
      <w:pPr>
        <w:pStyle w:val="18"/>
        <w:numPr>
          <w:ilvl w:val="0"/>
          <w:numId w:val="13"/>
        </w:numPr>
        <w:spacing w:line="360" w:lineRule="auto"/>
        <w:rPr>
          <w:rFonts w:hint="eastAsia" w:hAnsi="宋体" w:eastAsia="宋体" w:cs="宋体"/>
          <w:sz w:val="24"/>
          <w:szCs w:val="24"/>
        </w:rPr>
      </w:pPr>
      <w:r>
        <w:rPr>
          <w:rFonts w:hint="eastAsia" w:hAnsi="宋体" w:eastAsia="宋体" w:cs="宋体"/>
          <w:kern w:val="0"/>
          <w:sz w:val="24"/>
          <w:szCs w:val="24"/>
        </w:rPr>
        <w:t>圆角粗糙度检测仪：</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配置清单：主机、</w:t>
      </w:r>
      <w:r>
        <w:rPr>
          <w:rFonts w:hint="eastAsia" w:eastAsia="宋体" w:cs="宋体"/>
          <w:bCs/>
          <w:sz w:val="24"/>
          <w:szCs w:val="24"/>
        </w:rPr>
        <w:t>探头驱动器</w:t>
      </w:r>
      <w:r>
        <w:rPr>
          <w:rFonts w:hint="eastAsia" w:hAnsi="宋体" w:eastAsia="宋体" w:cs="宋体"/>
          <w:sz w:val="24"/>
          <w:szCs w:val="24"/>
        </w:rPr>
        <w:t>、</w:t>
      </w:r>
      <w:r>
        <w:rPr>
          <w:rFonts w:hint="eastAsia" w:eastAsia="宋体" w:cs="宋体"/>
          <w:bCs/>
          <w:sz w:val="24"/>
          <w:szCs w:val="24"/>
        </w:rPr>
        <w:t>探头</w:t>
      </w:r>
      <w:r>
        <w:rPr>
          <w:rFonts w:hint="eastAsia" w:hAnsi="宋体" w:eastAsia="宋体" w:cs="宋体"/>
          <w:sz w:val="24"/>
          <w:szCs w:val="24"/>
        </w:rPr>
        <w:t>、</w:t>
      </w:r>
      <w:r>
        <w:rPr>
          <w:rFonts w:hint="eastAsia" w:eastAsia="宋体" w:cs="宋体"/>
          <w:bCs/>
          <w:sz w:val="24"/>
          <w:szCs w:val="24"/>
        </w:rPr>
        <w:t>测量支架</w:t>
      </w:r>
      <w:r>
        <w:rPr>
          <w:rFonts w:hint="eastAsia" w:hAnsi="宋体" w:eastAsia="宋体" w:cs="宋体"/>
          <w:sz w:val="24"/>
          <w:szCs w:val="24"/>
        </w:rPr>
        <w:t>、</w:t>
      </w:r>
      <w:r>
        <w:rPr>
          <w:rFonts w:hint="eastAsia" w:eastAsia="宋体" w:cs="宋体"/>
          <w:bCs/>
          <w:sz w:val="24"/>
          <w:szCs w:val="24"/>
        </w:rPr>
        <w:t>直角测量机构</w:t>
      </w:r>
      <w:r>
        <w:rPr>
          <w:rFonts w:hint="eastAsia" w:hAnsi="宋体" w:eastAsia="宋体" w:cs="宋体"/>
          <w:sz w:val="24"/>
          <w:szCs w:val="24"/>
        </w:rPr>
        <w:t>、</w:t>
      </w:r>
      <w:r>
        <w:rPr>
          <w:rFonts w:hint="eastAsia" w:eastAsia="宋体" w:cs="宋体"/>
          <w:bCs/>
          <w:sz w:val="24"/>
          <w:szCs w:val="24"/>
        </w:rPr>
        <w:t>专用上位机</w:t>
      </w:r>
      <w:r>
        <w:rPr>
          <w:rFonts w:hint="eastAsia" w:hAnsi="宋体" w:eastAsia="宋体" w:cs="宋体"/>
          <w:sz w:val="24"/>
          <w:szCs w:val="24"/>
        </w:rPr>
        <w:t>、</w:t>
      </w:r>
      <w:r>
        <w:rPr>
          <w:rFonts w:hint="eastAsia" w:eastAsia="宋体" w:cs="宋体"/>
          <w:bCs/>
          <w:sz w:val="24"/>
          <w:szCs w:val="24"/>
        </w:rPr>
        <w:t>校准样块</w:t>
      </w:r>
      <w:r>
        <w:rPr>
          <w:rFonts w:hint="eastAsia" w:hAnsi="宋体" w:eastAsia="宋体" w:cs="宋体"/>
          <w:sz w:val="24"/>
          <w:szCs w:val="24"/>
        </w:rPr>
        <w:t>、通讯线缆、使用说明书、合格证、保修卡。</w:t>
      </w:r>
    </w:p>
    <w:p>
      <w:pPr>
        <w:pStyle w:val="18"/>
        <w:numPr>
          <w:ilvl w:val="0"/>
          <w:numId w:val="13"/>
        </w:numPr>
        <w:spacing w:line="360" w:lineRule="auto"/>
        <w:rPr>
          <w:rFonts w:hint="eastAsia" w:hAnsi="宋体" w:eastAsia="宋体" w:cs="宋体"/>
          <w:sz w:val="24"/>
          <w:szCs w:val="24"/>
        </w:rPr>
      </w:pPr>
      <w:r>
        <w:rPr>
          <w:rFonts w:hint="eastAsia" w:hAnsi="宋体" w:eastAsia="宋体" w:cs="宋体"/>
          <w:sz w:val="24"/>
          <w:szCs w:val="24"/>
        </w:rPr>
        <w:t>检测辅助部分要求：</w:t>
      </w:r>
    </w:p>
    <w:p>
      <w:pPr>
        <w:pStyle w:val="18"/>
        <w:numPr>
          <w:ilvl w:val="0"/>
          <w:numId w:val="14"/>
        </w:numPr>
        <w:spacing w:line="360" w:lineRule="auto"/>
        <w:ind w:left="315" w:leftChars="150"/>
        <w:outlineLvl w:val="0"/>
        <w:rPr>
          <w:rFonts w:eastAsia="宋体" w:cs="宋体"/>
          <w:bCs/>
          <w:sz w:val="24"/>
          <w:szCs w:val="24"/>
        </w:rPr>
      </w:pPr>
      <w:r>
        <w:rPr>
          <w:rFonts w:hint="eastAsia" w:hAnsi="宋体" w:eastAsia="宋体" w:cs="宋体"/>
          <w:sz w:val="24"/>
          <w:szCs w:val="24"/>
        </w:rPr>
        <w:t>测量支架：</w:t>
      </w:r>
      <w:r>
        <w:rPr>
          <w:rFonts w:hint="eastAsia" w:eastAsia="宋体" w:cs="宋体"/>
          <w:bCs/>
          <w:sz w:val="24"/>
          <w:szCs w:val="24"/>
        </w:rPr>
        <w:t>配备专用支架用于固定及调节粗糙度仪传感器，支架最高高度满足不低于450mm高的测量，满足MC07、MC07H、MC11、MC11-TD、MC13、MC13-TD曲轴在平台上实施轴颈两侧圆角粗糙度的测量；可使用专用支架连接调节探头驱动器高度；</w:t>
      </w:r>
    </w:p>
    <w:p>
      <w:pPr>
        <w:pStyle w:val="18"/>
        <w:numPr>
          <w:ilvl w:val="0"/>
          <w:numId w:val="14"/>
        </w:numPr>
        <w:spacing w:line="360" w:lineRule="auto"/>
        <w:ind w:left="315" w:leftChars="150"/>
        <w:outlineLvl w:val="0"/>
        <w:rPr>
          <w:rFonts w:eastAsia="宋体" w:cs="宋体"/>
          <w:bCs/>
          <w:sz w:val="24"/>
          <w:szCs w:val="24"/>
        </w:rPr>
      </w:pPr>
      <w:r>
        <w:rPr>
          <w:rFonts w:hint="eastAsia" w:eastAsia="宋体" w:cs="宋体"/>
          <w:bCs/>
          <w:sz w:val="24"/>
          <w:szCs w:val="24"/>
        </w:rPr>
        <w:t>电脑：台式机，</w:t>
      </w:r>
      <w:r>
        <w:rPr>
          <w:rFonts w:hint="eastAsia" w:hAnsi="宋体" w:eastAsia="宋体" w:cs="宋体"/>
          <w:sz w:val="24"/>
          <w:szCs w:val="24"/>
        </w:rPr>
        <w:t>处理器i5及以上、硬盘容量不少于</w:t>
      </w:r>
      <w:r>
        <w:rPr>
          <w:rFonts w:hint="eastAsia" w:hAnsi="宋体" w:eastAsia="宋体" w:cs="宋体"/>
          <w:sz w:val="24"/>
          <w:szCs w:val="24"/>
          <w:lang w:val="en-US" w:eastAsia="zh-CN"/>
        </w:rPr>
        <w:t>512</w:t>
      </w:r>
      <w:r>
        <w:rPr>
          <w:rFonts w:hint="eastAsia" w:hAnsi="宋体" w:eastAsia="宋体" w:cs="宋体"/>
          <w:sz w:val="24"/>
          <w:szCs w:val="24"/>
        </w:rPr>
        <w:t>G、内存不少于8G，预装操作系统</w:t>
      </w:r>
      <w:r>
        <w:rPr>
          <w:rFonts w:hint="eastAsia" w:hAnsi="宋体" w:eastAsia="宋体" w:cs="宋体"/>
          <w:sz w:val="24"/>
          <w:szCs w:val="24"/>
          <w:lang w:eastAsia="zh-CN"/>
        </w:rPr>
        <w:t>，</w:t>
      </w:r>
      <w:r>
        <w:rPr>
          <w:rFonts w:hint="eastAsia" w:hAnsi="宋体" w:eastAsia="宋体" w:cs="宋体"/>
          <w:sz w:val="24"/>
          <w:szCs w:val="24"/>
        </w:rPr>
        <w:t>显示屏采用DELL、</w:t>
      </w:r>
      <w:r>
        <w:rPr>
          <w:rFonts w:hint="eastAsia" w:hAnsi="宋体" w:eastAsia="宋体" w:cs="宋体"/>
          <w:sz w:val="24"/>
          <w:szCs w:val="24"/>
          <w:lang w:val="en-US" w:eastAsia="zh-CN"/>
        </w:rPr>
        <w:t>联想</w:t>
      </w:r>
      <w:r>
        <w:rPr>
          <w:rFonts w:hint="eastAsia" w:hAnsi="宋体" w:eastAsia="宋体" w:cs="宋体"/>
          <w:sz w:val="24"/>
          <w:szCs w:val="24"/>
        </w:rPr>
        <w:t>等国内外知名品牌</w:t>
      </w:r>
      <w:r>
        <w:rPr>
          <w:rFonts w:hint="eastAsia" w:eastAsia="宋体" w:cs="宋体"/>
          <w:bCs/>
          <w:sz w:val="24"/>
          <w:szCs w:val="24"/>
        </w:rPr>
        <w:t>；</w:t>
      </w:r>
    </w:p>
    <w:p>
      <w:pPr>
        <w:pStyle w:val="18"/>
        <w:numPr>
          <w:ilvl w:val="0"/>
          <w:numId w:val="14"/>
        </w:numPr>
        <w:spacing w:line="360" w:lineRule="auto"/>
        <w:ind w:left="315" w:leftChars="150"/>
        <w:outlineLvl w:val="0"/>
        <w:rPr>
          <w:rFonts w:eastAsia="宋体" w:cs="宋体"/>
          <w:bCs/>
          <w:sz w:val="24"/>
          <w:szCs w:val="24"/>
        </w:rPr>
      </w:pPr>
      <w:r>
        <w:rPr>
          <w:rFonts w:hint="eastAsia" w:eastAsia="宋体" w:cs="宋体"/>
          <w:bCs/>
          <w:sz w:val="24"/>
          <w:szCs w:val="24"/>
        </w:rPr>
        <w:t>电脑桌：承重≥50Kg，桌面深度≥60cm，宽度≥120cm。</w:t>
      </w:r>
    </w:p>
    <w:p>
      <w:pPr>
        <w:pStyle w:val="18"/>
        <w:numPr>
          <w:ilvl w:val="0"/>
          <w:numId w:val="13"/>
        </w:numPr>
        <w:spacing w:line="360" w:lineRule="auto"/>
        <w:outlineLvl w:val="0"/>
        <w:rPr>
          <w:rFonts w:hint="eastAsia" w:hAnsi="宋体" w:eastAsia="宋体" w:cs="宋体"/>
          <w:sz w:val="24"/>
          <w:szCs w:val="24"/>
        </w:rPr>
      </w:pPr>
      <w:r>
        <w:rPr>
          <w:rFonts w:hint="eastAsia" w:hAnsi="宋体" w:eastAsia="宋体" w:cs="宋体"/>
          <w:sz w:val="24"/>
          <w:szCs w:val="24"/>
        </w:rPr>
        <w:t>计量检测要求：</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仪器满足国家、省、市级法定计量检测机构等法定计量检测机构出具的检定、校准或测试报告。</w:t>
      </w:r>
    </w:p>
    <w:p>
      <w:pPr>
        <w:numPr>
          <w:ilvl w:val="0"/>
          <w:numId w:val="10"/>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安全要求</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1. 安全防护、环境保护、节能要求应满足ISO及国家相关标准；</w:t>
      </w:r>
    </w:p>
    <w:p>
      <w:pPr>
        <w:numPr>
          <w:ilvl w:val="0"/>
          <w:numId w:val="10"/>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供货要求</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1. 供货范围包括货物维护维修所必需的专用工具；</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2. 供货范围包括货物为达到产品标准以及环保、消防和劳动安全卫生等国家法律、法规和标准、规范要求而必须配备但标书未明确提出的通风系统、近距离照明系统以及劳动安全防护设施（不包括人体防护用品）等使用现场配套的设备、材料等；</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3. 供货范围包括货物正常运行所必需的全套连线设备、材料等。如货物端连接法兰外端面之内的、电气系统接口压线板（插座等）之内的设备、材料、连接螺栓、垫片等；</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4. 供货范围包括货物正常运行、使用所需要的过桥、护栏、防护网、盖板等辅助设施；</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5. 备品备件、易损件和专用耗材是招标方为保证货物质保期之后正常运行一年所自备自用的备品备件、易损件和专用耗材。质保期之内正常需要的备品备件、易损件和专用耗材全部包括在供货范围之内而不属于本条款界定的范围（应有明细）；</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6. 供货范围包括易损件和专用耗材的制造图纸及其技术要求等资料；</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7. 在合同签订后15个日历日内，提供货物基础及相关的设计、制作所需的纸质及电子版资料；电子版文件应当能够使用常用版本软件可以阅读甚至使用，进口货物、设备应有中外文对照；</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8. 在预验收前，提供货物各部分的功能描述文件、图片、影像等资料（进口、设备应有中外文对照）；</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9. 在终验收前，提供为保证货物后续正常运行所需的工装、吊（挂）具明细及其图纸、具体技术要求等资料（如果供货范围包含该部分实物）；</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10. 在终验收前，提供确定的维修所需要且买方可以自行采购的外购件、外协件、电气元件及主要原材料的供货厂家明细表；</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11. 在终验收后、终验收后的第一笔货款支付日之前，提供包括货物的备品备件、易损件和专用耗材的图纸及技术参数、技术要求等资料；</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12. 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pStyle w:val="18"/>
        <w:spacing w:line="360" w:lineRule="auto"/>
        <w:ind w:firstLine="480" w:firstLineChars="200"/>
        <w:rPr>
          <w:rFonts w:hint="eastAsia" w:hAnsi="宋体" w:eastAsia="宋体" w:cs="宋体"/>
          <w:color w:val="000000"/>
          <w:sz w:val="24"/>
          <w:szCs w:val="24"/>
        </w:rPr>
      </w:pPr>
      <w:r>
        <w:rPr>
          <w:rFonts w:hint="eastAsia" w:hAnsi="宋体" w:eastAsia="宋体" w:cs="宋体"/>
          <w:sz w:val="24"/>
          <w:szCs w:val="24"/>
        </w:rPr>
        <w:t>13. 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r>
        <w:rPr>
          <w:rFonts w:hint="eastAsia" w:hAnsi="宋体" w:eastAsia="宋体" w:cs="宋体"/>
          <w:color w:val="000000"/>
          <w:sz w:val="24"/>
          <w:szCs w:val="24"/>
        </w:rPr>
        <w:t>项目所涉及的设备和电气程序需开源不得加密。</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14. 本条款所列的技术资料、图片、影像等，投标方应各提供5套，每份技术文件应装有目录清单；</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15. 全部供货范围内的设备、材料、零配件和工器具等，除合同特别约定外，其质保期均至终验收签字生效之日起12个月；</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16. 投标货物或涉及的关键总成和零件，如果有更长时间质保期，允许更改并说明，此将有利于投标方；</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17. 设计使用寿命短于质保期的易损件除外，但属于易损件的，应当有明确说明；</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18. 质保期之内，如果出现设备、总成、关键零部件或者多处一般零部件的更换或维修行为，则质保期自更换或维修行为结束、货物重新正常运行使用之日起重新计算；</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19. 质保期内免费提供零部件和及时有效的服务。质保期内因货物本身缺陷造成的各种故障，卖方应负责免费维修和服务；</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20. 质保期终止之日起一年内重复出现的质保期之内出现的故障，仍属于质保范围而且应当免费；</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21. 本条款所列要求，如招标方认为投标方提供的资料不能满足要求时，有权要求投标方免费补充或增加；</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22. 本项目需在中标后</w:t>
      </w:r>
      <w:r>
        <w:rPr>
          <w:rFonts w:hint="eastAsia" w:hAnsi="宋体" w:eastAsia="宋体" w:cs="宋体"/>
          <w:sz w:val="24"/>
          <w:szCs w:val="24"/>
          <w:shd w:val="clear" w:color="FFFFFF" w:fill="D9D9D9"/>
        </w:rPr>
        <w:t>50</w:t>
      </w:r>
      <w:r>
        <w:rPr>
          <w:rFonts w:hint="eastAsia" w:hAnsi="宋体" w:eastAsia="宋体" w:cs="宋体"/>
          <w:sz w:val="24"/>
          <w:szCs w:val="24"/>
        </w:rPr>
        <w:t>个日历日内完成发货，到货后</w:t>
      </w:r>
      <w:r>
        <w:rPr>
          <w:rFonts w:hint="eastAsia" w:hAnsi="宋体" w:eastAsia="宋体" w:cs="宋体"/>
          <w:sz w:val="24"/>
          <w:szCs w:val="24"/>
          <w:shd w:val="clear" w:color="FFFFFF" w:fill="D9D9D9"/>
        </w:rPr>
        <w:t>7</w:t>
      </w:r>
      <w:r>
        <w:rPr>
          <w:rFonts w:hint="eastAsia" w:hAnsi="宋体" w:eastAsia="宋体" w:cs="宋体"/>
          <w:sz w:val="24"/>
          <w:szCs w:val="24"/>
        </w:rPr>
        <w:t>个日历日内完成安装。卖方应根据该时间节点制定一个详细的、确保可行的设计制造时间进度表，时间表应着重标出重点时间节点。</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23.  全部供货范围内的设备、材料、零配件和工器具等，除合同特别约定外，其质保期均自终验收签字生效之日起</w:t>
      </w:r>
      <w:r>
        <w:rPr>
          <w:rFonts w:hint="eastAsia" w:hAnsi="宋体" w:eastAsia="宋体" w:cs="宋体"/>
          <w:sz w:val="24"/>
          <w:szCs w:val="24"/>
          <w:shd w:val="pct10" w:color="auto" w:fill="FFFFFF"/>
        </w:rPr>
        <w:t xml:space="preserve"> 12</w:t>
      </w:r>
      <w:r>
        <w:rPr>
          <w:rFonts w:hint="eastAsia" w:hAnsi="宋体" w:eastAsia="宋体" w:cs="宋体"/>
          <w:sz w:val="24"/>
          <w:szCs w:val="24"/>
        </w:rPr>
        <w:t>个月。</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  质保期之内，如果设备出现设备、总成、关键零部件或者多处一般零部件的更换或维修行为，则质保期自更换或维修行为结束、设备重新正常运行使用之日起重新计算。</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25.  质保期内免费提供零部件和及时有效的服务。质保期内因货物本身缺陷造成的各种故障，卖方应负责免费维修和服务。</w:t>
      </w:r>
    </w:p>
    <w:p>
      <w:pPr>
        <w:numPr>
          <w:ilvl w:val="0"/>
          <w:numId w:val="10"/>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售中售后服务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 应负责对买方技术、维修和操作人员提供免费的、卖方生产制造现场的理论、技术和操作、维修等方面的技术指导和培训。</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 应负责在买方设备使用现场，进行2工作日免费的技术指导和培训。</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 应免费提供培训资料2份。</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 应按要求免费积极协助和提供买方以及买方所委托的工程设计单位有关人员所需要的、与设备有关的工程设计资料、技术咨询等</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 若卖方提供的设备涉及到外购外协货物、而且该货物的技术质量等较为关键时，卖方应能保证得到配套厂家的技术支持，并免费为买方提供技术服务。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 负责制定对买方人员在运行、维修等方面的培训计划，并有专人负责实施培训计划，负责指导买方受培训人员正确理解设计和制造意图，认识设备的特点和特性，掌握在运行、维修和使用管理中应遵守的规则等方面的综合知识。</w:t>
      </w:r>
    </w:p>
    <w:p>
      <w:pPr>
        <w:numPr>
          <w:ilvl w:val="0"/>
          <w:numId w:val="10"/>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其他</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 投标人承诺对参与该项目所获得的与招标人产品相关的所有信息都予以保密，并承担与此相关的所有法律责任；</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 终验收合格后，质保期一年。在正常运行的情况下，系统出现故障，在接到通知后4小时以内予以答复，并在24小时以内派出服务人员，无偿维修；在质保期满后，投标方在接到通知后4小时以内予以答复，并在24小时以内派出服务人员；</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 其余未尽事宜，投标人应与招标人指派的答疑人员充分沟通，理解认可并接受相关技术规范及服务要求；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 中标人需安排专人负责本招标项目的联络、检测计划布置、检测现场指导工作，该负责人对于以上问题的响应时间不得超过2小时；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 投标人需自备交通工具、各种设备及食宿等必需品；</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 中标方需对招标人提供的数据及企业资料进行保密，并不得向第三方扩散，因泄密对招标人造成的损失由中标方承担相应全部责任；</w:t>
      </w:r>
    </w:p>
    <w:p>
      <w:pPr>
        <w:pStyle w:val="13"/>
        <w:spacing w:after="156"/>
      </w:pPr>
      <w:r>
        <w:rPr>
          <w:rFonts w:hint="eastAsia" w:hAnsi="宋体" w:cs="宋体"/>
          <w:sz w:val="24"/>
        </w:rPr>
        <w:br w:type="page"/>
      </w:r>
    </w:p>
    <w:p>
      <w:pPr>
        <w:pStyle w:val="2"/>
        <w:spacing w:before="120" w:after="120" w:line="480" w:lineRule="exact"/>
        <w:rPr>
          <w:rFonts w:hint="eastAsia" w:ascii="宋体" w:hAnsi="宋体" w:cs="宋体"/>
          <w:bCs w:val="0"/>
          <w:sz w:val="28"/>
          <w:szCs w:val="28"/>
        </w:rPr>
      </w:pPr>
      <w:r>
        <w:rPr>
          <w:rFonts w:hint="eastAsia" w:ascii="宋体" w:hAnsi="宋体" w:cs="宋体"/>
          <w:bCs w:val="0"/>
          <w:sz w:val="28"/>
          <w:szCs w:val="28"/>
        </w:rPr>
        <w:t>第三章  供货范围及供货方式</w:t>
      </w:r>
    </w:p>
    <w:p>
      <w:pPr>
        <w:pStyle w:val="4"/>
        <w:spacing w:before="120" w:after="120" w:line="480" w:lineRule="exact"/>
        <w:jc w:val="center"/>
        <w:rPr>
          <w:b w:val="0"/>
          <w:szCs w:val="24"/>
        </w:rPr>
      </w:pPr>
      <w:r>
        <w:rPr>
          <w:rFonts w:hint="eastAsia"/>
          <w:b w:val="0"/>
          <w:szCs w:val="24"/>
        </w:rPr>
        <w:t>第一节  供货范围</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一、主要货物一般供货范围界定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1、供货范围包括本技术标书“采购货物概况” 所列及所要求的设备。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2、供货范围包括为保证设备正常安装、调试和验收完成及以前所必需的整套配件、附件及材料、油料、控制软件及程序或指令等。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如果终验收完成后，投标方有需要收回的配件、附件、材料、油料等，应当在投标文件的技术偏离条款中，予以详细说明；否则视同包括在供货范围之内。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3、供货范围包括货物维护维修所必需的专用工具。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供货范围包括设备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如投标方难以提供或无优势提供以及属于选用配置的，则应当在投标文件的技术偏离条款中，予以详细说明并注明投标报价未包含该部分的货值。</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5、供货范围包括为保证设备自身正常运行所必需的、满足使用地点环境条件的通风、冷却、降温等必需设施。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6、以“交钥匙”方式采购的设备，在满足技术标书本节上述要求之外，供货范围还包括如下界定（货物）：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  招标方只提设备所需的厂房以及砼基础；只提供符合本技术标书中“采购货物概况”和“使用环境”章节所列明品质的电力、自来水、压缩空气、蒸汽、天然气管线至系统接口，如：系统电力接口的接线端，水、气、汽等外围管线端联接法兰外端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  供货范围包括设备正常运行所必需的全套连线设备、材料等。如货物端联接法兰外端面之内的、电气系统接口压线板（插座等）之内的设备、材料、联接螺栓、垫片等。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  供货范围包括设备正常运行、使用所需要的过桥、护栏、防护网、盖板等辅助设施。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  供货范围包括招标文件中无明确具体要求而投标方认为必须具备的其它货物。但是，在投标文件报价明细中，该部分货物单独报价（该报价含运杂费及税费等其它费用，而且不再作为其它报价涉及的其它费用的计算基数）。</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方为保证设备质保期之后正常运行一年所自备自用的备品备件、易损件和专用耗材。质保期之内正常需要的备品备件、易损件和专用耗材全部包括在供货范围之内而不属于本条款界定的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定标后</w:t>
      </w:r>
      <w:r>
        <w:rPr>
          <w:rFonts w:hint="eastAsia" w:ascii="宋体" w:hAnsi="宋体" w:eastAsia="宋体" w:cs="宋体"/>
          <w:bCs/>
          <w:sz w:val="24"/>
          <w:szCs w:val="24"/>
          <w:u w:val="single"/>
          <w:shd w:val="pct10" w:color="auto" w:fill="FFFFFF"/>
        </w:rPr>
        <w:t xml:space="preserve">  15  </w:t>
      </w:r>
      <w:r>
        <w:rPr>
          <w:rFonts w:hint="eastAsia" w:ascii="宋体" w:hAnsi="宋体" w:eastAsia="宋体" w:cs="宋体"/>
          <w:bCs/>
          <w:sz w:val="24"/>
          <w:szCs w:val="24"/>
        </w:rPr>
        <w:t>个日历日内，提供设备基础及相关的设计、制作所需的纸质及电子版资料；电子版文件应当能够使用常用版本软件可以阅读甚至使用，进口货物、设备应有中外文对照。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w:t>
      </w:r>
      <w:r>
        <w:rPr>
          <w:rFonts w:hint="eastAsia" w:ascii="宋体" w:hAnsi="宋体" w:eastAsia="宋体" w:cs="宋体"/>
          <w:bCs/>
          <w:sz w:val="24"/>
          <w:szCs w:val="24"/>
        </w:rPr>
        <w:t>提供设备各部分的功能描述文件、图片、影像等资料（进口、设备应有中外文对照）。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3、在终验收前，提供为保证设备后续正常运行所需的工装、吊（挂）具明细及其图纸、具体技术要求等资料（如果供货范围包含该部分实物）。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4、在终验收前，提供确定的维修所需要且招标方可以自行采购的外购件、外协件、电气元件及主要原材料的供货厂家明细表。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5、在终验收后的第一笔货款支付日之前，提供包括设备的备品备件、易损件和专用耗材的图纸及技术参数、技术要求等资料。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在终验收后的第一笔货款支付日之前，提供关于采购设备的电气资料（包括接线图、原理图、布线图、梯形图等）、液压（气动）原理图和系统图、安装基础图、维修图等有关的资料（含图片和影像等资料）；非标准货物应提供整套设备3D模型、设计总图、全线布置图、部件装配图、工装夹具全套零件图纸等详细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8、本条款所列的技术资料、图片、影像等，投标方应各提供4套，其中2套为电子版光（U）盘；每份技术文件应装有目录清单。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9、本条款所列要求，如招标方认为投标方提供的资料不能满足要求时，有权要求投标方免费补充或增加。</w:t>
      </w:r>
    </w:p>
    <w:p>
      <w:pPr>
        <w:spacing w:line="480" w:lineRule="exact"/>
        <w:ind w:firstLine="420" w:firstLineChars="200"/>
        <w:rPr>
          <w:rFonts w:hint="eastAsia" w:ascii="宋体" w:hAnsi="宋体"/>
        </w:rPr>
      </w:pPr>
    </w:p>
    <w:p>
      <w:pPr>
        <w:pStyle w:val="4"/>
        <w:spacing w:before="120" w:after="120" w:line="480" w:lineRule="exact"/>
        <w:jc w:val="center"/>
        <w:rPr>
          <w:b w:val="0"/>
          <w:szCs w:val="24"/>
        </w:rPr>
      </w:pPr>
      <w:r>
        <w:rPr>
          <w:rFonts w:hint="eastAsia"/>
          <w:b w:val="0"/>
          <w:szCs w:val="24"/>
        </w:rPr>
        <w:t>第二节  供货方式</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一、供货地点：</w:t>
      </w:r>
      <w:r>
        <w:rPr>
          <w:rFonts w:hint="eastAsia" w:ascii="宋体" w:hAnsi="宋体" w:eastAsia="宋体" w:cs="宋体"/>
          <w:sz w:val="24"/>
          <w:szCs w:val="24"/>
        </w:rPr>
        <w:t>本项目建设工地。</w:t>
      </w:r>
    </w:p>
    <w:p>
      <w:pPr>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二、供货时间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1、以交钥匙方式供货的，按照以下时间要求（安装调试工期超过10个日历日的，投标方应当随标书提供详细的工期计划）：</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1.1  自定标日起，</w:t>
      </w:r>
      <w:r>
        <w:rPr>
          <w:rFonts w:hint="eastAsia" w:ascii="宋体" w:hAnsi="宋体" w:eastAsia="宋体" w:cs="宋体"/>
          <w:sz w:val="24"/>
          <w:szCs w:val="24"/>
          <w:u w:val="single"/>
          <w:shd w:val="pct10" w:color="auto" w:fill="FFFFFF"/>
        </w:rPr>
        <w:t xml:space="preserve"> 50 </w:t>
      </w:r>
      <w:r>
        <w:rPr>
          <w:rFonts w:hint="eastAsia" w:ascii="宋体" w:hAnsi="宋体" w:eastAsia="宋体" w:cs="宋体"/>
          <w:sz w:val="24"/>
          <w:szCs w:val="24"/>
        </w:rPr>
        <w:t>个日历日之内交货至供货地点。</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  接续</w:t>
      </w:r>
      <w:r>
        <w:rPr>
          <w:rFonts w:hint="eastAsia" w:ascii="宋体" w:hAnsi="宋体" w:eastAsia="宋体" w:cs="宋体"/>
          <w:sz w:val="24"/>
          <w:szCs w:val="24"/>
          <w:u w:val="single"/>
          <w:shd w:val="pct10" w:color="auto" w:fill="FFFFFF"/>
        </w:rPr>
        <w:t xml:space="preserve"> 7</w:t>
      </w:r>
      <w:r>
        <w:rPr>
          <w:rFonts w:hint="eastAsia" w:ascii="宋体" w:hAnsi="宋体" w:eastAsia="宋体" w:cs="宋体"/>
          <w:sz w:val="24"/>
          <w:szCs w:val="24"/>
        </w:rPr>
        <w:t>个日历日之内安装调试完毕。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1.3  接续</w:t>
      </w:r>
      <w:r>
        <w:rPr>
          <w:rFonts w:hint="eastAsia" w:ascii="宋体" w:hAnsi="宋体" w:eastAsia="宋体" w:cs="宋体"/>
          <w:sz w:val="24"/>
          <w:szCs w:val="24"/>
          <w:u w:val="single"/>
          <w:shd w:val="pct10" w:color="auto" w:fill="FFFFFF"/>
        </w:rPr>
        <w:t xml:space="preserve"> 30  </w:t>
      </w:r>
      <w:r>
        <w:rPr>
          <w:rFonts w:hint="eastAsia" w:ascii="宋体" w:hAnsi="宋体" w:eastAsia="宋体" w:cs="宋体"/>
          <w:sz w:val="24"/>
          <w:szCs w:val="24"/>
        </w:rPr>
        <w:t>个日历日之内完成终验收。</w:t>
      </w:r>
    </w:p>
    <w:p>
      <w:pPr>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三、质保期及质保要求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sz w:val="24"/>
          <w:szCs w:val="24"/>
          <w:u w:val="single"/>
          <w:shd w:val="pct10" w:color="auto" w:fill="FFFFFF"/>
        </w:rPr>
        <w:t xml:space="preserve">  12  </w:t>
      </w:r>
      <w:r>
        <w:rPr>
          <w:rFonts w:hint="eastAsia" w:ascii="宋体" w:hAnsi="宋体" w:eastAsia="宋体" w:cs="宋体"/>
          <w:sz w:val="24"/>
          <w:szCs w:val="24"/>
        </w:rPr>
        <w:t>个月。</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2、质保期之内，如果设备出现设备、总成、关键零部件或者多处一般零部件的更换或维修行为，则质保期自更换或维修行为结束、设备重新正常运行使用之日起重新计算。</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3、质保期内免费提供零部件和及时有效的服务。质保期内因货物本身缺陷造成的各种故障，投标方应负责免费维修和服务。</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4、质保期终止之日起18个月内重复出现的质保期之内出现的故障，仍属质保范围而且应当免费。</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1、所提供设备的包装，应遵照国家标准和有关包装、包皮的技术条件，或按照最好的商业惯例进行包装。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3、所提供设备的包装，应能防止其一般性被窃或受外力破坏；一般不得采用有大缝隙的板条包装。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5、每个包装件应有装箱单，并至少标明名称、型号规格、数量、净重和毛重、投标方（或供货商）名称和制造日期等相关内容。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6、每个包装箱应有明显标志，并具有中文书写的合同号、装运标志、发货和到货地点名称、发货人和收货人名称、设备名称和项目号、箱号和外型尺寸等内容。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1、应负责将设备运到目的地，并必须做到设备在任何运输过程中不受损坏和遗失。</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2、同批设备应统一包装、编号运输。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4、在每批设备发出后，应立即通知招标方；通知中应指明：合同号、货运单号、件数、重量和设备发出日期等相关内容。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5、设备运抵交货地点后，应负责货物（或设备）的卸货、搬运、保管等事宜；或按照合同约定。</w:t>
      </w:r>
    </w:p>
    <w:p>
      <w:pPr>
        <w:pStyle w:val="2"/>
        <w:spacing w:before="120" w:after="120" w:line="480" w:lineRule="exact"/>
        <w:rPr>
          <w:rFonts w:hint="eastAsia" w:ascii="宋体" w:hAnsi="宋体" w:cs="宋体"/>
          <w:sz w:val="28"/>
          <w:szCs w:val="28"/>
        </w:rPr>
      </w:pPr>
      <w:r>
        <w:rPr>
          <w:rFonts w:ascii="宋体" w:hAnsi="宋体"/>
        </w:rPr>
        <w:br w:type="page"/>
      </w:r>
      <w:r>
        <w:rPr>
          <w:rFonts w:hint="eastAsia" w:ascii="宋体" w:hAnsi="宋体" w:cs="宋体"/>
          <w:sz w:val="28"/>
          <w:szCs w:val="28"/>
        </w:rPr>
        <w:t>第四章  售中售后服务</w:t>
      </w:r>
    </w:p>
    <w:p>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一、技术及培训服务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1、应负责对招标方</w:t>
      </w:r>
      <w:r>
        <w:rPr>
          <w:rFonts w:hint="eastAsia" w:ascii="宋体" w:hAnsi="宋体" w:eastAsia="宋体" w:cs="宋体"/>
          <w:sz w:val="24"/>
          <w:szCs w:val="24"/>
          <w:u w:val="single"/>
          <w:shd w:val="pct10" w:color="auto" w:fill="FFFFFF"/>
        </w:rPr>
        <w:t xml:space="preserve">  1-2  </w:t>
      </w:r>
      <w:r>
        <w:rPr>
          <w:rFonts w:hint="eastAsia" w:ascii="宋体" w:hAnsi="宋体" w:eastAsia="宋体" w:cs="宋体"/>
          <w:sz w:val="24"/>
          <w:szCs w:val="24"/>
        </w:rPr>
        <w:t>名技术、维修和操作人员提供不少于</w:t>
      </w:r>
      <w:r>
        <w:rPr>
          <w:rFonts w:hint="eastAsia" w:ascii="宋体" w:hAnsi="宋体" w:eastAsia="宋体" w:cs="宋体"/>
          <w:sz w:val="24"/>
          <w:szCs w:val="24"/>
          <w:u w:val="single"/>
          <w:shd w:val="pct10" w:color="auto" w:fill="FFFFFF"/>
        </w:rPr>
        <w:t xml:space="preserve">   2  </w:t>
      </w:r>
      <w:r>
        <w:rPr>
          <w:rFonts w:hint="eastAsia" w:ascii="宋体" w:hAnsi="宋体" w:eastAsia="宋体" w:cs="宋体"/>
          <w:sz w:val="24"/>
          <w:szCs w:val="24"/>
        </w:rPr>
        <w:t>个日历日的免费的、招标方生产制造现场的理论、技术和操作、维修等方面的技术指导和培训</w:t>
      </w:r>
      <w:r>
        <w:rPr>
          <w:rFonts w:hint="eastAsia" w:ascii="宋体" w:hAnsi="宋体" w:eastAsia="宋体" w:cs="宋体"/>
          <w:sz w:val="24"/>
          <w:szCs w:val="24"/>
          <w:lang w:val="zh-CN"/>
        </w:rPr>
        <w:t>。</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2、应负责在招标方设备使用现场，进行1～2次免费的技术指导和培训，并接受招标方有关人员的技术咨询。</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3、应免费提供一定数量的培训资料。</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4、应按要求免费积极协助和提供招标方以及招标方所委托的工程设计单位有关人员所需要的、与设备有关的工程设计资料、技术咨询等。</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5、若投标方提供的设备涉及到外购外协货物、而且该货物的技术质量等较为关键时，投标方应能保证得到配套厂家的技术支持，并免费为招标方提供技术服务。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二、安装调试及验收服务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2、若投标方提供的设备涉及到外购外协货物、而且该货物的技术质量等较为关键时，应保证能得到供应商的技术支持，并免费为招标方提供安装使用现场的指导与培训。</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根据设备的要求，调试及验收可分空载和负载两个阶段进行；招标方将积极协助投标方达到设备的各项技术指标和性能要求。投标方在招标方现场进行的货物的安装、调试和试运行，招标方有权参与，投标方应无条件向招标方提供现场记录和试运行数据及报告。</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5、投标方应当向招标方提供货物试验、验收的有关标准、规范和方法，同时提供货物涉及并使用的软件合法性证明。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6、服务缺陷视同货物缺陷和履约延期。</w:t>
      </w:r>
    </w:p>
    <w:p>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三、售后服务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1、投标方提供的设备涉及的所有售后服务均由投标方负责。如果发生问题并且收到通知，投标方应当在2小时内予以答复。</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2、如发现所提供的设备存在问题，需要投标方解决或配合解决时：在质保期之内，应在接到通知后</w:t>
      </w:r>
      <w:r>
        <w:rPr>
          <w:rFonts w:hint="eastAsia" w:ascii="宋体" w:hAnsi="宋体" w:eastAsia="宋体" w:cs="宋体"/>
          <w:sz w:val="24"/>
          <w:szCs w:val="24"/>
          <w:u w:val="single"/>
          <w:shd w:val="pct10" w:color="auto" w:fill="FFFFFF"/>
        </w:rPr>
        <w:t xml:space="preserve">  24    </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 xml:space="preserve">  24   </w:t>
      </w:r>
      <w:r>
        <w:rPr>
          <w:rFonts w:hint="eastAsia" w:ascii="宋体" w:hAnsi="宋体" w:eastAsia="宋体" w:cs="宋体"/>
          <w:sz w:val="24"/>
          <w:szCs w:val="24"/>
        </w:rPr>
        <w:t>小时内派有关人员到达现场。</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3、投标方派往招标方使用现场的人员，应具有较高的业务素质；现场解决问题时，不得无故拖延或推迟，应为招标方提供最佳的服务。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四、其它服务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1、若投标方所提供设备有需要进口的，投标方一般应自行、自费办理；必要时，买卖双方共同办理。</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2、除招标文件、投标文件、答疑文件、技术协议、合同等约定之外，投标方应免费负责必要的或强制性的设备的检验、试验、化验等直接费用。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3、本章节条款所列“免费”，并非指定不可收费，而是指招标文件、投标文件、答疑文件、技术交流文件、技术协议书和合同等范围之外，投标方不可另行收取的费用。</w:t>
      </w:r>
    </w:p>
    <w:p>
      <w:pPr>
        <w:spacing w:line="360" w:lineRule="auto"/>
        <w:ind w:firstLine="480" w:firstLineChars="200"/>
        <w:rPr>
          <w:rFonts w:hint="eastAsia" w:ascii="宋体" w:hAnsi="宋体" w:eastAsia="宋体" w:cs="宋体"/>
          <w:sz w:val="24"/>
          <w:szCs w:val="24"/>
        </w:rPr>
      </w:pPr>
    </w:p>
    <w:p>
      <w:pPr>
        <w:pStyle w:val="2"/>
        <w:spacing w:before="120" w:after="120" w:line="480" w:lineRule="exact"/>
        <w:rPr>
          <w:rFonts w:hint="eastAsia" w:ascii="宋体" w:hAnsi="宋体" w:cs="宋体"/>
          <w:bCs w:val="0"/>
          <w:sz w:val="28"/>
          <w:szCs w:val="28"/>
        </w:rPr>
      </w:pPr>
      <w:r>
        <w:rPr>
          <w:rFonts w:ascii="宋体" w:hAnsi="宋体"/>
        </w:rPr>
        <w:br w:type="page"/>
      </w:r>
      <w:r>
        <w:rPr>
          <w:rFonts w:hint="eastAsia" w:ascii="宋体" w:hAnsi="宋体" w:cs="宋体"/>
          <w:bCs w:val="0"/>
          <w:sz w:val="28"/>
          <w:szCs w:val="28"/>
        </w:rPr>
        <w:t>第五章  预验收和终验收</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一、验收的一般约定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1、验收标准一般以技术协议书和合同规定验收。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2、如果验收过程中，发现招标文件、投标文件、答疑文件、技术交流文件等与技术协议书、合同存在差异，原则上以涉及条款中对招标方最有利条款为验收依据。</w:t>
      </w:r>
    </w:p>
    <w:p>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二、检验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1、国产货物的检验由买卖双方按照合同要求或在制造现场进行。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2、进口货物的检验，投标方需要按照下述要求进行：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应依据合同规定的要求，提供买卖双方达成一致的货物的验收标准和装箱单，作为招标方检验的依据。</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三、验收基本条件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买卖双方按照合同约定执行了合同，同时设备完成了试运行并经检验合格，则具备验收条件。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1、预验收一般条件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  投标方已经按照“供货范围”要求提供了预验收资料，并且资料齐全、完整和有效。</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  设备应完整且所有的零部件应该安装牢固，外观无损伤，所有的焊缝饱满、无残渣等缺陷。</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  一般情况下，所有的管路和线缆等，接头应完全正确、可靠地联接；应排列有序（正确、牢固、整齐），有必要的防护，无皱褶、收缩和裂缝等不良现象。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  设备的润滑系统工作正常、可靠，润滑点易于到达。</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  使用的压力容器、电气等应具备合格证（如果有压力容器）。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1.6 设备的油漆质量应饱满、有光泽，无掉漆、无色差、无“桔皮”等不良现象（特殊标志除外）。</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 设备标牌完整、清晰、明确。</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1.8  地线联接和地极符合国际（ISO/IEC）标准规范。</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1.9  设备的安全要求符合中国最新的相关法律、法规、标准和规范以及合同要求。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2、终验收一般条件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设备安装调试完毕，并至少经过了验收要求的负荷试运行。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设备正常运行时，噪声等环境影响因素满足国家和当地环保主管部门规定，安全措施落实、有效。</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2.6 设备质量、技术性能等，达到签定的技术协议书和合同规定的终验收标准。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3、终验收基本要求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  所有供货清单符合合同要求。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  设备配置及功能与技术协议无偏离。</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  出现下列问题之一，视作验收失败：</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3.3.1  在整个验收过程中发生关键零部件损坏或重大故障；</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3.3.2  一般性故障超过</w:t>
      </w:r>
      <w:r>
        <w:rPr>
          <w:rFonts w:hint="eastAsia" w:ascii="宋体" w:hAnsi="宋体" w:eastAsia="宋体" w:cs="宋体"/>
          <w:sz w:val="24"/>
          <w:szCs w:val="24"/>
          <w:u w:val="single"/>
          <w:shd w:val="pct10" w:color="auto" w:fill="FFFFFF"/>
        </w:rPr>
        <w:t xml:space="preserve">   3    </w:t>
      </w:r>
      <w:r>
        <w:rPr>
          <w:rFonts w:hint="eastAsia" w:ascii="宋体" w:hAnsi="宋体" w:eastAsia="宋体" w:cs="宋体"/>
          <w:sz w:val="24"/>
          <w:szCs w:val="24"/>
        </w:rPr>
        <w:t>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3.3.3  所有出现的维修调整，每次时间均不超过</w:t>
      </w:r>
      <w:r>
        <w:rPr>
          <w:rFonts w:hint="eastAsia" w:ascii="宋体" w:hAnsi="宋体" w:eastAsia="宋体" w:cs="宋体"/>
          <w:sz w:val="24"/>
          <w:szCs w:val="24"/>
          <w:u w:val="single"/>
          <w:shd w:val="pct10" w:color="auto" w:fill="FFFFFF"/>
        </w:rPr>
        <w:t xml:space="preserve">   30    </w:t>
      </w:r>
      <w:r>
        <w:rPr>
          <w:rFonts w:hint="eastAsia" w:ascii="宋体" w:hAnsi="宋体" w:eastAsia="宋体" w:cs="宋体"/>
          <w:sz w:val="24"/>
          <w:szCs w:val="24"/>
        </w:rPr>
        <w:t>分钟；所有维修调整时间的总和不超过总运行时间的</w:t>
      </w:r>
      <w:r>
        <w:rPr>
          <w:rFonts w:hint="eastAsia" w:ascii="宋体" w:hAnsi="宋体" w:eastAsia="宋体" w:cs="宋体"/>
          <w:sz w:val="24"/>
          <w:szCs w:val="24"/>
          <w:u w:val="single"/>
          <w:shd w:val="pct10" w:color="auto" w:fill="FFFFFF"/>
        </w:rPr>
        <w:t xml:space="preserve">   2    </w:t>
      </w:r>
      <w:r>
        <w:rPr>
          <w:rFonts w:hint="eastAsia" w:ascii="宋体" w:hAnsi="宋体" w:eastAsia="宋体" w:cs="宋体"/>
          <w:sz w:val="24"/>
          <w:szCs w:val="24"/>
        </w:rPr>
        <w:t>%；</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3.3.4  更换的零部件货值不超过总货值的</w:t>
      </w:r>
      <w:r>
        <w:rPr>
          <w:rFonts w:hint="eastAsia" w:ascii="宋体" w:hAnsi="宋体" w:eastAsia="宋体" w:cs="宋体"/>
          <w:sz w:val="24"/>
          <w:szCs w:val="24"/>
          <w:u w:val="single"/>
          <w:shd w:val="pct10" w:color="auto" w:fill="FFFFFF"/>
        </w:rPr>
        <w:t xml:space="preserve">   2  </w:t>
      </w:r>
      <w:r>
        <w:rPr>
          <w:rFonts w:hint="eastAsia" w:ascii="宋体" w:hAnsi="宋体" w:eastAsia="宋体" w:cs="宋体"/>
          <w:sz w:val="24"/>
          <w:szCs w:val="24"/>
        </w:rPr>
        <w:t>%；</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  累计负载运行实际性能达到合同规定；</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  终验收内容包括以下内容：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3.5.1终验收在招标方车间进行，验收内容包括但不限于设备资料、培训、设备配置、生产节拍、工期、重复定位精度。</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3.5.2 投标方在终验收时需提交一份预验收时发现的缺陷和设备故障确认完成整改的汇总表，列入终验收报告。</w:t>
      </w:r>
    </w:p>
    <w:p>
      <w:pPr>
        <w:tabs>
          <w:tab w:val="left" w:pos="126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3.5.3存在影响节拍、装配质量、安全的缺陷，投标方应及时整改，整改合格后验收和移交。当由于招标方原因影响终验收进度时，则移交日期相应顺延。</w:t>
      </w:r>
    </w:p>
    <w:p>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3.6</w:t>
      </w:r>
      <w:r>
        <w:rPr>
          <w:rFonts w:hint="eastAsia" w:hAnsi="宋体" w:eastAsia="宋体" w:cs="宋体"/>
          <w:sz w:val="24"/>
          <w:szCs w:val="24"/>
          <w:lang w:val="en-US" w:eastAsia="zh-CN"/>
        </w:rPr>
        <w:t xml:space="preserve">  </w:t>
      </w:r>
      <w:r>
        <w:rPr>
          <w:rFonts w:hint="eastAsia" w:hAnsi="宋体" w:eastAsia="宋体" w:cs="宋体"/>
          <w:sz w:val="24"/>
          <w:szCs w:val="24"/>
        </w:rPr>
        <w:t>满足国家、省、市级法定计量检测机构等法定计量检测机构要求，并出具检定、校准报告。</w:t>
      </w:r>
    </w:p>
    <w:p>
      <w:pPr>
        <w:pStyle w:val="18"/>
        <w:spacing w:line="360" w:lineRule="auto"/>
        <w:ind w:firstLine="480" w:firstLineChars="200"/>
        <w:rPr>
          <w:rFonts w:hint="default" w:hAnsi="宋体" w:eastAsia="宋体" w:cs="宋体"/>
          <w:sz w:val="24"/>
          <w:szCs w:val="24"/>
          <w:lang w:val="en-US" w:eastAsia="zh-CN"/>
        </w:rPr>
      </w:pPr>
      <w:r>
        <w:rPr>
          <w:rFonts w:hint="eastAsia" w:ascii="宋体" w:hAnsi="宋体" w:eastAsia="宋体" w:cs="宋体"/>
          <w:sz w:val="24"/>
          <w:szCs w:val="24"/>
          <w:lang w:val="en-US" w:eastAsia="zh-CN"/>
        </w:rPr>
        <w:t>3.7  圆角粗糙度检测仪应符合IATF16949中配套MSA要求对工件圆角粗糙度进行检测</w:t>
      </w:r>
      <w:r>
        <w:rPr>
          <w:rFonts w:hint="eastAsia" w:hAnsi="宋体" w:eastAsia="宋体" w:cs="宋体"/>
          <w:sz w:val="24"/>
          <w:szCs w:val="24"/>
        </w:rPr>
        <w:t>。</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8</w:t>
      </w:r>
      <w:r>
        <w:rPr>
          <w:rFonts w:hint="eastAsia" w:ascii="宋体" w:hAnsi="宋体" w:eastAsia="宋体" w:cs="宋体"/>
          <w:sz w:val="24"/>
          <w:szCs w:val="24"/>
        </w:rPr>
        <w:t xml:space="preserve">  终验收原则上要求一次完成。若一次验收不成功，最多允许两次；如果出现第三次验收失败，重新作价或退货；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9</w:t>
      </w:r>
      <w:r>
        <w:rPr>
          <w:rFonts w:hint="eastAsia" w:ascii="宋体" w:hAnsi="宋体" w:eastAsia="宋体" w:cs="宋体"/>
          <w:sz w:val="24"/>
          <w:szCs w:val="24"/>
        </w:rPr>
        <w:t xml:space="preserve">  终验收通过后买卖双方共同签署终验收报告，并移交、核对全部供货范围内物品。</w:t>
      </w:r>
    </w:p>
    <w:p>
      <w:pPr>
        <w:spacing w:line="480" w:lineRule="exact"/>
        <w:ind w:firstLine="420" w:firstLineChars="200"/>
        <w:rPr>
          <w:rFonts w:hint="eastAsia" w:ascii="宋体" w:hAnsi="宋体"/>
        </w:rPr>
      </w:pPr>
    </w:p>
    <w:p>
      <w:pPr>
        <w:pStyle w:val="2"/>
        <w:spacing w:before="120" w:after="120" w:line="480" w:lineRule="exact"/>
        <w:rPr>
          <w:rFonts w:hint="eastAsia" w:ascii="宋体" w:hAnsi="宋体" w:cs="宋体"/>
          <w:bCs w:val="0"/>
          <w:sz w:val="28"/>
          <w:szCs w:val="28"/>
        </w:rPr>
      </w:pPr>
      <w:r>
        <w:rPr>
          <w:rFonts w:ascii="宋体" w:hAnsi="宋体"/>
        </w:rPr>
        <w:br w:type="page"/>
      </w:r>
      <w:r>
        <w:rPr>
          <w:rFonts w:hint="eastAsia" w:ascii="宋体" w:hAnsi="宋体" w:cs="宋体"/>
          <w:bCs w:val="0"/>
          <w:sz w:val="28"/>
          <w:szCs w:val="28"/>
        </w:rPr>
        <w:t>第六章  投标技术文件一般要求</w:t>
      </w:r>
    </w:p>
    <w:p>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一、技术文件一般内容要求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2、投标技术文件至少应对投标设备的功能用途、技术性能、质量标准、技术参数等作出详细说明。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3、投标技术文件至少应根据投标设备的关键设备、总成、零部件或系统作出优越性说明。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4、投标技术文件至少应按照招标文件要求（或投标方建议）列明备品备件、易损件和专用耗材明细。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6、投标的设备，应当根据其配置和备品备件、易损件、专用耗材情况，尽可能详细且分类填入下表：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  投标设备配置一览表：</w:t>
      </w:r>
    </w:p>
    <w:p>
      <w:pPr>
        <w:adjustRightInd w:val="0"/>
        <w:snapToGrid w:val="0"/>
        <w:spacing w:line="460" w:lineRule="exact"/>
        <w:ind w:firstLine="1890" w:firstLineChars="900"/>
        <w:rPr>
          <w:rFonts w:hint="eastAsia" w:ascii="宋体" w:hAnsi="宋体" w:eastAsia="宋体" w:cs="宋体"/>
          <w:highlight w:val="red"/>
        </w:rPr>
      </w:pPr>
      <w:r>
        <w:rPr>
          <w:rFonts w:hint="eastAsia" w:ascii="宋体" w:hAnsi="宋体" w:eastAsia="宋体" w:cs="宋体"/>
        </w:rPr>
        <w:t>投标货物配置一览表          单位：元</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972"/>
        <w:gridCol w:w="887"/>
        <w:gridCol w:w="1816"/>
      </w:tblGrid>
      <w:tr>
        <w:trPr>
          <w:trHeight w:val="512" w:hRule="atLeast"/>
        </w:trPr>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972"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887"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1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tc>
          <w:tcPr>
            <w:tcW w:w="816" w:type="dxa"/>
          </w:tcPr>
          <w:p>
            <w:pPr>
              <w:adjustRightInd w:val="0"/>
              <w:snapToGrid w:val="0"/>
              <w:spacing w:line="360" w:lineRule="exact"/>
              <w:jc w:val="center"/>
              <w:rPr>
                <w:rFonts w:hint="eastAsia" w:ascii="宋体" w:hAnsi="宋体" w:eastAsia="宋体" w:cs="宋体"/>
                <w:highlight w:val="red"/>
              </w:rPr>
            </w:pPr>
          </w:p>
        </w:tc>
        <w:tc>
          <w:tcPr>
            <w:tcW w:w="1924" w:type="dxa"/>
          </w:tcPr>
          <w:p>
            <w:pPr>
              <w:adjustRightInd w:val="0"/>
              <w:snapToGrid w:val="0"/>
              <w:spacing w:line="360" w:lineRule="exact"/>
              <w:rPr>
                <w:rFonts w:hint="eastAsia" w:ascii="宋体" w:hAnsi="宋体" w:eastAsia="宋体" w:cs="宋体"/>
                <w:highlight w:val="red"/>
              </w:rPr>
            </w:pPr>
          </w:p>
        </w:tc>
        <w:tc>
          <w:tcPr>
            <w:tcW w:w="1236" w:type="dxa"/>
          </w:tcPr>
          <w:p>
            <w:pPr>
              <w:adjustRightInd w:val="0"/>
              <w:snapToGrid w:val="0"/>
              <w:spacing w:line="360" w:lineRule="exact"/>
              <w:jc w:val="center"/>
              <w:rPr>
                <w:rFonts w:hint="eastAsia" w:ascii="宋体" w:hAnsi="宋体" w:eastAsia="宋体" w:cs="宋体"/>
                <w:highlight w:val="red"/>
              </w:rPr>
            </w:pPr>
          </w:p>
        </w:tc>
        <w:tc>
          <w:tcPr>
            <w:tcW w:w="720" w:type="dxa"/>
          </w:tcPr>
          <w:p>
            <w:pPr>
              <w:adjustRightInd w:val="0"/>
              <w:snapToGrid w:val="0"/>
              <w:spacing w:line="360" w:lineRule="exact"/>
              <w:jc w:val="center"/>
              <w:rPr>
                <w:rFonts w:hint="eastAsia" w:ascii="宋体" w:hAnsi="宋体" w:eastAsia="宋体" w:cs="宋体"/>
                <w:highlight w:val="red"/>
              </w:rPr>
            </w:pPr>
          </w:p>
        </w:tc>
        <w:tc>
          <w:tcPr>
            <w:tcW w:w="720" w:type="dxa"/>
          </w:tcPr>
          <w:p>
            <w:pPr>
              <w:adjustRightInd w:val="0"/>
              <w:snapToGrid w:val="0"/>
              <w:spacing w:line="360" w:lineRule="exact"/>
              <w:jc w:val="center"/>
              <w:rPr>
                <w:rFonts w:hint="eastAsia" w:ascii="宋体" w:hAnsi="宋体" w:eastAsia="宋体" w:cs="宋体"/>
                <w:highlight w:val="red"/>
              </w:rPr>
            </w:pPr>
          </w:p>
        </w:tc>
        <w:tc>
          <w:tcPr>
            <w:tcW w:w="972" w:type="dxa"/>
          </w:tcPr>
          <w:p>
            <w:pPr>
              <w:adjustRightInd w:val="0"/>
              <w:snapToGrid w:val="0"/>
              <w:spacing w:line="360" w:lineRule="exact"/>
              <w:jc w:val="center"/>
              <w:rPr>
                <w:rFonts w:hint="eastAsia" w:ascii="宋体" w:hAnsi="宋体" w:eastAsia="宋体" w:cs="宋体"/>
                <w:highlight w:val="red"/>
              </w:rPr>
            </w:pPr>
          </w:p>
        </w:tc>
        <w:tc>
          <w:tcPr>
            <w:tcW w:w="887" w:type="dxa"/>
          </w:tcPr>
          <w:p>
            <w:pPr>
              <w:adjustRightInd w:val="0"/>
              <w:snapToGrid w:val="0"/>
              <w:spacing w:line="360" w:lineRule="exact"/>
              <w:jc w:val="center"/>
              <w:rPr>
                <w:rFonts w:hint="eastAsia" w:ascii="宋体" w:hAnsi="宋体" w:eastAsia="宋体" w:cs="宋体"/>
                <w:highlight w:val="red"/>
              </w:rPr>
            </w:pPr>
          </w:p>
        </w:tc>
        <w:tc>
          <w:tcPr>
            <w:tcW w:w="1816" w:type="dxa"/>
          </w:tcPr>
          <w:p>
            <w:pPr>
              <w:adjustRightInd w:val="0"/>
              <w:snapToGrid w:val="0"/>
              <w:spacing w:line="360" w:lineRule="exact"/>
              <w:jc w:val="center"/>
              <w:rPr>
                <w:rFonts w:hint="eastAsia" w:ascii="宋体" w:hAnsi="宋体" w:eastAsia="宋体" w:cs="宋体"/>
                <w:highlight w:val="red"/>
              </w:rPr>
            </w:pPr>
          </w:p>
        </w:tc>
      </w:tr>
      <w:tr>
        <w:tc>
          <w:tcPr>
            <w:tcW w:w="816" w:type="dxa"/>
          </w:tcPr>
          <w:p>
            <w:pPr>
              <w:adjustRightInd w:val="0"/>
              <w:snapToGrid w:val="0"/>
              <w:spacing w:line="360" w:lineRule="exact"/>
              <w:jc w:val="center"/>
              <w:rPr>
                <w:rFonts w:hint="eastAsia" w:ascii="宋体" w:hAnsi="宋体" w:eastAsia="宋体" w:cs="宋体"/>
                <w:highlight w:val="red"/>
              </w:rPr>
            </w:pPr>
          </w:p>
        </w:tc>
        <w:tc>
          <w:tcPr>
            <w:tcW w:w="1924" w:type="dxa"/>
          </w:tcPr>
          <w:p>
            <w:pPr>
              <w:adjustRightInd w:val="0"/>
              <w:snapToGrid w:val="0"/>
              <w:spacing w:line="360" w:lineRule="exact"/>
              <w:rPr>
                <w:rFonts w:hint="eastAsia" w:ascii="宋体" w:hAnsi="宋体" w:eastAsia="宋体" w:cs="宋体"/>
                <w:highlight w:val="red"/>
              </w:rPr>
            </w:pPr>
          </w:p>
        </w:tc>
        <w:tc>
          <w:tcPr>
            <w:tcW w:w="1236" w:type="dxa"/>
          </w:tcPr>
          <w:p>
            <w:pPr>
              <w:adjustRightInd w:val="0"/>
              <w:snapToGrid w:val="0"/>
              <w:spacing w:line="360" w:lineRule="exact"/>
              <w:jc w:val="center"/>
              <w:rPr>
                <w:rFonts w:hint="eastAsia" w:ascii="宋体" w:hAnsi="宋体" w:eastAsia="宋体" w:cs="宋体"/>
                <w:highlight w:val="red"/>
              </w:rPr>
            </w:pPr>
          </w:p>
        </w:tc>
        <w:tc>
          <w:tcPr>
            <w:tcW w:w="720" w:type="dxa"/>
          </w:tcPr>
          <w:p>
            <w:pPr>
              <w:adjustRightInd w:val="0"/>
              <w:snapToGrid w:val="0"/>
              <w:spacing w:line="360" w:lineRule="exact"/>
              <w:jc w:val="center"/>
              <w:rPr>
                <w:rFonts w:hint="eastAsia" w:ascii="宋体" w:hAnsi="宋体" w:eastAsia="宋体" w:cs="宋体"/>
                <w:highlight w:val="red"/>
              </w:rPr>
            </w:pPr>
          </w:p>
        </w:tc>
        <w:tc>
          <w:tcPr>
            <w:tcW w:w="720" w:type="dxa"/>
          </w:tcPr>
          <w:p>
            <w:pPr>
              <w:adjustRightInd w:val="0"/>
              <w:snapToGrid w:val="0"/>
              <w:spacing w:line="360" w:lineRule="exact"/>
              <w:jc w:val="center"/>
              <w:rPr>
                <w:rFonts w:hint="eastAsia" w:ascii="宋体" w:hAnsi="宋体" w:eastAsia="宋体" w:cs="宋体"/>
                <w:highlight w:val="red"/>
              </w:rPr>
            </w:pPr>
          </w:p>
        </w:tc>
        <w:tc>
          <w:tcPr>
            <w:tcW w:w="972" w:type="dxa"/>
          </w:tcPr>
          <w:p>
            <w:pPr>
              <w:adjustRightInd w:val="0"/>
              <w:snapToGrid w:val="0"/>
              <w:spacing w:line="360" w:lineRule="exact"/>
              <w:jc w:val="center"/>
              <w:rPr>
                <w:rFonts w:hint="eastAsia" w:ascii="宋体" w:hAnsi="宋体" w:eastAsia="宋体" w:cs="宋体"/>
                <w:highlight w:val="red"/>
              </w:rPr>
            </w:pPr>
          </w:p>
        </w:tc>
        <w:tc>
          <w:tcPr>
            <w:tcW w:w="887" w:type="dxa"/>
          </w:tcPr>
          <w:p>
            <w:pPr>
              <w:adjustRightInd w:val="0"/>
              <w:snapToGrid w:val="0"/>
              <w:spacing w:line="360" w:lineRule="exact"/>
              <w:jc w:val="center"/>
              <w:rPr>
                <w:rFonts w:hint="eastAsia" w:ascii="宋体" w:hAnsi="宋体" w:eastAsia="宋体" w:cs="宋体"/>
                <w:highlight w:val="red"/>
              </w:rPr>
            </w:pPr>
          </w:p>
        </w:tc>
        <w:tc>
          <w:tcPr>
            <w:tcW w:w="1816" w:type="dxa"/>
          </w:tcPr>
          <w:p>
            <w:pPr>
              <w:adjustRightInd w:val="0"/>
              <w:snapToGrid w:val="0"/>
              <w:spacing w:line="360" w:lineRule="exact"/>
              <w:jc w:val="center"/>
              <w:rPr>
                <w:rFonts w:hint="eastAsia" w:ascii="宋体" w:hAnsi="宋体" w:eastAsia="宋体" w:cs="宋体"/>
                <w:highlight w:val="red"/>
              </w:rPr>
            </w:pPr>
          </w:p>
        </w:tc>
      </w:tr>
      <w:tr>
        <w:tc>
          <w:tcPr>
            <w:tcW w:w="816" w:type="dxa"/>
          </w:tcPr>
          <w:p>
            <w:pPr>
              <w:adjustRightInd w:val="0"/>
              <w:snapToGrid w:val="0"/>
              <w:spacing w:line="360" w:lineRule="exact"/>
              <w:jc w:val="center"/>
              <w:rPr>
                <w:rFonts w:hint="eastAsia" w:ascii="宋体" w:hAnsi="宋体" w:eastAsia="宋体" w:cs="宋体"/>
                <w:highlight w:val="red"/>
              </w:rPr>
            </w:pPr>
          </w:p>
        </w:tc>
        <w:tc>
          <w:tcPr>
            <w:tcW w:w="1924" w:type="dxa"/>
          </w:tcPr>
          <w:p>
            <w:pPr>
              <w:adjustRightInd w:val="0"/>
              <w:snapToGrid w:val="0"/>
              <w:spacing w:line="360" w:lineRule="exact"/>
              <w:rPr>
                <w:rFonts w:hint="eastAsia" w:ascii="宋体" w:hAnsi="宋体" w:eastAsia="宋体" w:cs="宋体"/>
                <w:highlight w:val="red"/>
              </w:rPr>
            </w:pPr>
          </w:p>
        </w:tc>
        <w:tc>
          <w:tcPr>
            <w:tcW w:w="1236" w:type="dxa"/>
          </w:tcPr>
          <w:p>
            <w:pPr>
              <w:adjustRightInd w:val="0"/>
              <w:snapToGrid w:val="0"/>
              <w:spacing w:line="360" w:lineRule="exact"/>
              <w:jc w:val="center"/>
              <w:rPr>
                <w:rFonts w:hint="eastAsia" w:ascii="宋体" w:hAnsi="宋体" w:eastAsia="宋体" w:cs="宋体"/>
                <w:highlight w:val="red"/>
              </w:rPr>
            </w:pPr>
          </w:p>
        </w:tc>
        <w:tc>
          <w:tcPr>
            <w:tcW w:w="720" w:type="dxa"/>
          </w:tcPr>
          <w:p>
            <w:pPr>
              <w:adjustRightInd w:val="0"/>
              <w:snapToGrid w:val="0"/>
              <w:spacing w:line="360" w:lineRule="exact"/>
              <w:jc w:val="center"/>
              <w:rPr>
                <w:rFonts w:hint="eastAsia" w:ascii="宋体" w:hAnsi="宋体" w:eastAsia="宋体" w:cs="宋体"/>
                <w:highlight w:val="red"/>
              </w:rPr>
            </w:pPr>
          </w:p>
        </w:tc>
        <w:tc>
          <w:tcPr>
            <w:tcW w:w="720" w:type="dxa"/>
          </w:tcPr>
          <w:p>
            <w:pPr>
              <w:adjustRightInd w:val="0"/>
              <w:snapToGrid w:val="0"/>
              <w:spacing w:line="360" w:lineRule="exact"/>
              <w:jc w:val="center"/>
              <w:rPr>
                <w:rFonts w:hint="eastAsia" w:ascii="宋体" w:hAnsi="宋体" w:eastAsia="宋体" w:cs="宋体"/>
                <w:highlight w:val="red"/>
              </w:rPr>
            </w:pPr>
          </w:p>
        </w:tc>
        <w:tc>
          <w:tcPr>
            <w:tcW w:w="972" w:type="dxa"/>
          </w:tcPr>
          <w:p>
            <w:pPr>
              <w:adjustRightInd w:val="0"/>
              <w:snapToGrid w:val="0"/>
              <w:spacing w:line="360" w:lineRule="exact"/>
              <w:jc w:val="center"/>
              <w:rPr>
                <w:rFonts w:hint="eastAsia" w:ascii="宋体" w:hAnsi="宋体" w:eastAsia="宋体" w:cs="宋体"/>
                <w:highlight w:val="red"/>
              </w:rPr>
            </w:pPr>
          </w:p>
        </w:tc>
        <w:tc>
          <w:tcPr>
            <w:tcW w:w="887" w:type="dxa"/>
          </w:tcPr>
          <w:p>
            <w:pPr>
              <w:adjustRightInd w:val="0"/>
              <w:snapToGrid w:val="0"/>
              <w:spacing w:line="360" w:lineRule="exact"/>
              <w:jc w:val="center"/>
              <w:rPr>
                <w:rFonts w:hint="eastAsia" w:ascii="宋体" w:hAnsi="宋体" w:eastAsia="宋体" w:cs="宋体"/>
                <w:highlight w:val="red"/>
              </w:rPr>
            </w:pPr>
          </w:p>
        </w:tc>
        <w:tc>
          <w:tcPr>
            <w:tcW w:w="1816" w:type="dxa"/>
          </w:tcPr>
          <w:p>
            <w:pPr>
              <w:adjustRightInd w:val="0"/>
              <w:snapToGrid w:val="0"/>
              <w:spacing w:line="360" w:lineRule="exact"/>
              <w:jc w:val="center"/>
              <w:rPr>
                <w:rFonts w:hint="eastAsia" w:ascii="宋体" w:hAnsi="宋体" w:eastAsia="宋体" w:cs="宋体"/>
                <w:highlight w:val="red"/>
              </w:rPr>
            </w:pPr>
          </w:p>
        </w:tc>
      </w:tr>
    </w:tbl>
    <w:p>
      <w:pPr>
        <w:adjustRightInd w:val="0"/>
        <w:snapToGrid w:val="0"/>
        <w:spacing w:line="460" w:lineRule="exact"/>
        <w:ind w:firstLine="480" w:firstLineChars="200"/>
        <w:rPr>
          <w:rFonts w:hint="eastAsia" w:ascii="宋体" w:hAnsi="宋体" w:eastAsia="宋体" w:cs="宋体"/>
          <w:sz w:val="24"/>
          <w:szCs w:val="28"/>
        </w:rPr>
      </w:pPr>
      <w:r>
        <w:rPr>
          <w:rFonts w:hint="eastAsia" w:ascii="宋体" w:hAnsi="宋体" w:eastAsia="宋体" w:cs="宋体"/>
          <w:sz w:val="24"/>
          <w:szCs w:val="28"/>
        </w:rPr>
        <w:t>6.2  备品备件、易损件和专用耗材明细表：</w:t>
      </w:r>
    </w:p>
    <w:p>
      <w:pPr>
        <w:adjustRightInd w:val="0"/>
        <w:snapToGrid w:val="0"/>
        <w:spacing w:line="46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bl>
    <w:p>
      <w:pPr>
        <w:adjustRightInd w:val="0"/>
        <w:snapToGrid w:val="0"/>
        <w:spacing w:line="360" w:lineRule="exact"/>
        <w:ind w:firstLine="420" w:firstLineChars="200"/>
        <w:rPr>
          <w:rFonts w:hint="eastAsia" w:ascii="宋体" w:hAnsi="宋体" w:eastAsia="宋体" w:cs="宋体"/>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  “一览表”和“明细表”仅作为投标方编制投标技术文件的一般格式。其中序号编写应当便于招标方了解分类或分项货物之间的所属关系，如1、1.1、1.2。</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  应当尽可能将设备的配置列全、列细，这将有助于投标方胜出。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单价与总价之间、总价与分类小计价之间、分类小计价与合计价之间数据应当齐全而且准确。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6.6  本条款表格中的制造商，应当为全称或公认的简称。</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二、技术文件中设备报价格式要求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设备配置一览表合计价以及备品备件、易损件和专用耗材明细表合计价应当在投标总报价内对应重现而且应当数据准确。其中，质保期之内需要的备品备件、易损件和专用耗材，需要在配置一览表内单独分类列出并计入设备配置一览表合计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3、如果投标总报价与其它价格出现错误或不一致，将有可能导致废标。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4、投标总报价为自合同签定生效至合同无异议执行完毕涉及的招标方需要支付的全部费用。如投标方认为本招标及投标设备涉及专门的设计，应当列明设计费。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5、备品备件、易损件和专用耗材，招标方将可能与投标方按照投标价格另行签署供货合同。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6、要求投标总报价、分项报价、明细报价之间应当具有相互间对应关系以及填报分项和明细报价，仅为便于评标而不妨碍投标人以最合适的形式签署合同。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三、验收标准及内容要求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pPr>
        <w:pStyle w:val="2"/>
        <w:spacing w:before="120" w:after="120" w:line="480" w:lineRule="exact"/>
        <w:rPr>
          <w:rFonts w:hint="eastAsia" w:ascii="宋体" w:hAnsi="宋体" w:cs="宋体"/>
          <w:bCs w:val="0"/>
          <w:sz w:val="24"/>
          <w:szCs w:val="24"/>
        </w:rPr>
      </w:pPr>
      <w:r>
        <w:rPr>
          <w:rFonts w:ascii="宋体" w:hAnsi="宋体"/>
        </w:rPr>
        <w:br w:type="page"/>
      </w:r>
      <w:r>
        <w:rPr>
          <w:rFonts w:hint="eastAsia" w:ascii="宋体" w:hAnsi="宋体" w:cs="宋体"/>
          <w:bCs w:val="0"/>
          <w:sz w:val="24"/>
          <w:szCs w:val="24"/>
        </w:rPr>
        <w:t>第七章  其它要求及说明</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一、要求</w:t>
      </w:r>
    </w:p>
    <w:p>
      <w:pPr>
        <w:pStyle w:val="21"/>
        <w:spacing w:after="0"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为保证本技术标书所列采购设备的质量以及先进性、可靠性、经济性和实用性，要求投标方在投标文件中，至少应具备以下资格证明文件或资料：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1、投标方应是独立法人或得到法人授权的机构。应当在投标文件中提供法人营业执照（复印件）、税务登记证以及组织机构代码证（国外供应商参考该要求提供有效证明文件），并保证其真实性和有效性。</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2、投标方应当是通过有关资格认证的法人。应当在投标文件中提供有效期内的资格认证证书，如：ISO9001、VDA6.1、QS9000等。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3、国产设备应附有采购设备涉及的由“中国质量认证中心”颁发的《中国国家强制性产品认证证书》（CCC证书）。</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5、必须附有投标货物涉及产品要求的、国家或行业管理规定要求的、或者投标方认为能够体现其投标货物合法性及先进性的最高级别的证明材料（投标货物不涉及的除外）：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  国家相关机构颁发的有效期之内所必需的《生产许可证》。</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  产品（或技术）鉴定报告/证书、专利证书或专利许可证书、新技术成果证书等。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5.3  产品相关检验、试验报告，如：型式试验检验报告、安全试验检验报告、电弧效应试验报告、噪声检测报告等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  其它能够证明所供设备的质量水平、技术水平、安全性水平、节能性水平、环保性水平等相关的其它证明文件或资料、报告等。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  该类报告或证明材料对于投标方胜出乃至中标极为重要！</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6、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内容；投标方应当保证其业绩的真实性，否则将影响投标或中标资格。</w:t>
      </w:r>
    </w:p>
    <w:p>
      <w:pPr>
        <w:spacing w:line="360" w:lineRule="auto"/>
        <w:ind w:firstLine="479" w:firstLineChars="199"/>
        <w:rPr>
          <w:rFonts w:hint="eastAsia" w:ascii="宋体" w:hAnsi="宋体" w:eastAsia="宋体" w:cs="宋体"/>
          <w:b/>
          <w:bCs/>
          <w:sz w:val="24"/>
          <w:szCs w:val="24"/>
        </w:rPr>
      </w:pPr>
      <w:r>
        <w:rPr>
          <w:rFonts w:hint="eastAsia" w:ascii="宋体" w:hAnsi="宋体" w:eastAsia="宋体" w:cs="宋体"/>
          <w:b/>
          <w:bCs/>
          <w:sz w:val="24"/>
          <w:szCs w:val="24"/>
        </w:rPr>
        <w:t>二、说明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1、投标方可以根据自身的技术、经验等优势以及对招标文件和本技术标书的理解，写明对招标方所采购设备的优化方案或建议意见。投标方的这些努力，招标方表示感谢，并将有助于投标方优先胜出。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3、请投标方仔细阅读“采购货物概况”章节内说明，针对允许分投分中的设备，招标方有权利选择其中优秀设备或服务，作为投标方合同供货范围中的指定选用设备或服务（替代投标方分投而未中标部分）。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4、招标文件、投标文件、答疑文件、技术交流文件、技术协议书等，在采购过程全部为有效文件，如有差异，以对招标方最有利的条款为准。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p>
    <w:p>
      <w:pPr>
        <w:spacing w:line="480" w:lineRule="exact"/>
        <w:rPr>
          <w:rFonts w:hint="eastAsia" w:ascii="宋体" w:hAnsi="宋体"/>
        </w:rPr>
      </w:pPr>
    </w:p>
    <w:p>
      <w:pPr>
        <w:spacing w:line="480" w:lineRule="exact"/>
        <w:ind w:firstLine="482" w:firstLineChars="200"/>
        <w:rPr>
          <w:rFonts w:hint="eastAsia" w:ascii="宋体" w:hAnsi="宋体" w:eastAsia="宋体" w:cs="宋体"/>
          <w:sz w:val="24"/>
          <w:szCs w:val="24"/>
        </w:rPr>
      </w:pPr>
      <w:r>
        <w:rPr>
          <w:rFonts w:hint="eastAsia" w:ascii="宋体" w:hAnsi="宋体" w:eastAsia="宋体" w:cs="宋体"/>
          <w:b/>
          <w:sz w:val="24"/>
          <w:szCs w:val="24"/>
        </w:rPr>
        <w:t>技术部分答疑人： 张凯凯 15966636621</w:t>
      </w:r>
    </w:p>
    <w:p>
      <w:pPr>
        <w:rPr>
          <w:rFonts w:hint="eastAsia"/>
        </w:rPr>
      </w:pPr>
    </w:p>
    <w:p>
      <w:pPr>
        <w:rPr>
          <w:rFonts w:hint="eastAsia"/>
        </w:rPr>
      </w:pPr>
    </w:p>
    <w:p>
      <w:pPr>
        <w:pStyle w:val="2"/>
        <w:spacing w:before="120" w:after="120" w:line="360" w:lineRule="auto"/>
        <w:rPr>
          <w:sz w:val="32"/>
          <w:szCs w:val="32"/>
        </w:rPr>
      </w:pPr>
    </w:p>
    <w:p>
      <w:pPr>
        <w:rPr>
          <w:rFonts w:hint="eastAsia" w:hAnsi="宋体" w:eastAsia="宋体" w:cs="Times New Roman"/>
          <w:b/>
          <w:color w:val="000000"/>
          <w:sz w:val="24"/>
          <w:szCs w:val="24"/>
        </w:rPr>
      </w:pPr>
    </w:p>
    <w:bookmarkEnd w:id="32"/>
    <w:p>
      <w:pPr>
        <w:rPr>
          <w:rFonts w:hint="eastAsia"/>
        </w:rPr>
      </w:pPr>
      <w:bookmarkStart w:id="33" w:name="_Toc465187648"/>
      <w:bookmarkStart w:id="34" w:name="_Toc169605877"/>
      <w:bookmarkStart w:id="35" w:name="_Toc227726571"/>
      <w:bookmarkStart w:id="36" w:name="_Toc257033749"/>
      <w:bookmarkStart w:id="37" w:name="_Toc227726361"/>
      <w:bookmarkStart w:id="38" w:name="_Toc127880405"/>
      <w:bookmarkStart w:id="39" w:name="_Toc257037877"/>
      <w:bookmarkStart w:id="40" w:name="_Toc137705865"/>
    </w:p>
    <w:p>
      <w:pPr>
        <w:pStyle w:val="2"/>
        <w:spacing w:before="120" w:after="120" w:line="360" w:lineRule="auto"/>
        <w:rPr>
          <w:sz w:val="32"/>
          <w:szCs w:val="32"/>
        </w:rPr>
      </w:pPr>
    </w:p>
    <w:bookmarkEnd w:id="33"/>
    <w:bookmarkEnd w:id="34"/>
    <w:bookmarkEnd w:id="35"/>
    <w:bookmarkEnd w:id="36"/>
    <w:bookmarkEnd w:id="37"/>
    <w:bookmarkEnd w:id="38"/>
    <w:bookmarkEnd w:id="39"/>
    <w:bookmarkEnd w:id="40"/>
    <w:p>
      <w:pPr>
        <w:rPr>
          <w:rFonts w:hint="eastAsia"/>
        </w:rPr>
      </w:pPr>
      <w:r>
        <w:br w:type="page"/>
      </w:r>
    </w:p>
    <w:p>
      <w:pPr>
        <w:pStyle w:val="18"/>
      </w:pPr>
    </w:p>
    <w:p>
      <w:pPr>
        <w:spacing w:line="360" w:lineRule="auto"/>
        <w:jc w:val="center"/>
        <w:outlineLvl w:val="0"/>
        <w:rPr>
          <w:rFonts w:ascii="宋体" w:hAnsi="Calibri" w:eastAsia="宋体" w:cs="Times New Roman"/>
          <w:b/>
          <w:sz w:val="36"/>
          <w:szCs w:val="36"/>
        </w:rPr>
      </w:pPr>
      <w:bookmarkStart w:id="41"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1"/>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pPr>
        <w:pStyle w:val="18"/>
        <w:jc w:val="center"/>
      </w:pPr>
      <w:r>
        <w:rPr>
          <w:rFonts w:hint="eastAsia" w:hAnsi="宋体" w:eastAsia="宋体" w:cs="宋体"/>
          <w:b/>
          <w:sz w:val="24"/>
          <w:szCs w:val="24"/>
        </w:rPr>
        <w:t>（合同以双方最终签署的版本为准）</w:t>
      </w: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hint="eastAsia" w:ascii="宋体" w:hAnsi="宋体" w:cs="宋体"/>
          <w:bCs/>
          <w:sz w:val="24"/>
          <w:u w:val="single"/>
        </w:rPr>
      </w:pPr>
      <w:r>
        <w:rPr>
          <w:rFonts w:hint="eastAsia" w:ascii="宋体" w:hAnsi="宋体" w:cs="宋体"/>
          <w:bCs/>
          <w:sz w:val="24"/>
        </w:rPr>
        <w:t xml:space="preserve">                                       </w:t>
      </w:r>
    </w:p>
    <w:p>
      <w:pPr>
        <w:spacing w:line="360" w:lineRule="auto"/>
        <w:rPr>
          <w:rFonts w:hint="eastAsia" w:ascii="宋体" w:hAnsi="宋体" w:cs="宋体"/>
          <w:bCs/>
          <w:sz w:val="22"/>
        </w:rPr>
        <w:sectPr>
          <w:headerReference r:id="rId12" w:type="default"/>
          <w:footerReference r:id="rId13" w:type="default"/>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cs="宋体"/>
          <w:bCs/>
          <w:sz w:val="22"/>
        </w:rPr>
        <w:t xml:space="preserve"> </w:t>
      </w:r>
      <w:bookmarkStart w:id="42" w:name="_Toc29691"/>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43" w:name="_Toc11930"/>
      <w:bookmarkStart w:id="44" w:name="_Toc11823"/>
      <w:bookmarkStart w:id="45" w:name="_Toc17619"/>
      <w:bookmarkStart w:id="46" w:name="_Toc16330018"/>
      <w:r>
        <w:rPr>
          <w:rFonts w:hint="eastAsia" w:ascii="黑体" w:hAnsi="黑体" w:eastAsia="黑体" w:cstheme="minorEastAsia"/>
          <w:b w:val="0"/>
          <w:sz w:val="28"/>
          <w:szCs w:val="28"/>
        </w:rPr>
        <w:t>1 合同设备</w:t>
      </w:r>
      <w:bookmarkEnd w:id="43"/>
      <w:bookmarkEnd w:id="44"/>
      <w:bookmarkEnd w:id="45"/>
      <w:bookmarkEnd w:id="46"/>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hint="eastAsia" w:ascii="仿宋_GB2312" w:eastAsia="仿宋_GB2312" w:hAnsiTheme="minorEastAsia" w:cstheme="minorEastAsia"/>
          <w:sz w:val="24"/>
          <w:szCs w:val="24"/>
        </w:rPr>
      </w:pPr>
      <w:bookmarkStart w:id="47" w:name="_Toc32510"/>
      <w:bookmarkStart w:id="48" w:name="_Toc29026"/>
      <w:bookmarkStart w:id="49" w:name="_Toc22800"/>
      <w:r>
        <w:rPr>
          <w:rFonts w:hint="eastAsia" w:ascii="仿宋_GB2312" w:eastAsia="仿宋_GB2312" w:hAnsiTheme="minorEastAsia" w:cstheme="minorEastAsia"/>
          <w:sz w:val="24"/>
          <w:szCs w:val="24"/>
        </w:rPr>
        <w:t>1.2技术规格和标准</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50" w:name="_Toc16330019"/>
      <w:r>
        <w:rPr>
          <w:rFonts w:hint="eastAsia" w:ascii="黑体" w:hAnsi="黑体" w:eastAsia="黑体" w:cstheme="minorEastAsia"/>
          <w:b w:val="0"/>
          <w:sz w:val="28"/>
          <w:szCs w:val="28"/>
        </w:rPr>
        <w:t>2 包装</w:t>
      </w:r>
      <w:bookmarkEnd w:id="47"/>
      <w:bookmarkEnd w:id="48"/>
      <w:bookmarkEnd w:id="49"/>
      <w:bookmarkEnd w:id="50"/>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51" w:name="_Toc27453"/>
      <w:bookmarkStart w:id="52" w:name="_Toc16330020"/>
      <w:bookmarkStart w:id="53" w:name="_Toc2833"/>
      <w:bookmarkStart w:id="54" w:name="_Toc27144"/>
      <w:r>
        <w:rPr>
          <w:rFonts w:hint="eastAsia" w:ascii="黑体" w:hAnsi="黑体" w:eastAsia="黑体" w:cstheme="minorEastAsia"/>
          <w:b w:val="0"/>
          <w:sz w:val="28"/>
          <w:szCs w:val="28"/>
        </w:rPr>
        <w:t>3 运输标记</w:t>
      </w:r>
      <w:bookmarkEnd w:id="51"/>
      <w:bookmarkEnd w:id="52"/>
      <w:bookmarkEnd w:id="53"/>
      <w:bookmarkEnd w:id="54"/>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55" w:name="_Toc16330021"/>
      <w:bookmarkStart w:id="56" w:name="_Toc16133"/>
      <w:bookmarkStart w:id="57" w:name="_Toc10630"/>
      <w:bookmarkStart w:id="58" w:name="_Toc7431"/>
      <w:r>
        <w:rPr>
          <w:rFonts w:hint="eastAsia" w:ascii="黑体" w:hAnsi="黑体" w:eastAsia="黑体" w:cstheme="minorEastAsia"/>
          <w:b w:val="0"/>
          <w:sz w:val="28"/>
          <w:szCs w:val="28"/>
        </w:rPr>
        <w:t>4 检验</w:t>
      </w:r>
      <w:bookmarkEnd w:id="55"/>
      <w:bookmarkEnd w:id="56"/>
      <w:bookmarkEnd w:id="57"/>
      <w:bookmarkEnd w:id="58"/>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59" w:name="_Toc16330022"/>
      <w:bookmarkStart w:id="60" w:name="_Toc19850"/>
      <w:bookmarkStart w:id="61" w:name="_Toc24467"/>
      <w:bookmarkStart w:id="62" w:name="_Toc11217"/>
      <w:r>
        <w:rPr>
          <w:rFonts w:hint="eastAsia" w:ascii="黑体" w:hAnsi="黑体" w:eastAsia="黑体" w:cstheme="minorEastAsia"/>
          <w:b w:val="0"/>
          <w:sz w:val="28"/>
          <w:szCs w:val="28"/>
        </w:rPr>
        <w:t>5 权利担保</w:t>
      </w:r>
      <w:bookmarkEnd w:id="59"/>
      <w:bookmarkEnd w:id="60"/>
      <w:bookmarkEnd w:id="61"/>
      <w:bookmarkEnd w:id="62"/>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63" w:name="_Toc16330023"/>
      <w:bookmarkStart w:id="64" w:name="_Toc27500"/>
      <w:bookmarkStart w:id="65" w:name="_Toc14809"/>
      <w:bookmarkStart w:id="66" w:name="_Toc11759"/>
      <w:r>
        <w:rPr>
          <w:rFonts w:hint="eastAsia" w:ascii="黑体" w:hAnsi="黑体" w:eastAsia="黑体" w:cstheme="minorEastAsia"/>
          <w:b w:val="0"/>
          <w:sz w:val="28"/>
          <w:szCs w:val="28"/>
        </w:rPr>
        <w:t>6 交货</w:t>
      </w:r>
      <w:bookmarkEnd w:id="63"/>
      <w:bookmarkEnd w:id="64"/>
      <w:bookmarkEnd w:id="65"/>
      <w:bookmarkEnd w:id="66"/>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hint="eastAsia"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67" w:name="_Toc8024"/>
      <w:bookmarkStart w:id="68" w:name="_Toc16330024"/>
      <w:bookmarkStart w:id="69" w:name="_Toc25510"/>
      <w:bookmarkStart w:id="70" w:name="_Toc2984"/>
      <w:r>
        <w:rPr>
          <w:rFonts w:hint="eastAsia" w:ascii="黑体" w:hAnsi="黑体" w:eastAsia="黑体" w:cstheme="minorEastAsia"/>
          <w:b w:val="0"/>
          <w:sz w:val="28"/>
          <w:szCs w:val="28"/>
        </w:rPr>
        <w:t>7 安装、调试</w:t>
      </w:r>
      <w:bookmarkEnd w:id="67"/>
      <w:bookmarkEnd w:id="68"/>
      <w:bookmarkEnd w:id="69"/>
      <w:bookmarkEnd w:id="70"/>
    </w:p>
    <w:p>
      <w:pPr>
        <w:pStyle w:val="12"/>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71" w:name="_Toc14260"/>
      <w:bookmarkStart w:id="72" w:name="_Toc14098"/>
      <w:bookmarkStart w:id="73" w:name="_Toc6350"/>
      <w:bookmarkStart w:id="74" w:name="_Toc16330025"/>
      <w:r>
        <w:rPr>
          <w:rFonts w:hint="eastAsia" w:ascii="黑体" w:hAnsi="黑体" w:eastAsia="黑体" w:cstheme="minorEastAsia"/>
          <w:b w:val="0"/>
          <w:sz w:val="28"/>
          <w:szCs w:val="28"/>
        </w:rPr>
        <w:t>8 价款与支付</w:t>
      </w:r>
      <w:bookmarkEnd w:id="71"/>
      <w:bookmarkEnd w:id="72"/>
      <w:bookmarkEnd w:id="73"/>
      <w:bookmarkEnd w:id="74"/>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hint="eastAsia" w:ascii="仿宋_GB2312" w:hAnsi="黑体" w:eastAsia="仿宋_GB2312" w:cstheme="minorEastAsia"/>
          <w:i/>
          <w:sz w:val="24"/>
          <w:szCs w:val="24"/>
        </w:rPr>
      </w:pPr>
      <w:bookmarkStart w:id="75" w:name="_Toc14676804"/>
      <w:bookmarkStart w:id="76"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5"/>
      <w:bookmarkEnd w:id="76"/>
    </w:p>
    <w:p>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77" w:name="_Toc24085"/>
      <w:bookmarkStart w:id="78" w:name="_Toc6726"/>
      <w:bookmarkStart w:id="79" w:name="_Toc16330026"/>
      <w:bookmarkStart w:id="80" w:name="_Toc25708"/>
      <w:r>
        <w:rPr>
          <w:rFonts w:hint="eastAsia" w:ascii="黑体" w:hAnsi="黑体" w:eastAsia="黑体" w:cstheme="minorEastAsia"/>
          <w:b w:val="0"/>
          <w:sz w:val="28"/>
          <w:szCs w:val="28"/>
        </w:rPr>
        <w:t>9 质量保证及售后服务</w:t>
      </w:r>
      <w:bookmarkEnd w:id="77"/>
      <w:bookmarkEnd w:id="78"/>
      <w:bookmarkEnd w:id="79"/>
      <w:bookmarkEnd w:id="80"/>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81" w:name="_Toc12927"/>
      <w:bookmarkStart w:id="82" w:name="_Toc16330027"/>
      <w:bookmarkStart w:id="83" w:name="_Toc15570"/>
      <w:bookmarkStart w:id="84" w:name="_Toc10359"/>
      <w:r>
        <w:rPr>
          <w:rFonts w:hint="eastAsia" w:ascii="黑体" w:hAnsi="黑体" w:eastAsia="黑体" w:cstheme="minorEastAsia"/>
          <w:b w:val="0"/>
          <w:sz w:val="28"/>
          <w:szCs w:val="28"/>
        </w:rPr>
        <w:t>10法定责任</w:t>
      </w:r>
      <w:bookmarkEnd w:id="81"/>
      <w:bookmarkEnd w:id="82"/>
      <w:bookmarkEnd w:id="83"/>
      <w:bookmarkEnd w:id="84"/>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85" w:name="_Toc9708"/>
      <w:bookmarkStart w:id="86" w:name="_Toc30381"/>
      <w:bookmarkStart w:id="87" w:name="_Toc27314"/>
      <w:bookmarkStart w:id="88" w:name="_Toc16330028"/>
      <w:r>
        <w:rPr>
          <w:rFonts w:hint="eastAsia" w:ascii="黑体" w:hAnsi="黑体" w:eastAsia="黑体" w:cstheme="minorEastAsia"/>
          <w:b w:val="0"/>
          <w:sz w:val="28"/>
          <w:szCs w:val="28"/>
        </w:rPr>
        <w:t>11 违约责任</w:t>
      </w:r>
      <w:bookmarkEnd w:id="85"/>
      <w:bookmarkEnd w:id="86"/>
      <w:bookmarkEnd w:id="87"/>
      <w:bookmarkEnd w:id="88"/>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89" w:name="_Toc16330029"/>
      <w:bookmarkStart w:id="90" w:name="_Toc31554"/>
      <w:bookmarkStart w:id="91" w:name="_Toc1827"/>
      <w:bookmarkStart w:id="92" w:name="_Toc9172"/>
      <w:r>
        <w:rPr>
          <w:rFonts w:hint="eastAsia" w:ascii="黑体" w:hAnsi="黑体" w:eastAsia="黑体" w:cstheme="minorEastAsia"/>
          <w:b w:val="0"/>
          <w:sz w:val="28"/>
          <w:szCs w:val="28"/>
        </w:rPr>
        <w:t>12 合同的终止与解除</w:t>
      </w:r>
      <w:bookmarkEnd w:id="89"/>
      <w:bookmarkEnd w:id="90"/>
      <w:bookmarkEnd w:id="91"/>
      <w:bookmarkEnd w:id="92"/>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93" w:name="_Toc8620"/>
      <w:bookmarkStart w:id="94" w:name="_Toc16330030"/>
      <w:bookmarkStart w:id="95" w:name="_Toc31945"/>
      <w:bookmarkStart w:id="96" w:name="_Toc13671"/>
      <w:r>
        <w:rPr>
          <w:rFonts w:hint="eastAsia" w:ascii="黑体" w:hAnsi="黑体" w:eastAsia="黑体" w:cstheme="minorEastAsia"/>
          <w:b w:val="0"/>
          <w:sz w:val="28"/>
          <w:szCs w:val="28"/>
        </w:rPr>
        <w:t>13 不可抗力</w:t>
      </w:r>
      <w:bookmarkEnd w:id="93"/>
      <w:bookmarkEnd w:id="94"/>
      <w:bookmarkEnd w:id="95"/>
      <w:bookmarkEnd w:id="96"/>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97" w:name="_Toc31243"/>
      <w:bookmarkStart w:id="98" w:name="_Toc16330031"/>
      <w:bookmarkStart w:id="99" w:name="_Toc637"/>
      <w:bookmarkStart w:id="100" w:name="_Toc30389"/>
      <w:r>
        <w:rPr>
          <w:rFonts w:hint="eastAsia" w:ascii="黑体" w:hAnsi="黑体" w:eastAsia="黑体" w:cstheme="minorEastAsia"/>
          <w:b w:val="0"/>
          <w:sz w:val="28"/>
          <w:szCs w:val="28"/>
        </w:rPr>
        <w:t>14 通讯</w:t>
      </w:r>
      <w:bookmarkEnd w:id="97"/>
      <w:bookmarkEnd w:id="98"/>
      <w:bookmarkEnd w:id="99"/>
      <w:bookmarkEnd w:id="100"/>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312" w:beforeLines="100"/>
        <w:rPr>
          <w:rFonts w:hint="eastAsia" w:ascii="黑体" w:hAnsi="黑体" w:eastAsia="黑体" w:cstheme="minorEastAsia"/>
          <w:b w:val="0"/>
          <w:sz w:val="28"/>
          <w:szCs w:val="28"/>
        </w:rPr>
      </w:pPr>
      <w:bookmarkStart w:id="101" w:name="_Toc11290"/>
      <w:bookmarkStart w:id="102" w:name="_Toc9915"/>
      <w:bookmarkStart w:id="103" w:name="_Toc12984"/>
      <w:bookmarkStart w:id="104" w:name="_Toc16330032"/>
      <w:r>
        <w:rPr>
          <w:rFonts w:hint="eastAsia" w:ascii="黑体" w:hAnsi="黑体" w:eastAsia="黑体" w:cstheme="minorEastAsia"/>
          <w:b w:val="0"/>
          <w:sz w:val="28"/>
          <w:szCs w:val="28"/>
        </w:rPr>
        <w:t>15 适用法律及争议解决</w:t>
      </w:r>
      <w:bookmarkEnd w:id="101"/>
      <w:bookmarkEnd w:id="102"/>
      <w:bookmarkEnd w:id="103"/>
      <w:bookmarkEnd w:id="104"/>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105" w:name="_Toc23906"/>
      <w:bookmarkStart w:id="106" w:name="_Toc23765"/>
      <w:bookmarkStart w:id="107" w:name="_Toc16330033"/>
      <w:bookmarkStart w:id="108" w:name="_Toc18207"/>
      <w:r>
        <w:rPr>
          <w:rFonts w:hint="eastAsia" w:ascii="黑体" w:hAnsi="黑体" w:eastAsia="黑体" w:cstheme="minorEastAsia"/>
          <w:b w:val="0"/>
          <w:sz w:val="28"/>
          <w:szCs w:val="28"/>
        </w:rPr>
        <w:t>16 附件</w:t>
      </w:r>
      <w:bookmarkEnd w:id="105"/>
      <w:bookmarkEnd w:id="106"/>
      <w:bookmarkEnd w:id="107"/>
      <w:bookmarkEnd w:id="108"/>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109" w:name="_Toc16330034"/>
      <w:bookmarkStart w:id="110" w:name="_Toc31331"/>
      <w:bookmarkStart w:id="111" w:name="_Toc27202"/>
      <w:bookmarkStart w:id="112" w:name="_Toc17656"/>
      <w:r>
        <w:rPr>
          <w:rFonts w:hint="eastAsia" w:ascii="黑体" w:hAnsi="黑体" w:eastAsia="黑体" w:cstheme="minorEastAsia"/>
          <w:b w:val="0"/>
          <w:sz w:val="28"/>
          <w:szCs w:val="28"/>
        </w:rPr>
        <w:t>17 其他规定</w:t>
      </w:r>
      <w:bookmarkEnd w:id="109"/>
      <w:bookmarkEnd w:id="110"/>
      <w:bookmarkEnd w:id="111"/>
      <w:bookmarkEnd w:id="112"/>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eastAsia="仿宋_GB2312" w:hAnsiTheme="minorEastAsia" w:cstheme="minorEastAsia"/>
          <w:sz w:val="24"/>
          <w:szCs w:val="24"/>
        </w:rPr>
      </w:pPr>
      <w:bookmarkStart w:id="113" w:name="_Toc19077"/>
      <w:bookmarkStart w:id="114" w:name="_Toc16330035"/>
      <w:bookmarkStart w:id="115" w:name="_Toc17952"/>
      <w:bookmarkStart w:id="116"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3"/>
      <w:bookmarkEnd w:id="114"/>
      <w:bookmarkEnd w:id="115"/>
      <w:bookmarkEnd w:id="116"/>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hint="eastAsia"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hint="eastAsia" w:asciiTheme="minorEastAsia" w:hAnsiTheme="minorEastAsia" w:cstheme="minorEastAsia"/>
          <w:sz w:val="20"/>
          <w:szCs w:val="20"/>
        </w:rPr>
      </w:pPr>
      <w:r>
        <w:rPr>
          <w:rFonts w:hint="eastAsia"/>
        </w:rPr>
        <w:t xml:space="preserve">    </w:t>
      </w:r>
    </w:p>
    <w:p>
      <w:pPr>
        <w:spacing w:line="360" w:lineRule="auto"/>
        <w:rPr>
          <w:rFonts w:hint="eastAsia" w:ascii="宋体" w:hAnsi="宋体"/>
          <w:snapToGrid w:val="0"/>
          <w:kern w:val="0"/>
          <w:sz w:val="20"/>
          <w:szCs w:val="20"/>
          <w:lang w:eastAsia="zh-Hans"/>
        </w:rPr>
      </w:pPr>
    </w:p>
    <w:p>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hint="eastAsia" w:ascii="仿宋_GB2312" w:eastAsia="仿宋_GB2312"/>
          <w:sz w:val="24"/>
          <w:szCs w:val="24"/>
        </w:rPr>
      </w:pPr>
    </w:p>
    <w:p>
      <w:pPr>
        <w:pStyle w:val="4"/>
        <w:tabs>
          <w:tab w:val="right" w:leader="dot" w:pos="9061"/>
        </w:tabs>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rPr>
          <w:trHeight w:val="578" w:hRule="atLeast"/>
          <w:jc w:val="center"/>
        </w:trPr>
        <w:tc>
          <w:tcPr>
            <w:tcW w:w="989"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7"/>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rPr>
          <w:trHeight w:val="575" w:hRule="atLeast"/>
          <w:jc w:val="center"/>
        </w:trPr>
        <w:tc>
          <w:tcPr>
            <w:tcW w:w="989"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r>
      <w:tr>
        <w:trPr>
          <w:trHeight w:val="575" w:hRule="atLeast"/>
          <w:jc w:val="center"/>
        </w:trPr>
        <w:tc>
          <w:tcPr>
            <w:tcW w:w="989"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r>
      <w:tr>
        <w:trPr>
          <w:trHeight w:val="575" w:hRule="atLeast"/>
          <w:jc w:val="center"/>
        </w:trPr>
        <w:tc>
          <w:tcPr>
            <w:tcW w:w="989"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r>
      <w:tr>
        <w:trPr>
          <w:trHeight w:val="575" w:hRule="atLeast"/>
          <w:jc w:val="center"/>
        </w:trPr>
        <w:tc>
          <w:tcPr>
            <w:tcW w:w="989"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rPr>
          <w:rFonts w:hint="eastAsia" w:asciiTheme="minorEastAsia" w:hAnsiTheme="minorEastAsia" w:cstheme="minorEastAsia"/>
          <w:sz w:val="20"/>
          <w:szCs w:val="20"/>
        </w:rPr>
      </w:pPr>
      <w:bookmarkStart w:id="117" w:name="_Toc25120"/>
      <w:bookmarkStart w:id="118" w:name="_Toc3778"/>
      <w:bookmarkStart w:id="119" w:name="_Toc5379"/>
      <w:bookmarkStart w:id="120" w:name="_Toc16330037"/>
      <w:bookmarkStart w:id="121" w:name="_Toc24623"/>
      <w:r>
        <w:rPr>
          <w:rFonts w:hint="eastAsia" w:asciiTheme="minorEastAsia" w:hAnsiTheme="minorEastAsia" w:cstheme="minorEastAsia"/>
          <w:sz w:val="20"/>
          <w:szCs w:val="20"/>
        </w:rPr>
        <w:br w:type="page"/>
      </w:r>
    </w:p>
    <w:p>
      <w:pPr>
        <w:pStyle w:val="4"/>
        <w:tabs>
          <w:tab w:val="right" w:leader="dot" w:pos="9061"/>
        </w:tabs>
        <w:rPr>
          <w:rFonts w:hint="eastAsia" w:ascii="黑体" w:hAnsi="黑体" w:eastAsia="黑体" w:cstheme="minorEastAsia"/>
          <w:b w:val="0"/>
          <w:i/>
          <w:sz w:val="28"/>
          <w:szCs w:val="28"/>
        </w:rPr>
      </w:pPr>
      <w:r>
        <w:rPr>
          <w:rFonts w:hint="eastAsia" w:ascii="黑体" w:hAnsi="黑体" w:eastAsia="黑体" w:cstheme="minorEastAsia"/>
          <w:b w:val="0"/>
          <w:sz w:val="28"/>
          <w:szCs w:val="28"/>
        </w:rPr>
        <w:t xml:space="preserve">附件二 </w:t>
      </w:r>
      <w:bookmarkEnd w:id="117"/>
      <w:bookmarkEnd w:id="118"/>
      <w:bookmarkEnd w:id="119"/>
      <w:bookmarkEnd w:id="120"/>
      <w:bookmarkEnd w:id="121"/>
      <w:r>
        <w:rPr>
          <w:rFonts w:hint="eastAsia" w:ascii="黑体" w:hAnsi="黑体" w:eastAsia="黑体" w:cstheme="minorEastAsia"/>
          <w:b w:val="0"/>
          <w:sz w:val="28"/>
          <w:szCs w:val="28"/>
        </w:rPr>
        <w:t>技术协议书</w:t>
      </w:r>
    </w:p>
    <w:p>
      <w:pPr>
        <w:ind w:right="360"/>
        <w:rPr>
          <w:rFonts w:hint="eastAsia" w:asciiTheme="minorEastAsia" w:hAnsiTheme="minorEastAsia" w:cstheme="minorEastAsia"/>
          <w:sz w:val="20"/>
          <w:szCs w:val="20"/>
        </w:rPr>
      </w:pPr>
    </w:p>
    <w:p>
      <w:pPr>
        <w:jc w:val="right"/>
        <w:rPr>
          <w:rFonts w:hint="eastAsia" w:asciiTheme="minorEastAsia" w:hAnsiTheme="minorEastAsia" w:cstheme="minorEastAsia"/>
          <w:sz w:val="20"/>
          <w:szCs w:val="20"/>
        </w:rPr>
      </w:pPr>
    </w:p>
    <w:p>
      <w:pPr>
        <w:jc w:val="right"/>
        <w:rPr>
          <w:rFonts w:hint="eastAsia" w:asciiTheme="minorEastAsia" w:hAnsiTheme="minorEastAsia" w:cstheme="minorEastAsia"/>
          <w:sz w:val="20"/>
          <w:szCs w:val="20"/>
        </w:rPr>
      </w:pPr>
    </w:p>
    <w:p>
      <w:pPr>
        <w:jc w:val="right"/>
        <w:rPr>
          <w:rFonts w:hint="eastAsia" w:asciiTheme="minorEastAsia" w:hAnsiTheme="minorEastAsia" w:cstheme="minorEastAsia"/>
          <w:sz w:val="20"/>
          <w:szCs w:val="20"/>
        </w:rPr>
      </w:pPr>
      <w:r>
        <w:rPr>
          <w:rFonts w:hint="eastAsia" w:asciiTheme="minorEastAsia" w:hAnsiTheme="minorEastAsia" w:cstheme="minorEastAsia"/>
          <w:sz w:val="20"/>
          <w:szCs w:val="20"/>
        </w:rPr>
        <w:t xml:space="preserve">                                      </w:t>
      </w:r>
    </w:p>
    <w:p>
      <w:pPr>
        <w:jc w:val="right"/>
        <w:rPr>
          <w:rFonts w:hint="eastAsia" w:asciiTheme="minorEastAsia" w:hAnsiTheme="minorEastAsia" w:cstheme="minorEastAsia"/>
          <w:sz w:val="20"/>
          <w:szCs w:val="20"/>
        </w:rPr>
      </w:pPr>
    </w:p>
    <w:p>
      <w:pPr>
        <w:wordWrap w:val="0"/>
        <w:ind w:right="480"/>
        <w:rPr>
          <w:rFonts w:hint="eastAsia" w:asciiTheme="minorEastAsia" w:hAnsiTheme="minorEastAsia" w:cstheme="minorEastAsia"/>
          <w:sz w:val="20"/>
          <w:szCs w:val="20"/>
        </w:rPr>
      </w:pPr>
    </w:p>
    <w:p>
      <w:pPr>
        <w:jc w:val="right"/>
        <w:rPr>
          <w:rFonts w:hint="eastAsia" w:ascii="楷体_GB2312" w:hAnsi="宋体" w:eastAsia="楷体_GB2312"/>
          <w:sz w:val="24"/>
        </w:rPr>
      </w:pPr>
      <w:bookmarkStart w:id="122" w:name="_Toc14341849"/>
    </w:p>
    <w:p>
      <w:pPr>
        <w:ind w:right="480"/>
        <w:jc w:val="center"/>
        <w:rPr>
          <w:rFonts w:hint="eastAsia"/>
          <w:sz w:val="24"/>
          <w:szCs w:val="24"/>
        </w:rPr>
      </w:pPr>
      <w:r>
        <w:rPr>
          <w:rFonts w:hint="eastAsia" w:ascii="楷体_GB2312" w:hAnsi="宋体" w:eastAsia="楷体_GB2312"/>
          <w:sz w:val="24"/>
        </w:rPr>
        <w:t xml:space="preserve">                                    </w:t>
      </w:r>
    </w:p>
    <w:bookmarkEnd w:id="122"/>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right="30"/>
        <w:jc w:val="center"/>
        <w:outlineLvl w:val="0"/>
        <w:rPr>
          <w:rFonts w:hint="eastAsia"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3"/>
        <w:spacing w:before="8" w:after="156"/>
        <w:rPr>
          <w:rFonts w:hint="eastAsia" w:ascii="楷体" w:hAnsi="楷体" w:eastAsia="楷体" w:cs="楷体"/>
          <w:sz w:val="44"/>
          <w:szCs w:val="28"/>
        </w:rPr>
      </w:pPr>
    </w:p>
    <w:p>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乙方：</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3"/>
        <w:spacing w:before="9" w:after="156"/>
        <w:rPr>
          <w:rFonts w:hint="eastAsia" w:ascii="楷体" w:hAnsi="楷体" w:eastAsia="楷体" w:cs="楷体"/>
          <w:sz w:val="40"/>
          <w:szCs w:val="28"/>
        </w:rPr>
      </w:pPr>
    </w:p>
    <w:p>
      <w:pPr>
        <w:tabs>
          <w:tab w:val="left" w:pos="5457"/>
        </w:tabs>
        <w:spacing w:before="1"/>
        <w:ind w:left="117"/>
        <w:rPr>
          <w:rFonts w:hint="eastAsia"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3"/>
        <w:spacing w:after="156"/>
        <w:rPr>
          <w:rFonts w:hint="eastAsia" w:ascii="楷体" w:hAnsi="楷体" w:eastAsia="楷体" w:cs="楷体"/>
          <w:b/>
          <w:sz w:val="24"/>
          <w:szCs w:val="28"/>
        </w:rPr>
      </w:pPr>
    </w:p>
    <w:p>
      <w:pPr>
        <w:pStyle w:val="13"/>
        <w:spacing w:before="1" w:after="156"/>
        <w:rPr>
          <w:rFonts w:hint="eastAsia" w:ascii="楷体" w:hAnsi="楷体" w:eastAsia="楷体" w:cs="楷体"/>
          <w:b/>
          <w:sz w:val="24"/>
          <w:szCs w:val="28"/>
        </w:rPr>
      </w:pPr>
    </w:p>
    <w:p>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3"/>
        <w:spacing w:after="156"/>
        <w:rPr>
          <w:rFonts w:hint="eastAsia" w:ascii="楷体" w:hAnsi="楷体" w:eastAsia="楷体" w:cs="楷体"/>
          <w:b/>
          <w:sz w:val="24"/>
          <w:szCs w:val="28"/>
        </w:rPr>
      </w:pPr>
    </w:p>
    <w:p>
      <w:pPr>
        <w:pStyle w:val="13"/>
        <w:spacing w:before="4" w:after="156"/>
        <w:rPr>
          <w:rFonts w:hint="eastAsia" w:ascii="楷体" w:hAnsi="楷体" w:eastAsia="楷体" w:cs="楷体"/>
          <w:b/>
          <w:sz w:val="24"/>
          <w:szCs w:val="28"/>
        </w:rPr>
      </w:pPr>
    </w:p>
    <w:p>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hint="eastAsia" w:ascii="楷体" w:hAnsi="楷体" w:eastAsia="楷体" w:cs="楷体"/>
          <w:b/>
          <w:sz w:val="24"/>
          <w:szCs w:val="21"/>
        </w:rPr>
      </w:pPr>
    </w:p>
    <w:p>
      <w:pPr>
        <w:keepNext/>
        <w:keepLines/>
        <w:jc w:val="center"/>
        <w:outlineLvl w:val="0"/>
        <w:rPr>
          <w:rFonts w:ascii="Calibri" w:hAnsi="Calibri" w:eastAsia="宋体" w:cs="Times New Roman"/>
          <w:b/>
          <w:bCs/>
          <w:kern w:val="44"/>
          <w:sz w:val="36"/>
          <w:szCs w:val="44"/>
        </w:rPr>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2"/>
    </w:p>
    <w:p>
      <w:pPr>
        <w:keepNext/>
        <w:keepLines/>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18"/>
        <w:rPr>
          <w:rFonts w:ascii="Times New Roman" w:hAnsi="Times New Roman" w:eastAsia="宋体" w:cs="Times New Roman"/>
          <w:b/>
          <w:bCs/>
          <w:color w:val="000000"/>
          <w:sz w:val="24"/>
          <w:szCs w:val="2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3" w:name="_Toc353881012"/>
      <w:bookmarkStart w:id="124" w:name="_Toc639004"/>
      <w:bookmarkStart w:id="125" w:name="_Toc212369550"/>
      <w:bookmarkStart w:id="126"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3"/>
      <w:bookmarkEnd w:id="124"/>
      <w:bookmarkEnd w:id="125"/>
      <w:bookmarkEnd w:id="126"/>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rPr>
        <w:t>曲轴、连杆检测能力提升项目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rPr>
        <w:t>曲轴、连杆检测能力提升项目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FSCZB2025110090）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rPr>
          <w:trHeight w:val="411" w:hRule="atLeast"/>
        </w:trPr>
        <w:tc>
          <w:tcPr>
            <w:tcW w:w="1956" w:type="dxa"/>
          </w:tcPr>
          <w:p>
            <w:pPr>
              <w:pStyle w:val="130"/>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rPr>
          <w:trHeight w:val="502" w:hRule="atLeast"/>
        </w:trPr>
        <w:tc>
          <w:tcPr>
            <w:tcW w:w="1956" w:type="dxa"/>
          </w:tcPr>
          <w:p>
            <w:pPr>
              <w:pStyle w:val="130"/>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rPr>
          <w:trHeight w:val="376" w:hRule="atLeast"/>
        </w:trPr>
        <w:tc>
          <w:tcPr>
            <w:tcW w:w="1956" w:type="dxa"/>
          </w:tcPr>
          <w:p>
            <w:pPr>
              <w:pStyle w:val="130"/>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0"/>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rPr>
          <w:trHeight w:val="464" w:hRule="atLeast"/>
        </w:trPr>
        <w:tc>
          <w:tcPr>
            <w:tcW w:w="1956" w:type="dxa"/>
          </w:tcPr>
          <w:p>
            <w:pPr>
              <w:pStyle w:val="130"/>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0"/>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rPr>
          <w:trHeight w:val="492" w:hRule="atLeast"/>
        </w:trPr>
        <w:tc>
          <w:tcPr>
            <w:tcW w:w="1956" w:type="dxa"/>
          </w:tcPr>
          <w:p>
            <w:pPr>
              <w:pStyle w:val="130"/>
              <w:spacing w:before="114"/>
              <w:ind w:left="720"/>
              <w:rPr>
                <w:rFonts w:hint="eastAsia"/>
              </w:rPr>
            </w:pPr>
            <w:r>
              <w:t xml:space="preserve">品牌区分 </w:t>
            </w:r>
          </w:p>
        </w:tc>
        <w:tc>
          <w:tcPr>
            <w:tcW w:w="7500" w:type="dxa"/>
            <w:gridSpan w:val="6"/>
          </w:tcPr>
          <w:p>
            <w:pPr>
              <w:pStyle w:val="130"/>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rPr>
          <w:trHeight w:val="492" w:hRule="atLeast"/>
        </w:trPr>
        <w:tc>
          <w:tcPr>
            <w:tcW w:w="1956" w:type="dxa"/>
          </w:tcPr>
          <w:p>
            <w:pPr>
              <w:pStyle w:val="130"/>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0"/>
              <w:spacing w:before="15"/>
              <w:ind w:left="279"/>
              <w:rPr>
                <w:rFonts w:hint="eastAsia"/>
              </w:rPr>
            </w:pPr>
            <w:r>
              <w:rPr>
                <w:spacing w:val="-2"/>
              </w:rPr>
              <w:t>质量</w:t>
            </w:r>
            <w:r>
              <w:t xml:space="preserve"> </w:t>
            </w:r>
          </w:p>
          <w:p>
            <w:pPr>
              <w:pStyle w:val="130"/>
              <w:spacing w:before="30" w:line="277" w:lineRule="exact"/>
              <w:ind w:left="279"/>
              <w:rPr>
                <w:rFonts w:hint="eastAsia"/>
              </w:rPr>
            </w:pPr>
            <w:r>
              <w:rPr>
                <w:rFonts w:hint="eastAsia"/>
              </w:rPr>
              <w:t>体系</w:t>
            </w:r>
          </w:p>
        </w:tc>
        <w:tc>
          <w:tcPr>
            <w:tcW w:w="2820" w:type="dxa"/>
            <w:gridSpan w:val="2"/>
          </w:tcPr>
          <w:p>
            <w:pPr>
              <w:pStyle w:val="130"/>
              <w:spacing w:before="158"/>
              <w:jc w:val="center"/>
              <w:rPr>
                <w:rFonts w:hint="eastAsia"/>
                <w:sz w:val="24"/>
              </w:rPr>
            </w:pPr>
            <w:r>
              <w:rPr>
                <w:rFonts w:hint="eastAsia"/>
                <w:kern w:val="0"/>
                <w:szCs w:val="21"/>
                <w:lang w:bidi="ar"/>
              </w:rPr>
              <w:t>/</w:t>
            </w:r>
          </w:p>
        </w:tc>
      </w:tr>
      <w:tr>
        <w:trPr>
          <w:trHeight w:val="405" w:hRule="atLeast"/>
        </w:trPr>
        <w:tc>
          <w:tcPr>
            <w:tcW w:w="9456" w:type="dxa"/>
            <w:gridSpan w:val="7"/>
          </w:tcPr>
          <w:p>
            <w:pPr>
              <w:pStyle w:val="130"/>
              <w:spacing w:before="149"/>
              <w:ind w:left="3345" w:right="3223"/>
              <w:jc w:val="center"/>
              <w:rPr>
                <w:rFonts w:hint="eastAsia"/>
              </w:rPr>
            </w:pPr>
            <w:r>
              <w:rPr>
                <w:rFonts w:hint="eastAsia"/>
                <w:szCs w:val="21"/>
              </w:rPr>
              <w:t>单位概况</w:t>
            </w:r>
          </w:p>
        </w:tc>
      </w:tr>
      <w:tr>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8"/>
        <w:rPr>
          <w:rFonts w:ascii="Times New Roman" w:hAnsi="Times New Roman" w:eastAsia="宋体" w:cs="Times New Roman"/>
          <w:b/>
          <w:bCs/>
          <w:color w:val="000000"/>
          <w:sz w:val="24"/>
          <w:szCs w:val="24"/>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hint="eastAsia" w:ascii="宋体" w:hAnsi="宋体"/>
                <w:color w:val="000000"/>
                <w:sz w:val="24"/>
                <w:szCs w:val="24"/>
              </w:rPr>
            </w:pPr>
          </w:p>
        </w:tc>
      </w:tr>
      <w:tr>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hint="eastAsia" w:ascii="宋体" w:hAnsi="宋体"/>
                <w:color w:val="000000"/>
                <w:sz w:val="24"/>
                <w:szCs w:val="24"/>
              </w:rPr>
            </w:pPr>
          </w:p>
        </w:tc>
      </w:tr>
      <w:tr>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曲轴、连杆检测能力提升项目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曲轴、连杆检测能力提升项目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9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3"/>
        <w:gridCol w:w="3997"/>
        <w:gridCol w:w="3015"/>
        <w:gridCol w:w="1563"/>
        <w:gridCol w:w="1034"/>
        <w:gridCol w:w="2178"/>
        <w:gridCol w:w="1267"/>
      </w:tblGrid>
      <w:tr>
        <w:trPr>
          <w:trHeight w:val="253" w:hRule="atLeast"/>
        </w:trPr>
        <w:tc>
          <w:tcPr>
            <w:tcW w:w="863" w:type="dxa"/>
            <w:vAlign w:val="center"/>
          </w:tcPr>
          <w:p>
            <w:pPr>
              <w:spacing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3997" w:type="dxa"/>
            <w:vAlign w:val="center"/>
          </w:tcPr>
          <w:p>
            <w:pPr>
              <w:spacing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015" w:type="dxa"/>
            <w:vAlign w:val="center"/>
          </w:tcPr>
          <w:p>
            <w:pPr>
              <w:spacing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63" w:type="dxa"/>
            <w:vAlign w:val="center"/>
          </w:tcPr>
          <w:p>
            <w:pPr>
              <w:spacing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034" w:type="dxa"/>
            <w:vAlign w:val="center"/>
          </w:tcPr>
          <w:p>
            <w:pPr>
              <w:spacing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178" w:type="dxa"/>
            <w:tcBorders>
              <w:left w:val="single" w:color="000000" w:sz="4" w:space="0"/>
            </w:tcBorders>
            <w:vAlign w:val="center"/>
          </w:tcPr>
          <w:p>
            <w:pPr>
              <w:spacing w:line="182"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1267" w:type="dxa"/>
            <w:vAlign w:val="center"/>
          </w:tcPr>
          <w:p>
            <w:pPr>
              <w:spacing w:line="183" w:lineRule="auto"/>
              <w:ind w:firstLine="420" w:firstLineChars="200"/>
              <w:jc w:val="left"/>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rPr>
          <w:trHeight w:val="299" w:hRule="atLeast"/>
        </w:trPr>
        <w:tc>
          <w:tcPr>
            <w:tcW w:w="863" w:type="dxa"/>
            <w:vAlign w:val="center"/>
          </w:tcPr>
          <w:p>
            <w:pPr>
              <w:spacing w:line="221" w:lineRule="auto"/>
              <w:jc w:val="cente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序号</w:t>
            </w:r>
          </w:p>
        </w:tc>
        <w:tc>
          <w:tcPr>
            <w:tcW w:w="3997" w:type="dxa"/>
            <w:vAlign w:val="center"/>
          </w:tcPr>
          <w:p>
            <w:pPr>
              <w:spacing w:line="221" w:lineRule="auto"/>
              <w:jc w:val="cente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货物名称</w:t>
            </w:r>
          </w:p>
        </w:tc>
        <w:tc>
          <w:tcPr>
            <w:tcW w:w="30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56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03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178" w:type="dxa"/>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26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rPr>
          <w:trHeight w:val="309" w:hRule="atLeast"/>
        </w:trPr>
        <w:tc>
          <w:tcPr>
            <w:tcW w:w="863" w:type="dxa"/>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3997"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pPr>
              <w:widowControl/>
              <w:jc w:val="center"/>
              <w:textAlignment w:val="center"/>
              <w:rPr>
                <w:rFonts w:hint="eastAsia" w:ascii="宋体" w:hAnsi="宋体" w:eastAsia="宋体" w:cs="宋体"/>
                <w:sz w:val="20"/>
                <w:szCs w:val="20"/>
                <w:highlight w:val="yellow"/>
              </w:rPr>
            </w:pPr>
          </w:p>
        </w:tc>
        <w:tc>
          <w:tcPr>
            <w:tcW w:w="1034" w:type="dxa"/>
            <w:vAlign w:val="center"/>
          </w:tcPr>
          <w:p>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widowControl/>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rPr>
          <w:trHeight w:val="309" w:hRule="atLeast"/>
        </w:trPr>
        <w:tc>
          <w:tcPr>
            <w:tcW w:w="863" w:type="dxa"/>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w:t>
            </w:r>
          </w:p>
        </w:tc>
        <w:tc>
          <w:tcPr>
            <w:tcW w:w="3997"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pPr>
              <w:widowControl/>
              <w:jc w:val="center"/>
              <w:textAlignment w:val="center"/>
              <w:rPr>
                <w:rFonts w:hint="eastAsia" w:ascii="宋体" w:hAnsi="宋体" w:eastAsia="宋体" w:cs="宋体"/>
                <w:sz w:val="20"/>
                <w:szCs w:val="20"/>
                <w:highlight w:val="yellow"/>
              </w:rPr>
            </w:pPr>
          </w:p>
        </w:tc>
        <w:tc>
          <w:tcPr>
            <w:tcW w:w="1034" w:type="dxa"/>
            <w:vAlign w:val="center"/>
          </w:tcPr>
          <w:p>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widowControl/>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rPr>
          <w:trHeight w:val="309" w:hRule="atLeast"/>
        </w:trPr>
        <w:tc>
          <w:tcPr>
            <w:tcW w:w="863" w:type="dxa"/>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w:t>
            </w:r>
          </w:p>
        </w:tc>
        <w:tc>
          <w:tcPr>
            <w:tcW w:w="3997"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pPr>
              <w:widowControl/>
              <w:jc w:val="center"/>
              <w:textAlignment w:val="center"/>
              <w:rPr>
                <w:rFonts w:hint="eastAsia" w:ascii="宋体" w:hAnsi="宋体" w:eastAsia="宋体" w:cs="宋体"/>
                <w:sz w:val="20"/>
                <w:szCs w:val="20"/>
                <w:highlight w:val="yellow"/>
              </w:rPr>
            </w:pPr>
          </w:p>
        </w:tc>
        <w:tc>
          <w:tcPr>
            <w:tcW w:w="1034" w:type="dxa"/>
            <w:vAlign w:val="center"/>
          </w:tcPr>
          <w:p>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widowControl/>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rPr>
          <w:trHeight w:val="309" w:hRule="atLeast"/>
        </w:trPr>
        <w:tc>
          <w:tcPr>
            <w:tcW w:w="863" w:type="dxa"/>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4</w:t>
            </w:r>
          </w:p>
        </w:tc>
        <w:tc>
          <w:tcPr>
            <w:tcW w:w="3997"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pPr>
              <w:widowControl/>
              <w:jc w:val="center"/>
              <w:textAlignment w:val="center"/>
              <w:rPr>
                <w:rFonts w:hint="eastAsia" w:ascii="宋体" w:hAnsi="宋体" w:eastAsia="宋体" w:cs="宋体"/>
                <w:sz w:val="20"/>
                <w:szCs w:val="20"/>
                <w:highlight w:val="yellow"/>
              </w:rPr>
            </w:pPr>
          </w:p>
        </w:tc>
        <w:tc>
          <w:tcPr>
            <w:tcW w:w="1034" w:type="dxa"/>
            <w:vAlign w:val="center"/>
          </w:tcPr>
          <w:p>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widowControl/>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rPr>
          <w:trHeight w:val="309" w:hRule="atLeast"/>
        </w:trPr>
        <w:tc>
          <w:tcPr>
            <w:tcW w:w="863"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pPr>
              <w:widowControl/>
              <w:jc w:val="center"/>
              <w:textAlignment w:val="center"/>
              <w:rPr>
                <w:rFonts w:hint="eastAsia" w:ascii="宋体" w:hAnsi="宋体" w:eastAsia="宋体" w:cs="宋体"/>
                <w:sz w:val="20"/>
                <w:szCs w:val="20"/>
                <w:highlight w:val="yellow"/>
              </w:rPr>
            </w:pPr>
          </w:p>
        </w:tc>
        <w:tc>
          <w:tcPr>
            <w:tcW w:w="1034" w:type="dxa"/>
            <w:vAlign w:val="center"/>
          </w:tcPr>
          <w:p>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widowControl/>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rPr>
          <w:trHeight w:val="309" w:hRule="atLeast"/>
        </w:trPr>
        <w:tc>
          <w:tcPr>
            <w:tcW w:w="863"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pPr>
              <w:widowControl/>
              <w:jc w:val="center"/>
              <w:textAlignment w:val="center"/>
              <w:rPr>
                <w:rFonts w:hint="eastAsia" w:ascii="宋体" w:hAnsi="宋体" w:eastAsia="宋体" w:cs="宋体"/>
                <w:sz w:val="20"/>
                <w:szCs w:val="20"/>
                <w:highlight w:val="yellow"/>
              </w:rPr>
            </w:pPr>
          </w:p>
        </w:tc>
        <w:tc>
          <w:tcPr>
            <w:tcW w:w="1034" w:type="dxa"/>
            <w:vAlign w:val="center"/>
          </w:tcPr>
          <w:p>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widowControl/>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rPr>
          <w:trHeight w:val="309" w:hRule="atLeast"/>
        </w:trPr>
        <w:tc>
          <w:tcPr>
            <w:tcW w:w="863"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pPr>
              <w:widowControl/>
              <w:jc w:val="center"/>
              <w:textAlignment w:val="center"/>
              <w:rPr>
                <w:rFonts w:hint="eastAsia" w:ascii="宋体" w:hAnsi="宋体" w:eastAsia="宋体" w:cs="宋体"/>
                <w:sz w:val="20"/>
                <w:szCs w:val="20"/>
                <w:highlight w:val="yellow"/>
              </w:rPr>
            </w:pPr>
          </w:p>
        </w:tc>
        <w:tc>
          <w:tcPr>
            <w:tcW w:w="1034" w:type="dxa"/>
            <w:vAlign w:val="center"/>
          </w:tcPr>
          <w:p>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widowControl/>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rPr>
          <w:trHeight w:val="309" w:hRule="atLeast"/>
        </w:trPr>
        <w:tc>
          <w:tcPr>
            <w:tcW w:w="863"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pPr>
              <w:widowControl/>
              <w:jc w:val="center"/>
              <w:textAlignment w:val="center"/>
              <w:rPr>
                <w:rFonts w:hint="eastAsia" w:ascii="宋体" w:hAnsi="宋体" w:eastAsia="宋体" w:cs="宋体"/>
                <w:sz w:val="20"/>
                <w:szCs w:val="20"/>
                <w:highlight w:val="yellow"/>
              </w:rPr>
            </w:pPr>
          </w:p>
        </w:tc>
        <w:tc>
          <w:tcPr>
            <w:tcW w:w="1034" w:type="dxa"/>
            <w:vAlign w:val="center"/>
          </w:tcPr>
          <w:p>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widowControl/>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rPr>
          <w:trHeight w:val="309" w:hRule="atLeast"/>
        </w:trPr>
        <w:tc>
          <w:tcPr>
            <w:tcW w:w="863"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pPr>
              <w:widowControl/>
              <w:jc w:val="center"/>
              <w:textAlignment w:val="center"/>
              <w:rPr>
                <w:rFonts w:hint="eastAsia" w:ascii="宋体" w:hAnsi="宋体" w:eastAsia="宋体" w:cs="宋体"/>
                <w:sz w:val="20"/>
                <w:szCs w:val="20"/>
                <w:highlight w:val="yellow"/>
              </w:rPr>
            </w:pPr>
          </w:p>
        </w:tc>
        <w:tc>
          <w:tcPr>
            <w:tcW w:w="1034" w:type="dxa"/>
            <w:vAlign w:val="center"/>
          </w:tcPr>
          <w:p>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widowControl/>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rPr>
          <w:trHeight w:val="309" w:hRule="atLeast"/>
        </w:trPr>
        <w:tc>
          <w:tcPr>
            <w:tcW w:w="863"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pPr>
              <w:widowControl/>
              <w:jc w:val="center"/>
              <w:textAlignment w:val="center"/>
              <w:rPr>
                <w:rFonts w:hint="eastAsia" w:ascii="宋体" w:hAnsi="宋体" w:eastAsia="宋体" w:cs="宋体"/>
                <w:sz w:val="20"/>
                <w:szCs w:val="20"/>
                <w:highlight w:val="yellow"/>
              </w:rPr>
            </w:pPr>
          </w:p>
        </w:tc>
        <w:tc>
          <w:tcPr>
            <w:tcW w:w="1034" w:type="dxa"/>
            <w:vAlign w:val="center"/>
          </w:tcPr>
          <w:p>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widowControl/>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rPr>
          <w:trHeight w:val="309" w:hRule="atLeast"/>
        </w:trPr>
        <w:tc>
          <w:tcPr>
            <w:tcW w:w="863"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pPr>
              <w:widowControl/>
              <w:jc w:val="center"/>
              <w:textAlignment w:val="center"/>
              <w:rPr>
                <w:rFonts w:hint="eastAsia" w:ascii="宋体" w:hAnsi="宋体" w:eastAsia="宋体" w:cs="宋体"/>
                <w:sz w:val="20"/>
                <w:szCs w:val="20"/>
                <w:highlight w:val="yellow"/>
              </w:rPr>
            </w:pPr>
          </w:p>
        </w:tc>
        <w:tc>
          <w:tcPr>
            <w:tcW w:w="1034" w:type="dxa"/>
            <w:vAlign w:val="center"/>
          </w:tcPr>
          <w:p>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widowControl/>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rPr>
          <w:trHeight w:val="309" w:hRule="atLeast"/>
        </w:trPr>
        <w:tc>
          <w:tcPr>
            <w:tcW w:w="863"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pPr>
              <w:widowControl/>
              <w:jc w:val="center"/>
              <w:textAlignment w:val="center"/>
              <w:rPr>
                <w:rFonts w:hint="eastAsia" w:ascii="宋体" w:hAnsi="宋体" w:eastAsia="宋体" w:cs="宋体"/>
                <w:sz w:val="20"/>
                <w:szCs w:val="20"/>
                <w:highlight w:val="yellow"/>
              </w:rPr>
            </w:pPr>
          </w:p>
        </w:tc>
        <w:tc>
          <w:tcPr>
            <w:tcW w:w="1034" w:type="dxa"/>
            <w:vAlign w:val="center"/>
          </w:tcPr>
          <w:p>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widowControl/>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rPr>
          <w:trHeight w:val="309" w:hRule="atLeast"/>
        </w:trPr>
        <w:tc>
          <w:tcPr>
            <w:tcW w:w="863"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pPr>
              <w:widowControl/>
              <w:jc w:val="center"/>
              <w:textAlignment w:val="center"/>
              <w:rPr>
                <w:rFonts w:hint="eastAsia" w:ascii="宋体" w:hAnsi="宋体" w:eastAsia="宋体" w:cs="宋体"/>
                <w:sz w:val="20"/>
                <w:szCs w:val="20"/>
                <w:highlight w:val="yellow"/>
              </w:rPr>
            </w:pPr>
          </w:p>
        </w:tc>
        <w:tc>
          <w:tcPr>
            <w:tcW w:w="1034" w:type="dxa"/>
            <w:vAlign w:val="center"/>
          </w:tcPr>
          <w:p>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widowControl/>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rPr>
          <w:trHeight w:val="309" w:hRule="atLeast"/>
        </w:trPr>
        <w:tc>
          <w:tcPr>
            <w:tcW w:w="863"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pPr>
              <w:widowControl/>
              <w:jc w:val="center"/>
              <w:textAlignment w:val="center"/>
              <w:rPr>
                <w:rFonts w:hint="eastAsia" w:ascii="宋体" w:hAnsi="宋体" w:eastAsia="宋体" w:cs="宋体"/>
                <w:sz w:val="20"/>
                <w:szCs w:val="20"/>
                <w:highlight w:val="yellow"/>
              </w:rPr>
            </w:pPr>
          </w:p>
        </w:tc>
        <w:tc>
          <w:tcPr>
            <w:tcW w:w="1034" w:type="dxa"/>
            <w:vAlign w:val="center"/>
          </w:tcPr>
          <w:p>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widowControl/>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rPr>
          <w:trHeight w:val="309" w:hRule="atLeast"/>
        </w:trPr>
        <w:tc>
          <w:tcPr>
            <w:tcW w:w="863"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pPr>
              <w:widowControl/>
              <w:jc w:val="center"/>
              <w:textAlignment w:val="center"/>
              <w:rPr>
                <w:rFonts w:hint="eastAsia" w:ascii="宋体" w:hAnsi="宋体" w:eastAsia="宋体" w:cs="宋体"/>
                <w:sz w:val="20"/>
                <w:szCs w:val="20"/>
                <w:highlight w:val="yellow"/>
              </w:rPr>
            </w:pPr>
          </w:p>
        </w:tc>
        <w:tc>
          <w:tcPr>
            <w:tcW w:w="1034" w:type="dxa"/>
            <w:vAlign w:val="center"/>
          </w:tcPr>
          <w:p>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widowControl/>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rPr>
          <w:trHeight w:val="309" w:hRule="atLeast"/>
        </w:trPr>
        <w:tc>
          <w:tcPr>
            <w:tcW w:w="863"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pPr>
              <w:widowControl/>
              <w:jc w:val="center"/>
              <w:textAlignment w:val="center"/>
              <w:rPr>
                <w:rFonts w:hint="eastAsia" w:ascii="宋体" w:hAnsi="宋体" w:eastAsia="宋体" w:cs="宋体"/>
                <w:sz w:val="20"/>
                <w:szCs w:val="20"/>
                <w:highlight w:val="yellow"/>
              </w:rPr>
            </w:pPr>
          </w:p>
        </w:tc>
        <w:tc>
          <w:tcPr>
            <w:tcW w:w="1563" w:type="dxa"/>
            <w:vAlign w:val="center"/>
          </w:tcPr>
          <w:p>
            <w:pPr>
              <w:widowControl/>
              <w:jc w:val="center"/>
              <w:textAlignment w:val="center"/>
              <w:rPr>
                <w:rFonts w:hint="eastAsia" w:ascii="宋体" w:hAnsi="宋体" w:eastAsia="宋体" w:cs="宋体"/>
                <w:sz w:val="20"/>
                <w:szCs w:val="20"/>
                <w:highlight w:val="yellow"/>
              </w:rPr>
            </w:pPr>
          </w:p>
        </w:tc>
        <w:tc>
          <w:tcPr>
            <w:tcW w:w="1034" w:type="dxa"/>
            <w:vAlign w:val="center"/>
          </w:tcPr>
          <w:p>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widowControl/>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rPr>
          <w:trHeight w:val="315" w:hRule="atLeast"/>
        </w:trPr>
        <w:tc>
          <w:tcPr>
            <w:tcW w:w="863"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pPr>
              <w:widowControl/>
              <w:jc w:val="center"/>
              <w:textAlignment w:val="center"/>
              <w:rPr>
                <w:rFonts w:hint="eastAsia" w:ascii="宋体" w:hAnsi="宋体" w:eastAsia="宋体" w:cs="宋体"/>
                <w:sz w:val="20"/>
                <w:szCs w:val="20"/>
                <w:highlight w:val="yellow"/>
              </w:rPr>
            </w:pPr>
          </w:p>
        </w:tc>
        <w:tc>
          <w:tcPr>
            <w:tcW w:w="1563" w:type="dxa"/>
            <w:vAlign w:val="center"/>
          </w:tcPr>
          <w:p>
            <w:pPr>
              <w:widowControl/>
              <w:jc w:val="center"/>
              <w:textAlignment w:val="center"/>
              <w:rPr>
                <w:rFonts w:hint="eastAsia" w:ascii="宋体" w:hAnsi="宋体" w:eastAsia="宋体" w:cs="宋体"/>
                <w:sz w:val="20"/>
                <w:szCs w:val="20"/>
                <w:highlight w:val="yellow"/>
              </w:rPr>
            </w:pPr>
          </w:p>
        </w:tc>
        <w:tc>
          <w:tcPr>
            <w:tcW w:w="1034" w:type="dxa"/>
            <w:vAlign w:val="center"/>
          </w:tcPr>
          <w:p>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widowControl/>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bl>
    <w:p>
      <w:pPr>
        <w:spacing w:before="78" w:line="219" w:lineRule="auto"/>
        <w:ind w:left="431"/>
        <w:rPr>
          <w:rFonts w:hint="eastAsia" w:ascii="宋体" w:hAnsi="宋体" w:eastAsia="宋体" w:cs="宋体"/>
          <w:spacing w:val="-8"/>
          <w:szCs w:val="21"/>
        </w:rPr>
      </w:pPr>
    </w:p>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105" w:lineRule="exact"/>
        <w:rPr>
          <w:rFonts w:hint="eastAsia"/>
        </w:rPr>
      </w:pPr>
    </w:p>
    <w:p>
      <w:pPr>
        <w:rPr>
          <w:rFonts w:hint="eastAsia"/>
        </w:rPr>
        <w:sectPr>
          <w:footerReference r:id="rId26" w:type="default"/>
          <w:pgSz w:w="16841" w:h="11907" w:orient="landscape"/>
          <w:pgMar w:top="400" w:right="1387" w:bottom="1168" w:left="1473" w:header="0" w:footer="990" w:gutter="0"/>
          <w:cols w:equalWidth="0" w:num="1">
            <w:col w:w="13980"/>
          </w:cols>
        </w:sectPr>
      </w:pP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2022年1月1日至今同类项目业绩一览表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曲轴、连杆检测能力提升项目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22</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rPr>
        <w:t>曲轴、连杆检测能力提升项目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曲轴、连杆检测能力提升项目</w:t>
      </w:r>
      <w:r>
        <w:rPr>
          <w:rFonts w:ascii="宋体" w:hAnsi="宋体" w:eastAsia="宋体" w:cs="Times New Roman"/>
          <w:color w:val="000000"/>
          <w:sz w:val="24"/>
          <w:szCs w:val="24"/>
        </w:rPr>
        <w:t xml:space="preserve">                                                        </w:t>
      </w:r>
    </w:p>
    <w:tbl>
      <w:tblPr>
        <w:tblStyle w:val="3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u w:val="single"/>
              </w:rPr>
              <w:t>曲轴、连杆检测能力提升项目</w:t>
            </w:r>
          </w:p>
        </w:tc>
        <w:tc>
          <w:tcPr>
            <w:tcW w:w="848"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18"/>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8"/>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spacing w:after="0" w:line="240" w:lineRule="auto"/>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447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4"/>
        <w:gridCol w:w="4421"/>
        <w:gridCol w:w="2210"/>
        <w:gridCol w:w="790"/>
        <w:gridCol w:w="929"/>
        <w:gridCol w:w="1147"/>
        <w:gridCol w:w="1428"/>
        <w:gridCol w:w="1783"/>
        <w:gridCol w:w="1192"/>
      </w:tblGrid>
      <w:tr>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1</w:t>
            </w:r>
          </w:p>
        </w:tc>
        <w:tc>
          <w:tcPr>
            <w:tcW w:w="442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2</w:t>
            </w:r>
          </w:p>
        </w:tc>
        <w:tc>
          <w:tcPr>
            <w:tcW w:w="22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3</w:t>
            </w:r>
          </w:p>
        </w:tc>
        <w:tc>
          <w:tcPr>
            <w:tcW w:w="79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4</w:t>
            </w:r>
          </w:p>
        </w:tc>
        <w:tc>
          <w:tcPr>
            <w:tcW w:w="92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5</w:t>
            </w:r>
          </w:p>
        </w:tc>
        <w:tc>
          <w:tcPr>
            <w:tcW w:w="114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6</w:t>
            </w:r>
          </w:p>
        </w:tc>
        <w:tc>
          <w:tcPr>
            <w:tcW w:w="1428"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7</w:t>
            </w:r>
          </w:p>
        </w:tc>
        <w:tc>
          <w:tcPr>
            <w:tcW w:w="1783" w:type="dxa"/>
            <w:tcBorders>
              <w:top w:val="single" w:color="000000" w:sz="2" w:space="0"/>
              <w:left w:val="nil"/>
              <w:bottom w:val="single" w:color="000000" w:sz="2" w:space="0"/>
              <w:right w:val="single" w:color="000000" w:sz="2" w:space="0"/>
            </w:tcBorders>
            <w:vAlign w:val="center"/>
          </w:tcPr>
          <w:p>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8</w:t>
            </w:r>
          </w:p>
        </w:tc>
        <w:tc>
          <w:tcPr>
            <w:tcW w:w="1192"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9</w:t>
            </w:r>
          </w:p>
        </w:tc>
      </w:tr>
      <w:tr>
        <w:trPr>
          <w:trHeight w:val="6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序号</w:t>
            </w:r>
          </w:p>
        </w:tc>
        <w:tc>
          <w:tcPr>
            <w:tcW w:w="442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货物名称</w:t>
            </w:r>
          </w:p>
        </w:tc>
        <w:tc>
          <w:tcPr>
            <w:tcW w:w="22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型号和规格</w:t>
            </w:r>
          </w:p>
        </w:tc>
        <w:tc>
          <w:tcPr>
            <w:tcW w:w="79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b/>
                <w:bCs/>
                <w:spacing w:val="-2"/>
                <w:kern w:val="0"/>
                <w:sz w:val="20"/>
                <w:szCs w:val="20"/>
              </w:rPr>
            </w:pPr>
            <w:r>
              <w:rPr>
                <w:rFonts w:hint="eastAsia" w:ascii="宋体" w:hAnsi="宋体" w:eastAsia="宋体" w:cs="宋体"/>
                <w:b/>
                <w:bCs/>
                <w:color w:val="000000"/>
                <w:kern w:val="0"/>
                <w:sz w:val="20"/>
                <w:szCs w:val="20"/>
                <w:lang w:bidi="ar"/>
              </w:rPr>
              <w:t>单位</w:t>
            </w:r>
          </w:p>
        </w:tc>
        <w:tc>
          <w:tcPr>
            <w:tcW w:w="92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数量</w:t>
            </w:r>
          </w:p>
        </w:tc>
        <w:tc>
          <w:tcPr>
            <w:tcW w:w="114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原产地和制造商名称</w:t>
            </w:r>
          </w:p>
        </w:tc>
        <w:tc>
          <w:tcPr>
            <w:tcW w:w="1428"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单价（不含税）</w:t>
            </w:r>
          </w:p>
        </w:tc>
        <w:tc>
          <w:tcPr>
            <w:tcW w:w="1783" w:type="dxa"/>
            <w:tcBorders>
              <w:top w:val="single" w:color="000000" w:sz="2" w:space="0"/>
              <w:left w:val="nil"/>
              <w:bottom w:val="single" w:color="000000" w:sz="2" w:space="0"/>
              <w:right w:val="single" w:color="000000" w:sz="2" w:space="0"/>
            </w:tcBorders>
            <w:vAlign w:val="center"/>
          </w:tcPr>
          <w:p>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总价[5×7]（不含税）</w:t>
            </w:r>
          </w:p>
        </w:tc>
        <w:tc>
          <w:tcPr>
            <w:tcW w:w="1192"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备  注</w:t>
            </w:r>
          </w:p>
        </w:tc>
      </w:tr>
      <w:tr>
        <w:trPr>
          <w:trHeight w:val="324"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442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hint="eastAsia" w:ascii="宋体" w:hAnsi="宋体" w:eastAsia="宋体" w:cs="宋体"/>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widowControl/>
              <w:jc w:val="center"/>
              <w:textAlignment w:val="center"/>
              <w:rPr>
                <w:rFonts w:hint="eastAsia" w:ascii="宋体" w:hAnsi="宋体" w:eastAsia="宋体" w:cs="宋体"/>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kern w:val="0"/>
                <w:sz w:val="20"/>
                <w:szCs w:val="20"/>
              </w:rPr>
            </w:pPr>
          </w:p>
        </w:tc>
      </w:tr>
      <w:tr>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w:t>
            </w:r>
          </w:p>
        </w:tc>
        <w:tc>
          <w:tcPr>
            <w:tcW w:w="442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92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hint="eastAsia" w:ascii="宋体" w:hAnsi="宋体" w:eastAsia="宋体" w:cs="宋体"/>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widowControl/>
              <w:jc w:val="center"/>
              <w:textAlignment w:val="center"/>
              <w:rPr>
                <w:rFonts w:hint="eastAsia" w:ascii="宋体" w:hAnsi="宋体" w:eastAsia="宋体" w:cs="宋体"/>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kern w:val="0"/>
                <w:sz w:val="20"/>
                <w:szCs w:val="20"/>
              </w:rPr>
            </w:pPr>
          </w:p>
        </w:tc>
      </w:tr>
      <w:tr>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w:t>
            </w:r>
          </w:p>
        </w:tc>
        <w:tc>
          <w:tcPr>
            <w:tcW w:w="442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92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hint="eastAsia" w:ascii="宋体" w:hAnsi="宋体" w:eastAsia="宋体" w:cs="宋体"/>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widowControl/>
              <w:jc w:val="center"/>
              <w:textAlignment w:val="center"/>
              <w:rPr>
                <w:rFonts w:hint="eastAsia" w:ascii="宋体" w:hAnsi="宋体" w:eastAsia="宋体" w:cs="宋体"/>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kern w:val="0"/>
                <w:sz w:val="20"/>
                <w:szCs w:val="20"/>
              </w:rPr>
            </w:pPr>
          </w:p>
        </w:tc>
      </w:tr>
      <w:tr>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4</w:t>
            </w:r>
          </w:p>
        </w:tc>
        <w:tc>
          <w:tcPr>
            <w:tcW w:w="442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hint="eastAsia" w:ascii="宋体" w:hAnsi="宋体" w:eastAsia="宋体" w:cs="宋体"/>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widowControl/>
              <w:jc w:val="center"/>
              <w:textAlignment w:val="center"/>
              <w:rPr>
                <w:rFonts w:hint="eastAsia" w:ascii="宋体" w:hAnsi="宋体" w:eastAsia="宋体" w:cs="宋体"/>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kern w:val="0"/>
                <w:sz w:val="20"/>
                <w:szCs w:val="20"/>
              </w:rPr>
            </w:pPr>
          </w:p>
        </w:tc>
      </w:tr>
      <w:tr>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5</w:t>
            </w:r>
          </w:p>
        </w:tc>
        <w:tc>
          <w:tcPr>
            <w:tcW w:w="442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hint="eastAsia"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sz w:val="20"/>
                <w:szCs w:val="20"/>
              </w:rPr>
            </w:pPr>
          </w:p>
        </w:tc>
      </w:tr>
      <w:tr>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6</w:t>
            </w:r>
          </w:p>
        </w:tc>
        <w:tc>
          <w:tcPr>
            <w:tcW w:w="442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hint="eastAsia"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sz w:val="20"/>
                <w:szCs w:val="20"/>
              </w:rPr>
            </w:pPr>
          </w:p>
        </w:tc>
      </w:tr>
      <w:tr>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7</w:t>
            </w:r>
          </w:p>
        </w:tc>
        <w:tc>
          <w:tcPr>
            <w:tcW w:w="442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hint="eastAsia"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sz w:val="20"/>
                <w:szCs w:val="20"/>
              </w:rPr>
            </w:pPr>
          </w:p>
        </w:tc>
      </w:tr>
      <w:tr>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8</w:t>
            </w:r>
          </w:p>
        </w:tc>
        <w:tc>
          <w:tcPr>
            <w:tcW w:w="442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hint="eastAsia"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sz w:val="20"/>
                <w:szCs w:val="20"/>
              </w:rPr>
            </w:pPr>
          </w:p>
        </w:tc>
      </w:tr>
      <w:tr>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9</w:t>
            </w:r>
          </w:p>
        </w:tc>
        <w:tc>
          <w:tcPr>
            <w:tcW w:w="442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hint="eastAsia"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sz w:val="20"/>
                <w:szCs w:val="20"/>
              </w:rPr>
            </w:pPr>
          </w:p>
        </w:tc>
      </w:tr>
      <w:tr>
        <w:trPr>
          <w:trHeight w:val="309"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442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hint="eastAsia"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sz w:val="20"/>
                <w:szCs w:val="20"/>
              </w:rPr>
            </w:pPr>
          </w:p>
        </w:tc>
      </w:tr>
      <w:tr>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442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hint="eastAsia"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pPr>
              <w:widowControl/>
              <w:jc w:val="center"/>
              <w:textAlignment w:val="center"/>
              <w:rPr>
                <w:rFonts w:hint="eastAsia"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sz w:val="20"/>
                <w:szCs w:val="20"/>
              </w:rPr>
            </w:pPr>
          </w:p>
        </w:tc>
      </w:tr>
      <w:tr>
        <w:trPr>
          <w:trHeight w:val="398"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color w:val="000000"/>
                <w:kern w:val="0"/>
                <w:sz w:val="20"/>
                <w:szCs w:val="20"/>
                <w:lang w:bidi="ar"/>
              </w:rPr>
            </w:pPr>
          </w:p>
        </w:tc>
        <w:tc>
          <w:tcPr>
            <w:tcW w:w="9497" w:type="dxa"/>
            <w:gridSpan w:val="5"/>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b/>
                <w:bCs/>
                <w:color w:val="000000"/>
                <w:kern w:val="0"/>
                <w:sz w:val="20"/>
                <w:szCs w:val="20"/>
                <w:lang w:bidi="ar"/>
              </w:rPr>
              <w:t>总</w:t>
            </w:r>
            <w:r>
              <w:rPr>
                <w:rStyle w:val="136"/>
                <w:rFonts w:hint="eastAsia" w:ascii="宋体" w:hAnsi="宋体" w:eastAsia="宋体" w:cs="宋体"/>
                <w:b/>
                <w:bCs/>
                <w:lang w:bidi="ar"/>
              </w:rPr>
              <w:t xml:space="preserve">价合计列入价格汇总表 </w:t>
            </w:r>
            <w:r>
              <w:rPr>
                <w:rStyle w:val="137"/>
                <w:b/>
                <w:bCs/>
                <w:lang w:bidi="ar"/>
              </w:rPr>
              <w:t>9-5</w:t>
            </w:r>
          </w:p>
        </w:tc>
        <w:tc>
          <w:tcPr>
            <w:tcW w:w="4403" w:type="dxa"/>
            <w:gridSpan w:val="3"/>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sz w:val="20"/>
                <w:szCs w:val="20"/>
              </w:rPr>
            </w:pPr>
            <w:r>
              <w:rPr>
                <w:rFonts w:hint="eastAsia" w:ascii="宋体" w:hAnsi="宋体" w:eastAsia="宋体" w:cs="宋体"/>
                <w:b/>
                <w:bCs/>
                <w:color w:val="000000"/>
                <w:kern w:val="0"/>
                <w:sz w:val="20"/>
                <w:szCs w:val="20"/>
                <w:lang w:bidi="ar"/>
              </w:rPr>
              <w:t>总价合计（不含税）￥    元</w:t>
            </w:r>
          </w:p>
        </w:tc>
      </w:tr>
    </w:tbl>
    <w:p>
      <w:pPr>
        <w:spacing w:before="58" w:line="219" w:lineRule="auto"/>
        <w:ind w:left="8"/>
        <w:rPr>
          <w:rFonts w:hint="eastAsia" w:ascii="宋体" w:hAnsi="宋体" w:eastAsia="宋体" w:cs="宋体"/>
          <w:spacing w:val="-8"/>
          <w:szCs w:val="21"/>
        </w:rPr>
      </w:pPr>
    </w:p>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rPr>
          <w:rFonts w:hint="eastAsia"/>
        </w:rPr>
      </w:pPr>
    </w:p>
    <w:p>
      <w:pPr>
        <w:rPr>
          <w:rFonts w:hint="eastAsia"/>
        </w:rPr>
        <w:sectPr>
          <w:footerReference r:id="rId29" w:type="default"/>
          <w:pgSz w:w="16841" w:h="11907" w:orient="landscape"/>
          <w:pgMar w:top="400" w:right="1387" w:bottom="1168" w:left="1473" w:header="0" w:footer="990" w:gutter="0"/>
          <w:cols w:equalWidth="0" w:num="1">
            <w:col w:w="13980"/>
          </w:cols>
        </w:sectPr>
      </w:pP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rPr>
              <w:t>数  量</w:t>
            </w:r>
          </w:p>
        </w:tc>
        <w:tc>
          <w:tcPr>
            <w:tcW w:w="2186" w:type="dxa"/>
          </w:tcPr>
          <w:p>
            <w:pPr>
              <w:spacing w:before="131" w:line="219" w:lineRule="auto"/>
              <w:jc w:val="center"/>
              <w:rPr>
                <w:rFonts w:hint="eastAsia"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pPr>
              <w:spacing w:before="131" w:line="219" w:lineRule="auto"/>
              <w:jc w:val="center"/>
              <w:rPr>
                <w:rFonts w:hint="eastAsia"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rPr>
              <w:t>备  注</w:t>
            </w:r>
          </w:p>
        </w:tc>
      </w:tr>
      <w:tr>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pacing w:val="-2"/>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line="172" w:lineRule="exact"/>
        <w:rPr>
          <w:rFonts w:hint="eastAsia"/>
        </w:rPr>
      </w:pPr>
    </w:p>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30"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rPr>
          <w:trHeight w:val="723" w:hRule="atLeast"/>
        </w:trPr>
        <w:tc>
          <w:tcPr>
            <w:tcW w:w="710" w:type="dxa"/>
            <w:vAlign w:val="center"/>
          </w:tcPr>
          <w:p>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rPr>
          <w:trHeight w:val="723" w:hRule="atLeast"/>
        </w:trPr>
        <w:tc>
          <w:tcPr>
            <w:tcW w:w="710" w:type="dxa"/>
            <w:vAlign w:val="center"/>
          </w:tcPr>
          <w:p>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rPr>
          <w:trHeight w:val="725" w:hRule="atLeast"/>
        </w:trPr>
        <w:tc>
          <w:tcPr>
            <w:tcW w:w="710" w:type="dxa"/>
            <w:vAlign w:val="center"/>
          </w:tcPr>
          <w:p>
            <w:pPr>
              <w:spacing w:before="303" w:line="183" w:lineRule="auto"/>
              <w:jc w:val="center"/>
              <w:rPr>
                <w:rFonts w:hint="eastAsia"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hint="eastAsia"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rPr>
          <w:trHeight w:val="723" w:hRule="atLeast"/>
        </w:trPr>
        <w:tc>
          <w:tcPr>
            <w:tcW w:w="710" w:type="dxa"/>
            <w:vAlign w:val="center"/>
          </w:tcPr>
          <w:p>
            <w:pPr>
              <w:spacing w:before="306" w:line="182" w:lineRule="auto"/>
              <w:jc w:val="center"/>
              <w:rPr>
                <w:rFonts w:hint="eastAsia" w:ascii="宋体" w:hAnsi="宋体" w:eastAsia="宋体" w:cs="宋体"/>
                <w:szCs w:val="21"/>
              </w:rPr>
            </w:pPr>
            <w:r>
              <w:rPr>
                <w:rFonts w:hint="eastAsia" w:ascii="宋体" w:hAnsi="宋体" w:eastAsia="宋体" w:cs="宋体"/>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18"/>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31"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rPr>
          <w:trHeight w:val="336" w:hRule="atLeast"/>
        </w:trPr>
        <w:tc>
          <w:tcPr>
            <w:tcW w:w="509" w:type="dxa"/>
          </w:tcPr>
          <w:p>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rPr>
          <w:trHeight w:val="719" w:hRule="atLeast"/>
        </w:trPr>
        <w:tc>
          <w:tcPr>
            <w:tcW w:w="509" w:type="dxa"/>
            <w:textDirection w:val="tbRlV"/>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rPr>
          <w:trHeight w:val="618" w:hRule="atLeast"/>
        </w:trPr>
        <w:tc>
          <w:tcPr>
            <w:tcW w:w="509" w:type="dxa"/>
          </w:tcPr>
          <w:p>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rPr>
          <w:trHeight w:val="619" w:hRule="atLeast"/>
        </w:trPr>
        <w:tc>
          <w:tcPr>
            <w:tcW w:w="509" w:type="dxa"/>
          </w:tcPr>
          <w:p>
            <w:pPr>
              <w:spacing w:before="237" w:line="186" w:lineRule="auto"/>
              <w:ind w:left="223"/>
              <w:rPr>
                <w:rFonts w:hint="eastAsia" w:ascii="宋体" w:hAnsi="宋体" w:eastAsia="宋体" w:cs="宋体"/>
                <w:szCs w:val="21"/>
              </w:rPr>
            </w:pPr>
            <w:r>
              <w:rPr>
                <w:rFonts w:ascii="宋体" w:hAnsi="宋体" w:eastAsia="宋体" w:cs="宋体"/>
                <w:szCs w:val="21"/>
              </w:rPr>
              <w:t>2</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rPr>
          <w:trHeight w:val="619" w:hRule="atLeast"/>
        </w:trPr>
        <w:tc>
          <w:tcPr>
            <w:tcW w:w="509" w:type="dxa"/>
          </w:tcPr>
          <w:p>
            <w:pPr>
              <w:spacing w:before="237" w:line="186" w:lineRule="auto"/>
              <w:ind w:left="223"/>
              <w:rPr>
                <w:rFonts w:hint="eastAsia" w:ascii="宋体" w:hAnsi="宋体" w:eastAsia="宋体" w:cs="宋体"/>
                <w:szCs w:val="21"/>
              </w:rPr>
            </w:pPr>
            <w:r>
              <w:rPr>
                <w:rFonts w:hint="eastAsia" w:ascii="宋体" w:hAnsi="宋体" w:eastAsia="宋体" w:cs="宋体"/>
                <w:szCs w:val="21"/>
              </w:rPr>
              <w:t>3</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rPr>
          <w:trHeight w:val="618" w:hRule="atLeast"/>
        </w:trPr>
        <w:tc>
          <w:tcPr>
            <w:tcW w:w="509" w:type="dxa"/>
          </w:tcPr>
          <w:p>
            <w:pPr>
              <w:spacing w:before="237" w:line="186" w:lineRule="auto"/>
              <w:ind w:left="223"/>
              <w:rPr>
                <w:rFonts w:hint="eastAsia" w:ascii="宋体" w:hAnsi="宋体" w:eastAsia="宋体" w:cs="宋体"/>
                <w:szCs w:val="21"/>
              </w:rPr>
            </w:pPr>
            <w:r>
              <w:rPr>
                <w:rFonts w:hint="eastAsia" w:ascii="宋体" w:hAnsi="宋体" w:eastAsia="宋体" w:cs="宋体"/>
                <w:szCs w:val="21"/>
              </w:rPr>
              <w:t>4</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rPr>
          <w:trHeight w:val="618" w:hRule="atLeast"/>
        </w:trPr>
        <w:tc>
          <w:tcPr>
            <w:tcW w:w="509" w:type="dxa"/>
          </w:tcPr>
          <w:p>
            <w:pPr>
              <w:spacing w:before="237" w:line="186" w:lineRule="auto"/>
              <w:ind w:left="223"/>
              <w:rPr>
                <w:rFonts w:hint="eastAsia" w:ascii="宋体" w:hAnsi="宋体" w:eastAsia="宋体" w:cs="宋体"/>
                <w:szCs w:val="21"/>
              </w:rPr>
            </w:pPr>
            <w:r>
              <w:rPr>
                <w:rFonts w:hint="eastAsia" w:ascii="宋体" w:hAnsi="宋体" w:eastAsia="宋体" w:cs="宋体"/>
                <w:szCs w:val="21"/>
              </w:rPr>
              <w:t>5</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rPr>
          <w:trHeight w:val="618" w:hRule="atLeast"/>
        </w:trPr>
        <w:tc>
          <w:tcPr>
            <w:tcW w:w="509" w:type="dxa"/>
          </w:tcPr>
          <w:p>
            <w:pPr>
              <w:spacing w:before="237" w:line="186" w:lineRule="auto"/>
              <w:ind w:left="223"/>
              <w:rPr>
                <w:rFonts w:hint="eastAsia" w:ascii="宋体" w:hAnsi="宋体" w:eastAsia="宋体" w:cs="宋体"/>
                <w:szCs w:val="21"/>
              </w:rPr>
            </w:pPr>
            <w:r>
              <w:rPr>
                <w:rFonts w:hint="eastAsia" w:ascii="宋体" w:hAnsi="宋体" w:eastAsia="宋体" w:cs="宋体"/>
                <w:szCs w:val="21"/>
              </w:rPr>
              <w:t>6</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rPr>
          <w:trHeight w:val="618" w:hRule="atLeast"/>
        </w:trPr>
        <w:tc>
          <w:tcPr>
            <w:tcW w:w="509" w:type="dxa"/>
          </w:tcPr>
          <w:p>
            <w:pPr>
              <w:spacing w:before="237" w:line="186" w:lineRule="auto"/>
              <w:ind w:left="223"/>
              <w:rPr>
                <w:rFonts w:hint="eastAsia" w:ascii="宋体" w:hAnsi="宋体" w:eastAsia="宋体" w:cs="宋体"/>
                <w:szCs w:val="21"/>
              </w:rPr>
            </w:pPr>
            <w:r>
              <w:rPr>
                <w:rFonts w:hint="eastAsia" w:ascii="宋体" w:hAnsi="宋体" w:eastAsia="宋体" w:cs="宋体"/>
                <w:szCs w:val="21"/>
              </w:rPr>
              <w:t>7</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rPr>
          <w:trHeight w:val="618" w:hRule="atLeast"/>
        </w:trPr>
        <w:tc>
          <w:tcPr>
            <w:tcW w:w="509" w:type="dxa"/>
          </w:tcPr>
          <w:p>
            <w:pPr>
              <w:spacing w:before="237" w:line="186" w:lineRule="auto"/>
              <w:ind w:left="223"/>
              <w:rPr>
                <w:rFonts w:hint="eastAsia" w:ascii="宋体" w:hAnsi="宋体" w:eastAsia="宋体" w:cs="宋体"/>
                <w:szCs w:val="21"/>
              </w:rPr>
            </w:pPr>
            <w:r>
              <w:rPr>
                <w:rFonts w:hint="eastAsia" w:ascii="宋体" w:hAnsi="宋体" w:eastAsia="宋体" w:cs="宋体"/>
                <w:szCs w:val="21"/>
              </w:rPr>
              <w:t>8</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rPr>
          <w:trHeight w:val="618" w:hRule="atLeast"/>
        </w:trPr>
        <w:tc>
          <w:tcPr>
            <w:tcW w:w="509" w:type="dxa"/>
          </w:tcPr>
          <w:p>
            <w:pPr>
              <w:spacing w:before="237" w:line="186" w:lineRule="auto"/>
              <w:ind w:left="223"/>
              <w:rPr>
                <w:rFonts w:hint="eastAsia" w:ascii="宋体" w:hAnsi="宋体" w:eastAsia="宋体" w:cs="宋体"/>
                <w:szCs w:val="21"/>
              </w:rPr>
            </w:pPr>
            <w:r>
              <w:rPr>
                <w:rFonts w:hint="eastAsia" w:ascii="宋体" w:hAnsi="宋体" w:eastAsia="宋体" w:cs="宋体"/>
                <w:szCs w:val="21"/>
              </w:rPr>
              <w:t>9</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rPr>
          <w:trHeight w:val="623" w:hRule="atLeast"/>
        </w:trPr>
        <w:tc>
          <w:tcPr>
            <w:tcW w:w="9729"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32" w:type="default"/>
          <w:pgSz w:w="16841" w:h="11907"/>
          <w:pgMar w:top="400" w:right="1500" w:bottom="1184" w:left="1480"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8"/>
      </w:pPr>
    </w:p>
    <w:p>
      <w:pPr>
        <w:pStyle w:val="18"/>
      </w:pPr>
    </w:p>
    <w:p>
      <w:pPr>
        <w:spacing w:before="140" w:line="220" w:lineRule="auto"/>
        <w:ind w:left="2" w:firstLine="464" w:firstLineChars="200"/>
        <w:rPr>
          <w:rFonts w:hint="eastAsia" w:ascii="宋体" w:hAnsi="宋体" w:eastAsia="宋体" w:cs="宋体"/>
          <w:spacing w:val="-2"/>
          <w:szCs w:val="21"/>
        </w:rPr>
        <w:sectPr>
          <w:footerReference r:id="rId33"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u w:val="single"/>
              </w:rPr>
              <w:t>曲轴、连杆检测能力提升项目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rPr>
        <w:t>曲轴、连杆检测能力提升项目</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34"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曲轴、连杆检测能力提升项目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8"/>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u w:val="single"/>
              </w:rPr>
              <w:t>曲轴、连杆检测能力提升项目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8"/>
      </w:pPr>
    </w:p>
    <w:p>
      <w:pPr>
        <w:jc w:val="right"/>
        <w:rPr>
          <w:rFonts w:hint="eastAsia" w:asciiTheme="minorEastAsia" w:hAnsiTheme="minorEastAsia" w:cstheme="minorEastAsia"/>
          <w:sz w:val="20"/>
          <w:szCs w:val="20"/>
        </w:rPr>
      </w:pPr>
    </w:p>
    <w:p>
      <w:pPr>
        <w:jc w:val="right"/>
        <w:rPr>
          <w:rFonts w:hint="eastAsia" w:asciiTheme="minorEastAsia" w:hAnsiTheme="minorEastAsia" w:cstheme="minorEastAsia"/>
          <w:sz w:val="20"/>
          <w:szCs w:val="20"/>
        </w:rPr>
      </w:pPr>
    </w:p>
    <w:p>
      <w:pPr>
        <w:rPr>
          <w:rFonts w:hint="eastAsia"/>
        </w:rPr>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pPr>
    </w:p>
    <w:p>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p>
    <w:p>
      <w:pPr>
        <w:rPr>
          <w:rFonts w:hint="eastAsia" w:ascii="宋体" w:hAnsi="宋体" w:eastAsia="宋体" w:cs="Times New Roman"/>
          <w:b/>
          <w:bCs/>
          <w:sz w:val="24"/>
          <w:szCs w:val="24"/>
        </w:rPr>
      </w:pPr>
    </w:p>
    <w:tbl>
      <w:tblPr>
        <w:tblStyle w:val="37"/>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52"/>
        <w:gridCol w:w="554"/>
        <w:gridCol w:w="2213"/>
        <w:gridCol w:w="582"/>
        <w:gridCol w:w="4796"/>
      </w:tblGrid>
      <w:tr>
        <w:trPr>
          <w:cantSplit/>
          <w:trHeight w:val="1251" w:hRule="atLeast"/>
          <w:jc w:val="center"/>
        </w:trPr>
        <w:tc>
          <w:tcPr>
            <w:tcW w:w="660"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评价类型</w:t>
            </w:r>
          </w:p>
        </w:tc>
        <w:tc>
          <w:tcPr>
            <w:tcW w:w="552"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评审内容</w:t>
            </w:r>
          </w:p>
        </w:tc>
        <w:tc>
          <w:tcPr>
            <w:tcW w:w="554"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序号</w:t>
            </w:r>
          </w:p>
        </w:tc>
        <w:tc>
          <w:tcPr>
            <w:tcW w:w="2213"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内   容</w:t>
            </w:r>
          </w:p>
        </w:tc>
        <w:tc>
          <w:tcPr>
            <w:tcW w:w="582"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标准分</w:t>
            </w:r>
          </w:p>
        </w:tc>
        <w:tc>
          <w:tcPr>
            <w:tcW w:w="4796"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评分标准</w:t>
            </w:r>
          </w:p>
        </w:tc>
      </w:tr>
      <w:tr>
        <w:trPr>
          <w:cantSplit/>
          <w:trHeight w:val="1750" w:hRule="atLeast"/>
          <w:jc w:val="center"/>
        </w:trPr>
        <w:tc>
          <w:tcPr>
            <w:tcW w:w="660" w:type="dxa"/>
            <w:vMerge w:val="restart"/>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技术标</w:t>
            </w:r>
          </w:p>
          <w:p>
            <w:pPr>
              <w:tabs>
                <w:tab w:val="left" w:pos="13965"/>
              </w:tabs>
              <w:jc w:val="center"/>
              <w:rPr>
                <w:rFonts w:hint="eastAsia" w:ascii="宋体" w:hAnsi="宋体" w:cs="Times New Roman"/>
                <w:sz w:val="18"/>
                <w:szCs w:val="18"/>
              </w:rPr>
            </w:pPr>
            <w:r>
              <w:rPr>
                <w:rFonts w:hint="eastAsia" w:ascii="宋体" w:hAnsi="宋体" w:cs="Times New Roman"/>
                <w:sz w:val="18"/>
                <w:szCs w:val="18"/>
              </w:rPr>
              <w:t>100分</w:t>
            </w:r>
          </w:p>
        </w:tc>
        <w:tc>
          <w:tcPr>
            <w:tcW w:w="552"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业绩</w:t>
            </w:r>
          </w:p>
        </w:tc>
        <w:tc>
          <w:tcPr>
            <w:tcW w:w="554"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1</w:t>
            </w:r>
          </w:p>
        </w:tc>
        <w:tc>
          <w:tcPr>
            <w:tcW w:w="2213"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设备制造商同 类型项目业绩</w:t>
            </w:r>
          </w:p>
        </w:tc>
        <w:tc>
          <w:tcPr>
            <w:tcW w:w="582"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6</w:t>
            </w:r>
          </w:p>
        </w:tc>
        <w:tc>
          <w:tcPr>
            <w:tcW w:w="4796"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由评标委员会成员独立进行客观、公正的评价，按照优、良、一般进行赋分，优得6分，良得4分， 一般得2分(时间以签订日期为准)。投标人在2022年1月1日以来在中国与本标同类规格产品的业绩，以合同复印件加盖公章为准(须有客户联系方式及联系人以供招标人核实确认)。</w:t>
            </w:r>
          </w:p>
        </w:tc>
      </w:tr>
      <w:tr>
        <w:trPr>
          <w:cantSplit/>
          <w:trHeight w:val="1087" w:hRule="atLeast"/>
          <w:jc w:val="center"/>
        </w:trPr>
        <w:tc>
          <w:tcPr>
            <w:tcW w:w="660" w:type="dxa"/>
            <w:vMerge w:val="continue"/>
            <w:vAlign w:val="center"/>
          </w:tcPr>
          <w:p>
            <w:pPr>
              <w:tabs>
                <w:tab w:val="left" w:pos="13965"/>
              </w:tabs>
              <w:jc w:val="center"/>
              <w:rPr>
                <w:rFonts w:hint="eastAsia" w:ascii="宋体" w:hAnsi="宋体" w:cs="Times New Roman"/>
                <w:sz w:val="18"/>
                <w:szCs w:val="18"/>
              </w:rPr>
            </w:pPr>
          </w:p>
        </w:tc>
        <w:tc>
          <w:tcPr>
            <w:tcW w:w="552" w:type="dxa"/>
            <w:vMerge w:val="restart"/>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产品技术</w:t>
            </w:r>
          </w:p>
        </w:tc>
        <w:tc>
          <w:tcPr>
            <w:tcW w:w="554"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2</w:t>
            </w:r>
          </w:p>
        </w:tc>
        <w:tc>
          <w:tcPr>
            <w:tcW w:w="2213"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设备制造商装备制造能力、生产设备、加工工艺、完善程度</w:t>
            </w:r>
          </w:p>
        </w:tc>
        <w:tc>
          <w:tcPr>
            <w:tcW w:w="582"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6</w:t>
            </w:r>
          </w:p>
        </w:tc>
        <w:tc>
          <w:tcPr>
            <w:tcW w:w="4796"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由评标委员会成员独立进行客观、公正的评价，按照优、良、一般进行赋分，优得6分，良得4分，一般得2分。</w:t>
            </w:r>
          </w:p>
        </w:tc>
      </w:tr>
      <w:tr>
        <w:trPr>
          <w:cantSplit/>
          <w:trHeight w:val="2619" w:hRule="atLeast"/>
          <w:jc w:val="center"/>
        </w:trPr>
        <w:tc>
          <w:tcPr>
            <w:tcW w:w="660" w:type="dxa"/>
            <w:vMerge w:val="continue"/>
            <w:vAlign w:val="center"/>
          </w:tcPr>
          <w:p>
            <w:pPr>
              <w:tabs>
                <w:tab w:val="left" w:pos="13965"/>
              </w:tabs>
              <w:jc w:val="center"/>
              <w:rPr>
                <w:rFonts w:hint="eastAsia" w:ascii="宋体" w:hAnsi="宋体" w:cs="Times New Roman"/>
                <w:sz w:val="18"/>
                <w:szCs w:val="18"/>
              </w:rPr>
            </w:pPr>
          </w:p>
        </w:tc>
        <w:tc>
          <w:tcPr>
            <w:tcW w:w="552" w:type="dxa"/>
            <w:vMerge w:val="continue"/>
            <w:vAlign w:val="center"/>
          </w:tcPr>
          <w:p>
            <w:pPr>
              <w:tabs>
                <w:tab w:val="left" w:pos="13965"/>
              </w:tabs>
              <w:jc w:val="center"/>
              <w:rPr>
                <w:rFonts w:hint="eastAsia" w:ascii="宋体" w:hAnsi="宋体" w:cs="Times New Roman"/>
                <w:sz w:val="18"/>
                <w:szCs w:val="18"/>
              </w:rPr>
            </w:pPr>
          </w:p>
        </w:tc>
        <w:tc>
          <w:tcPr>
            <w:tcW w:w="554"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3</w:t>
            </w:r>
          </w:p>
        </w:tc>
        <w:tc>
          <w:tcPr>
            <w:tcW w:w="2213"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产品方案技术先进、各系统完善、性能可靠，设备主要核心部件，具备自身技术优势</w:t>
            </w:r>
          </w:p>
        </w:tc>
        <w:tc>
          <w:tcPr>
            <w:tcW w:w="582"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50</w:t>
            </w:r>
          </w:p>
        </w:tc>
        <w:tc>
          <w:tcPr>
            <w:tcW w:w="4796"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以下各项由评标委员会成员独立进行客观、公正的评价打分。</w:t>
            </w:r>
          </w:p>
          <w:p>
            <w:pPr>
              <w:tabs>
                <w:tab w:val="left" w:pos="13965"/>
              </w:tabs>
              <w:jc w:val="center"/>
              <w:rPr>
                <w:rFonts w:hint="eastAsia" w:ascii="宋体" w:hAnsi="宋体" w:cs="Times New Roman"/>
                <w:sz w:val="18"/>
                <w:szCs w:val="18"/>
              </w:rPr>
            </w:pPr>
            <w:r>
              <w:rPr>
                <w:rFonts w:hint="eastAsia" w:ascii="宋体" w:hAnsi="宋体" w:cs="Times New Roman"/>
                <w:sz w:val="18"/>
                <w:szCs w:val="18"/>
              </w:rPr>
              <w:t>①定制系统方案已到达招标要求，设备主要核心部件，具备自身技术优势，打分0-16分。</w:t>
            </w:r>
          </w:p>
          <w:p>
            <w:pPr>
              <w:tabs>
                <w:tab w:val="left" w:pos="13965"/>
              </w:tabs>
              <w:jc w:val="center"/>
              <w:rPr>
                <w:rFonts w:hint="eastAsia" w:ascii="宋体" w:hAnsi="宋体" w:cs="Times New Roman"/>
                <w:sz w:val="18"/>
                <w:szCs w:val="18"/>
              </w:rPr>
            </w:pPr>
            <w:r>
              <w:rPr>
                <w:rFonts w:hint="eastAsia" w:ascii="宋体" w:hAnsi="宋体" w:cs="Times New Roman"/>
                <w:sz w:val="18"/>
                <w:szCs w:val="18"/>
              </w:rPr>
              <w:t>②系统配置齐全，其精度、参数、技术水平、可靠性等优势明显，打分0-16分。</w:t>
            </w:r>
          </w:p>
          <w:p>
            <w:pPr>
              <w:tabs>
                <w:tab w:val="left" w:pos="13965"/>
              </w:tabs>
              <w:jc w:val="center"/>
              <w:rPr>
                <w:rFonts w:hint="eastAsia" w:ascii="宋体" w:hAnsi="宋体" w:cs="Times New Roman"/>
                <w:sz w:val="18"/>
                <w:szCs w:val="18"/>
              </w:rPr>
            </w:pPr>
            <w:r>
              <w:rPr>
                <w:rFonts w:hint="eastAsia" w:ascii="宋体" w:hAnsi="宋体" w:cs="Times New Roman"/>
                <w:sz w:val="18"/>
                <w:szCs w:val="18"/>
              </w:rPr>
              <w:t>③操作灵活方便，系统开放程度高，打分0-10分。</w:t>
            </w:r>
          </w:p>
          <w:p>
            <w:pPr>
              <w:tabs>
                <w:tab w:val="left" w:pos="13965"/>
              </w:tabs>
              <w:jc w:val="center"/>
              <w:rPr>
                <w:rFonts w:hint="eastAsia" w:ascii="宋体" w:hAnsi="宋体" w:cs="Times New Roman"/>
                <w:sz w:val="18"/>
                <w:szCs w:val="18"/>
              </w:rPr>
            </w:pPr>
            <w:r>
              <w:rPr>
                <w:rFonts w:hint="eastAsia" w:ascii="宋体" w:hAnsi="宋体" w:cs="Times New Roman"/>
                <w:sz w:val="18"/>
                <w:szCs w:val="18"/>
              </w:rPr>
              <w:t>④综合评价，打分0-8分。</w:t>
            </w:r>
          </w:p>
        </w:tc>
      </w:tr>
      <w:tr>
        <w:trPr>
          <w:cantSplit/>
          <w:trHeight w:val="800" w:hRule="atLeast"/>
          <w:jc w:val="center"/>
        </w:trPr>
        <w:tc>
          <w:tcPr>
            <w:tcW w:w="660" w:type="dxa"/>
            <w:vMerge w:val="continue"/>
            <w:vAlign w:val="center"/>
          </w:tcPr>
          <w:p>
            <w:pPr>
              <w:tabs>
                <w:tab w:val="left" w:pos="13965"/>
              </w:tabs>
              <w:jc w:val="center"/>
              <w:rPr>
                <w:rFonts w:hint="eastAsia" w:ascii="宋体" w:hAnsi="宋体" w:cs="Times New Roman"/>
                <w:sz w:val="18"/>
                <w:szCs w:val="18"/>
              </w:rPr>
            </w:pPr>
          </w:p>
        </w:tc>
        <w:tc>
          <w:tcPr>
            <w:tcW w:w="552"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答疑</w:t>
            </w:r>
          </w:p>
        </w:tc>
        <w:tc>
          <w:tcPr>
            <w:tcW w:w="554"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4</w:t>
            </w:r>
          </w:p>
        </w:tc>
        <w:tc>
          <w:tcPr>
            <w:tcW w:w="2213"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现场答疑</w:t>
            </w:r>
          </w:p>
        </w:tc>
        <w:tc>
          <w:tcPr>
            <w:tcW w:w="582"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8</w:t>
            </w:r>
          </w:p>
        </w:tc>
        <w:tc>
          <w:tcPr>
            <w:tcW w:w="4796"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投标人代表对方案、技术优势的讲解，</w:t>
            </w:r>
          </w:p>
          <w:p>
            <w:pPr>
              <w:tabs>
                <w:tab w:val="left" w:pos="13965"/>
              </w:tabs>
              <w:jc w:val="center"/>
              <w:rPr>
                <w:rFonts w:hint="eastAsia" w:ascii="宋体" w:hAnsi="宋体" w:cs="Times New Roman"/>
                <w:sz w:val="18"/>
                <w:szCs w:val="18"/>
              </w:rPr>
            </w:pPr>
            <w:r>
              <w:rPr>
                <w:rFonts w:hint="eastAsia" w:ascii="宋体" w:hAnsi="宋体" w:cs="Times New Roman"/>
                <w:sz w:val="18"/>
                <w:szCs w:val="18"/>
              </w:rPr>
              <w:t>以及就该项目难点回答评标专家现场提问，打分0-8分。</w:t>
            </w:r>
          </w:p>
        </w:tc>
      </w:tr>
      <w:tr>
        <w:trPr>
          <w:cantSplit/>
          <w:trHeight w:val="1411" w:hRule="atLeast"/>
          <w:jc w:val="center"/>
        </w:trPr>
        <w:tc>
          <w:tcPr>
            <w:tcW w:w="660" w:type="dxa"/>
            <w:vMerge w:val="continue"/>
            <w:vAlign w:val="center"/>
          </w:tcPr>
          <w:p>
            <w:pPr>
              <w:tabs>
                <w:tab w:val="left" w:pos="13965"/>
              </w:tabs>
              <w:jc w:val="center"/>
              <w:rPr>
                <w:rFonts w:hint="eastAsia" w:ascii="宋体" w:hAnsi="宋体" w:cs="Times New Roman"/>
                <w:sz w:val="18"/>
                <w:szCs w:val="18"/>
              </w:rPr>
            </w:pPr>
          </w:p>
        </w:tc>
        <w:tc>
          <w:tcPr>
            <w:tcW w:w="552"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技术偏离</w:t>
            </w:r>
          </w:p>
        </w:tc>
        <w:tc>
          <w:tcPr>
            <w:tcW w:w="554"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5</w:t>
            </w:r>
          </w:p>
        </w:tc>
        <w:tc>
          <w:tcPr>
            <w:tcW w:w="2213"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技术偏离</w:t>
            </w:r>
          </w:p>
        </w:tc>
        <w:tc>
          <w:tcPr>
            <w:tcW w:w="582"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12</w:t>
            </w:r>
          </w:p>
        </w:tc>
        <w:tc>
          <w:tcPr>
            <w:tcW w:w="4796"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trPr>
          <w:cantSplit/>
          <w:trHeight w:val="1123" w:hRule="atLeast"/>
          <w:jc w:val="center"/>
        </w:trPr>
        <w:tc>
          <w:tcPr>
            <w:tcW w:w="660" w:type="dxa"/>
            <w:vMerge w:val="continue"/>
            <w:vAlign w:val="center"/>
          </w:tcPr>
          <w:p>
            <w:pPr>
              <w:tabs>
                <w:tab w:val="left" w:pos="13965"/>
              </w:tabs>
              <w:jc w:val="center"/>
              <w:rPr>
                <w:rFonts w:hint="eastAsia" w:ascii="宋体" w:hAnsi="宋体" w:cs="Times New Roman"/>
                <w:sz w:val="18"/>
                <w:szCs w:val="18"/>
              </w:rPr>
            </w:pPr>
          </w:p>
        </w:tc>
        <w:tc>
          <w:tcPr>
            <w:tcW w:w="552" w:type="dxa"/>
            <w:vMerge w:val="restart"/>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售后服务</w:t>
            </w:r>
          </w:p>
        </w:tc>
        <w:tc>
          <w:tcPr>
            <w:tcW w:w="554"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6</w:t>
            </w:r>
          </w:p>
        </w:tc>
        <w:tc>
          <w:tcPr>
            <w:tcW w:w="2213"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技 术 培 训 方 案：对招标方 人员的技术培 训方案安排科 学、合理、可 行</w:t>
            </w:r>
          </w:p>
        </w:tc>
        <w:tc>
          <w:tcPr>
            <w:tcW w:w="582"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6</w:t>
            </w:r>
          </w:p>
        </w:tc>
        <w:tc>
          <w:tcPr>
            <w:tcW w:w="4796"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由评标委员会成员独立进行客观、公正的评价，按照优、良、一般进行赋分，优得6分，良得4分，一般得2分。</w:t>
            </w:r>
          </w:p>
        </w:tc>
      </w:tr>
      <w:tr>
        <w:trPr>
          <w:cantSplit/>
          <w:trHeight w:val="1082" w:hRule="atLeast"/>
          <w:jc w:val="center"/>
        </w:trPr>
        <w:tc>
          <w:tcPr>
            <w:tcW w:w="660" w:type="dxa"/>
            <w:vMerge w:val="continue"/>
            <w:vAlign w:val="center"/>
          </w:tcPr>
          <w:p>
            <w:pPr>
              <w:tabs>
                <w:tab w:val="left" w:pos="13965"/>
              </w:tabs>
              <w:jc w:val="center"/>
              <w:rPr>
                <w:rFonts w:hint="eastAsia" w:ascii="宋体" w:hAnsi="宋体" w:cs="Times New Roman"/>
                <w:sz w:val="18"/>
                <w:szCs w:val="18"/>
              </w:rPr>
            </w:pPr>
          </w:p>
        </w:tc>
        <w:tc>
          <w:tcPr>
            <w:tcW w:w="552" w:type="dxa"/>
            <w:vMerge w:val="continue"/>
            <w:vAlign w:val="center"/>
          </w:tcPr>
          <w:p>
            <w:pPr>
              <w:tabs>
                <w:tab w:val="left" w:pos="13965"/>
              </w:tabs>
              <w:jc w:val="center"/>
              <w:rPr>
                <w:rFonts w:hint="eastAsia" w:ascii="宋体" w:hAnsi="宋体" w:cs="Times New Roman"/>
                <w:sz w:val="18"/>
                <w:szCs w:val="18"/>
              </w:rPr>
            </w:pPr>
          </w:p>
        </w:tc>
        <w:tc>
          <w:tcPr>
            <w:tcW w:w="554"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7</w:t>
            </w:r>
          </w:p>
        </w:tc>
        <w:tc>
          <w:tcPr>
            <w:tcW w:w="2213"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安装调试方案：有详尽的安装调试计划及方案，方案科学合理，可实施性强。</w:t>
            </w:r>
          </w:p>
        </w:tc>
        <w:tc>
          <w:tcPr>
            <w:tcW w:w="582"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6</w:t>
            </w:r>
          </w:p>
        </w:tc>
        <w:tc>
          <w:tcPr>
            <w:tcW w:w="4796"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由评标委员会成员独立进行客观、公正的评价，按照优、良、一般进行赋分，优得6分，良得4分，一般得2分。</w:t>
            </w:r>
          </w:p>
        </w:tc>
      </w:tr>
      <w:tr>
        <w:trPr>
          <w:cantSplit/>
          <w:trHeight w:val="1302" w:hRule="atLeast"/>
          <w:jc w:val="center"/>
        </w:trPr>
        <w:tc>
          <w:tcPr>
            <w:tcW w:w="660" w:type="dxa"/>
            <w:vMerge w:val="continue"/>
            <w:vAlign w:val="center"/>
          </w:tcPr>
          <w:p>
            <w:pPr>
              <w:tabs>
                <w:tab w:val="left" w:pos="13965"/>
              </w:tabs>
              <w:jc w:val="center"/>
              <w:rPr>
                <w:rFonts w:hint="eastAsia" w:ascii="宋体" w:hAnsi="宋体" w:cs="Times New Roman"/>
                <w:sz w:val="18"/>
                <w:szCs w:val="18"/>
              </w:rPr>
            </w:pPr>
          </w:p>
        </w:tc>
        <w:tc>
          <w:tcPr>
            <w:tcW w:w="552" w:type="dxa"/>
            <w:vMerge w:val="continue"/>
            <w:vAlign w:val="center"/>
          </w:tcPr>
          <w:p>
            <w:pPr>
              <w:tabs>
                <w:tab w:val="left" w:pos="13965"/>
              </w:tabs>
              <w:jc w:val="center"/>
              <w:rPr>
                <w:rFonts w:hint="eastAsia" w:ascii="宋体" w:hAnsi="宋体" w:cs="Times New Roman"/>
                <w:sz w:val="18"/>
                <w:szCs w:val="18"/>
              </w:rPr>
            </w:pPr>
          </w:p>
        </w:tc>
        <w:tc>
          <w:tcPr>
            <w:tcW w:w="554"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8</w:t>
            </w:r>
          </w:p>
        </w:tc>
        <w:tc>
          <w:tcPr>
            <w:tcW w:w="2213"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售后服务及时周到，有相应 的服务承诺和具体的保证措施</w:t>
            </w:r>
          </w:p>
        </w:tc>
        <w:tc>
          <w:tcPr>
            <w:tcW w:w="582"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6</w:t>
            </w:r>
          </w:p>
        </w:tc>
        <w:tc>
          <w:tcPr>
            <w:tcW w:w="4796"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由评标委员会成员独立进行客观、公正的评价，按照优、良、一般进行赋分，优得6分，良得4分，一般得2分。</w:t>
            </w:r>
          </w:p>
        </w:tc>
      </w:tr>
      <w:tr>
        <w:trPr>
          <w:cantSplit/>
          <w:trHeight w:val="1958" w:hRule="atLeast"/>
          <w:jc w:val="center"/>
        </w:trPr>
        <w:tc>
          <w:tcPr>
            <w:tcW w:w="660"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商务标100分</w:t>
            </w:r>
          </w:p>
        </w:tc>
        <w:tc>
          <w:tcPr>
            <w:tcW w:w="8697" w:type="dxa"/>
            <w:gridSpan w:val="5"/>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 xml:space="preserve">评标基准价： </w:t>
            </w:r>
          </w:p>
          <w:p>
            <w:pPr>
              <w:tabs>
                <w:tab w:val="left" w:pos="13965"/>
              </w:tabs>
              <w:jc w:val="center"/>
              <w:rPr>
                <w:rFonts w:hint="eastAsia" w:ascii="宋体" w:hAnsi="宋体" w:cs="Times New Roman"/>
                <w:sz w:val="18"/>
                <w:szCs w:val="18"/>
              </w:rPr>
            </w:pPr>
            <w:r>
              <w:rPr>
                <w:rFonts w:hint="eastAsia" w:ascii="宋体" w:hAnsi="宋体" w:cs="Times New Roman"/>
                <w:sz w:val="18"/>
                <w:szCs w:val="18"/>
              </w:rPr>
              <w:t>1、评标基准价为所有合理有效的最终投标报价的最低价。</w:t>
            </w:r>
          </w:p>
          <w:p>
            <w:pPr>
              <w:tabs>
                <w:tab w:val="left" w:pos="13965"/>
              </w:tabs>
              <w:jc w:val="center"/>
              <w:rPr>
                <w:rFonts w:hint="eastAsia" w:ascii="宋体" w:hAnsi="宋体" w:cs="Times New Roman"/>
                <w:sz w:val="18"/>
                <w:szCs w:val="18"/>
              </w:rPr>
            </w:pPr>
            <w:r>
              <w:rPr>
                <w:rFonts w:hint="eastAsia" w:ascii="宋体" w:hAnsi="宋体" w:cs="Times New Roman"/>
                <w:sz w:val="18"/>
                <w:szCs w:val="18"/>
              </w:rPr>
              <w:t>2、有效的评标基准价得100分；其他投标人的价格得分按下列公式计算：投标价格得分=100×（评标基准价/投标报价）。</w:t>
            </w:r>
          </w:p>
          <w:p>
            <w:pPr>
              <w:tabs>
                <w:tab w:val="left" w:pos="13965"/>
              </w:tabs>
              <w:jc w:val="center"/>
              <w:rPr>
                <w:rFonts w:hint="eastAsia" w:ascii="宋体" w:hAnsi="宋体" w:cs="Times New Roman"/>
                <w:sz w:val="18"/>
                <w:szCs w:val="18"/>
              </w:rPr>
            </w:pPr>
            <w:r>
              <w:rPr>
                <w:rFonts w:hint="eastAsia" w:ascii="宋体" w:hAnsi="宋体" w:cs="Times New Roman"/>
                <w:sz w:val="18"/>
                <w:szCs w:val="18"/>
              </w:rPr>
              <w:t xml:space="preserve">注：得分值取小数点后两位，不足一个百分点的，按照四舍五入法计算。 </w:t>
            </w:r>
          </w:p>
        </w:tc>
      </w:tr>
      <w:tr>
        <w:trPr>
          <w:cantSplit/>
          <w:trHeight w:val="1049" w:hRule="atLeast"/>
          <w:jc w:val="center"/>
        </w:trPr>
        <w:tc>
          <w:tcPr>
            <w:tcW w:w="660" w:type="dxa"/>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综合得分</w:t>
            </w:r>
          </w:p>
        </w:tc>
        <w:tc>
          <w:tcPr>
            <w:tcW w:w="8697" w:type="dxa"/>
            <w:gridSpan w:val="5"/>
            <w:vAlign w:val="center"/>
          </w:tcPr>
          <w:p>
            <w:pPr>
              <w:tabs>
                <w:tab w:val="left" w:pos="13965"/>
              </w:tabs>
              <w:jc w:val="center"/>
              <w:rPr>
                <w:rFonts w:hint="eastAsia" w:ascii="宋体" w:hAnsi="宋体" w:cs="Times New Roman"/>
                <w:sz w:val="18"/>
                <w:szCs w:val="18"/>
              </w:rPr>
            </w:pPr>
            <w:r>
              <w:rPr>
                <w:rFonts w:hint="eastAsia" w:ascii="宋体" w:hAnsi="宋体" w:cs="Times New Roman"/>
                <w:sz w:val="18"/>
                <w:szCs w:val="18"/>
              </w:rPr>
              <w:tab/>
            </w:r>
            <w:r>
              <w:rPr>
                <w:rFonts w:hint="eastAsia" w:ascii="宋体" w:hAnsi="宋体" w:cs="Times New Roman"/>
                <w:sz w:val="18"/>
                <w:szCs w:val="18"/>
              </w:rPr>
              <w:t>综合得分=技术标得分×30%＋商务标得分×70%</w:t>
            </w:r>
          </w:p>
        </w:tc>
      </w:tr>
    </w:tbl>
    <w:p>
      <w:pPr>
        <w:pStyle w:val="18"/>
        <w:sectPr>
          <w:pgSz w:w="11906" w:h="16838"/>
          <w:pgMar w:top="1588" w:right="1418" w:bottom="1134" w:left="1418" w:header="851" w:footer="992" w:gutter="0"/>
          <w:cols w:space="720" w:num="1"/>
          <w:titlePg/>
          <w:docGrid w:type="lines" w:linePitch="312" w:charSpace="0"/>
        </w:sectPr>
      </w:pPr>
    </w:p>
    <w:p>
      <w:pPr>
        <w:pStyle w:val="18"/>
      </w:pPr>
    </w:p>
    <w:p>
      <w:pPr>
        <w:rPr>
          <w:rFonts w:hint="eastAsia" w:ascii="宋体" w:hAnsi="宋体" w:eastAsia="宋体" w:cs="宋体"/>
          <w:b/>
          <w:bCs/>
          <w:color w:val="000000"/>
          <w:sz w:val="24"/>
          <w:szCs w:val="24"/>
        </w:rPr>
      </w:pPr>
    </w:p>
    <w:p>
      <w:pPr>
        <w:pStyle w:val="18"/>
        <w:outlineLvl w:val="2"/>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pStyle w:val="18"/>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18"/>
      </w:pPr>
    </w:p>
    <w:p>
      <w:pPr>
        <w:rPr>
          <w:rFonts w:hint="eastAsia"/>
        </w:rPr>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8"/>
                    <a:stretch>
                      <a:fillRect/>
                    </a:stretch>
                  </pic:blipFill>
                  <pic:spPr>
                    <a:xfrm>
                      <a:off x="0" y="0"/>
                      <a:ext cx="5760085" cy="2810122"/>
                    </a:xfrm>
                    <a:prstGeom prst="rect">
                      <a:avLst/>
                    </a:prstGeom>
                  </pic:spPr>
                </pic:pic>
              </a:graphicData>
            </a:graphic>
          </wp:inline>
        </w:drawing>
      </w:r>
    </w:p>
    <w:p>
      <w:pPr>
        <w:pStyle w:val="18"/>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9"/>
                    <a:stretch>
                      <a:fillRect/>
                    </a:stretch>
                  </pic:blipFill>
                  <pic:spPr>
                    <a:xfrm>
                      <a:off x="0" y="0"/>
                      <a:ext cx="5760085" cy="2820042"/>
                    </a:xfrm>
                    <a:prstGeom prst="rect">
                      <a:avLst/>
                    </a:prstGeom>
                  </pic:spPr>
                </pic:pic>
              </a:graphicData>
            </a:graphic>
          </wp:inline>
        </w:drawing>
      </w:r>
    </w:p>
    <w:p>
      <w:pPr>
        <w:pStyle w:val="18"/>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18"/>
      </w:pPr>
      <w:r>
        <w:rPr>
          <w:rFonts w:hint="eastAsia" w:hAnsi="宋体" w:eastAsia="宋体" w:cs="宋体"/>
          <w:b/>
          <w:bCs/>
          <w:color w:val="000000"/>
          <w:sz w:val="24"/>
          <w:szCs w:val="28"/>
          <w:highlight w:val="yellow"/>
        </w:rPr>
        <w:t>2.配套能力“供货类别”填“工艺装备”，业务主管部门选择“工艺工匠研究院”。</w:t>
      </w:r>
    </w:p>
    <w:p>
      <w:pPr>
        <w:pStyle w:val="18"/>
        <w:sectPr>
          <w:pgSz w:w="11906" w:h="16838"/>
          <w:pgMar w:top="1588" w:right="1418" w:bottom="1134" w:left="1418" w:header="851" w:footer="992" w:gutter="0"/>
          <w:cols w:space="720" w:num="1"/>
          <w:titlePg/>
          <w:docGrid w:type="lines" w:linePitch="312" w:charSpace="0"/>
        </w:sectPr>
      </w:pPr>
    </w:p>
    <w:p>
      <w:pPr>
        <w:pStyle w:val="18"/>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5"/>
          <w:rFonts w:hint="eastAsia" w:ascii="宋体" w:hAnsi="宋体" w:eastAsia="宋体" w:cs="宋体"/>
          <w:sz w:val="24"/>
          <w:szCs w:val="24"/>
        </w:rPr>
        <w:t>https://ecaitong.sinotruk.com:8012/</w:t>
      </w:r>
      <w:r>
        <w:rPr>
          <w:rStyle w:val="45"/>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0"/>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18"/>
      </w:pPr>
      <w:r>
        <w:rPr>
          <w:rFonts w:hint="eastAsia" w:hAnsi="宋体" w:eastAsia="宋体" w:cs="宋体"/>
          <w:color w:val="000000"/>
          <w:sz w:val="24"/>
          <w:szCs w:val="28"/>
          <w:highlight w:val="yellow"/>
        </w:rPr>
        <w:t>注意：系统内的投标报价单位为“万元”，如开标现场发现填错报价，即直接淘汰。</w:t>
      </w:r>
    </w:p>
    <w:p>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5"/>
                    <a:stretch>
                      <a:fillRect/>
                    </a:stretch>
                  </pic:blipFill>
                  <pic:spPr>
                    <a:xfrm>
                      <a:off x="0" y="0"/>
                      <a:ext cx="5760085" cy="1956600"/>
                    </a:xfrm>
                    <a:prstGeom prst="rect">
                      <a:avLst/>
                    </a:prstGeom>
                  </pic:spPr>
                </pic:pic>
              </a:graphicData>
            </a:graphic>
          </wp:inline>
        </w:drawing>
      </w:r>
    </w:p>
    <w:p>
      <w:pPr>
        <w:pStyle w:val="18"/>
        <w:rPr>
          <w:rFonts w:hint="eastAsia" w:hAnsi="宋体" w:eastAsia="宋体" w:cs="Times New Roman"/>
          <w:b/>
          <w:color w:val="000000"/>
          <w:sz w:val="24"/>
          <w:szCs w:val="24"/>
        </w:rPr>
        <w:sectPr>
          <w:pgSz w:w="11906" w:h="16838"/>
          <w:pgMar w:top="1588" w:right="1418" w:bottom="1134" w:left="1418" w:header="851" w:footer="992" w:gutter="0"/>
          <w:cols w:space="720" w:num="1"/>
          <w:titlePg/>
          <w:docGrid w:type="lines" w:linePitch="312" w:charSpace="0"/>
        </w:sectPr>
      </w:pPr>
    </w:p>
    <w:p>
      <w:pPr>
        <w:pStyle w:val="18"/>
        <w:rPr>
          <w:rFonts w:hint="eastAsia" w:hAnsi="宋体" w:eastAsia="宋体" w:cs="Times New Roman"/>
          <w:b/>
          <w:color w:val="000000"/>
          <w:sz w:val="24"/>
          <w:szCs w:val="24"/>
        </w:rPr>
      </w:pPr>
    </w:p>
    <w:sectPr>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lear" w:pos="4153"/>
      </w:tabs>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p>
  <w:p>
    <w:pPr>
      <w:pStyle w:val="23"/>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right"/>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91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single" w:color="auto" w:sz="12" w:space="9"/>
      </w:pBdr>
      <w:jc w:val="both"/>
      <w:rPr>
        <w:rFonts w:hint="eastAsia"/>
      </w:rPr>
    </w:pPr>
    <w:r>
      <w:object>
        <v:shape id="_x0000_i1025" o:spt="75" type="#_x0000_t75" style="height:28.5pt;width:112.9pt;" o:ole="t" filled="f" o:preferrelative="t" stroked="f" coordsize="21600,21600">
          <v:path/>
          <v:fill on="f" focussize="0,0"/>
          <v:stroke on="f" joinstyle="miter"/>
          <v:imagedata r:id="rId2" o:title=""/>
          <o:lock v:ext="edit" aspectratio="t"/>
          <w10:wrap type="none"/>
          <w10:anchorlock/>
        </v:shape>
        <o:OLEObject Type="Embed" ProgID="PBrush" ShapeID="_x0000_i1025" DrawAspect="Content" ObjectID="_1468075725" r:id="rId1">
          <o:LockedField>false</o:LockedField>
        </o:OLEObject>
      </w:object>
    </w:r>
    <w:r>
      <w:rPr>
        <w:rFonts w:hint="eastAsia" w:ascii="黑体" w:eastAsia="黑体"/>
        <w:sz w:val="24"/>
      </w:rPr>
      <w:t xml:space="preserve">             </w:t>
    </w:r>
    <w:r>
      <w:rPr>
        <w:rFonts w:hint="eastAsia" w:ascii="黑体" w:eastAsia="黑体"/>
        <w:sz w:val="24"/>
        <w:szCs w:val="24"/>
      </w:rPr>
      <w:t xml:space="preserve">     曲轴、连杆检测能力提升项目技术标书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hint="eastAsia"/>
      </w:rPr>
    </w:pPr>
  </w:p>
  <w:p>
    <w:pPr>
      <w:pStyle w:val="24"/>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FB6B9761"/>
    <w:multiLevelType w:val="singleLevel"/>
    <w:tmpl w:val="FB6B9761"/>
    <w:lvl w:ilvl="0" w:tentative="0">
      <w:start w:val="2"/>
      <w:numFmt w:val="decimal"/>
      <w:suff w:val="nothing"/>
      <w:lvlText w:val="%1、"/>
      <w:lvlJc w:val="left"/>
    </w:lvl>
  </w:abstractNum>
  <w:abstractNum w:abstractNumId="3">
    <w:nsid w:val="FE640437"/>
    <w:multiLevelType w:val="singleLevel"/>
    <w:tmpl w:val="FE640437"/>
    <w:lvl w:ilvl="0" w:tentative="0">
      <w:start w:val="1"/>
      <w:numFmt w:val="decimal"/>
      <w:suff w:val="nothing"/>
      <w:lvlText w:val="（%1）"/>
      <w:lvlJc w:val="left"/>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1DECDA7B"/>
    <w:multiLevelType w:val="singleLevel"/>
    <w:tmpl w:val="1DECDA7B"/>
    <w:lvl w:ilvl="0" w:tentative="0">
      <w:start w:val="3"/>
      <w:numFmt w:val="chineseCounting"/>
      <w:suff w:val="nothing"/>
      <w:lvlText w:val="%1、"/>
      <w:lvlJc w:val="left"/>
      <w:rPr>
        <w:rFonts w:hint="eastAsia"/>
      </w:rPr>
    </w:lvl>
  </w:abstractNum>
  <w:abstractNum w:abstractNumId="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1C837A1"/>
    <w:multiLevelType w:val="singleLevel"/>
    <w:tmpl w:val="21C837A1"/>
    <w:lvl w:ilvl="0" w:tentative="0">
      <w:start w:val="1"/>
      <w:numFmt w:val="decimal"/>
      <w:lvlText w:val="%1."/>
      <w:lvlJc w:val="left"/>
      <w:pPr>
        <w:ind w:left="425" w:hanging="425"/>
      </w:pPr>
      <w:rPr>
        <w:rFonts w:hint="default"/>
      </w:rPr>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3C4C7D93"/>
    <w:multiLevelType w:val="multilevel"/>
    <w:tmpl w:val="3C4C7D93"/>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12"/>
  </w:num>
  <w:num w:numId="2">
    <w:abstractNumId w:val="0"/>
  </w:num>
  <w:num w:numId="3">
    <w:abstractNumId w:val="13"/>
  </w:num>
  <w:num w:numId="4">
    <w:abstractNumId w:val="7"/>
  </w:num>
  <w:num w:numId="5">
    <w:abstractNumId w:val="4"/>
  </w:num>
  <w:num w:numId="6">
    <w:abstractNumId w:val="11"/>
  </w:num>
  <w:num w:numId="7">
    <w:abstractNumId w:val="1"/>
  </w:num>
  <w:num w:numId="8">
    <w:abstractNumId w:val="9"/>
  </w:num>
  <w:num w:numId="9">
    <w:abstractNumId w:val="6"/>
  </w:num>
  <w:num w:numId="10">
    <w:abstractNumId w:val="5"/>
  </w:num>
  <w:num w:numId="11">
    <w:abstractNumId w:val="2"/>
  </w:num>
  <w:num w:numId="12">
    <w:abstractNumId w:val="10"/>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2F0D5C9B"/>
    <w:rsid w:val="000139F5"/>
    <w:rsid w:val="00022B06"/>
    <w:rsid w:val="00036836"/>
    <w:rsid w:val="00041CF8"/>
    <w:rsid w:val="0005777A"/>
    <w:rsid w:val="00065382"/>
    <w:rsid w:val="00080223"/>
    <w:rsid w:val="000A5309"/>
    <w:rsid w:val="000B52FC"/>
    <w:rsid w:val="000D6A51"/>
    <w:rsid w:val="000F45A3"/>
    <w:rsid w:val="001B397D"/>
    <w:rsid w:val="001C1EE3"/>
    <w:rsid w:val="001C713C"/>
    <w:rsid w:val="001D75B9"/>
    <w:rsid w:val="00200F05"/>
    <w:rsid w:val="00220056"/>
    <w:rsid w:val="002626ED"/>
    <w:rsid w:val="00265A40"/>
    <w:rsid w:val="00282FDE"/>
    <w:rsid w:val="0029130A"/>
    <w:rsid w:val="00372214"/>
    <w:rsid w:val="003A4540"/>
    <w:rsid w:val="003B4D7D"/>
    <w:rsid w:val="003E0AB3"/>
    <w:rsid w:val="00401C42"/>
    <w:rsid w:val="004076DE"/>
    <w:rsid w:val="00460AFB"/>
    <w:rsid w:val="00470130"/>
    <w:rsid w:val="00483B0A"/>
    <w:rsid w:val="004B5126"/>
    <w:rsid w:val="004F3814"/>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7C6B00"/>
    <w:rsid w:val="00806A61"/>
    <w:rsid w:val="00824BFD"/>
    <w:rsid w:val="008453B3"/>
    <w:rsid w:val="008D3B56"/>
    <w:rsid w:val="008D5CEF"/>
    <w:rsid w:val="00920F11"/>
    <w:rsid w:val="009360F9"/>
    <w:rsid w:val="00964F00"/>
    <w:rsid w:val="009959DB"/>
    <w:rsid w:val="009B511E"/>
    <w:rsid w:val="009E0F5E"/>
    <w:rsid w:val="00A21EB2"/>
    <w:rsid w:val="00A31561"/>
    <w:rsid w:val="00A54E95"/>
    <w:rsid w:val="00A80564"/>
    <w:rsid w:val="00A960B2"/>
    <w:rsid w:val="00AD0A88"/>
    <w:rsid w:val="00AE6633"/>
    <w:rsid w:val="00B01FF1"/>
    <w:rsid w:val="00B72516"/>
    <w:rsid w:val="00B92C97"/>
    <w:rsid w:val="00BA3C70"/>
    <w:rsid w:val="00BB4E42"/>
    <w:rsid w:val="00BB7460"/>
    <w:rsid w:val="00BF0E19"/>
    <w:rsid w:val="00C01073"/>
    <w:rsid w:val="00C12F60"/>
    <w:rsid w:val="00C855F6"/>
    <w:rsid w:val="00C92F53"/>
    <w:rsid w:val="00CD5223"/>
    <w:rsid w:val="00CE5010"/>
    <w:rsid w:val="00CE6E17"/>
    <w:rsid w:val="00CF71F5"/>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C2C49"/>
    <w:rsid w:val="00FD4560"/>
    <w:rsid w:val="00FE040F"/>
    <w:rsid w:val="00FE42B3"/>
    <w:rsid w:val="014832F2"/>
    <w:rsid w:val="014D51C1"/>
    <w:rsid w:val="01714809"/>
    <w:rsid w:val="01C52478"/>
    <w:rsid w:val="027408EE"/>
    <w:rsid w:val="02963F39"/>
    <w:rsid w:val="02B3095A"/>
    <w:rsid w:val="02BA7274"/>
    <w:rsid w:val="03251978"/>
    <w:rsid w:val="0325718A"/>
    <w:rsid w:val="042921B6"/>
    <w:rsid w:val="043342B8"/>
    <w:rsid w:val="043B72BB"/>
    <w:rsid w:val="04461EC1"/>
    <w:rsid w:val="04504B3F"/>
    <w:rsid w:val="04AD02B8"/>
    <w:rsid w:val="04DE51C8"/>
    <w:rsid w:val="04DF17D4"/>
    <w:rsid w:val="04EE7F1F"/>
    <w:rsid w:val="05412745"/>
    <w:rsid w:val="05491761"/>
    <w:rsid w:val="05793C8D"/>
    <w:rsid w:val="05A351AD"/>
    <w:rsid w:val="05F9748A"/>
    <w:rsid w:val="06266F78"/>
    <w:rsid w:val="063E7B7A"/>
    <w:rsid w:val="06582413"/>
    <w:rsid w:val="06682E69"/>
    <w:rsid w:val="067E33B8"/>
    <w:rsid w:val="06B96433"/>
    <w:rsid w:val="06D02B99"/>
    <w:rsid w:val="06E82FCB"/>
    <w:rsid w:val="06F34B95"/>
    <w:rsid w:val="07571DAC"/>
    <w:rsid w:val="07837205"/>
    <w:rsid w:val="07867620"/>
    <w:rsid w:val="08916B94"/>
    <w:rsid w:val="08DD171B"/>
    <w:rsid w:val="08E64121"/>
    <w:rsid w:val="09390B2F"/>
    <w:rsid w:val="0942017F"/>
    <w:rsid w:val="09B73E1A"/>
    <w:rsid w:val="09BA1FBB"/>
    <w:rsid w:val="09CB139F"/>
    <w:rsid w:val="0A0106F5"/>
    <w:rsid w:val="0A112AB7"/>
    <w:rsid w:val="0A4E5482"/>
    <w:rsid w:val="0AAA504A"/>
    <w:rsid w:val="0AD71BC7"/>
    <w:rsid w:val="0AF420EB"/>
    <w:rsid w:val="0B2B2BF5"/>
    <w:rsid w:val="0B2F3908"/>
    <w:rsid w:val="0B3F6206"/>
    <w:rsid w:val="0BDE715C"/>
    <w:rsid w:val="0BE12DB6"/>
    <w:rsid w:val="0BFC6504"/>
    <w:rsid w:val="0C345AD1"/>
    <w:rsid w:val="0C360B29"/>
    <w:rsid w:val="0C626CE4"/>
    <w:rsid w:val="0CD43A86"/>
    <w:rsid w:val="0D030966"/>
    <w:rsid w:val="0D0C2B7B"/>
    <w:rsid w:val="0D5A4E61"/>
    <w:rsid w:val="0D9308F8"/>
    <w:rsid w:val="0DE76C3D"/>
    <w:rsid w:val="0E1A1D85"/>
    <w:rsid w:val="0E750568"/>
    <w:rsid w:val="0E9C3C97"/>
    <w:rsid w:val="0F2D7A80"/>
    <w:rsid w:val="0F4277E5"/>
    <w:rsid w:val="0FA75561"/>
    <w:rsid w:val="0FB83603"/>
    <w:rsid w:val="0FBD7C37"/>
    <w:rsid w:val="0FCA77F1"/>
    <w:rsid w:val="0FCD5DCC"/>
    <w:rsid w:val="10043197"/>
    <w:rsid w:val="10270545"/>
    <w:rsid w:val="103409DF"/>
    <w:rsid w:val="108A1D4B"/>
    <w:rsid w:val="10A10111"/>
    <w:rsid w:val="10BE093E"/>
    <w:rsid w:val="10E20BD8"/>
    <w:rsid w:val="111B0FE9"/>
    <w:rsid w:val="112C77F4"/>
    <w:rsid w:val="114755AB"/>
    <w:rsid w:val="115F67A8"/>
    <w:rsid w:val="11954A5C"/>
    <w:rsid w:val="119A7465"/>
    <w:rsid w:val="11A833CB"/>
    <w:rsid w:val="11C07DA5"/>
    <w:rsid w:val="11C2491E"/>
    <w:rsid w:val="11F36B75"/>
    <w:rsid w:val="12491386"/>
    <w:rsid w:val="12E60579"/>
    <w:rsid w:val="12EB0F02"/>
    <w:rsid w:val="13695B36"/>
    <w:rsid w:val="1372609F"/>
    <w:rsid w:val="13D73572"/>
    <w:rsid w:val="14504752"/>
    <w:rsid w:val="145A6A37"/>
    <w:rsid w:val="1463001B"/>
    <w:rsid w:val="1467440F"/>
    <w:rsid w:val="15400323"/>
    <w:rsid w:val="15433A9B"/>
    <w:rsid w:val="15FC2F04"/>
    <w:rsid w:val="16181FAC"/>
    <w:rsid w:val="168756A0"/>
    <w:rsid w:val="16F94849"/>
    <w:rsid w:val="17045E51"/>
    <w:rsid w:val="172011D4"/>
    <w:rsid w:val="17252C3B"/>
    <w:rsid w:val="173C25C7"/>
    <w:rsid w:val="173F0A2E"/>
    <w:rsid w:val="17770BC2"/>
    <w:rsid w:val="17860E2F"/>
    <w:rsid w:val="17A119AA"/>
    <w:rsid w:val="18586F2B"/>
    <w:rsid w:val="19A766B9"/>
    <w:rsid w:val="19CE76BA"/>
    <w:rsid w:val="19F26070"/>
    <w:rsid w:val="19F97C8B"/>
    <w:rsid w:val="1A1523CE"/>
    <w:rsid w:val="1AA730BD"/>
    <w:rsid w:val="1ADF38C8"/>
    <w:rsid w:val="1AEC7AC2"/>
    <w:rsid w:val="1B333D5D"/>
    <w:rsid w:val="1B587618"/>
    <w:rsid w:val="1B5F19C7"/>
    <w:rsid w:val="1C1C709B"/>
    <w:rsid w:val="1C4F6795"/>
    <w:rsid w:val="1C9F6814"/>
    <w:rsid w:val="1D492C08"/>
    <w:rsid w:val="1D5C514E"/>
    <w:rsid w:val="1D5E109A"/>
    <w:rsid w:val="1D865D14"/>
    <w:rsid w:val="1D8705EC"/>
    <w:rsid w:val="1DEC0E7D"/>
    <w:rsid w:val="1E43150B"/>
    <w:rsid w:val="1EA93E80"/>
    <w:rsid w:val="1ED33FB6"/>
    <w:rsid w:val="1EE81332"/>
    <w:rsid w:val="1F1C3BAF"/>
    <w:rsid w:val="1F32415A"/>
    <w:rsid w:val="1F542F9A"/>
    <w:rsid w:val="1F702632"/>
    <w:rsid w:val="1F7E2174"/>
    <w:rsid w:val="1FB64E98"/>
    <w:rsid w:val="20107567"/>
    <w:rsid w:val="205567CA"/>
    <w:rsid w:val="20AB56C6"/>
    <w:rsid w:val="21547789"/>
    <w:rsid w:val="2176507C"/>
    <w:rsid w:val="21BE35AF"/>
    <w:rsid w:val="21C11174"/>
    <w:rsid w:val="22244B28"/>
    <w:rsid w:val="22467FD4"/>
    <w:rsid w:val="22867B2D"/>
    <w:rsid w:val="229451FD"/>
    <w:rsid w:val="22A12DB6"/>
    <w:rsid w:val="236356D1"/>
    <w:rsid w:val="23A91C83"/>
    <w:rsid w:val="23C962E8"/>
    <w:rsid w:val="247E4FED"/>
    <w:rsid w:val="24A01CB7"/>
    <w:rsid w:val="24AD78E0"/>
    <w:rsid w:val="24B30BE8"/>
    <w:rsid w:val="24E34060"/>
    <w:rsid w:val="252C4420"/>
    <w:rsid w:val="253A0491"/>
    <w:rsid w:val="254E0478"/>
    <w:rsid w:val="25E036B2"/>
    <w:rsid w:val="25E9082A"/>
    <w:rsid w:val="25F42473"/>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BD6726"/>
    <w:rsid w:val="29C32A87"/>
    <w:rsid w:val="29CF26DC"/>
    <w:rsid w:val="2A1C5DA0"/>
    <w:rsid w:val="2A200D39"/>
    <w:rsid w:val="2A507EFF"/>
    <w:rsid w:val="2ADC05A4"/>
    <w:rsid w:val="2AEF2177"/>
    <w:rsid w:val="2B161149"/>
    <w:rsid w:val="2B6F0D7F"/>
    <w:rsid w:val="2B8716BD"/>
    <w:rsid w:val="2B8A1EA0"/>
    <w:rsid w:val="2B8B76FF"/>
    <w:rsid w:val="2BD5034F"/>
    <w:rsid w:val="2D025012"/>
    <w:rsid w:val="2D4178F0"/>
    <w:rsid w:val="2DAE631A"/>
    <w:rsid w:val="2DD877E0"/>
    <w:rsid w:val="2DE616C9"/>
    <w:rsid w:val="2DFC2451"/>
    <w:rsid w:val="2E3422F8"/>
    <w:rsid w:val="2E6E566D"/>
    <w:rsid w:val="2E7A3497"/>
    <w:rsid w:val="2E7F188E"/>
    <w:rsid w:val="2EBC0905"/>
    <w:rsid w:val="2EC73739"/>
    <w:rsid w:val="2EFB1B0E"/>
    <w:rsid w:val="2F0D5C9B"/>
    <w:rsid w:val="2F5C684F"/>
    <w:rsid w:val="2F63756E"/>
    <w:rsid w:val="307610EA"/>
    <w:rsid w:val="307776D1"/>
    <w:rsid w:val="30862574"/>
    <w:rsid w:val="30B631E1"/>
    <w:rsid w:val="311933AA"/>
    <w:rsid w:val="317D15BB"/>
    <w:rsid w:val="31C825FC"/>
    <w:rsid w:val="31D07E6C"/>
    <w:rsid w:val="31F6203D"/>
    <w:rsid w:val="323F65DA"/>
    <w:rsid w:val="32412074"/>
    <w:rsid w:val="327C2FDC"/>
    <w:rsid w:val="32A43435"/>
    <w:rsid w:val="32DE0199"/>
    <w:rsid w:val="32E122D9"/>
    <w:rsid w:val="333C2963"/>
    <w:rsid w:val="335B2774"/>
    <w:rsid w:val="33A4642E"/>
    <w:rsid w:val="33D4039C"/>
    <w:rsid w:val="33D47E05"/>
    <w:rsid w:val="3413677D"/>
    <w:rsid w:val="342B544B"/>
    <w:rsid w:val="345E036E"/>
    <w:rsid w:val="34C47852"/>
    <w:rsid w:val="34DE1E4F"/>
    <w:rsid w:val="34F07DB1"/>
    <w:rsid w:val="35092435"/>
    <w:rsid w:val="359009FB"/>
    <w:rsid w:val="35D354B8"/>
    <w:rsid w:val="35D4025C"/>
    <w:rsid w:val="362666BC"/>
    <w:rsid w:val="367774C5"/>
    <w:rsid w:val="368A6B11"/>
    <w:rsid w:val="37085B1F"/>
    <w:rsid w:val="372E04CB"/>
    <w:rsid w:val="38891F93"/>
    <w:rsid w:val="38E070F2"/>
    <w:rsid w:val="390D33AB"/>
    <w:rsid w:val="391E6D06"/>
    <w:rsid w:val="39DB708C"/>
    <w:rsid w:val="3A074847"/>
    <w:rsid w:val="3A830B2E"/>
    <w:rsid w:val="3AA90FE6"/>
    <w:rsid w:val="3AA9318F"/>
    <w:rsid w:val="3AB62DA0"/>
    <w:rsid w:val="3ACF7DBC"/>
    <w:rsid w:val="3B69577B"/>
    <w:rsid w:val="3B702D85"/>
    <w:rsid w:val="3B7D3FD5"/>
    <w:rsid w:val="3B823DDF"/>
    <w:rsid w:val="3BD827B4"/>
    <w:rsid w:val="3C237ED3"/>
    <w:rsid w:val="3C460D90"/>
    <w:rsid w:val="3C4D2D59"/>
    <w:rsid w:val="3CAA596A"/>
    <w:rsid w:val="3CAF1D22"/>
    <w:rsid w:val="3CB1587B"/>
    <w:rsid w:val="3CB735F2"/>
    <w:rsid w:val="3D186684"/>
    <w:rsid w:val="3D363C36"/>
    <w:rsid w:val="3D8B2178"/>
    <w:rsid w:val="3DB34909"/>
    <w:rsid w:val="3DD115F5"/>
    <w:rsid w:val="3DE435F0"/>
    <w:rsid w:val="3DE5122C"/>
    <w:rsid w:val="3DF37E53"/>
    <w:rsid w:val="3E99042E"/>
    <w:rsid w:val="3ED26DE9"/>
    <w:rsid w:val="3EED17D0"/>
    <w:rsid w:val="3F0C0304"/>
    <w:rsid w:val="3F774839"/>
    <w:rsid w:val="3FEC147E"/>
    <w:rsid w:val="40376375"/>
    <w:rsid w:val="40632A1B"/>
    <w:rsid w:val="412732B7"/>
    <w:rsid w:val="4127791F"/>
    <w:rsid w:val="41281794"/>
    <w:rsid w:val="413C1FDF"/>
    <w:rsid w:val="41806A69"/>
    <w:rsid w:val="41B0259C"/>
    <w:rsid w:val="41BC6F1C"/>
    <w:rsid w:val="41EF2363"/>
    <w:rsid w:val="41F77860"/>
    <w:rsid w:val="420E6F2F"/>
    <w:rsid w:val="424A4B98"/>
    <w:rsid w:val="42581D3A"/>
    <w:rsid w:val="42AB29D0"/>
    <w:rsid w:val="42ED2EA4"/>
    <w:rsid w:val="42F6649D"/>
    <w:rsid w:val="42FE0080"/>
    <w:rsid w:val="43315D2E"/>
    <w:rsid w:val="433810DB"/>
    <w:rsid w:val="43670C99"/>
    <w:rsid w:val="43824A1C"/>
    <w:rsid w:val="43836958"/>
    <w:rsid w:val="43D110E1"/>
    <w:rsid w:val="43DF072A"/>
    <w:rsid w:val="43E873C9"/>
    <w:rsid w:val="44905B1F"/>
    <w:rsid w:val="45316885"/>
    <w:rsid w:val="45334280"/>
    <w:rsid w:val="45952E4D"/>
    <w:rsid w:val="45A95EE9"/>
    <w:rsid w:val="45FB0F21"/>
    <w:rsid w:val="46167166"/>
    <w:rsid w:val="4636719A"/>
    <w:rsid w:val="47200EE3"/>
    <w:rsid w:val="47435AC2"/>
    <w:rsid w:val="47544B78"/>
    <w:rsid w:val="47587AF7"/>
    <w:rsid w:val="47745A86"/>
    <w:rsid w:val="479C2B10"/>
    <w:rsid w:val="47E239AC"/>
    <w:rsid w:val="480F4B73"/>
    <w:rsid w:val="487974BD"/>
    <w:rsid w:val="48DB38E3"/>
    <w:rsid w:val="49001B5E"/>
    <w:rsid w:val="49376DB0"/>
    <w:rsid w:val="49804BB7"/>
    <w:rsid w:val="49826DCB"/>
    <w:rsid w:val="499013E7"/>
    <w:rsid w:val="49C8088A"/>
    <w:rsid w:val="4A0F6D68"/>
    <w:rsid w:val="4A301C93"/>
    <w:rsid w:val="4A3302AB"/>
    <w:rsid w:val="4A572A17"/>
    <w:rsid w:val="4A6F2535"/>
    <w:rsid w:val="4AC85D49"/>
    <w:rsid w:val="4AE308A9"/>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B132DD"/>
    <w:rsid w:val="4DC000E1"/>
    <w:rsid w:val="4DD7034C"/>
    <w:rsid w:val="4DE312CB"/>
    <w:rsid w:val="4DF5318E"/>
    <w:rsid w:val="4E1F4862"/>
    <w:rsid w:val="4E2E4393"/>
    <w:rsid w:val="4E535EF2"/>
    <w:rsid w:val="4F08773C"/>
    <w:rsid w:val="4F31409F"/>
    <w:rsid w:val="4F5E670E"/>
    <w:rsid w:val="4F846A83"/>
    <w:rsid w:val="50070E2C"/>
    <w:rsid w:val="501112F3"/>
    <w:rsid w:val="504B57F2"/>
    <w:rsid w:val="50850D04"/>
    <w:rsid w:val="50952AC3"/>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1A51E1"/>
    <w:rsid w:val="542631B6"/>
    <w:rsid w:val="543D6020"/>
    <w:rsid w:val="5447483C"/>
    <w:rsid w:val="54862A07"/>
    <w:rsid w:val="54942CAE"/>
    <w:rsid w:val="54A61722"/>
    <w:rsid w:val="54B31FAF"/>
    <w:rsid w:val="54FB10D7"/>
    <w:rsid w:val="55326D63"/>
    <w:rsid w:val="555D1A10"/>
    <w:rsid w:val="55C300FC"/>
    <w:rsid w:val="56AC4A78"/>
    <w:rsid w:val="56DB16B9"/>
    <w:rsid w:val="577A3463"/>
    <w:rsid w:val="57CC4919"/>
    <w:rsid w:val="57F967AD"/>
    <w:rsid w:val="58052975"/>
    <w:rsid w:val="58063909"/>
    <w:rsid w:val="580C2125"/>
    <w:rsid w:val="583A5AAD"/>
    <w:rsid w:val="584D1A65"/>
    <w:rsid w:val="584F5C44"/>
    <w:rsid w:val="58E525CA"/>
    <w:rsid w:val="58EE7372"/>
    <w:rsid w:val="593D045A"/>
    <w:rsid w:val="5960739E"/>
    <w:rsid w:val="59896D0A"/>
    <w:rsid w:val="59B72684"/>
    <w:rsid w:val="5A9579AE"/>
    <w:rsid w:val="5AC468CD"/>
    <w:rsid w:val="5B342B9A"/>
    <w:rsid w:val="5B5953B0"/>
    <w:rsid w:val="5B630802"/>
    <w:rsid w:val="5B807F68"/>
    <w:rsid w:val="5BA72CE5"/>
    <w:rsid w:val="5BEE7C3C"/>
    <w:rsid w:val="5C034D53"/>
    <w:rsid w:val="5C0A43A9"/>
    <w:rsid w:val="5D722852"/>
    <w:rsid w:val="5DA13E95"/>
    <w:rsid w:val="5DF60588"/>
    <w:rsid w:val="5E1D6F56"/>
    <w:rsid w:val="5E52187F"/>
    <w:rsid w:val="5E6567AD"/>
    <w:rsid w:val="5E6A13CD"/>
    <w:rsid w:val="5E705D15"/>
    <w:rsid w:val="5E93326C"/>
    <w:rsid w:val="5E9F1A7A"/>
    <w:rsid w:val="5EAF10E7"/>
    <w:rsid w:val="5EAF3818"/>
    <w:rsid w:val="5EFB4BA4"/>
    <w:rsid w:val="5F025452"/>
    <w:rsid w:val="5F5F46B5"/>
    <w:rsid w:val="5FB25360"/>
    <w:rsid w:val="5FBA3CC0"/>
    <w:rsid w:val="5FBE258A"/>
    <w:rsid w:val="5FD90D61"/>
    <w:rsid w:val="60177697"/>
    <w:rsid w:val="602329DB"/>
    <w:rsid w:val="607777D6"/>
    <w:rsid w:val="60BC76A1"/>
    <w:rsid w:val="610B7637"/>
    <w:rsid w:val="612279BA"/>
    <w:rsid w:val="615F5624"/>
    <w:rsid w:val="61D215CF"/>
    <w:rsid w:val="61D73926"/>
    <w:rsid w:val="624F75A7"/>
    <w:rsid w:val="625C563D"/>
    <w:rsid w:val="626A1704"/>
    <w:rsid w:val="626A7C7E"/>
    <w:rsid w:val="627921C2"/>
    <w:rsid w:val="62B362C8"/>
    <w:rsid w:val="62C1330E"/>
    <w:rsid w:val="6342085E"/>
    <w:rsid w:val="636F415C"/>
    <w:rsid w:val="638842CE"/>
    <w:rsid w:val="64917820"/>
    <w:rsid w:val="64AA1CC5"/>
    <w:rsid w:val="64D771FD"/>
    <w:rsid w:val="6528341F"/>
    <w:rsid w:val="656B2909"/>
    <w:rsid w:val="65970AF2"/>
    <w:rsid w:val="65A06FAF"/>
    <w:rsid w:val="65A3045D"/>
    <w:rsid w:val="65D97752"/>
    <w:rsid w:val="65E25E59"/>
    <w:rsid w:val="66307F76"/>
    <w:rsid w:val="66580EAF"/>
    <w:rsid w:val="66694D0D"/>
    <w:rsid w:val="667B4472"/>
    <w:rsid w:val="66D5676A"/>
    <w:rsid w:val="66F041A8"/>
    <w:rsid w:val="67171FB2"/>
    <w:rsid w:val="6721178A"/>
    <w:rsid w:val="6739399A"/>
    <w:rsid w:val="673F39DE"/>
    <w:rsid w:val="674C5D22"/>
    <w:rsid w:val="67663AF8"/>
    <w:rsid w:val="67762CFD"/>
    <w:rsid w:val="677A678D"/>
    <w:rsid w:val="67B77327"/>
    <w:rsid w:val="67D30B32"/>
    <w:rsid w:val="67FE1573"/>
    <w:rsid w:val="68011379"/>
    <w:rsid w:val="68252C37"/>
    <w:rsid w:val="683338F6"/>
    <w:rsid w:val="68817BAC"/>
    <w:rsid w:val="689A5E59"/>
    <w:rsid w:val="68A94E70"/>
    <w:rsid w:val="68EE72DF"/>
    <w:rsid w:val="68FE744E"/>
    <w:rsid w:val="690B4C92"/>
    <w:rsid w:val="6942733B"/>
    <w:rsid w:val="69485FEA"/>
    <w:rsid w:val="69677DC0"/>
    <w:rsid w:val="69937EC7"/>
    <w:rsid w:val="69D64558"/>
    <w:rsid w:val="6A042548"/>
    <w:rsid w:val="6A471EFD"/>
    <w:rsid w:val="6AB57116"/>
    <w:rsid w:val="6ADD183E"/>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243FDE"/>
    <w:rsid w:val="6F7F7CB0"/>
    <w:rsid w:val="6FE0165C"/>
    <w:rsid w:val="6FE10C44"/>
    <w:rsid w:val="6FE32EFA"/>
    <w:rsid w:val="70222744"/>
    <w:rsid w:val="706D25DF"/>
    <w:rsid w:val="706D2B21"/>
    <w:rsid w:val="707B1384"/>
    <w:rsid w:val="70857A34"/>
    <w:rsid w:val="70985D3C"/>
    <w:rsid w:val="70D80585"/>
    <w:rsid w:val="70F81685"/>
    <w:rsid w:val="71047C73"/>
    <w:rsid w:val="7109004F"/>
    <w:rsid w:val="71103167"/>
    <w:rsid w:val="712E56F7"/>
    <w:rsid w:val="71691ABB"/>
    <w:rsid w:val="71AE1AEA"/>
    <w:rsid w:val="71CF3B6C"/>
    <w:rsid w:val="71F80F33"/>
    <w:rsid w:val="722922C6"/>
    <w:rsid w:val="722973FA"/>
    <w:rsid w:val="727176A7"/>
    <w:rsid w:val="72AC2584"/>
    <w:rsid w:val="72CB03A1"/>
    <w:rsid w:val="732D4B5D"/>
    <w:rsid w:val="73393C88"/>
    <w:rsid w:val="7362513F"/>
    <w:rsid w:val="73771D49"/>
    <w:rsid w:val="73A1354E"/>
    <w:rsid w:val="74006876"/>
    <w:rsid w:val="74A11E7D"/>
    <w:rsid w:val="74DC1BFA"/>
    <w:rsid w:val="75590B0A"/>
    <w:rsid w:val="7582279F"/>
    <w:rsid w:val="75843EB5"/>
    <w:rsid w:val="75BB71AF"/>
    <w:rsid w:val="75F01962"/>
    <w:rsid w:val="760E19DF"/>
    <w:rsid w:val="764E52E0"/>
    <w:rsid w:val="764F3097"/>
    <w:rsid w:val="76557F3E"/>
    <w:rsid w:val="76676A53"/>
    <w:rsid w:val="76A3294D"/>
    <w:rsid w:val="76B620A1"/>
    <w:rsid w:val="76F20814"/>
    <w:rsid w:val="77462524"/>
    <w:rsid w:val="779A6594"/>
    <w:rsid w:val="77A21064"/>
    <w:rsid w:val="77E34EB2"/>
    <w:rsid w:val="78071E5D"/>
    <w:rsid w:val="781564B8"/>
    <w:rsid w:val="781B2E5F"/>
    <w:rsid w:val="78224ACF"/>
    <w:rsid w:val="78CD6DCC"/>
    <w:rsid w:val="78D07CAF"/>
    <w:rsid w:val="78DE12D7"/>
    <w:rsid w:val="79210683"/>
    <w:rsid w:val="799C3465"/>
    <w:rsid w:val="79B14EC4"/>
    <w:rsid w:val="7A2A6B4A"/>
    <w:rsid w:val="7A681070"/>
    <w:rsid w:val="7A860C7C"/>
    <w:rsid w:val="7AB879FE"/>
    <w:rsid w:val="7B072683"/>
    <w:rsid w:val="7B3264DD"/>
    <w:rsid w:val="7B81188A"/>
    <w:rsid w:val="7B9E2902"/>
    <w:rsid w:val="7BC854E2"/>
    <w:rsid w:val="7BE17CC7"/>
    <w:rsid w:val="7C0562EC"/>
    <w:rsid w:val="7C067A45"/>
    <w:rsid w:val="7C27683F"/>
    <w:rsid w:val="7CB14B4D"/>
    <w:rsid w:val="7CF26969"/>
    <w:rsid w:val="7D25523C"/>
    <w:rsid w:val="7DB23041"/>
    <w:rsid w:val="7E253FEC"/>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7"/>
    <w:qFormat/>
    <w:uiPriority w:val="9"/>
    <w:pPr>
      <w:keepNext/>
      <w:keepLines/>
      <w:jc w:val="center"/>
      <w:outlineLvl w:val="0"/>
    </w:pPr>
    <w:rPr>
      <w:b/>
      <w:bCs/>
      <w:kern w:val="44"/>
      <w:sz w:val="36"/>
      <w:szCs w:val="44"/>
    </w:rPr>
  </w:style>
  <w:style w:type="paragraph" w:styleId="4">
    <w:name w:val="heading 2"/>
    <w:basedOn w:val="1"/>
    <w:next w:val="1"/>
    <w:link w:val="48"/>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9"/>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qFormat/>
    <w:uiPriority w:val="0"/>
    <w:pPr>
      <w:keepNext/>
      <w:keepLines/>
      <w:spacing w:line="480" w:lineRule="exact"/>
      <w:outlineLvl w:val="4"/>
    </w:pPr>
    <w:rPr>
      <w:bCs/>
      <w:szCs w:val="28"/>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0"/>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1"/>
    <w:qFormat/>
    <w:uiPriority w:val="0"/>
    <w:pPr>
      <w:jc w:val="left"/>
    </w:pPr>
  </w:style>
  <w:style w:type="paragraph" w:styleId="13">
    <w:name w:val="Body Text"/>
    <w:basedOn w:val="1"/>
    <w:next w:val="14"/>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customStyle="1" w:styleId="14">
    <w:name w:val="Default"/>
    <w:link w:val="74"/>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paragraph" w:styleId="15">
    <w:name w:val="Body Text Indent"/>
    <w:basedOn w:val="1"/>
    <w:link w:val="78"/>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Plain Text"/>
    <w:basedOn w:val="1"/>
    <w:link w:val="72"/>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3"/>
    <w:qFormat/>
    <w:uiPriority w:val="0"/>
    <w:pPr>
      <w:ind w:left="100" w:leftChars="2500"/>
    </w:pPr>
    <w:rPr>
      <w:sz w:val="24"/>
    </w:rPr>
  </w:style>
  <w:style w:type="paragraph" w:styleId="21">
    <w:name w:val="Body Text Indent 2"/>
    <w:basedOn w:val="1"/>
    <w:link w:val="51"/>
    <w:qFormat/>
    <w:uiPriority w:val="0"/>
    <w:pPr>
      <w:spacing w:after="120" w:line="480" w:lineRule="auto"/>
      <w:ind w:left="420" w:leftChars="200"/>
    </w:pPr>
  </w:style>
  <w:style w:type="paragraph" w:styleId="22">
    <w:name w:val="Balloon Text"/>
    <w:basedOn w:val="1"/>
    <w:link w:val="67"/>
    <w:qFormat/>
    <w:uiPriority w:val="0"/>
    <w:rPr>
      <w:sz w:val="18"/>
    </w:rPr>
  </w:style>
  <w:style w:type="paragraph" w:styleId="23">
    <w:name w:val="footer"/>
    <w:basedOn w:val="1"/>
    <w:link w:val="73"/>
    <w:qFormat/>
    <w:uiPriority w:val="99"/>
    <w:pPr>
      <w:tabs>
        <w:tab w:val="center" w:pos="4153"/>
        <w:tab w:val="right" w:pos="8306"/>
      </w:tabs>
      <w:snapToGrid w:val="0"/>
      <w:jc w:val="left"/>
    </w:pPr>
    <w:rPr>
      <w:sz w:val="18"/>
    </w:rPr>
  </w:style>
  <w:style w:type="paragraph" w:styleId="24">
    <w:name w:val="header"/>
    <w:basedOn w:val="1"/>
    <w:link w:val="59"/>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List"/>
    <w:basedOn w:val="1"/>
    <w:qFormat/>
    <w:uiPriority w:val="99"/>
    <w:pPr>
      <w:ind w:left="420" w:hanging="420"/>
    </w:pPr>
    <w:rPr>
      <w:rFonts w:ascii="Times New Roman" w:hAnsi="Times New Roman" w:eastAsia="宋体" w:cs="Times New Roman"/>
      <w:szCs w:val="20"/>
    </w:rPr>
  </w:style>
  <w:style w:type="paragraph" w:styleId="28">
    <w:name w:val="toc 6"/>
    <w:basedOn w:val="1"/>
    <w:next w:val="1"/>
    <w:qFormat/>
    <w:uiPriority w:val="39"/>
    <w:pPr>
      <w:ind w:left="1200"/>
      <w:jc w:val="left"/>
    </w:pPr>
    <w:rPr>
      <w:rFonts w:ascii="Calibri" w:hAnsi="Calibri" w:eastAsia="宋体" w:cs="Times New Roman"/>
      <w:sz w:val="18"/>
      <w:szCs w:val="18"/>
    </w:rPr>
  </w:style>
  <w:style w:type="paragraph" w:styleId="29">
    <w:name w:val="Body Text Indent 3"/>
    <w:basedOn w:val="1"/>
    <w:link w:val="53"/>
    <w:qFormat/>
    <w:uiPriority w:val="0"/>
    <w:pPr>
      <w:spacing w:after="120"/>
      <w:ind w:left="420" w:leftChars="200"/>
    </w:pPr>
    <w:rPr>
      <w:sz w:val="16"/>
    </w:rPr>
  </w:style>
  <w:style w:type="paragraph" w:styleId="30">
    <w:name w:val="toc 2"/>
    <w:basedOn w:val="1"/>
    <w:next w:val="1"/>
    <w:unhideWhenUsed/>
    <w:qFormat/>
    <w:uiPriority w:val="39"/>
    <w:pPr>
      <w:ind w:left="420" w:leftChars="200"/>
    </w:pPr>
    <w:rPr>
      <w:rFonts w:ascii="Calibri" w:hAnsi="Calibri" w:eastAsia="宋体" w:cs="Times New Roman"/>
      <w:szCs w:val="20"/>
    </w:rPr>
  </w:style>
  <w:style w:type="paragraph" w:styleId="31">
    <w:name w:val="toc 9"/>
    <w:basedOn w:val="1"/>
    <w:next w:val="1"/>
    <w:qFormat/>
    <w:uiPriority w:val="39"/>
    <w:pPr>
      <w:ind w:left="1920"/>
      <w:jc w:val="left"/>
    </w:pPr>
    <w:rPr>
      <w:rFonts w:ascii="Calibri" w:hAnsi="Calibri" w:eastAsia="宋体" w:cs="Times New Roman"/>
      <w:sz w:val="18"/>
      <w:szCs w:val="18"/>
    </w:rPr>
  </w:style>
  <w:style w:type="paragraph" w:styleId="32">
    <w:name w:val="Normal (Web)"/>
    <w:basedOn w:val="1"/>
    <w:qFormat/>
    <w:uiPriority w:val="99"/>
    <w:rPr>
      <w:rFonts w:ascii="Calibri" w:hAnsi="Calibri" w:eastAsia="宋体" w:cs="Times New Roman"/>
      <w:sz w:val="24"/>
      <w:szCs w:val="20"/>
    </w:rPr>
  </w:style>
  <w:style w:type="paragraph" w:styleId="33">
    <w:name w:val="index 1"/>
    <w:basedOn w:val="1"/>
    <w:next w:val="1"/>
    <w:qFormat/>
    <w:uiPriority w:val="99"/>
    <w:rPr>
      <w:rFonts w:ascii="Calibri" w:hAnsi="Calibri" w:eastAsia="宋体" w:cs="Times New Roman"/>
      <w:sz w:val="24"/>
      <w:szCs w:val="24"/>
    </w:rPr>
  </w:style>
  <w:style w:type="paragraph" w:styleId="34">
    <w:name w:val="Title"/>
    <w:basedOn w:val="1"/>
    <w:next w:val="1"/>
    <w:link w:val="62"/>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2"/>
    <w:next w:val="12"/>
    <w:link w:val="52"/>
    <w:qFormat/>
    <w:uiPriority w:val="0"/>
    <w:rPr>
      <w:b/>
    </w:rPr>
  </w:style>
  <w:style w:type="paragraph" w:styleId="36">
    <w:name w:val="Body Text First Indent 2"/>
    <w:basedOn w:val="15"/>
    <w:semiHidden/>
    <w:qFormat/>
    <w:uiPriority w:val="99"/>
    <w:pPr>
      <w:spacing w:line="276" w:lineRule="auto"/>
      <w:ind w:firstLine="420" w:firstLineChars="200"/>
      <w:jc w:val="left"/>
    </w:pPr>
  </w:style>
  <w:style w:type="table" w:styleId="38">
    <w:name w:val="Table Grid"/>
    <w:basedOn w:val="3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22"/>
    <w:rPr>
      <w:b/>
    </w:rPr>
  </w:style>
  <w:style w:type="character" w:styleId="41">
    <w:name w:val="page number"/>
    <w:basedOn w:val="39"/>
    <w:qFormat/>
    <w:uiPriority w:val="99"/>
    <w:rPr>
      <w:rFonts w:cs="Times New Roman"/>
    </w:rPr>
  </w:style>
  <w:style w:type="character" w:styleId="42">
    <w:name w:val="FollowedHyperlink"/>
    <w:basedOn w:val="39"/>
    <w:qFormat/>
    <w:uiPriority w:val="99"/>
    <w:rPr>
      <w:color w:val="800080"/>
      <w:u w:val="single"/>
    </w:rPr>
  </w:style>
  <w:style w:type="character" w:styleId="43">
    <w:name w:val="Emphasis"/>
    <w:qFormat/>
    <w:uiPriority w:val="99"/>
    <w:rPr>
      <w:rFonts w:cs="Times New Roman"/>
      <w:color w:val="auto"/>
    </w:rPr>
  </w:style>
  <w:style w:type="character" w:styleId="44">
    <w:name w:val="HTML Acronym"/>
    <w:basedOn w:val="39"/>
    <w:qFormat/>
    <w:uiPriority w:val="99"/>
  </w:style>
  <w:style w:type="character" w:styleId="45">
    <w:name w:val="Hyperlink"/>
    <w:basedOn w:val="39"/>
    <w:qFormat/>
    <w:uiPriority w:val="99"/>
    <w:rPr>
      <w:color w:val="1F4F88"/>
      <w:u w:val="none"/>
    </w:rPr>
  </w:style>
  <w:style w:type="character" w:styleId="46">
    <w:name w:val="annotation reference"/>
    <w:basedOn w:val="39"/>
    <w:qFormat/>
    <w:uiPriority w:val="99"/>
    <w:rPr>
      <w:sz w:val="21"/>
    </w:rPr>
  </w:style>
  <w:style w:type="character" w:customStyle="1" w:styleId="47">
    <w:name w:val="标题 1 字符"/>
    <w:basedOn w:val="39"/>
    <w:link w:val="2"/>
    <w:qFormat/>
    <w:uiPriority w:val="9"/>
    <w:rPr>
      <w:rFonts w:ascii="Calibri" w:hAnsi="Calibri" w:eastAsia="宋体" w:cs="Times New Roman"/>
      <w:b/>
      <w:bCs/>
      <w:kern w:val="44"/>
      <w:sz w:val="36"/>
      <w:szCs w:val="44"/>
    </w:rPr>
  </w:style>
  <w:style w:type="character" w:customStyle="1" w:styleId="48">
    <w:name w:val="标题 2 字符"/>
    <w:basedOn w:val="39"/>
    <w:link w:val="4"/>
    <w:qFormat/>
    <w:uiPriority w:val="9"/>
    <w:rPr>
      <w:rFonts w:ascii="Arial" w:hAnsi="Arial" w:eastAsia="宋体" w:cs="Times New Roman"/>
      <w:b/>
      <w:bCs/>
      <w:sz w:val="24"/>
      <w:szCs w:val="32"/>
    </w:rPr>
  </w:style>
  <w:style w:type="character" w:customStyle="1" w:styleId="49">
    <w:name w:val="标题 3 字符"/>
    <w:basedOn w:val="39"/>
    <w:link w:val="5"/>
    <w:semiHidden/>
    <w:qFormat/>
    <w:uiPriority w:val="9"/>
    <w:rPr>
      <w:rFonts w:ascii="Calibri" w:hAnsi="Calibri" w:eastAsia="宋体" w:cs="Times New Roman"/>
      <w:b/>
      <w:bCs/>
      <w:sz w:val="32"/>
      <w:szCs w:val="32"/>
    </w:rPr>
  </w:style>
  <w:style w:type="character" w:customStyle="1" w:styleId="50">
    <w:name w:val="Char Char3"/>
    <w:qFormat/>
    <w:uiPriority w:val="0"/>
    <w:rPr>
      <w:rFonts w:ascii="宋体" w:hAnsi="Courier New" w:eastAsia="宋体"/>
      <w:kern w:val="2"/>
      <w:sz w:val="21"/>
      <w:lang w:val="en-US" w:eastAsia="zh-CN"/>
    </w:rPr>
  </w:style>
  <w:style w:type="character" w:customStyle="1" w:styleId="51">
    <w:name w:val="正文文本缩进 2 字符"/>
    <w:link w:val="21"/>
    <w:qFormat/>
    <w:locked/>
    <w:uiPriority w:val="0"/>
  </w:style>
  <w:style w:type="character" w:customStyle="1" w:styleId="52">
    <w:name w:val="批注主题 字符"/>
    <w:link w:val="35"/>
    <w:qFormat/>
    <w:locked/>
    <w:uiPriority w:val="0"/>
    <w:rPr>
      <w:b/>
    </w:rPr>
  </w:style>
  <w:style w:type="character" w:customStyle="1" w:styleId="53">
    <w:name w:val="正文文本缩进 3 字符"/>
    <w:link w:val="29"/>
    <w:qFormat/>
    <w:locked/>
    <w:uiPriority w:val="0"/>
    <w:rPr>
      <w:sz w:val="16"/>
    </w:rPr>
  </w:style>
  <w:style w:type="character" w:customStyle="1" w:styleId="54">
    <w:name w:val="纯文本 Char"/>
    <w:qFormat/>
    <w:uiPriority w:val="0"/>
    <w:rPr>
      <w:rFonts w:ascii="宋体" w:hAnsi="Courier New" w:eastAsia="宋体"/>
      <w:kern w:val="2"/>
      <w:sz w:val="21"/>
      <w:lang w:val="en-US" w:eastAsia="zh-CN"/>
    </w:rPr>
  </w:style>
  <w:style w:type="character" w:customStyle="1" w:styleId="55">
    <w:name w:val="Char Char2"/>
    <w:qFormat/>
    <w:uiPriority w:val="0"/>
    <w:rPr>
      <w:rFonts w:ascii="宋体" w:hAnsi="Courier New"/>
      <w:kern w:val="2"/>
      <w:sz w:val="21"/>
    </w:rPr>
  </w:style>
  <w:style w:type="character" w:customStyle="1" w:styleId="56">
    <w:name w:val="列出段落 字符"/>
    <w:link w:val="57"/>
    <w:qFormat/>
    <w:locked/>
    <w:uiPriority w:val="34"/>
    <w:rPr>
      <w:sz w:val="22"/>
    </w:rPr>
  </w:style>
  <w:style w:type="paragraph" w:customStyle="1" w:styleId="57">
    <w:name w:val="列出段落1"/>
    <w:basedOn w:val="1"/>
    <w:link w:val="56"/>
    <w:qFormat/>
    <w:uiPriority w:val="34"/>
    <w:pPr>
      <w:ind w:firstLine="420" w:firstLineChars="200"/>
    </w:pPr>
    <w:rPr>
      <w:sz w:val="22"/>
    </w:rPr>
  </w:style>
  <w:style w:type="character" w:customStyle="1" w:styleId="58">
    <w:name w:val="apple-converted-space"/>
    <w:basedOn w:val="39"/>
    <w:qFormat/>
    <w:uiPriority w:val="0"/>
    <w:rPr>
      <w:rFonts w:cs="Times New Roman"/>
    </w:rPr>
  </w:style>
  <w:style w:type="character" w:customStyle="1" w:styleId="59">
    <w:name w:val="页眉 字符"/>
    <w:link w:val="24"/>
    <w:qFormat/>
    <w:locked/>
    <w:uiPriority w:val="0"/>
    <w:rPr>
      <w:sz w:val="18"/>
    </w:rPr>
  </w:style>
  <w:style w:type="character" w:customStyle="1" w:styleId="60">
    <w:name w:val="BODY TEXT Char"/>
    <w:qFormat/>
    <w:locked/>
    <w:uiPriority w:val="0"/>
    <w:rPr>
      <w:rFonts w:eastAsia="新宋体"/>
      <w:kern w:val="2"/>
      <w:sz w:val="21"/>
    </w:rPr>
  </w:style>
  <w:style w:type="character" w:customStyle="1" w:styleId="61">
    <w:name w:val="批注文字 字符"/>
    <w:link w:val="12"/>
    <w:qFormat/>
    <w:locked/>
    <w:uiPriority w:val="0"/>
  </w:style>
  <w:style w:type="character" w:customStyle="1" w:styleId="62">
    <w:name w:val="标题 字符"/>
    <w:link w:val="34"/>
    <w:qFormat/>
    <w:locked/>
    <w:uiPriority w:val="0"/>
    <w:rPr>
      <w:rFonts w:ascii="Arial" w:hAnsi="Arial"/>
      <w:b/>
      <w:sz w:val="32"/>
    </w:rPr>
  </w:style>
  <w:style w:type="character" w:customStyle="1" w:styleId="63">
    <w:name w:val="日期 字符"/>
    <w:link w:val="20"/>
    <w:qFormat/>
    <w:locked/>
    <w:uiPriority w:val="0"/>
    <w:rPr>
      <w:sz w:val="24"/>
    </w:rPr>
  </w:style>
  <w:style w:type="character" w:customStyle="1" w:styleId="64">
    <w:name w:val="ATXT_Bullets Zchn"/>
    <w:link w:val="65"/>
    <w:qFormat/>
    <w:locked/>
    <w:uiPriority w:val="99"/>
    <w:rPr>
      <w:rFonts w:ascii="Arial" w:hAnsi="Arial"/>
      <w:lang w:val="de-AT" w:eastAsia="zh-CN"/>
    </w:rPr>
  </w:style>
  <w:style w:type="paragraph" w:customStyle="1" w:styleId="65">
    <w:name w:val="ATXT_Bullets"/>
    <w:link w:val="64"/>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6">
    <w:name w:val="Char Char5"/>
    <w:qFormat/>
    <w:uiPriority w:val="0"/>
    <w:rPr>
      <w:rFonts w:ascii="宋体" w:hAnsi="Courier New" w:eastAsia="宋体"/>
      <w:kern w:val="2"/>
      <w:sz w:val="21"/>
      <w:lang w:val="en-US" w:eastAsia="zh-CN"/>
    </w:rPr>
  </w:style>
  <w:style w:type="character" w:customStyle="1" w:styleId="67">
    <w:name w:val="批注框文本 字符"/>
    <w:link w:val="22"/>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字符"/>
    <w:link w:val="10"/>
    <w:qFormat/>
    <w:locked/>
    <w:uiPriority w:val="0"/>
    <w:rPr>
      <w:sz w:val="24"/>
      <w:shd w:val="clear" w:color="auto" w:fill="000080"/>
    </w:rPr>
  </w:style>
  <w:style w:type="character" w:customStyle="1" w:styleId="71">
    <w:name w:val="HTML Markup"/>
    <w:qFormat/>
    <w:uiPriority w:val="0"/>
    <w:rPr>
      <w:vanish/>
      <w:color w:val="FF0000"/>
    </w:rPr>
  </w:style>
  <w:style w:type="character" w:customStyle="1" w:styleId="72">
    <w:name w:val="纯文本 字符"/>
    <w:link w:val="18"/>
    <w:qFormat/>
    <w:locked/>
    <w:uiPriority w:val="0"/>
    <w:rPr>
      <w:rFonts w:ascii="宋体" w:hAnsi="Courier New"/>
    </w:rPr>
  </w:style>
  <w:style w:type="character" w:customStyle="1" w:styleId="73">
    <w:name w:val="页脚 字符"/>
    <w:link w:val="23"/>
    <w:qFormat/>
    <w:locked/>
    <w:uiPriority w:val="99"/>
    <w:rPr>
      <w:sz w:val="18"/>
    </w:rPr>
  </w:style>
  <w:style w:type="character" w:customStyle="1" w:styleId="74">
    <w:name w:val="Default Char"/>
    <w:link w:val="14"/>
    <w:qFormat/>
    <w:locked/>
    <w:uiPriority w:val="0"/>
    <w:rPr>
      <w:rFonts w:ascii="仿宋_GB2312" w:eastAsia="仿宋_GB2312"/>
      <w:color w:val="000000"/>
      <w:sz w:val="24"/>
    </w:rPr>
  </w:style>
  <w:style w:type="character" w:customStyle="1" w:styleId="75">
    <w:name w:val="页脚 Char"/>
    <w:qFormat/>
    <w:locked/>
    <w:uiPriority w:val="99"/>
    <w:rPr>
      <w:sz w:val="18"/>
    </w:rPr>
  </w:style>
  <w:style w:type="character" w:customStyle="1" w:styleId="76">
    <w:name w:val="批注文字 字符1"/>
    <w:basedOn w:val="39"/>
    <w:semiHidden/>
    <w:qFormat/>
    <w:uiPriority w:val="99"/>
  </w:style>
  <w:style w:type="character" w:customStyle="1" w:styleId="77">
    <w:name w:val="批注文字 字符11"/>
    <w:basedOn w:val="39"/>
    <w:qFormat/>
    <w:uiPriority w:val="0"/>
    <w:rPr>
      <w:rFonts w:cs="Times New Roman"/>
      <w:kern w:val="2"/>
      <w:sz w:val="21"/>
    </w:rPr>
  </w:style>
  <w:style w:type="character" w:customStyle="1" w:styleId="78">
    <w:name w:val="正文文本缩进 字符"/>
    <w:basedOn w:val="39"/>
    <w:link w:val="15"/>
    <w:qFormat/>
    <w:uiPriority w:val="99"/>
    <w:rPr>
      <w:rFonts w:ascii="Calibri" w:hAnsi="Calibri" w:eastAsia="宋体" w:cs="Times New Roman"/>
      <w:szCs w:val="20"/>
    </w:rPr>
  </w:style>
  <w:style w:type="character" w:customStyle="1" w:styleId="79">
    <w:name w:val="文档结构图 字符1"/>
    <w:basedOn w:val="39"/>
    <w:semiHidden/>
    <w:qFormat/>
    <w:uiPriority w:val="99"/>
    <w:rPr>
      <w:rFonts w:ascii="Microsoft YaHei UI" w:eastAsia="Microsoft YaHei UI"/>
      <w:sz w:val="18"/>
      <w:szCs w:val="18"/>
    </w:rPr>
  </w:style>
  <w:style w:type="character" w:customStyle="1" w:styleId="80">
    <w:name w:val="文档结构图 字符11"/>
    <w:basedOn w:val="39"/>
    <w:semiHidden/>
    <w:qFormat/>
    <w:uiPriority w:val="99"/>
    <w:rPr>
      <w:rFonts w:ascii="Microsoft YaHei UI" w:eastAsia="Microsoft YaHei UI" w:cs="Times New Roman"/>
      <w:kern w:val="2"/>
      <w:sz w:val="18"/>
      <w:szCs w:val="18"/>
    </w:rPr>
  </w:style>
  <w:style w:type="character" w:customStyle="1" w:styleId="81">
    <w:name w:val="正文文本 字符"/>
    <w:basedOn w:val="39"/>
    <w:link w:val="13"/>
    <w:qFormat/>
    <w:uiPriority w:val="99"/>
    <w:rPr>
      <w:rFonts w:ascii="Calibri" w:hAnsi="Calibri" w:eastAsia="新宋体" w:cs="Times New Roman"/>
      <w:szCs w:val="21"/>
    </w:rPr>
  </w:style>
  <w:style w:type="character" w:customStyle="1" w:styleId="82">
    <w:name w:val="纯文本 字符1"/>
    <w:basedOn w:val="39"/>
    <w:semiHidden/>
    <w:qFormat/>
    <w:uiPriority w:val="99"/>
    <w:rPr>
      <w:rFonts w:hAnsi="Courier New" w:cs="Courier New" w:asciiTheme="minorEastAsia"/>
    </w:rPr>
  </w:style>
  <w:style w:type="character" w:customStyle="1" w:styleId="83">
    <w:name w:val="纯文本 字符11"/>
    <w:basedOn w:val="39"/>
    <w:qFormat/>
    <w:uiPriority w:val="0"/>
    <w:rPr>
      <w:rFonts w:hAnsi="Courier New" w:cs="Courier New" w:asciiTheme="minorEastAsia" w:eastAsiaTheme="minorEastAsia"/>
      <w:kern w:val="2"/>
      <w:sz w:val="21"/>
    </w:rPr>
  </w:style>
  <w:style w:type="character" w:customStyle="1" w:styleId="84">
    <w:name w:val="页眉 字符1"/>
    <w:basedOn w:val="39"/>
    <w:semiHidden/>
    <w:qFormat/>
    <w:uiPriority w:val="99"/>
    <w:rPr>
      <w:sz w:val="18"/>
      <w:szCs w:val="18"/>
    </w:rPr>
  </w:style>
  <w:style w:type="character" w:customStyle="1" w:styleId="85">
    <w:name w:val="页眉 字符11"/>
    <w:basedOn w:val="39"/>
    <w:semiHidden/>
    <w:qFormat/>
    <w:uiPriority w:val="99"/>
    <w:rPr>
      <w:rFonts w:cs="Times New Roman"/>
      <w:kern w:val="2"/>
      <w:sz w:val="18"/>
      <w:szCs w:val="18"/>
    </w:rPr>
  </w:style>
  <w:style w:type="character" w:customStyle="1" w:styleId="86">
    <w:name w:val="批注框文本 字符1"/>
    <w:basedOn w:val="39"/>
    <w:semiHidden/>
    <w:qFormat/>
    <w:uiPriority w:val="99"/>
    <w:rPr>
      <w:sz w:val="18"/>
      <w:szCs w:val="18"/>
    </w:rPr>
  </w:style>
  <w:style w:type="character" w:customStyle="1" w:styleId="87">
    <w:name w:val="批注框文本 字符11"/>
    <w:basedOn w:val="39"/>
    <w:semiHidden/>
    <w:qFormat/>
    <w:uiPriority w:val="99"/>
    <w:rPr>
      <w:rFonts w:cs="Times New Roman"/>
      <w:kern w:val="2"/>
      <w:sz w:val="18"/>
      <w:szCs w:val="18"/>
    </w:rPr>
  </w:style>
  <w:style w:type="character" w:customStyle="1" w:styleId="88">
    <w:name w:val="日期 字符1"/>
    <w:basedOn w:val="39"/>
    <w:semiHidden/>
    <w:qFormat/>
    <w:uiPriority w:val="99"/>
  </w:style>
  <w:style w:type="character" w:customStyle="1" w:styleId="89">
    <w:name w:val="日期 字符11"/>
    <w:basedOn w:val="39"/>
    <w:semiHidden/>
    <w:qFormat/>
    <w:uiPriority w:val="99"/>
    <w:rPr>
      <w:rFonts w:cs="Times New Roman"/>
      <w:kern w:val="2"/>
      <w:sz w:val="21"/>
    </w:rPr>
  </w:style>
  <w:style w:type="character" w:customStyle="1" w:styleId="90">
    <w:name w:val="页脚 字符1"/>
    <w:basedOn w:val="39"/>
    <w:semiHidden/>
    <w:qFormat/>
    <w:uiPriority w:val="99"/>
    <w:rPr>
      <w:sz w:val="18"/>
      <w:szCs w:val="18"/>
    </w:rPr>
  </w:style>
  <w:style w:type="character" w:customStyle="1" w:styleId="91">
    <w:name w:val="页脚 字符11"/>
    <w:basedOn w:val="39"/>
    <w:semiHidden/>
    <w:qFormat/>
    <w:uiPriority w:val="99"/>
    <w:rPr>
      <w:rFonts w:cs="Times New Roman"/>
      <w:kern w:val="2"/>
      <w:sz w:val="18"/>
      <w:szCs w:val="18"/>
    </w:rPr>
  </w:style>
  <w:style w:type="character" w:customStyle="1" w:styleId="92">
    <w:name w:val="正文文本缩进 2 字符1"/>
    <w:basedOn w:val="39"/>
    <w:semiHidden/>
    <w:qFormat/>
    <w:uiPriority w:val="99"/>
  </w:style>
  <w:style w:type="character" w:customStyle="1" w:styleId="93">
    <w:name w:val="正文文本缩进 2 字符11"/>
    <w:basedOn w:val="39"/>
    <w:semiHidden/>
    <w:qFormat/>
    <w:uiPriority w:val="99"/>
    <w:rPr>
      <w:rFonts w:cs="Times New Roman"/>
      <w:kern w:val="2"/>
      <w:sz w:val="21"/>
    </w:rPr>
  </w:style>
  <w:style w:type="character" w:customStyle="1" w:styleId="94">
    <w:name w:val="正文文本缩进 3 字符1"/>
    <w:basedOn w:val="39"/>
    <w:semiHidden/>
    <w:qFormat/>
    <w:uiPriority w:val="99"/>
    <w:rPr>
      <w:sz w:val="16"/>
      <w:szCs w:val="16"/>
    </w:rPr>
  </w:style>
  <w:style w:type="character" w:customStyle="1" w:styleId="95">
    <w:name w:val="正文文本缩进 3 字符11"/>
    <w:basedOn w:val="39"/>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9"/>
    <w:qFormat/>
    <w:uiPriority w:val="10"/>
    <w:rPr>
      <w:rFonts w:asciiTheme="majorHAnsi" w:hAnsiTheme="majorHAnsi" w:eastAsiaTheme="majorEastAsia" w:cstheme="majorBidi"/>
      <w:b/>
      <w:bCs/>
      <w:sz w:val="32"/>
      <w:szCs w:val="32"/>
    </w:rPr>
  </w:style>
  <w:style w:type="character" w:customStyle="1" w:styleId="99">
    <w:name w:val="标题 字符11"/>
    <w:basedOn w:val="39"/>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8"/>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4"/>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5"/>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character" w:customStyle="1" w:styleId="133">
    <w:name w:val="font21"/>
    <w:basedOn w:val="39"/>
    <w:qFormat/>
    <w:uiPriority w:val="0"/>
    <w:rPr>
      <w:rFonts w:hint="eastAsia" w:ascii="宋体" w:hAnsi="宋体" w:eastAsia="宋体" w:cs="宋体"/>
      <w:color w:val="000000"/>
      <w:sz w:val="24"/>
      <w:szCs w:val="24"/>
      <w:u w:val="none"/>
    </w:rPr>
  </w:style>
  <w:style w:type="character" w:customStyle="1" w:styleId="134">
    <w:name w:val="font01"/>
    <w:basedOn w:val="39"/>
    <w:qFormat/>
    <w:uiPriority w:val="0"/>
    <w:rPr>
      <w:rFonts w:hint="eastAsia" w:ascii="宋体" w:hAnsi="宋体" w:eastAsia="宋体" w:cs="宋体"/>
      <w:color w:val="000000"/>
      <w:sz w:val="18"/>
      <w:szCs w:val="18"/>
      <w:u w:val="none"/>
    </w:rPr>
  </w:style>
  <w:style w:type="character" w:customStyle="1" w:styleId="135">
    <w:name w:val="15"/>
    <w:qFormat/>
    <w:uiPriority w:val="0"/>
    <w:rPr>
      <w:rFonts w:hint="eastAsia" w:ascii="微软雅黑" w:hAnsi="微软雅黑" w:eastAsia="微软雅黑"/>
      <w:color w:val="000000"/>
      <w:sz w:val="22"/>
      <w:szCs w:val="22"/>
    </w:rPr>
  </w:style>
  <w:style w:type="character" w:customStyle="1" w:styleId="136">
    <w:name w:val="font61"/>
    <w:basedOn w:val="39"/>
    <w:qFormat/>
    <w:uiPriority w:val="0"/>
    <w:rPr>
      <w:rFonts w:hint="default" w:ascii="Times New Roman" w:hAnsi="Times New Roman" w:cs="Times New Roman"/>
      <w:color w:val="000000"/>
      <w:sz w:val="20"/>
      <w:szCs w:val="20"/>
      <w:u w:val="none"/>
    </w:rPr>
  </w:style>
  <w:style w:type="character" w:customStyle="1" w:styleId="137">
    <w:name w:val="font51"/>
    <w:basedOn w:val="39"/>
    <w:qFormat/>
    <w:uiPriority w:val="0"/>
    <w:rPr>
      <w:rFonts w:hint="eastAsia" w:ascii="宋体" w:hAnsi="宋体" w:eastAsia="宋体" w:cs="宋体"/>
      <w:color w:val="000000"/>
      <w:sz w:val="20"/>
      <w:szCs w:val="20"/>
      <w:u w:val="none"/>
    </w:rPr>
  </w:style>
  <w:style w:type="paragraph" w:customStyle="1" w:styleId="138">
    <w:name w:val="Table Text"/>
    <w:basedOn w:val="1"/>
    <w:semiHidden/>
    <w:qFormat/>
    <w:uiPriority w:val="0"/>
    <w:rPr>
      <w:rFonts w:ascii="宋体" w:hAnsi="宋体" w:eastAsia="宋体" w:cs="宋体"/>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17.pn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footer" Target="footer2.xml"/><Relationship Id="rId39" Type="http://schemas.openxmlformats.org/officeDocument/2006/relationships/theme" Target="theme/theme1.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header" Target="header8.xml"/><Relationship Id="rId35" Type="http://schemas.openxmlformats.org/officeDocument/2006/relationships/header" Target="header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85</Pages>
  <Words>20004</Words>
  <Characters>21075</Characters>
  <Lines>1941</Lines>
  <Paragraphs>1650</Paragraphs>
  <TotalTime>8</TotalTime>
  <ScaleCrop>false</ScaleCrop>
  <LinksUpToDate>false</LinksUpToDate>
  <CharactersWithSpaces>21658</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2025-03-07T07:40:00Z</dcterms:created>
  <dc:creator>刘剑</dc:creator>
  <cp:lastModifiedBy>Administrator</cp:lastModifiedBy>
  <dcterms:modified xsi:type="dcterms:W3CDTF">2025-11-07T07:22:14Z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09BDEC1243614C78AFDF3F798DF4106D_11</vt:lpwstr>
  </property>
  <property fmtid="{D5CDD505-2E9C-101B-9397-08002B2CF9AE}" pid="4" name="KSOTemplateDocerSaveRecord">
    <vt:lpwstr>eyJoZGlkIjoiZWQxZjNmOWI4MjYxMjE3YWYxMWY4NzIzOWZkNTY1ZGEiLCJ1c2VySWQiOiI4MjkwNzMwMzkifQ==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