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eastAsia" w:ascii="仿宋_GB2312" w:hAnsi="仿宋_GB2312" w:eastAsia="仿宋_GB2312" w:cs="仿宋_GB2312"/>
          <w:b/>
          <w:bCs/>
          <w:color w:val="000000"/>
          <w:spacing w:val="-8"/>
          <w:sz w:val="48"/>
          <w:szCs w:val="48"/>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1--新增充电桩</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15480"/>
      <w:bookmarkStart w:id="1" w:name="_Toc22242"/>
      <w:bookmarkStart w:id="2" w:name="_Toc29994"/>
      <w:bookmarkStart w:id="3" w:name="_Toc23693"/>
      <w:bookmarkStart w:id="4" w:name="_Toc520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项目名称：新能源产线改造项目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项目编号：FSCZB2025100219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新增2台400kw的充电桩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赵力</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17860606595</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邮箱：zhaoli@sinotruk.com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21</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2025年11月7日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2025年11月12日17：00.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本次投标只需要线上e采通投递电子版标书，不需要纸质版标书。</w:t>
            </w:r>
            <w:bookmarkStart w:id="107" w:name="_GoBack"/>
            <w:bookmarkEnd w:id="107"/>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2025年11月17日17：00.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2025年11月17日17：00.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2025年11月18日9：00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55</w:t>
            </w:r>
            <w:r>
              <w:rPr>
                <w:rFonts w:hint="eastAsia" w:ascii="仿宋_GB2312" w:hAnsi="仿宋_GB2312" w:eastAsia="仿宋_GB2312" w:cs="仿宋_GB2312"/>
                <w:b/>
                <w:bCs/>
                <w:color w:val="000000"/>
                <w:sz w:val="24"/>
                <w:szCs w:val="24"/>
              </w:rPr>
              <w:t>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9448"/>
      <w:bookmarkStart w:id="8" w:name="_Toc27087"/>
      <w:bookmarkStart w:id="9" w:name="_Toc427"/>
      <w:bookmarkStart w:id="10" w:name="_Toc19183"/>
      <w:bookmarkStart w:id="11" w:name="_Toc6577"/>
      <w:bookmarkStart w:id="12" w:name="_Toc11216"/>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85487"/>
      <w:bookmarkStart w:id="20" w:name="_Toc33266914"/>
      <w:bookmarkStart w:id="21" w:name="_Toc33265752"/>
      <w:bookmarkStart w:id="22" w:name="_Toc33267001"/>
      <w:bookmarkStart w:id="23" w:name="_Toc30534"/>
      <w:bookmarkStart w:id="24" w:name="_Toc33265653"/>
      <w:bookmarkStart w:id="25" w:name="_Toc33266627"/>
      <w:bookmarkStart w:id="26" w:name="_Toc33266950"/>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numPr>
          <w:ilvl w:val="0"/>
          <w:numId w:val="0"/>
        </w:numPr>
        <w:spacing w:line="360" w:lineRule="auto"/>
        <w:ind w:leftChars="0"/>
        <w:rPr>
          <w:rFonts w:hint="eastAsia" w:ascii="仿宋_GB2312" w:hAnsi="仿宋_GB2312" w:eastAsia="仿宋_GB2312" w:cs="仿宋_GB2312"/>
          <w:b/>
          <w:sz w:val="24"/>
          <w:szCs w:val="24"/>
          <w:lang w:val="en-US" w:eastAsia="zh-CN"/>
        </w:rPr>
      </w:pPr>
    </w:p>
    <w:p>
      <w:pPr>
        <w:pStyle w:val="2"/>
        <w:rPr>
          <w:rFonts w:hint="eastAsia"/>
          <w:lang w:val="en-US" w:eastAsia="zh-CN"/>
        </w:rPr>
      </w:pPr>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5"/>
      <w:bookmarkStart w:id="31" w:name="OLE_LINK27"/>
      <w:bookmarkStart w:id="32" w:name="OLE_LINK26"/>
      <w:bookmarkStart w:id="33" w:name="OLE_LINK29"/>
      <w:bookmarkStart w:id="34" w:name="OLE_LINK28"/>
      <w:r>
        <w:rPr>
          <w:rFonts w:hint="eastAsia" w:ascii="仿宋_GB2312" w:hAnsi="仿宋_GB2312" w:eastAsia="仿宋_GB2312" w:cs="仿宋_GB2312"/>
          <w:bCs/>
          <w:sz w:val="24"/>
          <w:szCs w:val="24"/>
        </w:rPr>
        <w:t>；</w:t>
      </w:r>
      <w:bookmarkEnd w:id="30"/>
      <w:bookmarkEnd w:id="31"/>
      <w:bookmarkEnd w:id="32"/>
      <w:bookmarkEnd w:id="33"/>
      <w:bookmarkEnd w:id="34"/>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36" w:name="_Toc21022"/>
      <w:bookmarkStart w:id="37" w:name="_Toc31869"/>
      <w:bookmarkStart w:id="38" w:name="_Toc13002"/>
      <w:bookmarkStart w:id="39" w:name="_Toc762"/>
      <w:bookmarkStart w:id="40" w:name="_Toc2363"/>
      <w:bookmarkStart w:id="41" w:name="_Toc13479"/>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0" w:name="_Toc3565"/>
      <w:bookmarkStart w:id="51" w:name="_Toc28236"/>
      <w:bookmarkStart w:id="52" w:name="_Toc20467"/>
      <w:bookmarkStart w:id="53" w:name="_Toc6957"/>
      <w:bookmarkStart w:id="54" w:name="_Toc12563"/>
      <w:bookmarkStart w:id="55" w:name="_Toc13555"/>
      <w:bookmarkStart w:id="56" w:name="_Toc24913"/>
      <w:bookmarkStart w:id="57" w:name="_Toc16358"/>
      <w:bookmarkStart w:id="58" w:name="_Toc14517"/>
      <w:bookmarkStart w:id="59" w:name="_Toc4532"/>
      <w:bookmarkStart w:id="60" w:name="_Toc21497"/>
      <w:bookmarkStart w:id="61" w:name="_Toc7511"/>
      <w:bookmarkStart w:id="62" w:name="_Toc13562"/>
      <w:bookmarkStart w:id="63" w:name="_Toc3372"/>
      <w:bookmarkStart w:id="64" w:name="_Toc19672"/>
      <w:bookmarkStart w:id="65" w:name="_Toc133783966"/>
      <w:bookmarkStart w:id="66" w:name="_Toc22649"/>
      <w:bookmarkStart w:id="67" w:name="_Toc13605"/>
      <w:bookmarkStart w:id="68" w:name="_Toc6346"/>
      <w:bookmarkStart w:id="69" w:name="_Toc18805"/>
      <w:bookmarkStart w:id="70" w:name="_Toc4029"/>
      <w:bookmarkStart w:id="71" w:name="_Toc7110"/>
      <w:bookmarkStart w:id="72" w:name="_Toc1884"/>
      <w:bookmarkStart w:id="73" w:name="_Toc11355"/>
      <w:bookmarkStart w:id="74" w:name="_Toc4483"/>
      <w:bookmarkStart w:id="75" w:name="_Toc12552"/>
      <w:bookmarkStart w:id="76" w:name="_Toc23870"/>
      <w:bookmarkStart w:id="77" w:name="_Toc24964"/>
      <w:bookmarkStart w:id="78" w:name="_Toc30738"/>
      <w:bookmarkStart w:id="79" w:name="_Toc18606"/>
      <w:bookmarkStart w:id="80" w:name="_Toc13988"/>
      <w:bookmarkStart w:id="81" w:name="_Toc32378"/>
      <w:bookmarkStart w:id="82" w:name="_Toc18182"/>
      <w:bookmarkStart w:id="83" w:name="_Toc8032"/>
      <w:bookmarkStart w:id="84" w:name="_Toc12714"/>
      <w:bookmarkStart w:id="85" w:name="_Toc8202"/>
      <w:bookmarkStart w:id="86" w:name="_Toc4194"/>
      <w:bookmarkStart w:id="87" w:name="_Toc20272"/>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keepLines/>
        <w:jc w:val="center"/>
        <w:outlineLvl w:val="0"/>
        <w:rPr>
          <w:rFonts w:ascii="宋体" w:hAnsi="宋体" w:eastAsia="宋体" w:cs="Times New Roman"/>
          <w:b/>
          <w:bCs/>
          <w:kern w:val="44"/>
          <w:sz w:val="36"/>
          <w:szCs w:val="44"/>
        </w:rPr>
      </w:pPr>
      <w:bookmarkStart w:id="89" w:name="_Toc9849"/>
      <w:bookmarkStart w:id="90" w:name="OLE_LINK31"/>
      <w:bookmarkStart w:id="91" w:name="OLE_LINK30"/>
      <w:r>
        <w:rPr>
          <w:rFonts w:hint="eastAsia" w:ascii="宋体" w:hAnsi="宋体" w:eastAsia="宋体" w:cs="Times New Roman"/>
          <w:b/>
          <w:bCs/>
          <w:kern w:val="44"/>
          <w:sz w:val="36"/>
          <w:szCs w:val="44"/>
        </w:rPr>
        <w:t>第四部分 技术标书</w:t>
      </w:r>
      <w:bookmarkEnd w:id="89"/>
    </w:p>
    <w:p>
      <w:pPr>
        <w:pStyle w:val="22"/>
        <w:rPr>
          <w:rFonts w:hAnsi="宋体" w:eastAsia="宋体"/>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bookmarkStart w:id="92" w:name="_Hlk208323594"/>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1--新增充电桩</w:t>
      </w:r>
    </w:p>
    <w:bookmarkEnd w:id="92"/>
    <w:p>
      <w:pPr>
        <w:jc w:val="right"/>
        <w:rPr>
          <w:rFonts w:ascii="宋体" w:hAnsi="宋体" w:eastAsia="宋体" w:cs="Times New Roman"/>
          <w:color w:val="000000"/>
          <w:sz w:val="28"/>
          <w:szCs w:val="28"/>
        </w:rPr>
      </w:pPr>
    </w:p>
    <w:p>
      <w:pPr>
        <w:pStyle w:val="22"/>
        <w:rPr>
          <w:rFonts w:hAnsi="宋体" w:eastAsia="宋体"/>
        </w:rPr>
      </w:pP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22"/>
        <w:rPr>
          <w:rFonts w:hAnsi="宋体" w:eastAsia="宋体"/>
        </w:rPr>
      </w:pPr>
    </w:p>
    <w:p>
      <w:pPr>
        <w:pStyle w:val="22"/>
        <w:rPr>
          <w:rFonts w:hAnsi="宋体" w:eastAsia="宋体" w:cs="Times New Roman"/>
          <w:color w:val="000000"/>
          <w:sz w:val="72"/>
          <w:szCs w:val="72"/>
        </w:rPr>
      </w:pPr>
    </w:p>
    <w:p>
      <w:pPr>
        <w:pStyle w:val="22"/>
        <w:rPr>
          <w:rFonts w:hAnsi="宋体" w:eastAsia="宋体" w:cs="Times New Roman"/>
          <w:color w:val="000000"/>
          <w:sz w:val="72"/>
          <w:szCs w:val="72"/>
        </w:rPr>
      </w:pPr>
    </w:p>
    <w:p>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pPr>
        <w:pStyle w:val="22"/>
        <w:rPr>
          <w:rFonts w:hAnsi="宋体" w:eastAsia="宋体"/>
          <w:b/>
          <w:bCs/>
        </w:rPr>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5年10月</w:t>
      </w:r>
    </w:p>
    <w:bookmarkEnd w:id="90"/>
    <w:bookmarkEnd w:id="91"/>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w:t>
      </w:r>
      <w:r>
        <w:rPr>
          <w:rFonts w:hint="eastAsia" w:ascii="宋体" w:hAnsi="宋体" w:eastAsia="宋体"/>
          <w:sz w:val="24"/>
          <w:szCs w:val="24"/>
          <w:u w:val="single"/>
          <w:lang w:val="en-US" w:eastAsia="zh-CN"/>
        </w:rPr>
        <w:t>1--新增充电桩</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w:t>
      </w:r>
    </w:p>
    <w:p>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lang w:val="en-US" w:eastAsia="zh-CN"/>
        </w:rPr>
        <w:t>充电桩</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
          <w:sz w:val="24"/>
          <w:szCs w:val="24"/>
          <w:lang w:val="en-US" w:eastAsia="zh-CN"/>
        </w:rPr>
        <w:t>2</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275"/>
        <w:gridCol w:w="709"/>
        <w:gridCol w:w="851"/>
        <w:gridCol w:w="155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序号</w:t>
            </w:r>
          </w:p>
        </w:tc>
        <w:tc>
          <w:tcPr>
            <w:tcW w:w="2694" w:type="dxa"/>
            <w:vAlign w:val="center"/>
          </w:tcPr>
          <w:p>
            <w:pPr>
              <w:spacing w:line="360" w:lineRule="exact"/>
              <w:jc w:val="center"/>
              <w:rPr>
                <w:rFonts w:ascii="宋体" w:hAnsi="宋体" w:eastAsia="宋体"/>
                <w:b/>
              </w:rPr>
            </w:pPr>
            <w:r>
              <w:rPr>
                <w:rFonts w:hint="eastAsia" w:ascii="宋体" w:hAnsi="宋体" w:eastAsia="宋体"/>
                <w:b/>
              </w:rPr>
              <w:t>名称</w:t>
            </w:r>
          </w:p>
        </w:tc>
        <w:tc>
          <w:tcPr>
            <w:tcW w:w="1275" w:type="dxa"/>
            <w:vAlign w:val="center"/>
          </w:tcPr>
          <w:p>
            <w:pPr>
              <w:spacing w:line="360" w:lineRule="exact"/>
              <w:jc w:val="center"/>
              <w:rPr>
                <w:rFonts w:ascii="宋体" w:hAnsi="宋体" w:eastAsia="宋体"/>
                <w:b/>
              </w:rPr>
            </w:pPr>
            <w:r>
              <w:rPr>
                <w:rFonts w:hint="eastAsia" w:ascii="宋体" w:hAnsi="宋体" w:eastAsia="宋体"/>
                <w:b/>
              </w:rPr>
              <w:t>规格</w:t>
            </w:r>
          </w:p>
        </w:tc>
        <w:tc>
          <w:tcPr>
            <w:tcW w:w="709" w:type="dxa"/>
            <w:vAlign w:val="center"/>
          </w:tcPr>
          <w:p>
            <w:pPr>
              <w:spacing w:line="360" w:lineRule="exact"/>
              <w:jc w:val="center"/>
              <w:rPr>
                <w:rFonts w:ascii="宋体" w:hAnsi="宋体" w:eastAsia="宋体"/>
                <w:b/>
              </w:rPr>
            </w:pPr>
            <w:r>
              <w:rPr>
                <w:rFonts w:hint="eastAsia" w:ascii="宋体" w:hAnsi="宋体" w:eastAsia="宋体"/>
                <w:b/>
              </w:rPr>
              <w:t>单位</w:t>
            </w:r>
          </w:p>
        </w:tc>
        <w:tc>
          <w:tcPr>
            <w:tcW w:w="851" w:type="dxa"/>
            <w:vAlign w:val="center"/>
          </w:tcPr>
          <w:p>
            <w:pPr>
              <w:spacing w:line="360" w:lineRule="exact"/>
              <w:jc w:val="center"/>
              <w:rPr>
                <w:rFonts w:ascii="宋体" w:hAnsi="宋体" w:eastAsia="宋体"/>
                <w:b/>
              </w:rPr>
            </w:pPr>
            <w:r>
              <w:rPr>
                <w:rFonts w:hint="eastAsia" w:ascii="宋体" w:hAnsi="宋体" w:eastAsia="宋体"/>
                <w:b/>
              </w:rPr>
              <w:t>数量</w:t>
            </w:r>
          </w:p>
        </w:tc>
        <w:tc>
          <w:tcPr>
            <w:tcW w:w="1559" w:type="dxa"/>
            <w:vAlign w:val="center"/>
          </w:tcPr>
          <w:p>
            <w:pPr>
              <w:spacing w:line="360" w:lineRule="exact"/>
              <w:jc w:val="center"/>
              <w:rPr>
                <w:rFonts w:ascii="宋体" w:hAnsi="宋体" w:eastAsia="宋体"/>
                <w:b/>
              </w:rPr>
            </w:pPr>
            <w:r>
              <w:rPr>
                <w:rFonts w:hint="eastAsia" w:ascii="宋体" w:hAnsi="宋体" w:eastAsia="宋体"/>
                <w:b/>
              </w:rPr>
              <w:t>交货方式</w:t>
            </w:r>
          </w:p>
        </w:tc>
        <w:tc>
          <w:tcPr>
            <w:tcW w:w="1137" w:type="dxa"/>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1</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新增充电桩（国标）</w:t>
            </w:r>
          </w:p>
        </w:tc>
        <w:tc>
          <w:tcPr>
            <w:tcW w:w="1275"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400KW</w:t>
            </w:r>
          </w:p>
        </w:tc>
        <w:tc>
          <w:tcPr>
            <w:tcW w:w="709" w:type="dxa"/>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台</w:t>
            </w:r>
          </w:p>
        </w:tc>
        <w:tc>
          <w:tcPr>
            <w:tcW w:w="851" w:type="dxa"/>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2</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pPr>
              <w:spacing w:line="360" w:lineRule="auto"/>
              <w:jc w:val="center"/>
              <w:rPr>
                <w:rFonts w:ascii="宋体" w:hAnsi="宋体" w:eastAsia="宋体" w:cs="宋体"/>
                <w:color w:val="000000"/>
                <w:sz w:val="24"/>
                <w:szCs w:val="24"/>
              </w:rPr>
            </w:pPr>
          </w:p>
        </w:tc>
        <w:tc>
          <w:tcPr>
            <w:tcW w:w="1640" w:type="pct"/>
            <w:vAlign w:val="center"/>
          </w:tcPr>
          <w:p>
            <w:pPr>
              <w:spacing w:line="360" w:lineRule="auto"/>
              <w:jc w:val="center"/>
              <w:rPr>
                <w:rFonts w:ascii="宋体" w:hAnsi="宋体" w:eastAsia="宋体" w:cs="宋体"/>
                <w:color w:val="000000"/>
                <w:sz w:val="24"/>
                <w:szCs w:val="24"/>
              </w:rPr>
            </w:pPr>
          </w:p>
        </w:tc>
        <w:tc>
          <w:tcPr>
            <w:tcW w:w="1250" w:type="pct"/>
            <w:vAlign w:val="center"/>
          </w:tcPr>
          <w:p>
            <w:pPr>
              <w:spacing w:line="360" w:lineRule="auto"/>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1565" w:type="pct"/>
            <w:vAlign w:val="center"/>
          </w:tcPr>
          <w:p>
            <w:pPr>
              <w:snapToGrid w:val="0"/>
              <w:jc w:val="center"/>
              <w:rPr>
                <w:rFonts w:ascii="宋体" w:hAnsi="宋体" w:eastAsia="宋体" w:cs="宋体"/>
                <w:color w:val="000000"/>
                <w:sz w:val="24"/>
                <w:szCs w:val="24"/>
                <w:highlight w:val="yellow"/>
              </w:rPr>
            </w:pPr>
          </w:p>
        </w:tc>
        <w:tc>
          <w:tcPr>
            <w:tcW w:w="1640" w:type="pct"/>
            <w:vAlign w:val="center"/>
          </w:tcPr>
          <w:p>
            <w:pPr>
              <w:snapToGrid w:val="0"/>
              <w:jc w:val="center"/>
              <w:rPr>
                <w:rFonts w:ascii="宋体" w:hAnsi="宋体" w:eastAsia="宋体" w:cs="宋体"/>
                <w:color w:val="000000"/>
                <w:sz w:val="24"/>
                <w:szCs w:val="24"/>
                <w:highlight w:val="yellow"/>
              </w:rPr>
            </w:pPr>
          </w:p>
        </w:tc>
        <w:tc>
          <w:tcPr>
            <w:tcW w:w="1250" w:type="pct"/>
            <w:vAlign w:val="center"/>
          </w:tcPr>
          <w:p>
            <w:pPr>
              <w:snapToGrid w:val="0"/>
              <w:jc w:val="center"/>
              <w:rPr>
                <w:rFonts w:ascii="宋体" w:hAnsi="宋体" w:eastAsia="宋体" w:cs="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565" w:type="pct"/>
            <w:vAlign w:val="center"/>
          </w:tcPr>
          <w:p>
            <w:pPr>
              <w:snapToGrid w:val="0"/>
              <w:jc w:val="center"/>
              <w:rPr>
                <w:rFonts w:ascii="宋体" w:hAnsi="宋体" w:eastAsia="宋体" w:cs="宋体"/>
                <w:b/>
                <w:bCs/>
                <w:color w:val="000000"/>
                <w:sz w:val="24"/>
                <w:szCs w:val="24"/>
              </w:rPr>
            </w:pPr>
          </w:p>
        </w:tc>
        <w:tc>
          <w:tcPr>
            <w:tcW w:w="1640" w:type="pct"/>
            <w:vAlign w:val="center"/>
          </w:tcPr>
          <w:p>
            <w:pPr>
              <w:snapToGrid w:val="0"/>
              <w:jc w:val="center"/>
              <w:rPr>
                <w:rFonts w:ascii="宋体" w:hAnsi="宋体" w:eastAsia="宋体" w:cs="宋体"/>
                <w:color w:val="000000"/>
                <w:sz w:val="24"/>
                <w:szCs w:val="24"/>
              </w:rPr>
            </w:pPr>
          </w:p>
        </w:tc>
        <w:tc>
          <w:tcPr>
            <w:tcW w:w="1250" w:type="pct"/>
            <w:vAlign w:val="center"/>
          </w:tcPr>
          <w:p>
            <w:pPr>
              <w:snapToGrid w:val="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pPr>
              <w:snapToGrid w:val="0"/>
              <w:jc w:val="center"/>
              <w:rPr>
                <w:rFonts w:ascii="宋体" w:hAnsi="宋体" w:eastAsia="宋体" w:cs="宋体"/>
                <w:color w:val="000000"/>
                <w:sz w:val="24"/>
                <w:szCs w:val="24"/>
              </w:rPr>
            </w:pPr>
          </w:p>
        </w:tc>
        <w:tc>
          <w:tcPr>
            <w:tcW w:w="1640" w:type="pct"/>
            <w:vAlign w:val="center"/>
          </w:tcPr>
          <w:p>
            <w:pPr>
              <w:snapToGrid w:val="0"/>
              <w:jc w:val="center"/>
              <w:rPr>
                <w:rFonts w:ascii="宋体" w:hAnsi="宋体" w:eastAsia="宋体" w:cs="宋体"/>
                <w:color w:val="000000"/>
                <w:sz w:val="24"/>
                <w:szCs w:val="24"/>
              </w:rPr>
            </w:pPr>
          </w:p>
        </w:tc>
        <w:tc>
          <w:tcPr>
            <w:tcW w:w="1250" w:type="pct"/>
            <w:vAlign w:val="center"/>
          </w:tcPr>
          <w:p>
            <w:pPr>
              <w:snapToGrid w:val="0"/>
              <w:jc w:val="center"/>
              <w:rPr>
                <w:rFonts w:ascii="宋体" w:hAnsi="宋体" w:eastAsia="宋体" w:cs="宋体"/>
                <w:color w:val="000000"/>
                <w:sz w:val="24"/>
                <w:szCs w:val="24"/>
              </w:rPr>
            </w:pPr>
          </w:p>
        </w:tc>
      </w:tr>
    </w:tbl>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1--新增充电桩项目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pStyle w:val="131"/>
        <w:numPr>
          <w:ilvl w:val="0"/>
          <w:numId w:val="7"/>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3.3项目内容</w:t>
      </w:r>
    </w:p>
    <w:p>
      <w:pPr>
        <w:spacing w:line="360" w:lineRule="auto"/>
        <w:ind w:firstLine="482" w:firstLineChars="200"/>
        <w:rPr>
          <w:rFonts w:hint="default"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rPr>
        <w:t>3.3.1.</w:t>
      </w:r>
      <w:r>
        <w:rPr>
          <w:rFonts w:hint="eastAsia" w:ascii="宋体" w:hAnsi="宋体" w:eastAsia="宋体"/>
          <w:b/>
          <w:bCs/>
          <w:sz w:val="24"/>
          <w:szCs w:val="24"/>
        </w:rPr>
        <w:t xml:space="preserve"> </w:t>
      </w:r>
      <w:r>
        <w:rPr>
          <w:rFonts w:hint="eastAsia" w:ascii="宋体" w:hAnsi="宋体" w:eastAsia="宋体"/>
          <w:b/>
          <w:bCs/>
          <w:sz w:val="24"/>
          <w:szCs w:val="24"/>
          <w:lang w:val="en-US" w:eastAsia="zh-CN"/>
        </w:rPr>
        <w:t>新增充电桩</w:t>
      </w:r>
    </w:p>
    <w:p>
      <w:r>
        <w:drawing>
          <wp:inline distT="0" distB="0" distL="114300" distR="114300">
            <wp:extent cx="5750560" cy="2757170"/>
            <wp:effectExtent l="9525" t="9525" r="1841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3"/>
                    <a:stretch>
                      <a:fillRect/>
                    </a:stretch>
                  </pic:blipFill>
                  <pic:spPr>
                    <a:xfrm>
                      <a:off x="0" y="0"/>
                      <a:ext cx="5750560" cy="2757170"/>
                    </a:xfrm>
                    <a:prstGeom prst="rect">
                      <a:avLst/>
                    </a:prstGeom>
                    <a:noFill/>
                    <a:ln>
                      <a:solidFill>
                        <a:schemeClr val="bg2"/>
                      </a:solidFill>
                    </a:ln>
                  </pic:spPr>
                </pic:pic>
              </a:graphicData>
            </a:graphic>
          </wp:inline>
        </w:drawing>
      </w:r>
    </w:p>
    <w:p>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图1 充电桩新增方案</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改造方案：</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本次项目新增2台400KW充电桩用于商用车新能源车充电保障。</w:t>
      </w:r>
    </w:p>
    <w:p>
      <w:pPr>
        <w:spacing w:line="360" w:lineRule="auto"/>
        <w:ind w:left="480"/>
        <w:rPr>
          <w:rFonts w:hint="eastAsia" w:ascii="宋体" w:hAnsi="宋体" w:eastAsia="宋体" w:cs="宋体"/>
          <w:sz w:val="24"/>
          <w:szCs w:val="24"/>
        </w:rPr>
      </w:pPr>
    </w:p>
    <w:p>
      <w:pPr>
        <w:spacing w:line="360" w:lineRule="auto"/>
        <w:ind w:firstLine="480" w:firstLineChars="200"/>
        <w:rPr>
          <w:rFonts w:ascii="宋体" w:hAnsi="宋体" w:eastAsia="宋体" w:cs="宋体"/>
          <w:color w:val="000000"/>
          <w:kern w:val="0"/>
          <w:sz w:val="24"/>
          <w:szCs w:val="24"/>
        </w:rPr>
      </w:pP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pPr>
        <w:pStyle w:val="22"/>
        <w:rPr>
          <w:rFonts w:hAnsi="宋体" w:eastAsia="宋体"/>
        </w:rPr>
      </w:pPr>
    </w:p>
    <w:p>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pPr>
        <w:rPr>
          <w:rFonts w:ascii="宋体" w:hAnsi="宋体" w:eastAsia="宋体"/>
        </w:rPr>
      </w:pPr>
    </w:p>
    <w:p>
      <w:pPr>
        <w:keepNext/>
        <w:keepLines/>
        <w:spacing w:line="360" w:lineRule="auto"/>
        <w:jc w:val="center"/>
        <w:outlineLvl w:val="2"/>
        <w:rPr>
          <w:rFonts w:ascii="宋体" w:hAnsi="宋体" w:eastAsia="宋体" w:cs="宋体"/>
          <w:b/>
          <w:bCs/>
          <w:sz w:val="24"/>
          <w:szCs w:val="32"/>
        </w:rPr>
      </w:pPr>
      <w:bookmarkStart w:id="97" w:name="_Toc169605882"/>
      <w:r>
        <w:rPr>
          <w:rFonts w:hint="eastAsia" w:ascii="宋体" w:hAnsi="宋体" w:eastAsia="宋体" w:cs="宋体"/>
          <w:b/>
          <w:bCs/>
          <w:sz w:val="24"/>
          <w:szCs w:val="32"/>
        </w:rPr>
        <w:t>第一节  供货范围</w:t>
      </w:r>
      <w:bookmarkEnd w:id="97"/>
    </w:p>
    <w:p>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1</w:t>
            </w:r>
          </w:p>
        </w:tc>
        <w:tc>
          <w:tcPr>
            <w:tcW w:w="3520" w:type="dxa"/>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bCs/>
                <w:sz w:val="24"/>
                <w:szCs w:val="24"/>
                <w:lang w:val="en-US" w:eastAsia="zh-CN"/>
              </w:rPr>
              <w:t>新增充电桩(国标)</w:t>
            </w:r>
          </w:p>
        </w:tc>
        <w:tc>
          <w:tcPr>
            <w:tcW w:w="121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793"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2</w:t>
            </w:r>
          </w:p>
        </w:tc>
        <w:tc>
          <w:tcPr>
            <w:tcW w:w="2693" w:type="dxa"/>
            <w:vAlign w:val="center"/>
          </w:tcPr>
          <w:p>
            <w:pPr>
              <w:pStyle w:val="130"/>
              <w:spacing w:beforeLines="0" w:afterLines="0" w:line="360" w:lineRule="auto"/>
              <w:rPr>
                <w:rFonts w:ascii="宋体" w:hAnsi="宋体" w:eastAsia="宋体" w:cs="宋体"/>
                <w:sz w:val="24"/>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8" w:name="_Toc169605883"/>
    </w:p>
    <w:p>
      <w:pPr>
        <w:pStyle w:val="22"/>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8"/>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30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55</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宋体" w:eastAsia="宋体" w:cs="Times New Roman"/>
          <w:szCs w:val="20"/>
        </w:rPr>
      </w:pPr>
    </w:p>
    <w:p>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pPr>
        <w:keepNext/>
        <w:keepLines/>
        <w:spacing w:line="360" w:lineRule="auto"/>
        <w:jc w:val="center"/>
        <w:outlineLvl w:val="1"/>
        <w:rPr>
          <w:rFonts w:ascii="宋体" w:hAnsi="宋体" w:eastAsia="宋体" w:cs="Times New Roman"/>
          <w:b/>
          <w:bCs/>
          <w:kern w:val="44"/>
          <w:sz w:val="28"/>
          <w:szCs w:val="28"/>
        </w:rPr>
      </w:pPr>
      <w:bookmarkStart w:id="99" w:name="_Toc169605884"/>
      <w:r>
        <w:rPr>
          <w:rFonts w:hint="eastAsia" w:ascii="宋体" w:hAnsi="宋体" w:eastAsia="宋体" w:cs="Times New Roman"/>
          <w:b/>
          <w:bCs/>
          <w:kern w:val="44"/>
          <w:sz w:val="28"/>
          <w:szCs w:val="28"/>
        </w:rPr>
        <w:t>第四章质保期及售后服务</w:t>
      </w:r>
      <w:bookmarkEnd w:id="99"/>
    </w:p>
    <w:p>
      <w:pPr>
        <w:pStyle w:val="123"/>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3"/>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3"/>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ascii="宋体" w:hAnsi="宋体" w:eastAsia="宋体" w:cs="宋体"/>
          <w:color w:val="000000"/>
          <w:sz w:val="24"/>
          <w:szCs w:val="24"/>
        </w:rPr>
      </w:pPr>
    </w:p>
    <w:p>
      <w:pPr>
        <w:pStyle w:val="22"/>
        <w:spacing w:line="360" w:lineRule="auto"/>
        <w:rPr>
          <w:rFonts w:hAnsi="宋体" w:eastAsia="宋体"/>
        </w:rPr>
      </w:pPr>
      <w:r>
        <w:rPr>
          <w:rFonts w:hAnsi="宋体"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100" w:name="_Toc465187646"/>
      <w:r>
        <w:rPr>
          <w:rFonts w:hint="eastAsia" w:ascii="宋体" w:hAnsi="宋体" w:eastAsia="宋体" w:cs="Times New Roman"/>
          <w:b/>
          <w:bCs/>
          <w:kern w:val="44"/>
          <w:sz w:val="28"/>
          <w:szCs w:val="28"/>
        </w:rPr>
        <w:t>第五章  终验收</w:t>
      </w:r>
      <w:bookmarkEnd w:id="100"/>
    </w:p>
    <w:p>
      <w:pPr>
        <w:spacing w:line="360" w:lineRule="auto"/>
        <w:ind w:firstLine="480" w:firstLineChars="200"/>
        <w:rPr>
          <w:rFonts w:ascii="宋体" w:hAnsi="宋体" w:eastAsia="宋体"/>
          <w:sz w:val="24"/>
          <w:szCs w:val="24"/>
        </w:rPr>
      </w:pPr>
      <w:bookmarkStart w:id="101"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3"/>
        <w:spacing w:line="360" w:lineRule="auto"/>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pPr>
        <w:pStyle w:val="123"/>
        <w:spacing w:line="360" w:lineRule="auto"/>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1"/>
    </w:p>
    <w:p>
      <w:pPr>
        <w:pStyle w:val="123"/>
        <w:spacing w:line="360" w:lineRule="auto"/>
        <w:rPr>
          <w:rFonts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3"/>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2" w:name="_Toc465187648"/>
    </w:p>
    <w:bookmarkEnd w:id="102"/>
    <w:p>
      <w:pPr>
        <w:pStyle w:val="22"/>
      </w:pPr>
    </w:p>
    <w:p>
      <w:pPr>
        <w:spacing w:line="360" w:lineRule="auto"/>
        <w:jc w:val="center"/>
        <w:outlineLvl w:val="0"/>
        <w:rPr>
          <w:rFonts w:ascii="宋体" w:hAnsi="Calibri" w:eastAsia="宋体" w:cs="Times New Roman"/>
          <w:b/>
          <w:sz w:val="36"/>
          <w:szCs w:val="36"/>
        </w:rPr>
      </w:pPr>
      <w:bookmarkStart w:id="10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3"/>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4" w:name="_Toc20872"/>
      <w:bookmarkStart w:id="105" w:name="_Toc8509"/>
      <w:bookmarkStart w:id="106"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4"/>
      <w:bookmarkEnd w:id="105"/>
      <w:bookmarkEnd w:id="106"/>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p>
        </w:tc>
        <w:tc>
          <w:tcPr>
            <w:tcW w:w="2222" w:type="dxa"/>
            <w:vAlign w:val="center"/>
          </w:tcPr>
          <w:p>
            <w:pPr>
              <w:spacing w:line="360" w:lineRule="auto"/>
              <w:jc w:val="center"/>
              <w:rPr>
                <w:rFonts w:hint="eastAsia" w:ascii="宋体" w:hAnsi="宋体" w:eastAsia="宋体" w:cs="宋体"/>
                <w:color w:val="000000"/>
                <w:kern w:val="0"/>
                <w:sz w:val="20"/>
                <w:szCs w:val="20"/>
                <w:lang w:eastAsia="zh-CN" w:bidi="ar"/>
              </w:rPr>
            </w:pPr>
            <w:r>
              <w:rPr>
                <w:rFonts w:hint="eastAsia" w:ascii="宋体" w:hAnsi="宋体" w:eastAsia="宋体"/>
                <w:bCs/>
                <w:sz w:val="24"/>
                <w:szCs w:val="24"/>
                <w:lang w:val="en-US" w:eastAsia="zh-CN"/>
              </w:rPr>
              <w:t>充电桩</w:t>
            </w:r>
          </w:p>
        </w:tc>
        <w:tc>
          <w:tcPr>
            <w:tcW w:w="2428" w:type="dxa"/>
            <w:vAlign w:val="center"/>
          </w:tcPr>
          <w:p>
            <w:pPr>
              <w:spacing w:line="36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400kw</w:t>
            </w:r>
          </w:p>
        </w:tc>
        <w:tc>
          <w:tcPr>
            <w:tcW w:w="630"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64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2</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center"/>
          </w:tcPr>
          <w:p>
            <w:pPr>
              <w:spacing w:line="360" w:lineRule="auto"/>
              <w:jc w:val="center"/>
              <w:rPr>
                <w:rFonts w:hint="eastAsia" w:ascii="宋体" w:hAnsi="宋体" w:eastAsia="宋体" w:cs="宋体"/>
                <w:color w:val="000000"/>
                <w:kern w:val="0"/>
                <w:sz w:val="20"/>
                <w:szCs w:val="20"/>
                <w:lang w:eastAsia="zh-CN" w:bidi="ar"/>
              </w:rPr>
            </w:pPr>
            <w:r>
              <w:rPr>
                <w:rFonts w:hint="eastAsia" w:ascii="宋体" w:hAnsi="宋体" w:eastAsia="宋体"/>
                <w:bCs/>
                <w:sz w:val="24"/>
                <w:szCs w:val="24"/>
                <w:lang w:val="en-US" w:eastAsia="zh-CN"/>
              </w:rPr>
              <w:t>充电桩</w:t>
            </w:r>
          </w:p>
        </w:tc>
        <w:tc>
          <w:tcPr>
            <w:tcW w:w="864" w:type="pct"/>
            <w:vAlign w:val="center"/>
          </w:tcPr>
          <w:p>
            <w:pPr>
              <w:widowControl/>
              <w:jc w:val="center"/>
              <w:textAlignment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400kw</w:t>
            </w:r>
          </w:p>
        </w:tc>
        <w:tc>
          <w:tcPr>
            <w:tcW w:w="318" w:type="pct"/>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283" w:type="pct"/>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2</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2</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8"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9"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6"/>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360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462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4">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1"/>
  </w:num>
  <w:num w:numId="5">
    <w:abstractNumId w:val="2"/>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1222ED"/>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563CF"/>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4C1444"/>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3B6D"/>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0B3BE4"/>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BB6598"/>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er" Target="footer2.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80</Pages>
  <Words>10956</Words>
  <Characters>11652</Characters>
  <Lines>371</Lines>
  <Paragraphs>104</Paragraphs>
  <TotalTime>11</TotalTime>
  <ScaleCrop>false</ScaleCrop>
  <LinksUpToDate>false</LinksUpToDate>
  <CharactersWithSpaces>11838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2025-03-10T09:40:00Z</cp:lastPrinted>
  <dcterms:modified xsi:type="dcterms:W3CDTF">2025-11-06T07:59:18Z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eyJoZGlkIjoiNmY2NmQzZjVmOWZlYjA2ZjdkZDFiNWRhYmRiYWI5MWEiLCJ1c2VySWQiOiIzMDU3ODk3NzcifQ==</vt:lpwstr>
  </property>
</Properties>
</file>