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宋体" w:eastAsia="黑体"/>
          <w:color w:val="000000"/>
          <w:sz w:val="84"/>
          <w:szCs w:val="84"/>
        </w:rPr>
      </w:pPr>
      <w:r>
        <w:rPr>
          <w:rFonts w:hint="eastAsia" w:ascii="仿宋_GB2312" w:hAnsi="仿宋_GB2312" w:eastAsia="仿宋_GB2312" w:cs="仿宋_GB2312"/>
          <w:color w:val="000000"/>
          <w:spacing w:val="-8"/>
          <w:sz w:val="48"/>
          <w:szCs w:val="44"/>
        </w:rPr>
        <w:t>2026年度星工坊通力及奥的斯电梯年度维保、检验检测及配件采购项目</w:t>
      </w:r>
    </w:p>
    <w:p>
      <w:pPr>
        <w:pStyle w:val="10"/>
        <w:rPr>
          <w:rFonts w:ascii="黑体" w:hAnsi="宋体" w:eastAsia="黑体"/>
          <w:color w:val="000000"/>
          <w:sz w:val="84"/>
          <w:szCs w:val="84"/>
        </w:rPr>
      </w:pPr>
    </w:p>
    <w:p>
      <w:pPr>
        <w:pStyle w:val="10"/>
        <w:rPr>
          <w:rFonts w:ascii="黑体" w:hAnsi="宋体" w:eastAsia="黑体"/>
          <w:color w:val="000000"/>
          <w:sz w:val="84"/>
          <w:szCs w:val="84"/>
        </w:rPr>
      </w:pPr>
    </w:p>
    <w:p>
      <w:pPr>
        <w:jc w:val="center"/>
        <w:rPr>
          <w:rFonts w:hint="eastAsia" w:ascii="宋体" w:hAnsi="宋体"/>
          <w:sz w:val="72"/>
          <w:szCs w:val="72"/>
        </w:rPr>
      </w:pPr>
      <w:r>
        <w:rPr>
          <w:rFonts w:hint="eastAsia" w:ascii="宋体" w:hAnsi="宋体"/>
          <w:sz w:val="72"/>
          <w:szCs w:val="72"/>
        </w:rPr>
        <w:t>招  标  文  件</w:t>
      </w:r>
    </w:p>
    <w:p>
      <w:pPr>
        <w:rPr>
          <w:rFonts w:hint="eastAsia" w:ascii="宋体" w:hAnsi="宋体"/>
          <w:sz w:val="24"/>
        </w:rPr>
      </w:pPr>
    </w:p>
    <w:p>
      <w:pPr>
        <w:pStyle w:val="10"/>
        <w:rPr>
          <w:rFonts w:hint="eastAsia"/>
        </w:rPr>
      </w:pPr>
    </w:p>
    <w:p>
      <w:pPr>
        <w:jc w:val="center"/>
        <w:rPr>
          <w:rFonts w:ascii="宋体" w:hAnsi="宋体"/>
          <w:color w:val="000000"/>
          <w:sz w:val="72"/>
          <w:szCs w:val="72"/>
        </w:rPr>
      </w:pPr>
    </w:p>
    <w:p>
      <w:pPr>
        <w:jc w:val="center"/>
        <w:rPr>
          <w:rFonts w:ascii="宋体" w:hAnsi="宋体"/>
          <w:color w:val="000000"/>
          <w:sz w:val="48"/>
          <w:szCs w:val="48"/>
        </w:rPr>
      </w:pPr>
    </w:p>
    <w:p>
      <w:pPr>
        <w:jc w:val="center"/>
        <w:rPr>
          <w:rFonts w:ascii="宋体" w:hAnsi="宋体"/>
          <w:color w:val="000000"/>
          <w:sz w:val="48"/>
          <w:szCs w:val="48"/>
        </w:rPr>
      </w:pPr>
    </w:p>
    <w:p>
      <w:pPr>
        <w:jc w:val="center"/>
        <w:rPr>
          <w:rFonts w:ascii="宋体" w:hAnsi="宋体"/>
          <w:color w:val="000000"/>
          <w:sz w:val="48"/>
          <w:szCs w:val="48"/>
        </w:rPr>
      </w:pPr>
    </w:p>
    <w:p>
      <w:pPr>
        <w:jc w:val="center"/>
        <w:rPr>
          <w:rFonts w:ascii="宋体" w:hAnsi="宋体"/>
          <w:color w:val="000000"/>
          <w:sz w:val="48"/>
          <w:szCs w:val="48"/>
        </w:rPr>
      </w:pPr>
    </w:p>
    <w:p>
      <w:pPr>
        <w:jc w:val="center"/>
        <w:rPr>
          <w:rFonts w:ascii="宋体" w:hAnsi="宋体"/>
          <w:color w:val="000000"/>
          <w:sz w:val="28"/>
          <w:szCs w:val="28"/>
        </w:rPr>
      </w:pP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招 标 人：中国重型汽车集团有限公司</w:t>
      </w: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202</w:t>
      </w:r>
      <w:r>
        <w:rPr>
          <w:rFonts w:hint="eastAsia" w:ascii="仿宋_GB2312" w:hAnsi="仿宋_GB2312" w:eastAsia="仿宋_GB2312" w:cs="仿宋_GB2312"/>
          <w:color w:val="000000"/>
          <w:sz w:val="36"/>
          <w:szCs w:val="36"/>
          <w:lang w:val="en-US" w:eastAsia="zh-CN"/>
        </w:rPr>
        <w:t>5</w:t>
      </w:r>
      <w:r>
        <w:rPr>
          <w:rFonts w:hint="eastAsia" w:ascii="仿宋_GB2312" w:hAnsi="仿宋_GB2312" w:eastAsia="仿宋_GB2312" w:cs="仿宋_GB2312"/>
          <w:color w:val="000000"/>
          <w:sz w:val="36"/>
          <w:szCs w:val="36"/>
        </w:rPr>
        <w:t>年</w:t>
      </w:r>
      <w:r>
        <w:rPr>
          <w:rFonts w:hint="eastAsia" w:ascii="仿宋_GB2312" w:hAnsi="仿宋_GB2312" w:eastAsia="仿宋_GB2312" w:cs="仿宋_GB2312"/>
          <w:color w:val="000000"/>
          <w:sz w:val="36"/>
          <w:szCs w:val="36"/>
          <w:lang w:val="en-US" w:eastAsia="zh-CN"/>
        </w:rPr>
        <w:t>12</w:t>
      </w:r>
      <w:r>
        <w:rPr>
          <w:rFonts w:hint="eastAsia" w:ascii="仿宋_GB2312" w:hAnsi="仿宋_GB2312" w:eastAsia="仿宋_GB2312" w:cs="仿宋_GB2312"/>
          <w:color w:val="000000"/>
          <w:sz w:val="36"/>
          <w:szCs w:val="36"/>
        </w:rPr>
        <w:t>月</w:t>
      </w:r>
    </w:p>
    <w:p>
      <w:pPr>
        <w:pStyle w:val="13"/>
        <w:spacing w:line="360" w:lineRule="auto"/>
        <w:jc w:val="center"/>
        <w:rPr>
          <w:color w:val="000000"/>
        </w:rPr>
      </w:pPr>
    </w:p>
    <w:p>
      <w:pPr>
        <w:rPr>
          <w:color w:val="000000"/>
        </w:rPr>
      </w:pPr>
      <w:r>
        <w:rPr>
          <w:color w:val="000000"/>
        </w:rPr>
        <w:br w:type="page"/>
      </w:r>
    </w:p>
    <w:p>
      <w:pPr>
        <w:pStyle w:val="13"/>
        <w:spacing w:line="360" w:lineRule="auto"/>
        <w:jc w:val="center"/>
        <w:rPr>
          <w:color w:val="000000"/>
        </w:rPr>
      </w:pPr>
    </w:p>
    <w:p>
      <w:pPr>
        <w:pStyle w:val="13"/>
        <w:spacing w:line="360" w:lineRule="auto"/>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3"/>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pStyle w:val="13"/>
        <w:spacing w:line="360" w:lineRule="auto"/>
        <w:ind w:firstLine="480" w:firstLineChars="200"/>
        <w:rPr>
          <w:rFonts w:hint="eastAsia" w:cs="仿宋" w:asciiTheme="minorEastAsia" w:hAnsiTheme="minorEastAsia" w:eastAsiaTheme="minorEastAsia"/>
          <w:sz w:val="24"/>
          <w:szCs w:val="24"/>
          <w:highlight w:val="yellow"/>
          <w:lang w:val="en-US" w:eastAsia="zh-CN"/>
        </w:rPr>
      </w:pPr>
      <w:r>
        <w:rPr>
          <w:rFonts w:hint="eastAsia" w:cs="仿宋" w:asciiTheme="minorEastAsia" w:hAnsiTheme="minorEastAsia" w:eastAsiaTheme="minorEastAsia"/>
          <w:sz w:val="24"/>
          <w:szCs w:val="24"/>
          <w:highlight w:val="yellow"/>
        </w:rPr>
        <w:t>项目名称：</w:t>
      </w:r>
      <w:bookmarkStart w:id="0" w:name="OLE_LINK1"/>
      <w:r>
        <w:rPr>
          <w:rFonts w:hint="eastAsia" w:cs="仿宋" w:asciiTheme="minorEastAsia" w:hAnsiTheme="minorEastAsia" w:eastAsiaTheme="minorEastAsia"/>
          <w:sz w:val="24"/>
          <w:szCs w:val="24"/>
          <w:highlight w:val="yellow"/>
          <w:lang w:val="en-US" w:eastAsia="zh-CN"/>
        </w:rPr>
        <w:t>2026年度星工坊通力及奥的斯电梯年度维保、检验检测及配件采购项目</w:t>
      </w:r>
    </w:p>
    <w:p>
      <w:pPr>
        <w:pStyle w:val="13"/>
        <w:spacing w:line="360" w:lineRule="auto"/>
        <w:ind w:firstLine="480" w:firstLineChars="200"/>
        <w:rPr>
          <w:rFonts w:hint="default" w:cs="仿宋" w:asciiTheme="minorEastAsia" w:hAnsiTheme="minorEastAsia" w:eastAsiaTheme="minorEastAsia"/>
          <w:sz w:val="24"/>
          <w:szCs w:val="24"/>
          <w:highlight w:val="yellow"/>
          <w:lang w:val="en-US" w:eastAsia="zh-CN"/>
        </w:rPr>
      </w:pPr>
      <w:r>
        <w:rPr>
          <w:rFonts w:hint="eastAsia" w:cs="仿宋" w:asciiTheme="minorEastAsia" w:hAnsiTheme="minorEastAsia" w:eastAsiaTheme="minorEastAsia"/>
          <w:sz w:val="24"/>
          <w:szCs w:val="24"/>
          <w:highlight w:val="yellow"/>
          <w:lang w:val="en-US" w:eastAsia="zh-CN"/>
        </w:rPr>
        <w:t>项目编号：FSCZB2025120276</w:t>
      </w:r>
    </w:p>
    <w:bookmarkEnd w:id="0"/>
    <w:p>
      <w:pPr>
        <w:pStyle w:val="13"/>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pStyle w:val="13"/>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1</w:t>
      </w:r>
      <w:r>
        <w:rPr>
          <w:rFonts w:hint="eastAsia" w:asciiTheme="minorEastAsia" w:hAnsiTheme="minorEastAsia" w:eastAsiaTheme="minorEastAsia"/>
          <w:color w:val="000000"/>
          <w:sz w:val="24"/>
          <w:szCs w:val="24"/>
        </w:rPr>
        <w:t>、招标形式：</w:t>
      </w:r>
      <w:r>
        <w:rPr>
          <w:rFonts w:hint="eastAsia" w:asciiTheme="minorEastAsia" w:hAnsiTheme="minorEastAsia" w:eastAsiaTheme="minorEastAsia"/>
          <w:color w:val="000000"/>
          <w:sz w:val="24"/>
          <w:szCs w:val="24"/>
          <w:lang w:val="en-US" w:eastAsia="zh-CN"/>
        </w:rPr>
        <w:t>公开招标</w:t>
      </w:r>
      <w:r>
        <w:rPr>
          <w:rFonts w:hint="eastAsia" w:asciiTheme="minorEastAsia" w:hAnsiTheme="minorEastAsia" w:eastAsiaTheme="minorEastAsia"/>
          <w:color w:val="000000"/>
          <w:sz w:val="24"/>
          <w:szCs w:val="24"/>
        </w:rPr>
        <w:t>。</w:t>
      </w:r>
    </w:p>
    <w:p>
      <w:pPr>
        <w:pStyle w:val="13"/>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2</w:t>
      </w:r>
      <w:r>
        <w:rPr>
          <w:rFonts w:hint="eastAsia" w:asciiTheme="minorEastAsia" w:hAnsiTheme="minorEastAsia" w:eastAsiaTheme="minorEastAsia"/>
          <w:color w:val="000000"/>
          <w:sz w:val="24"/>
          <w:szCs w:val="24"/>
        </w:rPr>
        <w:t>、</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的维修和保养，保障设备安全稳定运行，降低设备故障率。</w:t>
      </w:r>
    </w:p>
    <w:p>
      <w:pPr>
        <w:pStyle w:val="13"/>
        <w:spacing w:line="360" w:lineRule="auto"/>
        <w:ind w:firstLine="480" w:firstLineChars="200"/>
        <w:rPr>
          <w:rFonts w:hint="default" w:cs="MISMMT+ËÎÌå" w:asciiTheme="minorEastAsia" w:hAnsiTheme="minorEastAsia" w:eastAsiaTheme="minorEastAsia"/>
          <w:color w:val="000000"/>
          <w:sz w:val="24"/>
          <w:szCs w:val="24"/>
          <w:lang w:val="en-US" w:eastAsia="zh-CN"/>
        </w:rPr>
      </w:pPr>
      <w:r>
        <w:rPr>
          <w:rFonts w:hint="eastAsia" w:cs="MISMMT+ËÎÌå" w:asciiTheme="minorEastAsia" w:hAnsiTheme="minorEastAsia" w:eastAsiaTheme="minorEastAsia"/>
          <w:color w:val="000000"/>
          <w:sz w:val="24"/>
          <w:szCs w:val="24"/>
          <w:lang w:val="en-US" w:eastAsia="zh-CN"/>
        </w:rPr>
        <w:t>3、为保障电梯运行安全提高专用设备配件采购的及时性，签订年度配件价格清单框架合作协议，依据该清单价格对损坏配件进行据实结算，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投标方必需保证提供通力或通力认证供应商的正品配件，并提供通力电梯正品配件销售授权证明，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p>
    <w:p>
      <w:pPr>
        <w:pStyle w:val="13"/>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4</w:t>
      </w:r>
      <w:r>
        <w:rPr>
          <w:rFonts w:hint="eastAsia" w:asciiTheme="minorEastAsia" w:hAnsiTheme="minorEastAsia" w:eastAsiaTheme="minorEastAsia"/>
          <w:color w:val="000000"/>
          <w:sz w:val="24"/>
          <w:szCs w:val="24"/>
        </w:rPr>
        <w:t>、</w:t>
      </w:r>
      <w:r>
        <w:rPr>
          <w:rFonts w:hint="eastAsia" w:asciiTheme="minorEastAsia" w:hAnsiTheme="minorEastAsia" w:eastAsiaTheme="minorEastAsia"/>
          <w:bCs/>
          <w:color w:val="000000"/>
          <w:sz w:val="24"/>
          <w:szCs w:val="24"/>
        </w:rPr>
        <w:t>具体要求详见《招标内容和要求》</w:t>
      </w:r>
      <w:r>
        <w:rPr>
          <w:rFonts w:hint="eastAsia" w:asciiTheme="minorEastAsia" w:hAnsiTheme="minorEastAsia" w:eastAsiaTheme="minorEastAsia"/>
          <w:bCs/>
          <w:color w:val="000000"/>
          <w:sz w:val="24"/>
          <w:szCs w:val="24"/>
          <w:lang w:eastAsia="zh-CN"/>
        </w:rPr>
        <w:t>、《</w:t>
      </w:r>
      <w:r>
        <w:rPr>
          <w:rFonts w:hint="eastAsia" w:asciiTheme="minorEastAsia" w:hAnsiTheme="minorEastAsia" w:eastAsiaTheme="minorEastAsia"/>
          <w:bCs/>
          <w:color w:val="000000"/>
          <w:sz w:val="24"/>
          <w:szCs w:val="24"/>
          <w:lang w:val="en-US" w:eastAsia="zh-CN"/>
        </w:rPr>
        <w:t>配件价格清单》</w:t>
      </w:r>
      <w:r>
        <w:rPr>
          <w:rFonts w:hint="eastAsia" w:asciiTheme="minorEastAsia" w:hAnsiTheme="minorEastAsia" w:eastAsiaTheme="minorEastAsia"/>
          <w:bCs/>
          <w:color w:val="000000"/>
          <w:sz w:val="24"/>
          <w:szCs w:val="24"/>
        </w:rPr>
        <w:t>。</w:t>
      </w:r>
    </w:p>
    <w:p>
      <w:pPr>
        <w:pStyle w:val="13"/>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lang w:val="en-US" w:eastAsia="zh-CN"/>
        </w:rPr>
        <w:t>三</w:t>
      </w:r>
      <w:r>
        <w:rPr>
          <w:rFonts w:hint="eastAsia" w:cs="宋体" w:asciiTheme="minorEastAsia" w:hAnsiTheme="minorEastAsia" w:eastAsiaTheme="minorEastAsia"/>
          <w:b/>
          <w:bCs/>
          <w:color w:val="000000"/>
          <w:sz w:val="24"/>
          <w:szCs w:val="24"/>
        </w:rPr>
        <w:t>、投标说明</w:t>
      </w:r>
    </w:p>
    <w:p>
      <w:pPr>
        <w:pStyle w:val="13"/>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（1）拟标投人必须是在中华人民共和国境内注册的具有独立承担民事责任能力的机构，注册资金不少于 100万人民币（或等值其他货币）；公司成立三年以上（以营业执照成立日期到开标当日满三年为准）；且经营范围满足招标人需求；并在人员、设备、资金等方面具有承担本项目的能力。</w:t>
      </w:r>
    </w:p>
    <w:p>
      <w:pPr>
        <w:pStyle w:val="13"/>
        <w:spacing w:line="360" w:lineRule="auto"/>
        <w:ind w:firstLine="480" w:firstLineChars="20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2</w:t>
      </w:r>
      <w:r>
        <w:rPr>
          <w:rFonts w:hint="eastAsia" w:cs="仿宋" w:asciiTheme="minorEastAsia" w:hAnsiTheme="minorEastAsia" w:eastAsiaTheme="minorEastAsia"/>
          <w:sz w:val="24"/>
          <w:szCs w:val="24"/>
        </w:rPr>
        <w:t>）拟投标人</w:t>
      </w:r>
      <w:r>
        <w:rPr>
          <w:rFonts w:hint="eastAsia" w:asciiTheme="minorEastAsia" w:hAnsiTheme="minorEastAsia" w:eastAsiaTheme="minorEastAsia"/>
          <w:color w:val="000000"/>
          <w:sz w:val="24"/>
          <w:szCs w:val="24"/>
        </w:rPr>
        <w:t>拟投标人应提供三证合一的供营业执照副本原件</w:t>
      </w:r>
      <w:r>
        <w:rPr>
          <w:rFonts w:hint="eastAsia" w:asciiTheme="minorEastAsia" w:hAnsiTheme="minorEastAsia" w:eastAsiaTheme="minorEastAsia"/>
          <w:color w:val="000000"/>
          <w:sz w:val="24"/>
          <w:szCs w:val="24"/>
          <w:lang w:eastAsia="zh-CN"/>
        </w:rPr>
        <w:t>，</w:t>
      </w:r>
      <w:r>
        <w:rPr>
          <w:rFonts w:hint="eastAsia" w:cs="仿宋" w:asciiTheme="minorEastAsia" w:hAnsiTheme="minorEastAsia" w:eastAsiaTheme="minorEastAsia"/>
          <w:sz w:val="24"/>
          <w:szCs w:val="24"/>
        </w:rPr>
        <w:t>提供法定代表人（或负责人）资格授权委托书或证明文件。</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3</w:t>
      </w:r>
      <w:r>
        <w:rPr>
          <w:rFonts w:hint="eastAsia" w:cs="仿宋" w:asciiTheme="minorEastAsia" w:hAnsiTheme="minorEastAsia" w:eastAsiaTheme="minorEastAsia"/>
          <w:sz w:val="24"/>
          <w:szCs w:val="24"/>
        </w:rPr>
        <w:t>）拟投标人在工商行政管理局的《国家企业信用信息公示系统（山东）》中查询不存在不良记录。</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4</w:t>
      </w:r>
      <w:r>
        <w:rPr>
          <w:rFonts w:hint="eastAsia" w:cs="仿宋" w:asciiTheme="minorEastAsia" w:hAnsiTheme="minorEastAsia" w:eastAsiaTheme="minorEastAsia"/>
          <w:sz w:val="24"/>
          <w:szCs w:val="24"/>
        </w:rPr>
        <w:t>）拟投标人不存在严重违规或被列入招标人“黑名单”的声明。</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5</w:t>
      </w:r>
      <w:r>
        <w:rPr>
          <w:rFonts w:hint="eastAsia" w:cs="仿宋" w:asciiTheme="minorEastAsia" w:hAnsiTheme="minorEastAsia" w:eastAsiaTheme="minorEastAsia"/>
          <w:sz w:val="24"/>
          <w:szCs w:val="24"/>
        </w:rPr>
        <w:t>）拟投标人有与本次招标内容相同或类似项目业绩，且近3年内无因服务不当而造成重大事故。</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）本项目不接受联合体报价。</w:t>
      </w:r>
    </w:p>
    <w:p>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7</w:t>
      </w:r>
      <w:r>
        <w:rPr>
          <w:rFonts w:hint="eastAsia" w:asciiTheme="minorEastAsia" w:hAnsiTheme="minorEastAsia" w:eastAsiaTheme="minorEastAsia"/>
          <w:color w:val="000000"/>
          <w:sz w:val="24"/>
          <w:szCs w:val="24"/>
        </w:rPr>
        <w:t>）具有中华人民共和国特种设备安装改造维修许可证。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拟投标人应提供通力电梯正品配件销售授权证明。</w:t>
      </w:r>
    </w:p>
    <w:p>
      <w:pPr>
        <w:pStyle w:val="13"/>
        <w:spacing w:line="360" w:lineRule="auto"/>
        <w:ind w:firstLine="480" w:firstLineChars="200"/>
        <w:rPr>
          <w:rFonts w:cs="仿宋" w:asciiTheme="minorEastAsia" w:hAnsiTheme="minorEastAsia" w:eastAsiaTheme="minorEastAsia"/>
          <w:sz w:val="24"/>
          <w:szCs w:val="24"/>
        </w:rPr>
      </w:pPr>
    </w:p>
    <w:p>
      <w:pPr>
        <w:pStyle w:val="13"/>
        <w:spacing w:line="360" w:lineRule="auto"/>
        <w:ind w:firstLine="482" w:firstLineChars="200"/>
        <w:rPr>
          <w:rFonts w:asciiTheme="minorEastAsia" w:hAnsiTheme="minorEastAsia" w:eastAsiaTheme="minorEastAsia"/>
          <w:b/>
          <w:bCs/>
          <w:sz w:val="24"/>
          <w:szCs w:val="24"/>
        </w:rPr>
      </w:pPr>
      <w:r>
        <w:rPr>
          <w:rFonts w:hint="eastAsia" w:asciiTheme="minorEastAsia" w:hAnsiTheme="minorEastAsia" w:eastAsiaTheme="minorEastAsia"/>
          <w:b/>
          <w:bCs/>
          <w:color w:val="000000"/>
          <w:sz w:val="24"/>
          <w:szCs w:val="24"/>
        </w:rPr>
        <w:t>2、报价</w:t>
      </w:r>
    </w:p>
    <w:p>
      <w:pPr>
        <w:pStyle w:val="13"/>
        <w:spacing w:line="360" w:lineRule="auto"/>
        <w:ind w:firstLine="480" w:firstLineChars="20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（1）本次招投标为</w:t>
      </w:r>
      <w:r>
        <w:rPr>
          <w:rFonts w:hint="eastAsia" w:cs="仿宋" w:asciiTheme="minorEastAsia" w:hAnsiTheme="minorEastAsia" w:eastAsiaTheme="minorEastAsia"/>
          <w:sz w:val="24"/>
          <w:szCs w:val="24"/>
          <w:lang w:val="en-US" w:eastAsia="zh-CN"/>
        </w:rPr>
        <w:t>单一来源采购（商务谈判）形式</w:t>
      </w:r>
      <w:r>
        <w:rPr>
          <w:rFonts w:hint="eastAsia" w:cs="仿宋" w:asciiTheme="minorEastAsia" w:hAnsiTheme="minorEastAsia" w:eastAsiaTheme="minorEastAsia"/>
          <w:sz w:val="24"/>
          <w:szCs w:val="24"/>
        </w:rPr>
        <w:t>，投标人自行勘察现场</w:t>
      </w:r>
      <w:r>
        <w:rPr>
          <w:rFonts w:hint="eastAsia" w:cs="仿宋" w:asciiTheme="minorEastAsia" w:hAnsiTheme="minorEastAsia" w:eastAsiaTheme="minorEastAsia"/>
          <w:sz w:val="24"/>
          <w:szCs w:val="24"/>
          <w:lang w:val="en-US" w:eastAsia="zh-CN"/>
        </w:rPr>
        <w:t>电梯设备</w:t>
      </w:r>
      <w:r>
        <w:rPr>
          <w:rFonts w:hint="eastAsia" w:cs="仿宋" w:asciiTheme="minorEastAsia" w:hAnsiTheme="minorEastAsia" w:eastAsiaTheme="minorEastAsia"/>
          <w:sz w:val="24"/>
          <w:szCs w:val="24"/>
        </w:rPr>
        <w:t>，进行合理报价</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报价不得高于系统最高限价</w:t>
      </w:r>
      <w:r>
        <w:rPr>
          <w:rFonts w:hint="eastAsia" w:cs="仿宋" w:asciiTheme="minorEastAsia" w:hAnsiTheme="minorEastAsia" w:eastAsiaTheme="minorEastAsia"/>
          <w:sz w:val="24"/>
          <w:szCs w:val="24"/>
        </w:rPr>
        <w:t>。</w:t>
      </w:r>
    </w:p>
    <w:p>
      <w:pPr>
        <w:pStyle w:val="13"/>
        <w:spacing w:line="360" w:lineRule="auto"/>
        <w:ind w:firstLine="480" w:firstLineChars="20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（2）所有的报价货币单位为：（人民币）元（含税价</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rPr>
        <w:t>不含税价并写明税率）。</w:t>
      </w:r>
    </w:p>
    <w:p>
      <w:pPr>
        <w:pStyle w:val="13"/>
        <w:spacing w:line="360" w:lineRule="auto"/>
        <w:ind w:firstLine="480" w:firstLineChars="200"/>
        <w:rPr>
          <w:rFonts w:hint="default"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3</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rPr>
        <w:t>付款方式：</w:t>
      </w:r>
      <w:r>
        <w:rPr>
          <w:rFonts w:hint="eastAsia" w:asciiTheme="minorEastAsia" w:hAnsiTheme="minorEastAsia" w:eastAsiaTheme="minorEastAsia"/>
          <w:b/>
          <w:color w:val="000000"/>
          <w:sz w:val="28"/>
          <w:szCs w:val="24"/>
        </w:rPr>
        <w:t>半年期商业汇票</w:t>
      </w:r>
    </w:p>
    <w:p>
      <w:pPr>
        <w:pStyle w:val="13"/>
        <w:spacing w:line="360" w:lineRule="auto"/>
        <w:ind w:firstLine="482" w:firstLineChars="200"/>
        <w:rPr>
          <w:rFonts w:hint="default" w:cs="宋体" w:asciiTheme="minorEastAsia" w:hAnsiTheme="minorEastAsia" w:eastAsiaTheme="minorEastAsia"/>
          <w:b/>
          <w:bCs/>
          <w:color w:val="000000"/>
          <w:sz w:val="24"/>
          <w:szCs w:val="24"/>
          <w:lang w:val="en-US" w:eastAsia="zh-CN"/>
        </w:rPr>
      </w:pPr>
      <w:r>
        <w:rPr>
          <w:rFonts w:hint="eastAsia" w:cs="宋体" w:asciiTheme="minorEastAsia" w:hAnsiTheme="minorEastAsia" w:eastAsiaTheme="minorEastAsia"/>
          <w:b/>
          <w:bCs/>
          <w:color w:val="000000"/>
          <w:sz w:val="24"/>
          <w:szCs w:val="24"/>
          <w:lang w:val="en-US" w:eastAsia="zh-CN"/>
        </w:rPr>
        <w:t>3、开标时间、地点</w:t>
      </w:r>
    </w:p>
    <w:p>
      <w:pPr>
        <w:pStyle w:val="13"/>
        <w:spacing w:line="360" w:lineRule="auto"/>
        <w:ind w:left="719" w:leftChars="228" w:hanging="240" w:hangingChars="100"/>
        <w:jc w:val="left"/>
        <w:rPr>
          <w:rFonts w:hint="default" w:cs="Times New Roman" w:asciiTheme="minorEastAsia" w:hAnsiTheme="minorEastAsia" w:eastAsiaTheme="minorEastAsia"/>
          <w:color w:val="000000"/>
          <w:sz w:val="24"/>
          <w:szCs w:val="24"/>
          <w:lang w:val="en-US"/>
        </w:rPr>
      </w:pPr>
      <w:r>
        <w:rPr>
          <w:rFonts w:hint="eastAsia" w:asciiTheme="minorEastAsia" w:hAnsiTheme="minorEastAsia" w:eastAsiaTheme="minorEastAsia"/>
          <w:color w:val="000000"/>
          <w:sz w:val="24"/>
          <w:szCs w:val="24"/>
        </w:rPr>
        <w:t>1、</w:t>
      </w:r>
      <w:r>
        <w:rPr>
          <w:rFonts w:hint="eastAsia" w:cs="Times New Roman" w:asciiTheme="minorEastAsia" w:hAnsiTheme="minorEastAsia" w:eastAsiaTheme="minorEastAsia"/>
          <w:color w:val="000000"/>
          <w:sz w:val="24"/>
          <w:szCs w:val="24"/>
          <w:lang w:val="en-US" w:eastAsia="zh-CN"/>
        </w:rPr>
        <w:t>招标形式</w:t>
      </w:r>
      <w:r>
        <w:rPr>
          <w:rFonts w:hint="eastAsia" w:cs="Times New Roman"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公开招标</w:t>
      </w:r>
      <w:bookmarkStart w:id="5" w:name="_GoBack"/>
      <w:bookmarkEnd w:id="5"/>
      <w:r>
        <w:rPr>
          <w:rFonts w:hint="eastAsia" w:cs="Times New Roman" w:asciiTheme="minorEastAsia" w:hAnsiTheme="minorEastAsia" w:eastAsiaTheme="minorEastAsia"/>
          <w:color w:val="000000"/>
          <w:sz w:val="24"/>
          <w:szCs w:val="24"/>
          <w:lang w:val="en-US" w:eastAsia="zh-CN"/>
        </w:rPr>
        <w:t>。报名（供方资质审核）、发标、应标、评标、审批等环节均在重汽e采通中进行。中国重汽e采通网址：(</w:t>
      </w:r>
      <w:r>
        <w:rPr>
          <w:rFonts w:hint="eastAsia" w:cs="Times New Roman" w:asciiTheme="minorEastAsia" w:hAnsiTheme="minorEastAsia" w:eastAsiaTheme="minorEastAsia"/>
          <w:color w:val="000000"/>
          <w:sz w:val="24"/>
          <w:szCs w:val="24"/>
          <w:lang w:val="en-US" w:eastAsia="zh-CN"/>
        </w:rPr>
        <w:fldChar w:fldCharType="begin"/>
      </w:r>
      <w:r>
        <w:rPr>
          <w:rFonts w:hint="eastAsia" w:cs="Times New Roman" w:asciiTheme="minorEastAsia" w:hAnsiTheme="minorEastAsia" w:eastAsiaTheme="minorEastAsia"/>
          <w:color w:val="000000"/>
          <w:sz w:val="24"/>
          <w:szCs w:val="24"/>
          <w:lang w:val="en-US" w:eastAsia="zh-CN"/>
        </w:rPr>
        <w:instrText xml:space="preserve"> HYPERLINK "http://ecaitong.sinotruk.com:8012)" \t "_blank" </w:instrText>
      </w:r>
      <w:r>
        <w:rPr>
          <w:rFonts w:hint="eastAsia" w:cs="Times New Roman" w:asciiTheme="minorEastAsia" w:hAnsiTheme="minorEastAsia" w:eastAsiaTheme="minorEastAsia"/>
          <w:color w:val="000000"/>
          <w:sz w:val="24"/>
          <w:szCs w:val="24"/>
          <w:lang w:val="en-US" w:eastAsia="zh-CN"/>
        </w:rPr>
        <w:fldChar w:fldCharType="separate"/>
      </w:r>
      <w:r>
        <w:rPr>
          <w:rFonts w:hint="eastAsia" w:cs="Times New Roman" w:asciiTheme="minorEastAsia" w:hAnsiTheme="minorEastAsia" w:eastAsiaTheme="minorEastAsia"/>
          <w:color w:val="000000"/>
          <w:sz w:val="24"/>
          <w:szCs w:val="24"/>
          <w:lang w:val="en-US" w:eastAsia="zh-CN"/>
        </w:rPr>
        <w:t>http://ecaitong.sinotruk.com:8012)</w:t>
      </w:r>
      <w:r>
        <w:rPr>
          <w:rFonts w:hint="eastAsia" w:cs="Times New Roman" w:asciiTheme="minorEastAsia" w:hAnsiTheme="minorEastAsia" w:eastAsiaTheme="minorEastAsia"/>
          <w:color w:val="000000"/>
          <w:sz w:val="24"/>
          <w:szCs w:val="24"/>
          <w:lang w:val="en-US" w:eastAsia="zh-CN"/>
        </w:rPr>
        <w:fldChar w:fldCharType="end"/>
      </w:r>
      <w:r>
        <w:rPr>
          <w:rFonts w:hint="eastAsia" w:cs="Times New Roman" w:asciiTheme="minorEastAsia" w:hAnsiTheme="minorEastAsia" w:eastAsiaTheme="minorEastAsia"/>
          <w:color w:val="000000"/>
          <w:sz w:val="24"/>
          <w:szCs w:val="24"/>
          <w:lang w:val="en-US" w:eastAsia="zh-CN"/>
        </w:rPr>
        <w:t>。</w:t>
      </w:r>
    </w:p>
    <w:p>
      <w:pPr>
        <w:pStyle w:val="13"/>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2、发标时间：2025年12月24日</w:t>
      </w:r>
    </w:p>
    <w:p>
      <w:pPr>
        <w:pStyle w:val="13"/>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3、应标（报名）截止时间：2025年12月28日17:00</w:t>
      </w:r>
    </w:p>
    <w:p>
      <w:pPr>
        <w:pStyle w:val="13"/>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4、投标截止时间：2026年1月4日8:50</w:t>
      </w:r>
    </w:p>
    <w:p>
      <w:pPr>
        <w:pStyle w:val="13"/>
        <w:spacing w:line="360" w:lineRule="auto"/>
        <w:ind w:firstLine="480" w:firstLineChars="200"/>
        <w:rPr>
          <w:rFonts w:hint="eastAsia" w:cs="仿宋" w:asciiTheme="minorEastAsia" w:hAnsiTheme="minorEastAsia" w:eastAsiaTheme="minorEastAsia"/>
          <w:color w:val="auto"/>
          <w:sz w:val="24"/>
          <w:szCs w:val="24"/>
        </w:rPr>
      </w:pPr>
      <w:r>
        <w:rPr>
          <w:rFonts w:hint="eastAsia" w:hAnsi="宋体" w:cs="宋体"/>
          <w:color w:val="000000"/>
          <w:sz w:val="24"/>
          <w:szCs w:val="24"/>
          <w:highlight w:val="green"/>
          <w:lang w:val="en-US" w:eastAsia="zh-CN"/>
        </w:rPr>
        <w:t>5、</w:t>
      </w:r>
      <w:r>
        <w:rPr>
          <w:rFonts w:hint="eastAsia" w:ascii="宋体" w:hAnsi="宋体" w:eastAsia="宋体" w:cs="宋体"/>
          <w:color w:val="000000"/>
          <w:sz w:val="24"/>
          <w:szCs w:val="24"/>
          <w:highlight w:val="green"/>
        </w:rPr>
        <w:t>开标时间：202</w:t>
      </w:r>
      <w:r>
        <w:rPr>
          <w:rFonts w:hint="eastAsia" w:hAnsi="宋体" w:cs="宋体"/>
          <w:color w:val="000000"/>
          <w:sz w:val="24"/>
          <w:szCs w:val="24"/>
          <w:highlight w:val="green"/>
          <w:lang w:val="en-US" w:eastAsia="zh-CN"/>
        </w:rPr>
        <w:t>6</w:t>
      </w:r>
      <w:r>
        <w:rPr>
          <w:rFonts w:hint="eastAsia" w:ascii="宋体" w:hAnsi="宋体" w:eastAsia="宋体" w:cs="宋体"/>
          <w:color w:val="000000"/>
          <w:sz w:val="24"/>
          <w:szCs w:val="24"/>
          <w:highlight w:val="green"/>
        </w:rPr>
        <w:t>年1月</w:t>
      </w:r>
      <w:r>
        <w:rPr>
          <w:rFonts w:hint="eastAsia" w:hAnsi="宋体" w:cs="宋体"/>
          <w:color w:val="000000"/>
          <w:sz w:val="24"/>
          <w:szCs w:val="24"/>
          <w:highlight w:val="green"/>
          <w:lang w:val="en-US" w:eastAsia="zh-CN"/>
        </w:rPr>
        <w:t>4</w:t>
      </w:r>
      <w:r>
        <w:rPr>
          <w:rFonts w:hint="eastAsia" w:ascii="宋体" w:hAnsi="宋体" w:eastAsia="宋体" w:cs="宋体"/>
          <w:color w:val="000000"/>
          <w:sz w:val="24"/>
          <w:szCs w:val="24"/>
          <w:highlight w:val="green"/>
        </w:rPr>
        <w:t>日上午 9：00，若有变动另行通知</w:t>
      </w:r>
      <w:r>
        <w:rPr>
          <w:rFonts w:hint="eastAsia" w:ascii="宋体" w:hAnsi="宋体" w:eastAsia="宋体" w:cs="宋体"/>
          <w:color w:val="000000"/>
          <w:sz w:val="24"/>
          <w:szCs w:val="24"/>
        </w:rPr>
        <w:t>。</w:t>
      </w:r>
      <w:r>
        <w:rPr>
          <w:rFonts w:hint="eastAsia" w:asciiTheme="minorEastAsia" w:hAnsiTheme="minorEastAsia" w:eastAsiaTheme="minorEastAsia"/>
          <w:color w:val="000000"/>
          <w:sz w:val="24"/>
          <w:szCs w:val="24"/>
        </w:rPr>
        <w:t>。</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投标地点：</w:t>
      </w:r>
      <w:r>
        <w:rPr>
          <w:rFonts w:hint="eastAsia" w:cs="仿宋" w:asciiTheme="minorEastAsia" w:hAnsiTheme="minorEastAsia" w:eastAsiaTheme="minorEastAsia"/>
          <w:sz w:val="24"/>
          <w:szCs w:val="24"/>
          <w:lang w:val="en-US" w:eastAsia="zh-CN"/>
        </w:rPr>
        <w:t>未来科技大厦306会议室</w:t>
      </w:r>
      <w:r>
        <w:rPr>
          <w:rFonts w:hint="eastAsia" w:cs="仿宋" w:asciiTheme="minorEastAsia" w:hAnsiTheme="minorEastAsia" w:eastAsiaTheme="minorEastAsia"/>
          <w:sz w:val="24"/>
          <w:szCs w:val="24"/>
        </w:rPr>
        <w:t>（若有变动另行通知）。</w:t>
      </w:r>
    </w:p>
    <w:p>
      <w:pPr>
        <w:ind w:firstLine="480" w:firstLineChars="200"/>
        <w:rPr>
          <w:rFonts w:hint="eastAsia" w:eastAsiaTheme="minorEastAsia"/>
          <w:lang w:val="en-US" w:eastAsia="zh-CN"/>
        </w:rPr>
      </w:pPr>
      <w:r>
        <w:rPr>
          <w:rFonts w:hint="eastAsia" w:cs="仿宋" w:asciiTheme="minorEastAsia" w:hAnsiTheme="minorEastAsia" w:eastAsiaTheme="minorEastAsia"/>
          <w:sz w:val="24"/>
          <w:szCs w:val="24"/>
          <w:lang w:val="en-US" w:eastAsia="zh-CN"/>
        </w:rPr>
        <w:t>7、对接人：郭瑞超 13156419234</w:t>
      </w:r>
    </w:p>
    <w:p>
      <w:pPr>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8、投标保证金：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9</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1投标人在报名参与本项目的同时，应提供</w:t>
      </w:r>
      <w:r>
        <w:rPr>
          <w:rFonts w:hint="eastAsia" w:ascii="宋体" w:hAnsi="宋体" w:eastAsia="宋体" w:cs="宋体"/>
          <w:color w:val="000000"/>
          <w:sz w:val="24"/>
          <w:szCs w:val="24"/>
          <w:lang w:val="en-US" w:eastAsia="zh-CN"/>
        </w:rPr>
        <w:t>5000</w:t>
      </w:r>
      <w:r>
        <w:rPr>
          <w:rFonts w:hint="eastAsia" w:ascii="宋体" w:hAnsi="宋体" w:eastAsia="宋体" w:cs="宋体"/>
          <w:color w:val="000000"/>
          <w:sz w:val="24"/>
          <w:szCs w:val="24"/>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9</w:t>
      </w:r>
      <w:r>
        <w:rPr>
          <w:rFonts w:hint="eastAsia" w:ascii="宋体" w:hAnsi="宋体" w:eastAsia="宋体" w:cs="宋体"/>
          <w:color w:val="000000"/>
          <w:sz w:val="24"/>
          <w:szCs w:val="24"/>
        </w:rPr>
        <w:t>.2招标人银行账户信息如下：</w:t>
      </w:r>
    </w:p>
    <w:p>
      <w:pPr>
        <w:spacing w:line="360" w:lineRule="auto"/>
        <w:ind w:left="479" w:leftChars="228"/>
        <w:rPr>
          <w:rFonts w:hint="eastAsia" w:ascii="宋体" w:hAnsi="宋体" w:eastAsia="宋体" w:cs="宋体"/>
          <w:color w:val="000000"/>
          <w:sz w:val="24"/>
          <w:szCs w:val="24"/>
        </w:rPr>
      </w:pPr>
      <w:r>
        <w:rPr>
          <w:rFonts w:hint="eastAsia" w:ascii="宋体" w:hAnsi="宋体" w:eastAsia="宋体" w:cs="宋体"/>
          <w:sz w:val="24"/>
          <w:szCs w:val="24"/>
        </w:rPr>
        <w:t>账户名称：中国重汽集团济南动力有限公司</w:t>
      </w:r>
      <w:r>
        <w:rPr>
          <w:rFonts w:hint="eastAsia" w:ascii="宋体" w:hAnsi="宋体" w:eastAsia="宋体" w:cs="宋体"/>
          <w:sz w:val="24"/>
          <w:szCs w:val="24"/>
        </w:rPr>
        <w:br w:type="textWrapping"/>
      </w:r>
      <w:r>
        <w:rPr>
          <w:rFonts w:hint="eastAsia" w:ascii="宋体" w:hAnsi="宋体" w:eastAsia="宋体" w:cs="宋体"/>
          <w:sz w:val="24"/>
          <w:szCs w:val="24"/>
        </w:rPr>
        <w:t>银行账号：37001616508050150300</w:t>
      </w:r>
      <w:r>
        <w:rPr>
          <w:rFonts w:hint="eastAsia" w:ascii="宋体" w:hAnsi="宋体" w:eastAsia="宋体" w:cs="宋体"/>
          <w:sz w:val="24"/>
          <w:szCs w:val="24"/>
        </w:rPr>
        <w:br w:type="textWrapping"/>
      </w:r>
      <w:r>
        <w:rPr>
          <w:rFonts w:hint="eastAsia" w:ascii="宋体" w:hAnsi="宋体" w:eastAsia="宋体" w:cs="宋体"/>
          <w:sz w:val="24"/>
          <w:szCs w:val="24"/>
        </w:rPr>
        <w:t>开户银行：中国建设银行济南市天桥区支行</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注意事项：</w:t>
      </w:r>
    </w:p>
    <w:p>
      <w:pPr>
        <w:numPr>
          <w:ilvl w:val="0"/>
          <w:numId w:val="1"/>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转账时，请注意备注</w:t>
      </w:r>
      <w:r>
        <w:rPr>
          <w:rFonts w:hint="eastAsia" w:ascii="宋体" w:hAnsi="宋体" w:cs="宋体"/>
          <w:color w:val="000000"/>
          <w:sz w:val="24"/>
          <w:szCs w:val="24"/>
          <w:highlight w:val="green"/>
          <w:lang w:eastAsia="zh-CN"/>
        </w:rPr>
        <w:t>：</w:t>
      </w:r>
      <w:r>
        <w:rPr>
          <w:rFonts w:hint="eastAsia" w:ascii="宋体" w:hAnsi="宋体" w:cs="宋体"/>
          <w:b/>
          <w:bCs/>
          <w:color w:val="000000"/>
          <w:sz w:val="24"/>
          <w:szCs w:val="24"/>
          <w:highlight w:val="green"/>
          <w:lang w:val="en-US" w:eastAsia="zh-CN"/>
        </w:rPr>
        <w:t>投标保证金-</w:t>
      </w:r>
      <w:r>
        <w:rPr>
          <w:rFonts w:hint="eastAsia" w:ascii="宋体" w:hAnsi="宋体" w:eastAsia="宋体" w:cs="宋体"/>
          <w:b/>
          <w:bCs/>
          <w:color w:val="000000"/>
          <w:sz w:val="24"/>
          <w:szCs w:val="24"/>
          <w:highlight w:val="green"/>
        </w:rPr>
        <w:t>项目</w:t>
      </w:r>
      <w:r>
        <w:rPr>
          <w:rFonts w:hint="eastAsia" w:ascii="宋体" w:hAnsi="宋体" w:cs="宋体"/>
          <w:b/>
          <w:bCs/>
          <w:color w:val="000000"/>
          <w:sz w:val="24"/>
          <w:szCs w:val="24"/>
          <w:highlight w:val="green"/>
          <w:lang w:val="en-US" w:eastAsia="zh-CN"/>
        </w:rPr>
        <w:t>简称-公司简称</w:t>
      </w:r>
      <w:r>
        <w:rPr>
          <w:rFonts w:hint="eastAsia" w:ascii="宋体" w:hAnsi="宋体" w:eastAsia="宋体" w:cs="宋体"/>
          <w:color w:val="000000"/>
          <w:sz w:val="24"/>
          <w:szCs w:val="24"/>
          <w:highlight w:val="green"/>
        </w:rPr>
        <w:t>，方便后期核对退款。</w:t>
      </w:r>
    </w:p>
    <w:p>
      <w:pPr>
        <w:numPr>
          <w:ilvl w:val="0"/>
          <w:numId w:val="1"/>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报名时提供电子回单（含贵公司账户及我公司账户信息）</w:t>
      </w:r>
    </w:p>
    <w:p>
      <w:pPr>
        <w:numPr>
          <w:ilvl w:val="0"/>
          <w:numId w:val="1"/>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报名时候，请务必在邮件正文中文字表述付款账号、户名、开户行名称、开户行行号、保证金金额。</w:t>
      </w:r>
    </w:p>
    <w:p>
      <w:pPr>
        <w:numPr>
          <w:ilvl w:val="0"/>
          <w:numId w:val="1"/>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未按照本要求提供信息，导致保证金退回困难等事宜，由投标单位承担。</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9</w:t>
      </w:r>
      <w:r>
        <w:rPr>
          <w:rFonts w:hint="eastAsia" w:ascii="宋体" w:hAnsi="宋体" w:eastAsia="宋体" w:cs="宋体"/>
          <w:color w:val="000000"/>
          <w:sz w:val="24"/>
          <w:szCs w:val="24"/>
        </w:rPr>
        <w:t>.3投标保证金形式：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 该银行账户只接受外币电开保函和电汇。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 对于没有中标的投标单位，投标保证金将于招标人内部完成中标人评审并确认最终中标人后在</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工作日内予以原路返还；对于中标供应商，投标保证金将在签订合同后</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工作日内返还，退还保证金时，不计算利息。</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4.4发生以下情况时，有权没收保证金：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②供应商递送文件后，无正当理由放弃投标的；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⑤供应商有违约违规行为或被投诉、举报的，在调查处理期间，保证金暂不退还，待调查处理结束后按有关规定处理。</w:t>
      </w:r>
    </w:p>
    <w:p>
      <w:pPr>
        <w:pStyle w:val="10"/>
      </w:pPr>
    </w:p>
    <w:p>
      <w:pPr>
        <w:pStyle w:val="13"/>
        <w:spacing w:line="360" w:lineRule="auto"/>
        <w:jc w:val="both"/>
        <w:rPr>
          <w:rFonts w:hint="default" w:hAnsi="宋体" w:eastAsia="宋体" w:cs="宋体"/>
          <w:b/>
          <w:bCs/>
          <w:color w:val="000000"/>
          <w:sz w:val="36"/>
          <w:szCs w:val="36"/>
          <w:lang w:val="en-US" w:eastAsia="zh-CN"/>
        </w:rPr>
      </w:pPr>
    </w:p>
    <w:p>
      <w:pPr>
        <w:pStyle w:val="13"/>
        <w:spacing w:line="360" w:lineRule="auto"/>
        <w:jc w:val="center"/>
        <w:rPr>
          <w:rFonts w:ascii="黑体" w:eastAsia="黑体"/>
          <w:b/>
          <w:bCs/>
          <w:color w:val="000000"/>
          <w:sz w:val="36"/>
          <w:szCs w:val="36"/>
        </w:rPr>
      </w:pPr>
      <w:r>
        <w:rPr>
          <w:rFonts w:hint="eastAsia" w:hAnsi="宋体" w:cs="宋体"/>
          <w:b/>
          <w:bCs/>
          <w:color w:val="000000"/>
          <w:sz w:val="36"/>
          <w:szCs w:val="36"/>
        </w:rPr>
        <w:t>第</w:t>
      </w:r>
      <w:r>
        <w:rPr>
          <w:rFonts w:hint="eastAsia" w:hAnsi="宋体" w:cs="宋体"/>
          <w:b/>
          <w:bCs/>
          <w:color w:val="000000"/>
          <w:sz w:val="36"/>
          <w:szCs w:val="36"/>
          <w:lang w:val="en-US" w:eastAsia="zh-CN"/>
        </w:rPr>
        <w:t>二</w:t>
      </w:r>
      <w:r>
        <w:rPr>
          <w:rFonts w:hint="eastAsia" w:hAnsi="宋体" w:cs="宋体"/>
          <w:b/>
          <w:bCs/>
          <w:color w:val="000000"/>
          <w:sz w:val="36"/>
          <w:szCs w:val="36"/>
        </w:rPr>
        <w:t>部分  投标人须知</w:t>
      </w:r>
    </w:p>
    <w:p>
      <w:pPr>
        <w:pStyle w:val="4"/>
        <w:spacing w:before="120" w:after="120" w:line="360" w:lineRule="auto"/>
        <w:ind w:firstLine="602" w:firstLineChars="214"/>
        <w:jc w:val="left"/>
        <w:rPr>
          <w:rFonts w:ascii="宋体" w:hAnsi="宋体" w:eastAsia="宋体" w:cs="宋体"/>
          <w:sz w:val="28"/>
          <w:szCs w:val="28"/>
        </w:rPr>
      </w:pPr>
      <w:bookmarkStart w:id="1" w:name="_Toc48665526"/>
      <w:r>
        <w:rPr>
          <w:rFonts w:hint="eastAsia" w:ascii="宋体" w:hAnsi="宋体" w:eastAsia="宋体" w:cs="宋体"/>
          <w:sz w:val="28"/>
          <w:szCs w:val="28"/>
        </w:rPr>
        <w:t>一、投标文件</w:t>
      </w:r>
      <w:bookmarkEnd w:id="1"/>
    </w:p>
    <w:p>
      <w:pPr>
        <w:spacing w:line="360" w:lineRule="auto"/>
        <w:ind w:firstLine="480" w:firstLineChars="200"/>
        <w:rPr>
          <w:rFonts w:ascii="宋体" w:hAnsi="宋体" w:cs="宋体"/>
          <w:bCs/>
          <w:sz w:val="24"/>
        </w:rPr>
      </w:pPr>
      <w:r>
        <w:rPr>
          <w:rFonts w:hint="eastAsia" w:ascii="宋体" w:hAnsi="宋体" w:cs="宋体"/>
          <w:bCs/>
          <w:sz w:val="24"/>
        </w:rPr>
        <w:t>投标人的投标文件由资格证明文件、投标文件商务部分共</w:t>
      </w:r>
      <w:r>
        <w:rPr>
          <w:rFonts w:hint="eastAsia" w:ascii="宋体" w:hAnsi="宋体" w:cs="宋体"/>
          <w:bCs/>
          <w:sz w:val="24"/>
          <w:lang w:val="en-US" w:eastAsia="zh-CN"/>
        </w:rPr>
        <w:t>两</w:t>
      </w:r>
      <w:r>
        <w:rPr>
          <w:rFonts w:hint="eastAsia" w:ascii="宋体" w:hAnsi="宋体" w:cs="宋体"/>
          <w:bCs/>
          <w:sz w:val="24"/>
        </w:rPr>
        <w:t>部分构成。</w:t>
      </w:r>
    </w:p>
    <w:p>
      <w:pPr>
        <w:spacing w:line="360" w:lineRule="auto"/>
        <w:ind w:firstLine="480" w:firstLineChars="200"/>
        <w:rPr>
          <w:rFonts w:ascii="宋体" w:hAnsi="宋体"/>
          <w:sz w:val="24"/>
          <w:u w:val="single"/>
        </w:rPr>
      </w:pPr>
      <w:r>
        <w:rPr>
          <w:rFonts w:hint="eastAsia" w:ascii="宋体" w:hAnsi="宋体"/>
          <w:sz w:val="24"/>
          <w:u w:val="single"/>
        </w:rPr>
        <w:t>注1：招标文件给定格式的按给定的格式填写，未给定格式的，由投标人自行编制，但需包含以下内容。</w:t>
      </w:r>
    </w:p>
    <w:p>
      <w:pPr>
        <w:spacing w:line="360" w:lineRule="auto"/>
        <w:ind w:firstLine="480" w:firstLineChars="200"/>
        <w:rPr>
          <w:rFonts w:ascii="宋体" w:hAnsi="宋体"/>
          <w:kern w:val="0"/>
          <w:sz w:val="24"/>
          <w:u w:val="single"/>
        </w:rPr>
      </w:pPr>
      <w:r>
        <w:rPr>
          <w:rFonts w:hint="eastAsia" w:ascii="宋体" w:hAnsi="宋体"/>
          <w:kern w:val="0"/>
          <w:sz w:val="24"/>
          <w:u w:val="single"/>
        </w:rPr>
        <w:t>注2：以下需（可）提供的招标文件均需加盖公章。</w:t>
      </w:r>
    </w:p>
    <w:p>
      <w:pPr>
        <w:spacing w:line="360" w:lineRule="auto"/>
        <w:ind w:firstLine="480" w:firstLineChars="200"/>
        <w:rPr>
          <w:rFonts w:ascii="宋体" w:hAnsi="宋体"/>
          <w:bCs/>
          <w:sz w:val="24"/>
        </w:rPr>
      </w:pPr>
      <w:bookmarkStart w:id="2" w:name="_Toc212369516"/>
      <w:r>
        <w:rPr>
          <w:rFonts w:hint="eastAsia" w:ascii="宋体" w:hAnsi="宋体"/>
          <w:bCs/>
          <w:sz w:val="24"/>
        </w:rPr>
        <w:t>2.1资格证明文件包括</w:t>
      </w:r>
      <w:bookmarkEnd w:id="2"/>
      <w:r>
        <w:rPr>
          <w:rFonts w:hint="eastAsia" w:ascii="宋体" w:hAnsi="宋体"/>
          <w:bCs/>
          <w:sz w:val="24"/>
        </w:rPr>
        <w:t>（正本一份一并封装）：</w:t>
      </w:r>
    </w:p>
    <w:p>
      <w:pPr>
        <w:spacing w:line="360" w:lineRule="auto"/>
        <w:ind w:left="708"/>
        <w:rPr>
          <w:rFonts w:ascii="宋体" w:hAnsi="宋体"/>
          <w:sz w:val="24"/>
        </w:rPr>
      </w:pPr>
      <w:r>
        <w:rPr>
          <w:rFonts w:hint="eastAsia" w:ascii="宋体" w:hAnsi="宋体"/>
          <w:sz w:val="24"/>
        </w:rPr>
        <w:t>（1）营业执照复印件；</w:t>
      </w:r>
    </w:p>
    <w:p>
      <w:pPr>
        <w:spacing w:line="360" w:lineRule="auto"/>
        <w:ind w:left="708"/>
        <w:rPr>
          <w:rFonts w:ascii="宋体" w:hAnsi="宋体"/>
          <w:sz w:val="24"/>
        </w:rPr>
      </w:pPr>
      <w:r>
        <w:rPr>
          <w:rFonts w:hint="eastAsia" w:ascii="宋体" w:hAnsi="宋体"/>
          <w:bCs/>
          <w:sz w:val="24"/>
        </w:rPr>
        <w:t>（2）</w:t>
      </w:r>
      <w:r>
        <w:rPr>
          <w:rFonts w:hint="eastAsia" w:ascii="宋体" w:hAnsi="宋体"/>
          <w:sz w:val="24"/>
        </w:rPr>
        <w:t>法定代表人</w:t>
      </w:r>
      <w:r>
        <w:rPr>
          <w:rFonts w:hint="eastAsia" w:asciiTheme="minorEastAsia" w:hAnsiTheme="minorEastAsia" w:eastAsiaTheme="minorEastAsia"/>
          <w:color w:val="000000"/>
          <w:sz w:val="24"/>
          <w:szCs w:val="24"/>
        </w:rPr>
        <w:t>（或负责人）</w:t>
      </w:r>
      <w:r>
        <w:rPr>
          <w:rFonts w:hint="eastAsia" w:ascii="宋体" w:hAnsi="宋体"/>
          <w:sz w:val="24"/>
        </w:rPr>
        <w:t>授权委托书</w:t>
      </w:r>
      <w:r>
        <w:rPr>
          <w:rFonts w:hint="eastAsia" w:ascii="宋体" w:hAnsi="宋体"/>
          <w:bCs/>
          <w:sz w:val="24"/>
        </w:rPr>
        <w:t>和被授权人身份证复印件</w:t>
      </w:r>
      <w:r>
        <w:rPr>
          <w:rFonts w:hint="eastAsia" w:ascii="宋体" w:hAnsi="宋体"/>
          <w:sz w:val="24"/>
        </w:rPr>
        <w:t>；</w:t>
      </w:r>
    </w:p>
    <w:p>
      <w:pPr>
        <w:spacing w:line="360" w:lineRule="auto"/>
        <w:ind w:left="708"/>
        <w:rPr>
          <w:rFonts w:ascii="宋体" w:hAnsi="宋体"/>
          <w:sz w:val="24"/>
        </w:rPr>
      </w:pPr>
      <w:r>
        <w:rPr>
          <w:rFonts w:hint="eastAsia" w:ascii="宋体" w:hAnsi="宋体"/>
          <w:sz w:val="24"/>
        </w:rPr>
        <w:t>（3）投标人基本情况表；</w:t>
      </w:r>
    </w:p>
    <w:p>
      <w:pPr>
        <w:spacing w:line="360" w:lineRule="auto"/>
        <w:ind w:left="708"/>
        <w:rPr>
          <w:rFonts w:ascii="宋体" w:hAnsi="宋体"/>
          <w:bCs/>
          <w:sz w:val="24"/>
        </w:rPr>
      </w:pPr>
      <w:r>
        <w:rPr>
          <w:rFonts w:hint="eastAsia" w:ascii="宋体" w:hAnsi="宋体"/>
          <w:bCs/>
          <w:sz w:val="24"/>
        </w:rPr>
        <w:t>（4）经会计师事务所审计且出具无保留意见的近三年的财务审计报告原件，并加</w:t>
      </w:r>
    </w:p>
    <w:p>
      <w:pPr>
        <w:spacing w:line="360" w:lineRule="auto"/>
        <w:ind w:left="708"/>
        <w:rPr>
          <w:rFonts w:ascii="宋体" w:hAnsi="宋体"/>
          <w:bCs/>
          <w:sz w:val="24"/>
        </w:rPr>
      </w:pPr>
      <w:r>
        <w:rPr>
          <w:rFonts w:hint="eastAsia" w:ascii="宋体" w:hAnsi="宋体"/>
          <w:bCs/>
          <w:sz w:val="24"/>
        </w:rPr>
        <w:t>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sz w:val="24"/>
        </w:rPr>
        <w:t>；</w:t>
      </w:r>
    </w:p>
    <w:p>
      <w:pPr>
        <w:spacing w:line="360" w:lineRule="auto"/>
        <w:ind w:left="708"/>
        <w:rPr>
          <w:rFonts w:ascii="宋体" w:hAnsi="宋体"/>
          <w:sz w:val="24"/>
        </w:rPr>
      </w:pPr>
      <w:r>
        <w:rPr>
          <w:rFonts w:hint="eastAsia" w:ascii="宋体" w:hAnsi="宋体"/>
          <w:sz w:val="24"/>
        </w:rPr>
        <w:t>（5）</w:t>
      </w:r>
      <w:r>
        <w:rPr>
          <w:rFonts w:hint="eastAsia" w:asciiTheme="minorEastAsia" w:hAnsiTheme="minorEastAsia" w:eastAsiaTheme="minorEastAsia"/>
          <w:color w:val="000000"/>
          <w:sz w:val="24"/>
          <w:szCs w:val="24"/>
        </w:rPr>
        <w:t>具有中华人民共和国特种设备安装改造维修许可证。</w:t>
      </w:r>
      <w:r>
        <w:rPr>
          <w:rFonts w:hint="eastAsia" w:ascii="宋体" w:hAnsi="宋体"/>
          <w:sz w:val="24"/>
        </w:rPr>
        <w:t>；</w:t>
      </w:r>
    </w:p>
    <w:p>
      <w:pPr>
        <w:pStyle w:val="10"/>
        <w:keepNext w:val="0"/>
        <w:keepLines w:val="0"/>
        <w:pageBreakBefore w:val="0"/>
        <w:widowControl w:val="0"/>
        <w:kinsoku/>
        <w:wordWrap/>
        <w:overflowPunct/>
        <w:topLinePunct w:val="0"/>
        <w:autoSpaceDE/>
        <w:autoSpaceDN/>
        <w:bidi w:val="0"/>
        <w:adjustRightInd/>
        <w:snapToGrid/>
        <w:spacing w:line="360" w:lineRule="auto"/>
        <w:ind w:left="718" w:leftChars="342" w:firstLine="0" w:firstLineChars="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（6）有效期内的生产许可证复印件（实行生产许可制度的企业提供）；</w:t>
      </w:r>
    </w:p>
    <w:p>
      <w:pPr>
        <w:pStyle w:val="10"/>
        <w:keepNext w:val="0"/>
        <w:keepLines w:val="0"/>
        <w:pageBreakBefore w:val="0"/>
        <w:widowControl w:val="0"/>
        <w:kinsoku/>
        <w:wordWrap/>
        <w:overflowPunct/>
        <w:topLinePunct w:val="0"/>
        <w:autoSpaceDE/>
        <w:autoSpaceDN/>
        <w:bidi w:val="0"/>
        <w:adjustRightInd/>
        <w:snapToGrid/>
        <w:spacing w:line="360" w:lineRule="auto"/>
        <w:ind w:left="718" w:leftChars="342" w:firstLine="0" w:firstLineChars="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color w:val="auto"/>
          <w:sz w:val="24"/>
          <w:szCs w:val="24"/>
          <w:lang w:val="en-US" w:eastAsia="zh-CN"/>
        </w:rPr>
        <w:t>7）投标单位</w:t>
      </w:r>
      <w:r>
        <w:rPr>
          <w:rFonts w:hint="eastAsia" w:asciiTheme="minorEastAsia" w:hAnsiTheme="minorEastAsia" w:eastAsiaTheme="minorEastAsia" w:cstheme="minorEastAsia"/>
          <w:i w:val="0"/>
          <w:iCs w:val="0"/>
          <w:caps w:val="0"/>
          <w:color w:val="auto"/>
          <w:spacing w:val="0"/>
          <w:sz w:val="24"/>
          <w:szCs w:val="24"/>
          <w:shd w:val="clear" w:fill="FFFFFF"/>
        </w:rPr>
        <w:t>直接或间接股东、法定代表人、董事、监事、高管非重汽员工及其亲属</w:t>
      </w:r>
      <w:r>
        <w:rPr>
          <w:rFonts w:hint="eastAsia" w:asciiTheme="minorEastAsia" w:hAnsiTheme="minorEastAsia" w:eastAsiaTheme="minorEastAsia" w:cstheme="minorEastAsia"/>
          <w:i w:val="0"/>
          <w:iCs w:val="0"/>
          <w:caps w:val="0"/>
          <w:color w:val="auto"/>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并加盖公章证明</w:t>
      </w:r>
      <w:r>
        <w:rPr>
          <w:rFonts w:hint="eastAsia" w:asciiTheme="minorEastAsia" w:hAnsiTheme="minorEastAsia" w:eastAsiaTheme="minorEastAsia" w:cstheme="minorEastAsia"/>
          <w:i w:val="0"/>
          <w:iCs w:val="0"/>
          <w:caps w:val="0"/>
          <w:color w:val="606266"/>
          <w:spacing w:val="0"/>
          <w:sz w:val="24"/>
          <w:szCs w:val="24"/>
          <w:shd w:val="clear" w:fill="FFFFFF"/>
        </w:rPr>
        <w:t>。</w:t>
      </w:r>
    </w:p>
    <w:p>
      <w:pPr>
        <w:spacing w:line="360" w:lineRule="auto"/>
        <w:ind w:firstLine="480" w:firstLineChars="200"/>
        <w:rPr>
          <w:rFonts w:ascii="宋体" w:hAnsi="宋体"/>
          <w:bCs/>
          <w:sz w:val="24"/>
        </w:rPr>
      </w:pPr>
      <w:bookmarkStart w:id="3" w:name="_Toc212369514"/>
      <w:r>
        <w:rPr>
          <w:rFonts w:hint="eastAsia" w:ascii="宋体" w:hAnsi="宋体"/>
          <w:bCs/>
          <w:sz w:val="24"/>
        </w:rPr>
        <w:t>2.2商务部分文件包括</w:t>
      </w:r>
      <w:bookmarkEnd w:id="3"/>
      <w:r>
        <w:rPr>
          <w:rFonts w:hint="eastAsia" w:ascii="宋体" w:hAnsi="宋体"/>
          <w:bCs/>
          <w:sz w:val="24"/>
        </w:rPr>
        <w:t>（正本一份一并封装）：</w:t>
      </w:r>
    </w:p>
    <w:p>
      <w:pPr>
        <w:numPr>
          <w:ilvl w:val="0"/>
          <w:numId w:val="2"/>
        </w:numPr>
        <w:spacing w:line="360" w:lineRule="auto"/>
        <w:rPr>
          <w:rFonts w:ascii="宋体" w:hAnsi="宋体"/>
          <w:kern w:val="0"/>
          <w:sz w:val="24"/>
        </w:rPr>
      </w:pPr>
      <w:r>
        <w:rPr>
          <w:rFonts w:hint="eastAsia" w:ascii="宋体" w:hAnsi="宋体"/>
          <w:kern w:val="0"/>
          <w:sz w:val="24"/>
        </w:rPr>
        <w:t>投标函；</w:t>
      </w:r>
    </w:p>
    <w:p>
      <w:pPr>
        <w:numPr>
          <w:ilvl w:val="0"/>
          <w:numId w:val="2"/>
        </w:numPr>
        <w:spacing w:line="360" w:lineRule="auto"/>
        <w:rPr>
          <w:rFonts w:ascii="宋体" w:hAnsi="宋体"/>
          <w:kern w:val="0"/>
          <w:sz w:val="24"/>
        </w:rPr>
      </w:pPr>
      <w:r>
        <w:rPr>
          <w:rFonts w:hint="eastAsia" w:ascii="宋体" w:hAnsi="宋体"/>
          <w:kern w:val="0"/>
          <w:sz w:val="24"/>
        </w:rPr>
        <w:t>投标报价明细表，按以下规格分别形成投标报价明细；</w:t>
      </w:r>
    </w:p>
    <w:p>
      <w:pPr>
        <w:numPr>
          <w:ilvl w:val="0"/>
          <w:numId w:val="2"/>
        </w:numPr>
        <w:spacing w:line="360" w:lineRule="auto"/>
        <w:rPr>
          <w:rFonts w:ascii="宋体" w:hAnsi="宋体"/>
          <w:kern w:val="0"/>
          <w:sz w:val="24"/>
        </w:rPr>
      </w:pPr>
      <w:r>
        <w:rPr>
          <w:rFonts w:hint="eastAsia" w:ascii="宋体" w:hAnsi="宋体"/>
          <w:bCs/>
          <w:kern w:val="0"/>
          <w:sz w:val="24"/>
        </w:rPr>
        <w:t>支付方式：</w:t>
      </w:r>
      <w:r>
        <w:rPr>
          <w:rFonts w:hint="eastAsia" w:asciiTheme="minorEastAsia" w:hAnsiTheme="minorEastAsia" w:eastAsiaTheme="minorEastAsia"/>
          <w:b/>
          <w:color w:val="000000"/>
          <w:sz w:val="28"/>
          <w:szCs w:val="24"/>
          <w:highlight w:val="yellow"/>
        </w:rPr>
        <w:t>半年期商业汇票</w:t>
      </w:r>
      <w:r>
        <w:rPr>
          <w:rFonts w:hint="eastAsia" w:ascii="宋体" w:hAnsi="宋体"/>
          <w:bCs/>
          <w:kern w:val="0"/>
          <w:sz w:val="24"/>
          <w:highlight w:val="yellow"/>
        </w:rPr>
        <w:t>。</w:t>
      </w:r>
      <w:r>
        <w:rPr>
          <w:rFonts w:hint="eastAsia" w:ascii="宋体" w:hAnsi="宋体"/>
          <w:bCs/>
          <w:kern w:val="0"/>
          <w:sz w:val="24"/>
        </w:rPr>
        <w:t>招标人在收到投标人开具发票30日内付款。如投标人对此有异议请在</w:t>
      </w:r>
      <w:r>
        <w:rPr>
          <w:rFonts w:hint="eastAsia" w:ascii="宋体" w:hAnsi="宋体"/>
          <w:kern w:val="0"/>
          <w:sz w:val="24"/>
        </w:rPr>
        <w:t>商务条款偏离表中注明；</w:t>
      </w:r>
    </w:p>
    <w:p>
      <w:pPr>
        <w:numPr>
          <w:ilvl w:val="0"/>
          <w:numId w:val="2"/>
        </w:numPr>
        <w:spacing w:line="360" w:lineRule="auto"/>
        <w:rPr>
          <w:rFonts w:ascii="宋体" w:hAnsi="宋体"/>
          <w:bCs/>
          <w:kern w:val="0"/>
          <w:sz w:val="24"/>
        </w:rPr>
      </w:pPr>
      <w:r>
        <w:rPr>
          <w:rFonts w:hint="eastAsia" w:ascii="宋体" w:hAnsi="宋体"/>
          <w:kern w:val="0"/>
          <w:sz w:val="24"/>
        </w:rPr>
        <w:t>经营业绩一览表；</w:t>
      </w:r>
    </w:p>
    <w:p>
      <w:pPr>
        <w:numPr>
          <w:ilvl w:val="0"/>
          <w:numId w:val="2"/>
        </w:numPr>
        <w:spacing w:line="360" w:lineRule="auto"/>
        <w:rPr>
          <w:rFonts w:ascii="宋体" w:hAnsi="宋体"/>
          <w:kern w:val="0"/>
          <w:sz w:val="24"/>
        </w:rPr>
      </w:pPr>
      <w:r>
        <w:rPr>
          <w:rFonts w:hint="eastAsia" w:ascii="宋体" w:hAnsi="宋体"/>
          <w:kern w:val="0"/>
          <w:sz w:val="24"/>
        </w:rPr>
        <w:t>服务承诺函；</w:t>
      </w:r>
    </w:p>
    <w:p>
      <w:pPr>
        <w:numPr>
          <w:ilvl w:val="0"/>
          <w:numId w:val="2"/>
        </w:numPr>
        <w:spacing w:line="360" w:lineRule="auto"/>
        <w:rPr>
          <w:rFonts w:ascii="宋体" w:hAnsi="宋体"/>
          <w:kern w:val="0"/>
          <w:sz w:val="24"/>
        </w:rPr>
      </w:pPr>
      <w:r>
        <w:rPr>
          <w:rFonts w:hint="eastAsia" w:ascii="宋体" w:hAnsi="宋体"/>
          <w:kern w:val="0"/>
          <w:sz w:val="24"/>
        </w:rPr>
        <w:t>对本项目招标文件、招标文本的</w:t>
      </w:r>
      <w:r>
        <w:rPr>
          <w:rFonts w:hint="eastAsia" w:ascii="宋体" w:hAnsi="宋体" w:cs="宋体"/>
          <w:kern w:val="0"/>
          <w:sz w:val="24"/>
          <w:szCs w:val="24"/>
        </w:rPr>
        <w:t>澄清/答疑/修改</w:t>
      </w:r>
      <w:r>
        <w:rPr>
          <w:rFonts w:hint="eastAsia" w:ascii="宋体" w:hAnsi="宋体"/>
          <w:kern w:val="0"/>
          <w:sz w:val="24"/>
        </w:rPr>
        <w:t>及“合同条款”的认同及优惠条件说明；</w:t>
      </w:r>
    </w:p>
    <w:p>
      <w:pPr>
        <w:numPr>
          <w:ilvl w:val="0"/>
          <w:numId w:val="2"/>
        </w:numPr>
        <w:spacing w:line="360" w:lineRule="auto"/>
        <w:rPr>
          <w:rFonts w:ascii="宋体" w:hAnsi="宋体"/>
          <w:kern w:val="0"/>
          <w:sz w:val="24"/>
        </w:rPr>
      </w:pPr>
      <w:r>
        <w:rPr>
          <w:rFonts w:hint="eastAsia" w:ascii="宋体" w:hAnsi="宋体"/>
          <w:kern w:val="0"/>
          <w:sz w:val="24"/>
        </w:rPr>
        <w:t>按招标文件投标人须知和技术规格书中要求提供的有关文件。</w:t>
      </w:r>
    </w:p>
    <w:p>
      <w:pPr>
        <w:numPr>
          <w:ilvl w:val="0"/>
          <w:numId w:val="2"/>
        </w:numPr>
        <w:spacing w:line="360" w:lineRule="auto"/>
        <w:rPr>
          <w:rFonts w:ascii="宋体" w:hAnsi="宋体"/>
          <w:bCs/>
          <w:sz w:val="24"/>
          <w:szCs w:val="22"/>
        </w:rPr>
      </w:pPr>
      <w:r>
        <w:rPr>
          <w:rFonts w:hint="eastAsia" w:ascii="宋体" w:hAnsi="宋体"/>
          <w:kern w:val="0"/>
          <w:sz w:val="24"/>
          <w:lang w:val="en-US" w:eastAsia="zh-CN"/>
        </w:rPr>
        <w:t>投标保证金缴纳回执复印件</w:t>
      </w:r>
    </w:p>
    <w:p>
      <w:pPr>
        <w:numPr>
          <w:ilvl w:val="0"/>
          <w:numId w:val="2"/>
        </w:numPr>
        <w:spacing w:line="360" w:lineRule="auto"/>
        <w:rPr>
          <w:rFonts w:ascii="宋体" w:hAnsi="宋体"/>
          <w:bCs/>
          <w:sz w:val="24"/>
          <w:szCs w:val="22"/>
        </w:rPr>
      </w:pPr>
      <w:r>
        <w:rPr>
          <w:rFonts w:hint="eastAsia" w:ascii="宋体" w:hAnsi="宋体"/>
          <w:bCs/>
          <w:sz w:val="24"/>
          <w:szCs w:val="22"/>
        </w:rPr>
        <w:t>开标一览表（一式</w:t>
      </w:r>
      <w:r>
        <w:rPr>
          <w:rFonts w:hint="eastAsia" w:ascii="宋体" w:hAnsi="宋体"/>
          <w:bCs/>
          <w:sz w:val="24"/>
          <w:szCs w:val="22"/>
          <w:lang w:val="en-US" w:eastAsia="zh-CN"/>
        </w:rPr>
        <w:t>一</w:t>
      </w:r>
      <w:r>
        <w:rPr>
          <w:rFonts w:hint="eastAsia" w:ascii="宋体" w:hAnsi="宋体"/>
          <w:bCs/>
          <w:sz w:val="24"/>
          <w:szCs w:val="22"/>
        </w:rPr>
        <w:t>份，一并封装）</w:t>
      </w:r>
    </w:p>
    <w:p>
      <w:pPr>
        <w:spacing w:line="360" w:lineRule="auto"/>
        <w:ind w:left="1186" w:leftChars="565" w:firstLine="240" w:firstLineChars="100"/>
        <w:rPr>
          <w:rFonts w:ascii="宋体" w:hAnsi="宋体"/>
          <w:bCs/>
          <w:sz w:val="24"/>
          <w:szCs w:val="22"/>
        </w:rPr>
      </w:pPr>
      <w:r>
        <w:rPr>
          <w:rFonts w:hint="eastAsia" w:ascii="宋体" w:hAnsi="宋体"/>
          <w:bCs/>
          <w:sz w:val="24"/>
          <w:szCs w:val="22"/>
        </w:rPr>
        <w:t>开标一览表为在开标仪式上唱标的内容，要求按格式填写、统一规范，不得自行增减内容。开标一览表总报价是各投标报价明细表价格的总和。</w:t>
      </w:r>
    </w:p>
    <w:p>
      <w:pPr>
        <w:spacing w:line="360" w:lineRule="auto"/>
        <w:ind w:firstLine="482" w:firstLineChars="200"/>
        <w:rPr>
          <w:rFonts w:ascii="宋体" w:hAnsi="宋体"/>
          <w:b/>
          <w:bCs/>
          <w:sz w:val="24"/>
        </w:rPr>
      </w:pPr>
      <w:r>
        <w:rPr>
          <w:rFonts w:hint="eastAsia" w:ascii="宋体" w:hAnsi="宋体"/>
          <w:b/>
          <w:bCs/>
          <w:sz w:val="24"/>
        </w:rPr>
        <w:t>3、投标文件的装订、密封和标记</w:t>
      </w:r>
    </w:p>
    <w:p>
      <w:pPr>
        <w:spacing w:line="360" w:lineRule="auto"/>
        <w:ind w:left="708"/>
        <w:rPr>
          <w:rFonts w:ascii="宋体" w:hAnsi="宋体"/>
          <w:bCs/>
          <w:sz w:val="24"/>
          <w:szCs w:val="22"/>
        </w:rPr>
      </w:pPr>
      <w:r>
        <w:rPr>
          <w:rFonts w:hint="eastAsia" w:ascii="宋体" w:hAnsi="宋体"/>
          <w:bCs/>
          <w:sz w:val="24"/>
          <w:szCs w:val="22"/>
        </w:rPr>
        <w:t>3.1投标文件的装订：</w:t>
      </w:r>
    </w:p>
    <w:p>
      <w:pPr>
        <w:spacing w:line="360" w:lineRule="auto"/>
        <w:ind w:left="708"/>
        <w:rPr>
          <w:rFonts w:ascii="宋体" w:hAnsi="宋体"/>
          <w:bCs/>
          <w:sz w:val="24"/>
          <w:szCs w:val="22"/>
        </w:rPr>
      </w:pPr>
      <w:r>
        <w:rPr>
          <w:rFonts w:hint="eastAsia" w:ascii="宋体" w:hAnsi="宋体"/>
          <w:bCs/>
          <w:sz w:val="24"/>
          <w:szCs w:val="22"/>
        </w:rPr>
        <w:t>投标人必须将投标文件按照投标文件组成的顺序分别胶装成册，并在首页编制“投标文件目录”。</w:t>
      </w:r>
    </w:p>
    <w:p>
      <w:pPr>
        <w:spacing w:line="360" w:lineRule="auto"/>
        <w:ind w:left="708"/>
        <w:rPr>
          <w:rFonts w:ascii="宋体" w:hAnsi="宋体"/>
          <w:bCs/>
          <w:sz w:val="24"/>
          <w:szCs w:val="22"/>
        </w:rPr>
      </w:pPr>
      <w:r>
        <w:rPr>
          <w:rFonts w:hint="eastAsia" w:ascii="宋体" w:hAnsi="宋体"/>
          <w:bCs/>
          <w:sz w:val="24"/>
          <w:szCs w:val="22"/>
        </w:rPr>
        <w:t>3.2投标文件的密封、标记：</w:t>
      </w:r>
    </w:p>
    <w:p>
      <w:pPr>
        <w:spacing w:line="360" w:lineRule="auto"/>
        <w:ind w:firstLine="480" w:firstLineChars="200"/>
        <w:rPr>
          <w:rFonts w:ascii="宋体" w:hAnsi="宋体" w:cs="宋体"/>
          <w:sz w:val="24"/>
        </w:rPr>
      </w:pPr>
      <w:r>
        <w:rPr>
          <w:rFonts w:hint="eastAsia" w:ascii="宋体" w:hAnsi="宋体" w:cs="宋体"/>
          <w:sz w:val="24"/>
        </w:rPr>
        <w:t>投标人应将投标文件的资质标、</w:t>
      </w:r>
      <w:r>
        <w:rPr>
          <w:rFonts w:hint="eastAsia" w:ascii="宋体" w:hAnsi="宋体" w:cs="宋体"/>
          <w:sz w:val="24"/>
          <w:lang w:val="en-US" w:eastAsia="zh-CN"/>
        </w:rPr>
        <w:t>技术方案、</w:t>
      </w:r>
      <w:r>
        <w:rPr>
          <w:rFonts w:hint="eastAsia" w:ascii="宋体" w:hAnsi="宋体" w:cs="宋体"/>
          <w:sz w:val="24"/>
        </w:rPr>
        <w:t>商务标</w:t>
      </w:r>
      <w:r>
        <w:rPr>
          <w:rFonts w:hint="eastAsia" w:ascii="宋体" w:hAnsi="宋体" w:cs="宋体"/>
          <w:sz w:val="24"/>
          <w:lang w:val="en-US" w:eastAsia="zh-CN"/>
        </w:rPr>
        <w:t>正本一</w:t>
      </w:r>
      <w:r>
        <w:rPr>
          <w:rFonts w:hint="eastAsia" w:ascii="宋体" w:hAnsi="宋体" w:cs="宋体"/>
          <w:sz w:val="24"/>
        </w:rPr>
        <w:t>份一并密封，并在封面明显处注明以下内容：</w:t>
      </w:r>
    </w:p>
    <w:p>
      <w:pPr>
        <w:numPr>
          <w:ilvl w:val="0"/>
          <w:numId w:val="3"/>
        </w:numPr>
        <w:spacing w:line="360" w:lineRule="auto"/>
        <w:rPr>
          <w:rFonts w:ascii="宋体" w:hAnsi="宋体" w:cs="宋体"/>
          <w:sz w:val="24"/>
        </w:rPr>
      </w:pPr>
      <w:r>
        <w:rPr>
          <w:rFonts w:hint="eastAsia" w:ascii="宋体" w:hAnsi="宋体" w:cs="宋体"/>
          <w:sz w:val="24"/>
        </w:rPr>
        <w:t>项目编号、项目名称；</w:t>
      </w:r>
    </w:p>
    <w:p>
      <w:pPr>
        <w:numPr>
          <w:ilvl w:val="0"/>
          <w:numId w:val="3"/>
        </w:numPr>
        <w:spacing w:line="360" w:lineRule="auto"/>
        <w:rPr>
          <w:rFonts w:ascii="宋体" w:hAnsi="宋体" w:cs="宋体"/>
          <w:sz w:val="24"/>
        </w:rPr>
      </w:pPr>
      <w:r>
        <w:rPr>
          <w:rFonts w:hint="eastAsia" w:ascii="宋体" w:hAnsi="宋体" w:cs="宋体"/>
          <w:sz w:val="24"/>
        </w:rPr>
        <w:t>投标文件资质标、商务标；</w:t>
      </w:r>
    </w:p>
    <w:p>
      <w:pPr>
        <w:numPr>
          <w:ilvl w:val="0"/>
          <w:numId w:val="3"/>
        </w:numPr>
        <w:spacing w:line="360" w:lineRule="auto"/>
        <w:rPr>
          <w:rFonts w:ascii="宋体" w:hAnsi="宋体"/>
          <w:sz w:val="24"/>
        </w:rPr>
      </w:pPr>
      <w:r>
        <w:rPr>
          <w:rFonts w:hint="eastAsia" w:ascii="宋体" w:hAnsi="宋体" w:cs="宋体"/>
          <w:sz w:val="24"/>
        </w:rPr>
        <w:t>投标人名称（加盖公章）、地址、邮编、电话、传真；</w:t>
      </w:r>
    </w:p>
    <w:p>
      <w:pPr>
        <w:numPr>
          <w:ilvl w:val="0"/>
          <w:numId w:val="3"/>
        </w:numPr>
        <w:spacing w:line="360" w:lineRule="auto"/>
        <w:rPr>
          <w:rFonts w:ascii="宋体" w:hAnsi="宋体" w:cs="宋体"/>
          <w:sz w:val="24"/>
        </w:rPr>
      </w:pPr>
      <w:r>
        <w:rPr>
          <w:rFonts w:hint="eastAsia" w:ascii="宋体" w:hAnsi="宋体" w:cs="宋体"/>
          <w:sz w:val="24"/>
        </w:rPr>
        <w:t>每一密封件在封口处注明“于</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w:t>
      </w:r>
      <w:r>
        <w:rPr>
          <w:rFonts w:hint="eastAsia" w:ascii="宋体" w:hAnsi="宋体" w:cs="宋体"/>
          <w:sz w:val="24"/>
          <w:u w:val="single"/>
        </w:rPr>
        <w:t xml:space="preserve">   </w:t>
      </w:r>
      <w:r>
        <w:rPr>
          <w:rFonts w:hint="eastAsia" w:ascii="宋体" w:hAnsi="宋体" w:cs="宋体"/>
          <w:sz w:val="24"/>
        </w:rPr>
        <w:t>分之前不准启封”</w:t>
      </w:r>
      <w:r>
        <w:rPr>
          <w:rFonts w:hint="eastAsia" w:ascii="宋体" w:hAnsi="宋体" w:cs="宋体"/>
          <w:sz w:val="24"/>
          <w:lang w:val="en-US" w:eastAsia="zh-CN"/>
        </w:rPr>
        <w:t xml:space="preserve">  </w:t>
      </w:r>
      <w:r>
        <w:rPr>
          <w:rFonts w:hint="eastAsia" w:ascii="宋体" w:hAnsi="宋体" w:cs="宋体"/>
          <w:sz w:val="24"/>
        </w:rPr>
        <w:t>字样。</w:t>
      </w:r>
    </w:p>
    <w:p>
      <w:pPr>
        <w:pStyle w:val="13"/>
        <w:spacing w:line="360" w:lineRule="auto"/>
        <w:ind w:left="959" w:leftChars="228" w:hanging="480" w:hangingChars="200"/>
        <w:rPr>
          <w:rFonts w:hint="eastAsia" w:ascii="宋体" w:hAnsi="宋体" w:eastAsia="宋体" w:cs="宋体"/>
          <w:kern w:val="2"/>
          <w:sz w:val="24"/>
          <w:lang w:val="en-US" w:eastAsia="zh-CN" w:bidi="ar-SA"/>
        </w:rPr>
      </w:pPr>
      <w:r>
        <w:rPr>
          <w:rFonts w:hint="eastAsia" w:ascii="宋体" w:hAnsi="宋体" w:eastAsia="宋体" w:cs="宋体"/>
          <w:kern w:val="2"/>
          <w:sz w:val="24"/>
          <w:lang w:val="en-US" w:eastAsia="zh-CN" w:bidi="ar-SA"/>
        </w:rPr>
        <w:t>（5）投标文件密封后，请于开标前送达至山东省济南市高新区华奥路777号重汽科技大厦。</w:t>
      </w:r>
    </w:p>
    <w:p>
      <w:pPr>
        <w:pStyle w:val="10"/>
        <w:rPr>
          <w:rFonts w:hint="eastAsia" w:ascii="宋体" w:hAnsi="宋体" w:eastAsia="宋体" w:cs="宋体"/>
          <w:kern w:val="2"/>
          <w:sz w:val="24"/>
          <w:lang w:val="en-US" w:eastAsia="zh-CN" w:bidi="ar-SA"/>
        </w:rPr>
      </w:pPr>
    </w:p>
    <w:p>
      <w:pPr>
        <w:pStyle w:val="13"/>
        <w:keepNext w:val="0"/>
        <w:keepLines w:val="0"/>
        <w:pageBreakBefore w:val="0"/>
        <w:widowControl w:val="0"/>
        <w:kinsoku/>
        <w:wordWrap/>
        <w:overflowPunct/>
        <w:topLinePunct w:val="0"/>
        <w:autoSpaceDE/>
        <w:autoSpaceDN/>
        <w:bidi w:val="0"/>
        <w:adjustRightInd/>
        <w:spacing w:line="240" w:lineRule="auto"/>
        <w:ind w:firstLine="422" w:firstLineChars="200"/>
        <w:textAlignment w:val="auto"/>
        <w:rPr>
          <w:rFonts w:hint="eastAsia" w:ascii="宋体" w:hAnsi="Courier New" w:eastAsia="宋体" w:cs="Times New Roman"/>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投标人须在投标截止日期前将电子标书上传到重汽e采通平台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3"/>
        <w:spacing w:line="360" w:lineRule="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pStyle w:val="13"/>
        <w:numPr>
          <w:ilvl w:val="0"/>
          <w:numId w:val="4"/>
        </w:numPr>
        <w:spacing w:line="360" w:lineRule="auto"/>
        <w:rPr>
          <w:rFonts w:hint="eastAsia"/>
          <w:lang w:val="en-US" w:eastAsia="zh-CN"/>
        </w:rPr>
      </w:pPr>
      <w:r>
        <w:rPr>
          <w:rFonts w:hint="eastAsia" w:ascii="宋体" w:hAnsi="宋体" w:eastAsia="宋体" w:cs="宋体"/>
          <w:b/>
          <w:bCs/>
          <w:kern w:val="2"/>
          <w:sz w:val="28"/>
          <w:szCs w:val="28"/>
          <w:lang w:val="en-US" w:eastAsia="zh-CN" w:bidi="ar-SA"/>
        </w:rPr>
        <w:t>开标、评标</w:t>
      </w:r>
    </w:p>
    <w:p>
      <w:pPr>
        <w:pStyle w:val="13"/>
        <w:spacing w:line="360" w:lineRule="auto"/>
        <w:jc w:val="center"/>
        <w:rPr>
          <w:rFonts w:asciiTheme="minorEastAsia" w:hAnsiTheme="minorEastAsia" w:eastAsiaTheme="minorEastAsia"/>
          <w:b/>
          <w:bCs/>
          <w:color w:val="000000"/>
          <w:szCs w:val="24"/>
        </w:rPr>
      </w:pP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9"/>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850"/>
        <w:gridCol w:w="6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850"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满分</w:t>
            </w:r>
          </w:p>
        </w:tc>
        <w:tc>
          <w:tcPr>
            <w:tcW w:w="6521" w:type="dxa"/>
            <w:vAlign w:val="center"/>
          </w:tcPr>
          <w:p>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850" w:type="dxa"/>
            <w:vAlign w:val="center"/>
          </w:tcPr>
          <w:p>
            <w:pPr>
              <w:jc w:val="center"/>
              <w:rPr>
                <w:rFonts w:ascii="宋体" w:hAnsi="宋体"/>
                <w:bCs/>
                <w:szCs w:val="24"/>
                <w:highlight w:val="none"/>
              </w:rPr>
            </w:pPr>
            <w:r>
              <w:rPr>
                <w:rFonts w:ascii="宋体" w:hAnsi="宋体"/>
                <w:bCs/>
                <w:szCs w:val="24"/>
                <w:highlight w:val="none"/>
              </w:rPr>
              <w:t>5</w:t>
            </w:r>
            <w:r>
              <w:rPr>
                <w:rFonts w:hint="eastAsia" w:ascii="宋体" w:hAnsi="宋体"/>
                <w:bCs/>
                <w:szCs w:val="24"/>
                <w:highlight w:val="none"/>
              </w:rPr>
              <w:t>0分</w:t>
            </w:r>
          </w:p>
        </w:tc>
        <w:tc>
          <w:tcPr>
            <w:tcW w:w="6521" w:type="dxa"/>
            <w:vAlign w:val="center"/>
          </w:tcPr>
          <w:p>
            <w:pPr>
              <w:jc w:val="left"/>
              <w:rPr>
                <w:rFonts w:ascii="宋体" w:hAnsi="宋体"/>
                <w:bCs/>
                <w:szCs w:val="24"/>
                <w:highlight w:val="none"/>
              </w:rPr>
            </w:pPr>
            <w:r>
              <w:rPr>
                <w:rFonts w:ascii="宋体" w:hAnsi="宋体"/>
                <w:bCs/>
                <w:szCs w:val="24"/>
                <w:highlight w:val="none"/>
              </w:rPr>
              <w:t>1、投标人针对项目特点提出完善的运维服务解决方案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pPr>
              <w:jc w:val="left"/>
              <w:rPr>
                <w:rFonts w:ascii="宋体" w:hAnsi="宋体"/>
                <w:bCs/>
                <w:color w:val="FF0000"/>
                <w:szCs w:val="24"/>
                <w:highlight w:val="none"/>
              </w:rPr>
            </w:pPr>
            <w:r>
              <w:rPr>
                <w:rFonts w:ascii="宋体" w:hAnsi="宋体"/>
                <w:bCs/>
                <w:szCs w:val="24"/>
                <w:highlight w:val="none"/>
              </w:rPr>
              <w:t>2、投标人需提供2份针对运维现场的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850" w:type="dxa"/>
            <w:vAlign w:val="center"/>
          </w:tcPr>
          <w:p>
            <w:pPr>
              <w:jc w:val="center"/>
              <w:rPr>
                <w:rFonts w:ascii="宋体" w:hAnsi="宋体"/>
                <w:bCs/>
                <w:szCs w:val="24"/>
                <w:highlight w:val="none"/>
              </w:rPr>
            </w:pPr>
            <w:r>
              <w:rPr>
                <w:rFonts w:hint="eastAsia" w:ascii="宋体" w:hAnsi="宋体"/>
                <w:bCs/>
                <w:szCs w:val="24"/>
                <w:highlight w:val="none"/>
                <w:lang w:val="en-US" w:eastAsia="zh-CN"/>
              </w:rPr>
              <w:t>5</w:t>
            </w:r>
            <w:r>
              <w:rPr>
                <w:rFonts w:hint="eastAsia" w:ascii="宋体" w:hAnsi="宋体"/>
                <w:bCs/>
                <w:szCs w:val="24"/>
                <w:highlight w:val="none"/>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原厂正品配件销售证明</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5</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r>
              <w:rPr>
                <w:rFonts w:hint="eastAsia" w:ascii="宋体" w:hAnsi="宋体"/>
                <w:color w:val="000000"/>
                <w:kern w:val="0"/>
                <w:szCs w:val="24"/>
                <w:highlight w:val="none"/>
                <w:lang w:val="en-US" w:eastAsia="zh-CN" w:bidi="ar"/>
              </w:rPr>
              <w:t>(一票否决项）</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运维工程师技术能力</w:t>
            </w:r>
          </w:p>
        </w:tc>
        <w:tc>
          <w:tcPr>
            <w:tcW w:w="850" w:type="dxa"/>
            <w:vAlign w:val="center"/>
          </w:tcPr>
          <w:p>
            <w:pPr>
              <w:widowControl/>
              <w:jc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30分</w:t>
            </w:r>
          </w:p>
        </w:tc>
        <w:tc>
          <w:tcPr>
            <w:tcW w:w="6521" w:type="dxa"/>
            <w:vAlign w:val="center"/>
          </w:tcPr>
          <w:p>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针对投标人对本项目的专业运维人员配置情况、综合素质进行综合评定，团队总人数为</w:t>
            </w:r>
            <w:r>
              <w:rPr>
                <w:rFonts w:hint="eastAsia" w:ascii="宋体" w:hAnsi="宋体"/>
                <w:color w:val="000000" w:themeColor="text1"/>
                <w:szCs w:val="24"/>
                <w:highlight w:val="none"/>
                <w:lang w:val="en-US" w:eastAsia="zh-CN"/>
                <w14:textFill>
                  <w14:solidFill>
                    <w14:schemeClr w14:val="tx1"/>
                  </w14:solidFill>
                </w14:textFill>
              </w:rPr>
              <w:t>5</w:t>
            </w:r>
            <w:r>
              <w:rPr>
                <w:rFonts w:hint="eastAsia" w:ascii="宋体" w:hAnsi="宋体"/>
                <w:color w:val="000000" w:themeColor="text1"/>
                <w:szCs w:val="24"/>
                <w:highlight w:val="none"/>
                <w14:textFill>
                  <w14:solidFill>
                    <w14:schemeClr w14:val="tx1"/>
                  </w14:solidFill>
                </w14:textFill>
              </w:rPr>
              <w:t>人（</w:t>
            </w:r>
            <w:r>
              <w:rPr>
                <w:rFonts w:hint="eastAsia" w:ascii="宋体" w:hAnsi="宋体"/>
                <w:color w:val="000000" w:themeColor="text1"/>
                <w:szCs w:val="24"/>
                <w:highlight w:val="none"/>
                <w:lang w:val="en-US" w:eastAsia="zh-CN"/>
                <w14:textFill>
                  <w14:solidFill>
                    <w14:schemeClr w14:val="tx1"/>
                  </w14:solidFill>
                </w14:textFill>
              </w:rPr>
              <w:t>1人常驻项目、4人后备值班</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850" w:type="dxa"/>
            <w:vAlign w:val="center"/>
          </w:tcPr>
          <w:p>
            <w:pPr>
              <w:widowControl/>
              <w:jc w:val="center"/>
              <w:rPr>
                <w:rFonts w:ascii="宋体" w:hAnsi="宋体"/>
                <w:szCs w:val="24"/>
                <w:highlight w:val="none"/>
              </w:rPr>
            </w:pPr>
            <w:r>
              <w:rPr>
                <w:rFonts w:hint="eastAsia" w:ascii="宋体" w:hAnsi="宋体"/>
                <w:szCs w:val="24"/>
                <w:highlight w:val="none"/>
              </w:rPr>
              <w:t>10分</w:t>
            </w:r>
          </w:p>
        </w:tc>
        <w:tc>
          <w:tcPr>
            <w:tcW w:w="6521" w:type="dxa"/>
            <w:vAlign w:val="center"/>
          </w:tcPr>
          <w:p>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850" w:type="dxa"/>
            <w:vAlign w:val="center"/>
          </w:tcPr>
          <w:p>
            <w:pPr>
              <w:adjustRightInd w:val="0"/>
              <w:snapToGrid w:val="0"/>
              <w:jc w:val="center"/>
              <w:rPr>
                <w:rFonts w:ascii="宋体" w:hAnsi="宋体"/>
                <w:color w:val="000000"/>
                <w:kern w:val="0"/>
                <w:szCs w:val="24"/>
                <w:highlight w:val="none"/>
                <w:lang w:bidi="ar"/>
              </w:rPr>
            </w:pPr>
            <w:r>
              <w:rPr>
                <w:rFonts w:hint="eastAsia" w:ascii="宋体" w:hAnsi="宋体"/>
                <w:color w:val="000000"/>
                <w:kern w:val="0"/>
                <w:szCs w:val="24"/>
                <w:highlight w:val="none"/>
                <w:lang w:val="en-US" w:eastAsia="zh-CN" w:bidi="ar"/>
              </w:rPr>
              <w:t>5</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附近电梯维保</w:t>
            </w:r>
            <w:r>
              <w:rPr>
                <w:rFonts w:ascii="宋体" w:hAnsi="宋体"/>
                <w:color w:val="000000"/>
                <w:kern w:val="0"/>
                <w:szCs w:val="24"/>
                <w:highlight w:val="none"/>
                <w:lang w:bidi="ar"/>
              </w:rPr>
              <w:t>维护服务类似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850"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10</w:t>
            </w:r>
            <w:r>
              <w:rPr>
                <w:rFonts w:ascii="宋体" w:hAnsi="宋体"/>
                <w:color w:val="000000"/>
                <w:kern w:val="0"/>
                <w:szCs w:val="24"/>
                <w:highlight w:val="none"/>
                <w:lang w:bidi="ar"/>
              </w:rPr>
              <w:t>0</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2830" w:type="dxa"/>
            <w:gridSpan w:val="3"/>
            <w:vAlign w:val="center"/>
          </w:tcPr>
          <w:p>
            <w:pPr>
              <w:adjustRightInd w:val="0"/>
              <w:snapToGrid w:val="0"/>
              <w:jc w:val="center"/>
              <w:rPr>
                <w:rFonts w:hint="eastAsia" w:ascii="宋体" w:hAnsi="宋体"/>
                <w:color w:val="000000"/>
                <w:kern w:val="0"/>
                <w:szCs w:val="24"/>
                <w:highlight w:val="none"/>
                <w:lang w:bidi="ar"/>
              </w:rPr>
            </w:pPr>
            <w:r>
              <w:rPr>
                <w:rFonts w:hint="eastAsia" w:ascii="宋体" w:hAnsi="宋体"/>
                <w:bCs/>
                <w:szCs w:val="24"/>
                <w:highlight w:val="none"/>
                <w:lang w:val="en-US" w:eastAsia="zh-CN"/>
              </w:rPr>
              <w:t>备注</w:t>
            </w:r>
          </w:p>
        </w:tc>
        <w:tc>
          <w:tcPr>
            <w:tcW w:w="6521" w:type="dxa"/>
            <w:vAlign w:val="center"/>
          </w:tcPr>
          <w:p>
            <w:pPr>
              <w:adjustRightInd w:val="0"/>
              <w:snapToGrid w:val="0"/>
              <w:jc w:val="left"/>
              <w:rPr>
                <w:rFonts w:hint="eastAsia" w:ascii="宋体" w:hAnsi="宋体" w:eastAsia="宋体"/>
                <w:color w:val="000000"/>
                <w:kern w:val="0"/>
                <w:szCs w:val="24"/>
                <w:highlight w:val="none"/>
                <w:lang w:val="en-US" w:eastAsia="zh-CN" w:bidi="ar"/>
              </w:rPr>
            </w:pPr>
          </w:p>
        </w:tc>
      </w:tr>
    </w:tbl>
    <w:p>
      <w:pPr>
        <w:pStyle w:val="13"/>
        <w:spacing w:line="360" w:lineRule="auto"/>
        <w:ind w:firstLine="422" w:firstLineChars="200"/>
        <w:jc w:val="center"/>
        <w:rPr>
          <w:rFonts w:asciiTheme="minorEastAsia" w:hAnsiTheme="minorEastAsia" w:eastAsiaTheme="minorEastAsia"/>
          <w:b/>
          <w:bCs/>
          <w:color w:val="000000"/>
          <w:szCs w:val="24"/>
        </w:rPr>
      </w:pPr>
    </w:p>
    <w:p>
      <w:pPr>
        <w:pStyle w:val="76"/>
        <w:ind w:firstLine="480"/>
        <w:rPr>
          <w:rFonts w:asciiTheme="minorEastAsia" w:hAnsiTheme="minorEastAsia" w:eastAsiaTheme="minorEastAsia"/>
          <w:b/>
          <w:bCs/>
          <w:highlight w:val="green"/>
        </w:rPr>
      </w:pPr>
      <w:r>
        <w:rPr>
          <w:rFonts w:hint="eastAsia" w:asciiTheme="minorEastAsia" w:hAnsiTheme="minorEastAsia" w:eastAsiaTheme="minorEastAsia"/>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w:t>
      </w:r>
      <w:r>
        <w:rPr>
          <w:rFonts w:hint="eastAsia" w:asciiTheme="minorEastAsia" w:hAnsiTheme="minorEastAsia" w:eastAsiaTheme="minorEastAsia"/>
          <w:b/>
          <w:bCs/>
          <w:highlight w:val="none"/>
          <w:lang w:val="en-US" w:eastAsia="zh-CN"/>
        </w:rPr>
        <w:t>技术标得分超过80分进入商务标</w:t>
      </w:r>
      <w:r>
        <w:rPr>
          <w:rFonts w:hint="eastAsia" w:asciiTheme="minorEastAsia" w:hAnsiTheme="minorEastAsia" w:eastAsiaTheme="minorEastAsia"/>
          <w:b/>
          <w:bCs/>
          <w:highlight w:val="none"/>
        </w:rPr>
        <w:t>。</w:t>
      </w:r>
    </w:p>
    <w:p>
      <w:pPr>
        <w:pStyle w:val="76"/>
        <w:ind w:firstLine="480"/>
        <w:rPr>
          <w:rFonts w:asciiTheme="minorEastAsia" w:hAnsiTheme="minorEastAsia" w:eastAsiaTheme="minorEastAsia"/>
          <w:b/>
          <w:bCs/>
        </w:rPr>
      </w:pPr>
      <w:r>
        <w:rPr>
          <w:rFonts w:hint="eastAsia" w:asciiTheme="minorEastAsia" w:hAnsiTheme="minorEastAsia" w:eastAsiaTheme="minorEastAsia"/>
          <w:b/>
          <w:bCs/>
        </w:rPr>
        <w:t>投标前请各投标人按照标书技术要求对项目方案进行充分准备，有意投标的单位应默认认同上述开标、评标过程，无异议，</w:t>
      </w:r>
      <w:r>
        <w:rPr>
          <w:rFonts w:hint="eastAsia" w:asciiTheme="minorEastAsia" w:hAnsiTheme="minorEastAsia" w:eastAsiaTheme="minorEastAsia"/>
          <w:b/>
          <w:bCs/>
          <w:highlight w:val="green"/>
        </w:rPr>
        <w:t>本项目只产生一个中标人。</w:t>
      </w:r>
    </w:p>
    <w:p>
      <w:pPr>
        <w:rPr>
          <w:rFonts w:hint="eastAsia"/>
          <w:lang w:val="en-US" w:eastAsia="zh-CN"/>
        </w:rPr>
      </w:pPr>
    </w:p>
    <w:p>
      <w:pPr>
        <w:spacing w:line="360" w:lineRule="auto"/>
        <w:ind w:left="124" w:leftChars="59" w:firstLine="487" w:firstLineChars="202"/>
        <w:rPr>
          <w:rFonts w:ascii="宋体" w:hAnsi="宋体" w:cs="宋体"/>
          <w:b/>
          <w:bCs/>
          <w:sz w:val="24"/>
          <w:szCs w:val="24"/>
        </w:rPr>
      </w:pPr>
      <w:bookmarkStart w:id="4" w:name="_Toc212369527"/>
      <w:r>
        <w:rPr>
          <w:rFonts w:hint="eastAsia" w:ascii="宋体" w:hAnsi="宋体" w:cs="宋体"/>
          <w:b/>
          <w:bCs/>
          <w:sz w:val="24"/>
          <w:szCs w:val="24"/>
        </w:rPr>
        <w:t>1、开标</w:t>
      </w:r>
      <w:bookmarkEnd w:id="4"/>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rPr>
        <w:t>①</w:t>
      </w:r>
      <w:r>
        <w:rPr>
          <w:rFonts w:hint="eastAsia" w:ascii="宋体" w:hAnsi="宋体" w:eastAsia="宋体" w:cs="Times New Roman"/>
          <w:spacing w:val="4"/>
          <w:sz w:val="24"/>
          <w:lang w:val="en-US" w:eastAsia="zh-CN"/>
        </w:rPr>
        <w:t>开标一览表</w:t>
      </w:r>
      <w:r>
        <w:rPr>
          <w:rFonts w:hint="eastAsia" w:ascii="宋体" w:hAnsi="宋体" w:eastAsia="宋体" w:cs="Times New Roman"/>
          <w:spacing w:val="4"/>
          <w:sz w:val="24"/>
        </w:rPr>
        <w:t>所有报价货币单位均为：人民币，元。</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②</w:t>
      </w:r>
      <w:r>
        <w:rPr>
          <w:rFonts w:hint="eastAsia" w:ascii="宋体" w:hAnsi="宋体" w:eastAsia="宋体" w:cs="Times New Roman"/>
          <w:spacing w:val="4"/>
          <w:sz w:val="24"/>
          <w:lang w:val="en-US" w:eastAsia="zh-CN"/>
        </w:rPr>
        <w:t>开标时投标人需登录重汽e采通平台，在重汽e采通开标。</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③</w:t>
      </w:r>
      <w:r>
        <w:rPr>
          <w:rFonts w:hint="eastAsia" w:ascii="宋体" w:hAnsi="宋体" w:eastAsia="宋体" w:cs="Times New Roman"/>
          <w:spacing w:val="4"/>
          <w:sz w:val="24"/>
          <w:lang w:val="en-US" w:eastAsia="zh-CN"/>
        </w:rPr>
        <w:t>商务标采用多轮报价，除开标唱标为公开报价方式外，后续多轮澄清报价均为非公开的方式，在重汽e采通进行提报。</w:t>
      </w:r>
    </w:p>
    <w:p>
      <w:pPr>
        <w:spacing w:line="360" w:lineRule="auto"/>
        <w:ind w:left="124" w:leftChars="59" w:firstLine="500" w:firstLineChars="202"/>
        <w:rPr>
          <w:rFonts w:hint="eastAsia" w:cs="仿宋" w:asciiTheme="minorEastAsia" w:hAnsiTheme="minorEastAsia" w:eastAsiaTheme="minorEastAsia"/>
          <w:b/>
          <w:bCs/>
          <w:sz w:val="24"/>
          <w:szCs w:val="24"/>
          <w:lang w:val="en-US" w:eastAsia="zh-CN"/>
        </w:rPr>
      </w:pPr>
      <w:r>
        <w:rPr>
          <w:rFonts w:hint="eastAsia" w:ascii="宋体" w:hAnsi="宋体" w:eastAsia="宋体" w:cs="Times New Roman"/>
          <w:spacing w:val="4"/>
          <w:sz w:val="24"/>
          <w:lang w:val="en-US" w:eastAsia="zh-CN"/>
        </w:rPr>
        <w:t>注意：每一轮在重汽e采通提供澄清报价均有时间限制，到点后未能提交的按无效处理。</w:t>
      </w:r>
    </w:p>
    <w:p>
      <w:pPr>
        <w:pStyle w:val="13"/>
        <w:spacing w:line="360" w:lineRule="auto"/>
        <w:ind w:firstLine="723" w:firstLineChars="300"/>
        <w:rPr>
          <w:rFonts w:hint="eastAsia" w:cs="仿宋" w:asciiTheme="minorEastAsia" w:hAnsiTheme="minorEastAsia" w:eastAsiaTheme="minorEastAsia"/>
          <w:b/>
          <w:bCs/>
          <w:sz w:val="24"/>
          <w:szCs w:val="24"/>
          <w:lang w:val="en-US" w:eastAsia="zh-CN"/>
        </w:rPr>
      </w:pPr>
      <w:r>
        <w:rPr>
          <w:rFonts w:hint="eastAsia" w:cs="仿宋" w:asciiTheme="minorEastAsia" w:hAnsiTheme="minorEastAsia" w:eastAsiaTheme="minorEastAsia"/>
          <w:b/>
          <w:bCs/>
          <w:sz w:val="24"/>
          <w:szCs w:val="24"/>
          <w:lang w:val="en-US" w:eastAsia="zh-CN"/>
        </w:rPr>
        <w:t>2.评标</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评标工作由招标人为该项目依法组织的、由3名以上评标专家组成评标工作小组，评标工作小组按照国家招投标有关规定，本着公平、公正、公开、有序的原则，在最大限度地满足招标文件实质性要求的前提下，按照招标文件中规定的各项因素进行综合评审，</w:t>
      </w:r>
      <w:r>
        <w:rPr>
          <w:rFonts w:hint="eastAsia" w:ascii="宋体" w:hAnsi="宋体" w:eastAsia="宋体" w:cs="Times New Roman"/>
          <w:b/>
          <w:bCs/>
          <w:spacing w:val="4"/>
          <w:sz w:val="24"/>
        </w:rPr>
        <w:t>按照合理最低价的原则选择中标厂家</w:t>
      </w:r>
      <w:r>
        <w:rPr>
          <w:rFonts w:hint="eastAsia" w:cs="仿宋" w:asciiTheme="minorEastAsia" w:hAnsiTheme="minorEastAsia" w:eastAsiaTheme="minorEastAsia"/>
          <w:sz w:val="24"/>
          <w:szCs w:val="24"/>
          <w:lang w:val="en-US" w:eastAsia="zh-CN"/>
        </w:rPr>
        <w:t>。</w:t>
      </w:r>
    </w:p>
    <w:p>
      <w:pPr>
        <w:pStyle w:val="13"/>
        <w:spacing w:line="360" w:lineRule="auto"/>
        <w:rPr>
          <w:rFonts w:hint="eastAsia" w:ascii="宋体" w:hAnsi="宋体" w:eastAsia="宋体" w:cs="宋体"/>
          <w:b/>
          <w:bCs/>
          <w:kern w:val="2"/>
          <w:sz w:val="28"/>
          <w:szCs w:val="28"/>
          <w:lang w:val="en-US" w:eastAsia="zh-CN" w:bidi="ar-SA"/>
        </w:rPr>
      </w:pPr>
      <w:r>
        <w:rPr>
          <w:rFonts w:hint="eastAsia" w:hAnsi="宋体" w:cs="宋体"/>
          <w:b/>
          <w:bCs/>
          <w:kern w:val="2"/>
          <w:sz w:val="28"/>
          <w:szCs w:val="28"/>
          <w:lang w:val="en-US" w:eastAsia="zh-CN" w:bidi="ar-SA"/>
        </w:rPr>
        <w:t>三</w:t>
      </w:r>
      <w:r>
        <w:rPr>
          <w:rFonts w:hint="eastAsia" w:ascii="宋体" w:hAnsi="宋体" w:eastAsia="宋体" w:cs="宋体"/>
          <w:b/>
          <w:bCs/>
          <w:kern w:val="2"/>
          <w:sz w:val="28"/>
          <w:szCs w:val="28"/>
          <w:lang w:val="en-US" w:eastAsia="zh-CN" w:bidi="ar-SA"/>
        </w:rPr>
        <w:t>、废标及终止招标</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投标人有下列情形之一，其投标将被视为无效投标，招标人将严格按照《中华人民共和国招标投标法》及相关法律、法规及规章制度的规定行使权利。投标人给招标人造成损失的，招标人有索赔的权利，投标人应予以赔偿。</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⑴投标人提供的有关资格、资质证明文件不合格、不真实或提供虚假投标材料；</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⑵投标人在报价有效期内撤回投标；</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⑶在整个评标过程中，投标人有企图影响评标结果公正性的任何活动；</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⑷投标人以任何方式诋毁其他投标人；</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⑸投标人串通投标；</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⑹以他人名义投标或者以其他方式弄虚作假，骗取中标的；</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⑺法律、法规规定的其他情况。</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2.出现下列情形之一，招标人有权否决所有投标人的投标，终止招标并废标。</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⑴出现影响招标公正的违法、违规行为的；</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⑵因重大变故，招标任务取消的；</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⑶中标人不按规定签订合同；</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⑷招标人认为其他应终止招标的情形。</w:t>
      </w:r>
    </w:p>
    <w:p>
      <w:pPr>
        <w:pStyle w:val="13"/>
        <w:spacing w:line="360" w:lineRule="auto"/>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四、中标人瑕疵滞后发现的处理原则</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pPr>
        <w:pStyle w:val="13"/>
        <w:spacing w:line="360" w:lineRule="auto"/>
        <w:rPr>
          <w:rFonts w:hint="default" w:ascii="宋体" w:hAnsi="宋体" w:eastAsia="宋体" w:cs="宋体"/>
          <w:b/>
          <w:bCs/>
          <w:kern w:val="2"/>
          <w:sz w:val="28"/>
          <w:szCs w:val="28"/>
          <w:lang w:val="en-US" w:eastAsia="zh-CN" w:bidi="ar-SA"/>
        </w:rPr>
      </w:pPr>
    </w:p>
    <w:p>
      <w:pPr>
        <w:pStyle w:val="13"/>
        <w:spacing w:line="360" w:lineRule="auto"/>
        <w:jc w:val="center"/>
        <w:rPr>
          <w:rFonts w:hint="default" w:hAnsi="宋体" w:cs="宋体"/>
          <w:b/>
          <w:bCs/>
          <w:color w:val="000000"/>
          <w:sz w:val="36"/>
          <w:szCs w:val="36"/>
          <w:lang w:val="en-US" w:eastAsia="zh-CN"/>
        </w:rPr>
      </w:pPr>
      <w:r>
        <w:rPr>
          <w:rFonts w:hint="eastAsia" w:hAnsi="宋体" w:cs="宋体"/>
          <w:b/>
          <w:bCs/>
          <w:color w:val="000000"/>
          <w:sz w:val="36"/>
          <w:szCs w:val="36"/>
          <w:lang w:val="en-US" w:eastAsia="zh-CN"/>
        </w:rPr>
        <w:t>第三部分 技术要求（具体以合同签署为准）</w:t>
      </w:r>
    </w:p>
    <w:p>
      <w:pPr>
        <w:pStyle w:val="13"/>
        <w:spacing w:line="360" w:lineRule="auto"/>
        <w:jc w:val="left"/>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一、电梯日常维保项目：</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1、</w:t>
      </w:r>
      <w:r>
        <w:rPr>
          <w:rFonts w:hint="eastAsia" w:cs="仿宋" w:asciiTheme="minorEastAsia" w:hAnsiTheme="minorEastAsia" w:eastAsiaTheme="minorEastAsia"/>
          <w:sz w:val="24"/>
          <w:szCs w:val="24"/>
        </w:rPr>
        <w:t>完全按照国家电梯标准规范GB7588-2003《电梯制造与安装安全规范》、GB/T7588《电梯维修规范》、TSGT5002-2017《电梯维护保养规则》、电梯维修规范GB/T18775-2009、电梯维护保养服务规范DB37/T2619-2014、电梯安装使用维护说明书，以及当地政府部门相关文件的要求进行维护和保养，确保电梯顺利通过政府部门的验收。保证电梯安全运行。</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2、每次进行电梯维保需</w:t>
      </w:r>
      <w:r>
        <w:rPr>
          <w:rFonts w:hint="eastAsia" w:cs="仿宋" w:asciiTheme="minorEastAsia" w:hAnsiTheme="minorEastAsia" w:eastAsiaTheme="minorEastAsia"/>
          <w:sz w:val="24"/>
          <w:szCs w:val="24"/>
        </w:rPr>
        <w:t>认真做好记录，如发现电梯环境以及设备本身问题，以便于问题的及时发现与解决。例行保养工作</w:t>
      </w:r>
      <w:r>
        <w:rPr>
          <w:rFonts w:hint="eastAsia" w:cs="仿宋" w:asciiTheme="minorEastAsia" w:hAnsiTheme="minorEastAsia" w:eastAsiaTheme="minorEastAsia"/>
          <w:sz w:val="24"/>
          <w:szCs w:val="24"/>
          <w:lang w:val="en-US" w:eastAsia="zh-CN"/>
        </w:rPr>
        <w:t>应</w:t>
      </w:r>
      <w:r>
        <w:rPr>
          <w:rFonts w:hint="eastAsia" w:cs="仿宋" w:asciiTheme="minorEastAsia" w:hAnsiTheme="minorEastAsia" w:eastAsiaTheme="minorEastAsia"/>
          <w:sz w:val="24"/>
          <w:szCs w:val="24"/>
        </w:rPr>
        <w:t>包括</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rPr>
        <w:t>对电梯整体设备的清洁、调整、检查及润滑等内容及机件的安全和功能调试与维护保养。若由于在维保工作过程中损坏轿厢、外厅等外围设备的外观时，成交供应商必须免费恢复原样。对需更换的零部件，要履行进场验收、施工结束检验等相关手续。</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3、</w:t>
      </w:r>
      <w:r>
        <w:rPr>
          <w:rFonts w:hint="eastAsia" w:cs="仿宋" w:asciiTheme="minorEastAsia" w:hAnsiTheme="minorEastAsia" w:eastAsiaTheme="minorEastAsia"/>
          <w:sz w:val="24"/>
          <w:szCs w:val="24"/>
        </w:rPr>
        <w:t>协助采购人管理人员对电梯进行管理。</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4、</w:t>
      </w:r>
      <w:r>
        <w:rPr>
          <w:rFonts w:hint="eastAsia" w:cs="仿宋" w:asciiTheme="minorEastAsia" w:hAnsiTheme="minorEastAsia" w:eastAsiaTheme="minorEastAsia"/>
          <w:sz w:val="24"/>
          <w:szCs w:val="24"/>
        </w:rPr>
        <w:t>确保通过电梯的年检。</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5、</w:t>
      </w:r>
      <w:r>
        <w:rPr>
          <w:rFonts w:hint="eastAsia" w:cs="仿宋" w:asciiTheme="minorEastAsia" w:hAnsiTheme="minorEastAsia" w:eastAsiaTheme="minorEastAsia"/>
          <w:sz w:val="24"/>
          <w:szCs w:val="24"/>
        </w:rPr>
        <w:t>在维保期内，电梯零配件正常损耗时，维保公司需提供所更换的配件清单。</w:t>
      </w:r>
    </w:p>
    <w:p>
      <w:pPr>
        <w:pStyle w:val="13"/>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电梯维护保养范围：</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①电梯机房电源下口为界限；</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②电梯易磨损零部件的监护、维修；</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③电梯非易损器件的维护、保养；</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④国家规定具有型式试验报告的部件（含轿厢）的维护与保养(不含拆检)；</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⑤电梯其它部件的维护与保养。</w:t>
      </w:r>
    </w:p>
    <w:p>
      <w:pPr>
        <w:pStyle w:val="13"/>
        <w:spacing w:line="360" w:lineRule="auto"/>
        <w:jc w:val="left"/>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二、 人员要求</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1、维修保养人员须持有特种设备作业人员证。</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2、提供拟派电梯维修保养人员名单、通迅号码及相关电梯安装、维修操作证复印件、从业经历等；合同生效后，中标人需按保养人员名单派驻人员必须经采购人审核同意后，再进驻；否则需及时更换人员，保证进驻人数及人员素质。</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3、相关专业人员配备需执行国家相关文件规定，若达不到工作要求，采购人有权要求更换。电梯零配件正常损耗时，维保公司需提供所更换的配件清单并向采购人设备管理人员汇报。</w:t>
      </w:r>
    </w:p>
    <w:p>
      <w:pPr>
        <w:pStyle w:val="13"/>
        <w:spacing w:line="360" w:lineRule="auto"/>
        <w:ind w:firstLine="480" w:firstLineChars="200"/>
        <w:rPr>
          <w:rFonts w:hint="eastAsia" w:cs="仿宋" w:asciiTheme="minorEastAsia" w:hAnsiTheme="minorEastAsia" w:eastAsiaTheme="minorEastAsia"/>
          <w:sz w:val="24"/>
          <w:szCs w:val="24"/>
          <w:lang w:val="en-US" w:eastAsia="zh-CN"/>
        </w:rPr>
      </w:pPr>
    </w:p>
    <w:p>
      <w:pPr>
        <w:pStyle w:val="13"/>
        <w:spacing w:line="360" w:lineRule="auto"/>
        <w:jc w:val="center"/>
        <w:rPr>
          <w:rFonts w:cs="宋体" w:asciiTheme="minorEastAsia" w:hAnsiTheme="minorEastAsia" w:eastAsiaTheme="minorEastAsia"/>
          <w:b/>
          <w:bCs/>
          <w:color w:val="000000"/>
          <w:sz w:val="36"/>
          <w:szCs w:val="36"/>
        </w:rPr>
      </w:pPr>
      <w:r>
        <w:rPr>
          <w:rFonts w:hint="eastAsia" w:cs="宋体" w:asciiTheme="minorEastAsia" w:hAnsiTheme="minorEastAsia" w:eastAsiaTheme="minorEastAsia"/>
          <w:b/>
          <w:bCs/>
          <w:color w:val="000000"/>
          <w:sz w:val="36"/>
          <w:szCs w:val="36"/>
        </w:rPr>
        <w:t>第四部分 附件（投标文件格式）</w:t>
      </w:r>
    </w:p>
    <w:p>
      <w:pPr>
        <w:spacing w:line="360" w:lineRule="auto"/>
        <w:ind w:firstLine="624" w:firstLineChars="252"/>
        <w:rPr>
          <w:rFonts w:ascii="宋体" w:hAnsi="宋体"/>
          <w:spacing w:val="4"/>
          <w:sz w:val="24"/>
          <w:szCs w:val="22"/>
        </w:rPr>
      </w:pPr>
    </w:p>
    <w:p>
      <w:pPr>
        <w:spacing w:line="360" w:lineRule="auto"/>
        <w:ind w:firstLine="624" w:firstLineChars="252"/>
        <w:rPr>
          <w:rFonts w:ascii="宋体" w:hAnsi="宋体"/>
          <w:spacing w:val="4"/>
          <w:sz w:val="24"/>
          <w:szCs w:val="22"/>
        </w:rPr>
      </w:pPr>
      <w:r>
        <w:rPr>
          <w:rFonts w:hint="eastAsia" w:ascii="宋体" w:hAnsi="宋体"/>
          <w:spacing w:val="4"/>
          <w:sz w:val="24"/>
          <w:szCs w:val="22"/>
        </w:rPr>
        <w:t>说明：</w:t>
      </w:r>
    </w:p>
    <w:p>
      <w:pPr>
        <w:spacing w:line="360" w:lineRule="auto"/>
        <w:ind w:firstLine="624" w:firstLineChars="252"/>
        <w:rPr>
          <w:rFonts w:ascii="宋体" w:hAnsi="宋体"/>
          <w:spacing w:val="4"/>
          <w:sz w:val="24"/>
          <w:szCs w:val="22"/>
        </w:rPr>
      </w:pPr>
      <w:r>
        <w:rPr>
          <w:rFonts w:hint="eastAsia" w:ascii="宋体" w:hAnsi="宋体"/>
          <w:spacing w:val="4"/>
          <w:sz w:val="24"/>
          <w:szCs w:val="22"/>
        </w:rPr>
        <w:t>1、投标人须认真填写和提交本部分中的附件文件；</w:t>
      </w:r>
    </w:p>
    <w:p>
      <w:pPr>
        <w:spacing w:line="360" w:lineRule="auto"/>
        <w:ind w:firstLine="624" w:firstLineChars="252"/>
        <w:rPr>
          <w:rFonts w:ascii="宋体" w:hAnsi="宋体"/>
          <w:spacing w:val="4"/>
          <w:sz w:val="24"/>
          <w:szCs w:val="22"/>
        </w:rPr>
      </w:pPr>
      <w:r>
        <w:rPr>
          <w:rFonts w:hint="eastAsia" w:ascii="宋体" w:hAnsi="宋体"/>
          <w:spacing w:val="4"/>
          <w:sz w:val="24"/>
          <w:szCs w:val="22"/>
        </w:rPr>
        <w:t>2、对附件文件中所要求的内容应给予明确的答复；</w:t>
      </w:r>
    </w:p>
    <w:p>
      <w:pPr>
        <w:spacing w:line="360" w:lineRule="auto"/>
        <w:ind w:firstLine="624" w:firstLineChars="252"/>
        <w:rPr>
          <w:rFonts w:ascii="宋体" w:hAnsi="宋体"/>
          <w:spacing w:val="4"/>
          <w:sz w:val="24"/>
          <w:szCs w:val="22"/>
        </w:rPr>
      </w:pPr>
      <w:r>
        <w:rPr>
          <w:rFonts w:hint="eastAsia" w:ascii="宋体" w:hAnsi="宋体"/>
          <w:spacing w:val="4"/>
          <w:sz w:val="24"/>
          <w:szCs w:val="22"/>
        </w:rPr>
        <w:t>3、附件文件的签字人应保证其对一切问题的答复、所做的声明及出具的资格资质文件、资料等具有真实性和准确性；</w:t>
      </w:r>
    </w:p>
    <w:p>
      <w:pPr>
        <w:spacing w:line="360" w:lineRule="auto"/>
        <w:ind w:firstLine="624" w:firstLineChars="252"/>
        <w:rPr>
          <w:rFonts w:ascii="宋体" w:hAnsi="宋体"/>
          <w:spacing w:val="4"/>
          <w:sz w:val="24"/>
          <w:szCs w:val="22"/>
        </w:rPr>
      </w:pPr>
      <w:r>
        <w:rPr>
          <w:rFonts w:hint="eastAsia" w:ascii="宋体" w:hAnsi="宋体"/>
          <w:spacing w:val="4"/>
          <w:sz w:val="24"/>
          <w:szCs w:val="22"/>
        </w:rPr>
        <w:t>4、招标人将对投标人提交的文件、资料等内容予以保密，但不退还；</w:t>
      </w:r>
    </w:p>
    <w:p>
      <w:pPr>
        <w:spacing w:line="360" w:lineRule="auto"/>
        <w:ind w:firstLine="624" w:firstLineChars="252"/>
        <w:rPr>
          <w:rFonts w:cs="宋体" w:asciiTheme="minorEastAsia" w:hAnsiTheme="minorEastAsia" w:eastAsiaTheme="minorEastAsia"/>
          <w:b/>
          <w:bCs/>
          <w:color w:val="000000"/>
          <w:sz w:val="24"/>
          <w:szCs w:val="24"/>
        </w:rPr>
      </w:pPr>
      <w:r>
        <w:rPr>
          <w:rFonts w:hint="eastAsia" w:ascii="宋体" w:hAnsi="宋体"/>
          <w:spacing w:val="4"/>
          <w:sz w:val="24"/>
          <w:szCs w:val="22"/>
        </w:rPr>
        <w:t>5、所有附件文件应以中文书写，作为投标文件的组成部分。</w:t>
      </w: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both"/>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both"/>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left"/>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1</w:t>
      </w:r>
    </w:p>
    <w:p>
      <w:pPr>
        <w:pStyle w:val="13"/>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投标书</w:t>
      </w:r>
    </w:p>
    <w:p>
      <w:pPr>
        <w:spacing w:line="360" w:lineRule="auto"/>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招标项目的投标公示，签字代表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cs="仿宋" w:asciiTheme="minorEastAsia" w:hAnsiTheme="minorEastAsia" w:eastAsiaTheme="minorEastAsia"/>
          <w:sz w:val="24"/>
          <w:szCs w:val="24"/>
        </w:rPr>
      </w:pPr>
      <w:r>
        <w:rPr>
          <w:rFonts w:hint="eastAsia" w:asciiTheme="minorEastAsia" w:hAnsiTheme="minorEastAsia" w:eastAsiaTheme="minorEastAsia"/>
          <w:color w:val="000000"/>
          <w:sz w:val="24"/>
          <w:szCs w:val="24"/>
          <w:lang w:val="en-US" w:eastAsia="zh-CN"/>
        </w:rPr>
        <w:t>标书共包含：</w:t>
      </w:r>
      <w:r>
        <w:rPr>
          <w:rFonts w:hint="eastAsia" w:asciiTheme="minorEastAsia" w:hAnsiTheme="minorEastAsia" w:eastAsiaTheme="minorEastAsia"/>
          <w:color w:val="000000"/>
          <w:sz w:val="24"/>
          <w:szCs w:val="24"/>
        </w:rPr>
        <w:t>资质证明文件，技术标书，商务标书，</w:t>
      </w:r>
      <w:r>
        <w:rPr>
          <w:rFonts w:hint="eastAsia" w:cs="仿宋" w:asciiTheme="minorEastAsia" w:hAnsiTheme="minorEastAsia" w:eastAsiaTheme="minorEastAsia"/>
          <w:sz w:val="24"/>
          <w:szCs w:val="24"/>
        </w:rPr>
        <w:t>开标一览表。</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spacing w:line="360" w:lineRule="auto"/>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.投标人将按招标文件的规定履行合同责任和义务。</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2.投标人已详细审查全部招标文件，包括修改文件（如有的话）以及全部参考资料和有关附件，我们完全理解并同意放弃对这方面有不明及误解的权利。</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3.投标有效期：自投标截止之日起30个日历日内有效。</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4.投标人同意提供贵方要求的可能与投标有关的一切数据和资料，完全理解贵方不一定要接受最低价的投标或收到的任何投标。</w:t>
      </w:r>
    </w:p>
    <w:p>
      <w:pPr>
        <w:spacing w:line="360" w:lineRule="auto"/>
        <w:ind w:left="43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5.与本投标有关的一切正式往来通讯请寄：</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地址：                                   邮编：</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电话：                                   传真：</w:t>
      </w:r>
    </w:p>
    <w:p>
      <w:pPr>
        <w:spacing w:line="360" w:lineRule="auto"/>
        <w:ind w:left="795"/>
        <w:rPr>
          <w:rFonts w:asciiTheme="minorEastAsia" w:hAnsiTheme="minorEastAsia" w:eastAsiaTheme="minorEastAsia"/>
          <w:color w:val="000000"/>
          <w:sz w:val="24"/>
          <w:szCs w:val="24"/>
        </w:rPr>
      </w:pP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投标人代表签字：                 职务：                 日期：</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投标人代表姓名、职务（印刷体）：</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投标人名称（及公章）：</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日期：        年       月       日</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2</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投标文件主要内容</w:t>
      </w:r>
    </w:p>
    <w:tbl>
      <w:tblPr>
        <w:tblStyle w:val="2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652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主要内容</w:t>
            </w:r>
          </w:p>
        </w:tc>
        <w:tc>
          <w:tcPr>
            <w:tcW w:w="1276"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投标人授权代表签字：                          日期：     年  月  日</w:t>
      </w: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34" w:firstLineChars="97"/>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.本表填写投标文件主要内容，以用于开标宣读。</w:t>
      </w:r>
    </w:p>
    <w:p>
      <w:pPr>
        <w:ind w:firstLine="720" w:firstLineChars="3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2</w:t>
      </w:r>
      <w:r>
        <w:rPr>
          <w:rFonts w:hint="eastAsia" w:asciiTheme="minorEastAsia" w:hAnsiTheme="minorEastAsia" w:eastAsiaTheme="minorEastAsia"/>
          <w:color w:val="000000"/>
          <w:sz w:val="24"/>
          <w:szCs w:val="24"/>
        </w:rPr>
        <w:t>．“索引”一栏填写该主要内容对应于投标文件的“条款号/页号”。</w:t>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3</w:t>
      </w: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《开标一览表》单独封存，以备唱标使用</w:t>
      </w:r>
    </w:p>
    <w:p>
      <w:pPr>
        <w:rPr>
          <w:rFonts w:cs="宋体" w:asciiTheme="minorEastAsia" w:hAnsiTheme="minorEastAsia" w:eastAsiaTheme="minorEastAsia"/>
          <w:b/>
          <w:bCs/>
          <w:color w:val="000000"/>
          <w:sz w:val="24"/>
          <w:szCs w:val="24"/>
        </w:rPr>
      </w:pP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w:t>
      </w:r>
    </w:p>
    <w:p>
      <w:pPr>
        <w:rPr>
          <w:rFonts w:asciiTheme="minorEastAsia" w:hAnsiTheme="minorEastAsia" w:eastAsiaTheme="minorEastAsia"/>
          <w:b/>
          <w:color w:val="000000"/>
          <w:sz w:val="24"/>
          <w:szCs w:val="24"/>
        </w:rPr>
      </w:pPr>
    </w:p>
    <w:tbl>
      <w:tblPr>
        <w:tblStyle w:val="29"/>
        <w:tblW w:w="9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33"/>
        <w:gridCol w:w="4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cs="宋体"/>
                <w:sz w:val="24"/>
                <w:szCs w:val="24"/>
              </w:rPr>
            </w:pPr>
            <w:r>
              <w:rPr>
                <w:rFonts w:hint="eastAsia" w:cs="宋体"/>
                <w:sz w:val="24"/>
                <w:szCs w:val="24"/>
              </w:rPr>
              <w:t>投标人名称</w:t>
            </w:r>
          </w:p>
        </w:tc>
        <w:tc>
          <w:tcPr>
            <w:tcW w:w="4087" w:type="dxa"/>
            <w:tcBorders>
              <w:top w:val="single" w:color="auto" w:sz="4" w:space="0"/>
              <w:left w:val="single" w:color="auto" w:sz="4" w:space="0"/>
              <w:bottom w:val="single" w:color="auto" w:sz="4" w:space="0"/>
              <w:right w:val="single" w:color="auto" w:sz="4" w:space="0"/>
            </w:tcBorders>
            <w:vAlign w:val="center"/>
          </w:tcPr>
          <w:p>
            <w:pPr>
              <w:jc w:val="cente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eastAsia" w:cs="宋体"/>
                <w:sz w:val="24"/>
                <w:szCs w:val="24"/>
              </w:rPr>
            </w:pPr>
            <w:r>
              <w:rPr>
                <w:rFonts w:hint="eastAsia" w:cs="宋体"/>
                <w:sz w:val="24"/>
                <w:szCs w:val="24"/>
                <w:lang w:val="en-US" w:eastAsia="zh-CN"/>
              </w:rPr>
              <w:t>维保维修</w:t>
            </w:r>
            <w:r>
              <w:rPr>
                <w:rFonts w:hint="eastAsia" w:cs="宋体"/>
                <w:sz w:val="24"/>
                <w:szCs w:val="24"/>
              </w:rPr>
              <w:t>总价格（</w:t>
            </w:r>
            <w:r>
              <w:rPr>
                <w:rFonts w:hint="eastAsia" w:cs="宋体"/>
                <w:sz w:val="24"/>
                <w:szCs w:val="24"/>
                <w:lang w:val="en-US" w:eastAsia="zh-CN"/>
              </w:rPr>
              <w:t>人民币：</w:t>
            </w:r>
            <w:r>
              <w:rPr>
                <w:rFonts w:hint="eastAsia" w:cs="宋体"/>
                <w:sz w:val="24"/>
                <w:szCs w:val="24"/>
              </w:rPr>
              <w:t>元，含税）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eastAsia" w:cs="宋体"/>
                <w:sz w:val="24"/>
                <w:szCs w:val="24"/>
                <w:lang w:val="en-US" w:eastAsia="zh-CN"/>
              </w:rPr>
            </w:pPr>
            <w:r>
              <w:rPr>
                <w:rFonts w:hint="eastAsia" w:cs="宋体"/>
                <w:sz w:val="24"/>
                <w:szCs w:val="24"/>
                <w:lang w:val="en-US" w:eastAsia="zh-CN"/>
              </w:rPr>
              <w:t>维保维修</w:t>
            </w:r>
            <w:r>
              <w:rPr>
                <w:rFonts w:hint="eastAsia" w:cs="宋体"/>
                <w:sz w:val="24"/>
                <w:szCs w:val="24"/>
              </w:rPr>
              <w:t>总价格（</w:t>
            </w:r>
            <w:r>
              <w:rPr>
                <w:rFonts w:hint="eastAsia" w:cs="宋体"/>
                <w:sz w:val="24"/>
                <w:szCs w:val="24"/>
                <w:lang w:val="en-US" w:eastAsia="zh-CN"/>
              </w:rPr>
              <w:t>人民币：</w:t>
            </w:r>
            <w:r>
              <w:rPr>
                <w:rFonts w:hint="eastAsia" w:cs="宋体"/>
                <w:sz w:val="24"/>
                <w:szCs w:val="24"/>
              </w:rPr>
              <w:t>元，</w:t>
            </w:r>
            <w:r>
              <w:rPr>
                <w:rFonts w:hint="eastAsia" w:cs="宋体"/>
                <w:sz w:val="24"/>
                <w:szCs w:val="24"/>
                <w:lang w:val="en-US" w:eastAsia="zh-CN"/>
              </w:rPr>
              <w:t>不</w:t>
            </w:r>
            <w:r>
              <w:rPr>
                <w:rFonts w:hint="eastAsia" w:cs="宋体"/>
                <w:sz w:val="24"/>
                <w:szCs w:val="24"/>
              </w:rPr>
              <w:t>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eastAsia" w:cs="宋体"/>
                <w:sz w:val="24"/>
                <w:szCs w:val="24"/>
              </w:rPr>
            </w:pPr>
            <w:r>
              <w:rPr>
                <w:rFonts w:hint="eastAsia" w:cs="宋体"/>
                <w:sz w:val="24"/>
                <w:szCs w:val="24"/>
                <w:lang w:val="en-US" w:eastAsia="zh-CN"/>
              </w:rPr>
              <w:t>检验、检测</w:t>
            </w:r>
            <w:r>
              <w:rPr>
                <w:rFonts w:hint="eastAsia" w:cs="宋体"/>
                <w:sz w:val="24"/>
                <w:szCs w:val="24"/>
              </w:rPr>
              <w:t>总价格（</w:t>
            </w:r>
            <w:r>
              <w:rPr>
                <w:rFonts w:hint="eastAsia" w:cs="宋体"/>
                <w:sz w:val="24"/>
                <w:szCs w:val="24"/>
                <w:lang w:val="en-US" w:eastAsia="zh-CN"/>
              </w:rPr>
              <w:t>人民币：</w:t>
            </w:r>
            <w:r>
              <w:rPr>
                <w:rFonts w:hint="eastAsia" w:cs="宋体"/>
                <w:sz w:val="24"/>
                <w:szCs w:val="24"/>
              </w:rPr>
              <w:t>元，含税）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eastAsia" w:eastAsia="宋体" w:cs="宋体"/>
                <w:sz w:val="24"/>
                <w:szCs w:val="24"/>
                <w:lang w:val="en-US" w:eastAsia="zh-CN"/>
              </w:rPr>
            </w:pPr>
            <w:r>
              <w:rPr>
                <w:rFonts w:hint="eastAsia" w:cs="宋体"/>
                <w:sz w:val="24"/>
                <w:szCs w:val="24"/>
                <w:lang w:val="en-US" w:eastAsia="zh-CN"/>
              </w:rPr>
              <w:t>检验、检测</w:t>
            </w:r>
            <w:r>
              <w:rPr>
                <w:rFonts w:hint="eastAsia" w:cs="宋体"/>
                <w:sz w:val="24"/>
                <w:szCs w:val="24"/>
              </w:rPr>
              <w:t>总价格（</w:t>
            </w:r>
            <w:r>
              <w:rPr>
                <w:rFonts w:hint="eastAsia" w:cs="宋体"/>
                <w:sz w:val="24"/>
                <w:szCs w:val="24"/>
                <w:lang w:val="en-US" w:eastAsia="zh-CN"/>
              </w:rPr>
              <w:t>人民币：</w:t>
            </w:r>
            <w:r>
              <w:rPr>
                <w:rFonts w:hint="eastAsia" w:cs="宋体"/>
                <w:sz w:val="24"/>
                <w:szCs w:val="24"/>
              </w:rPr>
              <w:t>元，</w:t>
            </w:r>
            <w:r>
              <w:rPr>
                <w:rFonts w:hint="eastAsia" w:cs="宋体"/>
                <w:sz w:val="24"/>
                <w:szCs w:val="24"/>
                <w:lang w:val="en-US" w:eastAsia="zh-CN"/>
              </w:rPr>
              <w:t>不</w:t>
            </w:r>
            <w:r>
              <w:rPr>
                <w:rFonts w:hint="eastAsia" w:cs="宋体"/>
                <w:sz w:val="24"/>
                <w:szCs w:val="24"/>
              </w:rPr>
              <w:t>含税</w:t>
            </w:r>
            <w:r>
              <w:rPr>
                <w:rFonts w:hint="eastAsia" w:cs="宋体"/>
                <w:sz w:val="24"/>
                <w:szCs w:val="24"/>
                <w:lang w:eastAsia="zh-CN"/>
              </w:rPr>
              <w:t>）</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cs="宋体"/>
                <w:sz w:val="24"/>
                <w:szCs w:val="24"/>
                <w:lang w:val="en-US" w:eastAsia="zh-CN"/>
              </w:rPr>
            </w:pPr>
            <w:r>
              <w:rPr>
                <w:rFonts w:hint="eastAsia" w:cs="宋体"/>
                <w:sz w:val="24"/>
                <w:szCs w:val="24"/>
                <w:lang w:val="en-US" w:eastAsia="zh-CN"/>
              </w:rPr>
              <w:t>配件费用</w:t>
            </w:r>
            <w:r>
              <w:rPr>
                <w:rFonts w:hint="eastAsia" w:cs="宋体"/>
                <w:sz w:val="24"/>
                <w:szCs w:val="24"/>
              </w:rPr>
              <w:t>（</w:t>
            </w:r>
            <w:r>
              <w:rPr>
                <w:rFonts w:hint="eastAsia" w:cs="宋体"/>
                <w:sz w:val="24"/>
                <w:szCs w:val="24"/>
                <w:lang w:val="en-US" w:eastAsia="zh-CN"/>
              </w:rPr>
              <w:t>人民币：</w:t>
            </w:r>
            <w:r>
              <w:rPr>
                <w:rFonts w:hint="eastAsia" w:cs="宋体"/>
                <w:sz w:val="24"/>
                <w:szCs w:val="24"/>
              </w:rPr>
              <w:t>元，含税）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cs="宋体"/>
                <w:sz w:val="24"/>
                <w:szCs w:val="24"/>
                <w:lang w:val="en-US" w:eastAsia="zh-CN"/>
              </w:rPr>
            </w:pPr>
            <w:r>
              <w:rPr>
                <w:rFonts w:hint="eastAsia" w:cs="宋体"/>
                <w:sz w:val="24"/>
                <w:szCs w:val="24"/>
                <w:lang w:val="en-US" w:eastAsia="zh-CN"/>
              </w:rPr>
              <w:t>配件费用</w:t>
            </w:r>
            <w:r>
              <w:rPr>
                <w:rFonts w:hint="eastAsia" w:cs="宋体"/>
                <w:sz w:val="24"/>
                <w:szCs w:val="24"/>
              </w:rPr>
              <w:t>（</w:t>
            </w:r>
            <w:r>
              <w:rPr>
                <w:rFonts w:hint="eastAsia" w:cs="宋体"/>
                <w:sz w:val="24"/>
                <w:szCs w:val="24"/>
                <w:lang w:val="en-US" w:eastAsia="zh-CN"/>
              </w:rPr>
              <w:t>人民币：</w:t>
            </w:r>
            <w:r>
              <w:rPr>
                <w:rFonts w:hint="eastAsia" w:cs="宋体"/>
                <w:sz w:val="24"/>
                <w:szCs w:val="24"/>
              </w:rPr>
              <w:t>元，</w:t>
            </w:r>
            <w:r>
              <w:rPr>
                <w:rFonts w:hint="eastAsia" w:cs="宋体"/>
                <w:sz w:val="24"/>
                <w:szCs w:val="24"/>
                <w:lang w:val="en-US" w:eastAsia="zh-CN"/>
              </w:rPr>
              <w:t>不</w:t>
            </w:r>
            <w:r>
              <w:rPr>
                <w:rFonts w:hint="eastAsia" w:cs="宋体"/>
                <w:sz w:val="24"/>
                <w:szCs w:val="24"/>
              </w:rPr>
              <w:t>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jc w:val="center"/>
              <w:rPr>
                <w:rFonts w:hint="default" w:cs="宋体"/>
                <w:sz w:val="24"/>
                <w:szCs w:val="24"/>
                <w:lang w:val="en-US" w:eastAsia="zh-CN"/>
              </w:rPr>
            </w:pPr>
            <w:r>
              <w:rPr>
                <w:rFonts w:hint="eastAsia" w:cs="宋体"/>
                <w:sz w:val="24"/>
                <w:szCs w:val="24"/>
                <w:lang w:val="en-US" w:eastAsia="zh-CN"/>
              </w:rPr>
              <w:t>汇总（元，含税）</w:t>
            </w:r>
          </w:p>
        </w:tc>
        <w:tc>
          <w:tcPr>
            <w:tcW w:w="4087"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9120" w:type="dxa"/>
            <w:gridSpan w:val="2"/>
            <w:tcBorders>
              <w:top w:val="single" w:color="auto" w:sz="4" w:space="0"/>
              <w:left w:val="single" w:color="auto" w:sz="4" w:space="0"/>
              <w:bottom w:val="single" w:color="auto" w:sz="4" w:space="0"/>
              <w:right w:val="single" w:color="auto" w:sz="4" w:space="0"/>
            </w:tcBorders>
            <w:vAlign w:val="center"/>
          </w:tcPr>
          <w:p>
            <w:pPr>
              <w:ind w:firstLine="480" w:firstLineChars="200"/>
              <w:jc w:val="center"/>
              <w:rPr>
                <w:rFonts w:cs="宋体"/>
                <w:szCs w:val="21"/>
              </w:rPr>
            </w:pPr>
            <w:r>
              <w:rPr>
                <w:rFonts w:hint="eastAsia" w:cs="宋体"/>
                <w:sz w:val="24"/>
                <w:szCs w:val="24"/>
              </w:rPr>
              <w:t>分项报价清单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5033" w:type="dxa"/>
            <w:tcBorders>
              <w:top w:val="single" w:color="auto" w:sz="4" w:space="0"/>
              <w:left w:val="single" w:color="auto" w:sz="4" w:space="0"/>
              <w:bottom w:val="single" w:color="auto" w:sz="4" w:space="0"/>
              <w:right w:val="single" w:color="auto" w:sz="4" w:space="0"/>
              <w:tl2br w:val="single" w:color="auto" w:sz="4" w:space="0"/>
            </w:tcBorders>
          </w:tcPr>
          <w:p>
            <w:pPr>
              <w:jc w:val="right"/>
              <w:rPr>
                <w:rFonts w:cs="宋体"/>
                <w:sz w:val="24"/>
                <w:szCs w:val="24"/>
              </w:rPr>
            </w:pPr>
            <w:r>
              <w:rPr>
                <w:rFonts w:hint="eastAsia" w:cs="宋体"/>
                <w:sz w:val="24"/>
                <w:szCs w:val="24"/>
              </w:rPr>
              <w:t>报价</w:t>
            </w:r>
          </w:p>
          <w:p>
            <w:pPr>
              <w:rPr>
                <w:rFonts w:cs="宋体"/>
                <w:sz w:val="24"/>
                <w:szCs w:val="24"/>
              </w:rPr>
            </w:pPr>
            <w:r>
              <w:rPr>
                <w:rFonts w:hint="eastAsia" w:cs="宋体"/>
                <w:sz w:val="24"/>
                <w:szCs w:val="24"/>
              </w:rPr>
              <w:t>主要分项</w:t>
            </w:r>
          </w:p>
        </w:tc>
        <w:tc>
          <w:tcPr>
            <w:tcW w:w="4087" w:type="dxa"/>
            <w:tcBorders>
              <w:top w:val="single" w:color="auto" w:sz="4" w:space="0"/>
              <w:left w:val="single" w:color="auto" w:sz="4" w:space="0"/>
              <w:bottom w:val="single" w:color="auto" w:sz="4" w:space="0"/>
              <w:right w:val="single" w:color="auto" w:sz="4" w:space="0"/>
            </w:tcBorders>
            <w:vAlign w:val="center"/>
          </w:tcPr>
          <w:p>
            <w:pPr>
              <w:jc w:val="center"/>
              <w:rPr>
                <w:rFonts w:cs="宋体"/>
                <w:b/>
                <w:color w:val="FF0000"/>
                <w:szCs w:val="21"/>
              </w:rPr>
            </w:pPr>
            <w:r>
              <w:rPr>
                <w:rFonts w:hint="eastAsia" w:cs="宋体"/>
                <w:b/>
                <w:szCs w:val="21"/>
              </w:rPr>
              <w:t>价格（</w:t>
            </w:r>
            <w:r>
              <w:rPr>
                <w:rFonts w:hint="eastAsia" w:cs="宋体"/>
                <w:b/>
                <w:szCs w:val="21"/>
                <w:lang w:val="en-US" w:eastAsia="zh-CN"/>
              </w:rPr>
              <w:t>人民币：</w:t>
            </w:r>
            <w:r>
              <w:rPr>
                <w:rFonts w:hint="eastAsia" w:cs="宋体"/>
                <w:b/>
                <w:szCs w:val="21"/>
              </w:rPr>
              <w:t>元</w:t>
            </w:r>
            <w:r>
              <w:rPr>
                <w:rFonts w:hint="eastAsia" w:cs="宋体"/>
                <w:b/>
                <w:kern w:val="0"/>
                <w:szCs w:val="21"/>
              </w:rPr>
              <w:t>，请写</w:t>
            </w:r>
            <w:r>
              <w:rPr>
                <w:rFonts w:hint="eastAsia" w:cs="宋体"/>
                <w:b/>
                <w:kern w:val="0"/>
                <w:szCs w:val="21"/>
                <w:lang w:val="en-US" w:eastAsia="zh-CN"/>
              </w:rPr>
              <w:t>不</w:t>
            </w:r>
            <w:r>
              <w:rPr>
                <w:rFonts w:hint="eastAsia" w:cs="宋体"/>
                <w:b/>
                <w:kern w:val="0"/>
                <w:szCs w:val="21"/>
              </w:rPr>
              <w:t>含税价，并注明税率）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03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4087"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bl>
    <w:p>
      <w:pPr>
        <w:rPr>
          <w:rFonts w:cs="宋体"/>
          <w:szCs w:val="21"/>
        </w:rPr>
      </w:pPr>
    </w:p>
    <w:p>
      <w:pPr>
        <w:rPr>
          <w:rFonts w:cs="宋体"/>
          <w:sz w:val="24"/>
          <w:szCs w:val="24"/>
        </w:rPr>
      </w:pPr>
    </w:p>
    <w:p>
      <w:pPr>
        <w:rPr>
          <w:rFonts w:asciiTheme="minorEastAsia" w:hAnsiTheme="minorEastAsia" w:eastAsiaTheme="minorEastAsia"/>
          <w:b/>
          <w:color w:val="000000"/>
          <w:sz w:val="24"/>
          <w:szCs w:val="24"/>
        </w:rPr>
      </w:pPr>
      <w:r>
        <w:rPr>
          <w:rFonts w:hint="eastAsia" w:cs="宋体"/>
          <w:sz w:val="24"/>
          <w:szCs w:val="24"/>
        </w:rPr>
        <w:t>投标人名称：                   授权代表签字：            日期：</w:t>
      </w:r>
    </w:p>
    <w:p>
      <w:pPr>
        <w:rPr>
          <w:rFonts w:asciiTheme="minorEastAsia" w:hAnsiTheme="minorEastAsia" w:eastAsiaTheme="minorEastAsia"/>
          <w:b/>
          <w:color w:val="000000"/>
          <w:sz w:val="24"/>
          <w:szCs w:val="24"/>
        </w:rPr>
      </w:pPr>
    </w:p>
    <w:p>
      <w:pPr>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1</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该表“序号”栏应根据该设备分项的序号填写。</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投标总价为各投标设备的合计价之和。</w:t>
      </w:r>
    </w:p>
    <w:p>
      <w:pPr>
        <w:ind w:firstLine="48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3.本表用于开标宣读用，请单独封存。</w:t>
      </w:r>
    </w:p>
    <w:p>
      <w:pPr>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pStyle w:val="10"/>
        <w:rPr>
          <w:rFonts w:hint="eastAsia" w:asciiTheme="minorEastAsia" w:hAnsiTheme="minorEastAsia" w:eastAsiaTheme="minorEastAsia"/>
          <w:color w:val="000000"/>
          <w:sz w:val="24"/>
          <w:szCs w:val="24"/>
        </w:rPr>
      </w:pPr>
    </w:p>
    <w:p>
      <w:pPr>
        <w:rPr>
          <w:rFonts w:hint="eastAsia" w:asciiTheme="minorEastAsia" w:hAnsiTheme="minorEastAsia" w:eastAsiaTheme="minorEastAsia"/>
          <w:b/>
          <w:color w:val="000000"/>
          <w:sz w:val="24"/>
          <w:szCs w:val="24"/>
          <w:lang w:val="en-US" w:eastAsia="zh-CN"/>
        </w:rPr>
      </w:pPr>
      <w:r>
        <w:rPr>
          <w:rFonts w:hint="eastAsia" w:asciiTheme="minorEastAsia" w:hAnsiTheme="minorEastAsia" w:eastAsiaTheme="minorEastAsia"/>
          <w:b/>
          <w:color w:val="000000"/>
          <w:sz w:val="24"/>
          <w:szCs w:val="24"/>
          <w:lang w:val="en-US" w:eastAsia="zh-CN"/>
        </w:rPr>
        <w:t>配件价格明细表</w:t>
      </w:r>
    </w:p>
    <w:p>
      <w:pPr>
        <w:pStyle w:val="10"/>
        <w:spacing w:line="360" w:lineRule="auto"/>
        <w:rPr>
          <w:rFonts w:hint="default"/>
          <w:b w:val="0"/>
          <w:bCs/>
          <w:lang w:val="en-US" w:eastAsia="zh-CN"/>
        </w:rPr>
      </w:pPr>
      <w:r>
        <w:rPr>
          <w:rFonts w:hint="eastAsia" w:asciiTheme="minorEastAsia" w:hAnsiTheme="minorEastAsia" w:eastAsiaTheme="minorEastAsia"/>
          <w:b w:val="0"/>
          <w:bCs/>
          <w:color w:val="000000"/>
          <w:sz w:val="24"/>
          <w:szCs w:val="24"/>
          <w:lang w:val="en-US" w:eastAsia="zh-CN"/>
        </w:rPr>
        <w:t xml:space="preserve">  配件价格为框架协议，本年度内根据电梯配件损坏部位据实结算。</w:t>
      </w:r>
    </w:p>
    <w:p>
      <w:pPr>
        <w:rPr>
          <w:rFonts w:asciiTheme="minorEastAsia" w:hAnsiTheme="minorEastAsia" w:eastAsiaTheme="minorEastAsia"/>
          <w:color w:val="000000"/>
          <w:sz w:val="24"/>
          <w:szCs w:val="24"/>
        </w:rPr>
      </w:pPr>
    </w:p>
    <w:tbl>
      <w:tblPr>
        <w:tblStyle w:val="29"/>
        <w:tblW w:w="8321"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7"/>
        <w:gridCol w:w="3977"/>
        <w:gridCol w:w="647"/>
        <w:gridCol w:w="646"/>
        <w:gridCol w:w="1240"/>
        <w:gridCol w:w="11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4" w:hRule="atLeast"/>
        </w:trPr>
        <w:tc>
          <w:tcPr>
            <w:tcW w:w="8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常用件价格表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配件名称</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不含税单价</w:t>
            </w: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电器接线盒</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面板 VARIO -VFP OVT401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TRANSMISSION GEAR, RTV 5 145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弯曲段部件 RTV FEP02G 275NA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弯弧段导轨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回转 导轨-RTV T-KUNSTSTOFF</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电路板 VMS I/B</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支架-RSV MIT ROLLE RE</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支架-RSV MIT ROLLE LI</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抱闸臂 -KPL</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链条 13RI-A 4000LG 2STR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链条 13RI-A 400LG 2STR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踏板 T 100 RILLE SCHWARZ</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光幕,WECO-MFB</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ROLLER BEARING 22214, 129940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编码器,8192 多摩川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交流-3 -440V65A - 线圈 220V直</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 800VA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 630VA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KDS外呼点阵显示板，红光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KDS外呼点阵显示板，白光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平层开关组件, 12VDC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制动电阻（KDL16R）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35束光幕,IP54</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 LCD 5.7寸KDS垂直层显板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9"STN液晶显示板，黑底白字</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COP或层显显示板,型号BVC500(A3J17388)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SAFETY BUFFER 220X80 ACLA 300404 MODEL 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控制变压器 205VA 400/220VAC/24VAC/24VDC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CONTACTOR 3-PH 11KW/400V 80VDC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CONTACTOR,3NO 440V/50A AC-3 COIL 230VAC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KSSLMUL电子板组件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KDS50LCI液晶显示板，蓝底</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STNLCD_LCI_4.3_DUPLEX ASSEMBLY</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外呼显示板, STNLCD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STNLCD VERTICAL DISPLAY,5.7 INCH</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STNLCD水平显示组件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层显显示板, 带到站钟 蓝底白字</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STNLCD_H_5.7 ASSEMBLY</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STNLCD VERTICAL DISPLAY 9.0 INCH</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PCB, BCB25 BRAKE CONTROL BOARD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SL1S 滑动导靴</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曳引轮 D650 120 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T89B导轨,L=5000MM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轴承,BALL D160/75MM W=37MM 6315 2Z</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TIME RELAY BASU/SYRELEC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滚珠轴承 21316 E MX18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风扇 V3F25 DRIVE 230VAC 0.25A 40W</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Single row taper roller bearing 32221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转速计 0.2A D95MM W=48MM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 330V 3300uF</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风机,230V-EBM D2E133-DM47-E6</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标准导轨 T82Bx68x9</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230VAC 95A 45KW</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230VAC 25A 11KW 50/60HZ</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LC1-D8011P7-230VAC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晶体管整流桥1200V-82A-SKD82,用于V3F20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变频器晶闸管 MG150Q2YS40-AC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3相整流桥 1200V 110A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三相整流桥,3PHASE 1200V 160A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风机,230V 48W 0.22A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V3F18风机230V,+2uF(450V)电容</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电容器 1000UF 350V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晶体管,1200V/300A-N</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电容,3300uF-400V-D76XL140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变频器晶闸管IGBT SKM100GAL-123D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RFI滤波器,12A 420VAC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轴承 6218-2RS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KE-272-20型电源滤波器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KE-273-40型电源滤波器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门光幕35线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测速计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230VAC 50A 1036 1AL20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接触器400VAC 25A 11KW 2NO+2NC 230VDC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主接触器(3RT1036-1AR60)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V3F18电容,2200uF-400V±20%-D66XL105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桥式整流器 1200V-195A-IGBT</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 3300UF 400VDC 77X105MM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轴承,MX20 UPPER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马达保护开关 3RV1021-4AA10 11-16A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3D光幕接收板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光幕電源操控箱840 022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滚柱轴承 33216/Q</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230VAC 65A 3RT 1044 1AL20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80A 3RT 1045 1AL20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晶体管,SKM400GB124D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接触器3RT10451-AP00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SENSOR, CURTAIN OF LIGHT 3D TX RX</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风扇 (RG90-18/56 PAPST)</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接触器LC1-D38P7230VAC 38A 50/60HZ</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电源单元230V 50/60HZ MPS5-230/24</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 380VA400/220VAC/24VAC/24VDC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测速编码器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接触器690V 150A 3NO 220-240V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Deep grv ball brg URB6313-2RS C3 LL5 gre</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滚珠深沟轴承，6315-2RS C3 LL5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 XS8C1A1PAL01M12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 XS7C1A1PAL01M12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变频柜,7.5KW,400V,14.F5.C1E-Y00A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 11kW 400V 3P 48A,15.F5.C1E-Y00A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400V-AC3-15KW 3NC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 15kW 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 22kW 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时间继电器FINDER 86.00.0.240.0000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护脚板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AUGUSTA地坎托板,LL=900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AUGUSTA加强铝地坎条LL=900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Augusta 900地坎组合</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电路板 ECO AUTOMATIC BOARD 501-B STANDAR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 ECO 501-B 安全扩展主板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标准ECO 501-B主板 INPUT/OUTPUT</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REV TRANSM. PULSE ENCODER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REG-2电源板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导靴滚轮,D125MM W=27MM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ADC 门机控制板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数字显示器 HL MATRIX</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称重感应器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TMS200/600 EXP3-线路板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称重信号放大板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光目接收器 RX TP5 TELCO</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交通灯 D60 12-28VAC/DC BI-INDIC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光幕 ML29-P/25/103/115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PC-CAN板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MCC-85脉冲板,TMS200(TAC6</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绳轮(410/6XD8)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PULLEY, D410MM 5XD10MM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抱闸控制模块,BCM25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伟肯变频器5.5KW 380/500V 50%过载</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伟肯变频器7.5KW 380/500V IP21 50%过载</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伟肯变频器11KW 380/500V IP21 50%过载</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LCEADOE电子板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LCEADOE 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张紧装置，H&gt;=50m，ZJZ116-05G15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BCX08制动控制组件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轿厢显示板，红光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轿厢显示板，蓝光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轿厢显示板，白光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KDS300红光点阵楼层显示板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KDS300黄光点阵楼层显示板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轿厢显示板，七段码中文</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反绳轮D530 8XD13</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反绳轮,D530 8XD13MM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对重反绳轮410,6XD8，用于CWF12PWS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COUPLER, LEFT OPENING</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东芝门刀</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绳头称重装置 含感应器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ROPE FIXING WITH LOAD WEIGHTING SENSOR</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绳头称重装置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ELECTRONIC BOX (EU, EAP)</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AMD 驱动 15 ASSEMBLY</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DRIVE UNIT, AMD DRIVE D7</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AMD DRIVE1.5门机马达,右置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门机马达,AMDR1左置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驱动单元（D2）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制动控制板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MX06左闸</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8位按钮板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按钮板组件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马达减震垫,MX10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抱闸组件,MX10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轴 D65H9X495.7MM 42CRMO4V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滚轮导靴 D128/32MM W=27MM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补偿链管位轮（原KM394046G01）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补偿链滚轮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OL35 限速器张紧轮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OL35 限速器张紧轮 w/cable L=8m (右侧)</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绝缘垫,无地震保护装置 PT10,12,13</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减震+垫片,MX18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PULLEY, DIVERTER D534MM 8 GROOVES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导向轮装置，D534 6XD13 N1478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 CONTROL CURRENT</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主控线路板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MX18 抱闸</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抱闸,MX20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带插的传感器 XS4-P30AB120;L=6m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LCECPU电脑板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LCECAN板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板 LCECAN GROUP KONE E LINK</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板 LCECAN GROUP AN KONE E LINK</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线路板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驱动模块 V3F16 ES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DC连接电容器模块</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Sigma厅外召唤顶层金属按钮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点阵显示器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LCERAL警报板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LCECCEB板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驱动模块385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驱动模块385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Current Measuring Board 725810G02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CMAXADAP解码板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COP连接电缆  L=6M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限位开关,L=3M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变压器,1000VA420 400//230/20/20V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厅门开门装置</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中分门光幕</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盒子, SEB FURE SAFETY DEVICE</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AMD中分900铝地坎条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2列垂直点阵显示</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厅站指示器（带显示）</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厅站指示器（带显示）</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带显示底层厅外召唤/短发丝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带显示底层厅外召唤OSS/短发丝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带显示中间层厅外召唤/短发丝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带显示中间层厅外召唤OSS/短发丝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带显示顶层厅外召唤/短发丝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主电源电缆</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平层传感器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NTS Board 752710G01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AMD3 铝地坎LL1500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减震垫, MX20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V3F18 驱动 38A 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V3F18 驱动 55A 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进口FCB24板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LOPCB操作板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LOPCB板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LCECPUnc电脑板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抱闸电源板V1.0 FOR V3F18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旋转变压器电缆 MX18,32,40,100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旋转变压器电缆电缆</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V3F18 A5 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MX05-06电阻模块</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电阻模块 TranSys MX10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液晶显示板含线L=100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ETS 开关和电缆</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LCECPU40板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LCECPU40板 rev.1.80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CPU561板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厅站指示器垂直（HL245D)线路板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变压器,1200VA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旋转变压器 MX18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 V3F18</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V3F25/V3F16 速度线路板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SLG2A滑动导靴，A=16.5MM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KDL32 控制单元</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PCB ASSEMBLY,MCDK</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变压器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制动器，MX14</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PCB, BRAKE CONTROL BOARD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油压缓冲器YH11/279,V≤2.0 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油压缓冲器YH14/175</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OIL BUFFER, V=1.6 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油压缓冲器,YH29/425,V＝2.5 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油压缓冲器YH30/270,V≤2.0 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油压缓冲器,YH72B/175,V&lt;=1.60m/s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油压缓冲器,YH73A/210 V&lt;=1.75m/s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油压缓冲器,YH74A/275,V&lt;=2.0m/s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变频器,VACON 7.5KW 380VAC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MX编码器,D37.3 L2=4500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MX编码器,D37.3 L2=7000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编码器, D75 L2=4500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编码器, D75 L2=7000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驱动模块KDL16L,14A/400V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KDL16L DRIVE MODULE, 14A, 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接触器 11KW AC3 230VDC 3NO 400VAC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MX14抱闸，制动力4500N</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FAN, COOLER 24VDC 5W 180X180X40MM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PCB ASSEMBLY,CONTACTOR BOARD CO16</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驱动模块KDL16R, 22A/400V</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LF88 射灯组件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玻璃钢对重保护板 C=700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KDL16 配线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国产聚氨酯缓冲器HHP8112(1000-5500Kg)</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宁波申菱限速器XSQ115-02和涨紧装置ZJZ115-05/14</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COPMUL ASSEMBLY</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HÜBNER GTF 7.16L/460- D75 WHEEL, 11M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转速计 MX05/MX06/MX10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旋转变压器组件, MX20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PCB,MOTION CONTROL BOARD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NBSL中分厅门左挂板组件 LL=1100MM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中分900 地坎整套 宁波申菱</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PROFILE, SILL LANDING NBSLC1 LL=900MM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UNIT,PCB MCDM AND HEAT TRANSFER COMPOUND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松闸钢丝绳，MX20 L2=4000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进口VACON驱动模块KR6 40A IP23</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交流变极器模组 VACON KR7 90 A IP23</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订轴承KM878194和KM276216各1PC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回转链</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传动链</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驱动链条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主动链</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EJV回转链</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国产安全钳AQ11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国产语音报站系统</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液压缓冲器 YH09/220 1.75M/S</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电池YUASA NP12-12 for EBD LCE</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K-DELTA外呼显示板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网络对讲机组件TS-KC-50(91-100路对讲）</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多方通话组件 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各类保险丝</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门滑块AMD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门球AMD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同步钢丝绳 LL ≤ 950 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同步钢丝绳 LL &gt; 950 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重锤钢丝绳 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门触点 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门触座AMD</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门滑块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门球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LL800同步钢丝绳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LL900同步钢丝绳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LL1000同步钢丝绳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关门钢丝绳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门挂轮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同步绳轮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门触点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门触座 Augusta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门机皮带（窄）</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检修盒上行</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检修盒下行</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检修盒停止</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检修盒转换开关</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测速轮37</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平层感应器61UN、30 U型</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平层感应器61UN、30 烟杆型</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接近开关77UN</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风扇</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电池, 12V-7AH</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KDS300圆形表贴银色发纹按钮 蓝光 </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KDS300圆形表贴银色发纹按钮 红光 </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KDS300圆形表贴银色发纹按钮 绿光 </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KDS300圆形表贴银色发纹按钮 黄光 </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KDS300圆形表贴银色发纹按钮 白光 </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KDS50 黑底白字 红光</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单按钮板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双按钮板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八按钮板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油盒</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轿厢对讲TJ-2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机房/轿顶电话TF-2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电源适配器PP-2G</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底坑对讲TW-2A</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轿厢对讲TJ-2A（轿厢副机）</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无机房对讲TW-2Z</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SLG7靴衬 10MM导轨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SLG7靴衬 16MM导轨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PB177K-2靴衬 16MM导轨</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Augusta关门弹簧</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三角锁</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张紧轮开关</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缓冲器开关</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极限开关</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油杯</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底坑急停开关</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锁梯锁</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辅助触接触器 3RH1921-1HA22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三相继电器 XJ12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辅助触点  3RH1921-1DA11</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照明断路器 F11  5SX2 116-7</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201:3,4安全回路接触器  3RH11 31-1AP00</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辅助触点 2NC 2NO 3RH1921-1HA22</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继电器,24VDC 10A 1NC+1NO</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24VDC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辅助触头, 3RH1921-1HA31 3NO 1NC</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辅助接触器 SEITLI 2O 3RH1921-1EA02*SI</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KDS300 COP载重铭牌</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KDS300 层显玻璃透镜</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KDS300 外呼玻璃透镜</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363</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KDS50 COP载重铭牌</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364</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KDS50 层显显示罩</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365</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KDS50 外呼显示罩</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应急照明板</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367</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轿顶警铃</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368</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跳线电阻</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369</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随行电缆挂件</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370</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灯管 230VAC 36W D26</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371</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灯泡 5W 12V BA9S 9X33MM</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372</w:t>
            </w:r>
          </w:p>
        </w:tc>
        <w:tc>
          <w:tcPr>
            <w:tcW w:w="39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12VDC绿光LED灯泡</w:t>
            </w:r>
          </w:p>
        </w:tc>
        <w:tc>
          <w:tcPr>
            <w:tcW w:w="6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bl>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pStyle w:val="10"/>
        <w:rPr>
          <w:rFonts w:asciiTheme="minorEastAsia" w:hAnsiTheme="minorEastAsia" w:eastAsiaTheme="minorEastAsia"/>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4</w:t>
      </w:r>
    </w:p>
    <w:p>
      <w:pPr>
        <w:ind w:firstLine="480"/>
        <w:rPr>
          <w:rFonts w:asciiTheme="minorEastAsia" w:hAnsiTheme="minorEastAsia" w:eastAsiaTheme="minorEastAsia"/>
          <w:color w:val="000000"/>
          <w:sz w:val="24"/>
          <w:szCs w:val="24"/>
        </w:rPr>
      </w:pPr>
    </w:p>
    <w:p>
      <w:pPr>
        <w:spacing w:line="360" w:lineRule="auto"/>
        <w:rPr>
          <w:rFonts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w:t>
      </w:r>
      <w:r>
        <w:rPr>
          <w:rFonts w:hint="eastAsia" w:ascii="宋体" w:hAnsi="宋体" w:cs="宋体"/>
          <w:sz w:val="24"/>
          <w:szCs w:val="24"/>
        </w:rPr>
        <w:t>(XX项目)</w:t>
      </w:r>
    </w:p>
    <w:p>
      <w:pPr>
        <w:pStyle w:val="13"/>
        <w:spacing w:line="360" w:lineRule="auto"/>
        <w:rPr>
          <w:rFonts w:hAnsi="宋体" w:cs="宋体"/>
          <w:sz w:val="24"/>
          <w:szCs w:val="24"/>
        </w:rPr>
      </w:pPr>
      <w:r>
        <w:rPr>
          <w:rFonts w:hint="eastAsia" w:hAnsi="宋体" w:cs="宋体"/>
          <w:sz w:val="24"/>
          <w:szCs w:val="24"/>
        </w:rPr>
        <w:t>日期：  年   月   日</w:t>
      </w:r>
    </w:p>
    <w:p>
      <w:pPr>
        <w:spacing w:line="360" w:lineRule="auto"/>
        <w:jc w:val="center"/>
        <w:rPr>
          <w:rFonts w:ascii="宋体" w:hAnsi="宋体" w:cs="宋体"/>
          <w:b/>
          <w:bCs/>
          <w:sz w:val="24"/>
          <w:szCs w:val="24"/>
        </w:rPr>
      </w:pPr>
      <w:r>
        <w:rPr>
          <w:rFonts w:hint="eastAsia" w:ascii="宋体" w:hAnsi="宋体" w:cs="宋体"/>
          <w:b/>
          <w:bCs/>
          <w:sz w:val="24"/>
          <w:szCs w:val="24"/>
        </w:rPr>
        <w:t>法人授权委托书</w:t>
      </w:r>
    </w:p>
    <w:p>
      <w:pPr>
        <w:spacing w:line="360" w:lineRule="auto"/>
        <w:rPr>
          <w:rFonts w:ascii="宋体" w:hAnsi="宋体" w:cs="宋体"/>
          <w:sz w:val="24"/>
          <w:szCs w:val="24"/>
          <w:u w:val="single"/>
        </w:rPr>
      </w:pPr>
      <w:r>
        <w:rPr>
          <w:rFonts w:hint="eastAsia" w:ascii="宋体" w:hAnsi="宋体" w:cs="宋体"/>
          <w:sz w:val="24"/>
          <w:szCs w:val="24"/>
        </w:rPr>
        <w:t>致</w:t>
      </w:r>
      <w:r>
        <w:rPr>
          <w:rFonts w:hint="eastAsia" w:ascii="宋体" w:hAnsi="宋体" w:cs="宋体"/>
          <w:sz w:val="24"/>
          <w:szCs w:val="24"/>
          <w:u w:val="single"/>
        </w:rPr>
        <w:t>（招标人名称）                            ：</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本授权委托书声明：我</w:t>
      </w:r>
      <w:r>
        <w:rPr>
          <w:rFonts w:hint="eastAsia" w:ascii="宋体" w:hAnsi="宋体" w:cs="宋体"/>
          <w:kern w:val="0"/>
          <w:sz w:val="24"/>
          <w:szCs w:val="24"/>
          <w:u w:val="single"/>
        </w:rPr>
        <w:t xml:space="preserve">（法人姓名）       </w:t>
      </w:r>
      <w:r>
        <w:rPr>
          <w:rFonts w:hint="eastAsia" w:ascii="宋体" w:hAnsi="宋体" w:cs="宋体"/>
          <w:kern w:val="0"/>
          <w:sz w:val="24"/>
          <w:szCs w:val="24"/>
        </w:rPr>
        <w:t>系</w:t>
      </w:r>
      <w:r>
        <w:rPr>
          <w:rFonts w:hint="eastAsia" w:ascii="宋体" w:hAnsi="宋体" w:cs="宋体"/>
          <w:sz w:val="24"/>
          <w:szCs w:val="24"/>
          <w:u w:val="single"/>
        </w:rPr>
        <w:t>（投标人名称）</w:t>
      </w:r>
      <w:r>
        <w:rPr>
          <w:rFonts w:hint="eastAsia" w:ascii="宋体" w:hAnsi="宋体" w:cs="宋体"/>
          <w:kern w:val="0"/>
          <w:sz w:val="24"/>
          <w:szCs w:val="24"/>
          <w:u w:val="single"/>
        </w:rPr>
        <w:t xml:space="preserve">                   </w:t>
      </w:r>
      <w:r>
        <w:rPr>
          <w:rFonts w:hint="eastAsia" w:ascii="宋体" w:hAnsi="宋体" w:cs="宋体"/>
          <w:kern w:val="0"/>
          <w:sz w:val="24"/>
          <w:szCs w:val="24"/>
        </w:rPr>
        <w:t>的法定代表人，现授权委托</w:t>
      </w:r>
      <w:r>
        <w:rPr>
          <w:rFonts w:hint="eastAsia" w:ascii="宋体" w:hAnsi="宋体" w:cs="宋体"/>
          <w:sz w:val="24"/>
          <w:szCs w:val="24"/>
          <w:u w:val="single"/>
        </w:rPr>
        <w:t>（投标人名称）</w:t>
      </w:r>
      <w:r>
        <w:rPr>
          <w:rFonts w:hint="eastAsia" w:ascii="宋体" w:hAnsi="宋体" w:cs="宋体"/>
          <w:kern w:val="0"/>
          <w:sz w:val="24"/>
          <w:szCs w:val="24"/>
          <w:u w:val="single"/>
        </w:rPr>
        <w:t xml:space="preserve">                    </w:t>
      </w:r>
      <w:r>
        <w:rPr>
          <w:rFonts w:hint="eastAsia" w:ascii="宋体" w:hAnsi="宋体" w:cs="宋体"/>
          <w:kern w:val="0"/>
          <w:sz w:val="24"/>
          <w:szCs w:val="24"/>
        </w:rPr>
        <w:t>的</w:t>
      </w:r>
      <w:r>
        <w:rPr>
          <w:rFonts w:hint="eastAsia" w:ascii="宋体" w:hAnsi="宋体" w:cs="宋体"/>
          <w:kern w:val="0"/>
          <w:sz w:val="24"/>
          <w:szCs w:val="24"/>
          <w:u w:val="single"/>
        </w:rPr>
        <w:t xml:space="preserve"> （授权委托代理人姓名）        </w:t>
      </w:r>
      <w:r>
        <w:rPr>
          <w:rFonts w:hint="eastAsia" w:ascii="宋体" w:hAnsi="宋体" w:cs="宋体"/>
          <w:kern w:val="0"/>
          <w:sz w:val="24"/>
          <w:szCs w:val="24"/>
        </w:rPr>
        <w:t>为我公司参加贵方组织的</w:t>
      </w:r>
      <w:r>
        <w:rPr>
          <w:rFonts w:hint="eastAsia" w:ascii="宋体" w:hAnsi="宋体" w:cs="宋体"/>
          <w:kern w:val="0"/>
          <w:sz w:val="24"/>
          <w:szCs w:val="24"/>
          <w:u w:val="single"/>
        </w:rPr>
        <w:t xml:space="preserve">     XX项目      </w:t>
      </w:r>
      <w:r>
        <w:rPr>
          <w:rFonts w:hint="eastAsia" w:ascii="宋体" w:hAnsi="宋体" w:cs="宋体"/>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委托期限：</w:t>
      </w:r>
      <w:r>
        <w:rPr>
          <w:rFonts w:hint="eastAsia" w:ascii="宋体" w:hAnsi="宋体" w:cs="宋体"/>
          <w:kern w:val="0"/>
          <w:sz w:val="24"/>
          <w:szCs w:val="24"/>
          <w:u w:val="single"/>
        </w:rPr>
        <w:t>20XX  年X 月 X 日至 20XX  年 X 月 X 日</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代理人无转委托权，特此委托。</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代理人姓名：</w:t>
      </w:r>
      <w:r>
        <w:rPr>
          <w:rFonts w:hint="eastAsia" w:ascii="宋体" w:hAnsi="宋体" w:cs="宋体"/>
          <w:kern w:val="0"/>
          <w:sz w:val="24"/>
          <w:szCs w:val="24"/>
          <w:u w:val="single"/>
        </w:rPr>
        <w:t xml:space="preserve">       </w:t>
      </w:r>
      <w:r>
        <w:rPr>
          <w:rFonts w:hint="eastAsia" w:ascii="宋体" w:hAnsi="宋体" w:cs="宋体"/>
          <w:kern w:val="0"/>
          <w:sz w:val="24"/>
          <w:szCs w:val="24"/>
        </w:rPr>
        <w:t xml:space="preserve">   性别： </w:t>
      </w:r>
      <w:r>
        <w:rPr>
          <w:rFonts w:hint="eastAsia" w:ascii="宋体" w:hAnsi="宋体" w:cs="宋体"/>
          <w:kern w:val="0"/>
          <w:sz w:val="24"/>
          <w:szCs w:val="24"/>
          <w:u w:val="single"/>
        </w:rPr>
        <w:t xml:space="preserve">      </w:t>
      </w:r>
      <w:r>
        <w:rPr>
          <w:rFonts w:hint="eastAsia" w:ascii="宋体" w:hAnsi="宋体" w:cs="宋体"/>
          <w:kern w:val="0"/>
          <w:sz w:val="24"/>
          <w:szCs w:val="24"/>
        </w:rPr>
        <w:t xml:space="preserve">    年龄： </w:t>
      </w:r>
      <w:r>
        <w:rPr>
          <w:rFonts w:hint="eastAsia" w:ascii="宋体" w:hAnsi="宋体" w:cs="宋体"/>
          <w:kern w:val="0"/>
          <w:sz w:val="24"/>
          <w:szCs w:val="24"/>
          <w:u w:val="single"/>
        </w:rPr>
        <w:t xml:space="preserve">      </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身份证号码：</w:t>
      </w:r>
      <w:r>
        <w:rPr>
          <w:rFonts w:hint="eastAsia" w:ascii="宋体" w:hAnsi="宋体" w:cs="宋体"/>
          <w:kern w:val="0"/>
          <w:sz w:val="24"/>
          <w:szCs w:val="24"/>
          <w:u w:val="single"/>
        </w:rPr>
        <w:t xml:space="preserve">                    </w:t>
      </w:r>
      <w:r>
        <w:rPr>
          <w:rFonts w:hint="eastAsia" w:ascii="宋体" w:hAnsi="宋体" w:cs="宋体"/>
          <w:kern w:val="0"/>
          <w:sz w:val="24"/>
          <w:szCs w:val="24"/>
        </w:rPr>
        <w:t xml:space="preserve">  职务： </w:t>
      </w:r>
      <w:r>
        <w:rPr>
          <w:rFonts w:hint="eastAsia" w:ascii="宋体" w:hAnsi="宋体" w:cs="宋体"/>
          <w:kern w:val="0"/>
          <w:sz w:val="24"/>
          <w:szCs w:val="24"/>
          <w:u w:val="single"/>
        </w:rPr>
        <w:t xml:space="preserve">       </w:t>
      </w:r>
      <w:r>
        <w:rPr>
          <w:rFonts w:hint="eastAsia" w:ascii="宋体" w:hAnsi="宋体" w:cs="宋体"/>
          <w:kern w:val="0"/>
          <w:sz w:val="24"/>
          <w:szCs w:val="24"/>
        </w:rPr>
        <w:t xml:space="preserve">    </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投标人名称：（盖单位公章）</w:t>
      </w:r>
    </w:p>
    <w:p>
      <w:pPr>
        <w:spacing w:line="360" w:lineRule="auto"/>
        <w:ind w:firstLine="480" w:firstLineChars="200"/>
        <w:rPr>
          <w:rFonts w:ascii="宋体" w:hAnsi="宋体" w:cs="宋体"/>
          <w:kern w:val="0"/>
          <w:sz w:val="24"/>
          <w:szCs w:val="24"/>
        </w:rPr>
      </w:pPr>
      <w:r>
        <w:rPr>
          <w:rFonts w:hint="eastAsia" w:ascii="宋体" w:hAnsi="宋体" w:cs="宋体"/>
          <w:kern w:val="0"/>
          <w:sz w:val="24"/>
          <w:szCs w:val="24"/>
        </w:rPr>
        <w:t>法定代表人：（签字）</w:t>
      </w:r>
    </w:p>
    <w:p>
      <w:pPr>
        <w:spacing w:line="360" w:lineRule="auto"/>
        <w:ind w:firstLine="480" w:firstLineChars="200"/>
        <w:rPr>
          <w:rFonts w:ascii="宋体" w:hAnsi="宋体" w:cs="宋体"/>
          <w:kern w:val="0"/>
          <w:sz w:val="24"/>
          <w:szCs w:val="24"/>
        </w:rPr>
      </w:pPr>
    </w:p>
    <w:p>
      <w:pPr>
        <w:adjustRightInd w:val="0"/>
        <w:spacing w:line="480" w:lineRule="exact"/>
        <w:jc w:val="left"/>
        <w:textAlignment w:val="baseline"/>
        <w:rPr>
          <w:rFonts w:ascii="宋体" w:hAnsi="宋体" w:cs="宋体"/>
          <w:b/>
          <w:kern w:val="0"/>
          <w:sz w:val="24"/>
          <w:szCs w:val="24"/>
        </w:rPr>
      </w:pPr>
      <w:r>
        <w:rPr>
          <w:rFonts w:hint="eastAsia" w:ascii="宋体" w:hAnsi="宋体" w:cs="宋体"/>
          <w:b/>
          <w:kern w:val="0"/>
          <w:sz w:val="24"/>
          <w:szCs w:val="24"/>
        </w:rPr>
        <w:t>附被授权人有效的身份证正反两面复印件</w:t>
      </w:r>
    </w:p>
    <w:p>
      <w:pPr>
        <w:spacing w:line="360" w:lineRule="auto"/>
        <w:rPr>
          <w:rFonts w:ascii="宋体" w:hAnsi="宋体" w:cs="宋体"/>
          <w:kern w:val="0"/>
          <w:szCs w:val="21"/>
        </w:rPr>
      </w:pPr>
    </w:p>
    <w:p>
      <w:pPr>
        <w:spacing w:line="360" w:lineRule="auto"/>
        <w:rPr>
          <w:rFonts w:ascii="宋体" w:hAnsi="宋体" w:cs="宋体"/>
          <w:kern w:val="0"/>
          <w:szCs w:val="21"/>
        </w:rPr>
      </w:pPr>
    </w:p>
    <w:p>
      <w:pPr>
        <w:rPr>
          <w:rFonts w:cs="宋体" w:asciiTheme="minorEastAsia" w:hAnsiTheme="minorEastAsia" w:eastAsiaTheme="minorEastAsia"/>
          <w:b/>
          <w:bCs/>
          <w:color w:val="FF0000"/>
          <w:sz w:val="24"/>
          <w:szCs w:val="24"/>
        </w:rPr>
      </w:pPr>
      <w:r>
        <w:rPr>
          <w:rFonts w:hint="eastAsia" w:cs="宋体" w:asciiTheme="minorEastAsia" w:hAnsiTheme="minorEastAsia" w:eastAsiaTheme="minorEastAsia"/>
          <w:b/>
          <w:bCs/>
          <w:color w:val="FF0000"/>
          <w:sz w:val="24"/>
          <w:szCs w:val="24"/>
        </w:rPr>
        <w:br w:type="page"/>
      </w: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5</w:t>
      </w:r>
    </w:p>
    <w:p>
      <w:pPr>
        <w:pStyle w:val="13"/>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商务条款偏离表</w:t>
      </w:r>
    </w:p>
    <w:tbl>
      <w:tblPr>
        <w:tblStyle w:val="2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4140"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554"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30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24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ind w:firstLine="240" w:firstLineChars="100"/>
        <w:rPr>
          <w:rFonts w:asciiTheme="minorEastAsia" w:hAnsiTheme="minorEastAsia" w:eastAsiaTheme="minorEastAsia"/>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为避免歧义，无偏离也应要提报该表，并注明“无”字。如无该表则即使在其它部分已反映，将也被视为“无偏离”。</w:t>
      </w:r>
    </w:p>
    <w:p>
      <w:pPr>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6</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技术规格、参数偏离表</w:t>
      </w:r>
    </w:p>
    <w:tbl>
      <w:tblPr>
        <w:tblStyle w:val="2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3971"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723"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89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c>
          <w:tcPr>
            <w:tcW w:w="111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613"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rPr>
          <w:rFonts w:asciiTheme="minorEastAsia" w:hAnsiTheme="minorEastAsia" w:eastAsiaTheme="minorEastAsia"/>
          <w:b/>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即使投标人在《技术性能、参数的详细描述》中进行了描述，也要提报该表，</w:t>
      </w:r>
      <w:r>
        <w:rPr>
          <w:rFonts w:hint="eastAsia" w:asciiTheme="minorEastAsia" w:hAnsiTheme="minorEastAsia" w:eastAsiaTheme="minorEastAsia"/>
          <w:b/>
          <w:color w:val="000000"/>
          <w:sz w:val="24"/>
          <w:szCs w:val="24"/>
        </w:rPr>
        <w:t>无该表则被视为“无偏离”。</w:t>
      </w:r>
      <w:r>
        <w:rPr>
          <w:rFonts w:hint="eastAsia" w:asciiTheme="minorEastAsia" w:hAnsiTheme="minorEastAsia" w:eastAsiaTheme="minorEastAsia"/>
          <w:color w:val="000000"/>
          <w:sz w:val="24"/>
          <w:szCs w:val="24"/>
        </w:rPr>
        <w:t>如无偏离注明“无”字。</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7</w:t>
      </w:r>
    </w:p>
    <w:p>
      <w:pPr>
        <w:jc w:val="cente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免费增值服务</w:t>
      </w:r>
    </w:p>
    <w:tbl>
      <w:tblPr>
        <w:tblStyle w:val="29"/>
        <w:tblW w:w="0" w:type="auto"/>
        <w:tblInd w:w="1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099"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格式自拟</w:t>
            </w: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tc>
      </w:tr>
    </w:tbl>
    <w:p>
      <w:pPr>
        <w:rPr>
          <w:rFonts w:asciiTheme="minorEastAsia" w:hAnsiTheme="minorEastAsia" w:eastAsiaTheme="minorEastAsia"/>
          <w:sz w:val="24"/>
          <w:szCs w:val="24"/>
        </w:rPr>
      </w:pP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                   授权代表签字：                  日期：</w:t>
      </w:r>
    </w:p>
    <w:p>
      <w:pPr>
        <w:ind w:firstLine="1928" w:firstLineChars="800"/>
        <w:outlineLvl w:val="0"/>
        <w:rPr>
          <w:rFonts w:asciiTheme="minorEastAsia" w:hAnsiTheme="minorEastAsia" w:eastAsiaTheme="minorEastAsia"/>
          <w:b/>
          <w:bCs/>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pStyle w:val="10"/>
        <w:rPr>
          <w:rFonts w:cs="宋体" w:asciiTheme="minorEastAsia" w:hAnsiTheme="minorEastAsia" w:eastAsiaTheme="minorEastAsia"/>
          <w:b/>
          <w:bCs/>
          <w:color w:val="000000"/>
          <w:sz w:val="24"/>
          <w:szCs w:val="24"/>
        </w:rPr>
      </w:pPr>
    </w:p>
    <w:p>
      <w:pPr>
        <w:pStyle w:val="10"/>
        <w:rPr>
          <w:rFonts w:cs="宋体" w:asciiTheme="minorEastAsia" w:hAnsiTheme="minorEastAsia" w:eastAsiaTheme="minorEastAsia"/>
          <w:b/>
          <w:bCs/>
          <w:color w:val="000000"/>
          <w:sz w:val="24"/>
          <w:szCs w:val="24"/>
        </w:rPr>
      </w:pPr>
    </w:p>
    <w:p>
      <w:pPr>
        <w:pStyle w:val="10"/>
        <w:rPr>
          <w:rFonts w:cs="宋体" w:asciiTheme="minorEastAsia" w:hAnsiTheme="minorEastAsia" w:eastAsiaTheme="minorEastAsia"/>
          <w:b/>
          <w:bCs/>
          <w:color w:val="000000"/>
          <w:sz w:val="24"/>
          <w:szCs w:val="24"/>
        </w:rPr>
      </w:pPr>
    </w:p>
    <w:p>
      <w:pPr>
        <w:pStyle w:val="10"/>
        <w:rPr>
          <w:rFonts w:cs="宋体" w:asciiTheme="minorEastAsia" w:hAnsiTheme="minorEastAsia" w:eastAsiaTheme="minorEastAsia"/>
          <w:b/>
          <w:bCs/>
          <w:color w:val="000000"/>
          <w:sz w:val="24"/>
          <w:szCs w:val="24"/>
        </w:rPr>
      </w:pPr>
    </w:p>
    <w:p>
      <w:pPr>
        <w:pStyle w:val="13"/>
        <w:spacing w:line="360" w:lineRule="auto"/>
        <w:jc w:val="cente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b/>
          <w:sz w:val="24"/>
          <w:szCs w:val="24"/>
        </w:rPr>
      </w:pPr>
    </w:p>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nsolas">
    <w:panose1 w:val="020B0609020204030204"/>
    <w:charset w:val="00"/>
    <w:family w:val="auto"/>
    <w:pitch w:val="default"/>
    <w:sig w:usb0="E00006FF" w:usb1="0000FCFF" w:usb2="00000001" w:usb3="00000000" w:csb0="6000019F" w:csb1="DFD7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MISMMT+ËÎÌå">
    <w:altName w:val="Arial Unicode MS"/>
    <w:panose1 w:val="00000000000000000000"/>
    <w:charset w:val="01"/>
    <w:family w:val="auto"/>
    <w:pitch w:val="default"/>
    <w:sig w:usb0="00000000" w:usb1="00000000" w:usb2="01010101" w:usb3="01010101" w:csb0="01010101" w:csb1="01010101"/>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t>37</w:t>
                          </w:r>
                          <w:r>
                            <w:rPr>
                              <w:rFonts w:hint="eastAsia"/>
                            </w:rP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t>37</w:t>
                    </w:r>
                    <w:r>
                      <w:rPr>
                        <w:rFonts w:hint="eastAsia"/>
                      </w:rPr>
                      <w:fldChar w:fldCharType="end"/>
                    </w:r>
                    <w:r>
                      <w:rPr>
                        <w:rFonts w:hint="eastAsia"/>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34</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t>37</w:t>
                          </w:r>
                          <w:r>
                            <w:rPr>
                              <w:rFonts w:hint="eastAsia"/>
                            </w:rP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34</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t>37</w:t>
                    </w:r>
                    <w:r>
                      <w:rPr>
                        <w:rFonts w:hint="eastAsia"/>
                      </w:rP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ind w:firstLine="120" w:firstLineChars="50"/>
      <w:jc w:val="left"/>
      <w:rPr>
        <w:sz w:val="24"/>
        <w:szCs w:val="24"/>
      </w:rPr>
    </w:pPr>
  </w:p>
  <w:p>
    <w:pPr>
      <w:pStyle w:val="19"/>
      <w:pBdr>
        <w:bottom w:val="none" w:color="auto" w:sz="0" w:space="0"/>
      </w:pBdr>
    </w:pPr>
  </w:p>
  <w:p>
    <w:pPr>
      <w:pStyle w:val="19"/>
      <w:pBdr>
        <w:bottom w:val="none" w:color="auto" w:sz="0" w:space="0"/>
      </w:pBdr>
      <w:ind w:right="-483" w:rightChars="-23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jc w:val="both"/>
      <w:rPr>
        <w:sz w:val="24"/>
        <w:szCs w:val="24"/>
      </w:rPr>
    </w:pPr>
  </w:p>
  <w:p>
    <w:pPr>
      <w:pStyle w:val="19"/>
      <w:pBdr>
        <w:bottom w:val="none" w:color="auto" w:sz="0" w:space="0"/>
      </w:pBdr>
      <w:jc w:val="both"/>
      <w:rPr>
        <w:sz w:val="24"/>
        <w:szCs w:val="24"/>
      </w:rPr>
    </w:pPr>
  </w:p>
  <w:p>
    <w:pPr>
      <w:pStyle w:val="19"/>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
    <w:nsid w:val="319C58FA"/>
    <w:multiLevelType w:val="multilevel"/>
    <w:tmpl w:val="319C58FA"/>
    <w:lvl w:ilvl="0" w:tentative="0">
      <w:start w:val="1"/>
      <w:numFmt w:val="decimal"/>
      <w:lvlText w:val="（%1）"/>
      <w:lvlJc w:val="left"/>
      <w:pPr>
        <w:ind w:left="1270" w:hanging="420"/>
      </w:pPr>
      <w:rPr>
        <w:b w:val="0"/>
        <w:color w:val="auto"/>
      </w:rPr>
    </w:lvl>
    <w:lvl w:ilvl="1" w:tentative="0">
      <w:start w:val="1"/>
      <w:numFmt w:val="lowerLetter"/>
      <w:lvlText w:val="%2)"/>
      <w:lvlJc w:val="left"/>
      <w:pPr>
        <w:ind w:left="1690" w:hanging="420"/>
      </w:pPr>
    </w:lvl>
    <w:lvl w:ilvl="2" w:tentative="0">
      <w:start w:val="1"/>
      <w:numFmt w:val="lowerRoman"/>
      <w:lvlText w:val="%3."/>
      <w:lvlJc w:val="right"/>
      <w:pPr>
        <w:ind w:left="2110" w:hanging="420"/>
      </w:pPr>
    </w:lvl>
    <w:lvl w:ilvl="3" w:tentative="0">
      <w:start w:val="1"/>
      <w:numFmt w:val="decimal"/>
      <w:lvlText w:val="%4."/>
      <w:lvlJc w:val="left"/>
      <w:pPr>
        <w:ind w:left="2530" w:hanging="420"/>
      </w:pPr>
    </w:lvl>
    <w:lvl w:ilvl="4" w:tentative="0">
      <w:start w:val="1"/>
      <w:numFmt w:val="lowerLetter"/>
      <w:lvlText w:val="%5)"/>
      <w:lvlJc w:val="left"/>
      <w:pPr>
        <w:ind w:left="2950" w:hanging="420"/>
      </w:pPr>
    </w:lvl>
    <w:lvl w:ilvl="5" w:tentative="0">
      <w:start w:val="1"/>
      <w:numFmt w:val="lowerRoman"/>
      <w:lvlText w:val="%6."/>
      <w:lvlJc w:val="right"/>
      <w:pPr>
        <w:ind w:left="3370" w:hanging="420"/>
      </w:pPr>
    </w:lvl>
    <w:lvl w:ilvl="6" w:tentative="0">
      <w:start w:val="1"/>
      <w:numFmt w:val="decimal"/>
      <w:lvlText w:val="%7."/>
      <w:lvlJc w:val="left"/>
      <w:pPr>
        <w:ind w:left="3790" w:hanging="420"/>
      </w:pPr>
    </w:lvl>
    <w:lvl w:ilvl="7" w:tentative="0">
      <w:start w:val="1"/>
      <w:numFmt w:val="lowerLetter"/>
      <w:lvlText w:val="%8)"/>
      <w:lvlJc w:val="left"/>
      <w:pPr>
        <w:ind w:left="4210" w:hanging="420"/>
      </w:pPr>
    </w:lvl>
    <w:lvl w:ilvl="8" w:tentative="0">
      <w:start w:val="1"/>
      <w:numFmt w:val="lowerRoman"/>
      <w:lvlText w:val="%9."/>
      <w:lvlJc w:val="right"/>
      <w:pPr>
        <w:ind w:left="4630" w:hanging="420"/>
      </w:pPr>
    </w:lvl>
  </w:abstractNum>
  <w:abstractNum w:abstractNumId="2">
    <w:nsid w:val="65510F80"/>
    <w:multiLevelType w:val="multilevel"/>
    <w:tmpl w:val="65510F80"/>
    <w:lvl w:ilvl="0" w:tentative="0">
      <w:start w:val="1"/>
      <w:numFmt w:val="decimal"/>
      <w:lvlText w:val="（%1）"/>
      <w:lvlJc w:val="left"/>
      <w:pPr>
        <w:ind w:left="987"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70629166"/>
    <w:multiLevelType w:val="singleLevel"/>
    <w:tmpl w:val="70629166"/>
    <w:lvl w:ilvl="0" w:tentative="0">
      <w:start w:val="2"/>
      <w:numFmt w:val="chineseCounting"/>
      <w:suff w:val="nothing"/>
      <w:lvlText w:val="%1、"/>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hYmRhNzNkYzMzNGJlMTJlNGRjYzUzM2Q2ZGI5MDYifQ=="/>
  </w:docVars>
  <w:rsids>
    <w:rsidRoot w:val="003447BF"/>
    <w:rsid w:val="0000048D"/>
    <w:rsid w:val="000014D3"/>
    <w:rsid w:val="00001DCB"/>
    <w:rsid w:val="000056AD"/>
    <w:rsid w:val="00005AF4"/>
    <w:rsid w:val="00006391"/>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7C81"/>
    <w:rsid w:val="000940E3"/>
    <w:rsid w:val="00094EC9"/>
    <w:rsid w:val="0009713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28DF"/>
    <w:rsid w:val="00124193"/>
    <w:rsid w:val="00124801"/>
    <w:rsid w:val="00124DC8"/>
    <w:rsid w:val="0012571D"/>
    <w:rsid w:val="001258FA"/>
    <w:rsid w:val="001267A2"/>
    <w:rsid w:val="00126B3C"/>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5247"/>
    <w:rsid w:val="00215597"/>
    <w:rsid w:val="002157D9"/>
    <w:rsid w:val="0021644E"/>
    <w:rsid w:val="00216AA3"/>
    <w:rsid w:val="002178FD"/>
    <w:rsid w:val="00223BB6"/>
    <w:rsid w:val="00223FED"/>
    <w:rsid w:val="002272FC"/>
    <w:rsid w:val="0023111B"/>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45EC"/>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142B"/>
    <w:rsid w:val="003A1BFD"/>
    <w:rsid w:val="003A22A0"/>
    <w:rsid w:val="003A3633"/>
    <w:rsid w:val="003A5AB3"/>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3ACC"/>
    <w:rsid w:val="004843CF"/>
    <w:rsid w:val="00484890"/>
    <w:rsid w:val="00484DAB"/>
    <w:rsid w:val="00484DBA"/>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A26"/>
    <w:rsid w:val="005023A3"/>
    <w:rsid w:val="0050287F"/>
    <w:rsid w:val="00505662"/>
    <w:rsid w:val="00506771"/>
    <w:rsid w:val="00506F0F"/>
    <w:rsid w:val="00507DB0"/>
    <w:rsid w:val="005108CD"/>
    <w:rsid w:val="00513345"/>
    <w:rsid w:val="00513892"/>
    <w:rsid w:val="00515BAC"/>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7577"/>
    <w:rsid w:val="00537F86"/>
    <w:rsid w:val="005404C5"/>
    <w:rsid w:val="00541DDC"/>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62330"/>
    <w:rsid w:val="007645E6"/>
    <w:rsid w:val="00765AEA"/>
    <w:rsid w:val="00767466"/>
    <w:rsid w:val="00770C5D"/>
    <w:rsid w:val="00771D1F"/>
    <w:rsid w:val="007731F9"/>
    <w:rsid w:val="0077359E"/>
    <w:rsid w:val="0077395B"/>
    <w:rsid w:val="00775035"/>
    <w:rsid w:val="007765BE"/>
    <w:rsid w:val="00780B4F"/>
    <w:rsid w:val="007832E9"/>
    <w:rsid w:val="007834B6"/>
    <w:rsid w:val="00785913"/>
    <w:rsid w:val="0078746D"/>
    <w:rsid w:val="00791646"/>
    <w:rsid w:val="00792CAB"/>
    <w:rsid w:val="00792E85"/>
    <w:rsid w:val="00793075"/>
    <w:rsid w:val="007945B4"/>
    <w:rsid w:val="0079782D"/>
    <w:rsid w:val="00797BFF"/>
    <w:rsid w:val="007A0A05"/>
    <w:rsid w:val="007A1B56"/>
    <w:rsid w:val="007A2423"/>
    <w:rsid w:val="007A353D"/>
    <w:rsid w:val="007A3655"/>
    <w:rsid w:val="007A59E0"/>
    <w:rsid w:val="007A5DEE"/>
    <w:rsid w:val="007A7635"/>
    <w:rsid w:val="007B1422"/>
    <w:rsid w:val="007B1F2F"/>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CA4"/>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F38"/>
    <w:rsid w:val="009E7D7C"/>
    <w:rsid w:val="009F0847"/>
    <w:rsid w:val="009F11E8"/>
    <w:rsid w:val="009F13D0"/>
    <w:rsid w:val="009F25B4"/>
    <w:rsid w:val="009F4365"/>
    <w:rsid w:val="009F5980"/>
    <w:rsid w:val="009F5A22"/>
    <w:rsid w:val="009F731B"/>
    <w:rsid w:val="00A0031F"/>
    <w:rsid w:val="00A0114B"/>
    <w:rsid w:val="00A0228D"/>
    <w:rsid w:val="00A056D2"/>
    <w:rsid w:val="00A07ECF"/>
    <w:rsid w:val="00A12DFF"/>
    <w:rsid w:val="00A17255"/>
    <w:rsid w:val="00A17D91"/>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A4D"/>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2D40"/>
    <w:rsid w:val="00DF327A"/>
    <w:rsid w:val="00DF3EF4"/>
    <w:rsid w:val="00DF456A"/>
    <w:rsid w:val="00DF6006"/>
    <w:rsid w:val="00DF6524"/>
    <w:rsid w:val="00DF70B2"/>
    <w:rsid w:val="00E029F3"/>
    <w:rsid w:val="00E02DC4"/>
    <w:rsid w:val="00E03B72"/>
    <w:rsid w:val="00E03E1B"/>
    <w:rsid w:val="00E04B8F"/>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4151"/>
    <w:rsid w:val="00E47292"/>
    <w:rsid w:val="00E51726"/>
    <w:rsid w:val="00E53D36"/>
    <w:rsid w:val="00E55665"/>
    <w:rsid w:val="00E55E00"/>
    <w:rsid w:val="00E56053"/>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11AE"/>
    <w:rsid w:val="00F54902"/>
    <w:rsid w:val="00F5525A"/>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745"/>
    <w:rsid w:val="00FD5AF8"/>
    <w:rsid w:val="00FD6AA4"/>
    <w:rsid w:val="00FE0A0D"/>
    <w:rsid w:val="00FE2E63"/>
    <w:rsid w:val="00FE3F71"/>
    <w:rsid w:val="00FE4904"/>
    <w:rsid w:val="00FE5BE7"/>
    <w:rsid w:val="00FF171D"/>
    <w:rsid w:val="00FF3C9E"/>
    <w:rsid w:val="00FF47F0"/>
    <w:rsid w:val="00FF64DB"/>
    <w:rsid w:val="00FF73E4"/>
    <w:rsid w:val="00FF766B"/>
    <w:rsid w:val="00FF7D8A"/>
    <w:rsid w:val="01DE1E15"/>
    <w:rsid w:val="01E97279"/>
    <w:rsid w:val="02261EDC"/>
    <w:rsid w:val="030E73CB"/>
    <w:rsid w:val="032936F6"/>
    <w:rsid w:val="032A1114"/>
    <w:rsid w:val="05041D30"/>
    <w:rsid w:val="051D7089"/>
    <w:rsid w:val="05800A23"/>
    <w:rsid w:val="05950A57"/>
    <w:rsid w:val="064641C0"/>
    <w:rsid w:val="06F166A4"/>
    <w:rsid w:val="070F0B4C"/>
    <w:rsid w:val="073B197D"/>
    <w:rsid w:val="07A0617E"/>
    <w:rsid w:val="08B8339F"/>
    <w:rsid w:val="08E46EA7"/>
    <w:rsid w:val="0A945188"/>
    <w:rsid w:val="0B080929"/>
    <w:rsid w:val="0B7D4ED7"/>
    <w:rsid w:val="0C3F68B0"/>
    <w:rsid w:val="0F032044"/>
    <w:rsid w:val="0F111C74"/>
    <w:rsid w:val="0F4C1435"/>
    <w:rsid w:val="0FCE2BD0"/>
    <w:rsid w:val="102C480D"/>
    <w:rsid w:val="103A5EEF"/>
    <w:rsid w:val="114E78A3"/>
    <w:rsid w:val="127114D8"/>
    <w:rsid w:val="127A3258"/>
    <w:rsid w:val="129B20D8"/>
    <w:rsid w:val="13CB0BF4"/>
    <w:rsid w:val="13DA0EB3"/>
    <w:rsid w:val="1421626D"/>
    <w:rsid w:val="14A26217"/>
    <w:rsid w:val="15E14CA2"/>
    <w:rsid w:val="16B458A5"/>
    <w:rsid w:val="16BA73B4"/>
    <w:rsid w:val="16E536EF"/>
    <w:rsid w:val="17F804C8"/>
    <w:rsid w:val="188716C4"/>
    <w:rsid w:val="19086F4B"/>
    <w:rsid w:val="19803D18"/>
    <w:rsid w:val="198C435F"/>
    <w:rsid w:val="1A22456D"/>
    <w:rsid w:val="1B7B1CF8"/>
    <w:rsid w:val="1B8F50ED"/>
    <w:rsid w:val="1BCF41AF"/>
    <w:rsid w:val="1C956D37"/>
    <w:rsid w:val="1CF939F3"/>
    <w:rsid w:val="1D7E7C3A"/>
    <w:rsid w:val="1E341DB9"/>
    <w:rsid w:val="1E562C25"/>
    <w:rsid w:val="1EAB1C04"/>
    <w:rsid w:val="1EFA1543"/>
    <w:rsid w:val="1F901064"/>
    <w:rsid w:val="20495B0A"/>
    <w:rsid w:val="210E2383"/>
    <w:rsid w:val="21261724"/>
    <w:rsid w:val="21B0162B"/>
    <w:rsid w:val="23FA7D8F"/>
    <w:rsid w:val="24137107"/>
    <w:rsid w:val="243A07DB"/>
    <w:rsid w:val="2583016A"/>
    <w:rsid w:val="258A48BE"/>
    <w:rsid w:val="25BE0023"/>
    <w:rsid w:val="25E5250A"/>
    <w:rsid w:val="2649132F"/>
    <w:rsid w:val="26513373"/>
    <w:rsid w:val="266F2095"/>
    <w:rsid w:val="26E85BC3"/>
    <w:rsid w:val="27F272B5"/>
    <w:rsid w:val="27F31520"/>
    <w:rsid w:val="283C5EAB"/>
    <w:rsid w:val="28D23E26"/>
    <w:rsid w:val="296D209B"/>
    <w:rsid w:val="299568DC"/>
    <w:rsid w:val="29E87E8F"/>
    <w:rsid w:val="2A077209"/>
    <w:rsid w:val="2B1541E7"/>
    <w:rsid w:val="2B521AA4"/>
    <w:rsid w:val="2B732DA8"/>
    <w:rsid w:val="2B983CA3"/>
    <w:rsid w:val="2C5524AE"/>
    <w:rsid w:val="2D6637D7"/>
    <w:rsid w:val="2E766A63"/>
    <w:rsid w:val="2EE265FC"/>
    <w:rsid w:val="2F087DC3"/>
    <w:rsid w:val="2F1E66AB"/>
    <w:rsid w:val="2F3B515C"/>
    <w:rsid w:val="2F593F96"/>
    <w:rsid w:val="303F14FD"/>
    <w:rsid w:val="315A516E"/>
    <w:rsid w:val="315F4B0F"/>
    <w:rsid w:val="319D6E9C"/>
    <w:rsid w:val="31E55B89"/>
    <w:rsid w:val="31E81A6A"/>
    <w:rsid w:val="31F1119C"/>
    <w:rsid w:val="322F72FD"/>
    <w:rsid w:val="32786EF6"/>
    <w:rsid w:val="32A94A90"/>
    <w:rsid w:val="330E33B7"/>
    <w:rsid w:val="33D978C5"/>
    <w:rsid w:val="340838AC"/>
    <w:rsid w:val="34202321"/>
    <w:rsid w:val="34DF14AF"/>
    <w:rsid w:val="358E6221"/>
    <w:rsid w:val="35BC7697"/>
    <w:rsid w:val="36154BBA"/>
    <w:rsid w:val="36EB31B7"/>
    <w:rsid w:val="37B042FB"/>
    <w:rsid w:val="38370E25"/>
    <w:rsid w:val="38425956"/>
    <w:rsid w:val="38622F16"/>
    <w:rsid w:val="38624702"/>
    <w:rsid w:val="39E040A5"/>
    <w:rsid w:val="3A790FC2"/>
    <w:rsid w:val="3ABA71D3"/>
    <w:rsid w:val="3B42216A"/>
    <w:rsid w:val="3B822B94"/>
    <w:rsid w:val="3CAD4CD2"/>
    <w:rsid w:val="3CD1065D"/>
    <w:rsid w:val="3CD218F9"/>
    <w:rsid w:val="3D803B14"/>
    <w:rsid w:val="417377D2"/>
    <w:rsid w:val="421529C5"/>
    <w:rsid w:val="423C06B2"/>
    <w:rsid w:val="42DD30EA"/>
    <w:rsid w:val="42F45269"/>
    <w:rsid w:val="431E6016"/>
    <w:rsid w:val="43364782"/>
    <w:rsid w:val="43CE7653"/>
    <w:rsid w:val="44405E5D"/>
    <w:rsid w:val="44E91969"/>
    <w:rsid w:val="450F5BA1"/>
    <w:rsid w:val="45346C28"/>
    <w:rsid w:val="45890471"/>
    <w:rsid w:val="45D62EC8"/>
    <w:rsid w:val="46237806"/>
    <w:rsid w:val="46C55A23"/>
    <w:rsid w:val="47AD2BC5"/>
    <w:rsid w:val="4866712F"/>
    <w:rsid w:val="48BB14A6"/>
    <w:rsid w:val="490073E8"/>
    <w:rsid w:val="49615088"/>
    <w:rsid w:val="49F730C9"/>
    <w:rsid w:val="4B201A81"/>
    <w:rsid w:val="4B5135E7"/>
    <w:rsid w:val="4C5E6928"/>
    <w:rsid w:val="4C894DFB"/>
    <w:rsid w:val="4CB66B41"/>
    <w:rsid w:val="4D2A5E68"/>
    <w:rsid w:val="4DE52E32"/>
    <w:rsid w:val="4E077B10"/>
    <w:rsid w:val="4EA75B41"/>
    <w:rsid w:val="4EDD44AD"/>
    <w:rsid w:val="4F961996"/>
    <w:rsid w:val="4FAE1755"/>
    <w:rsid w:val="4FD95020"/>
    <w:rsid w:val="4FED27B5"/>
    <w:rsid w:val="50D43E40"/>
    <w:rsid w:val="51255170"/>
    <w:rsid w:val="51E52971"/>
    <w:rsid w:val="51F14779"/>
    <w:rsid w:val="51FF0643"/>
    <w:rsid w:val="52740606"/>
    <w:rsid w:val="52BE2791"/>
    <w:rsid w:val="54383ABB"/>
    <w:rsid w:val="54A17506"/>
    <w:rsid w:val="55553EAD"/>
    <w:rsid w:val="55637075"/>
    <w:rsid w:val="55D450FB"/>
    <w:rsid w:val="56673795"/>
    <w:rsid w:val="56FF545E"/>
    <w:rsid w:val="571070B5"/>
    <w:rsid w:val="573542E3"/>
    <w:rsid w:val="58BE2B52"/>
    <w:rsid w:val="5933000A"/>
    <w:rsid w:val="59B956C7"/>
    <w:rsid w:val="5AA951FB"/>
    <w:rsid w:val="5AE00D43"/>
    <w:rsid w:val="5B09785F"/>
    <w:rsid w:val="5B306813"/>
    <w:rsid w:val="5BE44133"/>
    <w:rsid w:val="5C0779F3"/>
    <w:rsid w:val="5C44724A"/>
    <w:rsid w:val="5D07748F"/>
    <w:rsid w:val="5D3B6BA3"/>
    <w:rsid w:val="5D8D3742"/>
    <w:rsid w:val="5E1A5B43"/>
    <w:rsid w:val="5EB5483E"/>
    <w:rsid w:val="5ECE61CF"/>
    <w:rsid w:val="5F846534"/>
    <w:rsid w:val="61DC274E"/>
    <w:rsid w:val="61E810F3"/>
    <w:rsid w:val="625D0ED5"/>
    <w:rsid w:val="62AB6CDD"/>
    <w:rsid w:val="62CB0B21"/>
    <w:rsid w:val="62FD5F8C"/>
    <w:rsid w:val="63A76343"/>
    <w:rsid w:val="643471ED"/>
    <w:rsid w:val="64446389"/>
    <w:rsid w:val="64C708FC"/>
    <w:rsid w:val="65B634A1"/>
    <w:rsid w:val="660D28EF"/>
    <w:rsid w:val="668D44AD"/>
    <w:rsid w:val="66AE6241"/>
    <w:rsid w:val="6807406E"/>
    <w:rsid w:val="683D5FB1"/>
    <w:rsid w:val="68BB67E1"/>
    <w:rsid w:val="690A2DCA"/>
    <w:rsid w:val="692234A1"/>
    <w:rsid w:val="694D5E9B"/>
    <w:rsid w:val="696077C1"/>
    <w:rsid w:val="6971329D"/>
    <w:rsid w:val="6A306848"/>
    <w:rsid w:val="6A36449F"/>
    <w:rsid w:val="6A497A37"/>
    <w:rsid w:val="6ACB5AC8"/>
    <w:rsid w:val="6B1C23D3"/>
    <w:rsid w:val="6B1C3E67"/>
    <w:rsid w:val="6B7442D4"/>
    <w:rsid w:val="6B885F73"/>
    <w:rsid w:val="6C1D76C0"/>
    <w:rsid w:val="6CAB51F7"/>
    <w:rsid w:val="6CBF7D74"/>
    <w:rsid w:val="6CF52AD6"/>
    <w:rsid w:val="6CFF1222"/>
    <w:rsid w:val="6D3D497D"/>
    <w:rsid w:val="6E776E55"/>
    <w:rsid w:val="6EE52976"/>
    <w:rsid w:val="6F393B8A"/>
    <w:rsid w:val="6F4767E1"/>
    <w:rsid w:val="6FC446FE"/>
    <w:rsid w:val="70161521"/>
    <w:rsid w:val="70360599"/>
    <w:rsid w:val="70787D3E"/>
    <w:rsid w:val="713432E6"/>
    <w:rsid w:val="72F9486F"/>
    <w:rsid w:val="730C3E0A"/>
    <w:rsid w:val="73591E51"/>
    <w:rsid w:val="73FA5D53"/>
    <w:rsid w:val="740C55CD"/>
    <w:rsid w:val="74580397"/>
    <w:rsid w:val="755035C4"/>
    <w:rsid w:val="75CD318F"/>
    <w:rsid w:val="767E7731"/>
    <w:rsid w:val="76BB13D7"/>
    <w:rsid w:val="76FB1F6E"/>
    <w:rsid w:val="771A0B81"/>
    <w:rsid w:val="78BC288B"/>
    <w:rsid w:val="78DB2840"/>
    <w:rsid w:val="78DC26AE"/>
    <w:rsid w:val="793D4148"/>
    <w:rsid w:val="794408F6"/>
    <w:rsid w:val="79C96BF2"/>
    <w:rsid w:val="7A5421E3"/>
    <w:rsid w:val="7A796645"/>
    <w:rsid w:val="7B2256D3"/>
    <w:rsid w:val="7D860C2E"/>
    <w:rsid w:val="7DE05086"/>
    <w:rsid w:val="7E1A042F"/>
    <w:rsid w:val="7EC33B5B"/>
    <w:rsid w:val="7EE52116"/>
    <w:rsid w:val="7F296FB1"/>
    <w:rsid w:val="7F7233A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41"/>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42"/>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3"/>
    <w:qFormat/>
    <w:uiPriority w:val="0"/>
    <w:pPr>
      <w:shd w:val="clear" w:color="auto" w:fill="000080"/>
    </w:pPr>
    <w:rPr>
      <w:sz w:val="24"/>
      <w:szCs w:val="24"/>
    </w:rPr>
  </w:style>
  <w:style w:type="paragraph" w:styleId="9">
    <w:name w:val="annotation text"/>
    <w:basedOn w:val="1"/>
    <w:link w:val="44"/>
    <w:qFormat/>
    <w:uiPriority w:val="0"/>
    <w:pPr>
      <w:jc w:val="left"/>
    </w:pPr>
  </w:style>
  <w:style w:type="paragraph" w:styleId="10">
    <w:name w:val="Body Text"/>
    <w:basedOn w:val="1"/>
    <w:qFormat/>
    <w:uiPriority w:val="0"/>
    <w:rPr>
      <w:rFonts w:ascii="仿宋_GB2312" w:eastAsia="仿宋_GB2312"/>
      <w:sz w:val="32"/>
    </w:rPr>
  </w:style>
  <w:style w:type="paragraph" w:styleId="11">
    <w:name w:val="Body Text Indent"/>
    <w:basedOn w:val="1"/>
    <w:qFormat/>
    <w:uiPriority w:val="0"/>
    <w:pPr>
      <w:spacing w:after="120"/>
      <w:ind w:left="420" w:leftChars="200"/>
    </w:pPr>
  </w:style>
  <w:style w:type="paragraph" w:styleId="12">
    <w:name w:val="toc 5"/>
    <w:basedOn w:val="1"/>
    <w:next w:val="1"/>
    <w:qFormat/>
    <w:uiPriority w:val="0"/>
    <w:pPr>
      <w:ind w:left="960"/>
      <w:jc w:val="left"/>
    </w:pPr>
    <w:rPr>
      <w:sz w:val="18"/>
      <w:szCs w:val="18"/>
    </w:rPr>
  </w:style>
  <w:style w:type="paragraph" w:styleId="13">
    <w:name w:val="Plain Text"/>
    <w:basedOn w:val="1"/>
    <w:link w:val="45"/>
    <w:qFormat/>
    <w:uiPriority w:val="0"/>
    <w:rPr>
      <w:rFonts w:ascii="宋体" w:hAnsi="Courier New"/>
    </w:rPr>
  </w:style>
  <w:style w:type="paragraph" w:styleId="14">
    <w:name w:val="toc 8"/>
    <w:basedOn w:val="1"/>
    <w:next w:val="1"/>
    <w:qFormat/>
    <w:uiPriority w:val="0"/>
    <w:pPr>
      <w:ind w:left="1680"/>
      <w:jc w:val="left"/>
    </w:pPr>
    <w:rPr>
      <w:sz w:val="18"/>
      <w:szCs w:val="18"/>
    </w:rPr>
  </w:style>
  <w:style w:type="paragraph" w:styleId="15">
    <w:name w:val="Date"/>
    <w:basedOn w:val="1"/>
    <w:next w:val="1"/>
    <w:link w:val="50"/>
    <w:qFormat/>
    <w:uiPriority w:val="0"/>
    <w:pPr>
      <w:ind w:left="100" w:leftChars="2500"/>
    </w:pPr>
    <w:rPr>
      <w:sz w:val="24"/>
      <w:szCs w:val="24"/>
    </w:rPr>
  </w:style>
  <w:style w:type="paragraph" w:styleId="16">
    <w:name w:val="Body Text Indent 2"/>
    <w:basedOn w:val="1"/>
    <w:link w:val="43"/>
    <w:qFormat/>
    <w:uiPriority w:val="0"/>
    <w:pPr>
      <w:spacing w:after="120" w:line="480" w:lineRule="auto"/>
      <w:ind w:left="420" w:leftChars="200"/>
    </w:pPr>
  </w:style>
  <w:style w:type="paragraph" w:styleId="17">
    <w:name w:val="Balloon Text"/>
    <w:basedOn w:val="1"/>
    <w:link w:val="48"/>
    <w:qFormat/>
    <w:uiPriority w:val="0"/>
    <w:rPr>
      <w:sz w:val="18"/>
      <w:szCs w:val="18"/>
    </w:rPr>
  </w:style>
  <w:style w:type="paragraph" w:styleId="18">
    <w:name w:val="footer"/>
    <w:basedOn w:val="1"/>
    <w:link w:val="75"/>
    <w:qFormat/>
    <w:uiPriority w:val="99"/>
    <w:pPr>
      <w:tabs>
        <w:tab w:val="center" w:pos="4153"/>
        <w:tab w:val="right" w:pos="8306"/>
      </w:tabs>
      <w:snapToGrid w:val="0"/>
      <w:jc w:val="left"/>
    </w:pPr>
    <w:rPr>
      <w:sz w:val="18"/>
      <w:szCs w:val="18"/>
    </w:rPr>
  </w:style>
  <w:style w:type="paragraph" w:styleId="19">
    <w:name w:val="header"/>
    <w:basedOn w:val="1"/>
    <w:link w:val="55"/>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0"/>
    <w:pPr>
      <w:spacing w:line="360" w:lineRule="auto"/>
      <w:jc w:val="left"/>
    </w:pPr>
    <w:rPr>
      <w:rFonts w:ascii="宋体" w:hAnsi="宋体"/>
      <w:b/>
      <w:caps/>
      <w:color w:val="FF0000"/>
      <w:szCs w:val="21"/>
    </w:rPr>
  </w:style>
  <w:style w:type="paragraph" w:styleId="21">
    <w:name w:val="toc 4"/>
    <w:basedOn w:val="1"/>
    <w:next w:val="1"/>
    <w:qFormat/>
    <w:uiPriority w:val="0"/>
    <w:pPr>
      <w:ind w:left="720"/>
      <w:jc w:val="left"/>
    </w:pPr>
    <w:rPr>
      <w:sz w:val="18"/>
      <w:szCs w:val="18"/>
    </w:rPr>
  </w:style>
  <w:style w:type="paragraph" w:styleId="22">
    <w:name w:val="toc 6"/>
    <w:basedOn w:val="1"/>
    <w:next w:val="1"/>
    <w:qFormat/>
    <w:uiPriority w:val="0"/>
    <w:pPr>
      <w:ind w:left="1200"/>
      <w:jc w:val="left"/>
    </w:pPr>
    <w:rPr>
      <w:sz w:val="18"/>
      <w:szCs w:val="18"/>
    </w:rPr>
  </w:style>
  <w:style w:type="paragraph" w:styleId="23">
    <w:name w:val="Body Text Indent 3"/>
    <w:basedOn w:val="1"/>
    <w:link w:val="54"/>
    <w:qFormat/>
    <w:uiPriority w:val="0"/>
    <w:pPr>
      <w:spacing w:after="120"/>
      <w:ind w:left="420" w:leftChars="200"/>
    </w:pPr>
    <w:rPr>
      <w:sz w:val="16"/>
      <w:szCs w:val="16"/>
    </w:rPr>
  </w:style>
  <w:style w:type="paragraph" w:styleId="24">
    <w:name w:val="toc 2"/>
    <w:basedOn w:val="1"/>
    <w:next w:val="1"/>
    <w:unhideWhenUsed/>
    <w:qFormat/>
    <w:uiPriority w:val="0"/>
    <w:pPr>
      <w:ind w:left="420" w:leftChars="200"/>
    </w:pPr>
  </w:style>
  <w:style w:type="paragraph" w:styleId="25">
    <w:name w:val="toc 9"/>
    <w:basedOn w:val="1"/>
    <w:next w:val="1"/>
    <w:qFormat/>
    <w:uiPriority w:val="0"/>
    <w:pPr>
      <w:ind w:left="1920"/>
      <w:jc w:val="left"/>
    </w:pPr>
    <w:rPr>
      <w:sz w:val="18"/>
      <w:szCs w:val="18"/>
    </w:rPr>
  </w:style>
  <w:style w:type="paragraph" w:styleId="26">
    <w:name w:val="index 1"/>
    <w:basedOn w:val="1"/>
    <w:next w:val="1"/>
    <w:qFormat/>
    <w:uiPriority w:val="0"/>
    <w:rPr>
      <w:sz w:val="24"/>
      <w:szCs w:val="24"/>
    </w:rPr>
  </w:style>
  <w:style w:type="paragraph" w:styleId="27">
    <w:name w:val="Title"/>
    <w:basedOn w:val="1"/>
    <w:next w:val="1"/>
    <w:link w:val="52"/>
    <w:qFormat/>
    <w:uiPriority w:val="0"/>
    <w:pPr>
      <w:spacing w:before="160" w:after="40" w:line="0" w:lineRule="atLeast"/>
      <w:ind w:left="425" w:hanging="425"/>
      <w:jc w:val="left"/>
      <w:outlineLvl w:val="0"/>
    </w:pPr>
    <w:rPr>
      <w:rFonts w:ascii="Arial" w:hAnsi="Arial"/>
      <w:b/>
      <w:bCs/>
      <w:sz w:val="32"/>
      <w:szCs w:val="32"/>
    </w:rPr>
  </w:style>
  <w:style w:type="paragraph" w:styleId="28">
    <w:name w:val="annotation subject"/>
    <w:basedOn w:val="9"/>
    <w:next w:val="9"/>
    <w:link w:val="56"/>
    <w:qFormat/>
    <w:uiPriority w:val="0"/>
    <w:rPr>
      <w:b/>
      <w:bCs/>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basedOn w:val="31"/>
    <w:qFormat/>
    <w:uiPriority w:val="0"/>
    <w:rPr>
      <w:b/>
    </w:rPr>
  </w:style>
  <w:style w:type="character" w:styleId="33">
    <w:name w:val="page number"/>
    <w:basedOn w:val="31"/>
    <w:qFormat/>
    <w:uiPriority w:val="0"/>
  </w:style>
  <w:style w:type="character" w:styleId="34">
    <w:name w:val="FollowedHyperlink"/>
    <w:qFormat/>
    <w:uiPriority w:val="0"/>
    <w:rPr>
      <w:color w:val="800080"/>
      <w:u w:val="single"/>
    </w:rPr>
  </w:style>
  <w:style w:type="character" w:styleId="35">
    <w:name w:val="HTML Definition"/>
    <w:basedOn w:val="31"/>
    <w:qFormat/>
    <w:uiPriority w:val="0"/>
    <w:rPr>
      <w:i/>
    </w:rPr>
  </w:style>
  <w:style w:type="character" w:styleId="36">
    <w:name w:val="Hyperlink"/>
    <w:basedOn w:val="31"/>
    <w:qFormat/>
    <w:uiPriority w:val="0"/>
    <w:rPr>
      <w:rFonts w:cs="Times New Roman"/>
      <w:color w:val="1F4F88"/>
      <w:u w:val="none"/>
    </w:rPr>
  </w:style>
  <w:style w:type="character" w:styleId="37">
    <w:name w:val="HTML Code"/>
    <w:basedOn w:val="31"/>
    <w:qFormat/>
    <w:uiPriority w:val="0"/>
    <w:rPr>
      <w:rFonts w:ascii="Consolas" w:hAnsi="Consolas" w:eastAsia="Consolas" w:cs="Consolas"/>
      <w:color w:val="C7254E"/>
      <w:sz w:val="21"/>
      <w:szCs w:val="21"/>
      <w:shd w:val="clear" w:color="auto" w:fill="F9F2F4"/>
    </w:rPr>
  </w:style>
  <w:style w:type="character" w:styleId="38">
    <w:name w:val="annotation reference"/>
    <w:qFormat/>
    <w:uiPriority w:val="0"/>
    <w:rPr>
      <w:sz w:val="21"/>
      <w:szCs w:val="21"/>
    </w:rPr>
  </w:style>
  <w:style w:type="character" w:styleId="39">
    <w:name w:val="HTML Keyboard"/>
    <w:basedOn w:val="31"/>
    <w:qFormat/>
    <w:uiPriority w:val="0"/>
    <w:rPr>
      <w:rFonts w:hint="default" w:ascii="Consolas" w:hAnsi="Consolas" w:eastAsia="Consolas" w:cs="Consolas"/>
      <w:color w:val="FFFFFF"/>
      <w:sz w:val="21"/>
      <w:szCs w:val="21"/>
      <w:shd w:val="clear" w:color="auto" w:fill="333333"/>
    </w:rPr>
  </w:style>
  <w:style w:type="character" w:styleId="40">
    <w:name w:val="HTML Sample"/>
    <w:basedOn w:val="31"/>
    <w:qFormat/>
    <w:uiPriority w:val="0"/>
    <w:rPr>
      <w:rFonts w:hint="default" w:ascii="Consolas" w:hAnsi="Consolas" w:eastAsia="Consolas" w:cs="Consolas"/>
      <w:sz w:val="21"/>
      <w:szCs w:val="21"/>
    </w:rPr>
  </w:style>
  <w:style w:type="character" w:customStyle="1" w:styleId="41">
    <w:name w:val="标题 1 字符"/>
    <w:link w:val="2"/>
    <w:qFormat/>
    <w:uiPriority w:val="0"/>
    <w:rPr>
      <w:b/>
      <w:bCs/>
      <w:kern w:val="44"/>
      <w:sz w:val="44"/>
      <w:szCs w:val="44"/>
    </w:rPr>
  </w:style>
  <w:style w:type="character" w:customStyle="1" w:styleId="42">
    <w:name w:val="标题 2 字符"/>
    <w:link w:val="4"/>
    <w:qFormat/>
    <w:uiPriority w:val="0"/>
    <w:rPr>
      <w:rFonts w:ascii="Arial" w:hAnsi="Arial" w:eastAsia="黑体"/>
      <w:b/>
      <w:bCs/>
      <w:kern w:val="2"/>
      <w:sz w:val="32"/>
      <w:szCs w:val="32"/>
    </w:rPr>
  </w:style>
  <w:style w:type="character" w:customStyle="1" w:styleId="43">
    <w:name w:val="正文文本缩进 2 字符"/>
    <w:link w:val="16"/>
    <w:qFormat/>
    <w:uiPriority w:val="0"/>
    <w:rPr>
      <w:kern w:val="2"/>
      <w:sz w:val="21"/>
    </w:rPr>
  </w:style>
  <w:style w:type="character" w:customStyle="1" w:styleId="44">
    <w:name w:val="批注文字 字符"/>
    <w:link w:val="9"/>
    <w:qFormat/>
    <w:uiPriority w:val="0"/>
    <w:rPr>
      <w:kern w:val="2"/>
      <w:sz w:val="21"/>
    </w:rPr>
  </w:style>
  <w:style w:type="character" w:customStyle="1" w:styleId="45">
    <w:name w:val="纯文本 字符1"/>
    <w:link w:val="13"/>
    <w:qFormat/>
    <w:uiPriority w:val="0"/>
    <w:rPr>
      <w:rFonts w:ascii="宋体" w:hAnsi="Courier New" w:eastAsia="宋体"/>
      <w:kern w:val="2"/>
      <w:sz w:val="21"/>
      <w:lang w:val="en-US" w:eastAsia="zh-CN" w:bidi="ar-SA"/>
    </w:rPr>
  </w:style>
  <w:style w:type="character" w:customStyle="1" w:styleId="46">
    <w:name w:val="Char Char3"/>
    <w:qFormat/>
    <w:uiPriority w:val="0"/>
    <w:rPr>
      <w:rFonts w:ascii="宋体" w:hAnsi="Courier New" w:eastAsia="宋体"/>
      <w:kern w:val="2"/>
      <w:sz w:val="21"/>
      <w:lang w:val="en-US" w:eastAsia="zh-CN" w:bidi="ar-SA"/>
    </w:rPr>
  </w:style>
  <w:style w:type="character" w:customStyle="1" w:styleId="47">
    <w:name w:val="apple-converted-space"/>
    <w:basedOn w:val="31"/>
    <w:qFormat/>
    <w:uiPriority w:val="0"/>
  </w:style>
  <w:style w:type="character" w:customStyle="1" w:styleId="48">
    <w:name w:val="批注框文本 字符"/>
    <w:link w:val="17"/>
    <w:qFormat/>
    <w:uiPriority w:val="0"/>
    <w:rPr>
      <w:kern w:val="2"/>
      <w:sz w:val="18"/>
      <w:szCs w:val="18"/>
    </w:rPr>
  </w:style>
  <w:style w:type="character" w:customStyle="1" w:styleId="49">
    <w:name w:val="Char Char5"/>
    <w:qFormat/>
    <w:uiPriority w:val="0"/>
    <w:rPr>
      <w:rFonts w:ascii="宋体" w:hAnsi="Courier New" w:eastAsia="宋体"/>
      <w:kern w:val="2"/>
      <w:sz w:val="21"/>
      <w:lang w:val="en-US" w:eastAsia="zh-CN" w:bidi="ar-SA"/>
    </w:rPr>
  </w:style>
  <w:style w:type="character" w:customStyle="1" w:styleId="50">
    <w:name w:val="日期 字符"/>
    <w:link w:val="15"/>
    <w:qFormat/>
    <w:uiPriority w:val="0"/>
    <w:rPr>
      <w:kern w:val="2"/>
      <w:sz w:val="24"/>
      <w:szCs w:val="24"/>
    </w:rPr>
  </w:style>
  <w:style w:type="character" w:customStyle="1" w:styleId="51">
    <w:name w:val="纯文本 Char"/>
    <w:qFormat/>
    <w:uiPriority w:val="0"/>
    <w:rPr>
      <w:rFonts w:ascii="宋体" w:hAnsi="Courier New" w:eastAsia="宋体"/>
      <w:kern w:val="2"/>
      <w:sz w:val="21"/>
      <w:lang w:val="en-US" w:eastAsia="zh-CN" w:bidi="ar-SA"/>
    </w:rPr>
  </w:style>
  <w:style w:type="character" w:customStyle="1" w:styleId="52">
    <w:name w:val="标题 字符"/>
    <w:link w:val="27"/>
    <w:qFormat/>
    <w:uiPriority w:val="0"/>
    <w:rPr>
      <w:rFonts w:ascii="Arial" w:hAnsi="Arial" w:cs="Arial"/>
      <w:b/>
      <w:bCs/>
      <w:kern w:val="2"/>
      <w:sz w:val="32"/>
      <w:szCs w:val="32"/>
    </w:rPr>
  </w:style>
  <w:style w:type="character" w:customStyle="1" w:styleId="53">
    <w:name w:val="文档结构图 字符"/>
    <w:link w:val="8"/>
    <w:qFormat/>
    <w:uiPriority w:val="0"/>
    <w:rPr>
      <w:kern w:val="2"/>
      <w:sz w:val="24"/>
      <w:szCs w:val="24"/>
      <w:shd w:val="clear" w:color="auto" w:fill="000080"/>
    </w:rPr>
  </w:style>
  <w:style w:type="character" w:customStyle="1" w:styleId="54">
    <w:name w:val="正文文本缩进 3 字符"/>
    <w:link w:val="23"/>
    <w:qFormat/>
    <w:uiPriority w:val="0"/>
    <w:rPr>
      <w:kern w:val="2"/>
      <w:sz w:val="16"/>
      <w:szCs w:val="16"/>
    </w:rPr>
  </w:style>
  <w:style w:type="character" w:customStyle="1" w:styleId="55">
    <w:name w:val="页眉 字符"/>
    <w:link w:val="19"/>
    <w:qFormat/>
    <w:uiPriority w:val="99"/>
    <w:rPr>
      <w:rFonts w:eastAsia="宋体"/>
      <w:kern w:val="2"/>
      <w:sz w:val="18"/>
      <w:szCs w:val="18"/>
      <w:lang w:val="en-US" w:eastAsia="zh-CN" w:bidi="ar-SA"/>
    </w:rPr>
  </w:style>
  <w:style w:type="character" w:customStyle="1" w:styleId="56">
    <w:name w:val="批注主题 字符"/>
    <w:link w:val="28"/>
    <w:qFormat/>
    <w:uiPriority w:val="0"/>
    <w:rPr>
      <w:b/>
      <w:bCs/>
      <w:kern w:val="2"/>
      <w:sz w:val="21"/>
    </w:rPr>
  </w:style>
  <w:style w:type="character" w:customStyle="1" w:styleId="57">
    <w:name w:val="HTML Markup"/>
    <w:qFormat/>
    <w:uiPriority w:val="0"/>
    <w:rPr>
      <w:vanish/>
      <w:color w:val="FF0000"/>
    </w:rPr>
  </w:style>
  <w:style w:type="character" w:customStyle="1" w:styleId="58">
    <w:name w:val="Char Char2"/>
    <w:qFormat/>
    <w:uiPriority w:val="0"/>
    <w:rPr>
      <w:rFonts w:ascii="宋体" w:hAnsi="Courier New" w:cs="宋体"/>
      <w:kern w:val="2"/>
      <w:sz w:val="21"/>
      <w:szCs w:val="21"/>
    </w:rPr>
  </w:style>
  <w:style w:type="paragraph" w:customStyle="1" w:styleId="59">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0">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1列"/>
    <w:basedOn w:val="1"/>
    <w:qFormat/>
    <w:uiPriority w:val="0"/>
    <w:pPr>
      <w:spacing w:line="360" w:lineRule="auto"/>
      <w:ind w:left="401" w:hanging="401" w:hangingChars="191"/>
    </w:pPr>
    <w:rPr>
      <w:szCs w:val="24"/>
    </w:rPr>
  </w:style>
  <w:style w:type="paragraph" w:customStyle="1" w:styleId="62">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6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64">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5">
    <w:name w:val="列出段落1"/>
    <w:basedOn w:val="1"/>
    <w:qFormat/>
    <w:uiPriority w:val="0"/>
    <w:pPr>
      <w:ind w:firstLine="420" w:firstLineChars="200"/>
    </w:pPr>
    <w:rPr>
      <w:rFonts w:ascii="Calibri" w:hAnsi="Calibri"/>
      <w:szCs w:val="22"/>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7">
    <w:name w:val="Char Char Char Char Char Char Char"/>
    <w:basedOn w:val="1"/>
    <w:qFormat/>
    <w:uiPriority w:val="0"/>
    <w:rPr>
      <w:rFonts w:ascii="Verdana" w:hAnsi="Verdana"/>
      <w:kern w:val="0"/>
      <w:sz w:val="20"/>
      <w:lang w:eastAsia="en-US"/>
    </w:rPr>
  </w:style>
  <w:style w:type="paragraph" w:customStyle="1" w:styleId="68">
    <w:name w:val="二级列表 Char"/>
    <w:basedOn w:val="1"/>
    <w:qFormat/>
    <w:uiPriority w:val="0"/>
    <w:rPr>
      <w:rFonts w:ascii="Calibri" w:hAnsi="Calibri"/>
    </w:rPr>
  </w:style>
  <w:style w:type="paragraph" w:customStyle="1" w:styleId="69">
    <w:name w:val="正文文本1"/>
    <w:basedOn w:val="1"/>
    <w:link w:val="70"/>
    <w:qFormat/>
    <w:uiPriority w:val="0"/>
    <w:pPr>
      <w:adjustRightInd w:val="0"/>
      <w:spacing w:before="120" w:afterLines="50" w:line="280" w:lineRule="atLeast"/>
      <w:textAlignment w:val="baseline"/>
    </w:pPr>
    <w:rPr>
      <w:rFonts w:eastAsia="新宋体"/>
      <w:szCs w:val="21"/>
    </w:rPr>
  </w:style>
  <w:style w:type="character" w:customStyle="1" w:styleId="70">
    <w:name w:val="BODY TEXT Char"/>
    <w:link w:val="69"/>
    <w:qFormat/>
    <w:uiPriority w:val="0"/>
    <w:rPr>
      <w:rFonts w:eastAsia="新宋体"/>
      <w:kern w:val="2"/>
      <w:sz w:val="21"/>
      <w:szCs w:val="21"/>
    </w:rPr>
  </w:style>
  <w:style w:type="character" w:customStyle="1" w:styleId="71">
    <w:name w:val="纯文本 字符"/>
    <w:qFormat/>
    <w:uiPriority w:val="0"/>
    <w:rPr>
      <w:rFonts w:ascii="宋体" w:hAnsi="Courier New" w:eastAsia="宋体"/>
      <w:kern w:val="2"/>
      <w:sz w:val="21"/>
      <w:lang w:val="en-US" w:eastAsia="zh-CN" w:bidi="ar-SA"/>
    </w:rPr>
  </w:style>
  <w:style w:type="paragraph" w:customStyle="1" w:styleId="72">
    <w:name w:val="Tabelle"/>
    <w:basedOn w:val="1"/>
    <w:qFormat/>
    <w:uiPriority w:val="0"/>
    <w:pPr>
      <w:widowControl/>
      <w:spacing w:before="40" w:after="40"/>
      <w:jc w:val="left"/>
    </w:pPr>
    <w:rPr>
      <w:rFonts w:ascii="Arial" w:hAnsi="Arial"/>
      <w:kern w:val="0"/>
      <w:sz w:val="20"/>
      <w:lang w:eastAsia="de-DE"/>
    </w:rPr>
  </w:style>
  <w:style w:type="paragraph" w:customStyle="1" w:styleId="73">
    <w:name w:val="Fließtext"/>
    <w:basedOn w:val="1"/>
    <w:qFormat/>
    <w:uiPriority w:val="0"/>
    <w:pPr>
      <w:widowControl/>
      <w:spacing w:before="40" w:after="40"/>
      <w:jc w:val="left"/>
    </w:pPr>
    <w:rPr>
      <w:rFonts w:ascii="Arial" w:hAnsi="Arial"/>
      <w:kern w:val="0"/>
      <w:sz w:val="20"/>
      <w:lang w:eastAsia="de-DE"/>
    </w:rPr>
  </w:style>
  <w:style w:type="paragraph" w:styleId="74">
    <w:name w:val="List Paragraph"/>
    <w:basedOn w:val="1"/>
    <w:unhideWhenUsed/>
    <w:qFormat/>
    <w:uiPriority w:val="99"/>
    <w:pPr>
      <w:ind w:firstLine="420" w:firstLineChars="200"/>
    </w:pPr>
  </w:style>
  <w:style w:type="character" w:customStyle="1" w:styleId="75">
    <w:name w:val="页脚 字符"/>
    <w:link w:val="18"/>
    <w:qFormat/>
    <w:uiPriority w:val="99"/>
    <w:rPr>
      <w:kern w:val="2"/>
      <w:sz w:val="18"/>
      <w:szCs w:val="18"/>
    </w:rPr>
  </w:style>
  <w:style w:type="paragraph" w:customStyle="1" w:styleId="76">
    <w:name w:val="标书正文格式"/>
    <w:basedOn w:val="13"/>
    <w:qFormat/>
    <w:uiPriority w:val="0"/>
    <w:pPr>
      <w:spacing w:line="360" w:lineRule="auto"/>
      <w:ind w:firstLine="200" w:firstLineChars="200"/>
    </w:pPr>
    <w:rPr>
      <w:rFonts w:hAnsi="宋体"/>
      <w:color w:val="000000"/>
      <w:szCs w:val="24"/>
    </w:rPr>
  </w:style>
  <w:style w:type="character" w:customStyle="1" w:styleId="77">
    <w:name w:val="NormalCharacter"/>
    <w:qFormat/>
    <w:uiPriority w:val="0"/>
  </w:style>
  <w:style w:type="paragraph" w:customStyle="1" w:styleId="78">
    <w:name w:val="Default Text"/>
    <w:qFormat/>
    <w:uiPriority w:val="0"/>
    <w:pPr>
      <w:widowControl w:val="0"/>
      <w:jc w:val="both"/>
    </w:pPr>
    <w:rPr>
      <w:rFonts w:ascii="Times New Roman" w:hAnsi="Times New Roman" w:eastAsia="宋体" w:cs="Times New Roman"/>
      <w:kern w:val="2"/>
      <w:sz w:val="24"/>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9E02EA-5564-448C-AAD0-29A5C0878507}">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26</Pages>
  <Words>8196</Words>
  <Characters>12255</Characters>
  <Lines>177</Lines>
  <Paragraphs>50</Paragraphs>
  <TotalTime>11</TotalTime>
  <ScaleCrop>false</ScaleCrop>
  <LinksUpToDate>false</LinksUpToDate>
  <CharactersWithSpaces>13315</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秋收冬藏</cp:lastModifiedBy>
  <cp:lastPrinted>2020-12-22T00:46:00Z</cp:lastPrinted>
  <dcterms:modified xsi:type="dcterms:W3CDTF">2025-12-23T10:51:53Z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ECC654C5F5E9426C95714CC802DD0FDB</vt:lpwstr>
  </property>
  <property fmtid="{D5CDD505-2E9C-101B-9397-08002B2CF9AE}" pid="4" name="KSOTemplateDocerSaveRecord">
    <vt:lpwstr>eyJoZGlkIjoiZGRhYmRhNzNkYzMzNGJlMTJlNGRjYzUzM2Q2ZGI5MDYiLCJ1c2VySWQiOiIyNTExNTY1NDcifQ==</vt:lpwstr>
  </property>
</Properties>
</file>