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Ansi="宋体"/>
          <w:color w:val="000000"/>
          <w:spacing w:val="-8"/>
          <w:sz w:val="48"/>
          <w:szCs w:val="44"/>
        </w:rPr>
      </w:pPr>
    </w:p>
    <w:p>
      <w:pPr>
        <w:jc w:val="center"/>
        <w:rPr>
          <w:rFonts w:ascii="黑体" w:hAnsi="宋体" w:eastAsia="黑体"/>
          <w:color w:val="000000"/>
          <w:sz w:val="84"/>
          <w:szCs w:val="84"/>
        </w:rPr>
      </w:pPr>
      <w:r>
        <w:rPr>
          <w:rFonts w:hint="eastAsia" w:ascii="仿宋_GB2312" w:hAnsi="仿宋_GB2312" w:eastAsia="仿宋_GB2312" w:cs="仿宋_GB2312"/>
          <w:color w:val="000000"/>
          <w:spacing w:val="-8"/>
          <w:sz w:val="48"/>
          <w:szCs w:val="44"/>
          <w:lang w:val="en-US" w:eastAsia="zh-CN"/>
        </w:rPr>
        <w:t>2026年度未来科技大厦通力电梯度维保、检验检测及配件采购项目</w:t>
      </w:r>
    </w:p>
    <w:p>
      <w:pPr>
        <w:pStyle w:val="9"/>
        <w:rPr>
          <w:rFonts w:ascii="黑体" w:hAnsi="宋体" w:eastAsia="黑体"/>
          <w:color w:val="000000"/>
          <w:sz w:val="84"/>
          <w:szCs w:val="84"/>
        </w:rPr>
      </w:pPr>
    </w:p>
    <w:p>
      <w:pPr>
        <w:jc w:val="center"/>
        <w:rPr>
          <w:rFonts w:hint="eastAsia" w:ascii="宋体" w:hAnsi="宋体"/>
          <w:sz w:val="72"/>
          <w:szCs w:val="72"/>
        </w:rPr>
      </w:pPr>
      <w:r>
        <w:rPr>
          <w:rFonts w:hint="eastAsia" w:ascii="宋体" w:hAnsi="宋体"/>
          <w:sz w:val="72"/>
          <w:szCs w:val="72"/>
        </w:rPr>
        <w:t>招  标  文  件</w:t>
      </w:r>
    </w:p>
    <w:p>
      <w:pPr>
        <w:rPr>
          <w:rFonts w:hint="eastAsia" w:ascii="宋体" w:hAnsi="宋体"/>
          <w:sz w:val="24"/>
        </w:rPr>
      </w:pPr>
    </w:p>
    <w:p>
      <w:pPr>
        <w:pStyle w:val="9"/>
        <w:rPr>
          <w:rFonts w:hint="eastAsia"/>
        </w:rPr>
      </w:pPr>
    </w:p>
    <w:p>
      <w:pPr>
        <w:jc w:val="center"/>
        <w:rPr>
          <w:rFonts w:ascii="宋体" w:hAnsi="宋体"/>
          <w:color w:val="000000"/>
          <w:sz w:val="72"/>
          <w:szCs w:val="72"/>
        </w:rPr>
      </w:pPr>
    </w:p>
    <w:p>
      <w:pPr>
        <w:jc w:val="center"/>
        <w:rPr>
          <w:rFonts w:ascii="宋体" w:hAnsi="宋体"/>
          <w:color w:val="000000"/>
          <w:sz w:val="48"/>
          <w:szCs w:val="48"/>
        </w:rPr>
      </w:pPr>
    </w:p>
    <w:p>
      <w:pPr>
        <w:pStyle w:val="9"/>
        <w:rPr>
          <w:rFonts w:ascii="宋体" w:hAnsi="宋体"/>
          <w:color w:val="000000"/>
          <w:sz w:val="48"/>
          <w:szCs w:val="48"/>
        </w:rPr>
      </w:pPr>
    </w:p>
    <w:p>
      <w:pPr>
        <w:pStyle w:val="9"/>
        <w:rPr>
          <w:rFonts w:ascii="宋体" w:hAnsi="宋体"/>
          <w:color w:val="000000"/>
          <w:sz w:val="48"/>
          <w:szCs w:val="48"/>
        </w:rPr>
      </w:pPr>
    </w:p>
    <w:p>
      <w:pPr>
        <w:jc w:val="center"/>
        <w:rPr>
          <w:rFonts w:ascii="宋体" w:hAnsi="宋体"/>
          <w:color w:val="000000"/>
          <w:sz w:val="28"/>
          <w:szCs w:val="28"/>
        </w:rPr>
      </w:pPr>
    </w:p>
    <w:p>
      <w:pPr>
        <w:jc w:val="center"/>
        <w:rPr>
          <w:rFonts w:ascii="宋体" w:hAnsi="宋体"/>
          <w:color w:val="000000"/>
          <w:sz w:val="28"/>
          <w:szCs w:val="28"/>
        </w:rPr>
      </w:pPr>
    </w:p>
    <w:p>
      <w:pPr>
        <w:jc w:val="center"/>
        <w:rPr>
          <w:rFonts w:ascii="仿宋_GB2312" w:hAnsi="仿宋_GB2312" w:eastAsia="仿宋_GB2312" w:cs="仿宋_GB2312"/>
          <w:color w:val="000000"/>
          <w:sz w:val="36"/>
          <w:szCs w:val="36"/>
        </w:rPr>
      </w:pPr>
      <w:r>
        <w:rPr>
          <w:rFonts w:hint="eastAsia" w:ascii="仿宋_GB2312" w:hAnsi="仿宋_GB2312" w:eastAsia="仿宋_GB2312" w:cs="仿宋_GB2312"/>
          <w:color w:val="000000"/>
          <w:sz w:val="36"/>
          <w:szCs w:val="36"/>
        </w:rPr>
        <w:t>招 标 人：中国重汽集团济南动力有限公司</w:t>
      </w:r>
    </w:p>
    <w:p>
      <w:pPr>
        <w:jc w:val="center"/>
        <w:rPr>
          <w:rFonts w:ascii="仿宋_GB2312" w:hAnsi="仿宋_GB2312" w:eastAsia="仿宋_GB2312" w:cs="仿宋_GB2312"/>
          <w:color w:val="000000"/>
          <w:sz w:val="36"/>
          <w:szCs w:val="36"/>
        </w:rPr>
      </w:pPr>
      <w:r>
        <w:rPr>
          <w:rFonts w:hint="eastAsia" w:ascii="仿宋_GB2312" w:hAnsi="仿宋_GB2312" w:eastAsia="仿宋_GB2312" w:cs="仿宋_GB2312"/>
          <w:color w:val="000000"/>
          <w:sz w:val="36"/>
          <w:szCs w:val="36"/>
        </w:rPr>
        <w:t>202</w:t>
      </w:r>
      <w:r>
        <w:rPr>
          <w:rFonts w:hint="eastAsia" w:ascii="仿宋_GB2312" w:hAnsi="仿宋_GB2312" w:eastAsia="仿宋_GB2312" w:cs="仿宋_GB2312"/>
          <w:color w:val="000000"/>
          <w:sz w:val="36"/>
          <w:szCs w:val="36"/>
          <w:lang w:val="en-US" w:eastAsia="zh-CN"/>
        </w:rPr>
        <w:t>5</w:t>
      </w:r>
      <w:r>
        <w:rPr>
          <w:rFonts w:hint="eastAsia" w:ascii="仿宋_GB2312" w:hAnsi="仿宋_GB2312" w:eastAsia="仿宋_GB2312" w:cs="仿宋_GB2312"/>
          <w:color w:val="000000"/>
          <w:sz w:val="36"/>
          <w:szCs w:val="36"/>
        </w:rPr>
        <w:t>年1</w:t>
      </w:r>
      <w:r>
        <w:rPr>
          <w:rFonts w:hint="eastAsia" w:ascii="仿宋_GB2312" w:hAnsi="仿宋_GB2312" w:eastAsia="仿宋_GB2312" w:cs="仿宋_GB2312"/>
          <w:color w:val="000000"/>
          <w:sz w:val="36"/>
          <w:szCs w:val="36"/>
          <w:lang w:val="en-US" w:eastAsia="zh-CN"/>
        </w:rPr>
        <w:t>2</w:t>
      </w:r>
      <w:r>
        <w:rPr>
          <w:rFonts w:hint="eastAsia" w:ascii="仿宋_GB2312" w:hAnsi="仿宋_GB2312" w:eastAsia="仿宋_GB2312" w:cs="仿宋_GB2312"/>
          <w:color w:val="000000"/>
          <w:sz w:val="36"/>
          <w:szCs w:val="36"/>
        </w:rPr>
        <w:t>月</w:t>
      </w:r>
    </w:p>
    <w:p>
      <w:pPr>
        <w:pStyle w:val="12"/>
        <w:spacing w:line="360" w:lineRule="auto"/>
        <w:jc w:val="center"/>
        <w:rPr>
          <w:color w:val="000000"/>
        </w:rPr>
      </w:pPr>
    </w:p>
    <w:p>
      <w:pPr>
        <w:pStyle w:val="12"/>
        <w:spacing w:line="360" w:lineRule="auto"/>
        <w:jc w:val="center"/>
        <w:rPr>
          <w:color w:val="000000"/>
        </w:rPr>
      </w:pPr>
    </w:p>
    <w:p>
      <w:pPr>
        <w:pStyle w:val="12"/>
        <w:spacing w:line="360" w:lineRule="auto"/>
        <w:jc w:val="center"/>
        <w:rPr>
          <w:color w:val="000000"/>
        </w:rPr>
      </w:pPr>
    </w:p>
    <w:p>
      <w:pPr>
        <w:rPr>
          <w:rFonts w:hint="eastAsia" w:hAnsi="宋体" w:cs="宋体"/>
          <w:b/>
          <w:bCs/>
          <w:color w:val="000000"/>
          <w:sz w:val="36"/>
          <w:szCs w:val="36"/>
        </w:rPr>
      </w:pPr>
      <w:r>
        <w:rPr>
          <w:rFonts w:hint="eastAsia" w:hAnsi="宋体" w:cs="宋体"/>
          <w:b/>
          <w:bCs/>
          <w:color w:val="000000"/>
          <w:sz w:val="36"/>
          <w:szCs w:val="36"/>
        </w:rPr>
        <w:br w:type="page"/>
      </w:r>
    </w:p>
    <w:p>
      <w:pPr>
        <w:pStyle w:val="12"/>
        <w:spacing w:line="360" w:lineRule="auto"/>
        <w:jc w:val="center"/>
        <w:rPr>
          <w:rFonts w:hint="eastAsia" w:hAnsi="宋体" w:cs="宋体"/>
          <w:b/>
          <w:bCs/>
          <w:color w:val="000000"/>
          <w:sz w:val="36"/>
          <w:szCs w:val="36"/>
        </w:rPr>
      </w:pPr>
    </w:p>
    <w:p>
      <w:pPr>
        <w:pStyle w:val="12"/>
        <w:spacing w:line="360" w:lineRule="auto"/>
        <w:jc w:val="center"/>
        <w:rPr>
          <w:rFonts w:ascii="黑体" w:eastAsia="黑体"/>
          <w:b/>
          <w:bCs/>
          <w:color w:val="000000"/>
          <w:sz w:val="36"/>
          <w:szCs w:val="36"/>
        </w:rPr>
      </w:pPr>
      <w:r>
        <w:rPr>
          <w:rFonts w:hint="eastAsia" w:hAnsi="宋体" w:cs="宋体"/>
          <w:b/>
          <w:bCs/>
          <w:color w:val="000000"/>
          <w:sz w:val="36"/>
          <w:szCs w:val="36"/>
        </w:rPr>
        <w:t>第一部分  招标公告</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一、项目名称</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heme="minorEastAsia" w:hAnsiTheme="minorEastAsia" w:eastAsiaTheme="minorEastAsia" w:cstheme="minorEastAsia"/>
          <w:color w:val="000000"/>
          <w:spacing w:val="-8"/>
          <w:sz w:val="24"/>
          <w:szCs w:val="24"/>
          <w:highlight w:val="yellow"/>
          <w:lang w:val="en-US" w:eastAsia="zh-CN"/>
        </w:rPr>
      </w:pPr>
      <w:r>
        <w:rPr>
          <w:rFonts w:hint="eastAsia" w:asciiTheme="minorEastAsia" w:hAnsiTheme="minorEastAsia" w:eastAsiaTheme="minorEastAsia"/>
          <w:color w:val="000000"/>
          <w:sz w:val="24"/>
          <w:szCs w:val="24"/>
          <w:highlight w:val="yellow"/>
        </w:rPr>
        <w:t>项目名称：</w:t>
      </w:r>
      <w:bookmarkStart w:id="0" w:name="OLE_LINK1"/>
      <w:r>
        <w:rPr>
          <w:rFonts w:hint="eastAsia" w:asciiTheme="minorEastAsia" w:hAnsiTheme="minorEastAsia" w:eastAsiaTheme="minorEastAsia" w:cstheme="minorEastAsia"/>
          <w:color w:val="000000"/>
          <w:spacing w:val="-8"/>
          <w:sz w:val="24"/>
          <w:szCs w:val="24"/>
          <w:highlight w:val="yellow"/>
          <w:lang w:val="en-US" w:eastAsia="zh-CN"/>
        </w:rPr>
        <w:t>2026年度未来科技大厦通力电梯度维保、检验检测及配件采购项目</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heme="minorEastAsia" w:hAnsiTheme="minorEastAsia" w:eastAsiaTheme="minorEastAsia" w:cstheme="minorEastAsia"/>
          <w:color w:val="000000"/>
          <w:spacing w:val="-8"/>
          <w:sz w:val="24"/>
          <w:szCs w:val="24"/>
          <w:highlight w:val="yellow"/>
          <w:lang w:val="en-US" w:eastAsia="zh-CN"/>
        </w:rPr>
      </w:pPr>
      <w:r>
        <w:rPr>
          <w:rFonts w:hint="eastAsia" w:asciiTheme="minorEastAsia" w:hAnsiTheme="minorEastAsia" w:eastAsiaTheme="minorEastAsia" w:cstheme="minorEastAsia"/>
          <w:color w:val="000000"/>
          <w:spacing w:val="-8"/>
          <w:sz w:val="24"/>
          <w:szCs w:val="24"/>
          <w:highlight w:val="yellow"/>
          <w:lang w:val="en-US" w:eastAsia="zh-CN"/>
        </w:rPr>
        <w:t>项目编号：FSCZB2025120276</w:t>
      </w:r>
    </w:p>
    <w:bookmarkEnd w:id="0"/>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二、招标内容</w:t>
      </w:r>
    </w:p>
    <w:p>
      <w:pPr>
        <w:pStyle w:val="12"/>
        <w:spacing w:line="360" w:lineRule="auto"/>
        <w:ind w:firstLine="480" w:firstLineChars="200"/>
        <w:rPr>
          <w:rFonts w:hint="eastAsia" w:cs="MISMMT+ËÎÌå"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w:t>
      </w:r>
      <w:r>
        <w:rPr>
          <w:rFonts w:cs="MISMMT+ËÎÌå" w:asciiTheme="minorEastAsia" w:hAnsiTheme="minorEastAsia" w:eastAsiaTheme="minorEastAsia"/>
          <w:color w:val="000000"/>
          <w:sz w:val="24"/>
          <w:szCs w:val="24"/>
        </w:rPr>
        <w:t>本项目</w:t>
      </w:r>
      <w:r>
        <w:rPr>
          <w:rFonts w:hint="eastAsia" w:cs="MISMMT+ËÎÌå" w:asciiTheme="minorEastAsia" w:hAnsiTheme="minorEastAsia" w:eastAsiaTheme="minorEastAsia"/>
          <w:color w:val="000000"/>
          <w:sz w:val="24"/>
          <w:szCs w:val="24"/>
        </w:rPr>
        <w:t>为</w:t>
      </w:r>
      <w:r>
        <w:rPr>
          <w:rFonts w:hint="eastAsia" w:cs="MISMMT+ËÎÌå" w:asciiTheme="minorEastAsia" w:hAnsiTheme="minorEastAsia" w:eastAsiaTheme="minorEastAsia"/>
          <w:color w:val="000000"/>
          <w:sz w:val="24"/>
          <w:szCs w:val="24"/>
          <w:lang w:val="en-US" w:eastAsia="zh-CN"/>
        </w:rPr>
        <w:t>通力</w:t>
      </w:r>
      <w:r>
        <w:rPr>
          <w:rFonts w:hint="eastAsia" w:cs="MISMMT+ËÎÌå" w:asciiTheme="minorEastAsia" w:hAnsiTheme="minorEastAsia" w:eastAsiaTheme="minorEastAsia"/>
          <w:color w:val="000000"/>
          <w:sz w:val="24"/>
          <w:szCs w:val="24"/>
        </w:rPr>
        <w:t>电梯</w:t>
      </w:r>
      <w:r>
        <w:rPr>
          <w:rFonts w:hint="eastAsia" w:cs="MISMMT+ËÎÌå" w:asciiTheme="minorEastAsia" w:hAnsiTheme="minorEastAsia" w:eastAsiaTheme="minorEastAsia"/>
          <w:color w:val="000000"/>
          <w:sz w:val="24"/>
          <w:szCs w:val="24"/>
          <w:lang w:val="en-US" w:eastAsia="zh-CN"/>
        </w:rPr>
        <w:t>20</w:t>
      </w:r>
      <w:r>
        <w:rPr>
          <w:rFonts w:hint="eastAsia" w:cs="MISMMT+ËÎÌå" w:asciiTheme="minorEastAsia" w:hAnsiTheme="minorEastAsia" w:eastAsiaTheme="minorEastAsia"/>
          <w:color w:val="000000"/>
          <w:sz w:val="24"/>
          <w:szCs w:val="24"/>
        </w:rPr>
        <w:t>台直梯，</w:t>
      </w:r>
      <w:r>
        <w:rPr>
          <w:rFonts w:hint="eastAsia" w:cs="MISMMT+ËÎÌå" w:asciiTheme="minorEastAsia" w:hAnsiTheme="minorEastAsia" w:eastAsiaTheme="minorEastAsia"/>
          <w:color w:val="000000"/>
          <w:sz w:val="24"/>
          <w:szCs w:val="24"/>
          <w:lang w:val="en-US" w:eastAsia="zh-CN"/>
        </w:rPr>
        <w:t>10</w:t>
      </w:r>
      <w:r>
        <w:rPr>
          <w:rFonts w:hint="eastAsia" w:cs="MISMMT+ËÎÌå" w:asciiTheme="minorEastAsia" w:hAnsiTheme="minorEastAsia" w:eastAsiaTheme="minorEastAsia"/>
          <w:color w:val="000000"/>
          <w:sz w:val="24"/>
          <w:szCs w:val="24"/>
        </w:rPr>
        <w:t>台扶梯维修和保养，</w:t>
      </w:r>
      <w:r>
        <w:rPr>
          <w:rFonts w:hint="eastAsia" w:cs="MISMMT+ËÎÌå" w:asciiTheme="minorEastAsia" w:hAnsiTheme="minorEastAsia" w:eastAsiaTheme="minorEastAsia"/>
          <w:color w:val="000000"/>
          <w:sz w:val="24"/>
          <w:szCs w:val="24"/>
          <w:lang w:val="en-US" w:eastAsia="zh-CN"/>
        </w:rPr>
        <w:t>检验检测，</w:t>
      </w:r>
      <w:r>
        <w:rPr>
          <w:rFonts w:hint="eastAsia" w:cs="MISMMT+ËÎÌå" w:asciiTheme="minorEastAsia" w:hAnsiTheme="minorEastAsia" w:eastAsiaTheme="minorEastAsia"/>
          <w:color w:val="000000"/>
          <w:sz w:val="24"/>
          <w:szCs w:val="24"/>
        </w:rPr>
        <w:t>保障设备安全稳定运行，降低设备故障率。</w:t>
      </w:r>
    </w:p>
    <w:p>
      <w:pPr>
        <w:pStyle w:val="12"/>
        <w:spacing w:line="360" w:lineRule="auto"/>
        <w:ind w:firstLine="480" w:firstLineChars="200"/>
        <w:rPr>
          <w:rFonts w:hint="default" w:cs="MISMMT+ËÎÌå" w:asciiTheme="minorEastAsia" w:hAnsiTheme="minorEastAsia" w:eastAsiaTheme="minorEastAsia"/>
          <w:color w:val="000000"/>
          <w:sz w:val="24"/>
          <w:szCs w:val="24"/>
          <w:lang w:val="en-US" w:eastAsia="zh-CN"/>
        </w:rPr>
      </w:pPr>
      <w:r>
        <w:rPr>
          <w:rFonts w:hint="eastAsia" w:cs="MISMMT+ËÎÌå" w:asciiTheme="minorEastAsia" w:hAnsiTheme="minorEastAsia" w:eastAsiaTheme="minorEastAsia"/>
          <w:color w:val="000000"/>
          <w:sz w:val="24"/>
          <w:szCs w:val="24"/>
          <w:lang w:val="en-US" w:eastAsia="zh-CN"/>
        </w:rPr>
        <w:t>2、为保障电梯运行安全提高专用设备配件采购的及时性，签订年度配件价格清单框架合作协议，依据该清单价格对损坏配件进行据实结算，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4"/>
          <w:szCs w:val="24"/>
          <w:highlight w:val="yellow"/>
          <w:lang w:val="en-US" w:eastAsia="zh-CN"/>
        </w:rPr>
        <w:t>投标方必需保证提供通力或通力认证的供应商的正品配件，并提供通力电梯正品配件销售授权证明</w:t>
      </w:r>
      <w:r>
        <w:rPr>
          <w:rFonts w:hint="eastAsia" w:cs="MISMMT+ËÎÌå" w:asciiTheme="minorEastAsia" w:hAnsiTheme="minorEastAsia" w:eastAsiaTheme="minorEastAsia"/>
          <w:b/>
          <w:bCs/>
          <w:color w:val="000000"/>
          <w:sz w:val="24"/>
          <w:szCs w:val="24"/>
          <w:lang w:val="en-US" w:eastAsia="zh-CN"/>
        </w:rPr>
        <w:t>，如发现有弄虚作假、以次充好的行为，将视为投标方违约，</w:t>
      </w:r>
      <w:r>
        <w:rPr>
          <w:rFonts w:hint="eastAsia" w:ascii="宋体" w:hAnsi="宋体"/>
          <w:b/>
          <w:bCs w:val="0"/>
          <w:lang w:val="en-US" w:eastAsia="zh-CN"/>
        </w:rPr>
        <w:t>合同自动终止，中标自动作废</w:t>
      </w:r>
      <w:r>
        <w:rPr>
          <w:rFonts w:hint="eastAsia" w:hAnsi="宋体"/>
          <w:b/>
          <w:bCs w:val="0"/>
          <w:lang w:val="en-US" w:eastAsia="zh-CN"/>
        </w:rPr>
        <w:t>不进行结算</w:t>
      </w:r>
      <w:r>
        <w:rPr>
          <w:rFonts w:hint="eastAsia" w:ascii="宋体" w:hAnsi="宋体"/>
          <w:b/>
          <w:bCs w:val="0"/>
          <w:lang w:val="en-US" w:eastAsia="zh-CN"/>
        </w:rPr>
        <w:t>，一切因投标方不诚信带来的损失由投标方自行承担，中国重汽将保留法律诉讼的权力。</w:t>
      </w:r>
    </w:p>
    <w:p>
      <w:pPr>
        <w:pStyle w:val="12"/>
        <w:spacing w:line="360" w:lineRule="auto"/>
        <w:ind w:firstLine="480" w:firstLineChars="200"/>
        <w:rPr>
          <w:rFonts w:asciiTheme="minorEastAsia" w:hAnsiTheme="minorEastAsia" w:eastAsiaTheme="minorEastAsia"/>
          <w:bCs/>
          <w:color w:val="000000"/>
          <w:sz w:val="24"/>
          <w:szCs w:val="24"/>
        </w:rPr>
      </w:pPr>
      <w:r>
        <w:rPr>
          <w:rFonts w:hint="eastAsia" w:asciiTheme="minorEastAsia" w:hAnsiTheme="minorEastAsia" w:eastAsiaTheme="minorEastAsia"/>
          <w:color w:val="000000"/>
          <w:sz w:val="24"/>
          <w:szCs w:val="24"/>
          <w:lang w:val="en-US" w:eastAsia="zh-CN"/>
        </w:rPr>
        <w:t>3</w:t>
      </w:r>
      <w:r>
        <w:rPr>
          <w:rFonts w:hint="eastAsia" w:asciiTheme="minorEastAsia" w:hAnsiTheme="minorEastAsia" w:eastAsiaTheme="minorEastAsia"/>
          <w:color w:val="000000"/>
          <w:sz w:val="24"/>
          <w:szCs w:val="24"/>
        </w:rPr>
        <w:t>、</w:t>
      </w:r>
      <w:r>
        <w:rPr>
          <w:rFonts w:hint="eastAsia" w:asciiTheme="minorEastAsia" w:hAnsiTheme="minorEastAsia" w:eastAsiaTheme="minorEastAsia"/>
          <w:bCs/>
          <w:color w:val="000000"/>
          <w:sz w:val="24"/>
          <w:szCs w:val="24"/>
        </w:rPr>
        <w:t>具体要求详见《招标内容和要求》</w:t>
      </w:r>
      <w:r>
        <w:rPr>
          <w:rFonts w:hint="eastAsia" w:asciiTheme="minorEastAsia" w:hAnsiTheme="minorEastAsia" w:eastAsiaTheme="minorEastAsia"/>
          <w:bCs/>
          <w:color w:val="000000"/>
          <w:sz w:val="24"/>
          <w:szCs w:val="24"/>
          <w:lang w:eastAsia="zh-CN"/>
        </w:rPr>
        <w:t>、《</w:t>
      </w:r>
      <w:r>
        <w:rPr>
          <w:rFonts w:hint="eastAsia" w:asciiTheme="minorEastAsia" w:hAnsiTheme="minorEastAsia" w:eastAsiaTheme="minorEastAsia"/>
          <w:bCs/>
          <w:color w:val="000000"/>
          <w:sz w:val="24"/>
          <w:szCs w:val="24"/>
          <w:lang w:val="en-US" w:eastAsia="zh-CN"/>
        </w:rPr>
        <w:t>配件价格清单》</w:t>
      </w:r>
      <w:r>
        <w:rPr>
          <w:rFonts w:hint="eastAsia" w:asciiTheme="minorEastAsia" w:hAnsiTheme="minorEastAsia" w:eastAsiaTheme="minorEastAsia"/>
          <w:bCs/>
          <w:color w:val="000000"/>
          <w:sz w:val="24"/>
          <w:szCs w:val="24"/>
        </w:rPr>
        <w:t>。</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三、服务期及服务地点</w:t>
      </w:r>
    </w:p>
    <w:p>
      <w:pPr>
        <w:pStyle w:val="12"/>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1、服务期：202</w:t>
      </w:r>
      <w:r>
        <w:rPr>
          <w:rFonts w:hint="eastAsia" w:asciiTheme="minorEastAsia" w:hAnsiTheme="minorEastAsia" w:eastAsiaTheme="minorEastAsia"/>
          <w:color w:val="000000"/>
          <w:sz w:val="24"/>
          <w:szCs w:val="24"/>
          <w:lang w:val="en-US" w:eastAsia="zh-CN"/>
        </w:rPr>
        <w:t>6</w:t>
      </w:r>
      <w:r>
        <w:rPr>
          <w:rFonts w:hint="eastAsia" w:asciiTheme="minorEastAsia" w:hAnsiTheme="minorEastAsia" w:eastAsiaTheme="minorEastAsia"/>
          <w:color w:val="000000"/>
          <w:sz w:val="24"/>
          <w:szCs w:val="24"/>
        </w:rPr>
        <w:t>年1月</w:t>
      </w:r>
      <w:r>
        <w:rPr>
          <w:rFonts w:hint="eastAsia" w:asciiTheme="minorEastAsia" w:hAnsiTheme="minorEastAsia" w:eastAsiaTheme="minorEastAsia"/>
          <w:color w:val="000000"/>
          <w:sz w:val="24"/>
          <w:szCs w:val="24"/>
          <w:lang w:val="en-US" w:eastAsia="zh-CN"/>
        </w:rPr>
        <w:t>13</w:t>
      </w:r>
      <w:r>
        <w:rPr>
          <w:rFonts w:hint="eastAsia" w:asciiTheme="minorEastAsia" w:hAnsiTheme="minorEastAsia" w:eastAsiaTheme="minorEastAsia"/>
          <w:color w:val="000000"/>
          <w:sz w:val="24"/>
          <w:szCs w:val="24"/>
        </w:rPr>
        <w:t>日0：00-202</w:t>
      </w:r>
      <w:r>
        <w:rPr>
          <w:rFonts w:hint="eastAsia" w:asciiTheme="minorEastAsia" w:hAnsiTheme="minorEastAsia" w:eastAsiaTheme="minorEastAsia"/>
          <w:color w:val="000000"/>
          <w:sz w:val="24"/>
          <w:szCs w:val="24"/>
          <w:lang w:val="en-US" w:eastAsia="zh-CN"/>
        </w:rPr>
        <w:t>7</w:t>
      </w:r>
      <w:r>
        <w:rPr>
          <w:rFonts w:hint="eastAsia" w:asciiTheme="minorEastAsia" w:hAnsiTheme="minorEastAsia" w:eastAsiaTheme="minorEastAsia"/>
          <w:color w:val="000000"/>
          <w:sz w:val="24"/>
          <w:szCs w:val="24"/>
        </w:rPr>
        <w:t>年1月</w:t>
      </w:r>
      <w:r>
        <w:rPr>
          <w:rFonts w:hint="eastAsia" w:asciiTheme="minorEastAsia" w:hAnsiTheme="minorEastAsia" w:eastAsiaTheme="minorEastAsia"/>
          <w:color w:val="000000"/>
          <w:sz w:val="24"/>
          <w:szCs w:val="24"/>
          <w:lang w:val="en-US" w:eastAsia="zh-CN"/>
        </w:rPr>
        <w:t>12</w:t>
      </w:r>
      <w:r>
        <w:rPr>
          <w:rFonts w:hint="eastAsia" w:asciiTheme="minorEastAsia" w:hAnsiTheme="minorEastAsia" w:eastAsiaTheme="minorEastAsia"/>
          <w:color w:val="000000"/>
          <w:sz w:val="24"/>
          <w:szCs w:val="24"/>
        </w:rPr>
        <w:t xml:space="preserve">日24：00 </w:t>
      </w:r>
    </w:p>
    <w:p>
      <w:pPr>
        <w:pStyle w:val="12"/>
        <w:spacing w:line="360" w:lineRule="auto"/>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2、服务地点：济南市高新区</w:t>
      </w:r>
      <w:r>
        <w:rPr>
          <w:rFonts w:hint="eastAsia" w:asciiTheme="minorEastAsia" w:hAnsiTheme="minorEastAsia" w:eastAsiaTheme="minorEastAsia"/>
          <w:color w:val="000000"/>
          <w:sz w:val="24"/>
          <w:szCs w:val="24"/>
          <w:lang w:val="en-US" w:eastAsia="zh-CN"/>
        </w:rPr>
        <w:t>舜华南路688号未来</w:t>
      </w:r>
      <w:r>
        <w:rPr>
          <w:rFonts w:hint="eastAsia" w:asciiTheme="minorEastAsia" w:hAnsiTheme="minorEastAsia" w:eastAsiaTheme="minorEastAsia"/>
          <w:color w:val="000000"/>
          <w:sz w:val="24"/>
          <w:szCs w:val="24"/>
        </w:rPr>
        <w:t>科技</w:t>
      </w:r>
      <w:r>
        <w:rPr>
          <w:rFonts w:hint="eastAsia" w:asciiTheme="minorEastAsia" w:hAnsiTheme="minorEastAsia" w:eastAsiaTheme="minorEastAsia"/>
          <w:color w:val="000000"/>
          <w:sz w:val="24"/>
          <w:szCs w:val="24"/>
          <w:lang w:val="en-US" w:eastAsia="zh-CN"/>
        </w:rPr>
        <w:t>大厦</w:t>
      </w:r>
      <w:r>
        <w:rPr>
          <w:rFonts w:hint="eastAsia" w:asciiTheme="minorEastAsia" w:hAnsiTheme="minorEastAsia" w:eastAsiaTheme="minorEastAsia"/>
          <w:color w:val="000000"/>
          <w:sz w:val="24"/>
          <w:szCs w:val="24"/>
        </w:rPr>
        <w:t>。</w:t>
      </w:r>
    </w:p>
    <w:p>
      <w:pPr>
        <w:rPr>
          <w:rFonts w:hint="default" w:eastAsiaTheme="minorEastAsia"/>
          <w:lang w:val="en-US" w:eastAsia="zh-CN"/>
        </w:rPr>
      </w:pPr>
      <w:r>
        <w:rPr>
          <w:rFonts w:hint="eastAsia" w:asciiTheme="minorEastAsia" w:hAnsiTheme="minorEastAsia" w:eastAsiaTheme="minorEastAsia"/>
          <w:color w:val="000000"/>
          <w:sz w:val="24"/>
          <w:szCs w:val="24"/>
          <w:lang w:val="en-US" w:eastAsia="zh-CN"/>
        </w:rPr>
        <w:t xml:space="preserve">    3、对接人：云鲁庆17860608070</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四、投标说明</w:t>
      </w:r>
    </w:p>
    <w:p>
      <w:pPr>
        <w:pStyle w:val="12"/>
        <w:spacing w:line="360" w:lineRule="auto"/>
        <w:ind w:firstLine="482" w:firstLineChars="200"/>
        <w:rPr>
          <w:rFonts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1、投标条件</w:t>
      </w:r>
    </w:p>
    <w:p>
      <w:pPr>
        <w:pStyle w:val="12"/>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asciiTheme="minorEastAsia" w:hAnsiTheme="minorEastAsia" w:eastAsiaTheme="minorEastAsia"/>
          <w:color w:val="000000"/>
          <w:sz w:val="24"/>
          <w:szCs w:val="24"/>
        </w:rPr>
        <w:t>100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pPr>
        <w:pStyle w:val="12"/>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（2）拟投标人应提供三证合一的供营业执照副本原件。</w:t>
      </w:r>
    </w:p>
    <w:p>
      <w:pPr>
        <w:pStyle w:val="12"/>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pPr>
        <w:pStyle w:val="12"/>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pPr>
        <w:pStyle w:val="12"/>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pPr>
        <w:pStyle w:val="12"/>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（7）本项目不接受联合体报价。</w:t>
      </w:r>
    </w:p>
    <w:p>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拟投标人应提供通力电梯正品配件销售授权证明。</w:t>
      </w:r>
    </w:p>
    <w:p>
      <w:pPr>
        <w:pStyle w:val="12"/>
        <w:spacing w:line="360" w:lineRule="auto"/>
        <w:ind w:firstLine="235" w:firstLineChars="98"/>
        <w:rPr>
          <w:rFonts w:asciiTheme="minorEastAsia" w:hAnsiTheme="minorEastAsia" w:eastAsiaTheme="minorEastAsia"/>
          <w:color w:val="000000"/>
          <w:sz w:val="24"/>
          <w:szCs w:val="24"/>
        </w:rPr>
      </w:pPr>
    </w:p>
    <w:p>
      <w:pPr>
        <w:pStyle w:val="12"/>
        <w:spacing w:line="360" w:lineRule="auto"/>
        <w:ind w:firstLine="482" w:firstLineChars="200"/>
        <w:rPr>
          <w:rFonts w:asciiTheme="minorEastAsia" w:hAnsiTheme="minorEastAsia" w:eastAsiaTheme="minorEastAsia"/>
          <w:b/>
          <w:bCs/>
          <w:sz w:val="24"/>
          <w:szCs w:val="24"/>
        </w:rPr>
      </w:pPr>
      <w:r>
        <w:rPr>
          <w:rFonts w:hint="eastAsia" w:asciiTheme="minorEastAsia" w:hAnsiTheme="minorEastAsia" w:eastAsiaTheme="minorEastAsia"/>
          <w:b/>
          <w:bCs/>
          <w:color w:val="000000"/>
          <w:sz w:val="24"/>
          <w:szCs w:val="24"/>
        </w:rPr>
        <w:t>2、报价</w:t>
      </w:r>
    </w:p>
    <w:p>
      <w:pPr>
        <w:pStyle w:val="12"/>
        <w:numPr>
          <w:ilvl w:val="0"/>
          <w:numId w:val="1"/>
        </w:num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sz w:val="24"/>
          <w:szCs w:val="24"/>
        </w:rPr>
        <w:t>投标人</w:t>
      </w:r>
      <w:r>
        <w:rPr>
          <w:rFonts w:hint="eastAsia" w:asciiTheme="minorEastAsia" w:hAnsiTheme="minorEastAsia" w:eastAsiaTheme="minorEastAsia"/>
          <w:color w:val="000000"/>
          <w:sz w:val="24"/>
          <w:szCs w:val="24"/>
        </w:rPr>
        <w:t>自行勘察现场，进行合理报价。报价为投标总报价应包括但不限于</w:t>
      </w:r>
      <w:r>
        <w:rPr>
          <w:rFonts w:hint="eastAsia" w:asciiTheme="minorEastAsia" w:hAnsiTheme="minorEastAsia" w:eastAsiaTheme="minorEastAsia"/>
          <w:color w:val="000000"/>
          <w:sz w:val="24"/>
          <w:szCs w:val="24"/>
          <w:lang w:val="en-US" w:eastAsia="zh-CN"/>
        </w:rPr>
        <w:t>通力</w:t>
      </w:r>
      <w:r>
        <w:rPr>
          <w:rFonts w:hint="eastAsia" w:asciiTheme="minorEastAsia" w:hAnsiTheme="minorEastAsia" w:eastAsiaTheme="minorEastAsia"/>
          <w:color w:val="000000"/>
          <w:sz w:val="24"/>
          <w:szCs w:val="24"/>
        </w:rPr>
        <w:t>电梯维修和</w:t>
      </w:r>
      <w:r>
        <w:rPr>
          <w:rFonts w:hint="eastAsia" w:cs="MISMMT+ËÎÌå" w:asciiTheme="minorEastAsia" w:hAnsiTheme="minorEastAsia" w:eastAsiaTheme="minorEastAsia"/>
          <w:color w:val="000000"/>
          <w:sz w:val="24"/>
          <w:szCs w:val="24"/>
        </w:rPr>
        <w:t>保养费</w:t>
      </w:r>
      <w:r>
        <w:rPr>
          <w:rFonts w:hint="eastAsia" w:asciiTheme="minorEastAsia" w:hAnsiTheme="minorEastAsia" w:eastAsiaTheme="minorEastAsia"/>
          <w:color w:val="000000"/>
          <w:sz w:val="24"/>
          <w:szCs w:val="24"/>
        </w:rPr>
        <w:t>、更换费用、运杂、安装调试、软件升级与其他专业配合及可预见的风险、以及其它不可预见等全部费用</w:t>
      </w:r>
      <w:r>
        <w:rPr>
          <w:rFonts w:hint="eastAsia" w:asciiTheme="minorEastAsia" w:hAnsiTheme="minorEastAsia" w:eastAsiaTheme="minorEastAsia"/>
          <w:color w:val="000000"/>
          <w:sz w:val="24"/>
          <w:szCs w:val="24"/>
          <w:lang w:eastAsia="zh-CN"/>
        </w:rPr>
        <w:t>，</w:t>
      </w:r>
      <w:r>
        <w:rPr>
          <w:rFonts w:hint="eastAsia" w:asciiTheme="minorEastAsia" w:hAnsiTheme="minorEastAsia" w:eastAsiaTheme="minorEastAsia"/>
          <w:color w:val="000000"/>
          <w:sz w:val="24"/>
          <w:szCs w:val="24"/>
          <w:lang w:val="en-US" w:eastAsia="zh-CN"/>
        </w:rPr>
        <w:t>报价不得高于系统最高限价</w:t>
      </w:r>
      <w:r>
        <w:rPr>
          <w:rFonts w:hint="eastAsia" w:asciiTheme="minorEastAsia" w:hAnsiTheme="minorEastAsia" w:eastAsiaTheme="minorEastAsia"/>
          <w:color w:val="000000"/>
          <w:sz w:val="24"/>
          <w:szCs w:val="24"/>
        </w:rPr>
        <w:t>。</w:t>
      </w:r>
    </w:p>
    <w:p>
      <w:pPr>
        <w:pStyle w:val="12"/>
        <w:numPr>
          <w:ilvl w:val="0"/>
          <w:numId w:val="1"/>
        </w:num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通力</w:t>
      </w:r>
      <w:r>
        <w:rPr>
          <w:rFonts w:hint="eastAsia" w:asciiTheme="minorEastAsia" w:hAnsiTheme="minorEastAsia" w:eastAsiaTheme="minorEastAsia"/>
          <w:sz w:val="24"/>
          <w:szCs w:val="24"/>
        </w:rPr>
        <w:t>电梯</w:t>
      </w:r>
      <w:r>
        <w:rPr>
          <w:rFonts w:hint="eastAsia" w:cs="MISMMT+ËÎÌå" w:asciiTheme="minorEastAsia" w:hAnsiTheme="minorEastAsia" w:eastAsiaTheme="minorEastAsia"/>
          <w:sz w:val="24"/>
          <w:szCs w:val="24"/>
        </w:rPr>
        <w:t>直梯</w:t>
      </w:r>
      <w:r>
        <w:rPr>
          <w:rFonts w:hint="eastAsia" w:cs="MISMMT+ËÎÌå" w:asciiTheme="minorEastAsia" w:hAnsiTheme="minorEastAsia" w:eastAsiaTheme="minorEastAsia"/>
          <w:sz w:val="24"/>
          <w:szCs w:val="24"/>
          <w:lang w:val="en-US" w:eastAsia="zh-CN"/>
        </w:rPr>
        <w:t>20</w:t>
      </w:r>
      <w:r>
        <w:rPr>
          <w:rFonts w:hint="eastAsia" w:cs="MISMMT+ËÎÌå" w:asciiTheme="minorEastAsia" w:hAnsiTheme="minorEastAsia" w:eastAsiaTheme="minorEastAsia"/>
          <w:sz w:val="24"/>
          <w:szCs w:val="24"/>
        </w:rPr>
        <w:t>台，扶梯</w:t>
      </w:r>
      <w:r>
        <w:rPr>
          <w:rFonts w:hint="eastAsia" w:cs="MISMMT+ËÎÌå" w:asciiTheme="minorEastAsia" w:hAnsiTheme="minorEastAsia" w:eastAsiaTheme="minorEastAsia"/>
          <w:sz w:val="24"/>
          <w:szCs w:val="24"/>
          <w:lang w:val="en-US" w:eastAsia="zh-CN"/>
        </w:rPr>
        <w:t>10</w:t>
      </w:r>
      <w:r>
        <w:rPr>
          <w:rFonts w:hint="eastAsia" w:cs="MISMMT+ËÎÌå" w:asciiTheme="minorEastAsia" w:hAnsiTheme="minorEastAsia" w:eastAsiaTheme="minorEastAsia"/>
          <w:sz w:val="24"/>
          <w:szCs w:val="24"/>
        </w:rPr>
        <w:t>台</w:t>
      </w:r>
      <w:r>
        <w:rPr>
          <w:rFonts w:hint="eastAsia" w:cs="MISMMT+ËÎÌå" w:asciiTheme="minorEastAsia" w:hAnsiTheme="minorEastAsia" w:eastAsiaTheme="minorEastAsia"/>
          <w:sz w:val="24"/>
          <w:szCs w:val="24"/>
          <w:lang w:val="en-US" w:eastAsia="zh-CN"/>
        </w:rPr>
        <w:t>的</w:t>
      </w:r>
      <w:r>
        <w:rPr>
          <w:rFonts w:hint="eastAsia" w:cs="MISMMT+ËÎÌå" w:asciiTheme="minorEastAsia" w:hAnsiTheme="minorEastAsia" w:eastAsiaTheme="minorEastAsia"/>
          <w:sz w:val="24"/>
          <w:szCs w:val="24"/>
        </w:rPr>
        <w:t>维修和保养</w:t>
      </w:r>
      <w:r>
        <w:rPr>
          <w:rFonts w:hint="eastAsia" w:cs="MISMMT+ËÎÌå" w:asciiTheme="minorEastAsia" w:hAnsiTheme="minorEastAsia" w:eastAsiaTheme="minorEastAsia"/>
          <w:sz w:val="24"/>
          <w:szCs w:val="24"/>
          <w:lang w:eastAsia="zh-CN"/>
        </w:rPr>
        <w:t>、</w:t>
      </w:r>
      <w:r>
        <w:rPr>
          <w:rFonts w:hint="eastAsia" w:cs="MISMMT+ËÎÌå" w:asciiTheme="minorEastAsia" w:hAnsiTheme="minorEastAsia" w:eastAsiaTheme="minorEastAsia"/>
          <w:sz w:val="24"/>
          <w:szCs w:val="24"/>
          <w:lang w:val="en-US" w:eastAsia="zh-CN"/>
        </w:rPr>
        <w:t>检验检测</w:t>
      </w:r>
      <w:r>
        <w:rPr>
          <w:rFonts w:hint="eastAsia" w:cs="MISMMT+ËÎÌå" w:asciiTheme="minorEastAsia" w:hAnsiTheme="minorEastAsia" w:eastAsiaTheme="minorEastAsia"/>
          <w:sz w:val="24"/>
          <w:szCs w:val="24"/>
        </w:rPr>
        <w:t>。</w:t>
      </w:r>
    </w:p>
    <w:p>
      <w:pPr>
        <w:pStyle w:val="12"/>
        <w:numPr>
          <w:ilvl w:val="0"/>
          <w:numId w:val="1"/>
        </w:numPr>
        <w:spacing w:line="360" w:lineRule="auto"/>
        <w:rPr>
          <w:rFonts w:asciiTheme="minorEastAsia" w:hAnsiTheme="minorEastAsia" w:eastAsiaTheme="minorEastAsia"/>
          <w:sz w:val="24"/>
          <w:szCs w:val="24"/>
        </w:rPr>
      </w:pPr>
      <w:r>
        <w:rPr>
          <w:rFonts w:hint="eastAsia" w:cs="MISMMT+ËÎÌå" w:asciiTheme="minorEastAsia" w:hAnsiTheme="minorEastAsia" w:eastAsiaTheme="minorEastAsia"/>
          <w:sz w:val="24"/>
          <w:szCs w:val="24"/>
          <w:lang w:val="en-US" w:eastAsia="zh-CN"/>
        </w:rPr>
        <w:t>配件价格为框架协议，根据损坏部位更换情况，据实结算。</w:t>
      </w:r>
    </w:p>
    <w:p>
      <w:pPr>
        <w:pStyle w:val="12"/>
        <w:spacing w:line="360" w:lineRule="auto"/>
        <w:ind w:firstLine="482" w:firstLineChars="200"/>
        <w:rPr>
          <w:rFonts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3、付款方式：</w:t>
      </w:r>
      <w:r>
        <w:rPr>
          <w:rFonts w:hint="eastAsia" w:asciiTheme="minorEastAsia" w:hAnsiTheme="minorEastAsia" w:eastAsiaTheme="minorEastAsia"/>
          <w:b/>
          <w:color w:val="000000"/>
          <w:sz w:val="28"/>
          <w:szCs w:val="24"/>
        </w:rPr>
        <w:t>半年期商业汇票</w:t>
      </w:r>
    </w:p>
    <w:p>
      <w:pPr>
        <w:pStyle w:val="12"/>
        <w:spacing w:line="360" w:lineRule="auto"/>
        <w:ind w:firstLine="480" w:firstLineChars="200"/>
        <w:rPr>
          <w:rFonts w:hint="eastAsia" w:asciiTheme="minorEastAsia" w:hAnsiTheme="minorEastAsia" w:eastAsiaTheme="minorEastAsia"/>
          <w:color w:val="000000"/>
          <w:sz w:val="24"/>
          <w:szCs w:val="24"/>
        </w:rPr>
      </w:pPr>
      <w:r>
        <w:rPr>
          <w:rFonts w:hint="eastAsia" w:cs="仿宋" w:asciiTheme="minorEastAsia" w:hAnsiTheme="minorEastAsia" w:eastAsiaTheme="minorEastAsia"/>
          <w:sz w:val="24"/>
          <w:szCs w:val="24"/>
          <w:lang w:val="en-US" w:eastAsia="zh-CN"/>
        </w:rPr>
        <w:t>维保费：</w:t>
      </w:r>
      <w:r>
        <w:rPr>
          <w:rFonts w:hint="eastAsia" w:cs="仿宋" w:asciiTheme="minorEastAsia" w:hAnsiTheme="minorEastAsia" w:eastAsiaTheme="minorEastAsia"/>
          <w:sz w:val="24"/>
          <w:szCs w:val="24"/>
        </w:rPr>
        <w:t>先服务后付款，每半年支付合同款50%，</w:t>
      </w:r>
      <w:r>
        <w:rPr>
          <w:rFonts w:hint="eastAsia" w:asciiTheme="minorEastAsia" w:hAnsiTheme="minorEastAsia" w:eastAsiaTheme="minorEastAsia"/>
          <w:color w:val="000000"/>
          <w:sz w:val="24"/>
          <w:szCs w:val="24"/>
        </w:rPr>
        <w:t>6月底付1-6月维保费，12月底付7-12月维保费。卖方提交金额为合同价款100%的增值税专用发票，经买方依照财务制度审核无误后</w:t>
      </w:r>
      <w:r>
        <w:rPr>
          <w:rFonts w:hint="eastAsia" w:asciiTheme="minorEastAsia" w:hAnsiTheme="minorEastAsia" w:eastAsiaTheme="minorEastAsia"/>
          <w:color w:val="000000"/>
          <w:sz w:val="24"/>
          <w:szCs w:val="24"/>
          <w:u w:val="single"/>
        </w:rPr>
        <w:t>3</w:t>
      </w:r>
      <w:r>
        <w:rPr>
          <w:rFonts w:asciiTheme="minorEastAsia" w:hAnsiTheme="minorEastAsia" w:eastAsiaTheme="minorEastAsia"/>
          <w:color w:val="000000"/>
          <w:sz w:val="24"/>
          <w:szCs w:val="24"/>
          <w:u w:val="single"/>
        </w:rPr>
        <w:t>0</w:t>
      </w:r>
      <w:r>
        <w:rPr>
          <w:rFonts w:hint="eastAsia" w:asciiTheme="minorEastAsia" w:hAnsiTheme="minorEastAsia" w:eastAsiaTheme="minorEastAsia"/>
          <w:color w:val="000000"/>
          <w:sz w:val="24"/>
          <w:szCs w:val="24"/>
          <w:u w:val="single"/>
        </w:rPr>
        <w:t>个</w:t>
      </w:r>
      <w:r>
        <w:rPr>
          <w:rFonts w:hint="eastAsia" w:asciiTheme="minorEastAsia" w:hAnsiTheme="minorEastAsia" w:eastAsiaTheme="minorEastAsia"/>
          <w:color w:val="000000"/>
          <w:sz w:val="24"/>
          <w:szCs w:val="24"/>
        </w:rPr>
        <w:t>工作日内支付。</w:t>
      </w:r>
    </w:p>
    <w:p>
      <w:pPr>
        <w:pStyle w:val="12"/>
        <w:spacing w:line="360" w:lineRule="auto"/>
        <w:ind w:firstLine="480" w:firstLineChars="200"/>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电梯检验检测费用及配件采购费：经买方确认采购计划，安装调试完成并验收合格后，卖方提供足额增值税专用发票，次月支付。</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五、议程安排</w:t>
      </w:r>
    </w:p>
    <w:p>
      <w:pPr>
        <w:pStyle w:val="12"/>
        <w:spacing w:line="360" w:lineRule="auto"/>
        <w:ind w:left="719" w:leftChars="228" w:hanging="240" w:hangingChars="100"/>
        <w:jc w:val="left"/>
        <w:rPr>
          <w:rFonts w:hint="eastAsia" w:cs="Times New Roman"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rPr>
        <w:t>1、</w:t>
      </w:r>
      <w:r>
        <w:rPr>
          <w:rFonts w:hint="eastAsia" w:cs="Times New Roman" w:asciiTheme="minorEastAsia" w:hAnsiTheme="minorEastAsia" w:eastAsiaTheme="minorEastAsia"/>
          <w:color w:val="000000"/>
          <w:sz w:val="24"/>
          <w:szCs w:val="24"/>
          <w:lang w:val="en-US" w:eastAsia="zh-CN"/>
        </w:rPr>
        <w:t>招标形式</w:t>
      </w:r>
      <w:r>
        <w:rPr>
          <w:rFonts w:hint="eastAsia" w:cs="Times New Roman"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lang w:val="en-US" w:eastAsia="zh-CN"/>
        </w:rPr>
        <w:t>公开招标</w:t>
      </w:r>
      <w:r>
        <w:rPr>
          <w:rFonts w:hint="eastAsia" w:cs="Times New Roman" w:asciiTheme="minorEastAsia" w:hAnsiTheme="minorEastAsia" w:eastAsiaTheme="minorEastAsia"/>
          <w:color w:val="000000"/>
          <w:sz w:val="24"/>
          <w:szCs w:val="24"/>
          <w:lang w:val="en-US" w:eastAsia="zh-CN"/>
        </w:rPr>
        <w:t>。报名（供方资质审核）、发标、应标、评标、审批等环节均在重汽e采通中进行。中国重汽e采通网址：(</w:t>
      </w:r>
      <w:r>
        <w:rPr>
          <w:rFonts w:hint="eastAsia" w:cs="Times New Roman" w:asciiTheme="minorEastAsia" w:hAnsiTheme="minorEastAsia" w:eastAsiaTheme="minorEastAsia"/>
          <w:color w:val="000000"/>
          <w:sz w:val="24"/>
          <w:szCs w:val="24"/>
          <w:lang w:val="en-US" w:eastAsia="zh-CN"/>
        </w:rPr>
        <w:fldChar w:fldCharType="begin"/>
      </w:r>
      <w:r>
        <w:rPr>
          <w:rFonts w:hint="eastAsia" w:cs="Times New Roman" w:asciiTheme="minorEastAsia" w:hAnsiTheme="minorEastAsia" w:eastAsiaTheme="minorEastAsia"/>
          <w:color w:val="000000"/>
          <w:sz w:val="24"/>
          <w:szCs w:val="24"/>
          <w:lang w:val="en-US" w:eastAsia="zh-CN"/>
        </w:rPr>
        <w:instrText xml:space="preserve"> HYPERLINK "http://ecaitong.sinotruk.com:8012)" \t "_blank" </w:instrText>
      </w:r>
      <w:r>
        <w:rPr>
          <w:rFonts w:hint="eastAsia" w:cs="Times New Roman" w:asciiTheme="minorEastAsia" w:hAnsiTheme="minorEastAsia" w:eastAsiaTheme="minorEastAsia"/>
          <w:color w:val="000000"/>
          <w:sz w:val="24"/>
          <w:szCs w:val="24"/>
          <w:lang w:val="en-US" w:eastAsia="zh-CN"/>
        </w:rPr>
        <w:fldChar w:fldCharType="separate"/>
      </w:r>
      <w:r>
        <w:rPr>
          <w:rFonts w:hint="eastAsia" w:cs="Times New Roman" w:asciiTheme="minorEastAsia" w:hAnsiTheme="minorEastAsia" w:eastAsiaTheme="minorEastAsia"/>
          <w:color w:val="000000"/>
          <w:sz w:val="24"/>
          <w:szCs w:val="24"/>
          <w:lang w:val="en-US" w:eastAsia="zh-CN"/>
        </w:rPr>
        <w:t>http://ecaitong.sinotruk.com:8012)</w:t>
      </w:r>
      <w:r>
        <w:rPr>
          <w:rFonts w:hint="eastAsia" w:cs="Times New Roman" w:asciiTheme="minorEastAsia" w:hAnsiTheme="minorEastAsia" w:eastAsiaTheme="minorEastAsia"/>
          <w:color w:val="000000"/>
          <w:sz w:val="24"/>
          <w:szCs w:val="24"/>
          <w:lang w:val="en-US" w:eastAsia="zh-CN"/>
        </w:rPr>
        <w:fldChar w:fldCharType="end"/>
      </w:r>
      <w:r>
        <w:rPr>
          <w:rFonts w:hint="eastAsia" w:cs="Times New Roman" w:asciiTheme="minorEastAsia" w:hAnsiTheme="minorEastAsia" w:eastAsiaTheme="minorEastAsia"/>
          <w:color w:val="000000"/>
          <w:sz w:val="24"/>
          <w:szCs w:val="24"/>
          <w:lang w:val="en-US" w:eastAsia="zh-CN"/>
        </w:rPr>
        <w:t>。</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2、发标时间：2025年12月24日</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3、应标（报名）截止时间：2025年12月28日17:00</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4、投标截止时间：2026年1月4日8:50</w:t>
      </w:r>
    </w:p>
    <w:p>
      <w:pPr>
        <w:pStyle w:val="12"/>
        <w:numPr>
          <w:numId w:val="0"/>
        </w:numPr>
        <w:spacing w:line="360" w:lineRule="auto"/>
        <w:ind w:firstLine="480" w:firstLineChars="200"/>
        <w:rPr>
          <w:rFonts w:hint="eastAsia" w:asciiTheme="minorEastAsia" w:hAnsiTheme="minorEastAsia" w:eastAsiaTheme="minorEastAsia"/>
          <w:color w:val="000000"/>
          <w:sz w:val="24"/>
          <w:szCs w:val="24"/>
        </w:rPr>
      </w:pPr>
      <w:r>
        <w:rPr>
          <w:rFonts w:hint="eastAsia" w:hAnsi="宋体" w:cs="宋体"/>
          <w:color w:val="000000"/>
          <w:sz w:val="24"/>
          <w:szCs w:val="24"/>
          <w:highlight w:val="green"/>
          <w:lang w:val="en-US" w:eastAsia="zh-CN"/>
        </w:rPr>
        <w:t>5、</w:t>
      </w:r>
      <w:r>
        <w:rPr>
          <w:rFonts w:hint="eastAsia" w:ascii="宋体" w:hAnsi="宋体" w:eastAsia="宋体" w:cs="宋体"/>
          <w:color w:val="000000"/>
          <w:sz w:val="24"/>
          <w:szCs w:val="24"/>
          <w:highlight w:val="green"/>
        </w:rPr>
        <w:t>开标时间：202</w:t>
      </w:r>
      <w:r>
        <w:rPr>
          <w:rFonts w:hint="eastAsia" w:hAnsi="宋体" w:cs="宋体"/>
          <w:color w:val="000000"/>
          <w:sz w:val="24"/>
          <w:szCs w:val="24"/>
          <w:highlight w:val="green"/>
          <w:lang w:val="en-US" w:eastAsia="zh-CN"/>
        </w:rPr>
        <w:t>6</w:t>
      </w:r>
      <w:r>
        <w:rPr>
          <w:rFonts w:hint="eastAsia" w:ascii="宋体" w:hAnsi="宋体" w:eastAsia="宋体" w:cs="宋体"/>
          <w:color w:val="000000"/>
          <w:sz w:val="24"/>
          <w:szCs w:val="24"/>
          <w:highlight w:val="green"/>
        </w:rPr>
        <w:t>年1月</w:t>
      </w:r>
      <w:r>
        <w:rPr>
          <w:rFonts w:hint="eastAsia" w:hAnsi="宋体" w:cs="宋体"/>
          <w:color w:val="000000"/>
          <w:sz w:val="24"/>
          <w:szCs w:val="24"/>
          <w:highlight w:val="green"/>
          <w:lang w:val="en-US" w:eastAsia="zh-CN"/>
        </w:rPr>
        <w:t>4</w:t>
      </w:r>
      <w:r>
        <w:rPr>
          <w:rFonts w:hint="eastAsia" w:ascii="宋体" w:hAnsi="宋体" w:eastAsia="宋体" w:cs="宋体"/>
          <w:color w:val="000000"/>
          <w:sz w:val="24"/>
          <w:szCs w:val="24"/>
          <w:highlight w:val="green"/>
        </w:rPr>
        <w:t>日上午 9：00，若有变动另行通知</w:t>
      </w:r>
      <w:r>
        <w:rPr>
          <w:rFonts w:hint="eastAsia" w:ascii="宋体" w:hAnsi="宋体" w:eastAsia="宋体" w:cs="宋体"/>
          <w:color w:val="000000"/>
          <w:sz w:val="24"/>
          <w:szCs w:val="24"/>
        </w:rPr>
        <w:t>。</w:t>
      </w:r>
      <w:r>
        <w:rPr>
          <w:rFonts w:hint="eastAsia" w:asciiTheme="minorEastAsia" w:hAnsiTheme="minorEastAsia" w:eastAsiaTheme="minorEastAsia"/>
          <w:color w:val="000000"/>
          <w:sz w:val="24"/>
          <w:szCs w:val="24"/>
        </w:rPr>
        <w:t>。</w:t>
      </w:r>
    </w:p>
    <w:p>
      <w:pPr>
        <w:pStyle w:val="12"/>
        <w:numPr>
          <w:numId w:val="0"/>
        </w:numPr>
        <w:spacing w:line="360" w:lineRule="auto"/>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6、</w:t>
      </w:r>
      <w:r>
        <w:rPr>
          <w:rFonts w:hint="eastAsia" w:cs="仿宋" w:asciiTheme="minorEastAsia" w:hAnsiTheme="minorEastAsia" w:eastAsiaTheme="minorEastAsia"/>
          <w:sz w:val="24"/>
          <w:szCs w:val="24"/>
        </w:rPr>
        <w:t>投标地点：</w:t>
      </w:r>
      <w:r>
        <w:rPr>
          <w:rFonts w:hint="eastAsia" w:cs="仿宋" w:asciiTheme="minorEastAsia" w:hAnsiTheme="minorEastAsia" w:eastAsiaTheme="minorEastAsia"/>
          <w:sz w:val="24"/>
          <w:szCs w:val="24"/>
          <w:lang w:val="en-US" w:eastAsia="zh-CN"/>
        </w:rPr>
        <w:t>未来科技大厦306会议室</w:t>
      </w:r>
      <w:r>
        <w:rPr>
          <w:rFonts w:hint="eastAsia" w:cs="仿宋" w:asciiTheme="minorEastAsia" w:hAnsiTheme="minorEastAsia" w:eastAsiaTheme="minorEastAsia"/>
          <w:sz w:val="24"/>
          <w:szCs w:val="24"/>
        </w:rPr>
        <w:t>（若有变动另行通知）。</w:t>
      </w:r>
    </w:p>
    <w:p>
      <w:pPr>
        <w:ind w:firstLine="480" w:firstLineChars="200"/>
        <w:rPr>
          <w:rFonts w:hint="eastAsia" w:ascii="宋体" w:hAnsi="宋体" w:eastAsia="宋体" w:cs="宋体"/>
          <w:sz w:val="24"/>
          <w:szCs w:val="24"/>
          <w:lang w:val="en-US" w:eastAsia="zh-CN"/>
        </w:rPr>
      </w:pPr>
      <w:r>
        <w:rPr>
          <w:rFonts w:hint="eastAsia" w:ascii="宋体" w:hAnsi="宋体" w:cs="宋体"/>
          <w:sz w:val="24"/>
          <w:szCs w:val="24"/>
          <w:lang w:val="en-US" w:eastAsia="zh-CN"/>
        </w:rPr>
        <w:t>7</w:t>
      </w:r>
      <w:r>
        <w:rPr>
          <w:rFonts w:hint="eastAsia" w:ascii="宋体" w:hAnsi="宋体" w:eastAsia="宋体" w:cs="宋体"/>
          <w:sz w:val="24"/>
          <w:szCs w:val="24"/>
          <w:lang w:val="en-US" w:eastAsia="zh-CN"/>
        </w:rPr>
        <w:t>、投标保证金：</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7.1</w:t>
      </w:r>
      <w:r>
        <w:rPr>
          <w:rFonts w:hint="eastAsia" w:ascii="宋体" w:hAnsi="宋体" w:eastAsia="宋体" w:cs="宋体"/>
          <w:color w:val="000000"/>
          <w:sz w:val="24"/>
          <w:szCs w:val="24"/>
        </w:rPr>
        <w:t>投标人在报名参与本项目的同时，应提供</w:t>
      </w:r>
      <w:bookmarkStart w:id="30" w:name="_GoBack"/>
      <w:r>
        <w:rPr>
          <w:rFonts w:hint="eastAsia" w:ascii="宋体" w:hAnsi="宋体" w:cs="宋体"/>
          <w:b/>
          <w:bCs/>
          <w:color w:val="000000"/>
          <w:sz w:val="24"/>
          <w:szCs w:val="24"/>
          <w:lang w:val="en-US" w:eastAsia="zh-CN"/>
        </w:rPr>
        <w:t>10</w:t>
      </w:r>
      <w:r>
        <w:rPr>
          <w:rFonts w:hint="eastAsia" w:ascii="宋体" w:hAnsi="宋体" w:eastAsia="宋体" w:cs="宋体"/>
          <w:b/>
          <w:bCs/>
          <w:color w:val="000000"/>
          <w:sz w:val="24"/>
          <w:szCs w:val="24"/>
          <w:lang w:val="en-US" w:eastAsia="zh-CN"/>
        </w:rPr>
        <w:t>000</w:t>
      </w:r>
      <w:r>
        <w:rPr>
          <w:rFonts w:hint="eastAsia" w:ascii="宋体" w:hAnsi="宋体" w:eastAsia="宋体" w:cs="宋体"/>
          <w:b/>
          <w:bCs/>
          <w:color w:val="000000"/>
          <w:sz w:val="24"/>
          <w:szCs w:val="24"/>
        </w:rPr>
        <w:t>元</w:t>
      </w:r>
      <w:bookmarkEnd w:id="30"/>
      <w:r>
        <w:rPr>
          <w:rFonts w:hint="eastAsia" w:ascii="宋体" w:hAnsi="宋体" w:eastAsia="宋体" w:cs="宋体"/>
          <w:color w:val="000000"/>
          <w:sz w:val="24"/>
          <w:szCs w:val="24"/>
        </w:rPr>
        <w:t>（或其他等值货币）的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w:t>
      </w:r>
      <w:r>
        <w:rPr>
          <w:rFonts w:hint="eastAsia" w:ascii="宋体" w:hAnsi="宋体" w:eastAsia="宋体" w:cs="宋体"/>
          <w:color w:val="000000"/>
          <w:sz w:val="24"/>
          <w:szCs w:val="24"/>
        </w:rPr>
        <w:t>.2招标人银行账户信息如下：</w:t>
      </w:r>
    </w:p>
    <w:p>
      <w:pPr>
        <w:spacing w:line="360" w:lineRule="auto"/>
        <w:ind w:left="479" w:leftChars="228"/>
        <w:rPr>
          <w:rFonts w:hint="eastAsia" w:ascii="宋体" w:hAnsi="宋体" w:eastAsia="宋体" w:cs="宋体"/>
          <w:color w:val="000000"/>
          <w:sz w:val="24"/>
          <w:szCs w:val="24"/>
        </w:rPr>
      </w:pPr>
      <w:r>
        <w:rPr>
          <w:rFonts w:hint="eastAsia" w:ascii="宋体" w:hAnsi="宋体" w:eastAsia="宋体" w:cs="宋体"/>
          <w:sz w:val="24"/>
          <w:szCs w:val="24"/>
        </w:rPr>
        <w:t>账户名称：中国重汽集团济南动力有限公司</w:t>
      </w:r>
      <w:r>
        <w:rPr>
          <w:rFonts w:hint="eastAsia" w:ascii="宋体" w:hAnsi="宋体" w:eastAsia="宋体" w:cs="宋体"/>
          <w:sz w:val="24"/>
          <w:szCs w:val="24"/>
        </w:rPr>
        <w:br w:type="textWrapping"/>
      </w:r>
      <w:r>
        <w:rPr>
          <w:rFonts w:hint="eastAsia" w:ascii="宋体" w:hAnsi="宋体" w:eastAsia="宋体" w:cs="宋体"/>
          <w:sz w:val="24"/>
          <w:szCs w:val="24"/>
        </w:rPr>
        <w:t>银行账号：37001616508050150300</w:t>
      </w:r>
      <w:r>
        <w:rPr>
          <w:rFonts w:hint="eastAsia" w:ascii="宋体" w:hAnsi="宋体" w:eastAsia="宋体" w:cs="宋体"/>
          <w:sz w:val="24"/>
          <w:szCs w:val="24"/>
        </w:rPr>
        <w:br w:type="textWrapping"/>
      </w:r>
      <w:r>
        <w:rPr>
          <w:rFonts w:hint="eastAsia" w:ascii="宋体" w:hAnsi="宋体" w:eastAsia="宋体" w:cs="宋体"/>
          <w:sz w:val="24"/>
          <w:szCs w:val="24"/>
        </w:rPr>
        <w:t>开户银行：中国建设银行济南市天桥区支行</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注意事项：</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转账时，请注意备注</w:t>
      </w:r>
      <w:r>
        <w:rPr>
          <w:rFonts w:hint="eastAsia" w:ascii="宋体" w:hAnsi="宋体" w:cs="宋体"/>
          <w:color w:val="000000"/>
          <w:sz w:val="24"/>
          <w:szCs w:val="24"/>
          <w:highlight w:val="green"/>
          <w:lang w:eastAsia="zh-CN"/>
        </w:rPr>
        <w:t>：</w:t>
      </w:r>
      <w:r>
        <w:rPr>
          <w:rFonts w:hint="eastAsia" w:ascii="宋体" w:hAnsi="宋体" w:cs="宋体"/>
          <w:b/>
          <w:bCs/>
          <w:color w:val="000000"/>
          <w:sz w:val="24"/>
          <w:szCs w:val="24"/>
          <w:highlight w:val="green"/>
          <w:lang w:val="en-US" w:eastAsia="zh-CN"/>
        </w:rPr>
        <w:t>投标保证金-</w:t>
      </w:r>
      <w:r>
        <w:rPr>
          <w:rFonts w:hint="eastAsia" w:ascii="宋体" w:hAnsi="宋体" w:eastAsia="宋体" w:cs="宋体"/>
          <w:b/>
          <w:bCs/>
          <w:color w:val="000000"/>
          <w:sz w:val="24"/>
          <w:szCs w:val="24"/>
          <w:highlight w:val="green"/>
        </w:rPr>
        <w:t>项目</w:t>
      </w:r>
      <w:r>
        <w:rPr>
          <w:rFonts w:hint="eastAsia" w:ascii="宋体" w:hAnsi="宋体" w:cs="宋体"/>
          <w:b/>
          <w:bCs/>
          <w:color w:val="000000"/>
          <w:sz w:val="24"/>
          <w:szCs w:val="24"/>
          <w:highlight w:val="green"/>
          <w:lang w:val="en-US" w:eastAsia="zh-CN"/>
        </w:rPr>
        <w:t>简称-公司简称</w:t>
      </w:r>
      <w:r>
        <w:rPr>
          <w:rFonts w:hint="eastAsia" w:ascii="宋体" w:hAnsi="宋体" w:eastAsia="宋体" w:cs="宋体"/>
          <w:color w:val="000000"/>
          <w:sz w:val="24"/>
          <w:szCs w:val="24"/>
          <w:highlight w:val="green"/>
        </w:rPr>
        <w:t>，方便后期核对退款。</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报名时提供电子回单（含贵公司账户及我公司账户信息）</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报名时候，请务必在邮件正文中文字表述付款账号、户名、开户行名称、开户行行号、保证金金额。</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未按照本要求提供信息，导致保证金退回困难等事宜，由投标单位承担。</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w:t>
      </w:r>
      <w:r>
        <w:rPr>
          <w:rFonts w:hint="eastAsia" w:ascii="宋体" w:hAnsi="宋体" w:eastAsia="宋体" w:cs="宋体"/>
          <w:color w:val="000000"/>
          <w:sz w:val="24"/>
          <w:szCs w:val="24"/>
        </w:rPr>
        <w:t>.3投标保证金形式：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(一) 该银行账户只接受外币电开保函和电汇。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(二) 境外投标单位缴纳投标保证金形式应采用电开保函形式；境内投标单位缴纳投标保证金应采用电汇形式；若有其他特殊情况，请提前与我们沟通，做好转账信息备注工作。</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(三) 对于没有中标的投标单位，投标保证金将于招标人内部完成中标人评审并确认最终中标人后在</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工作日内予以原路返还；对于中标供应商，投标保证金将在签订合同后</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工作日内返还，退还保证金时，不计算利息。</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4.4发生以下情况时，有权没收保证金：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①截至开标前3天，供应商无正当理由、未以书面形式递交说明而在投标截止日不来投标的；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②供应商递送文件后，无正当理由放弃投标的；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③自中标（成交）通知书发出之日起30日内，中标（成交）供应商无正当理由不签订合同的；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④投标过程中被查实有串标、围标、陪标等违规违纪行为的；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⑤供应商有违约违规行为或被投诉、举报的，在调查处理期间，保证金暂不退还，待调查处理结束后按有关规定处理。</w:t>
      </w:r>
    </w:p>
    <w:p>
      <w:pPr>
        <w:ind w:firstLine="960" w:firstLineChars="400"/>
        <w:rPr>
          <w:rFonts w:hint="eastAsia" w:cs="仿宋" w:asciiTheme="minorEastAsia" w:hAnsiTheme="minorEastAsia" w:eastAsiaTheme="minorEastAsia"/>
          <w:sz w:val="24"/>
          <w:szCs w:val="24"/>
          <w:lang w:val="en-US" w:eastAsia="zh-CN"/>
        </w:rPr>
      </w:pPr>
    </w:p>
    <w:p>
      <w:pPr>
        <w:pStyle w:val="12"/>
        <w:spacing w:line="360" w:lineRule="auto"/>
        <w:jc w:val="center"/>
        <w:rPr>
          <w:rFonts w:hint="eastAsia" w:ascii="黑体" w:eastAsia="宋体"/>
          <w:b/>
          <w:bCs/>
          <w:color w:val="000000"/>
          <w:sz w:val="36"/>
          <w:szCs w:val="36"/>
          <w:lang w:eastAsia="zh-CN"/>
        </w:rPr>
      </w:pPr>
      <w:r>
        <w:rPr>
          <w:rFonts w:hint="eastAsia" w:hAnsi="宋体" w:cs="宋体"/>
          <w:b/>
          <w:bCs/>
          <w:color w:val="000000"/>
          <w:sz w:val="36"/>
          <w:szCs w:val="36"/>
        </w:rPr>
        <w:t>第二部分  招标内容和要求</w:t>
      </w:r>
      <w:r>
        <w:rPr>
          <w:rFonts w:hint="eastAsia" w:hAnsi="宋体" w:cs="宋体"/>
          <w:b/>
          <w:bCs/>
          <w:color w:val="000000"/>
          <w:sz w:val="36"/>
          <w:szCs w:val="36"/>
          <w:lang w:eastAsia="zh-CN"/>
        </w:rPr>
        <w:t>（</w:t>
      </w:r>
      <w:r>
        <w:rPr>
          <w:rFonts w:hint="eastAsia" w:hAnsi="宋体" w:cs="宋体"/>
          <w:b/>
          <w:bCs/>
          <w:color w:val="000000"/>
          <w:sz w:val="36"/>
          <w:szCs w:val="36"/>
          <w:lang w:val="en-US" w:eastAsia="zh-CN"/>
        </w:rPr>
        <w:t>具体以合同签署为准</w:t>
      </w:r>
      <w:r>
        <w:rPr>
          <w:rFonts w:hint="eastAsia" w:hAnsi="宋体" w:cs="宋体"/>
          <w:b/>
          <w:bCs/>
          <w:color w:val="000000"/>
          <w:sz w:val="36"/>
          <w:szCs w:val="36"/>
          <w:lang w:eastAsia="zh-CN"/>
        </w:rPr>
        <w:t>）</w:t>
      </w:r>
    </w:p>
    <w:p>
      <w:pPr>
        <w:widowControl/>
        <w:spacing w:line="440" w:lineRule="exact"/>
        <w:ind w:firstLine="420"/>
        <w:rPr>
          <w:rFonts w:cs="仿宋" w:asciiTheme="minorEastAsia" w:hAnsiTheme="minorEastAsia" w:eastAsiaTheme="minorEastAsia"/>
          <w:b/>
          <w:bCs/>
          <w:color w:val="000000"/>
          <w:spacing w:val="1"/>
          <w:sz w:val="24"/>
          <w:szCs w:val="24"/>
        </w:rPr>
      </w:pPr>
      <w:r>
        <w:rPr>
          <w:rFonts w:hint="eastAsia" w:asciiTheme="minorEastAsia" w:hAnsiTheme="minorEastAsia" w:eastAsiaTheme="minorEastAsia"/>
          <w:b/>
          <w:bCs/>
          <w:color w:val="000000"/>
          <w:sz w:val="24"/>
          <w:szCs w:val="24"/>
        </w:rPr>
        <w:t>1、</w:t>
      </w:r>
      <w:r>
        <w:rPr>
          <w:rFonts w:hint="eastAsia" w:cs="仿宋" w:asciiTheme="minorEastAsia" w:hAnsiTheme="minorEastAsia" w:eastAsiaTheme="minorEastAsia"/>
          <w:b/>
          <w:bCs/>
          <w:color w:val="000000"/>
          <w:spacing w:val="1"/>
          <w:sz w:val="24"/>
          <w:szCs w:val="24"/>
        </w:rPr>
        <w:t>服务内容和要求</w:t>
      </w:r>
    </w:p>
    <w:p>
      <w:pPr>
        <w:widowControl/>
        <w:spacing w:line="440" w:lineRule="exact"/>
        <w:ind w:firstLine="42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1.1</w:t>
      </w:r>
      <w:r>
        <w:rPr>
          <w:rFonts w:hint="eastAsia" w:cs="仿宋" w:asciiTheme="minorEastAsia" w:hAnsiTheme="minorEastAsia" w:eastAsiaTheme="minorEastAsia"/>
          <w:bCs/>
          <w:color w:val="000000"/>
          <w:spacing w:val="1"/>
          <w:sz w:val="24"/>
          <w:szCs w:val="24"/>
        </w:rPr>
        <w:t>电梯日常维保项目：</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1.1.1</w:t>
      </w:r>
      <w:r>
        <w:rPr>
          <w:rFonts w:hint="eastAsia" w:cs="仿宋" w:asciiTheme="minorEastAsia" w:hAnsiTheme="minorEastAsia" w:eastAsiaTheme="minorEastAsia"/>
          <w:bCs/>
          <w:color w:val="000000"/>
          <w:sz w:val="24"/>
          <w:szCs w:val="24"/>
        </w:rPr>
        <w:t>完全</w:t>
      </w:r>
      <w:r>
        <w:rPr>
          <w:rFonts w:hint="eastAsia" w:cs="仿宋" w:asciiTheme="minorEastAsia" w:hAnsiTheme="minorEastAsia" w:eastAsiaTheme="minorEastAsia"/>
          <w:bCs/>
          <w:sz w:val="24"/>
          <w:szCs w:val="24"/>
        </w:rPr>
        <w:t>按照国家电梯标准规范GB7588-2003《电梯制造与安装安全规范》、GB/T7588</w:t>
      </w:r>
      <w:r>
        <w:rPr>
          <w:rFonts w:hint="eastAsia" w:cs="仿宋" w:asciiTheme="minorEastAsia" w:hAnsiTheme="minorEastAsia" w:eastAsiaTheme="minorEastAsia"/>
          <w:bCs/>
          <w:spacing w:val="-1"/>
          <w:sz w:val="24"/>
          <w:szCs w:val="24"/>
        </w:rPr>
        <w:t>《电梯维</w:t>
      </w:r>
      <w:r>
        <w:rPr>
          <w:rFonts w:hint="eastAsia" w:cs="仿宋" w:asciiTheme="minorEastAsia" w:hAnsiTheme="minorEastAsia" w:eastAsiaTheme="minorEastAsia"/>
          <w:bCs/>
          <w:sz w:val="24"/>
          <w:szCs w:val="24"/>
        </w:rPr>
        <w:t>修规范》、TSGT5002-2017《电梯维护保养规则》、电梯维修规范GB/T18775-2009、电梯维护保养服务规范DB37/T2619-2014</w:t>
      </w:r>
      <w:r>
        <w:rPr>
          <w:rFonts w:hint="eastAsia" w:cs="仿宋" w:asciiTheme="minorEastAsia" w:hAnsiTheme="minorEastAsia" w:eastAsiaTheme="minorEastAsia"/>
          <w:bCs/>
          <w:spacing w:val="-2"/>
          <w:sz w:val="24"/>
          <w:szCs w:val="24"/>
        </w:rPr>
        <w:t>、电梯安装使用维护说明书，</w:t>
      </w:r>
      <w:r>
        <w:rPr>
          <w:rFonts w:hint="eastAsia" w:cs="仿宋" w:asciiTheme="minorEastAsia" w:hAnsiTheme="minorEastAsia" w:eastAsiaTheme="minorEastAsia"/>
          <w:bCs/>
          <w:color w:val="000000"/>
          <w:spacing w:val="-2"/>
          <w:sz w:val="24"/>
          <w:szCs w:val="24"/>
        </w:rPr>
        <w:t>以及当地政府部门相关文</w:t>
      </w:r>
      <w:r>
        <w:rPr>
          <w:rFonts w:hint="eastAsia" w:cs="仿宋" w:asciiTheme="minorEastAsia" w:hAnsiTheme="minorEastAsia" w:eastAsiaTheme="minorEastAsia"/>
          <w:bCs/>
          <w:color w:val="000000"/>
          <w:sz w:val="24"/>
          <w:szCs w:val="24"/>
        </w:rPr>
        <w:t>件的要求进行维护和保养</w:t>
      </w:r>
      <w:r>
        <w:rPr>
          <w:rFonts w:hint="eastAsia" w:cs="仿宋" w:asciiTheme="minorEastAsia" w:hAnsiTheme="minorEastAsia" w:eastAsiaTheme="minorEastAsia"/>
          <w:bCs/>
          <w:spacing w:val="-2"/>
          <w:sz w:val="24"/>
          <w:szCs w:val="24"/>
        </w:rPr>
        <w:t>（清包）</w:t>
      </w:r>
      <w:r>
        <w:rPr>
          <w:rFonts w:hint="eastAsia" w:cs="仿宋" w:asciiTheme="minorEastAsia" w:hAnsiTheme="minorEastAsia" w:eastAsiaTheme="minorEastAsia"/>
          <w:bCs/>
          <w:color w:val="000000"/>
          <w:sz w:val="24"/>
          <w:szCs w:val="24"/>
        </w:rPr>
        <w:t>，确保电梯顺利通过政府部门的验收。保证电梯安全运行。</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1.1.2</w:t>
      </w:r>
      <w:r>
        <w:rPr>
          <w:rFonts w:hint="eastAsia" w:cs="仿宋" w:asciiTheme="minorEastAsia" w:hAnsiTheme="minorEastAsia" w:eastAsiaTheme="minorEastAsia"/>
          <w:bCs/>
          <w:color w:val="000000"/>
          <w:sz w:val="24"/>
          <w:szCs w:val="24"/>
        </w:rPr>
        <w:t>每周至少巡查电梯机房一次，并认真做好记录，如发现电梯环境以及设备本身问题，以便于</w:t>
      </w:r>
      <w:r>
        <w:rPr>
          <w:rFonts w:hint="eastAsia" w:cs="仿宋" w:asciiTheme="minorEastAsia" w:hAnsiTheme="minorEastAsia" w:eastAsiaTheme="minorEastAsia"/>
          <w:bCs/>
          <w:color w:val="000000"/>
          <w:spacing w:val="-3"/>
          <w:sz w:val="24"/>
          <w:szCs w:val="24"/>
        </w:rPr>
        <w:t>问题的及时发现与解决。对所维保设备提供至少每</w:t>
      </w:r>
      <w:r>
        <w:rPr>
          <w:rFonts w:hint="eastAsia" w:cs="仿宋" w:asciiTheme="minorEastAsia" w:hAnsiTheme="minorEastAsia" w:eastAsiaTheme="minorEastAsia"/>
          <w:bCs/>
          <w:color w:val="000000"/>
          <w:sz w:val="24"/>
          <w:szCs w:val="24"/>
        </w:rPr>
        <w:t xml:space="preserve">15 天1 </w:t>
      </w:r>
      <w:r>
        <w:rPr>
          <w:rFonts w:hint="eastAsia" w:cs="仿宋" w:asciiTheme="minorEastAsia" w:hAnsiTheme="minorEastAsia" w:eastAsiaTheme="minorEastAsia"/>
          <w:bCs/>
          <w:color w:val="000000"/>
          <w:spacing w:val="-4"/>
          <w:sz w:val="24"/>
          <w:szCs w:val="24"/>
        </w:rPr>
        <w:t>次的例行保养工作，其中包括对电梯</w:t>
      </w:r>
      <w:r>
        <w:rPr>
          <w:rFonts w:hint="eastAsia" w:cs="仿宋" w:asciiTheme="minorEastAsia" w:hAnsiTheme="minorEastAsia" w:eastAsiaTheme="minorEastAsia"/>
          <w:bCs/>
          <w:color w:val="000000"/>
          <w:sz w:val="24"/>
          <w:szCs w:val="24"/>
        </w:rPr>
        <w:t>整体设备的清洁、调整、检查及润滑等内容及机件的安全和功能调试与维护保养。若由于在维保工作过程中损坏轿厢、外厅等外围设备的外观时，成交供应商必须免费恢复原样。对需更换的零部件，要履行进场验收、施工结束检验等相关手续。</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1.1.3</w:t>
      </w:r>
      <w:r>
        <w:rPr>
          <w:rFonts w:hint="eastAsia" w:cs="仿宋" w:asciiTheme="minorEastAsia" w:hAnsiTheme="minorEastAsia" w:eastAsiaTheme="minorEastAsia"/>
          <w:bCs/>
          <w:color w:val="000000"/>
          <w:sz w:val="24"/>
          <w:szCs w:val="24"/>
        </w:rPr>
        <w:t>协助采购人管理人员对电梯进行管理。</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1.1.4</w:t>
      </w:r>
      <w:r>
        <w:rPr>
          <w:rFonts w:hint="eastAsia" w:cs="仿宋" w:asciiTheme="minorEastAsia" w:hAnsiTheme="minorEastAsia" w:eastAsiaTheme="minorEastAsia"/>
          <w:bCs/>
          <w:color w:val="000000"/>
          <w:sz w:val="24"/>
          <w:szCs w:val="24"/>
        </w:rPr>
        <w:t>确保通过电梯的年检。</w:t>
      </w:r>
    </w:p>
    <w:p>
      <w:pPr>
        <w:keepNext w:val="0"/>
        <w:keepLines w:val="0"/>
        <w:pageBreakBefore w:val="0"/>
        <w:widowControl/>
        <w:kinsoku/>
        <w:wordWrap/>
        <w:overflowPunct/>
        <w:topLinePunct w:val="0"/>
        <w:autoSpaceDE/>
        <w:autoSpaceDN/>
        <w:bidi w:val="0"/>
        <w:adjustRightInd/>
        <w:snapToGrid/>
        <w:spacing w:line="440" w:lineRule="exact"/>
        <w:ind w:firstLine="488"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1.1.5</w:t>
      </w:r>
      <w:r>
        <w:rPr>
          <w:rFonts w:hint="eastAsia" w:cs="仿宋" w:asciiTheme="minorEastAsia" w:hAnsiTheme="minorEastAsia" w:eastAsiaTheme="minorEastAsia"/>
          <w:bCs/>
          <w:color w:val="000000"/>
          <w:sz w:val="24"/>
          <w:szCs w:val="24"/>
        </w:rPr>
        <w:t>在维保期内，电梯零配件正常损耗时，维保公司需提供所更换的配件清单。</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1.1.6 电梯维护保养范围：</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①电梯机房电源下口为界限。</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②电梯易磨损零部件的监护、维修。</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color w:val="000000"/>
          <w:sz w:val="24"/>
          <w:szCs w:val="24"/>
        </w:rPr>
        <w:t>③</w:t>
      </w:r>
      <w:r>
        <w:rPr>
          <w:rFonts w:hint="eastAsia" w:cs="仿宋" w:asciiTheme="minorEastAsia" w:hAnsiTheme="minorEastAsia" w:eastAsiaTheme="minorEastAsia"/>
          <w:bCs/>
          <w:sz w:val="24"/>
          <w:szCs w:val="24"/>
        </w:rPr>
        <w:t>电梯非易损器件的维护、保养。</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④国家规定具有型式试验报告的部件（含轿厢）的维护与保养(不含拆检)。</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⑤电梯其它部件的维护与保养。</w:t>
      </w:r>
    </w:p>
    <w:p>
      <w:pPr>
        <w:keepNext w:val="0"/>
        <w:keepLines w:val="0"/>
        <w:pageBreakBefore w:val="0"/>
        <w:widowControl/>
        <w:kinsoku/>
        <w:wordWrap/>
        <w:overflowPunct/>
        <w:topLinePunct w:val="0"/>
        <w:autoSpaceDE/>
        <w:autoSpaceDN/>
        <w:bidi w:val="0"/>
        <w:adjustRightInd/>
        <w:snapToGrid/>
        <w:spacing w:line="440" w:lineRule="exact"/>
        <w:ind w:firstLine="488"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spacing w:val="2"/>
          <w:sz w:val="24"/>
          <w:szCs w:val="24"/>
        </w:rPr>
        <w:t>1.2  24</w:t>
      </w:r>
      <w:r>
        <w:rPr>
          <w:rFonts w:hint="eastAsia" w:cs="仿宋" w:asciiTheme="minorEastAsia" w:hAnsiTheme="minorEastAsia" w:eastAsiaTheme="minorEastAsia"/>
          <w:bCs/>
          <w:spacing w:val="1"/>
          <w:sz w:val="24"/>
          <w:szCs w:val="24"/>
        </w:rPr>
        <w:t>小时紧急维修服务</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spacing w:val="1"/>
          <w:sz w:val="24"/>
          <w:szCs w:val="24"/>
        </w:rPr>
        <w:t>1.2.1</w:t>
      </w:r>
      <w:r>
        <w:rPr>
          <w:rFonts w:hint="eastAsia" w:cs="仿宋" w:asciiTheme="minorEastAsia" w:hAnsiTheme="minorEastAsia" w:eastAsiaTheme="minorEastAsia"/>
          <w:bCs/>
          <w:sz w:val="24"/>
          <w:szCs w:val="24"/>
        </w:rPr>
        <w:t>须提供全年365天24小时的应</w:t>
      </w:r>
      <w:r>
        <w:rPr>
          <w:rFonts w:hint="eastAsia" w:cs="仿宋" w:asciiTheme="minorEastAsia" w:hAnsiTheme="minorEastAsia" w:eastAsiaTheme="minorEastAsia"/>
          <w:bCs/>
          <w:color w:val="000000"/>
          <w:sz w:val="24"/>
          <w:szCs w:val="24"/>
        </w:rPr>
        <w:t>急响应服务，及指定本项目负责人，并确保通讯畅通。</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①要求服务项目维保人员</w:t>
      </w:r>
      <w:r>
        <w:rPr>
          <w:rFonts w:hint="eastAsia" w:cs="仿宋" w:asciiTheme="minorEastAsia" w:hAnsiTheme="minorEastAsia" w:eastAsiaTheme="minorEastAsia"/>
          <w:bCs/>
          <w:color w:val="000000"/>
          <w:sz w:val="24"/>
          <w:szCs w:val="24"/>
          <w:lang w:val="en-US" w:eastAsia="zh-CN"/>
        </w:rPr>
        <w:t>驻场</w:t>
      </w:r>
      <w:r>
        <w:rPr>
          <w:rFonts w:hint="eastAsia" w:cs="仿宋" w:asciiTheme="minorEastAsia" w:hAnsiTheme="minorEastAsia" w:eastAsiaTheme="minorEastAsia"/>
          <w:bCs/>
          <w:color w:val="000000"/>
          <w:sz w:val="24"/>
          <w:szCs w:val="24"/>
        </w:rPr>
        <w:t>，院内在接到故障或事故报警后，在7：30-18：30时间内10分钟内到达现场，在18：30-次日7：30时间内30分钟内到达现场，超出时间引起的事故或损失应承担相应的责任，并能提供正常连续的服务直至故障或事故排除。</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②对电梯困人事故要求在到达现场把乘客从轿厢中救出后，对非电子元件原因的常见故障要求在60 分钟内排除。</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③更换主要部件6 小时内完成，特殊情况双方协商解决。</w:t>
      </w:r>
    </w:p>
    <w:p>
      <w:pPr>
        <w:keepNext w:val="0"/>
        <w:keepLines w:val="0"/>
        <w:pageBreakBefore w:val="0"/>
        <w:widowControl/>
        <w:kinsoku/>
        <w:wordWrap/>
        <w:overflowPunct/>
        <w:topLinePunct w:val="0"/>
        <w:autoSpaceDE/>
        <w:autoSpaceDN/>
        <w:bidi w:val="0"/>
        <w:adjustRightInd/>
        <w:snapToGrid/>
        <w:spacing w:line="440" w:lineRule="exact"/>
        <w:ind w:firstLine="488"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1.2.2</w:t>
      </w:r>
      <w:r>
        <w:rPr>
          <w:rFonts w:hint="eastAsia" w:cs="仿宋" w:asciiTheme="minorEastAsia" w:hAnsiTheme="minorEastAsia" w:eastAsiaTheme="minorEastAsia"/>
          <w:bCs/>
          <w:color w:val="000000"/>
          <w:sz w:val="24"/>
          <w:szCs w:val="24"/>
        </w:rPr>
        <w:t>在紧急维修期间，电梯零配件正常损耗时，维保公司需提供所更换的配件清单并向采购人设备管理人员汇报。</w:t>
      </w:r>
    </w:p>
    <w:p>
      <w:pPr>
        <w:widowControl/>
        <w:spacing w:line="440" w:lineRule="exact"/>
        <w:ind w:firstLine="488"/>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2、人员要求</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2.1 </w:t>
      </w:r>
      <w:r>
        <w:rPr>
          <w:rFonts w:hint="eastAsia" w:cs="仿宋" w:asciiTheme="minorEastAsia" w:hAnsiTheme="minorEastAsia" w:eastAsiaTheme="minorEastAsia"/>
          <w:bCs/>
          <w:color w:val="000000"/>
          <w:sz w:val="24"/>
          <w:szCs w:val="24"/>
        </w:rPr>
        <w:t>维修保养人员</w:t>
      </w:r>
      <w:r>
        <w:rPr>
          <w:rFonts w:hint="eastAsia" w:cs="仿宋" w:asciiTheme="minorEastAsia" w:hAnsiTheme="minorEastAsia" w:eastAsiaTheme="minorEastAsia"/>
          <w:bCs/>
          <w:sz w:val="24"/>
          <w:szCs w:val="24"/>
        </w:rPr>
        <w:t>须</w:t>
      </w:r>
      <w:r>
        <w:rPr>
          <w:rFonts w:hint="eastAsia" w:cs="仿宋" w:asciiTheme="minorEastAsia" w:hAnsiTheme="minorEastAsia" w:eastAsiaTheme="minorEastAsia"/>
          <w:bCs/>
          <w:color w:val="000000"/>
          <w:sz w:val="24"/>
          <w:szCs w:val="24"/>
        </w:rPr>
        <w:t>持有特种设备作业人员证。</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2.2 </w:t>
      </w:r>
      <w:r>
        <w:rPr>
          <w:rFonts w:hint="eastAsia" w:cs="仿宋" w:asciiTheme="minorEastAsia" w:hAnsiTheme="minorEastAsia" w:eastAsiaTheme="minorEastAsia"/>
          <w:bCs/>
          <w:color w:val="000000"/>
          <w:sz w:val="24"/>
          <w:szCs w:val="24"/>
        </w:rPr>
        <w:t>提供拟派电梯维修保养人员名单、通迅号码及相关电梯安装、维修操作证复印件、从业经历等；合同生效后，中标人需按保养人员名单派驻人员必须经采购人审核同意后，再进驻；否则需及时更换人员，保证进驻人数及人员素质。</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2.3 </w:t>
      </w:r>
      <w:r>
        <w:rPr>
          <w:rFonts w:hint="eastAsia" w:cs="仿宋" w:asciiTheme="minorEastAsia" w:hAnsiTheme="minorEastAsia" w:eastAsiaTheme="minorEastAsia"/>
          <w:bCs/>
          <w:color w:val="000000"/>
          <w:sz w:val="24"/>
          <w:szCs w:val="24"/>
        </w:rPr>
        <w:t>相关专业人员配备需执行国家相关文件规定，若达不到工作要求，采购人有权要求更换。</w:t>
      </w:r>
    </w:p>
    <w:p>
      <w:pPr>
        <w:widowControl/>
        <w:spacing w:line="440" w:lineRule="exact"/>
        <w:ind w:firstLine="488"/>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z w:val="24"/>
          <w:szCs w:val="24"/>
        </w:rPr>
        <w:t>3、服务范围</w:t>
      </w:r>
    </w:p>
    <w:p>
      <w:pPr>
        <w:widowControl/>
        <w:spacing w:line="440" w:lineRule="exact"/>
        <w:ind w:firstLine="480" w:firstLineChars="20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3.1中国重汽科技园区</w:t>
      </w:r>
      <w:r>
        <w:rPr>
          <w:rFonts w:hint="eastAsia" w:cs="仿宋" w:asciiTheme="minorEastAsia" w:hAnsiTheme="minorEastAsia" w:eastAsiaTheme="minorEastAsia"/>
          <w:bCs/>
          <w:color w:val="000000"/>
          <w:sz w:val="24"/>
          <w:szCs w:val="24"/>
          <w:lang w:val="en-US" w:eastAsia="zh-CN"/>
        </w:rPr>
        <w:t>30</w:t>
      </w:r>
      <w:r>
        <w:rPr>
          <w:rFonts w:hint="eastAsia" w:cs="仿宋" w:asciiTheme="minorEastAsia" w:hAnsiTheme="minorEastAsia" w:eastAsiaTheme="minorEastAsia"/>
          <w:bCs/>
          <w:color w:val="000000"/>
          <w:sz w:val="24"/>
          <w:szCs w:val="24"/>
        </w:rPr>
        <w:t>部</w:t>
      </w:r>
      <w:r>
        <w:rPr>
          <w:rFonts w:hint="eastAsia" w:cs="仿宋" w:asciiTheme="minorEastAsia" w:hAnsiTheme="minorEastAsia" w:eastAsiaTheme="minorEastAsia"/>
          <w:bCs/>
          <w:color w:val="000000"/>
          <w:sz w:val="24"/>
          <w:szCs w:val="24"/>
          <w:lang w:val="en-US" w:eastAsia="zh-CN"/>
        </w:rPr>
        <w:t>通力</w:t>
      </w:r>
      <w:r>
        <w:rPr>
          <w:rFonts w:hint="eastAsia" w:cs="仿宋" w:asciiTheme="minorEastAsia" w:hAnsiTheme="minorEastAsia" w:eastAsiaTheme="minorEastAsia"/>
          <w:bCs/>
          <w:color w:val="000000"/>
          <w:sz w:val="24"/>
          <w:szCs w:val="24"/>
        </w:rPr>
        <w:t>电梯（包含</w:t>
      </w:r>
      <w:r>
        <w:rPr>
          <w:rFonts w:hint="eastAsia" w:cs="仿宋" w:asciiTheme="minorEastAsia" w:hAnsiTheme="minorEastAsia" w:eastAsiaTheme="minorEastAsia"/>
          <w:bCs/>
          <w:color w:val="000000"/>
          <w:sz w:val="24"/>
          <w:szCs w:val="24"/>
          <w:lang w:val="en-US" w:eastAsia="zh-CN"/>
        </w:rPr>
        <w:t>20</w:t>
      </w:r>
      <w:r>
        <w:rPr>
          <w:rFonts w:hint="eastAsia" w:cs="仿宋" w:asciiTheme="minorEastAsia" w:hAnsiTheme="minorEastAsia" w:eastAsiaTheme="minorEastAsia"/>
          <w:bCs/>
          <w:color w:val="000000"/>
          <w:sz w:val="24"/>
          <w:szCs w:val="24"/>
        </w:rPr>
        <w:t>台直梯、</w:t>
      </w:r>
      <w:r>
        <w:rPr>
          <w:rFonts w:hint="eastAsia" w:cs="仿宋" w:asciiTheme="minorEastAsia" w:hAnsiTheme="minorEastAsia" w:eastAsiaTheme="minorEastAsia"/>
          <w:bCs/>
          <w:color w:val="000000"/>
          <w:sz w:val="24"/>
          <w:szCs w:val="24"/>
          <w:lang w:val="en-US" w:eastAsia="zh-CN"/>
        </w:rPr>
        <w:t>10</w:t>
      </w:r>
      <w:r>
        <w:rPr>
          <w:rFonts w:hint="eastAsia" w:cs="仿宋" w:asciiTheme="minorEastAsia" w:hAnsiTheme="minorEastAsia" w:eastAsiaTheme="minorEastAsia"/>
          <w:bCs/>
          <w:color w:val="000000"/>
          <w:sz w:val="24"/>
          <w:szCs w:val="24"/>
        </w:rPr>
        <w:t>台扶梯）。</w:t>
      </w:r>
    </w:p>
    <w:p>
      <w:pPr>
        <w:widowControl/>
        <w:spacing w:line="440" w:lineRule="exact"/>
        <w:ind w:firstLine="480" w:firstLineChars="20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3.2每次巡检维修做好相关纪录及签字确认。</w:t>
      </w:r>
    </w:p>
    <w:p>
      <w:pPr>
        <w:spacing w:line="420" w:lineRule="exact"/>
        <w:ind w:firstLine="480" w:firstLineChars="200"/>
        <w:jc w:val="left"/>
        <w:rPr>
          <w:rFonts w:asciiTheme="minorEastAsia" w:hAnsiTheme="minorEastAsia" w:eastAsiaTheme="minorEastAsia"/>
          <w:color w:val="000000"/>
          <w:sz w:val="24"/>
          <w:szCs w:val="24"/>
          <w:u w:val="single"/>
          <w:shd w:val="pct10" w:color="auto" w:fill="FFFFFF"/>
        </w:rPr>
      </w:pPr>
      <w:r>
        <w:rPr>
          <w:rFonts w:hint="eastAsia" w:asciiTheme="minorEastAsia" w:hAnsiTheme="minorEastAsia" w:eastAsiaTheme="minorEastAsia"/>
          <w:color w:val="000000"/>
          <w:sz w:val="24"/>
          <w:szCs w:val="24"/>
        </w:rPr>
        <w:t>3.3服务期限自合同签定生效之日起，</w:t>
      </w:r>
      <w:r>
        <w:rPr>
          <w:rFonts w:hint="eastAsia" w:asciiTheme="minorEastAsia" w:hAnsiTheme="minorEastAsia" w:eastAsiaTheme="minorEastAsia"/>
          <w:color w:val="000000"/>
          <w:sz w:val="24"/>
          <w:szCs w:val="24"/>
          <w:u w:val="single"/>
          <w:shd w:val="pct10" w:color="auto" w:fill="FFFFFF"/>
        </w:rPr>
        <w:t>202</w:t>
      </w:r>
      <w:r>
        <w:rPr>
          <w:rFonts w:hint="eastAsia" w:asciiTheme="minorEastAsia" w:hAnsiTheme="minorEastAsia" w:eastAsiaTheme="minorEastAsia"/>
          <w:color w:val="000000"/>
          <w:sz w:val="24"/>
          <w:szCs w:val="24"/>
          <w:u w:val="single"/>
          <w:shd w:val="pct10" w:color="auto" w:fill="FFFFFF"/>
          <w:lang w:val="en-US" w:eastAsia="zh-CN"/>
        </w:rPr>
        <w:t>6</w:t>
      </w:r>
      <w:r>
        <w:rPr>
          <w:rFonts w:hint="eastAsia" w:asciiTheme="minorEastAsia" w:hAnsiTheme="minorEastAsia" w:eastAsiaTheme="minorEastAsia"/>
          <w:color w:val="000000"/>
          <w:sz w:val="24"/>
          <w:szCs w:val="24"/>
          <w:u w:val="single"/>
          <w:shd w:val="pct10" w:color="auto" w:fill="FFFFFF"/>
        </w:rPr>
        <w:t>年1月</w:t>
      </w:r>
      <w:r>
        <w:rPr>
          <w:rFonts w:hint="eastAsia" w:asciiTheme="minorEastAsia" w:hAnsiTheme="minorEastAsia" w:eastAsiaTheme="minorEastAsia"/>
          <w:color w:val="000000"/>
          <w:sz w:val="24"/>
          <w:szCs w:val="24"/>
          <w:u w:val="single"/>
          <w:shd w:val="pct10" w:color="auto" w:fill="FFFFFF"/>
          <w:lang w:val="en-US" w:eastAsia="zh-CN"/>
        </w:rPr>
        <w:t>13</w:t>
      </w:r>
      <w:r>
        <w:rPr>
          <w:rFonts w:hint="eastAsia" w:asciiTheme="minorEastAsia" w:hAnsiTheme="minorEastAsia" w:eastAsiaTheme="minorEastAsia"/>
          <w:color w:val="000000"/>
          <w:sz w:val="24"/>
          <w:szCs w:val="24"/>
          <w:u w:val="single"/>
          <w:shd w:val="pct10" w:color="auto" w:fill="FFFFFF"/>
        </w:rPr>
        <w:t>日0：00-202</w:t>
      </w:r>
      <w:r>
        <w:rPr>
          <w:rFonts w:hint="eastAsia" w:asciiTheme="minorEastAsia" w:hAnsiTheme="minorEastAsia" w:eastAsiaTheme="minorEastAsia"/>
          <w:color w:val="000000"/>
          <w:sz w:val="24"/>
          <w:szCs w:val="24"/>
          <w:u w:val="single"/>
          <w:shd w:val="pct10" w:color="auto" w:fill="FFFFFF"/>
          <w:lang w:val="en-US" w:eastAsia="zh-CN"/>
        </w:rPr>
        <w:t>7</w:t>
      </w:r>
      <w:r>
        <w:rPr>
          <w:rFonts w:hint="eastAsia" w:asciiTheme="minorEastAsia" w:hAnsiTheme="minorEastAsia" w:eastAsiaTheme="minorEastAsia"/>
          <w:color w:val="000000"/>
          <w:sz w:val="24"/>
          <w:szCs w:val="24"/>
          <w:u w:val="single"/>
          <w:shd w:val="pct10" w:color="auto" w:fill="FFFFFF"/>
        </w:rPr>
        <w:t>年1月</w:t>
      </w:r>
      <w:r>
        <w:rPr>
          <w:rFonts w:hint="eastAsia" w:asciiTheme="minorEastAsia" w:hAnsiTheme="minorEastAsia" w:eastAsiaTheme="minorEastAsia"/>
          <w:color w:val="000000"/>
          <w:sz w:val="24"/>
          <w:szCs w:val="24"/>
          <w:u w:val="single"/>
          <w:shd w:val="pct10" w:color="auto" w:fill="FFFFFF"/>
          <w:lang w:val="en-US" w:eastAsia="zh-CN"/>
        </w:rPr>
        <w:t>13</w:t>
      </w:r>
      <w:r>
        <w:rPr>
          <w:rFonts w:hint="eastAsia" w:asciiTheme="minorEastAsia" w:hAnsiTheme="minorEastAsia" w:eastAsiaTheme="minorEastAsia"/>
          <w:color w:val="000000"/>
          <w:sz w:val="24"/>
          <w:szCs w:val="24"/>
          <w:u w:val="single"/>
          <w:shd w:val="pct10" w:color="auto" w:fill="FFFFFF"/>
        </w:rPr>
        <w:t>日24：00</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3.4包括电梯维护维修所必需的专用工具。</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3.5如投标方难以提供或无优势提供以及属于选用配置的，则应当在投标文件的技术偏离条款中，予以详细说明并注明投标报价未包含该部分的货值。</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如果投标方认为本节所列的供货范围难以满足，则仍需要按照本要求提供，但该部分货物应当在投标报价中单独列明货物名称及品质、货值。</w:t>
      </w:r>
    </w:p>
    <w:p>
      <w:pPr>
        <w:spacing w:line="420" w:lineRule="exact"/>
        <w:ind w:firstLine="480" w:firstLineChars="200"/>
        <w:jc w:val="left"/>
        <w:rPr>
          <w:rFonts w:asciiTheme="minorEastAsia" w:hAnsiTheme="minorEastAsia" w:eastAsiaTheme="minorEastAsia"/>
          <w:color w:val="000000"/>
          <w:sz w:val="24"/>
          <w:szCs w:val="24"/>
          <w:u w:val="single"/>
          <w:shd w:val="pct10" w:color="auto" w:fill="FFFFFF"/>
        </w:rPr>
      </w:pPr>
    </w:p>
    <w:p>
      <w:pPr>
        <w:widowControl/>
        <w:spacing w:line="440" w:lineRule="exact"/>
        <w:ind w:firstLine="486" w:firstLineChars="200"/>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4、服务方案</w:t>
      </w:r>
    </w:p>
    <w:p>
      <w:pPr>
        <w:widowControl/>
        <w:spacing w:line="440" w:lineRule="exact"/>
        <w:ind w:firstLine="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针对本项目制定完善的服务方案，应体现投标人的经验和能力，工作计划、工作措施等阐述应详细具体、针对性强并且各项措施切实可行。方案包括但不限于以下内容：</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a</w:t>
      </w:r>
      <w:r>
        <w:rPr>
          <w:rFonts w:hint="eastAsia" w:cs="仿宋" w:asciiTheme="minorEastAsia" w:hAnsiTheme="minorEastAsia" w:eastAsiaTheme="minorEastAsia"/>
          <w:bCs/>
          <w:color w:val="000000"/>
          <w:sz w:val="24"/>
          <w:szCs w:val="24"/>
        </w:rPr>
        <w:t>、管理服务理念和目标。</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b</w:t>
      </w:r>
      <w:r>
        <w:rPr>
          <w:rFonts w:hint="eastAsia" w:cs="仿宋" w:asciiTheme="minorEastAsia" w:hAnsiTheme="minorEastAsia" w:eastAsiaTheme="minorEastAsia"/>
          <w:bCs/>
          <w:color w:val="000000"/>
          <w:sz w:val="24"/>
          <w:szCs w:val="24"/>
        </w:rPr>
        <w:t>、管理制度和工作计划。阐述内部管理的职责分工。</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c</w:t>
      </w:r>
      <w:r>
        <w:rPr>
          <w:rFonts w:hint="eastAsia" w:cs="仿宋" w:asciiTheme="minorEastAsia" w:hAnsiTheme="minorEastAsia" w:eastAsiaTheme="minorEastAsia"/>
          <w:bCs/>
          <w:color w:val="000000"/>
          <w:sz w:val="24"/>
          <w:szCs w:val="24"/>
        </w:rPr>
        <w:t>、提供详细服务方案，至少包括：电梯维护保养方案、紧急情况下的处置预案，对电梯困人事故要求在到达现场后10 分钟内把乘客从轿厢中救出、临时维修方案。</w:t>
      </w:r>
    </w:p>
    <w:p>
      <w:pPr>
        <w:widowControl/>
        <w:spacing w:line="440" w:lineRule="exact"/>
        <w:ind w:left="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d、提供人员培训方案、维保服务档案管理方案。</w:t>
      </w:r>
    </w:p>
    <w:p>
      <w:pPr>
        <w:widowControl/>
        <w:spacing w:line="440" w:lineRule="exact"/>
        <w:ind w:firstLine="486" w:firstLineChars="200"/>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5、其他要求</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5.1</w:t>
      </w:r>
      <w:r>
        <w:rPr>
          <w:rFonts w:hint="eastAsia" w:cs="仿宋" w:asciiTheme="minorEastAsia" w:hAnsiTheme="minorEastAsia" w:eastAsiaTheme="minorEastAsia"/>
          <w:bCs/>
          <w:color w:val="000000"/>
          <w:sz w:val="24"/>
          <w:szCs w:val="24"/>
        </w:rPr>
        <w:t>成交供应商所有工作必须记录在案备查，按照法律法规规定及时认真做好维保记录，包括：电梯急修记录、电梯维护保养记录、电梯安全运行检查记等，巡检工作完成后必须经采购人作出书面验收或确认。</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5.2</w:t>
      </w:r>
      <w:r>
        <w:rPr>
          <w:rFonts w:hint="eastAsia" w:cs="仿宋" w:asciiTheme="minorEastAsia" w:hAnsiTheme="minorEastAsia" w:eastAsiaTheme="minorEastAsia"/>
          <w:bCs/>
          <w:color w:val="000000"/>
          <w:sz w:val="24"/>
          <w:szCs w:val="24"/>
        </w:rPr>
        <w:t>成交供应商承担安全责任，因</w:t>
      </w:r>
      <w:r>
        <w:rPr>
          <w:rFonts w:hint="eastAsia" w:cs="仿宋" w:asciiTheme="minorEastAsia" w:hAnsiTheme="minorEastAsia" w:eastAsiaTheme="minorEastAsia"/>
          <w:bCs/>
          <w:sz w:val="24"/>
          <w:szCs w:val="24"/>
        </w:rPr>
        <w:t>成交供应商原因，电梯维保不当，所造成的安全</w:t>
      </w:r>
      <w:r>
        <w:rPr>
          <w:rFonts w:hint="eastAsia" w:cs="仿宋" w:asciiTheme="minorEastAsia" w:hAnsiTheme="minorEastAsia" w:eastAsiaTheme="minorEastAsia"/>
          <w:bCs/>
          <w:color w:val="000000"/>
          <w:sz w:val="24"/>
          <w:szCs w:val="24"/>
        </w:rPr>
        <w:t>事故、人员伤害、财物损失由成交供应商承担。</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spacing w:val="2"/>
          <w:sz w:val="24"/>
          <w:szCs w:val="24"/>
        </w:rPr>
        <w:t>5.3</w:t>
      </w:r>
      <w:r>
        <w:rPr>
          <w:rFonts w:hint="eastAsia" w:cs="仿宋" w:asciiTheme="minorEastAsia" w:hAnsiTheme="minorEastAsia" w:eastAsiaTheme="minorEastAsia"/>
          <w:bCs/>
          <w:sz w:val="24"/>
          <w:szCs w:val="24"/>
        </w:rPr>
        <w:drawing>
          <wp:anchor distT="0" distB="0" distL="114300" distR="114300" simplePos="0" relativeHeight="251659264" behindDoc="1" locked="0" layoutInCell="1" allowOverlap="1">
            <wp:simplePos x="0" y="0"/>
            <wp:positionH relativeFrom="page">
              <wp:posOffset>1724660</wp:posOffset>
            </wp:positionH>
            <wp:positionV relativeFrom="page">
              <wp:posOffset>7000875</wp:posOffset>
            </wp:positionV>
            <wp:extent cx="176530" cy="34290"/>
            <wp:effectExtent l="19050" t="0" r="0" b="0"/>
            <wp:wrapNone/>
            <wp:docPr id="2" name="图片 2" descr="6904564371562029754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6904564371562029754577.jpg"/>
                    <pic:cNvPicPr>
                      <a:picLocks noChangeAspect="1" noChangeArrowheads="1"/>
                    </pic:cNvPicPr>
                  </pic:nvPicPr>
                  <pic:blipFill>
                    <a:blip r:embed="rId8"/>
                    <a:srcRect/>
                    <a:stretch>
                      <a:fillRect/>
                    </a:stretch>
                  </pic:blipFill>
                  <pic:spPr>
                    <a:xfrm>
                      <a:off x="0" y="0"/>
                      <a:ext cx="176530" cy="34290"/>
                    </a:xfrm>
                    <a:prstGeom prst="rect">
                      <a:avLst/>
                    </a:prstGeom>
                    <a:noFill/>
                    <a:ln w="9525" cmpd="sng">
                      <a:noFill/>
                      <a:miter lim="800000"/>
                      <a:headEnd/>
                      <a:tailEnd/>
                    </a:ln>
                  </pic:spPr>
                </pic:pic>
              </a:graphicData>
            </a:graphic>
          </wp:anchor>
        </w:drawing>
      </w:r>
      <w:r>
        <w:rPr>
          <w:rFonts w:hint="eastAsia" w:cs="仿宋" w:asciiTheme="minorEastAsia" w:hAnsiTheme="minorEastAsia" w:eastAsiaTheme="minorEastAsia"/>
          <w:bCs/>
          <w:color w:val="000000"/>
          <w:sz w:val="24"/>
          <w:szCs w:val="24"/>
        </w:rPr>
        <w:t>成交供应商须按照有关标准和要求提供服务，采购人将按照相应的考核管理办法对成交供应商进行考核，维保期间，因成交供应商的原因造成采购人的经济损失，依据管理办法进行处罚。</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5.4</w:t>
      </w:r>
      <w:r>
        <w:rPr>
          <w:rFonts w:hint="eastAsia" w:cs="仿宋" w:asciiTheme="minorEastAsia" w:hAnsiTheme="minorEastAsia" w:eastAsiaTheme="minorEastAsia"/>
          <w:bCs/>
          <w:color w:val="000000"/>
          <w:sz w:val="24"/>
          <w:szCs w:val="24"/>
        </w:rPr>
        <w:t>成交供应商派驻人员应征得采购人的面试同意，采购人对在服务过程中不满意的人员有权要求更换，成交供应商应立即更换。</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5.5</w:t>
      </w:r>
      <w:r>
        <w:rPr>
          <w:rFonts w:hint="eastAsia" w:cs="仿宋" w:asciiTheme="minorEastAsia" w:hAnsiTheme="minorEastAsia" w:eastAsiaTheme="minorEastAsia"/>
          <w:bCs/>
          <w:color w:val="000000"/>
          <w:sz w:val="24"/>
          <w:szCs w:val="24"/>
        </w:rPr>
        <w:t>服务期自合同生效之日起为期一年。</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5.6</w:t>
      </w:r>
      <w:r>
        <w:rPr>
          <w:rFonts w:hint="eastAsia" w:cs="仿宋" w:asciiTheme="minorEastAsia" w:hAnsiTheme="minorEastAsia" w:eastAsiaTheme="minorEastAsia"/>
          <w:bCs/>
          <w:color w:val="000000"/>
          <w:sz w:val="24"/>
          <w:szCs w:val="24"/>
        </w:rPr>
        <w:t>投标人须在投标文件报价明细表中提供在用电梯所有配件的价目表，以作为配件更换结算的价格依据。</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5.7</w:t>
      </w:r>
      <w:r>
        <w:rPr>
          <w:rFonts w:hint="eastAsia" w:cs="仿宋" w:asciiTheme="minorEastAsia" w:hAnsiTheme="minorEastAsia" w:eastAsiaTheme="minorEastAsia"/>
          <w:bCs/>
          <w:sz w:val="24"/>
          <w:szCs w:val="24"/>
        </w:rPr>
        <w:t>维保期内，保证</w:t>
      </w:r>
      <w:r>
        <w:rPr>
          <w:rFonts w:hint="eastAsia" w:cs="仿宋" w:asciiTheme="minorEastAsia" w:hAnsiTheme="minorEastAsia" w:eastAsiaTheme="minorEastAsia"/>
          <w:bCs/>
          <w:color w:val="000000"/>
          <w:sz w:val="24"/>
          <w:szCs w:val="24"/>
        </w:rPr>
        <w:t>电梯通过济南市质量技术监督局特种设备检验研究院检验验收，检测费由</w:t>
      </w:r>
      <w:r>
        <w:rPr>
          <w:rFonts w:hint="eastAsia" w:cs="仿宋" w:asciiTheme="minorEastAsia" w:hAnsiTheme="minorEastAsia" w:eastAsiaTheme="minorEastAsia"/>
          <w:bCs/>
          <w:color w:val="000000"/>
          <w:sz w:val="24"/>
          <w:szCs w:val="24"/>
          <w:lang w:val="en-US" w:eastAsia="zh-CN"/>
        </w:rPr>
        <w:t>成交供应商</w:t>
      </w:r>
      <w:r>
        <w:rPr>
          <w:rFonts w:hint="eastAsia" w:cs="仿宋" w:asciiTheme="minorEastAsia" w:hAnsiTheme="minorEastAsia" w:eastAsiaTheme="minorEastAsia"/>
          <w:bCs/>
          <w:color w:val="000000"/>
          <w:sz w:val="24"/>
          <w:szCs w:val="24"/>
        </w:rPr>
        <w:t>支付</w:t>
      </w:r>
      <w:r>
        <w:rPr>
          <w:rFonts w:hint="eastAsia" w:cs="仿宋" w:asciiTheme="minorEastAsia" w:hAnsiTheme="minorEastAsia" w:eastAsiaTheme="minorEastAsia"/>
          <w:bCs/>
          <w:color w:val="000000"/>
          <w:sz w:val="24"/>
          <w:szCs w:val="24"/>
          <w:lang w:eastAsia="zh-CN"/>
        </w:rPr>
        <w:t>，</w:t>
      </w:r>
      <w:r>
        <w:rPr>
          <w:rFonts w:hint="eastAsia" w:cs="仿宋" w:asciiTheme="minorEastAsia" w:hAnsiTheme="minorEastAsia" w:eastAsiaTheme="minorEastAsia"/>
          <w:bCs/>
          <w:color w:val="000000"/>
          <w:sz w:val="24"/>
          <w:szCs w:val="24"/>
          <w:lang w:val="en-US" w:eastAsia="zh-CN"/>
        </w:rPr>
        <w:t>并开具足额增值税发票，由采购人次月支付</w:t>
      </w:r>
      <w:r>
        <w:rPr>
          <w:rFonts w:hint="eastAsia" w:cs="仿宋" w:asciiTheme="minorEastAsia" w:hAnsiTheme="minorEastAsia" w:eastAsiaTheme="minorEastAsia"/>
          <w:bCs/>
          <w:color w:val="000000"/>
          <w:sz w:val="24"/>
          <w:szCs w:val="24"/>
        </w:rPr>
        <w:t>。</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5.8</w:t>
      </w:r>
      <w:r>
        <w:rPr>
          <w:rFonts w:hint="eastAsia" w:cs="仿宋" w:asciiTheme="minorEastAsia" w:hAnsiTheme="minorEastAsia" w:eastAsiaTheme="minorEastAsia"/>
          <w:bCs/>
          <w:color w:val="000000"/>
          <w:sz w:val="24"/>
          <w:szCs w:val="24"/>
        </w:rPr>
        <w:t>维保期间，出现故障困人事件电梯不得超过3台，总次数不得超过5次。</w:t>
      </w:r>
      <w:r>
        <w:rPr>
          <w:rFonts w:hint="eastAsia" w:cs="仿宋" w:asciiTheme="minorEastAsia" w:hAnsiTheme="minorEastAsia" w:eastAsiaTheme="minorEastAsia"/>
          <w:bCs/>
          <w:sz w:val="24"/>
          <w:szCs w:val="24"/>
        </w:rPr>
        <w:drawing>
          <wp:anchor distT="0" distB="0" distL="114300" distR="114300" simplePos="0" relativeHeight="251660288" behindDoc="1" locked="0" layoutInCell="1" allowOverlap="1">
            <wp:simplePos x="0" y="0"/>
            <wp:positionH relativeFrom="page">
              <wp:posOffset>1877060</wp:posOffset>
            </wp:positionH>
            <wp:positionV relativeFrom="page">
              <wp:posOffset>7153275</wp:posOffset>
            </wp:positionV>
            <wp:extent cx="176530" cy="34290"/>
            <wp:effectExtent l="0" t="0" r="13970" b="3810"/>
            <wp:wrapNone/>
            <wp:docPr id="5" name="图片 2" descr="6904564371562029754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6904564371562029754577.jpg"/>
                    <pic:cNvPicPr>
                      <a:picLocks noChangeAspect="1" noChangeArrowheads="1"/>
                    </pic:cNvPicPr>
                  </pic:nvPicPr>
                  <pic:blipFill>
                    <a:blip r:embed="rId8"/>
                    <a:srcRect/>
                    <a:stretch>
                      <a:fillRect/>
                    </a:stretch>
                  </pic:blipFill>
                  <pic:spPr>
                    <a:xfrm>
                      <a:off x="0" y="0"/>
                      <a:ext cx="176530" cy="34290"/>
                    </a:xfrm>
                    <a:prstGeom prst="rect">
                      <a:avLst/>
                    </a:prstGeom>
                    <a:noFill/>
                    <a:ln w="9525" cmpd="sng">
                      <a:noFill/>
                      <a:miter lim="800000"/>
                      <a:headEnd/>
                      <a:tailEnd/>
                    </a:ln>
                  </pic:spPr>
                </pic:pic>
              </a:graphicData>
            </a:graphic>
          </wp:anchor>
        </w:drawing>
      </w:r>
      <w:r>
        <w:rPr>
          <w:rFonts w:hint="eastAsia" w:cs="仿宋" w:asciiTheme="minorEastAsia" w:hAnsiTheme="minorEastAsia" w:eastAsiaTheme="minorEastAsia"/>
          <w:bCs/>
          <w:color w:val="000000"/>
          <w:sz w:val="24"/>
          <w:szCs w:val="24"/>
        </w:rPr>
        <w:t>超出后每次扣除1台电梯的1月维保费用。</w:t>
      </w:r>
    </w:p>
    <w:p>
      <w:pPr>
        <w:widowControl/>
        <w:spacing w:line="440" w:lineRule="exact"/>
        <w:ind w:firstLine="488"/>
        <w:rPr>
          <w:rFonts w:cs="仿宋" w:asciiTheme="minorEastAsia" w:hAnsiTheme="minorEastAsia" w:eastAsiaTheme="minorEastAsia"/>
          <w:bCs/>
          <w:color w:val="000000"/>
          <w:sz w:val="24"/>
          <w:szCs w:val="24"/>
        </w:rPr>
      </w:pPr>
    </w:p>
    <w:p>
      <w:pPr>
        <w:pStyle w:val="12"/>
        <w:spacing w:line="360" w:lineRule="auto"/>
        <w:jc w:val="center"/>
        <w:rPr>
          <w:rFonts w:ascii="黑体" w:eastAsia="黑体"/>
          <w:b/>
          <w:bCs/>
          <w:color w:val="000000"/>
          <w:sz w:val="36"/>
          <w:szCs w:val="36"/>
        </w:rPr>
      </w:pPr>
      <w:r>
        <w:rPr>
          <w:rFonts w:hint="eastAsia" w:hAnsi="宋体" w:cs="宋体"/>
          <w:b/>
          <w:bCs/>
          <w:color w:val="000000"/>
          <w:sz w:val="36"/>
          <w:szCs w:val="36"/>
        </w:rPr>
        <w:t>第三部分  投标人须知</w:t>
      </w:r>
    </w:p>
    <w:p>
      <w:pPr>
        <w:pStyle w:val="4"/>
        <w:spacing w:before="120" w:after="120" w:line="360" w:lineRule="auto"/>
        <w:ind w:firstLine="602" w:firstLineChars="214"/>
        <w:jc w:val="left"/>
        <w:rPr>
          <w:rFonts w:ascii="宋体" w:hAnsi="宋体" w:eastAsia="宋体" w:cs="宋体"/>
          <w:sz w:val="28"/>
          <w:szCs w:val="28"/>
        </w:rPr>
      </w:pPr>
      <w:bookmarkStart w:id="1" w:name="_Toc48665526"/>
      <w:r>
        <w:rPr>
          <w:rFonts w:hint="eastAsia" w:ascii="宋体" w:hAnsi="宋体" w:eastAsia="宋体" w:cs="宋体"/>
          <w:sz w:val="28"/>
          <w:szCs w:val="28"/>
        </w:rPr>
        <w:t>一、投标文件</w:t>
      </w:r>
      <w:bookmarkEnd w:id="1"/>
    </w:p>
    <w:p>
      <w:pPr>
        <w:spacing w:line="360" w:lineRule="auto"/>
        <w:ind w:firstLine="482" w:firstLineChars="200"/>
        <w:rPr>
          <w:rFonts w:ascii="宋体" w:hAnsi="宋体"/>
          <w:b/>
          <w:bCs/>
          <w:sz w:val="24"/>
        </w:rPr>
      </w:pPr>
      <w:bookmarkStart w:id="2" w:name="_Toc92678113"/>
      <w:bookmarkStart w:id="3" w:name="_Toc212369512"/>
      <w:r>
        <w:rPr>
          <w:rFonts w:hint="eastAsia" w:ascii="宋体" w:hAnsi="宋体"/>
          <w:b/>
          <w:bCs/>
          <w:sz w:val="24"/>
        </w:rPr>
        <w:t>1、投标报价语言及计量单位</w:t>
      </w:r>
      <w:bookmarkEnd w:id="2"/>
      <w:bookmarkEnd w:id="3"/>
    </w:p>
    <w:p>
      <w:pPr>
        <w:tabs>
          <w:tab w:val="left" w:pos="6313"/>
        </w:tabs>
        <w:spacing w:line="360" w:lineRule="auto"/>
        <w:ind w:firstLine="480" w:firstLineChars="200"/>
        <w:rPr>
          <w:rFonts w:ascii="宋体" w:hAnsi="宋体"/>
          <w:sz w:val="24"/>
        </w:rPr>
      </w:pPr>
      <w:r>
        <w:rPr>
          <w:rFonts w:hint="eastAsia" w:ascii="宋体" w:hAnsi="宋体"/>
          <w:sz w:val="24"/>
        </w:rPr>
        <w:t>1.1</w:t>
      </w:r>
      <w:r>
        <w:rPr>
          <w:rFonts w:ascii="宋体" w:hAnsi="宋体"/>
          <w:sz w:val="24"/>
        </w:rPr>
        <w:t>投标文件和与投标有关的所有文件均应使用</w:t>
      </w:r>
      <w:r>
        <w:rPr>
          <w:rFonts w:hint="eastAsia" w:ascii="宋体" w:hAnsi="宋体"/>
          <w:sz w:val="24"/>
        </w:rPr>
        <w:t>中文。</w:t>
      </w:r>
    </w:p>
    <w:p>
      <w:pPr>
        <w:tabs>
          <w:tab w:val="left" w:pos="6313"/>
        </w:tabs>
        <w:spacing w:line="360" w:lineRule="auto"/>
        <w:ind w:left="959" w:leftChars="228" w:hanging="480" w:hangingChars="200"/>
        <w:rPr>
          <w:rFonts w:ascii="宋体" w:hAnsi="宋体"/>
          <w:sz w:val="24"/>
        </w:rPr>
      </w:pPr>
      <w:r>
        <w:rPr>
          <w:rFonts w:hint="eastAsia" w:ascii="宋体" w:hAnsi="宋体"/>
          <w:sz w:val="24"/>
        </w:rPr>
        <w:t>1.2 除投标文件的技术规格中另有规定外，投标文件中所使用的计量单位应为中华人民共和国法定计量单位。</w:t>
      </w:r>
    </w:p>
    <w:p>
      <w:pPr>
        <w:spacing w:line="360" w:lineRule="auto"/>
        <w:ind w:firstLine="482" w:firstLineChars="200"/>
        <w:rPr>
          <w:rFonts w:ascii="宋体" w:hAnsi="宋体"/>
          <w:b/>
          <w:bCs/>
          <w:sz w:val="24"/>
        </w:rPr>
      </w:pPr>
      <w:bookmarkStart w:id="4" w:name="_Toc92678114"/>
      <w:bookmarkStart w:id="5" w:name="_Toc212369513"/>
      <w:r>
        <w:rPr>
          <w:rFonts w:hint="eastAsia" w:ascii="宋体" w:hAnsi="宋体"/>
          <w:b/>
          <w:bCs/>
          <w:sz w:val="24"/>
        </w:rPr>
        <w:t>2、投标文件组成</w:t>
      </w:r>
      <w:bookmarkEnd w:id="4"/>
      <w:bookmarkEnd w:id="5"/>
    </w:p>
    <w:p>
      <w:pPr>
        <w:spacing w:line="360" w:lineRule="auto"/>
        <w:ind w:firstLine="480" w:firstLineChars="200"/>
        <w:rPr>
          <w:rFonts w:ascii="宋体" w:hAnsi="宋体" w:cs="宋体"/>
          <w:bCs/>
          <w:sz w:val="24"/>
        </w:rPr>
      </w:pPr>
      <w:r>
        <w:rPr>
          <w:rFonts w:hint="eastAsia" w:ascii="宋体" w:hAnsi="宋体" w:cs="宋体"/>
          <w:bCs/>
          <w:sz w:val="24"/>
        </w:rPr>
        <w:t>投标人的投标文件由资格证明文件、</w:t>
      </w:r>
      <w:r>
        <w:rPr>
          <w:rFonts w:hint="eastAsia" w:ascii="宋体" w:hAnsi="宋体" w:cs="宋体"/>
          <w:bCs/>
          <w:sz w:val="24"/>
          <w:lang w:val="en-US" w:eastAsia="zh-CN"/>
        </w:rPr>
        <w:t>技术方案、</w:t>
      </w:r>
      <w:r>
        <w:rPr>
          <w:rFonts w:hint="eastAsia" w:ascii="宋体" w:hAnsi="宋体" w:cs="宋体"/>
          <w:bCs/>
          <w:sz w:val="24"/>
        </w:rPr>
        <w:t>投标文件商务部分</w:t>
      </w:r>
      <w:r>
        <w:rPr>
          <w:rFonts w:hint="eastAsia" w:ascii="宋体" w:hAnsi="宋体" w:cs="宋体"/>
          <w:bCs/>
          <w:sz w:val="24"/>
          <w:lang w:eastAsia="zh-CN"/>
        </w:rPr>
        <w:t>、</w:t>
      </w:r>
      <w:r>
        <w:rPr>
          <w:rFonts w:hint="eastAsia" w:ascii="宋体" w:hAnsi="宋体" w:cs="宋体"/>
          <w:bCs/>
          <w:sz w:val="24"/>
        </w:rPr>
        <w:t>开标一览表、共</w:t>
      </w:r>
      <w:r>
        <w:rPr>
          <w:rFonts w:hint="eastAsia" w:ascii="宋体" w:hAnsi="宋体" w:cs="宋体"/>
          <w:bCs/>
          <w:sz w:val="24"/>
          <w:lang w:val="en-US" w:eastAsia="zh-CN"/>
        </w:rPr>
        <w:t>四</w:t>
      </w:r>
      <w:r>
        <w:rPr>
          <w:rFonts w:hint="eastAsia" w:ascii="宋体" w:hAnsi="宋体" w:cs="宋体"/>
          <w:bCs/>
          <w:sz w:val="24"/>
        </w:rPr>
        <w:t>部分构成。</w:t>
      </w:r>
    </w:p>
    <w:p>
      <w:pPr>
        <w:spacing w:line="360" w:lineRule="auto"/>
        <w:ind w:firstLine="480" w:firstLineChars="200"/>
        <w:rPr>
          <w:rFonts w:ascii="宋体" w:hAnsi="宋体"/>
          <w:sz w:val="24"/>
          <w:u w:val="single"/>
        </w:rPr>
      </w:pPr>
      <w:r>
        <w:rPr>
          <w:rFonts w:hint="eastAsia" w:ascii="宋体" w:hAnsi="宋体"/>
          <w:sz w:val="24"/>
          <w:u w:val="single"/>
        </w:rPr>
        <w:t>注1：招标文件给定格式的按给定的格式填写，未给定格式的，由投标人自行编制，但需包含以下内容。</w:t>
      </w:r>
    </w:p>
    <w:p>
      <w:pPr>
        <w:spacing w:line="360" w:lineRule="auto"/>
        <w:ind w:firstLine="480" w:firstLineChars="200"/>
        <w:rPr>
          <w:rFonts w:ascii="宋体" w:hAnsi="宋体"/>
          <w:kern w:val="0"/>
          <w:sz w:val="24"/>
          <w:u w:val="single"/>
        </w:rPr>
      </w:pPr>
      <w:r>
        <w:rPr>
          <w:rFonts w:hint="eastAsia" w:ascii="宋体" w:hAnsi="宋体"/>
          <w:kern w:val="0"/>
          <w:sz w:val="24"/>
          <w:u w:val="single"/>
        </w:rPr>
        <w:t>注2：以下需（可）提供的招标文件均需加盖公章。</w:t>
      </w:r>
    </w:p>
    <w:p>
      <w:pPr>
        <w:spacing w:line="360" w:lineRule="auto"/>
        <w:ind w:firstLine="480" w:firstLineChars="200"/>
        <w:rPr>
          <w:rFonts w:ascii="宋体" w:hAnsi="宋体"/>
          <w:bCs/>
          <w:sz w:val="24"/>
        </w:rPr>
      </w:pPr>
      <w:bookmarkStart w:id="6" w:name="_Toc212369516"/>
      <w:r>
        <w:rPr>
          <w:rFonts w:hint="eastAsia" w:ascii="宋体" w:hAnsi="宋体"/>
          <w:bCs/>
          <w:sz w:val="24"/>
        </w:rPr>
        <w:t>2.1资格证明文件包括</w:t>
      </w:r>
      <w:bookmarkEnd w:id="6"/>
      <w:r>
        <w:rPr>
          <w:rFonts w:hint="eastAsia" w:ascii="宋体" w:hAnsi="宋体"/>
          <w:bCs/>
          <w:sz w:val="24"/>
        </w:rPr>
        <w:t>（正本一份一并封装）：</w:t>
      </w:r>
    </w:p>
    <w:p>
      <w:pPr>
        <w:spacing w:line="360" w:lineRule="auto"/>
        <w:ind w:left="708"/>
        <w:rPr>
          <w:rFonts w:ascii="宋体" w:hAnsi="宋体"/>
          <w:sz w:val="24"/>
        </w:rPr>
      </w:pPr>
      <w:r>
        <w:rPr>
          <w:rFonts w:hint="eastAsia" w:ascii="宋体" w:hAnsi="宋体"/>
          <w:sz w:val="24"/>
        </w:rPr>
        <w:t>（1）营业执照复印件；</w:t>
      </w:r>
    </w:p>
    <w:p>
      <w:pPr>
        <w:spacing w:line="360" w:lineRule="auto"/>
        <w:ind w:left="708"/>
        <w:rPr>
          <w:rFonts w:ascii="宋体" w:hAnsi="宋体"/>
          <w:sz w:val="24"/>
        </w:rPr>
      </w:pPr>
      <w:r>
        <w:rPr>
          <w:rFonts w:hint="eastAsia" w:ascii="宋体" w:hAnsi="宋体"/>
          <w:bCs/>
          <w:sz w:val="24"/>
        </w:rPr>
        <w:t>（2）</w:t>
      </w:r>
      <w:r>
        <w:rPr>
          <w:rFonts w:hint="eastAsia" w:ascii="宋体" w:hAnsi="宋体"/>
          <w:sz w:val="24"/>
        </w:rPr>
        <w:t>法定代表人</w:t>
      </w:r>
      <w:r>
        <w:rPr>
          <w:rFonts w:hint="eastAsia" w:asciiTheme="minorEastAsia" w:hAnsiTheme="minorEastAsia" w:eastAsiaTheme="minorEastAsia"/>
          <w:color w:val="000000"/>
          <w:sz w:val="24"/>
          <w:szCs w:val="24"/>
        </w:rPr>
        <w:t>（或负责人）</w:t>
      </w:r>
      <w:r>
        <w:rPr>
          <w:rFonts w:hint="eastAsia" w:ascii="宋体" w:hAnsi="宋体"/>
          <w:sz w:val="24"/>
        </w:rPr>
        <w:t>授权委托书</w:t>
      </w:r>
      <w:r>
        <w:rPr>
          <w:rFonts w:hint="eastAsia" w:ascii="宋体" w:hAnsi="宋体"/>
          <w:bCs/>
          <w:sz w:val="24"/>
        </w:rPr>
        <w:t>和被授权人身份证复印件</w:t>
      </w:r>
      <w:r>
        <w:rPr>
          <w:rFonts w:hint="eastAsia" w:ascii="宋体" w:hAnsi="宋体"/>
          <w:sz w:val="24"/>
        </w:rPr>
        <w:t>；</w:t>
      </w:r>
    </w:p>
    <w:p>
      <w:pPr>
        <w:spacing w:line="360" w:lineRule="auto"/>
        <w:ind w:left="708"/>
        <w:rPr>
          <w:rFonts w:ascii="宋体" w:hAnsi="宋体"/>
          <w:sz w:val="24"/>
        </w:rPr>
      </w:pPr>
      <w:r>
        <w:rPr>
          <w:rFonts w:hint="eastAsia" w:ascii="宋体" w:hAnsi="宋体"/>
          <w:sz w:val="24"/>
        </w:rPr>
        <w:t>（3）投标人基本情况表；</w:t>
      </w:r>
    </w:p>
    <w:p>
      <w:pPr>
        <w:spacing w:line="360" w:lineRule="auto"/>
        <w:ind w:left="708"/>
        <w:rPr>
          <w:rFonts w:ascii="宋体" w:hAnsi="宋体"/>
          <w:bCs/>
          <w:sz w:val="24"/>
        </w:rPr>
      </w:pPr>
      <w:r>
        <w:rPr>
          <w:rFonts w:hint="eastAsia" w:ascii="宋体" w:hAnsi="宋体"/>
          <w:bCs/>
          <w:sz w:val="24"/>
        </w:rPr>
        <w:t>（4）经会计师事务所审计且出具无保留意见的近三年的财务审计报告原件，并加</w:t>
      </w:r>
    </w:p>
    <w:p>
      <w:pPr>
        <w:spacing w:line="360" w:lineRule="auto"/>
        <w:ind w:left="708"/>
        <w:rPr>
          <w:rFonts w:ascii="宋体" w:hAnsi="宋体"/>
          <w:bCs/>
          <w:sz w:val="24"/>
        </w:rPr>
      </w:pPr>
      <w:r>
        <w:rPr>
          <w:rFonts w:hint="eastAsia" w:ascii="宋体" w:hAnsi="宋体"/>
          <w:bCs/>
          <w:sz w:val="24"/>
        </w:rPr>
        <w:t>盖公章，包括但不限于报告页、经审计的资产负债表、利润表、现金流量表及报表附注。如投标人公司没有经审计的财务报告，可提供加盖公章的近三年财务报表，包括但不限于资产负债表、利润表、现金流量表</w:t>
      </w:r>
      <w:r>
        <w:rPr>
          <w:rFonts w:hint="eastAsia" w:ascii="宋体" w:hAnsi="宋体"/>
          <w:sz w:val="24"/>
        </w:rPr>
        <w:t>；</w:t>
      </w:r>
    </w:p>
    <w:p>
      <w:pPr>
        <w:spacing w:line="360" w:lineRule="auto"/>
        <w:ind w:left="708"/>
        <w:rPr>
          <w:rFonts w:ascii="宋体" w:hAnsi="宋体"/>
          <w:sz w:val="24"/>
        </w:rPr>
      </w:pPr>
      <w:r>
        <w:rPr>
          <w:rFonts w:hint="eastAsia" w:ascii="宋体" w:hAnsi="宋体"/>
          <w:sz w:val="24"/>
        </w:rPr>
        <w:t>（5）</w:t>
      </w:r>
      <w:r>
        <w:rPr>
          <w:rFonts w:hint="eastAsia" w:asciiTheme="minorEastAsia" w:hAnsiTheme="minorEastAsia" w:eastAsiaTheme="minorEastAsia"/>
          <w:color w:val="000000"/>
          <w:sz w:val="24"/>
          <w:szCs w:val="24"/>
        </w:rPr>
        <w:t>具有中华人民共和国特种设备安装改造维修许可证。</w:t>
      </w:r>
      <w:r>
        <w:rPr>
          <w:rFonts w:hint="eastAsia" w:ascii="宋体" w:hAnsi="宋体"/>
          <w:sz w:val="24"/>
        </w:rPr>
        <w:t>；</w:t>
      </w:r>
    </w:p>
    <w:p>
      <w:pPr>
        <w:pStyle w:val="9"/>
        <w:keepNext w:val="0"/>
        <w:keepLines w:val="0"/>
        <w:pageBreakBefore w:val="0"/>
        <w:widowControl w:val="0"/>
        <w:kinsoku/>
        <w:wordWrap/>
        <w:overflowPunct/>
        <w:topLinePunct w:val="0"/>
        <w:autoSpaceDE/>
        <w:autoSpaceDN/>
        <w:bidi w:val="0"/>
        <w:adjustRightInd/>
        <w:snapToGrid/>
        <w:spacing w:line="360" w:lineRule="auto"/>
        <w:ind w:left="239" w:leftChars="114" w:firstLine="480" w:firstLineChars="200"/>
        <w:textAlignment w:val="auto"/>
        <w:rPr>
          <w:rFonts w:hint="eastAsia" w:asciiTheme="minorEastAsia" w:hAnsiTheme="minorEastAsia" w:eastAsiaTheme="minorEastAsia" w:cstheme="minorEastAsia"/>
          <w:sz w:val="24"/>
        </w:rPr>
      </w:pPr>
      <w:r>
        <w:rPr>
          <w:rFonts w:hint="eastAsia" w:asciiTheme="minorEastAsia" w:hAnsiTheme="minorEastAsia" w:eastAsiaTheme="minorEastAsia" w:cstheme="minorEastAsia"/>
          <w:sz w:val="24"/>
        </w:rPr>
        <w:t>（6）有效期内的生产许可证复印件（实行生产许可制度的企业提供）；</w:t>
      </w:r>
    </w:p>
    <w:p>
      <w:pPr>
        <w:pStyle w:val="9"/>
        <w:keepNext w:val="0"/>
        <w:keepLines w:val="0"/>
        <w:pageBreakBefore w:val="0"/>
        <w:widowControl w:val="0"/>
        <w:kinsoku/>
        <w:wordWrap/>
        <w:overflowPunct/>
        <w:topLinePunct w:val="0"/>
        <w:autoSpaceDE/>
        <w:autoSpaceDN/>
        <w:bidi w:val="0"/>
        <w:adjustRightInd/>
        <w:snapToGrid/>
        <w:spacing w:line="360" w:lineRule="auto"/>
        <w:ind w:left="718" w:leftChars="342" w:firstLine="0" w:firstLineChars="0"/>
        <w:textAlignment w:val="auto"/>
        <w:rPr>
          <w:rFonts w:ascii="宋体" w:hAnsi="宋体"/>
          <w:sz w:val="24"/>
        </w:rPr>
      </w:pP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color w:val="auto"/>
          <w:sz w:val="24"/>
          <w:szCs w:val="24"/>
          <w:lang w:val="en-US" w:eastAsia="zh-CN"/>
        </w:rPr>
        <w:t>7）投标单位</w:t>
      </w:r>
      <w:r>
        <w:rPr>
          <w:rFonts w:hint="eastAsia" w:asciiTheme="minorEastAsia" w:hAnsiTheme="minorEastAsia" w:eastAsiaTheme="minorEastAsia" w:cstheme="minorEastAsia"/>
          <w:i w:val="0"/>
          <w:iCs w:val="0"/>
          <w:caps w:val="0"/>
          <w:color w:val="auto"/>
          <w:spacing w:val="0"/>
          <w:sz w:val="24"/>
          <w:szCs w:val="24"/>
          <w:shd w:val="clear" w:fill="FFFFFF"/>
        </w:rPr>
        <w:t>直接或间接股东、法定代表人、董事、监事、高管非重汽员工及其亲属</w:t>
      </w:r>
      <w:r>
        <w:rPr>
          <w:rFonts w:hint="eastAsia" w:asciiTheme="minorEastAsia" w:hAnsiTheme="minorEastAsia" w:eastAsiaTheme="minorEastAsia" w:cstheme="minorEastAsia"/>
          <w:i w:val="0"/>
          <w:iCs w:val="0"/>
          <w:caps w:val="0"/>
          <w:color w:val="auto"/>
          <w:spacing w:val="0"/>
          <w:sz w:val="24"/>
          <w:szCs w:val="24"/>
          <w:shd w:val="clear" w:fill="FFFFFF"/>
          <w:lang w:eastAsia="zh-CN"/>
        </w:rPr>
        <w:t>，</w:t>
      </w:r>
      <w:r>
        <w:rPr>
          <w:rFonts w:hint="eastAsia" w:asciiTheme="minorEastAsia" w:hAnsiTheme="minorEastAsia" w:eastAsiaTheme="minorEastAsia" w:cstheme="minorEastAsia"/>
          <w:i w:val="0"/>
          <w:iCs w:val="0"/>
          <w:caps w:val="0"/>
          <w:color w:val="auto"/>
          <w:spacing w:val="0"/>
          <w:sz w:val="24"/>
          <w:szCs w:val="24"/>
          <w:shd w:val="clear" w:fill="FFFFFF"/>
          <w:lang w:val="en-US" w:eastAsia="zh-CN"/>
        </w:rPr>
        <w:t>并加盖公章证明</w:t>
      </w:r>
      <w:r>
        <w:rPr>
          <w:rFonts w:hint="eastAsia" w:asciiTheme="minorEastAsia" w:hAnsiTheme="minorEastAsia" w:eastAsiaTheme="minorEastAsia" w:cstheme="minorEastAsia"/>
          <w:i w:val="0"/>
          <w:iCs w:val="0"/>
          <w:caps w:val="0"/>
          <w:color w:val="606266"/>
          <w:spacing w:val="0"/>
          <w:sz w:val="24"/>
          <w:szCs w:val="24"/>
          <w:shd w:val="clear" w:fill="FFFFFF"/>
        </w:rPr>
        <w:t>。</w:t>
      </w:r>
    </w:p>
    <w:p>
      <w:pPr>
        <w:spacing w:line="360" w:lineRule="auto"/>
        <w:ind w:firstLine="480" w:firstLineChars="200"/>
        <w:rPr>
          <w:rFonts w:ascii="宋体" w:hAnsi="宋体"/>
          <w:bCs/>
          <w:sz w:val="24"/>
        </w:rPr>
      </w:pPr>
      <w:bookmarkStart w:id="7" w:name="_Toc212369514"/>
      <w:r>
        <w:rPr>
          <w:rFonts w:hint="eastAsia" w:ascii="宋体" w:hAnsi="宋体"/>
          <w:bCs/>
          <w:sz w:val="24"/>
        </w:rPr>
        <w:t>2.2商务部分文件包括</w:t>
      </w:r>
      <w:bookmarkEnd w:id="7"/>
      <w:r>
        <w:rPr>
          <w:rFonts w:hint="eastAsia" w:ascii="宋体" w:hAnsi="宋体"/>
          <w:bCs/>
          <w:sz w:val="24"/>
        </w:rPr>
        <w:t>（正本一份一并封装）：</w:t>
      </w:r>
    </w:p>
    <w:p>
      <w:pPr>
        <w:numPr>
          <w:ilvl w:val="0"/>
          <w:numId w:val="3"/>
        </w:numPr>
        <w:spacing w:line="360" w:lineRule="auto"/>
        <w:rPr>
          <w:rFonts w:ascii="宋体" w:hAnsi="宋体"/>
          <w:kern w:val="0"/>
          <w:sz w:val="24"/>
        </w:rPr>
      </w:pPr>
      <w:r>
        <w:rPr>
          <w:rFonts w:hint="eastAsia" w:ascii="宋体" w:hAnsi="宋体"/>
          <w:kern w:val="0"/>
          <w:sz w:val="24"/>
        </w:rPr>
        <w:t>投标函；</w:t>
      </w:r>
    </w:p>
    <w:p>
      <w:pPr>
        <w:numPr>
          <w:ilvl w:val="0"/>
          <w:numId w:val="3"/>
        </w:numPr>
        <w:spacing w:line="360" w:lineRule="auto"/>
        <w:rPr>
          <w:rFonts w:ascii="宋体" w:hAnsi="宋体"/>
          <w:kern w:val="0"/>
          <w:sz w:val="24"/>
        </w:rPr>
      </w:pPr>
      <w:r>
        <w:rPr>
          <w:rFonts w:hint="eastAsia" w:ascii="宋体" w:hAnsi="宋体"/>
          <w:kern w:val="0"/>
          <w:sz w:val="24"/>
        </w:rPr>
        <w:t>投标报价明细表，按以下规格分别形成投标报价明细；</w:t>
      </w:r>
    </w:p>
    <w:p>
      <w:pPr>
        <w:numPr>
          <w:ilvl w:val="0"/>
          <w:numId w:val="3"/>
        </w:numPr>
        <w:spacing w:line="360" w:lineRule="auto"/>
        <w:rPr>
          <w:rFonts w:ascii="宋体" w:hAnsi="宋体"/>
          <w:kern w:val="0"/>
          <w:sz w:val="24"/>
        </w:rPr>
      </w:pPr>
      <w:r>
        <w:rPr>
          <w:rFonts w:hint="eastAsia" w:ascii="宋体" w:hAnsi="宋体"/>
          <w:bCs/>
          <w:kern w:val="0"/>
          <w:sz w:val="24"/>
        </w:rPr>
        <w:t>支付方式：</w:t>
      </w:r>
      <w:r>
        <w:rPr>
          <w:rFonts w:hint="eastAsia" w:asciiTheme="minorEastAsia" w:hAnsiTheme="minorEastAsia" w:eastAsiaTheme="minorEastAsia"/>
          <w:b/>
          <w:color w:val="000000"/>
          <w:sz w:val="28"/>
          <w:szCs w:val="24"/>
          <w:highlight w:val="yellow"/>
        </w:rPr>
        <w:t>半年期商业汇票</w:t>
      </w:r>
      <w:r>
        <w:rPr>
          <w:rFonts w:hint="eastAsia" w:ascii="宋体" w:hAnsi="宋体"/>
          <w:bCs/>
          <w:kern w:val="0"/>
          <w:sz w:val="24"/>
          <w:highlight w:val="yellow"/>
        </w:rPr>
        <w:t>。</w:t>
      </w:r>
      <w:r>
        <w:rPr>
          <w:rFonts w:hint="eastAsia" w:ascii="宋体" w:hAnsi="宋体"/>
          <w:bCs/>
          <w:kern w:val="0"/>
          <w:sz w:val="24"/>
        </w:rPr>
        <w:t>招标人在收到投标人开具发票30日内付款。如投标人对此有异议请在</w:t>
      </w:r>
      <w:r>
        <w:rPr>
          <w:rFonts w:hint="eastAsia" w:ascii="宋体" w:hAnsi="宋体"/>
          <w:kern w:val="0"/>
          <w:sz w:val="24"/>
        </w:rPr>
        <w:t>商务条款偏离表中注明；</w:t>
      </w:r>
    </w:p>
    <w:p>
      <w:pPr>
        <w:numPr>
          <w:ilvl w:val="0"/>
          <w:numId w:val="3"/>
        </w:numPr>
        <w:spacing w:line="360" w:lineRule="auto"/>
        <w:rPr>
          <w:rFonts w:ascii="宋体" w:hAnsi="宋体"/>
          <w:bCs/>
          <w:kern w:val="0"/>
          <w:sz w:val="24"/>
        </w:rPr>
      </w:pPr>
      <w:r>
        <w:rPr>
          <w:rFonts w:hint="eastAsia" w:ascii="宋体" w:hAnsi="宋体"/>
          <w:kern w:val="0"/>
          <w:sz w:val="24"/>
        </w:rPr>
        <w:t>经营业绩一览表；</w:t>
      </w:r>
    </w:p>
    <w:p>
      <w:pPr>
        <w:numPr>
          <w:ilvl w:val="0"/>
          <w:numId w:val="3"/>
        </w:numPr>
        <w:spacing w:line="360" w:lineRule="auto"/>
        <w:rPr>
          <w:rFonts w:ascii="宋体" w:hAnsi="宋体"/>
          <w:kern w:val="0"/>
          <w:sz w:val="24"/>
        </w:rPr>
      </w:pPr>
      <w:r>
        <w:rPr>
          <w:rFonts w:hint="eastAsia" w:ascii="宋体" w:hAnsi="宋体"/>
          <w:kern w:val="0"/>
          <w:sz w:val="24"/>
        </w:rPr>
        <w:t>服务承诺函；</w:t>
      </w:r>
    </w:p>
    <w:p>
      <w:pPr>
        <w:numPr>
          <w:ilvl w:val="0"/>
          <w:numId w:val="3"/>
        </w:numPr>
        <w:spacing w:line="360" w:lineRule="auto"/>
        <w:rPr>
          <w:rFonts w:ascii="宋体" w:hAnsi="宋体"/>
          <w:kern w:val="0"/>
          <w:sz w:val="24"/>
        </w:rPr>
      </w:pPr>
      <w:r>
        <w:rPr>
          <w:rFonts w:hint="eastAsia" w:ascii="宋体" w:hAnsi="宋体"/>
          <w:kern w:val="0"/>
          <w:sz w:val="24"/>
        </w:rPr>
        <w:t>对本项目招标文件、招标文本的</w:t>
      </w:r>
      <w:r>
        <w:rPr>
          <w:rFonts w:hint="eastAsia" w:ascii="宋体" w:hAnsi="宋体" w:cs="宋体"/>
          <w:kern w:val="0"/>
          <w:sz w:val="24"/>
          <w:szCs w:val="24"/>
        </w:rPr>
        <w:t>澄清/答疑/修改</w:t>
      </w:r>
      <w:r>
        <w:rPr>
          <w:rFonts w:hint="eastAsia" w:ascii="宋体" w:hAnsi="宋体"/>
          <w:kern w:val="0"/>
          <w:sz w:val="24"/>
        </w:rPr>
        <w:t>及“合同条款”的认同及优惠条件说明；</w:t>
      </w:r>
    </w:p>
    <w:p>
      <w:pPr>
        <w:numPr>
          <w:ilvl w:val="0"/>
          <w:numId w:val="3"/>
        </w:numPr>
        <w:spacing w:line="360" w:lineRule="auto"/>
        <w:rPr>
          <w:rFonts w:ascii="宋体" w:hAnsi="宋体"/>
          <w:kern w:val="0"/>
          <w:sz w:val="24"/>
        </w:rPr>
      </w:pPr>
      <w:r>
        <w:rPr>
          <w:rFonts w:hint="eastAsia" w:ascii="宋体" w:hAnsi="宋体"/>
          <w:kern w:val="0"/>
          <w:sz w:val="24"/>
        </w:rPr>
        <w:t>按招标文件投标人须知和技术规格书中要求提供的有关文件。</w:t>
      </w:r>
    </w:p>
    <w:p>
      <w:pPr>
        <w:numPr>
          <w:ilvl w:val="0"/>
          <w:numId w:val="3"/>
        </w:numPr>
        <w:spacing w:line="360" w:lineRule="auto"/>
        <w:rPr>
          <w:rFonts w:ascii="宋体" w:hAnsi="宋体"/>
          <w:bCs/>
          <w:sz w:val="24"/>
          <w:szCs w:val="22"/>
        </w:rPr>
      </w:pPr>
      <w:r>
        <w:rPr>
          <w:rFonts w:hint="eastAsia" w:ascii="宋体" w:hAnsi="宋体"/>
          <w:bCs/>
          <w:sz w:val="24"/>
          <w:szCs w:val="22"/>
        </w:rPr>
        <w:t>开标一览表（一式</w:t>
      </w:r>
      <w:r>
        <w:rPr>
          <w:rFonts w:hint="eastAsia" w:ascii="宋体" w:hAnsi="宋体"/>
          <w:bCs/>
          <w:sz w:val="24"/>
          <w:szCs w:val="22"/>
          <w:lang w:val="en-US" w:eastAsia="zh-CN"/>
        </w:rPr>
        <w:t>一</w:t>
      </w:r>
      <w:r>
        <w:rPr>
          <w:rFonts w:hint="eastAsia" w:ascii="宋体" w:hAnsi="宋体"/>
          <w:bCs/>
          <w:sz w:val="24"/>
          <w:szCs w:val="22"/>
        </w:rPr>
        <w:t>份，一并封装）</w:t>
      </w:r>
    </w:p>
    <w:p>
      <w:pPr>
        <w:spacing w:line="360" w:lineRule="auto"/>
        <w:ind w:left="1186" w:leftChars="565" w:firstLine="240" w:firstLineChars="100"/>
        <w:rPr>
          <w:rFonts w:ascii="宋体" w:hAnsi="宋体"/>
          <w:bCs/>
          <w:sz w:val="24"/>
          <w:szCs w:val="22"/>
        </w:rPr>
      </w:pPr>
      <w:r>
        <w:rPr>
          <w:rFonts w:hint="eastAsia" w:ascii="宋体" w:hAnsi="宋体"/>
          <w:bCs/>
          <w:sz w:val="24"/>
          <w:szCs w:val="22"/>
        </w:rPr>
        <w:t>开标一览表为在开标仪式上唱标的内容，要求按格式填写、统一规范，不得自行增减内容。开标一览表总报价是各投标报价明细表价格的总和。</w:t>
      </w:r>
    </w:p>
    <w:p>
      <w:pPr>
        <w:spacing w:line="360" w:lineRule="auto"/>
        <w:ind w:firstLine="482" w:firstLineChars="200"/>
        <w:rPr>
          <w:rFonts w:ascii="宋体" w:hAnsi="宋体"/>
          <w:b/>
          <w:bCs/>
          <w:sz w:val="24"/>
        </w:rPr>
      </w:pPr>
      <w:r>
        <w:rPr>
          <w:rFonts w:hint="eastAsia" w:ascii="宋体" w:hAnsi="宋体"/>
          <w:b/>
          <w:bCs/>
          <w:sz w:val="24"/>
        </w:rPr>
        <w:t>3、投标文件的装订、密封和标记</w:t>
      </w:r>
    </w:p>
    <w:p>
      <w:pPr>
        <w:spacing w:line="360" w:lineRule="auto"/>
        <w:ind w:left="708"/>
        <w:rPr>
          <w:rFonts w:ascii="宋体" w:hAnsi="宋体"/>
          <w:bCs/>
          <w:sz w:val="24"/>
          <w:szCs w:val="22"/>
        </w:rPr>
      </w:pPr>
      <w:r>
        <w:rPr>
          <w:rFonts w:hint="eastAsia" w:ascii="宋体" w:hAnsi="宋体"/>
          <w:bCs/>
          <w:sz w:val="24"/>
          <w:szCs w:val="22"/>
        </w:rPr>
        <w:t>3.1投标文件的装订：</w:t>
      </w:r>
    </w:p>
    <w:p>
      <w:pPr>
        <w:spacing w:line="360" w:lineRule="auto"/>
        <w:ind w:left="708"/>
        <w:rPr>
          <w:rFonts w:ascii="宋体" w:hAnsi="宋体"/>
          <w:bCs/>
          <w:sz w:val="24"/>
          <w:szCs w:val="22"/>
        </w:rPr>
      </w:pPr>
      <w:r>
        <w:rPr>
          <w:rFonts w:hint="eastAsia" w:ascii="宋体" w:hAnsi="宋体"/>
          <w:bCs/>
          <w:sz w:val="24"/>
          <w:szCs w:val="22"/>
        </w:rPr>
        <w:t>投标人必须将投标文件按照投标文件组成的顺序分别胶装成册，并在首页编制“投标文件目录”。</w:t>
      </w:r>
    </w:p>
    <w:p>
      <w:pPr>
        <w:spacing w:line="360" w:lineRule="auto"/>
        <w:ind w:left="708"/>
        <w:rPr>
          <w:rFonts w:ascii="宋体" w:hAnsi="宋体"/>
          <w:bCs/>
          <w:sz w:val="24"/>
          <w:szCs w:val="22"/>
        </w:rPr>
      </w:pPr>
      <w:r>
        <w:rPr>
          <w:rFonts w:hint="eastAsia" w:ascii="宋体" w:hAnsi="宋体"/>
          <w:bCs/>
          <w:sz w:val="24"/>
          <w:szCs w:val="22"/>
        </w:rPr>
        <w:t>3.2投标文件的密封、标记：</w:t>
      </w:r>
    </w:p>
    <w:p>
      <w:pPr>
        <w:spacing w:line="360" w:lineRule="auto"/>
        <w:ind w:firstLine="480" w:firstLineChars="200"/>
        <w:rPr>
          <w:rFonts w:ascii="宋体" w:hAnsi="宋体" w:cs="宋体"/>
          <w:sz w:val="24"/>
        </w:rPr>
      </w:pPr>
      <w:r>
        <w:rPr>
          <w:rFonts w:hint="eastAsia" w:ascii="宋体" w:hAnsi="宋体" w:cs="宋体"/>
          <w:sz w:val="24"/>
        </w:rPr>
        <w:t>投标人应将投标文件的资质标、商务标</w:t>
      </w:r>
      <w:r>
        <w:rPr>
          <w:rFonts w:hint="eastAsia" w:ascii="宋体" w:hAnsi="宋体" w:cs="宋体"/>
          <w:sz w:val="24"/>
          <w:lang w:val="en-US" w:eastAsia="zh-CN"/>
        </w:rPr>
        <w:t>正本一</w:t>
      </w:r>
      <w:r>
        <w:rPr>
          <w:rFonts w:hint="eastAsia" w:ascii="宋体" w:hAnsi="宋体" w:cs="宋体"/>
          <w:sz w:val="24"/>
        </w:rPr>
        <w:t>份一并密封，并在封面明显处注明以下内容：</w:t>
      </w:r>
    </w:p>
    <w:p>
      <w:pPr>
        <w:numPr>
          <w:ilvl w:val="0"/>
          <w:numId w:val="4"/>
        </w:numPr>
        <w:spacing w:line="360" w:lineRule="auto"/>
        <w:rPr>
          <w:rFonts w:ascii="宋体" w:hAnsi="宋体" w:cs="宋体"/>
          <w:sz w:val="24"/>
        </w:rPr>
      </w:pPr>
      <w:r>
        <w:rPr>
          <w:rFonts w:hint="eastAsia" w:ascii="宋体" w:hAnsi="宋体" w:cs="宋体"/>
          <w:sz w:val="24"/>
        </w:rPr>
        <w:t>项目编号、项目名称；</w:t>
      </w:r>
    </w:p>
    <w:p>
      <w:pPr>
        <w:numPr>
          <w:ilvl w:val="0"/>
          <w:numId w:val="4"/>
        </w:numPr>
        <w:spacing w:line="360" w:lineRule="auto"/>
        <w:rPr>
          <w:rFonts w:ascii="宋体" w:hAnsi="宋体" w:cs="宋体"/>
          <w:sz w:val="24"/>
        </w:rPr>
      </w:pPr>
      <w:r>
        <w:rPr>
          <w:rFonts w:hint="eastAsia" w:ascii="宋体" w:hAnsi="宋体" w:cs="宋体"/>
          <w:sz w:val="24"/>
        </w:rPr>
        <w:t>投标文件资质标、商务标；</w:t>
      </w:r>
    </w:p>
    <w:p>
      <w:pPr>
        <w:numPr>
          <w:ilvl w:val="0"/>
          <w:numId w:val="4"/>
        </w:numPr>
        <w:spacing w:line="360" w:lineRule="auto"/>
        <w:rPr>
          <w:rFonts w:ascii="宋体" w:hAnsi="宋体"/>
          <w:sz w:val="24"/>
        </w:rPr>
      </w:pPr>
      <w:r>
        <w:rPr>
          <w:rFonts w:hint="eastAsia" w:ascii="宋体" w:hAnsi="宋体" w:cs="宋体"/>
          <w:sz w:val="24"/>
        </w:rPr>
        <w:t>投标人名称（加盖公章）、地址、邮编、电话、传真；</w:t>
      </w:r>
    </w:p>
    <w:p>
      <w:pPr>
        <w:numPr>
          <w:ilvl w:val="0"/>
          <w:numId w:val="4"/>
        </w:numPr>
        <w:spacing w:line="360" w:lineRule="auto"/>
        <w:rPr>
          <w:rFonts w:ascii="宋体" w:hAnsi="宋体" w:cs="宋体"/>
          <w:sz w:val="24"/>
        </w:rPr>
      </w:pPr>
      <w:r>
        <w:rPr>
          <w:rFonts w:hint="eastAsia" w:ascii="宋体" w:hAnsi="宋体" w:cs="宋体"/>
          <w:sz w:val="24"/>
        </w:rPr>
        <w:t>每一密封件在封口处注明“于</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r>
        <w:rPr>
          <w:rFonts w:hint="eastAsia" w:ascii="宋体" w:hAnsi="宋体" w:cs="宋体"/>
          <w:sz w:val="24"/>
          <w:u w:val="single"/>
        </w:rPr>
        <w:t xml:space="preserve">   </w:t>
      </w:r>
      <w:r>
        <w:rPr>
          <w:rFonts w:hint="eastAsia" w:ascii="宋体" w:hAnsi="宋体" w:cs="宋体"/>
          <w:sz w:val="24"/>
        </w:rPr>
        <w:t>时</w:t>
      </w:r>
      <w:r>
        <w:rPr>
          <w:rFonts w:hint="eastAsia" w:ascii="宋体" w:hAnsi="宋体" w:cs="宋体"/>
          <w:sz w:val="24"/>
          <w:u w:val="single"/>
        </w:rPr>
        <w:t xml:space="preserve">   </w:t>
      </w:r>
      <w:r>
        <w:rPr>
          <w:rFonts w:hint="eastAsia" w:ascii="宋体" w:hAnsi="宋体" w:cs="宋体"/>
          <w:sz w:val="24"/>
        </w:rPr>
        <w:t>分之前不准启封”字样。</w:t>
      </w:r>
    </w:p>
    <w:p>
      <w:pPr>
        <w:pStyle w:val="12"/>
        <w:keepNext w:val="0"/>
        <w:keepLines w:val="0"/>
        <w:pageBreakBefore w:val="0"/>
        <w:widowControl w:val="0"/>
        <w:kinsoku/>
        <w:wordWrap/>
        <w:overflowPunct/>
        <w:topLinePunct w:val="0"/>
        <w:autoSpaceDE/>
        <w:autoSpaceDN/>
        <w:bidi w:val="0"/>
        <w:adjustRightInd/>
        <w:spacing w:line="240" w:lineRule="auto"/>
        <w:ind w:firstLine="420" w:firstLineChars="200"/>
        <w:textAlignment w:val="auto"/>
        <w:rPr>
          <w:rFonts w:hint="eastAsia" w:ascii="宋体" w:hAnsi="Courier New" w:eastAsia="宋体" w:cs="Times New Roman"/>
          <w:color w:val="auto"/>
          <w:highlight w:val="none"/>
          <w:u w:val="single"/>
          <w:lang w:val="en-US" w:eastAsia="zh-CN"/>
        </w:rPr>
      </w:pPr>
      <w:r>
        <w:rPr>
          <w:rFonts w:hint="eastAsia" w:ascii="宋体" w:hAnsi="Courier New" w:eastAsia="宋体" w:cs="Times New Roman"/>
          <w:color w:val="auto"/>
          <w:highlight w:val="none"/>
          <w:u w:val="single"/>
          <w:lang w:val="en-US" w:eastAsia="zh-CN"/>
        </w:rPr>
        <w:t>投标人须在投标截止日期前将电子标书上传到重汽e采通平台</w:t>
      </w:r>
      <w:r>
        <w:rPr>
          <w:rFonts w:hint="eastAsia" w:ascii="宋体" w:hAnsi="Courier New" w:eastAsia="宋体" w:cs="Times New Roman"/>
          <w:color w:val="auto"/>
          <w:highlight w:val="none"/>
          <w:u w:val="single"/>
          <w:lang w:val="en-US" w:eastAsia="zh-CN"/>
        </w:rPr>
        <w:fldChar w:fldCharType="begin"/>
      </w:r>
      <w:r>
        <w:rPr>
          <w:rFonts w:hint="eastAsia" w:ascii="宋体" w:hAnsi="Courier New" w:eastAsia="宋体" w:cs="Times New Roman"/>
          <w:color w:val="auto"/>
          <w:highlight w:val="none"/>
          <w:u w:val="single"/>
          <w:lang w:val="en-US" w:eastAsia="zh-CN"/>
        </w:rPr>
        <w:instrText xml:space="preserve">HYPERLINK http://ecaitong.sinotruk.com:8012/ normalLink \tdkey u5b6qk \tdfu http://ecaitong.sinotruk.com:8012/ \tdfn http%3A//ecaitong.sinotruk.com%3A8012/ \tdfe -10 \tdlt text </w:instrText>
      </w:r>
      <w:r>
        <w:rPr>
          <w:rFonts w:hint="eastAsia" w:ascii="宋体" w:hAnsi="Courier New" w:eastAsia="宋体" w:cs="Times New Roman"/>
          <w:color w:val="auto"/>
          <w:highlight w:val="none"/>
          <w:u w:val="single"/>
          <w:lang w:val="en-US" w:eastAsia="zh-CN"/>
        </w:rPr>
        <w:fldChar w:fldCharType="separate"/>
      </w:r>
      <w:r>
        <w:rPr>
          <w:rFonts w:hint="eastAsia" w:ascii="宋体" w:hAnsi="Courier New" w:eastAsia="宋体" w:cs="Times New Roman"/>
          <w:color w:val="auto"/>
          <w:highlight w:val="none"/>
          <w:u w:val="single"/>
          <w:lang w:val="en-US" w:eastAsia="zh-CN"/>
        </w:rPr>
        <w:t>http://ecaitong.sinotruk.com:8012/</w:t>
      </w:r>
      <w:r>
        <w:rPr>
          <w:rFonts w:hint="eastAsia" w:ascii="宋体" w:hAnsi="Courier New" w:eastAsia="宋体" w:cs="Times New Roman"/>
          <w:color w:val="auto"/>
          <w:highlight w:val="none"/>
          <w:u w:val="single"/>
          <w:lang w:val="en-US" w:eastAsia="zh-CN"/>
        </w:rPr>
        <w:fldChar w:fldCharType="end"/>
      </w:r>
      <w:r>
        <w:rPr>
          <w:rFonts w:hint="eastAsia" w:ascii="宋体" w:hAnsi="Courier New" w:eastAsia="宋体" w:cs="Times New Roman"/>
          <w:color w:val="auto"/>
          <w:highlight w:val="none"/>
          <w:u w:val="single"/>
          <w:lang w:val="en-US" w:eastAsia="zh-CN"/>
        </w:rPr>
        <w:t>，操作方式详见《SRM-系统用户手册-非生产招投标（供应商使用）V1.0 》。若逾期未完成重汽e采通上传标书，即便递交了纸版投标文件，一律视为无效投标。</w:t>
      </w:r>
    </w:p>
    <w:p>
      <w:pPr>
        <w:pStyle w:val="12"/>
        <w:keepNext w:val="0"/>
        <w:keepLines w:val="0"/>
        <w:pageBreakBefore w:val="0"/>
        <w:widowControl w:val="0"/>
        <w:kinsoku/>
        <w:wordWrap/>
        <w:overflowPunct/>
        <w:topLinePunct w:val="0"/>
        <w:autoSpaceDE/>
        <w:autoSpaceDN/>
        <w:bidi w:val="0"/>
        <w:adjustRightInd/>
        <w:spacing w:line="240" w:lineRule="auto"/>
        <w:ind w:firstLine="316" w:firstLineChars="150"/>
        <w:textAlignment w:val="auto"/>
        <w:rPr>
          <w:rFonts w:ascii="宋体" w:hAnsi="宋体" w:cs="宋体"/>
          <w:sz w:val="24"/>
        </w:rPr>
      </w:pPr>
      <w:r>
        <w:rPr>
          <w:rFonts w:hint="eastAsia" w:ascii="宋体" w:hAnsi="Courier New" w:eastAsia="宋体" w:cs="Times New Roman"/>
          <w:b/>
          <w:bCs/>
          <w:color w:val="auto"/>
          <w:highlight w:val="none"/>
          <w:u w:val="single"/>
          <w:lang w:val="en-US" w:eastAsia="zh-CN"/>
        </w:rPr>
        <w:t>注意：投标人必须在投标前根据《非生产供应商注册操作手册》完成账号注册！</w:t>
      </w:r>
    </w:p>
    <w:p>
      <w:pPr>
        <w:spacing w:line="360" w:lineRule="auto"/>
        <w:ind w:firstLine="482" w:firstLineChars="200"/>
        <w:rPr>
          <w:rFonts w:ascii="宋体" w:hAnsi="宋体"/>
          <w:b w:val="0"/>
          <w:bCs w:val="0"/>
          <w:sz w:val="24"/>
        </w:rPr>
      </w:pPr>
      <w:bookmarkStart w:id="8" w:name="_Toc212369519"/>
      <w:r>
        <w:rPr>
          <w:rFonts w:hint="eastAsia" w:ascii="宋体" w:hAnsi="宋体"/>
          <w:b/>
          <w:bCs/>
          <w:sz w:val="24"/>
        </w:rPr>
        <w:t>4、投标报价</w:t>
      </w:r>
      <w:bookmarkEnd w:id="8"/>
    </w:p>
    <w:p>
      <w:pPr>
        <w:spacing w:line="360" w:lineRule="auto"/>
        <w:ind w:firstLine="480" w:firstLineChars="200"/>
        <w:jc w:val="left"/>
        <w:rPr>
          <w:rFonts w:ascii="宋体" w:hAnsi="宋体"/>
          <w:bCs/>
          <w:sz w:val="24"/>
        </w:rPr>
      </w:pPr>
      <w:r>
        <w:rPr>
          <w:rFonts w:hint="eastAsia" w:ascii="宋体" w:hAnsi="宋体"/>
          <w:sz w:val="24"/>
        </w:rPr>
        <w:t>4</w:t>
      </w:r>
      <w:r>
        <w:rPr>
          <w:rFonts w:ascii="宋体" w:hAnsi="宋体"/>
          <w:sz w:val="24"/>
        </w:rPr>
        <w:t>.</w:t>
      </w:r>
      <w:r>
        <w:rPr>
          <w:rFonts w:hint="eastAsia" w:ascii="宋体" w:hAnsi="宋体"/>
          <w:sz w:val="24"/>
        </w:rPr>
        <w:t>1投标报价包括：</w:t>
      </w:r>
      <w:r>
        <w:rPr>
          <w:rFonts w:hint="eastAsia" w:ascii="宋体" w:hAnsi="宋体"/>
          <w:bCs/>
          <w:sz w:val="24"/>
        </w:rPr>
        <w:t>全部（全新）消耗物品价、专用工具价、运杂费（包括现场卸车费）、人工工资、验收、服务费、资料费等所有费用的总和，</w:t>
      </w:r>
      <w:r>
        <w:rPr>
          <w:rFonts w:hint="eastAsia" w:ascii="宋体" w:hAnsi="宋体"/>
          <w:b/>
          <w:bCs/>
          <w:sz w:val="24"/>
        </w:rPr>
        <w:t>不含税金额、税率及价税合计金额</w:t>
      </w:r>
      <w:r>
        <w:rPr>
          <w:rFonts w:hint="eastAsia" w:ascii="宋体" w:hAnsi="宋体"/>
          <w:bCs/>
          <w:sz w:val="24"/>
        </w:rPr>
        <w:t>。</w:t>
      </w:r>
      <w:r>
        <w:rPr>
          <w:rFonts w:hint="eastAsia" w:ascii="宋体" w:hAnsi="宋体"/>
          <w:sz w:val="24"/>
        </w:rPr>
        <w:t>所有投标均以人民币报价。</w:t>
      </w:r>
    </w:p>
    <w:p>
      <w:pPr>
        <w:spacing w:line="360" w:lineRule="auto"/>
        <w:ind w:firstLine="480" w:firstLineChars="200"/>
        <w:rPr>
          <w:rFonts w:ascii="宋体" w:hAnsi="宋体"/>
          <w:sz w:val="24"/>
        </w:rPr>
      </w:pPr>
      <w:bookmarkStart w:id="9" w:name="_Toc352332865"/>
      <w:bookmarkStart w:id="10" w:name="_Toc346306744"/>
      <w:bookmarkStart w:id="11" w:name="_Toc346372891"/>
      <w:r>
        <w:rPr>
          <w:rFonts w:hint="eastAsia" w:ascii="宋体" w:hAnsi="宋体"/>
          <w:sz w:val="24"/>
        </w:rPr>
        <w:t>4</w:t>
      </w:r>
      <w:r>
        <w:rPr>
          <w:rFonts w:ascii="宋体" w:hAnsi="宋体"/>
          <w:sz w:val="24"/>
        </w:rPr>
        <w:t>.</w:t>
      </w:r>
      <w:r>
        <w:rPr>
          <w:rFonts w:hint="eastAsia" w:ascii="宋体" w:hAnsi="宋体"/>
          <w:sz w:val="24"/>
        </w:rPr>
        <w:t>2投标人要按投标规格名称、</w:t>
      </w:r>
      <w:r>
        <w:rPr>
          <w:rFonts w:hint="eastAsia" w:ascii="宋体" w:hAnsi="宋体"/>
          <w:kern w:val="0"/>
          <w:sz w:val="24"/>
        </w:rPr>
        <w:t>投标报价明细表</w:t>
      </w:r>
      <w:r>
        <w:rPr>
          <w:rFonts w:hint="eastAsia" w:ascii="宋体" w:hAnsi="宋体"/>
          <w:sz w:val="24"/>
        </w:rPr>
        <w:t>（统一格式）的内容填写产品单价、总价及其他事项，并由法人代表或授权代表签署。</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3对于非标准货物的投标，还应填分解报价表（分解报价表格式由投标人自行设计）。</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4投标人如需用外汇购入某些投标货物，须折合人民币计入总报价中。</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5招标人不接受任何选择报价，对每一种货物只允许一个报价。</w:t>
      </w:r>
    </w:p>
    <w:p>
      <w:pPr>
        <w:spacing w:line="360" w:lineRule="auto"/>
        <w:ind w:firstLine="480" w:firstLineChars="200"/>
        <w:rPr>
          <w:rFonts w:ascii="宋体" w:hAnsi="宋体"/>
          <w:sz w:val="24"/>
          <w:szCs w:val="22"/>
        </w:rPr>
      </w:pPr>
      <w:r>
        <w:rPr>
          <w:rFonts w:hint="eastAsia" w:ascii="宋体" w:hAnsi="宋体"/>
          <w:sz w:val="24"/>
          <w:szCs w:val="22"/>
        </w:rPr>
        <w:t>4.6 “开标一览表”与投标文件正本不符，以“开标一览表”为准。</w:t>
      </w:r>
    </w:p>
    <w:p>
      <w:pPr>
        <w:spacing w:line="360" w:lineRule="auto"/>
        <w:ind w:firstLine="480" w:firstLineChars="200"/>
        <w:rPr>
          <w:rFonts w:ascii="宋体" w:hAnsi="宋体"/>
          <w:sz w:val="24"/>
          <w:szCs w:val="22"/>
        </w:rPr>
      </w:pPr>
      <w:r>
        <w:rPr>
          <w:rFonts w:hint="eastAsia" w:ascii="宋体" w:hAnsi="宋体"/>
          <w:sz w:val="24"/>
          <w:szCs w:val="22"/>
        </w:rPr>
        <w:t>4.7投标人须提供分项单价和报价总价，如果单价和总价不符，以单价为准，并根据单价修正总价。评标委员会认为单价有明显的小数点错误，应以标出的总价为准，并修改单价。</w:t>
      </w:r>
    </w:p>
    <w:p>
      <w:pPr>
        <w:spacing w:line="360" w:lineRule="auto"/>
        <w:ind w:firstLine="480" w:firstLineChars="200"/>
        <w:rPr>
          <w:rFonts w:ascii="宋体" w:hAnsi="宋体"/>
          <w:sz w:val="24"/>
          <w:szCs w:val="22"/>
        </w:rPr>
      </w:pPr>
      <w:r>
        <w:rPr>
          <w:rFonts w:hint="eastAsia" w:ascii="宋体" w:hAnsi="宋体"/>
          <w:sz w:val="24"/>
          <w:szCs w:val="22"/>
        </w:rPr>
        <w:t>4.8如果大写的金额和小写的金额不一致时，以大写的金额为准。</w:t>
      </w:r>
    </w:p>
    <w:p>
      <w:pPr>
        <w:spacing w:line="360" w:lineRule="auto"/>
        <w:ind w:firstLine="480" w:firstLineChars="200"/>
        <w:rPr>
          <w:rFonts w:ascii="宋体" w:hAnsi="宋体"/>
          <w:sz w:val="24"/>
          <w:szCs w:val="22"/>
        </w:rPr>
      </w:pPr>
      <w:r>
        <w:rPr>
          <w:rFonts w:hint="eastAsia" w:ascii="宋体" w:hAnsi="宋体"/>
          <w:sz w:val="24"/>
          <w:szCs w:val="22"/>
        </w:rPr>
        <w:t>4.9投标人免费提供的项目，应先填写该项目的实际价格，并注明免费。此项不计入总报价。</w:t>
      </w:r>
    </w:p>
    <w:p>
      <w:pPr>
        <w:spacing w:line="360" w:lineRule="auto"/>
        <w:ind w:firstLine="480" w:firstLineChars="200"/>
        <w:rPr>
          <w:rFonts w:ascii="宋体" w:hAnsi="宋体"/>
          <w:sz w:val="24"/>
          <w:szCs w:val="22"/>
        </w:rPr>
      </w:pPr>
      <w:r>
        <w:rPr>
          <w:rFonts w:hint="eastAsia" w:ascii="宋体" w:hAnsi="宋体"/>
          <w:sz w:val="24"/>
          <w:szCs w:val="22"/>
        </w:rPr>
        <w:t>4.10最低报价不能作为中标的保证。</w:t>
      </w:r>
    </w:p>
    <w:p>
      <w:pPr>
        <w:spacing w:line="360" w:lineRule="auto"/>
        <w:ind w:firstLine="482" w:firstLineChars="200"/>
        <w:rPr>
          <w:rFonts w:ascii="宋体" w:hAnsi="宋体"/>
          <w:b/>
          <w:bCs/>
          <w:sz w:val="24"/>
          <w:szCs w:val="22"/>
        </w:rPr>
      </w:pPr>
      <w:r>
        <w:rPr>
          <w:rFonts w:hint="eastAsia" w:ascii="宋体" w:hAnsi="宋体"/>
          <w:b/>
          <w:bCs/>
          <w:sz w:val="24"/>
          <w:szCs w:val="22"/>
        </w:rPr>
        <w:t>5、投标文件签署</w:t>
      </w:r>
      <w:bookmarkEnd w:id="9"/>
      <w:bookmarkEnd w:id="10"/>
      <w:bookmarkEnd w:id="11"/>
    </w:p>
    <w:p>
      <w:pPr>
        <w:spacing w:line="360" w:lineRule="auto"/>
        <w:ind w:firstLine="480" w:firstLineChars="200"/>
        <w:rPr>
          <w:rFonts w:ascii="宋体" w:hAnsi="宋体"/>
          <w:sz w:val="24"/>
          <w:szCs w:val="22"/>
        </w:rPr>
      </w:pPr>
      <w:r>
        <w:rPr>
          <w:rFonts w:hint="eastAsia" w:ascii="宋体" w:hAnsi="宋体"/>
          <w:sz w:val="24"/>
          <w:szCs w:val="22"/>
        </w:rPr>
        <w:t>5.1投标文件应加盖投标人单位公章（不得使用其他形式如带有“专用章”等字样的印章）并经法定代表人</w:t>
      </w:r>
      <w:r>
        <w:rPr>
          <w:rFonts w:hint="eastAsia" w:asciiTheme="minorEastAsia" w:hAnsiTheme="minorEastAsia" w:eastAsiaTheme="minorEastAsia"/>
          <w:color w:val="000000"/>
          <w:sz w:val="24"/>
          <w:szCs w:val="24"/>
        </w:rPr>
        <w:t>（或负责人）</w:t>
      </w:r>
      <w:r>
        <w:rPr>
          <w:rFonts w:hint="eastAsia" w:ascii="宋体" w:hAnsi="宋体"/>
          <w:sz w:val="24"/>
          <w:szCs w:val="22"/>
        </w:rPr>
        <w:t>或其委托代理人签字。</w:t>
      </w:r>
    </w:p>
    <w:p>
      <w:pPr>
        <w:spacing w:line="360" w:lineRule="auto"/>
        <w:ind w:firstLine="480" w:firstLineChars="200"/>
        <w:rPr>
          <w:rFonts w:ascii="宋体" w:hAnsi="宋体"/>
          <w:sz w:val="24"/>
          <w:szCs w:val="22"/>
        </w:rPr>
      </w:pPr>
      <w:r>
        <w:rPr>
          <w:rFonts w:hint="eastAsia" w:ascii="宋体" w:hAnsi="宋体"/>
          <w:sz w:val="24"/>
          <w:szCs w:val="22"/>
        </w:rPr>
        <w:t>5.2本招标文件提供的投标文件式中，标注有盖公章、签字之处，应有投标人的盖章、委托代理人的签字或法定代表人</w:t>
      </w:r>
      <w:r>
        <w:rPr>
          <w:rFonts w:hint="eastAsia" w:asciiTheme="minorEastAsia" w:hAnsiTheme="minorEastAsia" w:eastAsiaTheme="minorEastAsia"/>
          <w:color w:val="000000"/>
          <w:sz w:val="24"/>
          <w:szCs w:val="24"/>
        </w:rPr>
        <w:t>（或负责人）</w:t>
      </w:r>
      <w:r>
        <w:rPr>
          <w:rFonts w:hint="eastAsia" w:ascii="宋体" w:hAnsi="宋体"/>
          <w:sz w:val="24"/>
          <w:szCs w:val="22"/>
        </w:rPr>
        <w:t>的签字。</w:t>
      </w:r>
    </w:p>
    <w:p>
      <w:pPr>
        <w:spacing w:line="360" w:lineRule="auto"/>
        <w:ind w:firstLine="480" w:firstLineChars="200"/>
        <w:rPr>
          <w:rFonts w:ascii="宋体" w:hAnsi="宋体"/>
          <w:sz w:val="24"/>
          <w:szCs w:val="22"/>
        </w:rPr>
      </w:pPr>
      <w:r>
        <w:rPr>
          <w:rFonts w:hint="eastAsia" w:ascii="宋体" w:hAnsi="宋体"/>
          <w:sz w:val="24"/>
          <w:szCs w:val="22"/>
        </w:rPr>
        <w:t>5.3投标单位法人或委托代理人亲自签署。由委托代理人签字的投标资格证明文件中须附授权委托书。</w:t>
      </w:r>
    </w:p>
    <w:p>
      <w:pPr>
        <w:spacing w:line="360" w:lineRule="auto"/>
        <w:ind w:firstLine="480" w:firstLineChars="200"/>
        <w:rPr>
          <w:rFonts w:ascii="宋体" w:hAnsi="宋体"/>
          <w:sz w:val="24"/>
          <w:szCs w:val="22"/>
        </w:rPr>
      </w:pPr>
      <w:r>
        <w:rPr>
          <w:rFonts w:hint="eastAsia" w:ascii="宋体" w:hAnsi="宋体"/>
          <w:sz w:val="24"/>
          <w:szCs w:val="22"/>
        </w:rPr>
        <w:t>5.4签字须使用黑色或蓝色不可退色签字笔。</w:t>
      </w:r>
    </w:p>
    <w:p>
      <w:pPr>
        <w:spacing w:line="360" w:lineRule="auto"/>
        <w:ind w:firstLine="480" w:firstLineChars="200"/>
        <w:rPr>
          <w:rFonts w:ascii="宋体" w:hAnsi="宋体"/>
          <w:sz w:val="24"/>
          <w:szCs w:val="22"/>
          <w:u w:val="single"/>
        </w:rPr>
      </w:pPr>
      <w:r>
        <w:rPr>
          <w:rFonts w:hint="eastAsia" w:ascii="宋体" w:hAnsi="宋体"/>
          <w:sz w:val="24"/>
          <w:szCs w:val="22"/>
          <w:u w:val="single"/>
        </w:rPr>
        <w:t>注：投标人代表必须按招标文件的规定签署投标文件（正本、副本及各附件）。</w:t>
      </w:r>
    </w:p>
    <w:p>
      <w:pPr>
        <w:pStyle w:val="4"/>
        <w:spacing w:before="120" w:after="120" w:line="360" w:lineRule="auto"/>
        <w:ind w:firstLine="602" w:firstLineChars="214"/>
        <w:jc w:val="left"/>
        <w:rPr>
          <w:rFonts w:ascii="宋体" w:hAnsi="宋体" w:eastAsia="宋体" w:cs="宋体"/>
          <w:sz w:val="28"/>
          <w:szCs w:val="28"/>
        </w:rPr>
      </w:pPr>
      <w:bookmarkStart w:id="12" w:name="_Toc48665527"/>
      <w:r>
        <w:rPr>
          <w:rFonts w:hint="eastAsia" w:ascii="宋体" w:hAnsi="宋体" w:eastAsia="宋体" w:cs="宋体"/>
          <w:sz w:val="28"/>
          <w:szCs w:val="28"/>
        </w:rPr>
        <w:t>二、投标文件递交</w:t>
      </w:r>
      <w:bookmarkEnd w:id="12"/>
    </w:p>
    <w:p>
      <w:pPr>
        <w:spacing w:line="360" w:lineRule="auto"/>
        <w:ind w:left="124" w:leftChars="59" w:firstLine="503" w:firstLineChars="202"/>
        <w:rPr>
          <w:rFonts w:hint="eastAsia" w:ascii="宋体" w:hAnsi="宋体" w:eastAsia="宋体" w:cs="Times New Roman"/>
          <w:spacing w:val="4"/>
          <w:sz w:val="24"/>
        </w:rPr>
      </w:pPr>
      <w:bookmarkStart w:id="13" w:name="_Toc352332870"/>
      <w:bookmarkStart w:id="14" w:name="_Toc346306749"/>
      <w:bookmarkStart w:id="15" w:name="_Toc346372896"/>
      <w:r>
        <w:rPr>
          <w:rFonts w:hint="eastAsia" w:ascii="宋体" w:hAnsi="宋体" w:cs="Times New Roman"/>
          <w:b/>
          <w:bCs/>
          <w:spacing w:val="4"/>
          <w:sz w:val="24"/>
          <w:lang w:val="en-US" w:eastAsia="zh-CN"/>
        </w:rPr>
        <w:t>1</w:t>
      </w:r>
      <w:r>
        <w:rPr>
          <w:rFonts w:hint="eastAsia" w:ascii="宋体" w:hAnsi="宋体" w:eastAsia="宋体" w:cs="Times New Roman"/>
          <w:b/>
          <w:bCs/>
          <w:spacing w:val="4"/>
          <w:sz w:val="24"/>
        </w:rPr>
        <w:t>、投标文件递交时间和地点</w:t>
      </w:r>
      <w:bookmarkEnd w:id="13"/>
      <w:bookmarkEnd w:id="14"/>
      <w:bookmarkEnd w:id="15"/>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.1 投标文件递交的截止时间（投标截止时间，下同）：</w:t>
      </w:r>
      <w:r>
        <w:rPr>
          <w:rFonts w:hint="eastAsia" w:ascii="宋体" w:hAnsi="宋体" w:cs="Times New Roman"/>
          <w:spacing w:val="4"/>
          <w:sz w:val="24"/>
          <w:lang w:val="en-US" w:eastAsia="zh-CN"/>
        </w:rPr>
        <w:t>见议程安排</w:t>
      </w:r>
      <w:r>
        <w:rPr>
          <w:rFonts w:hint="eastAsia" w:ascii="宋体" w:hAnsi="宋体" w:eastAsia="宋体" w:cs="Times New Roman"/>
          <w:spacing w:val="4"/>
          <w:sz w:val="24"/>
        </w:rPr>
        <w:t>。</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 xml:space="preserve">.2 </w:t>
      </w:r>
      <w:r>
        <w:rPr>
          <w:rFonts w:hint="eastAsia" w:ascii="宋体" w:hAnsi="宋体" w:eastAsia="宋体" w:cs="Times New Roman"/>
          <w:spacing w:val="4"/>
          <w:sz w:val="24"/>
          <w:lang w:val="en-US" w:eastAsia="zh-CN"/>
        </w:rPr>
        <w:t>纸质版标书于</w:t>
      </w:r>
      <w:r>
        <w:rPr>
          <w:rFonts w:hint="eastAsia" w:ascii="宋体" w:hAnsi="宋体" w:eastAsia="宋体" w:cs="Times New Roman"/>
          <w:spacing w:val="4"/>
          <w:sz w:val="24"/>
        </w:rPr>
        <w:t>开标</w:t>
      </w:r>
      <w:r>
        <w:rPr>
          <w:rFonts w:hint="eastAsia" w:ascii="宋体" w:hAnsi="宋体" w:eastAsia="宋体" w:cs="Times New Roman"/>
          <w:spacing w:val="4"/>
          <w:sz w:val="24"/>
          <w:lang w:val="en-US" w:eastAsia="zh-CN"/>
        </w:rPr>
        <w:t>日送至招标人指定地点</w:t>
      </w:r>
      <w:r>
        <w:rPr>
          <w:rFonts w:hint="eastAsia" w:ascii="宋体" w:hAnsi="宋体" w:eastAsia="宋体" w:cs="Times New Roman"/>
          <w:spacing w:val="4"/>
          <w:sz w:val="24"/>
        </w:rPr>
        <w:t>。</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.3 逾期递交的或者未在指定地点递交的投标文件，招标人不予受理。</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cs="Times New Roman"/>
          <w:spacing w:val="4"/>
          <w:sz w:val="24"/>
          <w:lang w:val="en-US" w:eastAsia="zh-CN"/>
        </w:rPr>
        <w:t>1</w:t>
      </w:r>
      <w:r>
        <w:rPr>
          <w:rFonts w:hint="eastAsia" w:ascii="宋体" w:hAnsi="宋体" w:eastAsia="宋体" w:cs="Times New Roman"/>
          <w:spacing w:val="4"/>
          <w:sz w:val="24"/>
          <w:lang w:val="en-US" w:eastAsia="zh-CN"/>
        </w:rPr>
        <w:t>.4电子版标书须在投标截止日期前上传到重汽e采通平台</w:t>
      </w:r>
      <w:r>
        <w:rPr>
          <w:rFonts w:hint="eastAsia" w:ascii="宋体" w:hAnsi="宋体" w:eastAsia="宋体" w:cs="Times New Roman"/>
          <w:spacing w:val="4"/>
          <w:sz w:val="24"/>
          <w:lang w:val="en-US" w:eastAsia="zh-CN"/>
        </w:rPr>
        <w:fldChar w:fldCharType="begin"/>
      </w:r>
      <w:r>
        <w:rPr>
          <w:rFonts w:hint="eastAsia" w:ascii="宋体" w:hAnsi="宋体" w:eastAsia="宋体" w:cs="Times New Roman"/>
          <w:spacing w:val="4"/>
          <w:sz w:val="24"/>
          <w:lang w:val="en-US" w:eastAsia="zh-CN"/>
        </w:rPr>
        <w:instrText xml:space="preserve">HYPERLINK http://ecaitong.sinotruk.com:8012/ normalLink \tdkey u5b6qk \tdfu http://ecaitong.sinotruk.com:8012/ \tdfn http%3A//ecaitong.sinotruk.com%3A8012/ \tdfe -10 \tdlt text </w:instrText>
      </w:r>
      <w:r>
        <w:rPr>
          <w:rFonts w:hint="eastAsia" w:ascii="宋体" w:hAnsi="宋体" w:eastAsia="宋体" w:cs="Times New Roman"/>
          <w:spacing w:val="4"/>
          <w:sz w:val="24"/>
          <w:lang w:val="en-US" w:eastAsia="zh-CN"/>
        </w:rPr>
        <w:fldChar w:fldCharType="separate"/>
      </w:r>
      <w:r>
        <w:rPr>
          <w:rFonts w:hint="eastAsia" w:ascii="宋体" w:hAnsi="宋体" w:eastAsia="宋体" w:cs="Times New Roman"/>
          <w:spacing w:val="4"/>
          <w:sz w:val="24"/>
          <w:lang w:val="en-US" w:eastAsia="zh-CN"/>
        </w:rPr>
        <w:t>http://ecaitong.sinotruk.com:8012/</w:t>
      </w:r>
      <w:r>
        <w:rPr>
          <w:rFonts w:hint="eastAsia" w:ascii="宋体" w:hAnsi="宋体" w:eastAsia="宋体" w:cs="Times New Roman"/>
          <w:spacing w:val="4"/>
          <w:sz w:val="24"/>
          <w:lang w:val="en-US" w:eastAsia="zh-CN"/>
        </w:rPr>
        <w:fldChar w:fldCharType="end"/>
      </w:r>
      <w:r>
        <w:rPr>
          <w:rFonts w:hint="eastAsia" w:ascii="宋体" w:hAnsi="宋体" w:eastAsia="宋体" w:cs="Times New Roman"/>
          <w:spacing w:val="4"/>
          <w:sz w:val="24"/>
          <w:lang w:val="en-US" w:eastAsia="zh-CN"/>
        </w:rPr>
        <w:t>，操作方式详见《SRM-系统用户手册-非生产招投标（供应商使用）V1.0 》。若逾期未完成重汽e采通上传标书，即便递交了纸版投标文件，一律视为无效投标。</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eastAsia="宋体" w:cs="Times New Roman"/>
          <w:spacing w:val="4"/>
          <w:sz w:val="24"/>
          <w:lang w:val="en-US" w:eastAsia="zh-CN"/>
        </w:rPr>
        <w:t>注意：投标人必须在投标前根据《非生产供应商注册操作手册》完成账号注册！</w:t>
      </w:r>
    </w:p>
    <w:p>
      <w:pPr>
        <w:pStyle w:val="9"/>
        <w:tabs>
          <w:tab w:val="left" w:pos="955"/>
        </w:tabs>
        <w:spacing w:line="360" w:lineRule="auto"/>
        <w:ind w:left="1146" w:leftChars="273" w:hanging="573" w:hangingChars="238"/>
        <w:rPr>
          <w:rFonts w:ascii="宋体" w:hAnsi="宋体" w:eastAsia="宋体" w:cs="宋体"/>
          <w:b/>
          <w:bCs/>
          <w:sz w:val="24"/>
          <w:szCs w:val="24"/>
        </w:rPr>
      </w:pPr>
      <w:bookmarkStart w:id="16" w:name="_Toc346372897"/>
      <w:bookmarkStart w:id="17" w:name="_Toc352332871"/>
      <w:bookmarkStart w:id="18" w:name="_Toc346306750"/>
      <w:r>
        <w:rPr>
          <w:rFonts w:hint="eastAsia" w:ascii="宋体" w:hAnsi="宋体" w:cs="宋体"/>
          <w:b/>
          <w:bCs/>
          <w:sz w:val="24"/>
          <w:szCs w:val="24"/>
          <w:lang w:val="en-US" w:eastAsia="zh-CN"/>
        </w:rPr>
        <w:t>2</w:t>
      </w:r>
      <w:r>
        <w:rPr>
          <w:rFonts w:hint="eastAsia" w:ascii="宋体" w:hAnsi="宋体" w:cs="宋体"/>
          <w:b/>
          <w:bCs/>
          <w:sz w:val="24"/>
          <w:szCs w:val="24"/>
        </w:rPr>
        <w:t>、</w:t>
      </w:r>
      <w:r>
        <w:rPr>
          <w:rFonts w:hint="eastAsia" w:ascii="宋体" w:hAnsi="宋体" w:eastAsia="宋体" w:cs="宋体"/>
          <w:b/>
          <w:bCs/>
          <w:sz w:val="24"/>
          <w:szCs w:val="24"/>
        </w:rPr>
        <w:t>投标文件签收</w:t>
      </w:r>
      <w:bookmarkEnd w:id="16"/>
      <w:bookmarkEnd w:id="17"/>
      <w:bookmarkEnd w:id="18"/>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2</w:t>
      </w:r>
      <w:r>
        <w:rPr>
          <w:rFonts w:hint="eastAsia" w:ascii="宋体" w:hAnsi="宋体"/>
          <w:spacing w:val="4"/>
          <w:sz w:val="24"/>
        </w:rPr>
        <w:t>.1投标截止时间后对投标人已提交的投标文件不予退还。</w:t>
      </w:r>
      <w:bookmarkStart w:id="19" w:name="_Toc346372898"/>
      <w:bookmarkStart w:id="20" w:name="_Toc346306751"/>
      <w:bookmarkStart w:id="21" w:name="_Toc352332872"/>
    </w:p>
    <w:p>
      <w:pPr>
        <w:spacing w:line="360" w:lineRule="auto"/>
        <w:ind w:left="124" w:leftChars="59" w:firstLine="487" w:firstLineChars="202"/>
        <w:rPr>
          <w:rFonts w:ascii="宋体" w:hAnsi="宋体"/>
          <w:b/>
          <w:bCs/>
          <w:sz w:val="24"/>
          <w:szCs w:val="24"/>
        </w:rPr>
      </w:pPr>
      <w:r>
        <w:rPr>
          <w:rFonts w:hint="eastAsia" w:ascii="宋体" w:hAnsi="宋体" w:cs="宋体"/>
          <w:b/>
          <w:bCs/>
          <w:sz w:val="24"/>
          <w:szCs w:val="24"/>
          <w:lang w:val="en-US" w:eastAsia="zh-CN"/>
        </w:rPr>
        <w:t>3</w:t>
      </w:r>
      <w:r>
        <w:rPr>
          <w:rFonts w:hint="eastAsia" w:ascii="宋体" w:hAnsi="宋体" w:cs="宋体"/>
          <w:b/>
          <w:bCs/>
          <w:sz w:val="24"/>
          <w:szCs w:val="24"/>
        </w:rPr>
        <w:t>、投标文件修改与撤回</w:t>
      </w:r>
      <w:bookmarkEnd w:id="19"/>
      <w:bookmarkEnd w:id="20"/>
      <w:bookmarkEnd w:id="21"/>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.1投标人在招标文件要求提交投标文件的截止时间前，可以修改或者撤回已提交的投标文件，按并书面形式通知招标人。</w:t>
      </w:r>
    </w:p>
    <w:p>
      <w:pPr>
        <w:pStyle w:val="9"/>
        <w:spacing w:line="360" w:lineRule="auto"/>
        <w:ind w:firstLine="590" w:firstLineChars="238"/>
        <w:rPr>
          <w:rFonts w:ascii="宋体" w:hAnsi="宋体" w:eastAsia="宋体" w:cs="宋体"/>
          <w:sz w:val="24"/>
          <w:szCs w:val="24"/>
        </w:rPr>
      </w:pPr>
      <w:r>
        <w:rPr>
          <w:rFonts w:hint="eastAsia" w:ascii="宋体" w:hAnsi="宋体" w:eastAsia="宋体" w:cs="宋体"/>
          <w:spacing w:val="4"/>
          <w:sz w:val="24"/>
          <w:lang w:val="en-US" w:eastAsia="zh-CN"/>
        </w:rPr>
        <w:t>3</w:t>
      </w:r>
      <w:r>
        <w:rPr>
          <w:rFonts w:hint="eastAsia" w:ascii="宋体" w:hAnsi="宋体" w:eastAsia="宋体" w:cs="宋体"/>
          <w:spacing w:val="4"/>
          <w:sz w:val="24"/>
        </w:rPr>
        <w:t>.2任何修改内容必须由投标人的法定代表人</w:t>
      </w:r>
      <w:r>
        <w:rPr>
          <w:rFonts w:hint="eastAsia" w:asciiTheme="minorEastAsia" w:hAnsiTheme="minorEastAsia" w:eastAsiaTheme="minorEastAsia"/>
          <w:color w:val="000000"/>
          <w:sz w:val="24"/>
          <w:szCs w:val="24"/>
        </w:rPr>
        <w:t>（或负责人）</w:t>
      </w:r>
      <w:r>
        <w:rPr>
          <w:rFonts w:hint="eastAsia" w:ascii="宋体" w:hAnsi="宋体" w:eastAsia="宋体" w:cs="宋体"/>
          <w:spacing w:val="4"/>
          <w:sz w:val="24"/>
        </w:rPr>
        <w:t>或其授权代理人签字，不得涂抹。经法定代表人</w:t>
      </w:r>
      <w:r>
        <w:rPr>
          <w:rFonts w:hint="eastAsia" w:asciiTheme="minorEastAsia" w:hAnsiTheme="minorEastAsia" w:eastAsiaTheme="minorEastAsia"/>
          <w:color w:val="000000"/>
          <w:sz w:val="24"/>
          <w:szCs w:val="24"/>
        </w:rPr>
        <w:t>（或负责人）</w:t>
      </w:r>
      <w:r>
        <w:rPr>
          <w:rFonts w:hint="eastAsia" w:ascii="宋体" w:hAnsi="宋体" w:eastAsia="宋体" w:cs="宋体"/>
          <w:spacing w:val="4"/>
          <w:sz w:val="24"/>
        </w:rPr>
        <w:t>或其授权代理人正式签署的修改文件组成投标文件的一部分，份数和密封要求同投标文件一致。</w:t>
      </w:r>
      <w:r>
        <w:rPr>
          <w:rFonts w:hint="eastAsia" w:ascii="宋体" w:hAnsi="宋体" w:eastAsia="宋体" w:cs="宋体"/>
          <w:sz w:val="24"/>
          <w:szCs w:val="24"/>
        </w:rPr>
        <w:t>由委托代理人签字的投标</w:t>
      </w:r>
      <w:r>
        <w:rPr>
          <w:rFonts w:hint="eastAsia" w:ascii="宋体" w:hAnsi="宋体" w:eastAsia="宋体" w:cs="宋体"/>
          <w:bCs/>
          <w:sz w:val="24"/>
        </w:rPr>
        <w:t>资格证明文件</w:t>
      </w:r>
      <w:r>
        <w:rPr>
          <w:rFonts w:hint="eastAsia" w:ascii="宋体" w:hAnsi="宋体" w:eastAsia="宋体" w:cs="宋体"/>
          <w:sz w:val="24"/>
          <w:szCs w:val="24"/>
        </w:rPr>
        <w:t>中须附授权委托书。</w:t>
      </w:r>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.3投标截止时间后不允许对投标文件做实质性修改。</w:t>
      </w:r>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.4投标有效期内不得撤回投标。</w:t>
      </w:r>
    </w:p>
    <w:p>
      <w:pPr>
        <w:pStyle w:val="12"/>
        <w:numPr>
          <w:ilvl w:val="0"/>
          <w:numId w:val="5"/>
        </w:numPr>
        <w:spacing w:line="360" w:lineRule="auto"/>
        <w:ind w:left="0" w:leftChars="0" w:firstLine="3592" w:firstLineChars="0"/>
        <w:jc w:val="left"/>
        <w:rPr>
          <w:rFonts w:hint="eastAsia" w:ascii="宋体" w:hAnsi="宋体" w:eastAsia="宋体" w:cs="宋体"/>
          <w:sz w:val="28"/>
          <w:szCs w:val="28"/>
        </w:rPr>
      </w:pPr>
      <w:bookmarkStart w:id="22" w:name="_Toc48665528"/>
      <w:r>
        <w:rPr>
          <w:rFonts w:hint="eastAsia" w:ascii="宋体" w:hAnsi="宋体" w:eastAsia="宋体" w:cs="宋体"/>
          <w:sz w:val="28"/>
          <w:szCs w:val="28"/>
        </w:rPr>
        <w:t>开标与评标</w:t>
      </w:r>
      <w:bookmarkEnd w:id="22"/>
    </w:p>
    <w:p>
      <w:pPr>
        <w:pStyle w:val="12"/>
        <w:numPr>
          <w:ilvl w:val="0"/>
          <w:numId w:val="0"/>
        </w:numPr>
        <w:spacing w:line="360" w:lineRule="auto"/>
        <w:ind w:left="3570" w:leftChars="0"/>
        <w:jc w:val="both"/>
        <w:rPr>
          <w:rFonts w:asciiTheme="minorEastAsia" w:hAnsiTheme="minorEastAsia" w:eastAsiaTheme="minorEastAsia"/>
          <w:b/>
          <w:bCs/>
          <w:color w:val="000000"/>
          <w:szCs w:val="24"/>
        </w:rPr>
      </w:pPr>
      <w:r>
        <w:rPr>
          <w:rFonts w:hint="eastAsia" w:asciiTheme="minorEastAsia" w:hAnsiTheme="minorEastAsia" w:eastAsiaTheme="minorEastAsia"/>
          <w:b/>
          <w:bCs/>
          <w:color w:val="000000"/>
          <w:szCs w:val="24"/>
        </w:rPr>
        <w:t>技术标评分细则（满分10</w:t>
      </w:r>
      <w:r>
        <w:rPr>
          <w:rFonts w:asciiTheme="minorEastAsia" w:hAnsiTheme="minorEastAsia" w:eastAsiaTheme="minorEastAsia"/>
          <w:b/>
          <w:bCs/>
          <w:color w:val="000000"/>
          <w:szCs w:val="24"/>
        </w:rPr>
        <w:t>0</w:t>
      </w:r>
      <w:r>
        <w:rPr>
          <w:rFonts w:hint="eastAsia" w:asciiTheme="minorEastAsia" w:hAnsiTheme="minorEastAsia" w:eastAsiaTheme="minorEastAsia"/>
          <w:b/>
          <w:bCs/>
          <w:color w:val="000000"/>
          <w:szCs w:val="24"/>
        </w:rPr>
        <w:t>分）</w:t>
      </w:r>
    </w:p>
    <w:tbl>
      <w:tblPr>
        <w:tblStyle w:val="28"/>
        <w:tblW w:w="9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271"/>
        <w:gridCol w:w="850"/>
        <w:gridCol w:w="6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09" w:type="dxa"/>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序号</w:t>
            </w:r>
          </w:p>
        </w:tc>
        <w:tc>
          <w:tcPr>
            <w:tcW w:w="1271" w:type="dxa"/>
            <w:vAlign w:val="center"/>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类别</w:t>
            </w:r>
          </w:p>
        </w:tc>
        <w:tc>
          <w:tcPr>
            <w:tcW w:w="850" w:type="dxa"/>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满分</w:t>
            </w:r>
          </w:p>
        </w:tc>
        <w:tc>
          <w:tcPr>
            <w:tcW w:w="6521" w:type="dxa"/>
            <w:vAlign w:val="center"/>
          </w:tcPr>
          <w:p>
            <w:pPr>
              <w:autoSpaceDN w:val="0"/>
              <w:spacing w:line="360" w:lineRule="auto"/>
              <w:jc w:val="center"/>
              <w:textAlignment w:val="center"/>
              <w:rPr>
                <w:rFonts w:ascii="宋体" w:hAnsi="宋体"/>
                <w:b/>
                <w:bCs/>
                <w:szCs w:val="24"/>
                <w:highlight w:val="none"/>
              </w:rPr>
            </w:pPr>
            <w:r>
              <w:rPr>
                <w:rFonts w:ascii="宋体" w:hAnsi="宋体"/>
                <w:b/>
                <w:bCs/>
                <w:szCs w:val="24"/>
                <w:highlight w:val="none"/>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1</w:t>
            </w:r>
          </w:p>
        </w:tc>
        <w:tc>
          <w:tcPr>
            <w:tcW w:w="1271" w:type="dxa"/>
            <w:vAlign w:val="center"/>
          </w:tcPr>
          <w:p>
            <w:pPr>
              <w:autoSpaceDN w:val="0"/>
              <w:jc w:val="center"/>
              <w:textAlignment w:val="center"/>
              <w:rPr>
                <w:rFonts w:ascii="宋体" w:hAnsi="宋体"/>
                <w:bCs/>
                <w:szCs w:val="24"/>
                <w:highlight w:val="none"/>
              </w:rPr>
            </w:pPr>
            <w:r>
              <w:rPr>
                <w:rFonts w:ascii="宋体" w:hAnsi="宋体"/>
                <w:szCs w:val="24"/>
                <w:highlight w:val="none"/>
              </w:rPr>
              <w:t>运维服务方案</w:t>
            </w:r>
          </w:p>
        </w:tc>
        <w:tc>
          <w:tcPr>
            <w:tcW w:w="850" w:type="dxa"/>
            <w:vAlign w:val="center"/>
          </w:tcPr>
          <w:p>
            <w:pPr>
              <w:jc w:val="center"/>
              <w:rPr>
                <w:rFonts w:ascii="宋体" w:hAnsi="宋体"/>
                <w:bCs/>
                <w:szCs w:val="24"/>
                <w:highlight w:val="none"/>
              </w:rPr>
            </w:pPr>
            <w:r>
              <w:rPr>
                <w:rFonts w:ascii="宋体" w:hAnsi="宋体"/>
                <w:bCs/>
                <w:szCs w:val="24"/>
                <w:highlight w:val="none"/>
              </w:rPr>
              <w:t>5</w:t>
            </w:r>
            <w:r>
              <w:rPr>
                <w:rFonts w:hint="eastAsia" w:ascii="宋体" w:hAnsi="宋体"/>
                <w:bCs/>
                <w:szCs w:val="24"/>
                <w:highlight w:val="none"/>
              </w:rPr>
              <w:t>0分</w:t>
            </w:r>
          </w:p>
        </w:tc>
        <w:tc>
          <w:tcPr>
            <w:tcW w:w="6521" w:type="dxa"/>
            <w:vAlign w:val="center"/>
          </w:tcPr>
          <w:p>
            <w:pPr>
              <w:jc w:val="left"/>
              <w:rPr>
                <w:rFonts w:ascii="宋体" w:hAnsi="宋体"/>
                <w:bCs/>
                <w:szCs w:val="24"/>
                <w:highlight w:val="none"/>
              </w:rPr>
            </w:pPr>
            <w:r>
              <w:rPr>
                <w:rFonts w:ascii="宋体" w:hAnsi="宋体"/>
                <w:bCs/>
                <w:szCs w:val="24"/>
                <w:highlight w:val="none"/>
              </w:rPr>
              <w:t>1、投标人针对项目特点提出完善的运维服务解决方案</w:t>
            </w:r>
            <w:r>
              <w:rPr>
                <w:rFonts w:hint="eastAsia" w:ascii="宋体" w:hAnsi="宋体"/>
                <w:bCs/>
                <w:szCs w:val="24"/>
                <w:highlight w:val="none"/>
                <w:lang w:eastAsia="zh-CN"/>
              </w:rPr>
              <w:t>。</w:t>
            </w:r>
            <w:r>
              <w:rPr>
                <w:rFonts w:ascii="宋体" w:hAnsi="宋体"/>
                <w:bCs/>
                <w:szCs w:val="24"/>
                <w:highlight w:val="none"/>
              </w:rPr>
              <w:t>方案全面、可靠，制度体系完整，安全、质量及应急等保障措施到位，依据运维服务方案</w:t>
            </w:r>
            <w:r>
              <w:rPr>
                <w:rFonts w:hint="eastAsia" w:ascii="宋体" w:hAnsi="宋体"/>
                <w:bCs/>
                <w:szCs w:val="24"/>
                <w:highlight w:val="none"/>
              </w:rPr>
              <w:t>综合评价打分（40分）</w:t>
            </w:r>
            <w:r>
              <w:rPr>
                <w:rFonts w:ascii="宋体" w:hAnsi="宋体"/>
                <w:bCs/>
                <w:szCs w:val="24"/>
                <w:highlight w:val="none"/>
              </w:rPr>
              <w:t>。</w:t>
            </w:r>
          </w:p>
          <w:p>
            <w:pPr>
              <w:jc w:val="left"/>
              <w:rPr>
                <w:rFonts w:ascii="宋体" w:hAnsi="宋体"/>
                <w:bCs/>
                <w:color w:val="FF0000"/>
                <w:szCs w:val="24"/>
                <w:highlight w:val="none"/>
              </w:rPr>
            </w:pPr>
            <w:r>
              <w:rPr>
                <w:rFonts w:ascii="宋体" w:hAnsi="宋体"/>
                <w:bCs/>
                <w:szCs w:val="24"/>
                <w:highlight w:val="none"/>
              </w:rPr>
              <w:t>2、投标人需提供2份针对运维现场的</w:t>
            </w:r>
            <w:r>
              <w:rPr>
                <w:rFonts w:hint="eastAsia" w:ascii="宋体" w:hAnsi="宋体"/>
                <w:bCs/>
                <w:szCs w:val="24"/>
                <w:highlight w:val="none"/>
                <w:lang w:val="en-US" w:eastAsia="zh-CN"/>
              </w:rPr>
              <w:t>应急方案。对运维方案</w:t>
            </w:r>
            <w:r>
              <w:rPr>
                <w:rFonts w:ascii="宋体" w:hAnsi="宋体"/>
                <w:bCs/>
                <w:szCs w:val="24"/>
                <w:highlight w:val="none"/>
              </w:rPr>
              <w:t>的针对性、可操作性、可执行性进行综合评价打分</w:t>
            </w:r>
            <w:r>
              <w:rPr>
                <w:rFonts w:hint="eastAsia" w:ascii="宋体" w:hAnsi="宋体"/>
                <w:bCs/>
                <w:szCs w:val="24"/>
                <w:highlight w:val="none"/>
              </w:rPr>
              <w:t>（10分）</w:t>
            </w:r>
            <w:r>
              <w:rPr>
                <w:rFonts w:ascii="宋体" w:hAnsi="宋体"/>
                <w:bCs/>
                <w:szCs w:val="24"/>
                <w:highlight w:val="none"/>
              </w:rPr>
              <w:t>。</w:t>
            </w:r>
            <w:r>
              <w:rPr>
                <w:rFonts w:hint="eastAsia" w:ascii="宋体" w:hAnsi="宋体"/>
                <w:bCs/>
                <w:szCs w:val="24"/>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2</w:t>
            </w:r>
          </w:p>
        </w:tc>
        <w:tc>
          <w:tcPr>
            <w:tcW w:w="1271"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综合实力</w:t>
            </w:r>
          </w:p>
        </w:tc>
        <w:tc>
          <w:tcPr>
            <w:tcW w:w="850" w:type="dxa"/>
            <w:vAlign w:val="center"/>
          </w:tcPr>
          <w:p>
            <w:pPr>
              <w:jc w:val="center"/>
              <w:rPr>
                <w:rFonts w:ascii="宋体" w:hAnsi="宋体"/>
                <w:bCs/>
                <w:szCs w:val="24"/>
                <w:highlight w:val="none"/>
              </w:rPr>
            </w:pPr>
            <w:r>
              <w:rPr>
                <w:rFonts w:hint="eastAsia" w:ascii="宋体" w:hAnsi="宋体"/>
                <w:bCs/>
                <w:szCs w:val="24"/>
                <w:highlight w:val="none"/>
                <w:lang w:val="en-US" w:eastAsia="zh-CN"/>
              </w:rPr>
              <w:t>5</w:t>
            </w:r>
            <w:r>
              <w:rPr>
                <w:rFonts w:hint="eastAsia" w:ascii="宋体" w:hAnsi="宋体"/>
                <w:bCs/>
                <w:szCs w:val="24"/>
                <w:highlight w:val="none"/>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1、投标人具有</w:t>
            </w:r>
            <w:r>
              <w:rPr>
                <w:rFonts w:hint="eastAsia" w:ascii="宋体" w:hAnsi="宋体"/>
                <w:color w:val="000000"/>
                <w:kern w:val="0"/>
                <w:szCs w:val="24"/>
                <w:highlight w:val="none"/>
                <w:lang w:val="en-US" w:eastAsia="zh-CN" w:bidi="ar"/>
              </w:rPr>
              <w:t>原厂正品配件销售证明</w:t>
            </w:r>
            <w:r>
              <w:rPr>
                <w:rFonts w:ascii="宋体" w:hAnsi="宋体"/>
                <w:color w:val="000000"/>
                <w:kern w:val="0"/>
                <w:szCs w:val="24"/>
                <w:highlight w:val="none"/>
                <w:lang w:bidi="ar"/>
              </w:rPr>
              <w:t>得</w:t>
            </w:r>
            <w:r>
              <w:rPr>
                <w:rFonts w:hint="eastAsia" w:ascii="宋体" w:hAnsi="宋体"/>
                <w:color w:val="000000"/>
                <w:kern w:val="0"/>
                <w:szCs w:val="24"/>
                <w:highlight w:val="none"/>
                <w:lang w:val="en-US" w:eastAsia="zh-CN" w:bidi="ar"/>
              </w:rPr>
              <w:t>5</w:t>
            </w:r>
            <w:r>
              <w:rPr>
                <w:rFonts w:ascii="宋体" w:hAnsi="宋体"/>
                <w:color w:val="000000"/>
                <w:kern w:val="0"/>
                <w:szCs w:val="24"/>
                <w:highlight w:val="none"/>
                <w:lang w:bidi="ar"/>
              </w:rPr>
              <w:t>分，</w:t>
            </w:r>
            <w:r>
              <w:rPr>
                <w:rFonts w:hint="eastAsia" w:ascii="宋体" w:hAnsi="宋体"/>
                <w:color w:val="000000"/>
                <w:kern w:val="0"/>
                <w:szCs w:val="24"/>
                <w:highlight w:val="none"/>
                <w:lang w:bidi="ar"/>
              </w:rPr>
              <w:t>没有</w:t>
            </w:r>
            <w:r>
              <w:rPr>
                <w:rFonts w:ascii="宋体" w:hAnsi="宋体"/>
                <w:color w:val="000000"/>
                <w:kern w:val="0"/>
                <w:szCs w:val="24"/>
                <w:highlight w:val="none"/>
                <w:lang w:bidi="ar"/>
              </w:rPr>
              <w:t>不得分</w:t>
            </w:r>
            <w:r>
              <w:rPr>
                <w:rFonts w:hint="eastAsia" w:ascii="宋体" w:hAnsi="宋体"/>
                <w:color w:val="000000"/>
                <w:kern w:val="0"/>
                <w:szCs w:val="24"/>
                <w:highlight w:val="none"/>
                <w:lang w:val="en-US" w:eastAsia="zh-CN" w:bidi="ar"/>
              </w:rPr>
              <w:t>(一票否决项）</w:t>
            </w:r>
            <w:r>
              <w:rPr>
                <w:rFonts w:ascii="宋体" w:hAnsi="宋体"/>
                <w:color w:val="000000"/>
                <w:kern w:val="0"/>
                <w:szCs w:val="24"/>
                <w:highlight w:val="none"/>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709" w:type="dxa"/>
            <w:vAlign w:val="center"/>
          </w:tcPr>
          <w:p>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3</w:t>
            </w:r>
          </w:p>
        </w:tc>
        <w:tc>
          <w:tcPr>
            <w:tcW w:w="1271" w:type="dxa"/>
            <w:vAlign w:val="center"/>
          </w:tcPr>
          <w:p>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运维工程师技术能力</w:t>
            </w:r>
          </w:p>
        </w:tc>
        <w:tc>
          <w:tcPr>
            <w:tcW w:w="850" w:type="dxa"/>
            <w:vAlign w:val="center"/>
          </w:tcPr>
          <w:p>
            <w:pPr>
              <w:widowControl/>
              <w:jc w:val="center"/>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30分</w:t>
            </w:r>
          </w:p>
        </w:tc>
        <w:tc>
          <w:tcPr>
            <w:tcW w:w="6521" w:type="dxa"/>
            <w:vAlign w:val="center"/>
          </w:tcPr>
          <w:p>
            <w:pPr>
              <w:jc w:val="left"/>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针对投标人对本项目的专业运维人员配置情况、综合素质进行综合评定，团队总人数为</w:t>
            </w:r>
            <w:r>
              <w:rPr>
                <w:rFonts w:hint="eastAsia" w:ascii="宋体" w:hAnsi="宋体"/>
                <w:color w:val="000000" w:themeColor="text1"/>
                <w:szCs w:val="24"/>
                <w:highlight w:val="none"/>
                <w:lang w:val="en-US" w:eastAsia="zh-CN"/>
                <w14:textFill>
                  <w14:solidFill>
                    <w14:schemeClr w14:val="tx1"/>
                  </w14:solidFill>
                </w14:textFill>
              </w:rPr>
              <w:t>5</w:t>
            </w:r>
            <w:r>
              <w:rPr>
                <w:rFonts w:hint="eastAsia" w:ascii="宋体" w:hAnsi="宋体"/>
                <w:color w:val="000000" w:themeColor="text1"/>
                <w:szCs w:val="24"/>
                <w:highlight w:val="none"/>
                <w14:textFill>
                  <w14:solidFill>
                    <w14:schemeClr w14:val="tx1"/>
                  </w14:solidFill>
                </w14:textFill>
              </w:rPr>
              <w:t>人（</w:t>
            </w:r>
            <w:r>
              <w:rPr>
                <w:rFonts w:hint="eastAsia" w:ascii="宋体" w:hAnsi="宋体"/>
                <w:color w:val="000000" w:themeColor="text1"/>
                <w:szCs w:val="24"/>
                <w:highlight w:val="none"/>
                <w:lang w:val="en-US" w:eastAsia="zh-CN"/>
                <w14:textFill>
                  <w14:solidFill>
                    <w14:schemeClr w14:val="tx1"/>
                  </w14:solidFill>
                </w14:textFill>
              </w:rPr>
              <w:t>1人常驻项目、4人后备值班</w:t>
            </w:r>
            <w:r>
              <w:rPr>
                <w:rFonts w:hint="eastAsia" w:ascii="宋体" w:hAnsi="宋体"/>
                <w:color w:val="000000" w:themeColor="text1"/>
                <w:szCs w:val="24"/>
                <w:highlight w:val="none"/>
                <w14:textFill>
                  <w14:solidFill>
                    <w14:schemeClr w14:val="tx1"/>
                  </w14:solidFill>
                </w14:textFill>
              </w:rPr>
              <w:t>），投标人可结合技术规范书工作量自行考量运维团队人员数量，要求配置人员资质必须符合招标技术要求（30分）。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4</w:t>
            </w:r>
          </w:p>
        </w:tc>
        <w:tc>
          <w:tcPr>
            <w:tcW w:w="1271"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现场答疑</w:t>
            </w:r>
          </w:p>
        </w:tc>
        <w:tc>
          <w:tcPr>
            <w:tcW w:w="850" w:type="dxa"/>
            <w:vAlign w:val="center"/>
          </w:tcPr>
          <w:p>
            <w:pPr>
              <w:widowControl/>
              <w:jc w:val="center"/>
              <w:rPr>
                <w:rFonts w:ascii="宋体" w:hAnsi="宋体"/>
                <w:szCs w:val="24"/>
                <w:highlight w:val="none"/>
              </w:rPr>
            </w:pPr>
            <w:r>
              <w:rPr>
                <w:rFonts w:hint="eastAsia" w:ascii="宋体" w:hAnsi="宋体"/>
                <w:szCs w:val="24"/>
                <w:highlight w:val="none"/>
              </w:rPr>
              <w:t>10分</w:t>
            </w:r>
          </w:p>
        </w:tc>
        <w:tc>
          <w:tcPr>
            <w:tcW w:w="6521" w:type="dxa"/>
            <w:vAlign w:val="center"/>
          </w:tcPr>
          <w:p>
            <w:pPr>
              <w:widowControl/>
              <w:jc w:val="left"/>
              <w:rPr>
                <w:rFonts w:ascii="宋体" w:hAnsi="宋体"/>
                <w:color w:val="000000"/>
                <w:kern w:val="0"/>
                <w:szCs w:val="24"/>
                <w:highlight w:val="none"/>
              </w:rPr>
            </w:pPr>
            <w:r>
              <w:rPr>
                <w:rFonts w:ascii="宋体" w:hAnsi="宋体"/>
                <w:szCs w:val="24"/>
                <w:highlight w:val="none"/>
              </w:rPr>
              <w:t>投标人</w:t>
            </w:r>
            <w:r>
              <w:rPr>
                <w:rFonts w:hint="eastAsia" w:ascii="宋体" w:hAnsi="宋体"/>
                <w:szCs w:val="24"/>
                <w:highlight w:val="none"/>
              </w:rPr>
              <w:t>代表对运维服务方案及技术优势的介绍，回答评标专家现场提问（10分）</w:t>
            </w:r>
            <w:r>
              <w:rPr>
                <w:rFonts w:ascii="宋体" w:hAnsi="宋体"/>
                <w:color w:val="000000"/>
                <w:kern w:val="0"/>
                <w:szCs w:val="24"/>
                <w:highlight w:val="none"/>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09"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5</w:t>
            </w:r>
          </w:p>
        </w:tc>
        <w:tc>
          <w:tcPr>
            <w:tcW w:w="1271" w:type="dxa"/>
            <w:vAlign w:val="center"/>
          </w:tcPr>
          <w:p>
            <w:pPr>
              <w:autoSpaceDN w:val="0"/>
              <w:jc w:val="center"/>
              <w:textAlignment w:val="center"/>
              <w:rPr>
                <w:rFonts w:hint="default" w:ascii="宋体" w:hAnsi="宋体" w:eastAsia="宋体"/>
                <w:szCs w:val="24"/>
                <w:highlight w:val="none"/>
                <w:lang w:val="en-US" w:eastAsia="zh-CN"/>
              </w:rPr>
            </w:pPr>
            <w:r>
              <w:rPr>
                <w:rFonts w:hint="eastAsia" w:ascii="宋体" w:hAnsi="宋体"/>
                <w:bCs/>
                <w:szCs w:val="24"/>
                <w:highlight w:val="none"/>
                <w:lang w:val="en-US" w:eastAsia="zh-CN"/>
              </w:rPr>
              <w:t>周边正在合作项目</w:t>
            </w:r>
          </w:p>
        </w:tc>
        <w:tc>
          <w:tcPr>
            <w:tcW w:w="850" w:type="dxa"/>
            <w:vAlign w:val="center"/>
          </w:tcPr>
          <w:p>
            <w:pPr>
              <w:adjustRightInd w:val="0"/>
              <w:snapToGrid w:val="0"/>
              <w:jc w:val="center"/>
              <w:rPr>
                <w:rFonts w:ascii="宋体" w:hAnsi="宋体"/>
                <w:color w:val="000000"/>
                <w:kern w:val="0"/>
                <w:szCs w:val="24"/>
                <w:highlight w:val="none"/>
                <w:lang w:bidi="ar"/>
              </w:rPr>
            </w:pPr>
            <w:r>
              <w:rPr>
                <w:rFonts w:hint="eastAsia" w:ascii="宋体" w:hAnsi="宋体"/>
                <w:color w:val="000000"/>
                <w:kern w:val="0"/>
                <w:szCs w:val="24"/>
                <w:highlight w:val="none"/>
                <w:lang w:val="en-US" w:eastAsia="zh-CN" w:bidi="ar"/>
              </w:rPr>
              <w:t>5</w:t>
            </w:r>
            <w:r>
              <w:rPr>
                <w:rFonts w:hint="eastAsia" w:ascii="宋体" w:hAnsi="宋体"/>
                <w:color w:val="000000"/>
                <w:kern w:val="0"/>
                <w:szCs w:val="24"/>
                <w:highlight w:val="none"/>
                <w:lang w:bidi="ar"/>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投标人提供</w:t>
            </w:r>
            <w:r>
              <w:rPr>
                <w:rFonts w:hint="eastAsia" w:ascii="宋体" w:hAnsi="宋体"/>
                <w:color w:val="000000"/>
                <w:kern w:val="0"/>
                <w:szCs w:val="24"/>
                <w:highlight w:val="none"/>
                <w:lang w:val="en-US" w:eastAsia="zh-CN" w:bidi="ar"/>
              </w:rPr>
              <w:t>附近电梯维保</w:t>
            </w:r>
            <w:r>
              <w:rPr>
                <w:rFonts w:ascii="宋体" w:hAnsi="宋体"/>
                <w:color w:val="000000"/>
                <w:kern w:val="0"/>
                <w:szCs w:val="24"/>
                <w:highlight w:val="none"/>
                <w:lang w:bidi="ar"/>
              </w:rPr>
              <w:t>维护服务类似</w:t>
            </w:r>
            <w:r>
              <w:rPr>
                <w:rFonts w:hint="eastAsia" w:ascii="宋体" w:hAnsi="宋体"/>
                <w:color w:val="000000"/>
                <w:kern w:val="0"/>
                <w:szCs w:val="24"/>
                <w:highlight w:val="none"/>
                <w:lang w:val="en-US" w:eastAsia="zh-CN" w:bidi="ar"/>
              </w:rPr>
              <w:t>项目</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周边5公里内</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得5分，没有不得分</w:t>
            </w:r>
            <w:r>
              <w:rPr>
                <w:rFonts w:hint="eastAsia" w:ascii="宋体" w:hAnsi="宋体"/>
                <w:color w:val="000000"/>
                <w:kern w:val="0"/>
                <w:szCs w:val="24"/>
                <w:highlight w:val="none"/>
                <w:lang w:bidi="ar"/>
              </w:rPr>
              <w:t>。</w:t>
            </w:r>
          </w:p>
          <w:p>
            <w:pPr>
              <w:widowControl/>
              <w:jc w:val="left"/>
              <w:rPr>
                <w:rFonts w:ascii="宋体" w:hAnsi="宋体"/>
                <w:szCs w:val="24"/>
                <w:highlight w:val="none"/>
              </w:rPr>
            </w:pPr>
            <w:r>
              <w:rPr>
                <w:rFonts w:hint="eastAsia" w:ascii="宋体" w:hAnsi="宋体"/>
                <w:b/>
                <w:szCs w:val="24"/>
                <w:highlight w:val="none"/>
              </w:rPr>
              <w:t>注：同一甲方业绩只计一次得分，</w:t>
            </w:r>
            <w:r>
              <w:rPr>
                <w:rFonts w:ascii="宋体" w:hAnsi="宋体"/>
                <w:b/>
                <w:szCs w:val="24"/>
                <w:highlight w:val="none"/>
              </w:rPr>
              <w:t>上述业绩需提供合同</w:t>
            </w:r>
            <w:r>
              <w:rPr>
                <w:rFonts w:hint="eastAsia" w:ascii="宋体" w:hAnsi="宋体"/>
                <w:b/>
                <w:szCs w:val="24"/>
                <w:highlight w:val="none"/>
              </w:rPr>
              <w:t>复印件</w:t>
            </w:r>
            <w:r>
              <w:rPr>
                <w:rFonts w:ascii="宋体" w:hAnsi="宋体"/>
                <w:b/>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6</w:t>
            </w:r>
          </w:p>
        </w:tc>
        <w:tc>
          <w:tcPr>
            <w:tcW w:w="1271"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合计</w:t>
            </w:r>
          </w:p>
        </w:tc>
        <w:tc>
          <w:tcPr>
            <w:tcW w:w="850" w:type="dxa"/>
            <w:vAlign w:val="center"/>
          </w:tcPr>
          <w:p>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10</w:t>
            </w:r>
            <w:r>
              <w:rPr>
                <w:rFonts w:ascii="宋体" w:hAnsi="宋体"/>
                <w:color w:val="000000"/>
                <w:kern w:val="0"/>
                <w:szCs w:val="24"/>
                <w:highlight w:val="none"/>
                <w:lang w:bidi="ar"/>
              </w:rPr>
              <w:t>0</w:t>
            </w:r>
            <w:r>
              <w:rPr>
                <w:rFonts w:hint="eastAsia" w:ascii="宋体" w:hAnsi="宋体"/>
                <w:color w:val="000000"/>
                <w:kern w:val="0"/>
                <w:szCs w:val="24"/>
                <w:highlight w:val="none"/>
                <w:lang w:bidi="ar"/>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w:t>
            </w:r>
            <w:r>
              <w:rPr>
                <w:rFonts w:ascii="宋体" w:hAnsi="宋体"/>
                <w:color w:val="000000"/>
                <w:kern w:val="0"/>
                <w:szCs w:val="24"/>
                <w:highlight w:val="none"/>
                <w:lang w:bidi="ar"/>
              </w:rPr>
              <w:t>1</w:t>
            </w:r>
            <w:r>
              <w:rPr>
                <w:rFonts w:hint="eastAsia" w:ascii="宋体" w:hAnsi="宋体"/>
                <w:color w:val="000000"/>
                <w:kern w:val="0"/>
                <w:szCs w:val="24"/>
                <w:highlight w:val="none"/>
                <w:lang w:bidi="ar"/>
              </w:rPr>
              <w:t>+</w:t>
            </w:r>
            <w:r>
              <w:rPr>
                <w:rFonts w:ascii="宋体" w:hAnsi="宋体"/>
                <w:color w:val="000000"/>
                <w:kern w:val="0"/>
                <w:szCs w:val="24"/>
                <w:highlight w:val="none"/>
                <w:lang w:bidi="ar"/>
              </w:rPr>
              <w:t>2</w:t>
            </w:r>
            <w:r>
              <w:rPr>
                <w:rFonts w:hint="eastAsia" w:ascii="宋体" w:hAnsi="宋体"/>
                <w:color w:val="000000"/>
                <w:kern w:val="0"/>
                <w:szCs w:val="24"/>
                <w:highlight w:val="none"/>
                <w:lang w:bidi="ar"/>
              </w:rPr>
              <w:t>+</w:t>
            </w:r>
            <w:r>
              <w:rPr>
                <w:rFonts w:ascii="宋体" w:hAnsi="宋体"/>
                <w:color w:val="000000"/>
                <w:kern w:val="0"/>
                <w:szCs w:val="24"/>
                <w:highlight w:val="none"/>
                <w:lang w:bidi="ar"/>
              </w:rPr>
              <w:t>3</w:t>
            </w:r>
            <w:r>
              <w:rPr>
                <w:rFonts w:hint="eastAsia" w:ascii="宋体" w:hAnsi="宋体"/>
                <w:color w:val="000000"/>
                <w:kern w:val="0"/>
                <w:szCs w:val="24"/>
                <w:highlight w:val="none"/>
                <w:lang w:bidi="ar"/>
              </w:rPr>
              <w:t>+</w:t>
            </w:r>
            <w:r>
              <w:rPr>
                <w:rFonts w:ascii="宋体" w:hAnsi="宋体"/>
                <w:color w:val="000000"/>
                <w:kern w:val="0"/>
                <w:szCs w:val="24"/>
                <w:highlight w:val="none"/>
                <w:lang w:bidi="ar"/>
              </w:rPr>
              <w:t>4</w:t>
            </w:r>
            <w:r>
              <w:rPr>
                <w:rFonts w:hint="eastAsia" w:ascii="宋体" w:hAnsi="宋体"/>
                <w:color w:val="000000"/>
                <w:kern w:val="0"/>
                <w:szCs w:val="24"/>
                <w:highlight w:val="none"/>
                <w:lang w:bidi="ar"/>
              </w:rPr>
              <w:t>+</w:t>
            </w:r>
            <w:r>
              <w:rPr>
                <w:rFonts w:ascii="宋体" w:hAnsi="宋体"/>
                <w:color w:val="000000"/>
                <w:kern w:val="0"/>
                <w:szCs w:val="24"/>
                <w:highlight w:val="none"/>
                <w:lang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2830" w:type="dxa"/>
            <w:gridSpan w:val="3"/>
            <w:vAlign w:val="center"/>
          </w:tcPr>
          <w:p>
            <w:pPr>
              <w:adjustRightInd w:val="0"/>
              <w:snapToGrid w:val="0"/>
              <w:jc w:val="center"/>
              <w:rPr>
                <w:rFonts w:hint="eastAsia" w:ascii="宋体" w:hAnsi="宋体"/>
                <w:color w:val="000000"/>
                <w:kern w:val="0"/>
                <w:szCs w:val="24"/>
                <w:highlight w:val="none"/>
                <w:lang w:bidi="ar"/>
              </w:rPr>
            </w:pPr>
            <w:r>
              <w:rPr>
                <w:rFonts w:hint="eastAsia" w:ascii="宋体" w:hAnsi="宋体"/>
                <w:bCs/>
                <w:szCs w:val="24"/>
                <w:highlight w:val="none"/>
                <w:lang w:val="en-US" w:eastAsia="zh-CN"/>
              </w:rPr>
              <w:t>备注</w:t>
            </w:r>
          </w:p>
        </w:tc>
        <w:tc>
          <w:tcPr>
            <w:tcW w:w="6521" w:type="dxa"/>
            <w:vAlign w:val="center"/>
          </w:tcPr>
          <w:p>
            <w:pPr>
              <w:adjustRightInd w:val="0"/>
              <w:snapToGrid w:val="0"/>
              <w:jc w:val="left"/>
              <w:rPr>
                <w:rFonts w:hint="eastAsia" w:ascii="宋体" w:hAnsi="宋体" w:eastAsia="宋体"/>
                <w:color w:val="000000"/>
                <w:kern w:val="0"/>
                <w:szCs w:val="24"/>
                <w:highlight w:val="none"/>
                <w:lang w:val="en-US" w:eastAsia="zh-CN" w:bidi="ar"/>
              </w:rPr>
            </w:pPr>
          </w:p>
        </w:tc>
      </w:tr>
    </w:tbl>
    <w:p>
      <w:pPr>
        <w:pStyle w:val="77"/>
        <w:ind w:firstLine="480"/>
        <w:rPr>
          <w:rFonts w:asciiTheme="minorEastAsia" w:hAnsiTheme="minorEastAsia" w:eastAsiaTheme="minorEastAsia"/>
          <w:b/>
          <w:bCs/>
          <w:highlight w:val="green"/>
        </w:rPr>
      </w:pPr>
      <w:r>
        <w:rPr>
          <w:rFonts w:hint="eastAsia" w:asciiTheme="minorEastAsia" w:hAnsiTheme="minorEastAsia" w:eastAsiaTheme="minorEastAsia"/>
          <w:highlight w:val="none"/>
          <w:lang w:val="en-US" w:eastAsia="zh-CN"/>
        </w:rPr>
        <w:t>由招标人为该项目依法组织的评标工作小组负责，依据评分标准，本着公平、公正、公开、有序的原则，在最大限度地满足招标文件实质性要求的前提下，按照评审要素中的具体项目进行评审，确定得分和排名，通过初审者为有效投标，</w:t>
      </w:r>
      <w:r>
        <w:rPr>
          <w:rFonts w:hint="eastAsia" w:asciiTheme="minorEastAsia" w:hAnsiTheme="minorEastAsia" w:eastAsiaTheme="minorEastAsia"/>
          <w:b/>
          <w:bCs/>
          <w:highlight w:val="none"/>
          <w:lang w:val="en-US" w:eastAsia="zh-CN"/>
        </w:rPr>
        <w:t>技术标得分超过80分进入商务标</w:t>
      </w:r>
      <w:r>
        <w:rPr>
          <w:rFonts w:hint="eastAsia" w:asciiTheme="minorEastAsia" w:hAnsiTheme="minorEastAsia" w:eastAsiaTheme="minorEastAsia"/>
          <w:b/>
          <w:bCs/>
          <w:highlight w:val="none"/>
        </w:rPr>
        <w:t>。</w:t>
      </w:r>
    </w:p>
    <w:p>
      <w:pPr>
        <w:pStyle w:val="77"/>
        <w:ind w:firstLine="480"/>
        <w:rPr>
          <w:rFonts w:asciiTheme="minorEastAsia" w:hAnsiTheme="minorEastAsia" w:eastAsiaTheme="minorEastAsia"/>
          <w:b/>
          <w:bCs/>
        </w:rPr>
      </w:pPr>
      <w:r>
        <w:rPr>
          <w:rFonts w:hint="eastAsia" w:asciiTheme="minorEastAsia" w:hAnsiTheme="minorEastAsia" w:eastAsiaTheme="minorEastAsia"/>
          <w:b/>
          <w:bCs/>
        </w:rPr>
        <w:t>投标前请各投标人按照标书技术要求对项目方案进行充分准备，有意投标的单位应默认认同上述开标、评标过程，无异议，</w:t>
      </w:r>
      <w:r>
        <w:rPr>
          <w:rFonts w:hint="eastAsia" w:asciiTheme="minorEastAsia" w:hAnsiTheme="minorEastAsia" w:eastAsiaTheme="minorEastAsia"/>
          <w:b/>
          <w:bCs/>
          <w:highlight w:val="green"/>
        </w:rPr>
        <w:t>本项目只产生一个中标人。</w:t>
      </w:r>
    </w:p>
    <w:p>
      <w:pPr>
        <w:pStyle w:val="4"/>
        <w:spacing w:before="120" w:after="120" w:line="360" w:lineRule="auto"/>
        <w:ind w:firstLine="602" w:firstLineChars="214"/>
        <w:rPr>
          <w:rFonts w:ascii="宋体" w:hAnsi="宋体" w:eastAsia="宋体" w:cs="宋体"/>
          <w:sz w:val="28"/>
          <w:szCs w:val="28"/>
        </w:rPr>
      </w:pPr>
    </w:p>
    <w:p>
      <w:pPr>
        <w:spacing w:line="360" w:lineRule="auto"/>
        <w:ind w:left="124" w:leftChars="59" w:firstLine="487" w:firstLineChars="202"/>
        <w:rPr>
          <w:rFonts w:ascii="宋体" w:hAnsi="宋体" w:cs="宋体"/>
          <w:b/>
          <w:bCs/>
          <w:sz w:val="24"/>
          <w:szCs w:val="24"/>
        </w:rPr>
      </w:pPr>
      <w:bookmarkStart w:id="23" w:name="_Toc212369527"/>
      <w:r>
        <w:rPr>
          <w:rFonts w:hint="eastAsia" w:ascii="宋体" w:hAnsi="宋体" w:cs="宋体"/>
          <w:b/>
          <w:bCs/>
          <w:sz w:val="24"/>
          <w:szCs w:val="24"/>
        </w:rPr>
        <w:t>1、开标</w:t>
      </w:r>
      <w:bookmarkEnd w:id="23"/>
    </w:p>
    <w:p>
      <w:pPr>
        <w:spacing w:line="360" w:lineRule="auto"/>
        <w:ind w:left="124" w:leftChars="59" w:firstLine="500" w:firstLineChars="202"/>
        <w:rPr>
          <w:rFonts w:hint="eastAsia" w:ascii="宋体" w:hAnsi="宋体" w:eastAsia="宋体" w:cs="Times New Roman"/>
          <w:spacing w:val="4"/>
          <w:sz w:val="24"/>
        </w:rPr>
      </w:pPr>
      <w:bookmarkStart w:id="24" w:name="_Toc48665529"/>
      <w:r>
        <w:rPr>
          <w:rFonts w:hint="eastAsia" w:ascii="宋体" w:hAnsi="宋体" w:eastAsia="宋体" w:cs="Times New Roman"/>
          <w:spacing w:val="4"/>
          <w:sz w:val="24"/>
        </w:rPr>
        <w:t>①</w:t>
      </w:r>
      <w:r>
        <w:rPr>
          <w:rFonts w:hint="eastAsia" w:ascii="宋体" w:hAnsi="宋体" w:eastAsia="宋体" w:cs="Times New Roman"/>
          <w:spacing w:val="4"/>
          <w:sz w:val="24"/>
          <w:lang w:val="en-US" w:eastAsia="zh-CN"/>
        </w:rPr>
        <w:t>开标一览表</w:t>
      </w:r>
      <w:r>
        <w:rPr>
          <w:rFonts w:hint="eastAsia" w:ascii="宋体" w:hAnsi="宋体" w:eastAsia="宋体" w:cs="Times New Roman"/>
          <w:spacing w:val="4"/>
          <w:sz w:val="24"/>
        </w:rPr>
        <w:t>所有报价货币单位均为：人民币，元。</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eastAsia="宋体" w:cs="Times New Roman"/>
          <w:spacing w:val="4"/>
          <w:sz w:val="24"/>
        </w:rPr>
        <w:t>②</w:t>
      </w:r>
      <w:r>
        <w:rPr>
          <w:rFonts w:hint="eastAsia" w:ascii="宋体" w:hAnsi="宋体" w:eastAsia="宋体" w:cs="Times New Roman"/>
          <w:spacing w:val="4"/>
          <w:sz w:val="24"/>
          <w:lang w:val="en-US" w:eastAsia="zh-CN"/>
        </w:rPr>
        <w:t>开标时投标人需登录重汽e采通平台，在重汽e采通开标。</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eastAsia="宋体" w:cs="Times New Roman"/>
          <w:spacing w:val="4"/>
          <w:sz w:val="24"/>
        </w:rPr>
        <w:t>③</w:t>
      </w:r>
      <w:r>
        <w:rPr>
          <w:rFonts w:hint="eastAsia" w:ascii="宋体" w:hAnsi="宋体" w:eastAsia="宋体" w:cs="Times New Roman"/>
          <w:spacing w:val="4"/>
          <w:sz w:val="24"/>
          <w:lang w:val="en-US" w:eastAsia="zh-CN"/>
        </w:rPr>
        <w:t>商务标采用多轮报价，除开标唱标为公开报价方式外，后续多轮澄清报价均为非公开的方式，在重汽e采通进行提报。</w:t>
      </w:r>
    </w:p>
    <w:p>
      <w:pPr>
        <w:spacing w:line="360" w:lineRule="auto"/>
        <w:ind w:left="124" w:leftChars="59" w:firstLine="500" w:firstLineChars="202"/>
        <w:rPr>
          <w:rFonts w:hint="default" w:ascii="宋体" w:hAnsi="宋体" w:eastAsia="宋体" w:cs="Times New Roman"/>
          <w:spacing w:val="4"/>
          <w:sz w:val="24"/>
          <w:lang w:val="en-US" w:eastAsia="zh-CN"/>
        </w:rPr>
      </w:pPr>
      <w:r>
        <w:rPr>
          <w:rFonts w:hint="eastAsia" w:ascii="宋体" w:hAnsi="宋体" w:eastAsia="宋体" w:cs="Times New Roman"/>
          <w:spacing w:val="4"/>
          <w:sz w:val="24"/>
          <w:lang w:val="en-US" w:eastAsia="zh-CN"/>
        </w:rPr>
        <w:t>注意：每一轮在重汽e采通提供澄清报价均有时间限制，到点后未能提交的按无效处理。</w:t>
      </w:r>
    </w:p>
    <w:p>
      <w:pPr>
        <w:spacing w:line="360" w:lineRule="auto"/>
        <w:ind w:left="124" w:leftChars="59" w:firstLine="500" w:firstLineChars="202"/>
        <w:rPr>
          <w:rFonts w:hint="eastAsia" w:ascii="宋体" w:hAnsi="宋体" w:eastAsia="宋体" w:cs="Times New Roman"/>
          <w:b w:val="0"/>
          <w:bCs w:val="0"/>
          <w:spacing w:val="4"/>
          <w:sz w:val="24"/>
        </w:rPr>
      </w:pPr>
      <w:r>
        <w:rPr>
          <w:rFonts w:hint="eastAsia" w:ascii="宋体" w:hAnsi="宋体" w:eastAsia="宋体" w:cs="Times New Roman"/>
          <w:b w:val="0"/>
          <w:bCs w:val="0"/>
          <w:spacing w:val="4"/>
          <w:sz w:val="24"/>
          <w:lang w:val="en-US" w:eastAsia="zh-CN"/>
        </w:rPr>
        <w:t>2、</w:t>
      </w:r>
      <w:r>
        <w:rPr>
          <w:rFonts w:hint="eastAsia" w:ascii="宋体" w:hAnsi="宋体" w:eastAsia="宋体" w:cs="Times New Roman"/>
          <w:b w:val="0"/>
          <w:bCs w:val="0"/>
          <w:spacing w:val="4"/>
          <w:sz w:val="24"/>
        </w:rPr>
        <w:t>评标</w:t>
      </w:r>
    </w:p>
    <w:p>
      <w:pPr>
        <w:pStyle w:val="12"/>
        <w:spacing w:line="360" w:lineRule="auto"/>
        <w:rPr>
          <w:rFonts w:hint="eastAsia" w:ascii="宋体" w:hAnsi="宋体" w:eastAsia="宋体" w:cs="Times New Roman"/>
          <w:spacing w:val="4"/>
          <w:sz w:val="24"/>
        </w:rPr>
      </w:pPr>
      <w:r>
        <w:rPr>
          <w:rFonts w:hint="eastAsia" w:ascii="宋体" w:hAnsi="宋体" w:eastAsia="宋体" w:cs="Times New Roman"/>
          <w:spacing w:val="4"/>
          <w:sz w:val="24"/>
        </w:rPr>
        <w:t>评标工作由招标人为该项目依法组织的、由三人及以上单数成员（视标的额大小按规定确定专家人数）组成的评标工作小组负责，由评标工作小组按照国家招投标有关规定，本着公平、公正、公开、有序的原则，在最大限度地满足招标文件实质性要求的前提下，依据本招标书列示的相关报价规则，并根据报价情况同时结合项目需求进行</w:t>
      </w:r>
      <w:r>
        <w:rPr>
          <w:rFonts w:hint="eastAsia" w:ascii="宋体" w:hAnsi="宋体" w:eastAsia="宋体" w:cs="Times New Roman"/>
          <w:spacing w:val="4"/>
          <w:sz w:val="24"/>
          <w:lang w:val="en-US" w:eastAsia="zh-CN"/>
        </w:rPr>
        <w:t>竞价</w:t>
      </w:r>
      <w:r>
        <w:rPr>
          <w:rFonts w:hint="eastAsia" w:ascii="宋体" w:hAnsi="宋体" w:eastAsia="宋体" w:cs="Times New Roman"/>
          <w:spacing w:val="4"/>
          <w:sz w:val="24"/>
        </w:rPr>
        <w:t>评审，</w:t>
      </w:r>
      <w:r>
        <w:rPr>
          <w:rFonts w:hint="eastAsia" w:ascii="宋体" w:hAnsi="宋体" w:eastAsia="宋体" w:cs="Times New Roman"/>
          <w:b/>
          <w:bCs/>
          <w:spacing w:val="4"/>
          <w:sz w:val="24"/>
        </w:rPr>
        <w:t>按照合理最低价的原则选择中标厂家</w:t>
      </w:r>
      <w:r>
        <w:rPr>
          <w:rFonts w:hint="eastAsia" w:ascii="宋体" w:hAnsi="宋体" w:eastAsia="宋体" w:cs="Times New Roman"/>
          <w:b/>
          <w:bCs/>
          <w:spacing w:val="4"/>
          <w:sz w:val="24"/>
          <w:lang w:eastAsia="zh-CN"/>
        </w:rPr>
        <w:t>，</w:t>
      </w:r>
      <w:r>
        <w:rPr>
          <w:rFonts w:hint="eastAsia" w:ascii="宋体" w:hAnsi="宋体" w:eastAsia="宋体" w:cs="Times New Roman"/>
          <w:spacing w:val="4"/>
          <w:sz w:val="24"/>
        </w:rPr>
        <w:t>按需确定中标候选人及中标项目，对未中标人不做任何解释。</w:t>
      </w:r>
    </w:p>
    <w:p>
      <w:pPr>
        <w:pStyle w:val="12"/>
        <w:keepNext w:val="0"/>
        <w:keepLines w:val="0"/>
        <w:pageBreakBefore w:val="0"/>
        <w:widowControl w:val="0"/>
        <w:kinsoku/>
        <w:wordWrap/>
        <w:overflowPunct/>
        <w:topLinePunct w:val="0"/>
        <w:autoSpaceDE/>
        <w:autoSpaceDN/>
        <w:bidi w:val="0"/>
        <w:adjustRightInd/>
        <w:snapToGrid/>
        <w:spacing w:line="360" w:lineRule="auto"/>
        <w:ind w:firstLine="602" w:firstLineChars="214"/>
        <w:textAlignment w:val="auto"/>
        <w:rPr>
          <w:rFonts w:hint="eastAsia" w:ascii="宋体" w:hAnsi="宋体" w:eastAsia="宋体" w:cs="宋体"/>
          <w:b/>
          <w:bCs/>
          <w:kern w:val="2"/>
          <w:sz w:val="28"/>
          <w:szCs w:val="28"/>
          <w:lang w:val="en-US" w:eastAsia="zh-CN" w:bidi="ar-SA"/>
        </w:rPr>
      </w:pPr>
      <w:r>
        <w:rPr>
          <w:rFonts w:hint="eastAsia" w:hAnsi="宋体" w:cs="宋体"/>
          <w:b/>
          <w:bCs/>
          <w:kern w:val="2"/>
          <w:sz w:val="28"/>
          <w:szCs w:val="28"/>
          <w:lang w:val="en-US" w:eastAsia="zh-CN" w:bidi="ar-SA"/>
        </w:rPr>
        <w:t>四</w:t>
      </w:r>
      <w:r>
        <w:rPr>
          <w:rFonts w:hint="eastAsia" w:ascii="宋体" w:hAnsi="宋体" w:eastAsia="宋体" w:cs="宋体"/>
          <w:b/>
          <w:bCs/>
          <w:kern w:val="2"/>
          <w:sz w:val="28"/>
          <w:szCs w:val="28"/>
          <w:lang w:val="en-US" w:eastAsia="zh-CN" w:bidi="ar-SA"/>
        </w:rPr>
        <w:t>、废标及终止招标</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1.投标人有下列情形之一，其投标将被视为无效投标，招标人将严格按照《中华人民共和国招标投标法》及相关法律、法规及规章制度的规定行使权利。投标人给招标人造成损失的，招标人有索赔的权利，投标人应予以赔偿。</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⑴投标人提供的有关资格、资质证明文件不合格、不真实或提供虚假投标材料；</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⑵投标人在报价有效期内撤回投标；</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⑶在整个评标过程中，投标人有企图影响评标结果公正性的任何活动；</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⑷投标人以任何方式诋毁其他投标人；</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⑸投标人串通投标；</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⑹以他人名义投标或者以其他方式弄虚作假，骗取中标的；</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pacing w:val="4"/>
          <w:sz w:val="24"/>
        </w:rPr>
      </w:pPr>
      <w:r>
        <w:rPr>
          <w:rFonts w:hint="eastAsia" w:cs="仿宋" w:asciiTheme="minorEastAsia" w:hAnsiTheme="minorEastAsia" w:eastAsiaTheme="minorEastAsia"/>
          <w:sz w:val="24"/>
          <w:szCs w:val="24"/>
          <w:lang w:val="en-US" w:eastAsia="zh-CN"/>
        </w:rPr>
        <w:t>⑺法律、法规规定的其他情况。</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cs="Times New Roman"/>
          <w:spacing w:val="4"/>
          <w:sz w:val="24"/>
          <w:lang w:val="en-US" w:eastAsia="zh-CN"/>
        </w:rPr>
        <w:t>2</w:t>
      </w:r>
      <w:r>
        <w:rPr>
          <w:rFonts w:hint="eastAsia" w:ascii="宋体" w:hAnsi="宋体" w:eastAsia="宋体" w:cs="Times New Roman"/>
          <w:spacing w:val="4"/>
          <w:sz w:val="24"/>
          <w:lang w:val="en-US" w:eastAsia="zh-CN"/>
        </w:rPr>
        <w:t>、</w:t>
      </w:r>
      <w:r>
        <w:rPr>
          <w:rFonts w:hint="eastAsia" w:ascii="宋体" w:hAnsi="宋体" w:eastAsia="宋体" w:cs="Times New Roman"/>
          <w:spacing w:val="4"/>
          <w:sz w:val="24"/>
        </w:rPr>
        <w:t>出现下列情形之一，招标人有权否决所有投标人的投标，终止项目招标</w:t>
      </w:r>
      <w:r>
        <w:rPr>
          <w:rFonts w:hint="eastAsia" w:ascii="宋体" w:hAnsi="宋体" w:cs="Times New Roman"/>
          <w:spacing w:val="4"/>
          <w:sz w:val="24"/>
          <w:lang w:val="en-US" w:eastAsia="zh-CN"/>
        </w:rPr>
        <w:t>并废标</w:t>
      </w:r>
      <w:r>
        <w:rPr>
          <w:rFonts w:hint="eastAsia" w:ascii="宋体" w:hAnsi="宋体" w:eastAsia="宋体" w:cs="Times New Roman"/>
          <w:spacing w:val="4"/>
          <w:sz w:val="24"/>
        </w:rPr>
        <w:t>。</w:t>
      </w:r>
    </w:p>
    <w:p>
      <w:pPr>
        <w:keepNext w:val="0"/>
        <w:keepLines w:val="0"/>
        <w:pageBreakBefore w:val="0"/>
        <w:widowControl w:val="0"/>
        <w:kinsoku/>
        <w:wordWrap/>
        <w:overflowPunct/>
        <w:topLinePunct w:val="0"/>
        <w:autoSpaceDE/>
        <w:autoSpaceDN/>
        <w:bidi w:val="0"/>
        <w:adjustRightInd/>
        <w:snapToGrid/>
        <w:spacing w:line="360" w:lineRule="auto"/>
        <w:ind w:firstLine="248" w:firstLineChars="100"/>
        <w:textAlignment w:val="auto"/>
        <w:rPr>
          <w:rFonts w:hint="eastAsia" w:ascii="宋体" w:hAnsi="宋体" w:eastAsia="宋体" w:cs="Times New Roman"/>
          <w:spacing w:val="4"/>
          <w:sz w:val="24"/>
        </w:rPr>
      </w:pPr>
      <w:r>
        <w:rPr>
          <w:rFonts w:hint="eastAsia" w:ascii="宋体" w:hAnsi="宋体" w:cs="Times New Roman"/>
          <w:spacing w:val="4"/>
          <w:sz w:val="24"/>
          <w:lang w:eastAsia="zh-CN"/>
        </w:rPr>
        <w:t>（</w:t>
      </w:r>
      <w:r>
        <w:rPr>
          <w:rFonts w:hint="eastAsia" w:ascii="宋体" w:hAnsi="宋体" w:cs="Times New Roman"/>
          <w:spacing w:val="4"/>
          <w:sz w:val="24"/>
          <w:lang w:val="en-US" w:eastAsia="zh-CN"/>
        </w:rPr>
        <w:t>1</w:t>
      </w:r>
      <w:r>
        <w:rPr>
          <w:rFonts w:hint="eastAsia" w:ascii="宋体" w:hAnsi="宋体" w:cs="Times New Roman"/>
          <w:spacing w:val="4"/>
          <w:sz w:val="24"/>
          <w:lang w:eastAsia="zh-CN"/>
        </w:rPr>
        <w:t>）</w:t>
      </w:r>
      <w:r>
        <w:rPr>
          <w:rFonts w:hint="eastAsia" w:ascii="宋体" w:hAnsi="宋体" w:eastAsia="宋体" w:cs="Times New Roman"/>
          <w:spacing w:val="4"/>
          <w:sz w:val="24"/>
        </w:rPr>
        <w:t>出现影响采购公正的违法、违规行为的；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124" w:firstLineChars="5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2</w:t>
      </w:r>
      <w:r>
        <w:rPr>
          <w:rFonts w:hint="eastAsia" w:ascii="宋体" w:hAnsi="宋体" w:eastAsia="宋体" w:cs="Times New Roman"/>
          <w:spacing w:val="4"/>
          <w:sz w:val="24"/>
        </w:rPr>
        <w:t>）评标委员会经评审，认为所投标不符合招标文件要求的；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124" w:firstLineChars="5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3</w:t>
      </w:r>
      <w:r>
        <w:rPr>
          <w:rFonts w:hint="eastAsia" w:ascii="宋体" w:hAnsi="宋体" w:eastAsia="宋体" w:cs="Times New Roman"/>
          <w:spacing w:val="4"/>
          <w:sz w:val="24"/>
        </w:rPr>
        <w:t>）因重大变故，采购任务取消的；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124" w:firstLineChars="5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4</w:t>
      </w:r>
      <w:r>
        <w:rPr>
          <w:rFonts w:hint="eastAsia" w:ascii="宋体" w:hAnsi="宋体" w:eastAsia="宋体" w:cs="Times New Roman"/>
          <w:spacing w:val="4"/>
          <w:sz w:val="24"/>
        </w:rPr>
        <w:t>）联合体投标的；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372" w:firstLineChars="150"/>
        <w:textAlignment w:val="auto"/>
        <w:rPr>
          <w:rFonts w:hint="eastAsia" w:ascii="宋体" w:hAnsi="宋体" w:eastAsia="宋体" w:cs="Times New Roman"/>
          <w:spacing w:val="4"/>
          <w:sz w:val="24"/>
        </w:rPr>
      </w:pPr>
      <w:r>
        <w:rPr>
          <w:rFonts w:hint="eastAsia" w:ascii="宋体" w:hAnsi="宋体" w:cs="Times New Roman"/>
          <w:spacing w:val="4"/>
          <w:sz w:val="24"/>
          <w:lang w:val="en-US" w:eastAsia="zh-CN"/>
        </w:rPr>
        <w:t xml:space="preserve">*  </w:t>
      </w:r>
      <w:r>
        <w:rPr>
          <w:rFonts w:hint="eastAsia" w:ascii="宋体" w:hAnsi="宋体" w:eastAsia="宋体" w:cs="Times New Roman"/>
          <w:spacing w:val="4"/>
          <w:sz w:val="24"/>
        </w:rPr>
        <w:t>招标方对投标人各项因素进行综合评审，确定中标候选供应商或者中标供应商，对未中标单位不做任何解释。</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lang w:eastAsia="zh-CN"/>
        </w:rPr>
      </w:pPr>
      <w:r>
        <w:rPr>
          <w:rFonts w:hint="eastAsia" w:ascii="宋体" w:hAnsi="宋体" w:cs="Times New Roman"/>
          <w:spacing w:val="4"/>
          <w:sz w:val="24"/>
          <w:lang w:val="en-US" w:eastAsia="zh-CN"/>
        </w:rPr>
        <w:t>3</w:t>
      </w:r>
      <w:r>
        <w:rPr>
          <w:rFonts w:hint="eastAsia" w:ascii="宋体" w:hAnsi="宋体" w:eastAsia="宋体" w:cs="Times New Roman"/>
          <w:spacing w:val="4"/>
          <w:sz w:val="24"/>
          <w:lang w:val="en-US" w:eastAsia="zh-CN"/>
        </w:rPr>
        <w:t>、</w:t>
      </w:r>
      <w:r>
        <w:rPr>
          <w:rFonts w:hint="eastAsia" w:ascii="宋体" w:hAnsi="宋体" w:eastAsia="宋体" w:cs="Times New Roman"/>
          <w:spacing w:val="4"/>
          <w:sz w:val="24"/>
        </w:rPr>
        <w:t>中标人瑕疵滞后发现的处理原则</w:t>
      </w:r>
      <w:r>
        <w:rPr>
          <w:rFonts w:hint="eastAsia" w:ascii="宋体" w:hAnsi="宋体" w:eastAsia="宋体" w:cs="Times New Roman"/>
          <w:spacing w:val="4"/>
          <w:sz w:val="24"/>
          <w:lang w:eastAsia="zh-CN"/>
        </w:rPr>
        <w:t>。</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rPr>
      </w:pPr>
      <w:r>
        <w:rPr>
          <w:rFonts w:hint="eastAsia" w:ascii="宋体" w:hAnsi="宋体" w:eastAsia="宋体" w:cs="Times New Roman"/>
          <w:spacing w:val="4"/>
          <w:sz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4"/>
        <w:spacing w:before="120" w:after="120" w:line="360" w:lineRule="auto"/>
        <w:ind w:firstLine="602" w:firstLineChars="214"/>
        <w:jc w:val="left"/>
        <w:rPr>
          <w:rFonts w:ascii="宋体" w:hAnsi="宋体"/>
          <w:spacing w:val="4"/>
          <w:sz w:val="24"/>
        </w:rPr>
      </w:pPr>
      <w:r>
        <w:rPr>
          <w:rFonts w:hint="eastAsia" w:ascii="宋体" w:hAnsi="宋体" w:eastAsia="宋体" w:cs="宋体"/>
          <w:sz w:val="28"/>
          <w:szCs w:val="28"/>
          <w:lang w:val="en-US" w:eastAsia="zh-CN"/>
        </w:rPr>
        <w:t>五</w:t>
      </w:r>
      <w:r>
        <w:rPr>
          <w:rFonts w:hint="eastAsia" w:ascii="宋体" w:hAnsi="宋体" w:eastAsia="宋体" w:cs="宋体"/>
          <w:sz w:val="28"/>
          <w:szCs w:val="28"/>
        </w:rPr>
        <w:t>、</w:t>
      </w:r>
      <w:bookmarkEnd w:id="24"/>
      <w:bookmarkStart w:id="25" w:name="_Toc48665531"/>
      <w:r>
        <w:rPr>
          <w:rFonts w:hint="eastAsia" w:ascii="宋体" w:hAnsi="宋体" w:eastAsia="宋体" w:cs="宋体"/>
          <w:sz w:val="28"/>
          <w:szCs w:val="28"/>
        </w:rPr>
        <w:t>解释权</w:t>
      </w:r>
      <w:bookmarkEnd w:id="25"/>
    </w:p>
    <w:p>
      <w:pPr>
        <w:spacing w:line="360" w:lineRule="auto"/>
        <w:ind w:left="124" w:leftChars="59" w:firstLine="503" w:firstLineChars="202"/>
        <w:rPr>
          <w:rFonts w:ascii="宋体" w:hAnsi="宋体"/>
          <w:b/>
          <w:spacing w:val="4"/>
          <w:sz w:val="24"/>
        </w:rPr>
      </w:pPr>
      <w:r>
        <w:rPr>
          <w:rFonts w:hint="eastAsia" w:ascii="宋体" w:hAnsi="宋体"/>
          <w:b/>
          <w:spacing w:val="4"/>
          <w:sz w:val="24"/>
        </w:rPr>
        <w:t>本招标文件的最终解释权归招标人</w:t>
      </w:r>
    </w:p>
    <w:p>
      <w:pPr>
        <w:pStyle w:val="9"/>
        <w:spacing w:line="360" w:lineRule="auto"/>
        <w:ind w:firstLine="600" w:firstLineChars="250"/>
        <w:rPr>
          <w:rFonts w:ascii="宋体" w:hAnsi="宋体" w:eastAsia="宋体" w:cs="宋体"/>
          <w:sz w:val="24"/>
          <w:szCs w:val="24"/>
        </w:rPr>
      </w:pPr>
      <w:r>
        <w:rPr>
          <w:rFonts w:hint="eastAsia" w:ascii="宋体" w:hAnsi="宋体" w:eastAsia="宋体" w:cs="宋体"/>
          <w:sz w:val="24"/>
          <w:szCs w:val="24"/>
        </w:rPr>
        <w:t>当对一个问题有多种解释时以招标人的书面解释为准。招标文件未做明示，而又有相关法律、法规规定的，招标人对此所做解释以相关的法律、法规规定为依据。</w:t>
      </w:r>
    </w:p>
    <w:p>
      <w:pPr>
        <w:pStyle w:val="4"/>
        <w:spacing w:before="120" w:after="120" w:line="360" w:lineRule="auto"/>
        <w:ind w:firstLine="602" w:firstLineChars="214"/>
        <w:jc w:val="left"/>
        <w:rPr>
          <w:rFonts w:ascii="宋体" w:hAnsi="宋体" w:eastAsia="宋体" w:cs="宋体"/>
          <w:sz w:val="28"/>
          <w:szCs w:val="28"/>
        </w:rPr>
      </w:pPr>
      <w:bookmarkStart w:id="26" w:name="_Toc48665532"/>
      <w:r>
        <w:rPr>
          <w:rFonts w:hint="eastAsia" w:ascii="宋体" w:hAnsi="宋体" w:eastAsia="宋体" w:cs="宋体"/>
          <w:sz w:val="28"/>
          <w:szCs w:val="28"/>
          <w:lang w:val="en-US" w:eastAsia="zh-CN"/>
        </w:rPr>
        <w:t>六</w:t>
      </w:r>
      <w:r>
        <w:rPr>
          <w:rFonts w:hint="eastAsia" w:ascii="宋体" w:hAnsi="宋体" w:eastAsia="宋体" w:cs="宋体"/>
          <w:sz w:val="28"/>
          <w:szCs w:val="28"/>
        </w:rPr>
        <w:t>、</w:t>
      </w:r>
      <w:bookmarkStart w:id="27" w:name="_Toc346306733"/>
      <w:bookmarkStart w:id="28" w:name="_Toc352332854"/>
      <w:bookmarkStart w:id="29" w:name="_Toc346372880"/>
      <w:r>
        <w:rPr>
          <w:rFonts w:hint="eastAsia" w:ascii="宋体" w:hAnsi="宋体" w:eastAsia="宋体" w:cs="宋体"/>
          <w:sz w:val="28"/>
          <w:szCs w:val="28"/>
        </w:rPr>
        <w:t>投标费用</w:t>
      </w:r>
      <w:bookmarkEnd w:id="27"/>
      <w:bookmarkEnd w:id="28"/>
      <w:bookmarkEnd w:id="29"/>
    </w:p>
    <w:p>
      <w:pPr>
        <w:spacing w:line="360" w:lineRule="auto"/>
        <w:ind w:left="124" w:leftChars="59" w:firstLine="503" w:firstLineChars="202"/>
        <w:rPr>
          <w:rFonts w:ascii="宋体" w:hAnsi="宋体"/>
          <w:b/>
          <w:spacing w:val="4"/>
          <w:sz w:val="24"/>
        </w:rPr>
      </w:pPr>
      <w:r>
        <w:rPr>
          <w:rFonts w:hint="eastAsia" w:ascii="宋体" w:hAnsi="宋体"/>
          <w:b/>
          <w:spacing w:val="4"/>
          <w:sz w:val="24"/>
        </w:rPr>
        <w:t>投标人自行承担参加招标有关费用</w:t>
      </w:r>
    </w:p>
    <w:p>
      <w:pPr>
        <w:autoSpaceDE w:val="0"/>
        <w:autoSpaceDN w:val="0"/>
        <w:adjustRightInd w:val="0"/>
        <w:snapToGrid w:val="0"/>
        <w:spacing w:line="360" w:lineRule="auto"/>
        <w:ind w:firstLine="600" w:firstLineChars="250"/>
        <w:jc w:val="left"/>
        <w:rPr>
          <w:rFonts w:ascii="宋体" w:hAnsi="宋体"/>
          <w:kern w:val="0"/>
          <w:sz w:val="24"/>
          <w:szCs w:val="24"/>
        </w:rPr>
      </w:pPr>
      <w:r>
        <w:rPr>
          <w:rFonts w:hint="eastAsia" w:ascii="宋体" w:hAnsi="宋体" w:cs="宋体"/>
          <w:kern w:val="0"/>
          <w:sz w:val="24"/>
          <w:szCs w:val="24"/>
        </w:rPr>
        <w:t>无论投标过程中的方法和结果如何，投标人自行承担所有与参加招标有关费用。</w:t>
      </w:r>
    </w:p>
    <w:bookmarkEnd w:id="26"/>
    <w:p>
      <w:pPr>
        <w:pStyle w:val="12"/>
        <w:spacing w:line="360" w:lineRule="auto"/>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36"/>
          <w:szCs w:val="36"/>
        </w:rPr>
      </w:pPr>
      <w:r>
        <w:rPr>
          <w:rFonts w:hint="eastAsia" w:cs="宋体" w:asciiTheme="minorEastAsia" w:hAnsiTheme="minorEastAsia" w:eastAsiaTheme="minorEastAsia"/>
          <w:b/>
          <w:bCs/>
          <w:color w:val="000000"/>
          <w:sz w:val="36"/>
          <w:szCs w:val="36"/>
        </w:rPr>
        <w:t>第四部分 附件（投标文件格式）</w:t>
      </w:r>
    </w:p>
    <w:p>
      <w:pPr>
        <w:pStyle w:val="12"/>
        <w:spacing w:line="360" w:lineRule="auto"/>
        <w:jc w:val="center"/>
        <w:rPr>
          <w:rFonts w:cs="宋体" w:asciiTheme="minorEastAsia" w:hAnsiTheme="minorEastAsia" w:eastAsiaTheme="minorEastAsia"/>
          <w:b/>
          <w:bCs/>
          <w:color w:val="000000"/>
          <w:sz w:val="24"/>
          <w:szCs w:val="24"/>
        </w:rPr>
      </w:pPr>
    </w:p>
    <w:p>
      <w:pPr>
        <w:pStyle w:val="23"/>
        <w:spacing w:line="360" w:lineRule="auto"/>
        <w:ind w:right="210"/>
        <w:rPr>
          <w:rFonts w:ascii="宋体" w:hAnsi="宋体"/>
          <w:sz w:val="24"/>
          <w:szCs w:val="22"/>
        </w:rPr>
      </w:pPr>
      <w:r>
        <w:rPr>
          <w:rFonts w:hint="eastAsia" w:ascii="宋体" w:hAnsi="宋体"/>
          <w:sz w:val="24"/>
          <w:szCs w:val="22"/>
        </w:rPr>
        <w:t>说明：</w:t>
      </w:r>
    </w:p>
    <w:p>
      <w:pPr>
        <w:adjustRightInd w:val="0"/>
        <w:snapToGrid w:val="0"/>
        <w:spacing w:line="360" w:lineRule="auto"/>
        <w:ind w:firstLine="480" w:firstLineChars="200"/>
        <w:rPr>
          <w:rFonts w:ascii="宋体" w:hAnsi="宋体"/>
          <w:sz w:val="24"/>
          <w:szCs w:val="22"/>
        </w:rPr>
      </w:pPr>
      <w:r>
        <w:rPr>
          <w:rFonts w:hint="eastAsia" w:ascii="宋体" w:hAnsi="宋体"/>
          <w:sz w:val="24"/>
          <w:szCs w:val="22"/>
        </w:rPr>
        <w:t>1、投标人须认真填写和提交本部分中的附件文件；</w:t>
      </w:r>
    </w:p>
    <w:p>
      <w:pPr>
        <w:spacing w:line="360" w:lineRule="auto"/>
        <w:ind w:firstLine="480" w:firstLineChars="200"/>
        <w:rPr>
          <w:rFonts w:ascii="宋体" w:hAnsi="宋体"/>
          <w:sz w:val="24"/>
          <w:szCs w:val="22"/>
        </w:rPr>
      </w:pPr>
      <w:r>
        <w:rPr>
          <w:rFonts w:hint="eastAsia" w:ascii="宋体" w:hAnsi="宋体"/>
          <w:sz w:val="24"/>
          <w:szCs w:val="22"/>
        </w:rPr>
        <w:t>2、对附件文件中所要求的内容应给予明确的答复；</w:t>
      </w:r>
    </w:p>
    <w:p>
      <w:pPr>
        <w:spacing w:line="360" w:lineRule="auto"/>
        <w:ind w:firstLine="480" w:firstLineChars="200"/>
        <w:rPr>
          <w:rFonts w:ascii="宋体" w:hAnsi="宋体"/>
          <w:sz w:val="24"/>
          <w:szCs w:val="22"/>
        </w:rPr>
      </w:pPr>
      <w:r>
        <w:rPr>
          <w:rFonts w:hint="eastAsia" w:ascii="宋体" w:hAnsi="宋体"/>
          <w:sz w:val="24"/>
          <w:szCs w:val="22"/>
        </w:rPr>
        <w:t>3、附件文件的签字人应保证其对一切问题的答复、所做的声明及出具的资格资质文件、资料等具有真实性和准确性；</w:t>
      </w:r>
    </w:p>
    <w:p>
      <w:pPr>
        <w:spacing w:line="360" w:lineRule="auto"/>
        <w:ind w:firstLine="480" w:firstLineChars="200"/>
        <w:rPr>
          <w:rFonts w:ascii="宋体" w:hAnsi="宋体"/>
          <w:sz w:val="24"/>
          <w:szCs w:val="22"/>
        </w:rPr>
      </w:pPr>
      <w:r>
        <w:rPr>
          <w:rFonts w:hint="eastAsia" w:ascii="宋体" w:hAnsi="宋体"/>
          <w:sz w:val="24"/>
          <w:szCs w:val="22"/>
        </w:rPr>
        <w:t>4、招标人将对投标人提交的文件、资料等内容予以保密，但不退还；</w:t>
      </w:r>
    </w:p>
    <w:p>
      <w:pPr>
        <w:spacing w:line="360" w:lineRule="auto"/>
        <w:ind w:firstLine="480" w:firstLineChars="200"/>
        <w:rPr>
          <w:rFonts w:ascii="宋体" w:hAnsi="宋体"/>
          <w:sz w:val="24"/>
          <w:szCs w:val="22"/>
        </w:rPr>
      </w:pPr>
      <w:r>
        <w:rPr>
          <w:rFonts w:hint="eastAsia" w:ascii="宋体" w:hAnsi="宋体"/>
          <w:sz w:val="24"/>
          <w:szCs w:val="22"/>
        </w:rPr>
        <w:t>5、所有附件文件应以中文书写，作为投标文件的组成部分。</w:t>
      </w: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rPr>
          <w:rFonts w:cs="宋体" w:asciiTheme="minorEastAsia" w:hAnsiTheme="minorEastAsia" w:eastAsiaTheme="minorEastAsia"/>
          <w:b/>
          <w:bCs/>
          <w:color w:val="000000"/>
          <w:sz w:val="24"/>
          <w:szCs w:val="24"/>
        </w:rPr>
      </w:pPr>
    </w:p>
    <w:p>
      <w:pPr>
        <w:pStyle w:val="12"/>
        <w:spacing w:line="360" w:lineRule="auto"/>
        <w:rPr>
          <w:rFonts w:cs="宋体" w:asciiTheme="minorEastAsia" w:hAnsiTheme="minorEastAsia" w:eastAsiaTheme="minorEastAsia"/>
          <w:b/>
          <w:bCs/>
          <w:color w:val="000000"/>
          <w:sz w:val="24"/>
          <w:szCs w:val="24"/>
        </w:rPr>
      </w:pPr>
    </w:p>
    <w:p>
      <w:pPr>
        <w:pStyle w:val="12"/>
        <w:spacing w:line="360" w:lineRule="auto"/>
        <w:rPr>
          <w:rFonts w:cs="宋体" w:asciiTheme="minorEastAsia" w:hAnsiTheme="minorEastAsia" w:eastAsiaTheme="minorEastAsia"/>
          <w:b/>
          <w:bCs/>
          <w:color w:val="000000"/>
          <w:sz w:val="24"/>
          <w:szCs w:val="24"/>
        </w:rPr>
      </w:pPr>
    </w:p>
    <w:p>
      <w:pPr>
        <w:pStyle w:val="12"/>
        <w:spacing w:line="360" w:lineRule="auto"/>
        <w:rPr>
          <w:rFonts w:cs="宋体" w:asciiTheme="minorEastAsia" w:hAnsiTheme="minorEastAsia" w:eastAsiaTheme="minorEastAsia"/>
          <w:b/>
          <w:bCs/>
          <w:color w:val="000000"/>
          <w:sz w:val="24"/>
          <w:szCs w:val="24"/>
        </w:rPr>
      </w:pPr>
    </w:p>
    <w:p>
      <w:pPr>
        <w:pStyle w:val="12"/>
        <w:spacing w:line="360" w:lineRule="auto"/>
        <w:rPr>
          <w:rFonts w:cs="宋体" w:asciiTheme="minorEastAsia" w:hAnsiTheme="minorEastAsia" w:eastAsiaTheme="minorEastAsia"/>
          <w:b/>
          <w:bCs/>
          <w:color w:val="000000"/>
          <w:sz w:val="24"/>
          <w:szCs w:val="24"/>
        </w:rPr>
      </w:pPr>
    </w:p>
    <w:p>
      <w:pPr>
        <w:pStyle w:val="12"/>
        <w:spacing w:line="360" w:lineRule="auto"/>
        <w:rPr>
          <w:rFonts w:cs="宋体" w:asciiTheme="minorEastAsia" w:hAnsiTheme="minorEastAsia" w:eastAsiaTheme="minorEastAsia"/>
          <w:b/>
          <w:bCs/>
          <w:color w:val="000000"/>
          <w:sz w:val="24"/>
          <w:szCs w:val="24"/>
        </w:rPr>
      </w:pPr>
    </w:p>
    <w:p>
      <w:pPr>
        <w:pStyle w:val="12"/>
        <w:spacing w:line="360" w:lineRule="auto"/>
        <w:rPr>
          <w:rFonts w:cs="宋体" w:asciiTheme="minorEastAsia" w:hAnsiTheme="minorEastAsia" w:eastAsiaTheme="minorEastAsia"/>
          <w:b/>
          <w:bCs/>
          <w:color w:val="000000"/>
          <w:sz w:val="24"/>
          <w:szCs w:val="24"/>
        </w:rPr>
      </w:pPr>
    </w:p>
    <w:p>
      <w:pPr>
        <w:pStyle w:val="12"/>
        <w:spacing w:line="360" w:lineRule="auto"/>
        <w:jc w:val="left"/>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1</w:t>
      </w:r>
    </w:p>
    <w:p>
      <w:pPr>
        <w:pStyle w:val="12"/>
        <w:spacing w:line="360" w:lineRule="auto"/>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投标书</w:t>
      </w:r>
    </w:p>
    <w:p>
      <w:pPr>
        <w:spacing w:line="360" w:lineRule="auto"/>
        <w:rPr>
          <w:rFonts w:asciiTheme="minorEastAsia" w:hAnsiTheme="minorEastAsia" w:eastAsiaTheme="minorEastAsia"/>
          <w:color w:val="000000"/>
          <w:sz w:val="24"/>
          <w:szCs w:val="24"/>
          <w:u w:val="single"/>
        </w:rPr>
      </w:pPr>
      <w:r>
        <w:rPr>
          <w:rFonts w:hint="eastAsia" w:asciiTheme="minorEastAsia" w:hAnsiTheme="minorEastAsia" w:eastAsiaTheme="minorEastAsia"/>
          <w:color w:val="000000"/>
          <w:sz w:val="24"/>
          <w:szCs w:val="24"/>
        </w:rPr>
        <w:t>致</w:t>
      </w:r>
      <w:r>
        <w:rPr>
          <w:rFonts w:hint="eastAsia" w:asciiTheme="minorEastAsia" w:hAnsiTheme="minorEastAsia" w:eastAsiaTheme="minorEastAsia"/>
          <w:color w:val="000000"/>
          <w:sz w:val="24"/>
          <w:szCs w:val="24"/>
          <w:u w:val="single"/>
        </w:rPr>
        <w:t>（招标人名称）                            ：</w:t>
      </w:r>
    </w:p>
    <w:p>
      <w:pPr>
        <w:spacing w:line="360" w:lineRule="auto"/>
        <w:ind w:firstLine="64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根据贵方为（</w:t>
      </w:r>
      <w:r>
        <w:rPr>
          <w:rFonts w:hint="eastAsia" w:asciiTheme="minorEastAsia" w:hAnsiTheme="minorEastAsia" w:eastAsiaTheme="minorEastAsia"/>
          <w:color w:val="000000"/>
          <w:sz w:val="24"/>
          <w:szCs w:val="24"/>
          <w:u w:val="single"/>
        </w:rPr>
        <w:t xml:space="preserve">项目名称）                         </w:t>
      </w:r>
      <w:r>
        <w:rPr>
          <w:rFonts w:hint="eastAsia" w:asciiTheme="minorEastAsia" w:hAnsiTheme="minorEastAsia" w:eastAsiaTheme="minorEastAsia"/>
          <w:color w:val="000000"/>
          <w:sz w:val="24"/>
          <w:szCs w:val="24"/>
        </w:rPr>
        <w:t>招标项目的投标邀请，签字代表</w:t>
      </w:r>
      <w:r>
        <w:rPr>
          <w:rFonts w:hint="eastAsia" w:asciiTheme="minorEastAsia" w:hAnsiTheme="minorEastAsia" w:eastAsiaTheme="minorEastAsia"/>
          <w:color w:val="000000"/>
          <w:sz w:val="24"/>
          <w:szCs w:val="24"/>
          <w:u w:val="single"/>
        </w:rPr>
        <w:t xml:space="preserve">（全名、职务）           </w:t>
      </w:r>
      <w:r>
        <w:rPr>
          <w:rFonts w:hint="eastAsia" w:asciiTheme="minorEastAsia" w:hAnsiTheme="minorEastAsia" w:eastAsiaTheme="minorEastAsia"/>
          <w:color w:val="000000"/>
          <w:sz w:val="24"/>
          <w:szCs w:val="24"/>
        </w:rPr>
        <w:t>经正式授权并代表投标人</w:t>
      </w:r>
      <w:r>
        <w:rPr>
          <w:rFonts w:hint="eastAsia" w:asciiTheme="minorEastAsia" w:hAnsiTheme="minorEastAsia" w:eastAsiaTheme="minorEastAsia"/>
          <w:color w:val="000000"/>
          <w:sz w:val="24"/>
          <w:szCs w:val="24"/>
          <w:u w:val="single"/>
        </w:rPr>
        <w:t xml:space="preserve">（投标人名称、地址）              </w:t>
      </w:r>
      <w:r>
        <w:rPr>
          <w:rFonts w:hint="eastAsia" w:asciiTheme="minorEastAsia" w:hAnsiTheme="minorEastAsia" w:eastAsiaTheme="minorEastAsia"/>
          <w:color w:val="000000"/>
          <w:sz w:val="24"/>
          <w:szCs w:val="24"/>
        </w:rPr>
        <w:t>提交下述文件：</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标书（正本</w:t>
      </w:r>
      <w:r>
        <w:rPr>
          <w:rFonts w:asciiTheme="minorEastAsia" w:hAnsiTheme="minorEastAsia" w:eastAsiaTheme="minorEastAsia"/>
          <w:color w:val="000000"/>
          <w:sz w:val="24"/>
          <w:szCs w:val="24"/>
          <w:u w:val="single"/>
        </w:rPr>
        <w:t>1</w:t>
      </w:r>
      <w:r>
        <w:rPr>
          <w:rFonts w:hint="eastAsia" w:asciiTheme="minorEastAsia" w:hAnsiTheme="minorEastAsia" w:eastAsiaTheme="minorEastAsia"/>
          <w:color w:val="000000"/>
          <w:sz w:val="24"/>
          <w:szCs w:val="24"/>
        </w:rPr>
        <w:t>份和副本一式</w:t>
      </w:r>
      <w:r>
        <w:rPr>
          <w:rFonts w:asciiTheme="minorEastAsia" w:hAnsiTheme="minorEastAsia" w:eastAsiaTheme="minorEastAsia"/>
          <w:color w:val="000000"/>
          <w:sz w:val="24"/>
          <w:szCs w:val="24"/>
          <w:u w:val="single"/>
        </w:rPr>
        <w:t>3</w:t>
      </w:r>
      <w:r>
        <w:rPr>
          <w:rFonts w:hint="eastAsia" w:asciiTheme="minorEastAsia" w:hAnsiTheme="minorEastAsia" w:eastAsiaTheme="minorEastAsia"/>
          <w:color w:val="000000"/>
          <w:sz w:val="24"/>
          <w:szCs w:val="24"/>
        </w:rPr>
        <w:t>份）</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资质证明文件（</w:t>
      </w: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份）</w:t>
      </w:r>
    </w:p>
    <w:p>
      <w:p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据此，签字代表宣布同意如下：</w:t>
      </w:r>
    </w:p>
    <w:p>
      <w:pPr>
        <w:spacing w:line="360" w:lineRule="auto"/>
        <w:ind w:firstLine="480" w:firstLineChars="2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.投标人将按招标文件的规定履行合同责任和义务。</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2.投标人已详细审查全部招标文件，包括修改文件（如有的话）以及全部参考资料和有关附件，我们完全理解并同意放弃对这方面有不明及误解的权利。</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3.投标有效期：自投标截止之日起30个日历日内有效。</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4.投标人同意提供贵方要求的可能与投标有关的一切数据和资料，完全理解贵方不一定要接受最低价的投标或收到的任何投标。</w:t>
      </w:r>
    </w:p>
    <w:p>
      <w:pPr>
        <w:spacing w:line="360" w:lineRule="auto"/>
        <w:ind w:left="43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5.与本投标有关的一切正式往来通讯请寄：</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地址：                                   邮编：</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电话：                                   传真：</w:t>
      </w:r>
    </w:p>
    <w:p>
      <w:pPr>
        <w:spacing w:line="360" w:lineRule="auto"/>
        <w:ind w:left="795"/>
        <w:rPr>
          <w:rFonts w:asciiTheme="minorEastAsia" w:hAnsiTheme="minorEastAsia" w:eastAsiaTheme="minorEastAsia"/>
          <w:color w:val="000000"/>
          <w:sz w:val="24"/>
          <w:szCs w:val="24"/>
        </w:rPr>
      </w:pP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投标人代表签字：                 职务：                 日期：</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投标人代表姓名、职务（印刷体）：</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投标人名称（及公章）：</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日期：        年       月       日</w:t>
      </w:r>
    </w:p>
    <w:p>
      <w:pPr>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2</w:t>
      </w: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投标文件主要内容</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652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主要内容</w:t>
            </w:r>
          </w:p>
        </w:tc>
        <w:tc>
          <w:tcPr>
            <w:tcW w:w="1276"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投标人授权代表签字：        职务：                 日期：     年  月  日</w:t>
      </w:r>
    </w:p>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p>
    <w:p>
      <w:pPr>
        <w:ind w:firstLine="234" w:firstLineChars="97"/>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.本表填写投标文件主要内容，以用于开标宣读。</w:t>
      </w:r>
    </w:p>
    <w:p>
      <w:pPr>
        <w:ind w:firstLine="720" w:firstLineChars="3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2</w:t>
      </w:r>
      <w:r>
        <w:rPr>
          <w:rFonts w:hint="eastAsia" w:asciiTheme="minorEastAsia" w:hAnsiTheme="minorEastAsia" w:eastAsiaTheme="minorEastAsia"/>
          <w:color w:val="000000"/>
          <w:sz w:val="24"/>
          <w:szCs w:val="24"/>
        </w:rPr>
        <w:t>．“索引”一栏填写该主要内容对应于投标文件的“条款号/页号”。</w:t>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3</w:t>
      </w: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《开标一览表》单独封存，以备唱标使用</w:t>
      </w:r>
    </w:p>
    <w:p>
      <w:pPr>
        <w:rPr>
          <w:rFonts w:cs="宋体" w:asciiTheme="minorEastAsia" w:hAnsiTheme="minorEastAsia" w:eastAsiaTheme="minorEastAsia"/>
          <w:b/>
          <w:bCs/>
          <w:color w:val="000000"/>
          <w:sz w:val="24"/>
          <w:szCs w:val="24"/>
        </w:rPr>
      </w:pP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开标一览表</w:t>
      </w:r>
    </w:p>
    <w:tbl>
      <w:tblPr>
        <w:tblStyle w:val="28"/>
        <w:tblW w:w="110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1202"/>
        <w:gridCol w:w="989"/>
        <w:gridCol w:w="1279"/>
        <w:gridCol w:w="851"/>
        <w:gridCol w:w="1417"/>
        <w:gridCol w:w="1559"/>
        <w:gridCol w:w="5"/>
        <w:gridCol w:w="1281"/>
        <w:gridCol w:w="5"/>
        <w:gridCol w:w="694"/>
        <w:gridCol w:w="5"/>
        <w:gridCol w:w="10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750"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1202"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名称</w:t>
            </w:r>
          </w:p>
        </w:tc>
        <w:tc>
          <w:tcPr>
            <w:tcW w:w="989"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速度（m/s)</w:t>
            </w:r>
          </w:p>
        </w:tc>
        <w:tc>
          <w:tcPr>
            <w:tcW w:w="1279"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层/站/门（高度）</w:t>
            </w:r>
          </w:p>
        </w:tc>
        <w:tc>
          <w:tcPr>
            <w:tcW w:w="851"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数量</w:t>
            </w:r>
          </w:p>
          <w:p>
            <w:pPr>
              <w:jc w:val="center"/>
              <w:rPr>
                <w:rFonts w:asciiTheme="minorEastAsia" w:hAnsiTheme="minorEastAsia" w:eastAsiaTheme="minorEastAsia"/>
                <w:color w:val="000000"/>
                <w:sz w:val="24"/>
                <w:szCs w:val="24"/>
              </w:rPr>
            </w:pPr>
          </w:p>
        </w:tc>
        <w:tc>
          <w:tcPr>
            <w:tcW w:w="1417" w:type="dxa"/>
            <w:vMerge w:val="restart"/>
            <w:vAlign w:val="center"/>
          </w:tcPr>
          <w:p>
            <w:pPr>
              <w:pStyle w:val="9"/>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原产地及</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制造商</w:t>
            </w:r>
          </w:p>
        </w:tc>
        <w:tc>
          <w:tcPr>
            <w:tcW w:w="1559" w:type="dxa"/>
            <w:vAlign w:val="center"/>
          </w:tcPr>
          <w:p>
            <w:pPr>
              <w:jc w:val="center"/>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维保费含税（元）</w:t>
            </w:r>
          </w:p>
        </w:tc>
        <w:tc>
          <w:tcPr>
            <w:tcW w:w="1286" w:type="dxa"/>
            <w:gridSpan w:val="2"/>
            <w:vAlign w:val="center"/>
          </w:tcPr>
          <w:p>
            <w:pPr>
              <w:jc w:val="center"/>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检测费含税（元）</w:t>
            </w:r>
          </w:p>
        </w:tc>
        <w:tc>
          <w:tcPr>
            <w:tcW w:w="699" w:type="dxa"/>
            <w:gridSpan w:val="2"/>
          </w:tcPr>
          <w:p>
            <w:pPr>
              <w:jc w:val="both"/>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税率</w:t>
            </w:r>
          </w:p>
        </w:tc>
        <w:tc>
          <w:tcPr>
            <w:tcW w:w="1067" w:type="dxa"/>
            <w:gridSpan w:val="2"/>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含税总价（元）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750" w:type="dxa"/>
            <w:vMerge w:val="continue"/>
            <w:vAlign w:val="center"/>
          </w:tcPr>
          <w:p>
            <w:pPr>
              <w:jc w:val="center"/>
              <w:rPr>
                <w:rFonts w:hint="eastAsia" w:asciiTheme="minorEastAsia" w:hAnsiTheme="minorEastAsia" w:eastAsiaTheme="minorEastAsia"/>
                <w:color w:val="000000"/>
                <w:sz w:val="24"/>
                <w:szCs w:val="24"/>
              </w:rPr>
            </w:pPr>
          </w:p>
        </w:tc>
        <w:tc>
          <w:tcPr>
            <w:tcW w:w="1202" w:type="dxa"/>
            <w:vMerge w:val="continue"/>
            <w:vAlign w:val="center"/>
          </w:tcPr>
          <w:p>
            <w:pPr>
              <w:jc w:val="center"/>
              <w:rPr>
                <w:rFonts w:hint="eastAsia" w:asciiTheme="minorEastAsia" w:hAnsiTheme="minorEastAsia" w:eastAsiaTheme="minorEastAsia"/>
                <w:color w:val="000000"/>
                <w:sz w:val="24"/>
                <w:szCs w:val="24"/>
              </w:rPr>
            </w:pPr>
          </w:p>
        </w:tc>
        <w:tc>
          <w:tcPr>
            <w:tcW w:w="989" w:type="dxa"/>
            <w:vMerge w:val="continue"/>
            <w:vAlign w:val="center"/>
          </w:tcPr>
          <w:p>
            <w:pPr>
              <w:jc w:val="center"/>
              <w:rPr>
                <w:rFonts w:hint="eastAsia" w:asciiTheme="minorEastAsia" w:hAnsiTheme="minorEastAsia" w:eastAsiaTheme="minorEastAsia"/>
                <w:color w:val="000000"/>
                <w:sz w:val="24"/>
                <w:szCs w:val="24"/>
              </w:rPr>
            </w:pPr>
          </w:p>
        </w:tc>
        <w:tc>
          <w:tcPr>
            <w:tcW w:w="1279" w:type="dxa"/>
            <w:vMerge w:val="continue"/>
            <w:vAlign w:val="center"/>
          </w:tcPr>
          <w:p>
            <w:pPr>
              <w:jc w:val="center"/>
              <w:rPr>
                <w:rFonts w:hint="eastAsia" w:asciiTheme="minorEastAsia" w:hAnsiTheme="minorEastAsia" w:eastAsiaTheme="minorEastAsia"/>
                <w:color w:val="000000"/>
                <w:sz w:val="24"/>
                <w:szCs w:val="24"/>
              </w:rPr>
            </w:pPr>
          </w:p>
        </w:tc>
        <w:tc>
          <w:tcPr>
            <w:tcW w:w="851" w:type="dxa"/>
            <w:vMerge w:val="continue"/>
            <w:vAlign w:val="center"/>
          </w:tcPr>
          <w:p>
            <w:pPr>
              <w:jc w:val="center"/>
              <w:rPr>
                <w:rFonts w:asciiTheme="minorEastAsia" w:hAnsiTheme="minorEastAsia" w:eastAsiaTheme="minorEastAsia"/>
                <w:color w:val="000000"/>
                <w:sz w:val="24"/>
                <w:szCs w:val="24"/>
              </w:rPr>
            </w:pPr>
          </w:p>
        </w:tc>
        <w:tc>
          <w:tcPr>
            <w:tcW w:w="1417" w:type="dxa"/>
            <w:vMerge w:val="continue"/>
            <w:vAlign w:val="center"/>
          </w:tcPr>
          <w:p>
            <w:pPr>
              <w:jc w:val="center"/>
              <w:rPr>
                <w:rFonts w:hint="eastAsia" w:asciiTheme="minorEastAsia" w:hAnsiTheme="minorEastAsia" w:eastAsiaTheme="minorEastAsia"/>
                <w:color w:val="000000"/>
                <w:sz w:val="24"/>
                <w:szCs w:val="24"/>
              </w:rPr>
            </w:pP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w:t>
            </w:r>
          </w:p>
        </w:tc>
        <w:tc>
          <w:tcPr>
            <w:tcW w:w="1202" w:type="dxa"/>
            <w:vAlign w:val="center"/>
          </w:tcPr>
          <w:p>
            <w:pPr>
              <w:jc w:val="both"/>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通力</w:t>
            </w:r>
            <w:r>
              <w:rPr>
                <w:rFonts w:hint="eastAsia" w:asciiTheme="minorEastAsia" w:hAnsiTheme="minorEastAsia" w:eastAsiaTheme="minorEastAsia"/>
                <w:color w:val="000000"/>
                <w:sz w:val="24"/>
                <w:szCs w:val="24"/>
              </w:rPr>
              <w:t>直梯</w:t>
            </w:r>
          </w:p>
        </w:tc>
        <w:tc>
          <w:tcPr>
            <w:tcW w:w="989" w:type="dxa"/>
            <w:vAlign w:val="bottom"/>
          </w:tcPr>
          <w:p>
            <w:pPr>
              <w:widowControl/>
              <w:jc w:val="center"/>
              <w:rPr>
                <w:rFonts w:asciiTheme="minorEastAsia" w:hAnsiTheme="minorEastAsia" w:eastAsiaTheme="minorEastAsia"/>
                <w:color w:val="000000"/>
                <w:sz w:val="24"/>
                <w:szCs w:val="24"/>
              </w:rPr>
            </w:pPr>
            <w:r>
              <w:rPr>
                <w:rFonts w:hint="eastAsia" w:ascii="宋体" w:hAnsi="宋体" w:eastAsia="宋体" w:cs="宋体"/>
                <w:color w:val="000000"/>
                <w:kern w:val="0"/>
                <w:sz w:val="22"/>
                <w:szCs w:val="22"/>
              </w:rPr>
              <w:t>2.50 m/s</w:t>
            </w:r>
          </w:p>
        </w:tc>
        <w:tc>
          <w:tcPr>
            <w:tcW w:w="1279"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25</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14</w:t>
            </w:r>
            <w:r>
              <w:rPr>
                <w:rFonts w:hint="eastAsia" w:asciiTheme="minorEastAsia" w:hAnsiTheme="minorEastAsia" w:eastAsiaTheme="minorEastAsia"/>
                <w:color w:val="000000"/>
                <w:sz w:val="24"/>
                <w:szCs w:val="24"/>
              </w:rPr>
              <w:t>台</w:t>
            </w:r>
          </w:p>
        </w:tc>
        <w:tc>
          <w:tcPr>
            <w:tcW w:w="1417" w:type="dxa"/>
            <w:vAlign w:val="center"/>
          </w:tcPr>
          <w:p>
            <w:pPr>
              <w:jc w:val="center"/>
              <w:rPr>
                <w:rFonts w:hint="eastAsia" w:asciiTheme="minorEastAsia" w:hAnsiTheme="minorEastAsia" w:eastAsiaTheme="minorEastAsia"/>
                <w:color w:val="000000"/>
                <w:sz w:val="24"/>
                <w:szCs w:val="24"/>
                <w:lang w:eastAsia="zh-CN"/>
              </w:rPr>
            </w:pPr>
            <w:r>
              <w:rPr>
                <w:rFonts w:hint="eastAsia" w:asciiTheme="minorEastAsia" w:hAnsiTheme="minorEastAsia" w:eastAsiaTheme="minorEastAsia"/>
                <w:color w:val="000000"/>
                <w:sz w:val="24"/>
                <w:szCs w:val="24"/>
                <w:lang w:val="en-US" w:eastAsia="zh-CN"/>
              </w:rPr>
              <w:t>通力</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w:t>
            </w:r>
          </w:p>
        </w:tc>
        <w:tc>
          <w:tcPr>
            <w:tcW w:w="1202"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通力</w:t>
            </w:r>
            <w:r>
              <w:rPr>
                <w:rFonts w:hint="eastAsia" w:asciiTheme="minorEastAsia" w:hAnsiTheme="minorEastAsia" w:eastAsiaTheme="minorEastAsia"/>
                <w:color w:val="000000"/>
                <w:sz w:val="24"/>
                <w:szCs w:val="24"/>
              </w:rPr>
              <w:t>直梯</w:t>
            </w:r>
          </w:p>
        </w:tc>
        <w:tc>
          <w:tcPr>
            <w:tcW w:w="989"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3m/s</w:t>
            </w:r>
          </w:p>
        </w:tc>
        <w:tc>
          <w:tcPr>
            <w:tcW w:w="1279"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22</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3</w:t>
            </w:r>
            <w:r>
              <w:rPr>
                <w:rFonts w:hint="eastAsia" w:asciiTheme="minorEastAsia" w:hAnsiTheme="minorEastAsia" w:eastAsiaTheme="minorEastAsia"/>
                <w:color w:val="000000"/>
                <w:sz w:val="24"/>
                <w:szCs w:val="24"/>
              </w:rPr>
              <w:t>台</w:t>
            </w:r>
          </w:p>
        </w:tc>
        <w:tc>
          <w:tcPr>
            <w:tcW w:w="1417" w:type="dxa"/>
            <w:vAlign w:val="center"/>
          </w:tcPr>
          <w:p>
            <w:pPr>
              <w:jc w:val="center"/>
              <w:rPr>
                <w:rFonts w:hint="eastAsia" w:asciiTheme="minorEastAsia" w:hAnsiTheme="minorEastAsia" w:eastAsiaTheme="minorEastAsia"/>
                <w:color w:val="000000"/>
                <w:sz w:val="24"/>
                <w:szCs w:val="24"/>
                <w:lang w:eastAsia="zh-CN"/>
              </w:rPr>
            </w:pPr>
            <w:r>
              <w:rPr>
                <w:rFonts w:hint="eastAsia" w:asciiTheme="minorEastAsia" w:hAnsiTheme="minorEastAsia" w:eastAsiaTheme="minorEastAsia"/>
                <w:color w:val="000000"/>
                <w:sz w:val="24"/>
                <w:szCs w:val="24"/>
                <w:lang w:val="en-US" w:eastAsia="zh-CN"/>
              </w:rPr>
              <w:t>通力</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w:t>
            </w:r>
          </w:p>
        </w:tc>
        <w:tc>
          <w:tcPr>
            <w:tcW w:w="1202" w:type="dxa"/>
            <w:vAlign w:val="center"/>
          </w:tcPr>
          <w:p>
            <w:pPr>
              <w:jc w:val="both"/>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通力</w:t>
            </w:r>
            <w:r>
              <w:rPr>
                <w:rFonts w:hint="eastAsia" w:asciiTheme="minorEastAsia" w:hAnsiTheme="minorEastAsia" w:eastAsiaTheme="minorEastAsia"/>
                <w:color w:val="000000"/>
                <w:sz w:val="24"/>
                <w:szCs w:val="24"/>
              </w:rPr>
              <w:t>直梯</w:t>
            </w:r>
          </w:p>
        </w:tc>
        <w:tc>
          <w:tcPr>
            <w:tcW w:w="989"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1.75m/s</w:t>
            </w:r>
          </w:p>
        </w:tc>
        <w:tc>
          <w:tcPr>
            <w:tcW w:w="1279" w:type="dxa"/>
            <w:vAlign w:val="center"/>
          </w:tcPr>
          <w:p>
            <w:pPr>
              <w:jc w:val="both"/>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 xml:space="preserve">   11</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3</w:t>
            </w:r>
            <w:r>
              <w:rPr>
                <w:rFonts w:hint="eastAsia" w:asciiTheme="minorEastAsia" w:hAnsiTheme="minorEastAsia" w:eastAsiaTheme="minorEastAsia"/>
                <w:color w:val="000000"/>
                <w:sz w:val="24"/>
                <w:szCs w:val="24"/>
              </w:rPr>
              <w:t>台</w:t>
            </w:r>
          </w:p>
        </w:tc>
        <w:tc>
          <w:tcPr>
            <w:tcW w:w="1417" w:type="dxa"/>
            <w:vAlign w:val="center"/>
          </w:tcPr>
          <w:p>
            <w:pPr>
              <w:tabs>
                <w:tab w:val="center" w:pos="600"/>
              </w:tabs>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通力</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w:t>
            </w:r>
          </w:p>
        </w:tc>
        <w:tc>
          <w:tcPr>
            <w:tcW w:w="1202" w:type="dxa"/>
            <w:vAlign w:val="center"/>
          </w:tcPr>
          <w:p>
            <w:pPr>
              <w:jc w:val="both"/>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通力扶梯</w:t>
            </w:r>
          </w:p>
        </w:tc>
        <w:tc>
          <w:tcPr>
            <w:tcW w:w="989" w:type="dxa"/>
            <w:vAlign w:val="center"/>
          </w:tcPr>
          <w:p>
            <w:pPr>
              <w:jc w:val="both"/>
              <w:rPr>
                <w:rFonts w:asciiTheme="minorEastAsia" w:hAnsiTheme="minorEastAsia" w:eastAsiaTheme="minorEastAsia"/>
                <w:color w:val="000000"/>
                <w:sz w:val="24"/>
                <w:szCs w:val="24"/>
              </w:rPr>
            </w:pPr>
          </w:p>
        </w:tc>
        <w:tc>
          <w:tcPr>
            <w:tcW w:w="1279"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5.1m</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4</w:t>
            </w:r>
            <w:r>
              <w:rPr>
                <w:rFonts w:hint="eastAsia" w:asciiTheme="minorEastAsia" w:hAnsiTheme="minorEastAsia" w:eastAsiaTheme="minorEastAsia"/>
                <w:color w:val="000000"/>
                <w:sz w:val="24"/>
                <w:szCs w:val="24"/>
              </w:rPr>
              <w:t>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通力</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w:t>
            </w:r>
          </w:p>
        </w:tc>
        <w:tc>
          <w:tcPr>
            <w:tcW w:w="1202" w:type="dxa"/>
            <w:vAlign w:val="center"/>
          </w:tcPr>
          <w:p>
            <w:pPr>
              <w:jc w:val="both"/>
              <w:rPr>
                <w:rFonts w:hint="default" w:cs="Times New Roman" w:asciiTheme="minorEastAsia" w:hAnsiTheme="minorEastAsia" w:eastAsiaTheme="minorEastAsia"/>
                <w:color w:val="000000"/>
                <w:kern w:val="2"/>
                <w:sz w:val="24"/>
                <w:szCs w:val="24"/>
                <w:lang w:val="en-US" w:eastAsia="zh-CN" w:bidi="ar-SA"/>
              </w:rPr>
            </w:pPr>
            <w:r>
              <w:rPr>
                <w:rFonts w:hint="eastAsia" w:asciiTheme="minorEastAsia" w:hAnsiTheme="minorEastAsia" w:eastAsiaTheme="minorEastAsia"/>
                <w:color w:val="000000"/>
                <w:sz w:val="24"/>
                <w:szCs w:val="24"/>
                <w:lang w:val="en-US" w:eastAsia="zh-CN"/>
              </w:rPr>
              <w:t>通力扶梯</w:t>
            </w:r>
          </w:p>
        </w:tc>
        <w:tc>
          <w:tcPr>
            <w:tcW w:w="989" w:type="dxa"/>
            <w:vAlign w:val="center"/>
          </w:tcPr>
          <w:p>
            <w:pPr>
              <w:jc w:val="center"/>
              <w:rPr>
                <w:rFonts w:asciiTheme="minorEastAsia" w:hAnsiTheme="minorEastAsia" w:eastAsiaTheme="minorEastAsia"/>
                <w:color w:val="000000"/>
                <w:sz w:val="24"/>
                <w:szCs w:val="24"/>
              </w:rPr>
            </w:pPr>
          </w:p>
        </w:tc>
        <w:tc>
          <w:tcPr>
            <w:tcW w:w="1279"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5.8m</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2</w:t>
            </w:r>
            <w:r>
              <w:rPr>
                <w:rFonts w:hint="eastAsia" w:asciiTheme="minorEastAsia" w:hAnsiTheme="minorEastAsia" w:eastAsiaTheme="minorEastAsia"/>
                <w:color w:val="000000"/>
                <w:sz w:val="24"/>
                <w:szCs w:val="24"/>
              </w:rPr>
              <w:t>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通力</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w:t>
            </w:r>
          </w:p>
        </w:tc>
        <w:tc>
          <w:tcPr>
            <w:tcW w:w="1202" w:type="dxa"/>
            <w:vAlign w:val="center"/>
          </w:tcPr>
          <w:p>
            <w:pPr>
              <w:jc w:val="both"/>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通力扶梯</w:t>
            </w:r>
          </w:p>
        </w:tc>
        <w:tc>
          <w:tcPr>
            <w:tcW w:w="989" w:type="dxa"/>
            <w:vAlign w:val="center"/>
          </w:tcPr>
          <w:p>
            <w:pPr>
              <w:jc w:val="center"/>
              <w:rPr>
                <w:rFonts w:asciiTheme="minorEastAsia" w:hAnsiTheme="minorEastAsia" w:eastAsiaTheme="minorEastAsia"/>
                <w:color w:val="000000"/>
                <w:sz w:val="24"/>
                <w:szCs w:val="24"/>
              </w:rPr>
            </w:pP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6.5</w:t>
            </w:r>
            <w:r>
              <w:rPr>
                <w:rFonts w:hint="eastAsia" w:asciiTheme="minorEastAsia" w:hAnsiTheme="minorEastAsia" w:eastAsiaTheme="minorEastAsia"/>
                <w:color w:val="000000"/>
                <w:sz w:val="24"/>
                <w:szCs w:val="24"/>
              </w:rPr>
              <w:t>m</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2</w:t>
            </w:r>
            <w:r>
              <w:rPr>
                <w:rFonts w:hint="eastAsia" w:asciiTheme="minorEastAsia" w:hAnsiTheme="minorEastAsia" w:eastAsiaTheme="minorEastAsia"/>
                <w:color w:val="000000"/>
                <w:sz w:val="24"/>
                <w:szCs w:val="24"/>
              </w:rPr>
              <w:t>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通力</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7</w:t>
            </w:r>
          </w:p>
        </w:tc>
        <w:tc>
          <w:tcPr>
            <w:tcW w:w="1202" w:type="dxa"/>
            <w:vAlign w:val="center"/>
          </w:tcPr>
          <w:p>
            <w:pPr>
              <w:jc w:val="both"/>
              <w:rPr>
                <w:rFonts w:hint="default" w:cs="Times New Roman" w:asciiTheme="minorEastAsia" w:hAnsiTheme="minorEastAsia" w:eastAsiaTheme="minorEastAsia"/>
                <w:color w:val="000000"/>
                <w:kern w:val="2"/>
                <w:sz w:val="24"/>
                <w:szCs w:val="24"/>
                <w:lang w:val="en-US" w:eastAsia="zh-CN" w:bidi="ar-SA"/>
              </w:rPr>
            </w:pPr>
            <w:r>
              <w:rPr>
                <w:rFonts w:hint="eastAsia" w:asciiTheme="minorEastAsia" w:hAnsiTheme="minorEastAsia" w:eastAsiaTheme="minorEastAsia"/>
                <w:color w:val="000000"/>
                <w:sz w:val="24"/>
                <w:szCs w:val="24"/>
                <w:lang w:val="en-US" w:eastAsia="zh-CN"/>
              </w:rPr>
              <w:t>通力扶梯</w:t>
            </w:r>
          </w:p>
        </w:tc>
        <w:tc>
          <w:tcPr>
            <w:tcW w:w="989" w:type="dxa"/>
            <w:vAlign w:val="center"/>
          </w:tcPr>
          <w:p>
            <w:pPr>
              <w:jc w:val="center"/>
              <w:rPr>
                <w:rFonts w:asciiTheme="minorEastAsia" w:hAnsiTheme="minorEastAsia" w:eastAsiaTheme="minorEastAsia"/>
                <w:color w:val="000000"/>
                <w:sz w:val="24"/>
                <w:szCs w:val="24"/>
              </w:rPr>
            </w:pP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4</w:t>
            </w:r>
            <w:r>
              <w:rPr>
                <w:rFonts w:hint="eastAsia" w:asciiTheme="minorEastAsia" w:hAnsiTheme="minorEastAsia" w:eastAsiaTheme="minorEastAsia"/>
                <w:color w:val="000000"/>
                <w:sz w:val="24"/>
                <w:szCs w:val="24"/>
              </w:rPr>
              <w:t>m</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1</w:t>
            </w:r>
            <w:r>
              <w:rPr>
                <w:rFonts w:hint="eastAsia" w:asciiTheme="minorEastAsia" w:hAnsiTheme="minorEastAsia" w:eastAsiaTheme="minorEastAsia"/>
                <w:color w:val="000000"/>
                <w:sz w:val="24"/>
                <w:szCs w:val="24"/>
              </w:rPr>
              <w:t>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通力</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8</w:t>
            </w:r>
          </w:p>
        </w:tc>
        <w:tc>
          <w:tcPr>
            <w:tcW w:w="1202" w:type="dxa"/>
            <w:vAlign w:val="center"/>
          </w:tcPr>
          <w:p>
            <w:pPr>
              <w:jc w:val="both"/>
              <w:rPr>
                <w:rFonts w:hint="eastAsia" w:cs="Times New Roman" w:asciiTheme="minorEastAsia" w:hAnsiTheme="minorEastAsia" w:eastAsiaTheme="minorEastAsia"/>
                <w:color w:val="000000"/>
                <w:kern w:val="2"/>
                <w:sz w:val="24"/>
                <w:szCs w:val="24"/>
                <w:lang w:val="en-US" w:eastAsia="zh-CN" w:bidi="ar-SA"/>
              </w:rPr>
            </w:pPr>
            <w:r>
              <w:rPr>
                <w:rFonts w:hint="eastAsia" w:asciiTheme="minorEastAsia" w:hAnsiTheme="minorEastAsia" w:eastAsiaTheme="minorEastAsia"/>
                <w:color w:val="000000"/>
                <w:sz w:val="24"/>
                <w:szCs w:val="24"/>
                <w:lang w:val="en-US" w:eastAsia="zh-CN"/>
              </w:rPr>
              <w:t>通力扶梯</w:t>
            </w:r>
          </w:p>
        </w:tc>
        <w:tc>
          <w:tcPr>
            <w:tcW w:w="989" w:type="dxa"/>
            <w:vAlign w:val="center"/>
          </w:tcPr>
          <w:p>
            <w:pPr>
              <w:jc w:val="center"/>
              <w:rPr>
                <w:rFonts w:asciiTheme="minorEastAsia" w:hAnsiTheme="minorEastAsia" w:eastAsiaTheme="minorEastAsia"/>
                <w:color w:val="000000"/>
                <w:sz w:val="24"/>
                <w:szCs w:val="24"/>
              </w:rPr>
            </w:pPr>
          </w:p>
        </w:tc>
        <w:tc>
          <w:tcPr>
            <w:tcW w:w="1279"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2.8m</w:t>
            </w:r>
          </w:p>
        </w:tc>
        <w:tc>
          <w:tcPr>
            <w:tcW w:w="851"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1台</w:t>
            </w:r>
          </w:p>
        </w:tc>
        <w:tc>
          <w:tcPr>
            <w:tcW w:w="1417" w:type="dxa"/>
            <w:vAlign w:val="center"/>
          </w:tcPr>
          <w:p>
            <w:pPr>
              <w:jc w:val="center"/>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通力</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750"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9</w:t>
            </w:r>
          </w:p>
        </w:tc>
        <w:tc>
          <w:tcPr>
            <w:tcW w:w="5738" w:type="dxa"/>
            <w:gridSpan w:val="5"/>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汇总</w:t>
            </w:r>
          </w:p>
        </w:tc>
        <w:tc>
          <w:tcPr>
            <w:tcW w:w="1564" w:type="dxa"/>
            <w:gridSpan w:val="2"/>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vAlign w:val="center"/>
          </w:tcPr>
          <w:p>
            <w:pPr>
              <w:jc w:val="center"/>
              <w:rPr>
                <w:rFonts w:asciiTheme="minorEastAsia" w:hAnsiTheme="minorEastAsia" w:eastAsiaTheme="minorEastAsia"/>
                <w:color w:val="000000"/>
                <w:sz w:val="24"/>
                <w:szCs w:val="24"/>
              </w:rPr>
            </w:pPr>
          </w:p>
        </w:tc>
        <w:tc>
          <w:tcPr>
            <w:tcW w:w="1062"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750"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10</w:t>
            </w:r>
          </w:p>
        </w:tc>
        <w:tc>
          <w:tcPr>
            <w:tcW w:w="5738" w:type="dxa"/>
            <w:gridSpan w:val="5"/>
            <w:vAlign w:val="center"/>
          </w:tcPr>
          <w:p>
            <w:pPr>
              <w:jc w:val="center"/>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配件</w:t>
            </w:r>
          </w:p>
        </w:tc>
        <w:tc>
          <w:tcPr>
            <w:tcW w:w="1564" w:type="dxa"/>
            <w:gridSpan w:val="2"/>
            <w:vAlign w:val="center"/>
            <mc:AlternateContent>
              <mc:Choice Requires="wpsCustomData">
                <wpsCustomData:diagonals>
                  <wpsCustomData:diagonal from="20000" to="0">
                    <wpsCustomData:border w:val="single" w:color="auto" w:sz="4" w:space="0"/>
                  </wpsCustomData:diagonal>
                </wpsCustomData:diagonals>
              </mc:Choice>
            </mc:AlternateContent>
          </w:tcPr>
          <w:p>
            <w:pPr>
              <w:snapToGrid w:val="0"/>
              <w:spacing w:line="240" w:lineRule="auto"/>
              <w:jc w:val="center"/>
              <mc:AlternateContent>
                <mc:Choice Requires="wpsCustomData">
                  <wpsCustomData:diagonalParaType/>
                </mc:Choice>
              </mc:AlternateContent>
              <w:rPr>
                <w:rFonts w:asciiTheme="minorEastAsia" w:hAnsiTheme="minorEastAsia" w:eastAsiaTheme="minorEastAsia"/>
                <w:color w:val="000000"/>
                <w:sz w:val="24"/>
                <w:szCs w:val="24"/>
              </w:rPr>
            </w:pPr>
          </w:p>
          <w:p>
            <w:pPr>
              <w:jc w:val="center"/>
              <w:rPr>
                <w:rFonts w:asciiTheme="minorEastAsia" w:hAnsiTheme="minorEastAsia" w:eastAsiaTheme="minorEastAsia"/>
                <w:color w:val="000000"/>
                <w:sz w:val="24"/>
                <w:szCs w:val="24"/>
              </w:rPr>
            </w:pPr>
          </w:p>
        </w:tc>
        <w:tc>
          <w:tcPr>
            <w:tcW w:w="1286" w:type="dxa"/>
            <w:gridSpan w:val="2"/>
            <w:vAlign w:val="center"/>
            <mc:AlternateContent>
              <mc:Choice Requires="wpsCustomData">
                <wpsCustomData:diagonals>
                  <wpsCustomData:diagonal from="20000" to="0">
                    <wpsCustomData:border w:val="single" w:color="auto" w:sz="4" w:space="0"/>
                  </wpsCustomData:diagonal>
                </wpsCustomData:diagonals>
              </mc:Choice>
            </mc:AlternateContent>
          </w:tcPr>
          <w:p>
            <w:pPr>
              <w:snapToGrid w:val="0"/>
              <w:spacing w:line="240" w:lineRule="auto"/>
              <w:jc w:val="center"/>
              <mc:AlternateContent>
                <mc:Choice Requires="wpsCustomData">
                  <wpsCustomData:diagonalParaType/>
                </mc:Choice>
              </mc:AlternateContent>
              <w:rPr>
                <w:rFonts w:asciiTheme="minorEastAsia" w:hAnsiTheme="minorEastAsia" w:eastAsiaTheme="minorEastAsia"/>
                <w:color w:val="000000"/>
                <w:sz w:val="24"/>
                <w:szCs w:val="24"/>
              </w:rPr>
            </w:pPr>
          </w:p>
          <w:p>
            <w:pPr>
              <w:jc w:val="center"/>
              <w:rPr>
                <w:rFonts w:asciiTheme="minorEastAsia" w:hAnsiTheme="minorEastAsia" w:eastAsiaTheme="minorEastAsia"/>
                <w:color w:val="000000"/>
                <w:sz w:val="24"/>
                <w:szCs w:val="24"/>
              </w:rPr>
            </w:pPr>
          </w:p>
        </w:tc>
        <w:tc>
          <w:tcPr>
            <w:tcW w:w="699" w:type="dxa"/>
            <w:gridSpan w:val="2"/>
            <w:vAlign w:val="center"/>
          </w:tcPr>
          <w:p>
            <w:pPr>
              <w:jc w:val="center"/>
              <w:rPr>
                <w:rFonts w:asciiTheme="minorEastAsia" w:hAnsiTheme="minorEastAsia" w:eastAsiaTheme="minorEastAsia"/>
                <w:color w:val="000000"/>
                <w:sz w:val="24"/>
                <w:szCs w:val="24"/>
              </w:rPr>
            </w:pPr>
          </w:p>
        </w:tc>
        <w:tc>
          <w:tcPr>
            <w:tcW w:w="1062"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11099" w:type="dxa"/>
            <w:gridSpan w:val="13"/>
          </w:tcPr>
          <w:p>
            <w:pPr>
              <w:ind w:left="210" w:leftChars="100"/>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 xml:space="preserve">投标不含税总价：                     税率： </w:t>
            </w:r>
            <w:r>
              <w:rPr>
                <w:rFonts w:asciiTheme="minorEastAsia" w:hAnsiTheme="minorEastAsia" w:eastAsiaTheme="minorEastAsia"/>
                <w:color w:val="000000"/>
                <w:sz w:val="24"/>
                <w:szCs w:val="24"/>
              </w:rPr>
              <w:t xml:space="preserve">         </w:t>
            </w:r>
            <w:r>
              <w:rPr>
                <w:rFonts w:hint="eastAsia" w:asciiTheme="minorEastAsia" w:hAnsiTheme="minorEastAsia" w:eastAsiaTheme="minorEastAsia"/>
                <w:color w:val="000000"/>
                <w:sz w:val="24"/>
                <w:szCs w:val="24"/>
              </w:rPr>
              <w:t>含税总价：</w:t>
            </w:r>
          </w:p>
        </w:tc>
      </w:tr>
    </w:tbl>
    <w:p>
      <w:pPr>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1</w:t>
      </w:r>
      <w:r>
        <w:rPr>
          <w:rFonts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rPr>
        <w:t>该表“序号”栏应根据该设备分项的序号填写。</w:t>
      </w:r>
    </w:p>
    <w:p>
      <w:pPr>
        <w:ind w:firstLine="48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w:t>
      </w:r>
      <w:r>
        <w:rPr>
          <w:rFonts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rPr>
        <w:t>投标总价为各投标设备的合计价之和。</w:t>
      </w:r>
    </w:p>
    <w:p>
      <w:pPr>
        <w:ind w:firstLine="48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3.本表用于开标宣读用，请单独封存。</w:t>
      </w:r>
    </w:p>
    <w:p>
      <w:pPr>
        <w:ind w:firstLine="480"/>
        <w:rPr>
          <w:rFonts w:asciiTheme="minorEastAsia" w:hAnsiTheme="minorEastAsia" w:eastAsiaTheme="minorEastAsia"/>
          <w:color w:val="000000"/>
          <w:sz w:val="24"/>
          <w:szCs w:val="24"/>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r>
        <w:rPr>
          <w:rFonts w:hint="eastAsia" w:asciiTheme="minorEastAsia" w:hAnsiTheme="minorEastAsia" w:eastAsiaTheme="minorEastAsia"/>
          <w:b/>
          <w:color w:val="000000"/>
          <w:sz w:val="24"/>
          <w:szCs w:val="24"/>
          <w:lang w:val="en-US" w:eastAsia="zh-CN"/>
        </w:rPr>
        <w:t>配件价格明细表</w:t>
      </w:r>
    </w:p>
    <w:p>
      <w:pPr>
        <w:pStyle w:val="9"/>
        <w:spacing w:line="360" w:lineRule="auto"/>
        <w:rPr>
          <w:rFonts w:hint="eastAsia" w:asciiTheme="minorEastAsia" w:hAnsiTheme="minorEastAsia" w:eastAsiaTheme="minorEastAsia"/>
          <w:b w:val="0"/>
          <w:bCs/>
          <w:color w:val="000000"/>
          <w:sz w:val="24"/>
          <w:szCs w:val="24"/>
          <w:lang w:val="en-US" w:eastAsia="zh-CN"/>
        </w:rPr>
      </w:pPr>
      <w:r>
        <w:rPr>
          <w:rFonts w:hint="eastAsia" w:asciiTheme="minorEastAsia" w:hAnsiTheme="minorEastAsia" w:eastAsiaTheme="minorEastAsia"/>
          <w:b w:val="0"/>
          <w:bCs/>
          <w:color w:val="000000"/>
          <w:sz w:val="24"/>
          <w:szCs w:val="24"/>
          <w:lang w:val="en-US" w:eastAsia="zh-CN"/>
        </w:rPr>
        <w:t xml:space="preserve">  配件价格为框架协议，本年度内根据电梯配件损坏部位据实结算。</w:t>
      </w:r>
    </w:p>
    <w:tbl>
      <w:tblPr>
        <w:tblStyle w:val="28"/>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06"/>
        <w:gridCol w:w="5784"/>
        <w:gridCol w:w="585"/>
        <w:gridCol w:w="585"/>
        <w:gridCol w:w="585"/>
        <w:gridCol w:w="11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kern w:val="0"/>
                <w:sz w:val="22"/>
                <w:szCs w:val="22"/>
                <w:u w:val="none"/>
                <w:lang w:val="en-US" w:eastAsia="zh-CN" w:bidi="ar"/>
              </w:rPr>
            </w:pPr>
            <w:r>
              <w:rPr>
                <w:rFonts w:hint="eastAsia" w:ascii="仿宋_GB2312" w:hAnsi="仿宋_GB2312" w:eastAsia="仿宋_GB2312" w:cs="仿宋_GB2312"/>
                <w:b/>
                <w:bCs/>
                <w:i w:val="0"/>
                <w:iCs w:val="0"/>
                <w:color w:val="auto"/>
                <w:kern w:val="0"/>
                <w:sz w:val="24"/>
                <w:szCs w:val="24"/>
                <w:u w:val="none"/>
                <w:lang w:val="en-US" w:eastAsia="zh-CN" w:bidi="ar"/>
              </w:rPr>
              <w:t>配件明细表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序号</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名称</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单位</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数量</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税率</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未税（元）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自调准轴承 B. DIN-0000630-2213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自调准轴承 B. DIN 635-222 13 CC/W33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齿轮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加热器 -415V 500W NZ 965796-4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加热器 -415V 1000W NZ 965796-4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DIN-8187-16B-2X90-LV0798380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MAGNET 1484922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支架T37-2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扶手带驱动轮摩擦带 38X8X2400-PAGUA SUPRA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扶手带回转链1700492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电路板 -5-SCHUB LIEFERUMFANG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安全变压器 -380V/42V *FK 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相序监控继电器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控制电缆，3X1.5带黄绿线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RTK-KBS扶手回转链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链条，15 K A 4000 LG ROLLERS蓝黑</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电路板 -VARIO AUTOMATIK MODUL LU</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电路板 -RMS01/EBT-91.10.17 33HZ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13KV 2STR 4000LG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13KV 2STR 400LG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滑动块 170X165X40MM RTV GGG 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螺杆 M20X440MM S235JRG2 A3B RTV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滚轮板-RTV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滚轮板-RTV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滚轮板 -RTV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 24V/100W/85-264V *S-BSG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扶手帶弯位调节组件RTV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保护开关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框架 -L-1510 NZ2238542-2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头部件 -RTV NZ 2232400-1-E4-6EV 20MY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对接板 -KPL 45MM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扶手带导轨 RTV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 导轨-RTV T-KUNSTSTOFF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 导轨-RTV-HD 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电流接触器 LC1 D65 11P7 *TELE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导轨 -RSV 10 OL-FEE250GZ275MB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导轨 -RSV 10 OR-FEE250GZ-275MB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连接-RSV ANBS NZ 2497703 FIG3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VDC -模块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VMC-B CARD 401-B CONTROLLER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电路板 VMS I/B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支架 -RSV-S235JRG2-2421470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支架-RSV-S235JRG2-2421470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支架-RSV-S235JRG2-FE/ZN8B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支架-RSV-S235JRG2-FE/ZN8B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急停按钮 LU 2744853 *EL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弯弧段-RSV NZ2491214ALMGS-发黑</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弯弧段4007041 B11 X220 Y2735 L3150-FEP02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带滤网风扇PF2000EMC-230V-A *PFA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电缆,H03V-K 300/300V 2X2X0.5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马达防护开关 -56-80A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接近开关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抱闸臂 -KPL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制动杠杆 -KPL ZUSATZBREMSE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13RI-A 4000LG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13RI-A 400LG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CHAIN, 13KV-SF 2STRINGS L=4000MM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CHAIN, 13KV-SF 2STRINGS L=400MM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  P=10/12KW NZ 3689177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  P=15/18KW NZ 3714167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弯弧段 -RSV-FEP02G-Z275NA-C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轮盘 -RTV-HD MIT KEIL KPL.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扶手带摩擦轮橡胶带 2500LG *SEMP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导向键 HDVB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扶手带轮 KPL OHNE KEIL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驱动站轴 M18.2-100 42CRMO4V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连接套 D-12,8 X-62,8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塌陷监控RSV 100 BASIS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 100 ROH NZ 4027620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 140 ROH NZ 4027620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 120 LACK NZ 4027620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楼层板 B-1590 L-529 NZ4029488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16 RO-A 4000 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22 RO-A 4000 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行星齿轮 P-9.1-83 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电动机馈线开关 3RV1011-0GA10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限位开关（BERNSTEIN D-32457）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光幕,MINIMAX79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光幕,WECO-MFB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光幕,WECO-957L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换向轮,扶手高0.9米 F19=1302.9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HANDRAIL DRIVE CHAIN,ROLLER CHAIN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交流接触器,GSC1-5011M7C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检修盒,JKJX-B-8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轿厢操纵模块,YTCOBB02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安全模块,YTADOB02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轿顶控制模块,YTCCBSB02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主控制模块,YTCPUB02-220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主控制模块,YTCPUB02-370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BAR2000光电开关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编码器,EI100H30C-1024D3D5Y3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电阻器 80W-390R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ROLLER BEARING 22214, 129940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GPUS-01 MODULE OF KDH DRIVE CABINETS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Flex Pro工作站</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线缆，井道安全回路L=30米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底坑安全回路线缆，40米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底坑安全回路线，L=45M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地坑安全回路，L=55M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底坑安全回路电缆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井道安全回路连接线, L=70M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线缆，井道安全回路 75米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井道安全回路线缆，L=95 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底坑安全回路电缆，105米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底坑安全回路电缆，L=115米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安全回路连接线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ERD电源板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交流-3 -440V65A - 线圈 220V直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 800VA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 630VA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绳夹救援工具，D16mm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绳架救援工具，6*D13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绳夹救援工具，D19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补偿链，WFB175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扶手带驱动链 RS80-1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熔断器监视器  0.1-40S, OFM690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变压器,用于LED灯</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变压器,用于LED 灯</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变压器,用于LED 灯</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LED照明组件,6灯头,用于LF88天花</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LED照明组件,8灯头,用于LF88天花</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风扇，50X99MM 伟肯 KR6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控制柜到顶层连线, L=15m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静音抱闸, MX10NB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MX10马达抱闸</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扁平随行电缆挂板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群控电脑</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轴承，D140/90MM W24MM 6018-2RS1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深沟球轴承     D140/80MM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轿顶检修盒，SSA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轴，Rd50h9x183 42CrMo4V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连接排模块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KDS外呼点阵显示板，白光</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KDS外呼点阵显示板，白光</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外呼显示PCB，白光Asia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AVDLCI电子板，红色</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AVDLCI ASSEMBLY,WHITE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AVDLCI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主电缆 MMJ-5x6S L=8M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平层开关组件,12VDC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平层感应器组件（含4个感应器+支架及线）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制动电阻（KDL16L）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制动电阻（KDL16R）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扶手带驱动轮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35束光幕,IP54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制动电阻器模块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ADJUSTABLE PIT PROP PERI MULTIPROP 350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KDCDOP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KDCMUL电子板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KDCMUL电子板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KDCEID到站显示</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KDCPAD模块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KDCCDM电子板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检修盒</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电子板，GINT-5611C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SAFETY BUFFER 220X80 ACLA 300404 MODEL 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一体式语音报站系统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轿厢光幕 FCU 0735 IMPORT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控制变压器 205VA 400/220VAC/24VAC/24VDC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KCEDZS门区感应器组装模块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三相一阶滤波器, 42Amp 520V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三相一阶滤波器, 55Amp 520V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接触器，690V 50A 3NO 230VAC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CONTACTOR 3NO 440V/65A AC-3 COIL 230VAC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 37-50A GV3P50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散热风扇，KR7模块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钢丝绳,PAWO F7S D8 8X19W+IWRC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风扇，ACS800-11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KSSLMUL电子板组件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KSSLCBB4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KSSLCBB5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KSSLFBD板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KSSLFD7电子板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MATO OIL PUMP SFP500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KDS50LCI液晶显示板，蓝底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4.3寸双显外呼STNLCD电子板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外呼显示板, STNLCD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STNLCD VERTICAL DISPLAY,5.7 INCH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STNLCD VERTICAL DISPLAY,5.7 INCH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STNLCD水平显示组件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5.7寸STNLCD显示板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STNLCD VERTICAL DISPLAY 9.0 INCH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STN LCD DISPLAY,BLACK BACKGROUND 9.0IN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KCELIO 电路板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BCB25 BRAKE CONTROL BOARD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BRAKE ARM  160043G01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SL1S 滑动导靴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SREG电源板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重量电子板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主板，721 DC-B2M TMS200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调速板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速度参考板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 D200MM W=38MM RG200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 (T125)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T89B导轨,L=5000MM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分压计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测速发电机,165X90X85MM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锁ABLOY3278(3882)KAV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磁开关,BN33-RZ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轴承,BALL D160/75MM W=37MM 6315 2Z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TIME RELAY BASU/SYRELEC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 D100/45MM W=25MM 6309 2RS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滚珠轴承 21316 E MX18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 V3F25 DRIVE 230VAC 0.25A 40W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Single row taper roller bearing 32221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转速计 0.2A D95MM W=48MM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电容 330V 3300uF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风机,230V-EBM D2E133-DM47-E6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晶体管,QM300HA-2H/300A-1000V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传感器, CURRENT 18V 200A 35OHM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RECTIFIER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O型密封圈</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ROPE, PAWO F3, D=8MM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F3, D=10MM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F3, D=13MM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风扇和电容器,50/60HZ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230VAC 95A 45KW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230VAC 25A 11KW 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LC1-D8011P7-230VAC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BN 310-RZ磁性开关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F7 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变频器晶闸管 MG150Q2YS40-AC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晶体管模块,300A 1200V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3相整流桥 1200V 110A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三相整流桥,3PHASE 1200V 160A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电阻 450W-25R-330S-DANO/ZBF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230VAC 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16NAT8x19S+FC1370/1770 RIGHT HANDED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F7 10NAT8x19W+IRW1570-RH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F7, D=13MM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CD/10-1应急板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风机 D2E097-BE01-65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V3F18风机230V,+2uF(450V)电容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晶体管模块,600A 1200V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电容器 1000UF 350V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电缆线 H05VV-F4X0.75MM2 300/500V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电缆固定件 5/32-2SBKT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ROLLER LEVER,H105/L105XD36X12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脉冲继电器 ABB E251-230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晶体管,1200V/300A-N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感应开关 15-34VDC 200MA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集成块芯片，32KX8-70NS-DIP28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变频器晶闸管IGBT SKM100GAL-123D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RFI滤波器,12A 420VAC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 6218-2RS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PARKING 链条,2M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旋转编码器，TAMAGAWA TS2640N323E64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F3,D=16MM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F7, 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F7, D=19MM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油脂 DIN 51825-KLP3K-25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KG</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电线 H05V-K0.75 GY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KE-273-40型电源滤波器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RFI-过滤模块 KE-274-60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2X0.22 MM2 电线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蝶晶石 DF5410(D1),457.2X457.2X2.5MM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ROPE, F819 S-FC, D=8MM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钢丝绳，ROPE, F819 S-FC, D=10MM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ROPE, F819 S-FC, D=13M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门光幕35线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三相负荷开关，415-690V 63A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lubricator NCL-9" 220mm/190mm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测速计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230VAC 50A 1036 1AL20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桥式整流器 1200V-195A-IGBT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电容, 3300UF 400VDC 77X105MM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轴承,MX20 UPPER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18.5kW 24V 3RT1035-1AC20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控制线 FLEX YSLY-J 5X1,5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EMERG.PULL SWITCH -2OEFFNER AEHNL.175813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钢丝绳润滑装置NCL-12 260mm/290mm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光幕电源操控箱 PANA40 PLUS 3D 840 033/KCZ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电容，68000 UF-40V±20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滚柱轴承 33216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230VAC 80A 50/60HZ 37KW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滚子轴承,D180/120MM W=60MM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轴承,D72/35MM W=17MM QJ 207 N2M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轴封,190/160X15MM 72NBR902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F10, D=8MM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钢丝绳，PAWO F10, D=10MM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F10 13NAT +IRW1570-RH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F10 16NAT +IRW1570-RH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晶体管,SKM400GB124D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KE-274-80型电源滤波器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接触器3RT10451-AP00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辅助触点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辅助触点挡块, 660V 20A 1NO</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光幕传感器 3D TX RXEN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附件电源ADC5121-4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 (RG90-18/56 PAPST)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马达保护开关，13-18A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接触器LC1-D38P7230VAC 38A 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电源单元230V 50/60HZ MPS5-230/24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 JWS150W/24V/6,5A/85-264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马达保护开关 24-32A GV2-ME32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 380VA400/220VAC/24VAC/24VDC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 500VA 400/220VAC/24VAC/24VDC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 230V-EBM D2 E133-DM47-C6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EBD18模块, LCE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感应接近传感器 IM12-04NNP-ZC1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电阻,FF 27/120 90W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LC1D115P7 55KW 230VAC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主急停开关 80A VCF-4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带过滤网风扇</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F3, D=19MM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F10, D=19MM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TRANSFORMER,1-PHASE 6.3KVA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 COOLING 0.8A 230VAC 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DDCS通信模块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连接盒 300x200x120mm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测速编码器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接触器690V 150A 3NO 220-240V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电子板，用于旋转变压器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继电器, 230VAC 4A 3P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HEATER, CABINET 230VAC 400W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脉冲编码器 HTL 8192/R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BEARING, BALL 6313-2RS1-C3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滚珠深沟轴承，6315-2RS C3 LL5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单相断路器 1P 10A 240V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单相断路器 6A 240VAC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传感器 XS8C1A1PAL01M12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传感器 XS7C1A1PAL01M12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T75导轨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CABLE, H05VV-F 4X2.5MM2 300/500V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国产QL25补偿绳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主开关,3RV1041 4JA10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 15kW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 18,5kW 400V,17.F5.C1G-Y00A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 22kW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 30kW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滤波器 18,5kW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操作面板  FU F5 KEB 00.F5.060-2000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时间继电器FINDER 86.00.0.240.0000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右门挂板，AUGUSTA中分厅门 LL=900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左门挂板，AUGUSTA中分厅门 LL=900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A-A01C PL900 地坎组合</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ADC同步绳轮D113MM W=12MM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方向箭头 COP100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RC板,55A 450VAC TAC5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RC板,41-160A 450VAC TAC5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RC板,TAC5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MOTHER BOARD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绳索轮 ADL1 D=116MM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钥匙开关 P220-649167 *SAELZ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扶手带驱动轮摩擦带-33.3X8X2500-GUMMI-2720414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磁铁 -RTV 24V M STECKER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轴承座 -GG-25-LV3691183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轴承座 -GG-25-LV3691183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灯 LED WEISS RD38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电路板 ECO BRAKE MODULE 501 LU</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501故障显示主板,英语</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ECO面板模块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显示器,中文</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盖板35 OT ACRYLGLAS SCHLAGZAEH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REV TRANSM. PULSE ENCODER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 -P-7.5/9 KW NZ 3714122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SWITCH SET, FOR TENSION WEIGHT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REG-2电源板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弯弧段-NZ3710531-3-E4-6EV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RCC/5板,V3F80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RCDC电子板,V3F80,40A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稳压电子板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 导块 D125MM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导靴滚轮,D125MM W=27MM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EXTENSION BOARD 375971G01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钥匙开关 24V 2-POS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ADC 门机控制板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称重感应器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Roller guide shoe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 导块 D300/52.1MM W=38MM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导靴滚轮,D270/72MM W=38MM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16-SEGMENT 390856G02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焊接支撑板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轴,D65X219MM ST50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轴，D65X269MM ST50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 D75X269MM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轴D90X269MM ST50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 D90X219MM ST50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轴,D75X219MM ST50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轮轴, D80MM L=288MM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TMS200/600 EXP3-线路板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称重信号放大板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嵌条 -GGG-50 -FE/ZN8B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光目接收器 RX TP5 TELCO</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光幕信号放大器 AMP 21C 500 TELCO</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扶手带上弯导轨 304不锈钢 NZ5070659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链条20B-2-100-GB/T1243-1997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梳齿板照明 LED WHITE HIGH LUX</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交通灯 D60 12-28VAC BI-INDIC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急停开关 W.2NC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 ML29-P/25/103/115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带轴承轴承座 UCP212 GB/T7810-1995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接近传感器,ICB18S30F08POM1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链条16B-2-122-GB/T1243-1997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泵 4L TANK W/O LE.CONTROL 20603 M10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滑动导靴，SLG3 19mm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GUIDE SHOE, SLIDING SLG3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PCB-CAN板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LCM MOTHER BOARD 431311G01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INTERFACE BOARD 431324G01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减震橡胶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MCC-85脉冲板,TMS200(TAC6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CPU板,TMS600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Pc-board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CHINESE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Connector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绳轮(410/6XD8)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PULLEY, D410MM 5XD10MM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LIGHT DIFFUSER, LF10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抱闸控制模块,BCM25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变频器5.5KW 380/500V 50%过载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LCEADOE电子板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LCEADOE 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LCEADOe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继电器 24VDC-250VAC-3NO/1NC-AgSnO2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 1000VA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CONTACT LIMITER OF EFFORT QKS9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语音发生器仪器板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直流器 160W 220/36VAC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BCX08制动控制组件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轿厢显示板，红光</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轿厢显示板，绿光</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轿厢显示板，蓝光</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轿厢显示板，白光</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轿厢显示板，黄光</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轿厢显示板，琥珀光</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KDS300白光点阵楼层显示板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显示电子板，AVDMAT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KDS300COP点阵显示PCB，白光</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KDS330红色点阵显示板，层显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AVDMAT点阵显示版</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点阵显示板，COP白光</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AVDMAT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轿厢显示板，七段码中文</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AVD7SC_V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AVDMAT2 厅站点阵显示板红色点阵不带到站钟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AVDMAT2 厅站点阵显示板红色点阵带到站钟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AVDMAT2点阵显示板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电源模块,ST-230/24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开关电源 EDP-150D-24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I/O CARD KR6-KR7 DRIVE UNIT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滤网，318x540 AIR-TEX G-150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地坑可调节支撑工具。</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梳齿组件 TYP 80 ALU</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梳齿组件 TYP 100 ALU PULVERB RAL1004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梳齿组件 TYP 140 ALU PULVERB RAL1004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 R3C/A3C 140-S355J2G3-LV2421470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KDA模块，BCX08 英文 40A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制动模块，BCX08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门科光幕整套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光幕，WECOMXB 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LCECCBe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LCECCBe轿顶板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LCECCBe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LCECCBE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LCECCBe电子板，EN81-28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继电器，24V 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 40束 FCU 0740FI07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不间断电源ES 550VA, 230V 330W/550VA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松闸钢丝绳，NMX07/11 L2=1.0M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松闸拉绳，NMX07/11 L2=3.5M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松闸拉绳，NMX07/11 L2=8M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LCEGTWO板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LCEGTWO板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编码器MX14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BCXIFB - MODULE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马达线缆，NMX,2.5MM2 L2=6M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马达线缆，NMX KDM 6.0MM2 L2=6M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抱闸线，NMX,L2=6M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滚珠轴承,6220-2RS1 C3MTF3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调心滚子轴承，D120/55MM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球轴承，6218-2RS1 C3MTF3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 MX14 US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制动电阻器模块 45 OHM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制动电阻模块22.5 OHM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制动电阻器模块45 OHM,WALL FIXING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制动电阻器模块22.5 OHM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制动电阻器模块45 OHM,KDL G50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制动电阻器模块22.5 OHM,KDL G50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RES.CURR CIRCUIT BREAKER,230V 10KA 25A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COMMUNICATION TOOL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延伸旋转手柄,LV429340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DTS 光幕组件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KCEGCL MODULE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KCEGCL 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ABB断路器, MS132-20-HKF1-11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KCEREP 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 24VDC 31W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轴承，6226-2RS1/C3VT189F2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GDR电源板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CL88射灯整套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CL88射灯，8 SPOTS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CL97天花照明组件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断路器,AUX. 3P 25A 690VAC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TIME RELAY,24-240VAC/DC 0.05S-300H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SENSOR,CURTAIN OF LIGHT IR 40 BEAMS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 120KVA 500V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INVERTER MODULE, 130KVA 500V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逆变器， 135KVA 500V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KR8 AFE模块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INU模块，KR8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LCL滤波模块，KR8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EMC模块，KR8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 KCE PESSRAL3, 12A, IP23, BMV 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 KCE PESSRAL3, 20A, IP23, BMV 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KDL16S驱动模块 20A, IP23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KDL16L KCE (PESSRAL3), 12A,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KDL16L KCE (PESSRAL3), 10A,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KDL16L KCE 驱动模块，18A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梳齿组件 800MM RT-HD/RTK ALU (5)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梳齿组件 1000MM RT-HD/RTK ALU (5)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梳齿组件 600MM RT-HD/RTK ALU (5)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井道网路模块,金属盒</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KSP979L,横向键盘 AU WHITE CHROME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微型固态继电器,输入60VDC 输出3/48V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电子板，GINT-5612C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KCE底坑检修装置,PVC 1XLON W/O BYPASS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MESH SOCK JOINT FOR ROPES D6-10MM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扶手带驱动装置 TYPE 100 L=1292MM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连接支撑板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屏蔽双绞线2X2X0.5 棕兰黑白 PVC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蓝色LED灯带标准5M段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OMRON G9SP安全控制模块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KCECPU MODULE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SPARE PART FOR KCECPUc G35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G-扶手护栏端部 BAL-1000,SST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13RI-A-TS 4000LG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13RI-A-TS 400LG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链条20RI-A-TS 4000LG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20RI-A-TS 400LG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ABB接触器,AF09-30-10-13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总线联网主机 KC-A09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总线联网主机 KC-A05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总线联网主机 KC-A02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总线电源 KEP-402-05Q</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中继电源 KEP-020-04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远端电源 KEP-402-05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DTS 1000MM梯级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KONE LOGO</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 T79 KONE BLACK</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滴油装置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MICRO COUNTER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KCEOPT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KCEOPT板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KCECOB PCBA板 LCE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KCECOB轿厢操纵盘接口板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KCECOB PCBA板 KCE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KCECOB ASSEMBLY KCE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KCECOB轿厢操纵盘接口板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KCECEB PCBA板 KCE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 PIO 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KCEAPM整套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MX40 SEALING AND TS CHANGE PARTS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 ENCODER, KDM150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ABB接触器, AF750-30-22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电流接触器 LC1 D65 AM7C *SCHNEIDER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接触器，400VAC 500A 250kW 3NO 220-240V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接触器，AC-3 15KW/400V 1NO+1NC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导靴滚轮, D=95MM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接触器，AF09-22-00-13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离心风机，230/400VAC 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液晶显示屏，含音频</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DISPLAY,EPSILON COLOR 3 WITHOUT AUDIO</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地坎组合， LL = 900 MM, N1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CORE SILL ASSEMBLY, LL = 900 MM, N2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CORE HANGER PLATE WITH LOCK, LL = 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右挂板LL=1000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门锁钩</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KCERAL 模块组件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KCERAL 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PESSRAL A3.5更新包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DC/5板,V3F80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DFR驱动板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NBDC/9驱动板,160A,V3F80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荧光灯 30 EN U 36W/840TL-D S80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绳轮(330/6XD8)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 D330 4XD8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导向轮,D410/D65MM 8XD10MM E=124.5MM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返绳轮，D410 8Xd8MM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梳齿板固定件 100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梳齿照明 WHITE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 SEND TYP DL72/S170-BHP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 EMPF TYP DL72/S170-BHP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梳齿照明 白色</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梳齿灯</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绿色梳齿灯</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扶手带导轨型材转向端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转向端 V-HR BAL-1000 10MM AL BLACK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梯级盖板     TYPE 100/EXT, OUTD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线圈 207V M STECKER O SCHALT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防碰挡板-天花板 35 右侧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梯级链13KV-SF-W 2STRINGS 4000LG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20RI-A 4000LG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扶手带回转链R20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反向导轨,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回转链TM120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回转链, TM120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扶手带回转导轨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滚轮，115X110MM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导轨 30-3 UPPER CURVE RIGHT R1,5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转向端 LOW RH , UPP LH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600, US, BLK-ALU, YEL DEMARC,WP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型材5070640D10,BAL.L=6000MM 14301-2B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13RI-B 4000LG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导轨 E3X BU 30-4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板 E3X B-996 L-227 SW ANOD LV2265268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反轨 E3X 30-4 E UL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反轨 E3X 30-4 E UR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绳轮(330/6XD8)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SLG20导靴,16MM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SLG20导靴,9.5MM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SLIDING GUIDE SHOE T75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SLIDING GUIDE SHOE T82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制动电阻，KDL16S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NMX11主体</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KDL16S变频模块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KDL16S变频模块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 20A, IP23, BMV 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KDL16S驱动，LCE 20A IP23 BMV 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KDL16S,20A,IP20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KDL16S,20A,IP20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 20A, IP23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KDL16S, 20A, IP23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电梯标识，STST系列主动型带5米线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不锈钢厅站指示牌, B, 5M STD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STST DESIGN ACTIVE, C, 5M STD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不锈钢楼层指示牌，D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不锈钢楼层指示牌，E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不锈钢楼层指示牌，F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DOP信号操作盘</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DOP ASSEMBLY D ROW ACS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NMX11 减震垫</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JM DIN 50 FL WITH STD CABLE 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左前壁显示器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NMX11马达抱闸，715 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NMX11马达抱闸，715 LSP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NMX11抱闸 990 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NMX11抱闸 990 LSP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七划管单显LCI，中间层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LCD单显LCI，中间层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七划管单显LCI，中间层 OSS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LCD单显LCI，中间层 OSS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双显七划管LCI，中间层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LCD双显LCI，底层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LCD双显LCI，顶层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FRICTION WHEEL ENCODER,NMX L2=4.5M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带摩擦轮编码器 ,L2-7M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对重盖板，C=700 TK5A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同步联动轴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压克力透光板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对重盖板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IMIGY LED 模组 8W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TS-DOP触摸显示器组件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NMX07 抱闸 LIGHT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触摸屏DOP，EU/EA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 D65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电源，FOR 3 LED LIGHT SPOT CEILING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天花板射灯电源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天花射灯电源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编码器头以及线L2=4m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编码器总成,L2=6M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编码器头以及线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对重导轨支架,AA=400-600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30VDC 2~3S 维持辅助抱闸控制器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NMX电气线，L2=4M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方管20X20X1.5X500, 红色喷漆,带标签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KCEMSC 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电子板，KCEFUI</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绕线电阻，28W 3K9 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显示板，HKL CDM3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LCERWP电子板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LCERWPG02电子板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风扇,60PP01061 DC24V 0.37A 9W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ABB接触器, AF16-22-00-13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ABB接触器, AF30-30-00-13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OPTICAL SWITCH GLS 126 NT,NC 3.5M CABLE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辅助接触器，SZ-A22/T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SIRIUS 2 CONTACTOR AC-1 14,5KW/400V 230V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单一光幕,WECO-957L71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门机变频器,FED300-A-G1-V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MOXA以太网交换机,EDS-208-M-SC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 PORTS LAN SWITCH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局域网交换机5+0 PORTS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警报单元, 灯/蜂鸣器/报警按钮 L=8M EN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电子板，LCECCBN2E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LCECCBN2e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LCECCBN2E板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EMB501主板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EMB501主板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EMB501主板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EMB501主板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EMB501 主板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PCB主板,EMB501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电子板，KCE DCBG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LCEETSL3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SELF-LUBRICATION CHAIN RS80-LMDX-1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SELF-LUBRICATION CHAIN RS80-LMDX-1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BCX14 MODULE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SIRIUS 2 CONTACTOR AC3 11KW/400V 230VAC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CONTACTOR,AC3 11KW/400V 230VDC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SIRIUS 2 CONTACTOR AC3 11KW/400V 110VDC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SIRIUS 2 AC3 11KW/400V 230VDC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 3RV2011-4AA10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KDA模块，BCX08 90A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语音装置中文版 ,无卤电缆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中文语音报警装置,HF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声音报警装置,CHINESE VOICE,HF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ECO 图形显示器 501-B CHINESE,NON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HARDENED 链轮, D767.82/99MM W=101MM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深沟球轴承, 6213-2RS1/C3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 WECO 957M71 DC24B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INSTALLATION KIT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 电源，24V 4A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装潢地板,457X457X2.5MM D6 浅褐色</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单手操作检修盒 12M CN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 16BSLR LINKS=114 室内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 16BSLR LINKS=108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新版KDS50单显外呼液晶显示板，蓝底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新版KDS50双显外呼液晶显示板，蓝底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新版KDS50双显外呼液晶显示板，黑底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5.7寸垂直液晶显示板，蓝底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5.7寸垂直液晶显示板，黑底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5.7寸水平液晶显示板，蓝底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5.7寸水平液晶显示板，蓝底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5.7寸水平液晶显示板，黑底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9寸垂直液晶显示板，蓝底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9寸垂直液晶显示板，蓝底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9寸垂直液晶显示板，黑底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9寸垂直液晶显示板，黑底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10局值班室主机</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总线主机 KON12AN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AUGUSTA厅门地坎，LL=900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对讲机电源，AC15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有机房KDM40制动电阻模块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无机房KDM40制动电阻模块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PAWO F10, D=9.5MM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AUGUSTA中分门挂件，LL=800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COP MAIN DISPLAY,INFOSCREEN 10.4INCHES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手持操作器,F41016500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变频器,AVY-3150-EBL-AC4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主控制板,SM-01-DP/C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接触器,GSC1-5011DF7C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风扇组件G07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风扇组件G08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解码适配器，DR-1BG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MAT SAMPLE FOAM FOR EUR,REL.13.2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WHITE LED,梯级间隙照明,220V 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绿色LED梯级间隙灯 ,L=930MM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ULTRAROPE TWIST STOPPER TOOL FOR 19 ROPE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轴承支撑架 (NMX18)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二合一光幕,M405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梯级下陷监控维修配套件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侧边紧急解锁装置，HH&gt;2700 STANDARD RIGHT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抱闸NMX18  BRAKE 3135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安全扩展ESE PCB板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安全扩展ESE PCB板 (无底座)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输入输出扩展EIO PCB板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输入输出扩展EIO PCB板 ( 无底座)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主板带底座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光幕,WECO-957M71-AC220/GCE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轮子导向块配套附件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楼层信号PSR修理包，U型平层开关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楼层信号PSR修理包，烟杆型平层开关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V3F6ES触点修理包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厅外显示板,DX250A106 双8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轿内显示板,DC220A116 双8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门机马达,FESO.02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ZMINI 控制柜电缆线束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抱闸控制板 for 1000N/1500N coils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LCESIB模块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接近开关，NMX抱闸</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接近开关总成 (抱闸)</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电源单元230V 50/60HZ TND-24V-150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接触器，3 MAIN CONTACTS+1NO+1NC-230VAC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编码器线, NMX18, L2=7.5M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编码器线, NMX18 L2=11M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编码器线, NMX18 L2=5M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变频器,15KW,380/500V,NXL00385,IMPORT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RBOMU 组装模块 550W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RBOMU 组装模块 800W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西门子接触器, 3RH2131-1BB40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CLAMP FOR 8X10MM ROPE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补偿绳导向轮装置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滚轮导向装置 高度为580MM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滚轮导向装置 高度为710MM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滚轮导向装置 高度为950MM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下弯段围裙,左 35° 2级 钢板涂透明特富龙 变频</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扶手带驱动轮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KCE轿顶盒，LOW PROFILE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CURTAIN OF LIGHT,STATIC EN81-20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动态光幕EN81-20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卸载导轨边条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梯级,B-996,NATURAL ALU WO DEMARC WI GRIN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钥匙开关停止按钮模块,上部 中文</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钥匙开关停止按钮模块,下部 中文</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单风扇电流检测模块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双风扇R177电流检测模块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单风扇电流检测模块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应急松闸装置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新版KDS330双显外呼液晶显示板，黑底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新KDS330 5.7寸垂直液晶显示板，黑底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新KDS330 5.7寸水平液晶显示板，黑底,不带GONG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新KDS330 5.7寸水平液晶显示板，黑底，带GONG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NEW STNLCD_H_5.7 PCBA,黑底白字，用于COP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NEW STNLCD_H_5.7 PCBA,BLACK FOR HI</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NEW STNLCD_H_5.7 PCBA,黑底白字，用于层显，带到站钟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9寸垂直液晶显示板，黑底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交通灯,24V/DC ±15% , IP65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BA 接口 MODBUS MODULE,WITH 1M CABLE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GREEN LED,梯级间隙照明 220V 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输入输出扩展EIO PCB板 ( 无底座)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扶手带轴 含链轮 TYP100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扶手带轴 含链轮 TYP 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扶手带轴 含链轮 TYP 60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扶手带轴 含链轮 TYP 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扶手带轴 含链轮 TYP 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HANDRAIL SHAFT W SPROCKET TYP100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HANDRAIL SHAFT W SPROCKET TYP80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支架右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龙头辫子 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龙头辫子 1000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龙头辫子 1100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光幕，128束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语音报站 MP3, MULTI LANGUAGE 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语言报站, MP3-ALL LANGUAGES, CPUNC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楼层板开关支架装配</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功率接触器,AC-3 50A,22kW/400V,230VAC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语音报站, MP3, MULTI LANGUAGE 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踏板,1000 铝合金黑齿不带黄漆边线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踏板,1000 铝合金本色不带黄漆边线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踏板,1000 铝合金银齿槽无黄色边线 齿面打磨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LED可调光驱动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4个LED射灯的轿厢照明组件，带调光器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TM140 R2.1斜护栏龙头用V带790mm摩擦轮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扶手回转棘轮 室内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三向分流器 1/4 BSPP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静态光幕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SCX9 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SCX9 D10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SCX9 D13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SCX9 D16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总线电源KEP-402-05SQ</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PCBA 矮轿顶盒组装件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扶手带张紧导轮组,左件,室外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HANDRAIL BREAK MONITOR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 120SP-2,102节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DAMPER DOWN NMX08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下部转向链,12度 1/0 H=900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上部转向链,12度 1/0 H=1000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12-1-0 UPPER REVERSING CHAIN 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门机控制器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D10 SPARE MODULE (SERIAL) - G04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不间断电源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NMX08抱闸, 520L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NMX08 抱闸 520 LSP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 35 DIODES 10X34X1995 IP65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D9MM 9X19S+IWRC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KCESCE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线缆，KDCMUL TO KDCMUL/F2KMAD L=9M 5-WAY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称重传感装置 LR18XBF05LIM 1002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EMB501主板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主板 B-VERSION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 ML29 2米，带传感器插头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TELCO 光幕 SM3000C 0.2米，带连接器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分断点连接器 16PIN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CRMS 终端设备</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安全继电器6A.24VDC,3NC1NO</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 D120/65MM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T89割磁片安装支架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支撑梁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制动臂 带磨损监控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制动臂 带磨损监控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制动臂 带磨损监控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制动臂 带磨损监控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MX32曳引机零部件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安全模块,YTADOB03-1 STEP LOGO</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光电开关,SMT 3000 S30 3S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光电开关,SMR 3206 S30 3S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AVD7SC_H PCBA 白色</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限位开关SND6114-SL-C-SR WT01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TRIBOL WR 4600电梯钢丝绳润滑剂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光幕,门科 E1036,174束 EN81-20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门旁路模块, TSG7001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中分900 轻型厅门地坎整套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界面模块,WITH 1M CABLE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BA 接口 MODBUS MODULE,WITH 1M CABLE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BA 接口 MODBUS MODULE,WITH 1M CABLE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BA接口模块 带1M电缆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电子板，KDSILCD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电子板，KDSILCD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KDSILCD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PCBA板,KDSILCD ASSEMBLY,18-32VDC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主接触器 (SIEMENS)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扶手带滚轮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上弯段玻璃 30 L=1899.6MM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内盖板 INCLINE L=2400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AVDHL3板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井道线束,光电开关 L≤3M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井道线束,光电开关 L=4.7米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摩擦轮，轿厢编码器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控制板,KSE-S-U-1 不带附加制动器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控制板,KSE-S-D 下控制板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INV.CABINET,11KW W/O AUX.BRAKE IP21KONE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附加制动控制器,PE和GND分开</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ZJZ116-05涨紧轮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DCBH2模块，KDH驱动用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轿顶检修盒,260X85X59 GCE XB4 XB5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CL80筒灯，两片四个灯</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KCE4G EU W/O SIM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链轮组件 R,OUTDOOR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驱动站状态监控开关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KCEGCH G03附件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扶手带轮缘</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球轴承, 6214-2RS1/C3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制动模块，BCX08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点阵显示器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琥珀色点阵式数码管显示器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 白色点阵显示板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KDSIDOT ASSEMBLY,W KDS220&amp;330 FONT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KDSIDOT电子板，KCE红色点阵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集成点阵显示板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KDS集成点阵显示板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KDS集成点阵显示板，KDS220&amp;330字体</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FTJ160减速箱右出轴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FTJ160减速箱左出轴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PULLEY,  D330MM W=55MM 5XD8MM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链导轨连接组件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限速器开关S3-1375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12V DC POWER ADAPTER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安全开关 3-POLES 1.5M HF CABLE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KNSMUL板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中分门光幕支架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底坑急停装置 SW (112) L=6M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更换包，龙头辫子900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更换包，龙头辫子1100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更换包，龙头辫子1000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绳轮，D200,4X8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深沟球轴承，6313-2Z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DCBH2模块，用于KDH S/D,EN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DCBD2备件包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SSB-10,KCE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组件,SSB-10 KCE, 无电池</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NBSL厅门钩锁MKG161-16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紧急救援装置,ERD18 KCE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B=996MM TYPE100 SILVER W=404.3MM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B=600MM TYPE60 SILVER W=404.3MM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B=600MM TYPE60 SILVER W=404.3MM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梯级,B=996MM TYPE100 L=1000MM GD-ALSI12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梯级,B=996MM TYPE100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缓冲器开关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变压器,305VA 400VAC/230VAC/24VAC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限位开关安装 XS1, L=3M STD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下部梯级缺失传感器电缆 PVC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上下机房连接电缆电缆 PVC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铝LOGO板贴面</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铝LOGO板贴面</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RG150 编码器安装支架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紧急救援装置,ERD20 KCE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多方通话，TB-10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HMS绳轮组件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红外传感器,ANY ESCALATOR项目用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主控制盒, AE ,SECURITY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齿轮箱温度传感器带3M无卤电缆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下弯弧导轨轮图，27.3  左室外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下弯弧导轨轮图，27.3右室外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变频器,75KW 400V 23.F5.C1R-Y00A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轿厢位置编码器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2000 B=996MM TYPE100 EURO BLACK</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梯级,B-996,SIL,3S PANT,WI GRIND,SAG,IDR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梯级,B-996,SIL,3S PANT,WI GRIND,SAG,ODR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KDSILCD2 PCBA,用于LCE电气系统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KDSILCD2组件,用于KCE电气系统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导轨,LOW 30DEG S=2MM R=961.5 MM SPARE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组件,12VDC 17AH 铅酸电池</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FRAME STAND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液晶显示屏</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CK/CKB/CKC涨紧轮组件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龙头辫子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RIDE COMFORT TOOL DT-6 ESC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梯级挡板－下端TYPE100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KSE主控板,ECB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KSE安全控制板,PES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KSE电源板,PSB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KSE扩展板,SEB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KSE附加电源板,ABB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KSE故障采集板,FCB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KSE故障显示器,LCD,10M HF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7种声音语音盒，中文</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辅助抱闸电磁铁带接头YP1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IP54变频器组件,5.5KW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IP54变频器组件,7.5KW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IP54变频器组件,9.2/11KW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IP54变频器组件,15KW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IP21变频器组件,3.7KW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IP21变频器组件,5.5KW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IP21变频器组件,7.5KW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IP21变频器组件,9.2/11KW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智能操作键盘 SOP-20-810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雷达接收传感器,24VDC,7M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改造包FL-52.04.014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IC卡主控板，楼层数小于56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IC卡扩展板，楼层扩展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下部模块,23.2-3 R2.0,OUTDOOR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Touch Screen Display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LUBRICATOR TOOLSET,12 INCH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LUBRICATOR TOOLSET,15 INCH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LUBRICATOR TOOLSET, 18 INCH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梯级,B996,WITH GRINDING,W FAIGLE ROLLER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变频器5.5KW 380/500V 50%过载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伟肯变频器7.5KW 380/500V IP21 50%过载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变频器11KW 380/500V IP21 50%过载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变频器15KW 380/500V IP21 50%过载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变频器18.5KW 380/500V IP21 50%过载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变频器22KW 380/500V 50%过载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变频器30KW 380/500V IP21 50% 过载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变频器45KW 380/500V IP21 50%过载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故障显示器，INFRA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故障显示器, ONLY CODE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双手操作盒 HF12M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双手操作盒 HF16M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双手操作盒 HF12M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双手操作盒 HF16M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双手操作盒 HF32M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双手检修手柄 HF 16M CN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AVDMAT3板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 KMEN HAN1A L=0.312M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MX10SD,SPARE PART KIT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接近开关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KCEGCH群控模块24V电源线，20米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无机房门旁路模块, TSG7001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ZJZ116-14/17涨紧轮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防爬板,900 扁钢+亚克力 L=1100 室内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 T100 银色踏面无黄色边框 防滑等级R11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 T100 黑色踏面无黄色边框 防滑等级R11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1000不锈钢梯级黄色边框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800不锈钢梯级黄色边框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600不锈钢梯级黄色边框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1000不锈钢梯级黄色边框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油泥清洗工具，NMX07，08，11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油泥清洗工具，MX14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油泥清洗工具，MX18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TRAFFIC LIGHT,FLUSH MODBUS ID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补偿链，WLC-R370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补偿链，WFQS-R100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补偿链，WFQS-R150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补偿链，WFQS-R175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补偿链，WFQS-R200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补偿链，WFQS-R250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补偿链，WFBS-R8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补偿链，WFBS-R9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CABLE, FCU to FCU EN 10M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天线,GSM/UMTS/LTE, 698-2700MHz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移动接板 下部 RTV L=330MM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LIMIT SWITCH,600V 10A IP67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新扶手带测速，小半径,室内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梳齿开关测试工具</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接触器，5NO DC110V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接触器，5NO DC24V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扶手带压紧轮带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可伸缩底坑爬梯，长度=3590毫米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EMK-EPB110型电动松闸装置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MX14六号抱闸噪音改造包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KONE CONNECTION 230E物料包，端部驱动支架中国用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 7.5KW 4P 380V 50Hz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电源适配器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OMC护脚板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润滑装置, 双驱动, 6L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V带扶手轮,D763.3/D110,斜护栏</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操作器,MDKE6-GCE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光端适配器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补偿链滚轮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补偿链滚轮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补偿链滚轮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补偿链滚轮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NMX14 制动器 1150 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扶手导轮组，下弯，3轮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NSK 龙头轴承链条,900 OUTDOOR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雷达传感器, 带9M电缆和接头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GSM电梯专用应急电源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深沟球轴承，6313-2Z/C3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接触器，AC3:38A/400V 18.5KW 80VDC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上涨紧,7 ROLLER,ROTATION,RIGHT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TOE GUARD, HMC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门旁路模块, 凸轮开关,TSG7001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HMC护脚板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无机房门旁路模块, 凸轮,TSG7001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无机房门旁路模块TSG7001, 凸轮,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安全门开关，1NO+1NC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接触器，80 A 37 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功率接触器,AC-3 50A,22kW/400V,400VAC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功率接触器,AC-3 80A,37kW/400V,230VAC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中文:断路器, 用于电机保护脱扣器 22-32A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中文:断路器, 用于电机保护脱扣器 35-45A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功率接触器,AC-3 32A,15KW/400V,400VAC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梯级锁 16A TM120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转换板，传输按钮信号，1-16楼,A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主电源线，4G6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NMX14 制动器 1400 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BRAKE RELEASE WIRE, MX14E L2=8000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PULLEY,D330MM W=78MM,5XD8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绳轮D330, 6XD8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 xml:space="preserve"> 绳轮D330, 5XD8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 xml:space="preserve"> 绳轮D330, 6XD8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绳轮D410,5*D10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NBSL厅门钩锁MKG161-10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KONE总线对讲主机</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KONE总线对讲接线盒&lt;=60局</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KONE总线对讲接线盒&lt;=120局</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机房对讲机</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WECO EN81-20 带边条光幕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WECO EN81-1 带边条光幕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WECO EN81-20 静态光幕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WECO EN81-1 静态光幕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无线呼叫装置,KEM-101A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驱动站支撑底座组装，TMOD K87齿轮箱</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MAP DOOR PANEL LEFT HANDNESS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MAP DOOR PANEL RIGHT HANDNESS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AQN1B安全钳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AQN1C安全钳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光幕,35 DIODES IP65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电磁铁，650E/24V/H60,KSE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Wi-Fi路由器,EC25-E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电磁铁,650E/99V/24V/H50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钢丝绳网套，YJ1199 D6-10MM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钢丝绳网套，YJ1200 D10-15MM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22齿扶手驱动链轮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功率接触器,AC-3 80A,37kW/400V,220VAC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顶部组合侧支架，L=187~400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SWITCH,PROXIMITY SHIELDING CABLE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电气线缆包，扶手带杀菌</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白色LED灯带标准5M段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限速器PB73.3外罩</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MCX9 D8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MCX9 D10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MCX9 D13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MCX9 D16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MCX9 D19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CPUnc的CPU561升级KIT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 WECO 917D61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变频器7.5KW 380/500V IP20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变频器，11KW 380/500V IP20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变频器，15KW 380/500V IP20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旁路变频器，4KW 380/480V IP20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旁路变频器，5.5KW 380/480V IP20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护脚板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CAR UPPER FIXING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龙头轴承链，C型扶手带，609轴承，护栏高度900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龙头轴承链，C型扶手带，609轴承，护栏高度1000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限位开关,1NC 240V 10A, CR900SF-B12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限位开关,1NC 240V 10A, CR900SF-A11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限位开关,1NC 240V 10A, CR900NZ-A13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扶手驱动轴 TYP100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ELECTRIFICATION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梳齿开关机械装置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梳齿底板带安全开关固定件,1000宽度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梳齿底板支撑组件,条纹铝贴片黑色,1000宽度室内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4G模块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10.4主多媒体屏竖屏，带4G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10.4主多媒体屏横屏，带4G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15主多媒体屏横屏，带4G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INLET GROUP,HR 76X28 OD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机房钢梁减震支架盖板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电磁铁，450牛顿，输入电压：交流220-230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电磁铁，450牛顿，输入电压：交流240V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钢丝绳起重工具，8-16MM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钢丝绳起重工具19-32mm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变频器7.5KW 380/500V IP54 50%过载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隔离模块，USB转RS485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TMAX塑壳断路器，80A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马达吊装工具装配</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不锈钢内入口面板上右下左无孔带照明10MM玻璃用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不锈钢内入口面板上左下右无孔带照明10MM玻璃用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CORE MD中分右挂板带钩锁 STD LL900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旋转编码器,1000 PULSE 2 CH 28 VDC 120 mA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补偿链，WFB100G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补偿链，WFB150G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补偿链，WFB175G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补偿链，WFB200G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补偿链，WFB250G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补偿链，WFB300G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补偿链，WFB350G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补偿链，WFB400G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电磁铁，KSE 650N,GB100B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钢丝绳清洁工具无机房限速器绳，100MM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钢丝绳清洁工具，补偿绳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钢丝绳清洁工具有机房马达MX32/40，200MM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钢丝绳清洁工具无机房限速器绳，100MM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NBSL旁开厅门钩锁MKG161-16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自然铝梯级,1000室内三边喷漆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1米银色铝梯级,室外带塑料边框C4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1M BLACK STEP,WI INSERTS OD C4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开关,ACTUATOR M16 GLAND 2CONTACT 30N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OMC护脚板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雷达传感器, 带M12接头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雷达传感器, 带5米线M12接头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TFT FULL GRAPHIC,7 INCH VERTICAL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 SCX9 D19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M12接线盒</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DANFOSS旁路变频固定包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CK张紧装置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TYPE100 四黄边32/30/32/30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维保盒组件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TYBS 10包塑弹性电梯补偿链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ACU PACKAGE KCE, MP3, ENGLISH/MANDARIN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钢丝绳毛毡刷</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PR</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安装包，NMX11 MINI LEVER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UPS, 2000VA/1600W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断路器，MOTOR PROTECTION 2.5A 3P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 xml:space="preserve"> H30， H36特制扳手套装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 xml:space="preserve"> 驱动刹车盖 WORM125 5.5KW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断路器,440V 63A 3P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回转导轨 ULH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回转导轨 下左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18KV-SF 4000  2 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13KV-SF  L-4000  2 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18KV-SF 400  2 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操纵面板, URH EN BLACK</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操纵面板,LLH ZH BLACK</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PULLEY, D530MM 6XD13MM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PULLEY, ROPE D530 7XD10MM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TMAX塑壳断路器,63A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链齿轮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变频器EV2000 4T0075G/0110P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TMAX塑壳断路器,40A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30度防爬板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润滑梯级链的润滑系统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1000mm银色带边界线广告梯级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防爬板 高度572mm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COMB PLATE HEATING 250W 500LG EJV INDOOR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下部扶梯启动钥匙组件带中文标识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维修插座适配器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双手操作盒带警铃HF16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室内制动电阻模块 4KW 85Ω M1,室内型</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室外制动电阻模块 4KW 85Ω M1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B798,室内银色梯级,无黄框,踏面不磨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-B-996 AUSF P EURO SILBER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5212512 1000mm 银色, 不装配件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TYPE80 银色 ROH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5212512 B996 铝本色</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梯级1000MM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右侧涨紧装置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左侧涨紧装置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梳齿托架及贴面组件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3P 接触器 400V 50A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制动电阻单元, 3.75KW 85OHM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制动单元, 6.25KW 75OHM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主开关 带保护极罩 80A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主开关 带保护极罩 125A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电抗器 1200uH  26.7A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电抗器 950uH  32.7A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制动电阻,2.0KW 170OHM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逆流母线螺丝</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电抗器 190uH 76.4A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3P 接触器 380/400V 95A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接触器,220VAC LC1-D80M7C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变频器信号线束带安装板25芯,HF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佳利马达 11kW 380V 50Hz 960RPM IP21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FLENDER 变速箱 CG26-112/i=18.99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 20AFT-2 -104 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滚轮链条 20AFT-2 108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 20AFT-2 110 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 110节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TYPE 20AFT-2 92 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回转导轨 下左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回转导轨 下右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扶手带回转链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导轨滚轮 V-BELT LLH OUTDOOR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导轮 V-BELT LRH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扶手带导轨, V BELT LRH LOW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STEP LOCK ASSEMBLY_16A CHAIN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交通灯, 70x70MM 12-28VAC/DC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下部扶梯启动钥匙组件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上部扶梯启动钥匙组件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辅助抱闸电磁铁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EMC过滤风扇R124外排式</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EMC带过滤风扇R124进风式</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EMC带过滤柜体风扇R177进风</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EMC过滤风扇R177外排式</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25RI-A 4000LG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40ROC-A-PC 4000LG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40ROC-A-PC 400LG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支撑右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支撑左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滚子驱动链20A-2 94节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滚子驱动链20A-2 92节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滚子驱动链24B-2 84节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滚轮链 DIN8187-1 24B-2 82 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24B-2,82 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链条DIN8187-1 24B-2 86 节, 左侧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扶手带驱动轮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扶手轴 TYPE100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HANDRAIL SHAFT TYPE 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扶手驱动总成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扶手带轮组,C-TYPE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扶手带涨紧轮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滚轮链 TYPE 16A-2 102 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ROLLER TYPE 16A-2 104 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梯级轮 13KV-SF-W L=4000MM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梯级链 13KV-SF-W L=400MM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13RI-B-TS 4000LG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13RI-B-TS 400LG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护栏端部 V-HR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HANDRAIL SUPPORT ROLLER, 30 RIGHT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扶手带托轮, 30度 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扶手导轮,27.3右侧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右侧支撑轮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左侧支撑轮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扶手带托轮，右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扶手带托轮，左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V型扶手带入口滚轮（右）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辅助制动器拉动装置,右置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辅助制动基座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辅助抱闸装置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22RI-A-LF-TS-W 4000LG 2STR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扶手涨紧轮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扶手涨紧轮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INNER DECKING 30-3 LH UPCRV W.INFO-DISPL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扶手带回转链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扶手带回转链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导轨, REVERSE GLASS-10 BAL-1100 RJV1.3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链条导轨 GLASS-10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链条导轨 GLASS-10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涨紧轮 RIGHT 35-2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L-1536,KONE LOGO</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L-1536 A-380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L-1536 A-320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板, LANDING L=1536MM A=360MM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L-1536 A-420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L=1536MM A=440MM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L-1536 A-380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L-1536 A-320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楼层板 L=1536MM A=360MM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1536MM A=440MM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楼层踏板 L-1536 A-419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L-1536 A-419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13DH-C L-4000 2 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梯级链装配工具，13KV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梯级链拆除装置,13KV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室内型黑色不锈钢梯级，B=798MM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不锈钢梯级 黑色 室内型</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诊断软件,新主板 EMB,EJV,NON-STD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电源，24伏直流，320瓦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扶手护栏 1000/10MM ALU E4-CO UR/OL 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下部模块 27.3 3/3 R1.5/1.0 OUTDOOR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 REF TO KM5212526H01 L=41.184M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扶手带导轨 TR LOW BAL 30-3 K=110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2000 SILVER 100 3S 32/30/32 YELLOW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链条25DH-C-TS 4000LG 2 STR,飞格力滚轮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雷达传感器, 探头, LCMS050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雷达传感器控制单元, LCM101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TM120 扶手带驱动轮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支撑角钢</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梯级盖板 ADVERTISING 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轮 WITH WEDGE CPL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链条齿轮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箝轮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附加急停盒</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司马泰克注油器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SPROCKET, P=38.10 Z=20 CG26-135-19.04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驱动站基座 CG26-135R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扶手带驱动链 16A-2 112LINKS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轴承,UCP215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扶手带轮 TYPE 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HANDRAIL DRIVE CHAIN COVER FOR INDOOR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辅助抱闸电磁铁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防跳轨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飞轮组件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抱闸线圈 600N 220-230 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抱闸线圈 1000N  220-230 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抱闸线圈 1000N  220-230 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抱闸线圈 1000N 220-230 AC,501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抱闸线圈 600N 240 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抱闸线圈 1000N  240 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抱闸线圈 1000N  240 AC,501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制动臂 带磨损监控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制动臂 带磨损监控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制动臂 带磨损监控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制动臂 带磨损监控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制动臂 带磨损监控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COUPLING BLOCK, HELICAL GEAR BOX</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 22KW IP55 400V 50HZ CG26-135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 HANDRAIL TYPE 1000 D588MM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链齿轮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TRAY, OIL COLLECTED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扶手带压紧带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10 DH-C L-4000 2 STR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控制电缆，15X0.75带黄绿线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外盖板30-3 CRV UP LH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外盖板30-3 CRV UP RH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外盖板30-3 CRV LOW RH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外盖板30-3 CRV LOW LH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AUTOMATIC OILER FOR DRIVE CHAINS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电磁泵 DZS-20606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链齿轮(CG35,FJ125) Z=30 OUTDOOR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20DH-C L-4000 2STR WITH ROLLERS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20DH-C L-400 2STR WITH ROLLERS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扶手带转轮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油管12X1MM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驱动链罩板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TYPE100 梯级,铝本色</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梯级组件带轮 铝本色 TYPE80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ALU B=996MM 自然铝 FAIGLE ROH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ALU B=996MM NATURE ALU FAIGLE ROH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B996,室外黑梯级,3黄喷漆,中分线,踏面磨削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LED塑料裙板 30-2 右上弯弧段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扶手带监控装置,LH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扶手带监控装置, RH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内侧不锈钢入口面板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内侧不锈钢入口面板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涨紧轮（左）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扶手测试轮 右 30_3 REINFORCE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梳齿板托板 TYPE 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梳齿底板 TYPE100 304黑色喷涂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斜护栏头部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HR GUIDE UPCRV ASM 30-4-R2.7 ST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扶手带压紧轮 左侧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扶手带压紧轮 右侧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卸载轨,30DEG 30HDV UPP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梯级轮回转导轨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SPROCKET, MAIN SHAFT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SPROCKET, MAIN SHAFT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内侧板, LRH/ULH INCL.GLASS BAL. SST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外侧板, LRH/ULH INCL.GLASS BAL. SST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内侧板, LLH/URH GLASS BAL SST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外侧板, LLH/URH GLASS BAL SST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 BOW LEFT - C BELT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 BOW RIGHT - C BELT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左侧压紧轮组</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链轮导轨 L=5400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防碰板 -DECKE LINKE SEITE-ACRYLGLAS 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防碰板 -DECKE RECHTE SEITE-ACRYLGLAS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防碰板 -ANORDNUNG SCHERE LI-ACRYLGLAS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防碰板 -ANORDNUNG SCHERE RE-ACRYLGLAS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双油泵润滑 CODE NAME 20103-2C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头部回转链 12 BAL-900 R20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链条16B-1-120L-GB/T1243-1997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扶手带铜滚轮组件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扶手带80/28 P BLK NZ1916927 EHC L=35.914M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1000不锈钢梯级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1000不锈钢梯级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B-996 银色梯级不带边条和中分线 室外飞格立轮,踏面不磨削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B-798 银色喷粉梯级不带边条和中分线,踏面不磨削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梯级,B-996 BLACK BODY WO. DEMARCATION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梯级,B-996 BLACK BODY WO.DEMARCATION,OD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B-798 铝本色梯级不带黄色边条和中分线 国产品牌梯级轮 踏面磨削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B-996 银色喷粉梯级带黄色塑料边条,踏面不磨削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B-996 铝本色梯级带三边喷漆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B-798 铝本色梯级带三边喷漆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B-996 银色梯级带三边喷涂 梯级轮防水盖,踏面不磨削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B-798 银色梯级带三边喷漆,踏面不磨削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B-996 银色梯级带三边喷漆,IDR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B-996 银色梯级带三边喷漆,ODR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B-996 银色梯级带中间和三边喷漆,踏面不磨削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B-798 SILVER PAINT CEN SIDE,WO GRIND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B-798 银色喷粉梯级不带边条和中分线,踏面磨削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C4黑色本体无喷漆,NSK轴承，1米宽梯级装配体</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C4银色本体无喷漆,NSK轴承，1米宽梯级装配体</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C4银色本体三边黄色喷漆,NSK轴承，1米宽梯级装配体</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B-798 银色梯级带三边喷漆 梯级轮防水盖,踏面磨削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B-798 银色梯级带中间和三边喷漆 梯级轮防水盖,踏面磨削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 xml:space="preserve"> C4黑色本体三边加中间黄色喷漆,NSK轴承，1米宽梯级装配体</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B996 银色喷粉梯级带黄色塑料边条,踏面磨削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B-798 银色喷粉梯级带黄色塑料边条,踏面磨削</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隔离变压器,120/24V 75VA CL 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开关电源,320W 24VDC 10A IP65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立柱交通灯</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RGB 5M 灯带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INNER DECK 27.3 LOCRV RIGHT SIDE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扶手带轴 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扶手带驱动轮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扶手带驱动轮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涨紧轮装置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扶手带涨紧装置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DIN8187-16B-1X114 FREE-LUBRICATION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室外滚轮组件 WITH SPEED LH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裙板照明盖板 FOR VR6600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滚轮链条 TYPE 140SP-2 76LINKS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链条滚轮 TYPE 140SP-2 82 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 2000 B=996MM TYPE100 RAL9006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涨紧轮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链条滚轮 TYPE 120SP-2 96LINKS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驱动链轮 JIS80-2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扶手涨紧轮 左侧 室外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扶手涨紧轮 右侧 室外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右侧涨紧轮组件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35-2 左侧 扶手带涨紧轮部件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35-2 右侧 扶手带涨紧轮部件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C带用上左固定导轮组室内35度R1.0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C带用上右固定导轮组室内35度R1.0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C带用上左固定导轮组室内30度R1.0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 BOW TENSION RH COMPONENT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C带用上左固定导轮组室外35度R1.0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C带用上右固定导轮组室外35度R1.0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C带用上左固定导轮组室外30度R1.0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C带用上右固定导轮组室外30度R1.0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扶手入口</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扶手滚轮组件 左侧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扶手滚轮组件 右侧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扶手带涨紧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扶手带张紧轮 右侧 室外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FLANGE BEARING UCFL212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梯级盖 100(下头部)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右切向导轨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卸载轨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制动臂 带磨损监控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扶手头部导轨组件 V-1000-10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V型扶手带导轨弯弧段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NEWEL HR GUIDE 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回转头部件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扶手带导轨, S-BAL UPPER CURVE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扶手带导轨 下弯段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扶手带导轨, S-BAL UPPER CURVE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UP_TENS 30_3 R1.5 C-HR GL SMALL HR_RO</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扶手上部张紧轮(左）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扶手上部张紧轮（右）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涨紧轮装置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内侧不锈钢入口面板,上左下右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内侧不锈钢入口面板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外侧不锈钢入口面板不带远程监控 UL/LR.10G_BL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内侧不锈钢入口面板,上右下左</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内侧不锈钢入口面板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外侧不锈钢入口面板不带远程监控 UR/LL 10 G_BL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并排梯不锈钢中间扶手面板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润滑梯级链的润滑系统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润滑梯级链的润滑系统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防爬板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防爬板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梯级挡板－上端TYPE100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 度, 900MM 左侧 防爬板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 度,1000MM 左侧 防爬板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 度,1000MM 左侧 防爬板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27.3 度, 1000MM 右侧 防爬板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 度, 900MM 右侧 防爬板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 度,1000MM 右侧 防爬板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 度, 1000MM 右侧 防爬板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中间挡板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中间挡板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三相四线滤波器20A,520V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腹板点灯, 24VDC 3W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语音装置中文版,PVC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语音系统中文语音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语音装置蜂鸣器报警,无卤电缆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中文语音系统-SD,HF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中文噪音系统-SD,HF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中文噪音系统,W/SD,W/RC,HF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中英文语音报警装置,HF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语音系统,OF CN LANGUAGE-SD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高亮度裙板点灯无卤室外型</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辅助抱闸电磁铁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盖板开关组件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SPROCKET, MAIN SHAFT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扶手驱动链条盖,27.3-3R2.7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扶手驱动链罩 30-3 R1.5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扶手驱动轮,C型,Φ497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扶手驱动轮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绿色LED梯级间隙灯,220V 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STEP GAP LIGHT LED UPGRADE KIT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扶梯运行计时器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电源盒 300×200×105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电源盒430x250x105M32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电源盒 430x250x105M40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EJV1.6辅助抱闸线圈 带2A PTC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辅助抱闸控制器模块 双电磁铁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辅助抱闸线圈</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辅助抱闸控制器模块 双电磁铁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链轮组件 Z=27 20A-1  5070955D30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DIN8187-100SLR-1X90 20A-1 LF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DIN8187-100SLR-1X80 20A-1 LF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梯级锁组件，20A，室内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链轮 140SP-2 Z=23 CG26-170-25.3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楼层盖板 W-1700 HINGE HK</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DIRT COLLECT BOX ASSEMBLY, LOWER HEAD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 RO链条 长4000 2根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 ROC链条 长4000 2根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 RO链条 长4000 2根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 ROC链条 长4000 2根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黑色沟槽铝踏板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黑色沟槽铝踏板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涨紧轮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TENSION ROLLER GROUP HR COMPENSATION OD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扶手带张紧轮组</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扶手带张紧轮组</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上弯段张紧轮组件，左侧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上弯段张紧轮组件，右侧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zh:上弯段张紧轮2 左 室外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zh:上弯段张紧轮2 右 室外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下弯段扶手张紧轮组件，左侧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下弯段扶手张紧轮组件，右侧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滚轮导靴组件，左置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滚轮导靴组件，右置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LOCRV GUIDE ROLLER ASS. LH OUTDOOR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下弯弧导轮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下弯扶手导轮左侧室外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G12下弯扶手导轮右侧室外</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踏板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单驱润滑装置 6L 带时间记忆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DR PUMP 6升 带断电记忆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IP54带监控风扇177入</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IP54带监控风扇177出</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梳齿板加热器(SKE)230V 250W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水位监控,1NC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水位监控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辅助抱闸电磁铁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飞轮罩监控开关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MAP4交通灯</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漏电保护63A 300MA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不锈钢梯级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改造包 FL-58.02.006 EXT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C型槽支架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室外油路润滑支架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双驱动, 6L, WO TIME MEMORY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双驱动, 13L, WO TIME MEMORY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下部卸载轨,30&amp;38RO, 30-4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卸载导轨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卸载导轨边条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SPHERICAL 滚轮轴承,SKF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卸载导轨边条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NEWEL HUB SUPPORT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深槽轴承 6310 2RS NSK</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链轮组件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LED塑料裙板 30-2 左上弯弧段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LED塑料裙板 30-2 右上弯弧段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塑料裙板 30-2 左下弯弧段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LED塑料裙板 30-2 右下弯弧段</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塑料型材裙板灯，用于上弯左侧 30-3 R1.5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抱闸防油罩</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扶手带导轨 LOWCRV ASSY 30-2 EXT1000 SST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扶手带导轨 LOWCRV ASSY 30-2 EXT200 SST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梯级下陷监控 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REDESIGN EMB501 主板,EJV1.4,NON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REDESIGN EMB501 主板,EJV1.5,NON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REDESIGN EMB501 主板,MAP2,NON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主板 501-B WITH SPECIAL SOFTWARE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主板 501-B WITH 特殊软件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主板, 501-B WITH SPECIAL SOFTWARE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主板, 501-B WITH SPECIAL SOFTWARE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主板, 501-B WITH SPECIAL SOFTWARE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主板,501-B WITH SPECIAL SOFTWARE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防爬支架套装, 900MM RIGHT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防爬支架套装, 1000MM RIGHT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防爬支架套装, 900MM LEFT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防爬支架套装, 1000MM LEFT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防爬支架套装, 1100MM LEFT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挡绳板 D20H9X228MM 9MN36PB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楼层模块板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继电器板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CALL INTERFACE-BOARD 55095G02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反绳轮D330/8XD8MM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 D530 8X13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张紧装置绳轮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补偿绳轮，D780MM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电路板组件 581028G01 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 RG150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导靴滚轮,RG150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 RG150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滚动导靴 RG150 D153/32MM W=38MM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 D150MM W=38MM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 D150/32MM W=27MM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RG150滚轮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RG150滚轮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EXP3 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轿顶同步开关磁铁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REV 3.3 输入输出板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安全缓冲器 140X200 ACLA 300172 MOD. 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SIGNAL POWER SUPPLY UNIT 586060G01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开门定位装置 ADC1 和 ADC2L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上梁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轿厢与轿架立柱固定组件,CF10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同步钢丝绳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绳索</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ADC门机板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ADC电源板380V/50HZ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AXLE,L=126MM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线缆支架，φ4 (5/32")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滚轮,锁 D150/32MM W=38MM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张紧装置固定件 T140-1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OL100张紧绳轮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锁钩</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钢芯门机皮带,24.9X3.7X3890MM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门机随行链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AMD门机随行链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Motor for left opening door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门机马达,AMDR2右置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门刀,AMDR2左置,NH=500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R2右置门刀，NH=300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Railing2右置门刀,NH=500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关门装置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电缆链条组</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轴，D95X490MM 42CRMO4V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磁铁组件 24VDC OL35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电缆组件, L6M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锁门刀 AMD02L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AMD010 R1门刀</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右门刀NH=300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LOCK, DOOR IP54 OPP TO G01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门刀,LOCK AMD01L RAILING 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Lock Coupler centre-open. right NH=300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门刀,LOCK RAILING 2 CENTRE OPENING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带锁门刀, R2 中分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门刀</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门刀，带轿门锁R2中分 NH=400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门刀 NH=500 R2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门刀,LOCK RAILING 2 CENTRE OPENING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门刀, LOCK RAILING 2 SIDE OPENING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带锁门刀, R2 旁开</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门刀, LOCK RAILING 2 SIDE OPENING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COUPLER, LOCK RAILING 2 SIDE OPENING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AMD门机马达，IP54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可调节门机支架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Railing2 左开门锁钩组件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门锁钩组件(右置)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整套AMD Railing2左置钩子锁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整套厅门钩子锁,AMD中分R1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厅门门锁组件 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HOOK, LOCK AMDNAL 1 RIGHT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滚轮导靴的滚轮，D100/32MM 厚27MM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滚轮导靴,RG100 用于T75导轨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GUIDE SHOE,ROLLER RG100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绳轮组件，D976 9Xd16MM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曳引轮组件 D530 8XD10MM E=144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绳轮，直径530 6XD13MM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反绳轮D530 8XD13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反绳轮,D530 8XD13MM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反绳轮D530 7Xd16MM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反绳轮,D656/8XD10MM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反绳轮D656, 8XD13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绳轮，D656 7XD16MM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滑轮组,CFE10UP D330/6XD8MM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绳轮组件 D530 9Xd16MM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对重反绳轮410,6XD8，用于CWF12PWS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对重反绳轮, DR410/5XD10MM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面板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面板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支架, 固定电缆链条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东芝门刀</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绳头称重装置 含感应器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FIXING WITH LOAD WEIGHTING SENSOR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绳头称重装置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称重感应绳头板，T70, T82, T89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R176TD/192AD-1A42RF-B5S编码器电线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OL35非对称垂直张紧装置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对重反绳轮轴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D15 门机接头转换连接线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AMD15变压器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D15 门机控制器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AMD驱动马达替换包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AMD驱动马达替换包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AMD驱动马达替换包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AMD驱动替换包,无马达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驱动单元（D2）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D1 TO D10替换包</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D1 TO D10 REPLACEMENT PACKAGE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ANCHOR, ROPE D10-12MM L650 WELDED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钢丝绳固定件, D16MM L=650MM M20 CASTED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FIXING, D19MM L=793MM M24 CASTED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轮轴,D65MM L=440MM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轮轴 D65/75X440MM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轴D65/90X440MM ST50K/42CRMO4V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制动控制板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LCE BRKS REV 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COPIO 612885G01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称重装置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MX06左闸</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旋转变压器TS2641N 11E64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旋转变压器，TS2641N 12E64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PCB-assem. I/O 接口板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电源控制板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8位按钮板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按钮板组件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对重块 CWF10 (Mono) 25.19KG/PC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马达减震垫,MX10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抱闸组件,MX10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抱闸组件 MX10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抱闸,MX10 EXTENTED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制动器组件, MX10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 D70X542.7MM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 D65H9X495.7MM 42CRMO4V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 D128/32MM W=27MM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对重补偿链导向装置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油压缓冲器OB20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缓冲器,OB25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OL35 张紧装置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减震+垫片</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减震垫组合, KQT = 1876 - 2525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马达减震垫+垫片,MX18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导向轮，曳引机侧D410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对重轮,D534X7Xd13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PULLEY, DIVERTER D534MM 8 GROOVES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绳轮D535，5槽，d13mm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导向轮装置，D534 6XD13 N1478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地震减震</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光幕</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断路器,2-POLE 25A/30MA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SAFETY SWITCH,FOR OIL BUFFER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MX18 松闸</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MX18 抱闸</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MX18 带开关抱闸</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抱闸,MX20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抱闸,MX20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MX18带接近开关抱闸</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MX20带微动开关抱闸</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MOTOR CABLE,MX18 10MM2 (V3F)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轿底称重整套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带插的传感器 XS4-P30AB120;L=6m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带插的传感器 XS4-P30AB120;L=6m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LCECPU电脑板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LCECAN板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板 LCECAN GROUP  E LINK</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LCECAN板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LCE230 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LCE230印刷电路板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LCEKNX VOI 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LCEREC电源板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LCEREC电源板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电源整流板 LCEREC (723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LCEREC电源板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电源板 LCEREC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电源整流板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LCEOPT选项板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LCEOPT选项板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LCE功能选项板装配</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LCEOPT板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LCEOPT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LCEGTW板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LCEGTW电路板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楼层节点到FRD/WSC选项电缆L=120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轿顶接线盒装配</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过热保护变压器,400V 500VA 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 630VA/400/230/20/20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厅站指示器横向（HL245D)线路板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K-Delta层显板,水平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国产SIGMATC轿内点阵显示板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SIGALM 警报板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LCEFCB板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LCEFCB板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ASSEMBLY 713700G14 LCEFCB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LCEFCB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LCECOB板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LCECOB板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LCECOB板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LCECOB COP, NEW LON, COATED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LCECEB板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LCECIB板,具有ATS功能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LCECEB板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LCECIB板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电子板组件，LCECEB FLOORS 65 - 96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LCECEB COP EXTENSION BOARD, COATED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LCEFOB楼层选项板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检修盒（包括电缆）LCECCB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检修盒,LCECCBN/LCECCBN2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轿顶维保单元</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轿顶检修盒，LCECCBN2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轿顶检修盒</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轿顶检修盒，不带警铃按钮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轿顶检修盒</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轿顶检修盒，带警铃按钮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驱动控制板 385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变极器控制板 385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IMC电子板,用于V3F16ES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DC连接电容器模块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V3F23 DC 电容模块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紧急灯盒</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点阵显示器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LCERAL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LCECCEB板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LCECCBS 轿厢计算机板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细塑料框架 COP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环, D310/222MM MX100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手轮, MX32/40/100 D628MM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驱动模块385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驱动模块385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Current Measuring Board 725810G02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CMAXADAP解码板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点阵显示器COP水平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电路板 LCE-FURE SAFETY CIRCUIT LPT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CABLE, PIT SAFETY CIRCUIT L=50M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底坑安全回路电缆，L = 55米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底坑安全回路电缆，150米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限位开关,L=3M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限位开关,L=3M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变压器,1000VA420 400//230/20/20V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变压器1200VA400//230/20/20/20V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驱动模块－LCECPU电缆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2位7段码数字显示器 24 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2位7段码数字显示器 24 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消防开关用电缆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消防开关用电缆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2位点阵数字显示器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风扇+导风管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前地坎部件(AMDC1)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对重保护板, MX20 WH SAFETY GEAR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TRANSYSCAR对重保护屏</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带显示底层厅外召唤/短发丝</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带显示底层厅外召唤OSS/短发丝</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带显示中间层厅外召唤OSS/短发丝</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固定底坑爬梯 长度1000-1300MM / 2501-3800MM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固定底坑爬梯 长度1301-1600MM / 3801-4100MM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固定底坑爬梯 长度1601-1900MM / 4101-4400MM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固定底坑爬梯 长度1901-2200MM / 4401-4700MM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固定底坑爬梯 长度2501-2800MM / 5001-5300MM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紧急救援绳夹 minispace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紧急救援绳夹 MINISPACE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滤波模块端子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选项群控电缆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平层传感器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NTS Board 752710G01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减震垫, MX20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板, FLOOR CODE HIPO/HIPO 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PCB-LCE显示板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LCEDRV board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ADOS板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厅门重锤 A=350mm 3.3kg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WEIGHT,CLOSING AMDL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进口FCB24板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电路板, LCEHAS FLOOR BOARD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 软件,4.0.20 FOR LCECPU20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PULLEY ASSY, D533 6XD13MM CWT4PSM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电气功能选项盒(1块LCEOPT板)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PCB,LOPCB LCE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LAND OPERATING PANEL,LOP-CB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LOP PCB操作板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LCECPUnc电脑板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DIVERTING PULLEY D656, 7Xd16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带吊眼钢丝绳夹 6XD13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AXLE,D65/50 L228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到站灯板,黄色,SIGLANV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旋转变压器电缆 KDH,MX32 MX40 MX100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旋转变压器电缆(7m)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旋转变压器电缆 MX18,32,40,100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旋转变压器电缆电缆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绳轮组件，D656MM 8XD16MM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绳轮组件，D656MM 9XD13MM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绳轮组件，D656 8Xd16MM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 D656 7Xd19MM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绳轮D780 8XD16MM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绳轮组件，D780 7Xd19MM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张紧轮组件, D895 8Xd19MM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绳轮D895 9Xd16MM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V3F18 A5 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主开关，小机房电气</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导向轮D656, 7XD16MM N1478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限位开关(51)ASSEMBLY(HF)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MX05-06电阻模块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电阻模块 TranSys MX10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抱闸控制模块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电路板,F2KC7S AMBER COP DISPLAY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线路板 LCECPU40 AM188ES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LCECPU40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电子板，LCECPU561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电子板LCECPU561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 LCECPU561 G09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旋转变压器,MX32/40/100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ISE INTERCOM FOR MAP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SEPB - 驱动扁平电缆</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厅站指示器垂直（HL245D)线路板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国产SIGMATV垂直层站点阵显示板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变压器,1200VA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松开制动操作杆,MX20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旋转变压器 MX18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V3F25 100A电容模块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CONTROL TRANSFORMER 1400 VA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EAQ 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刹车电阻</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电阻模块，V3F18 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开关模块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 V3F18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24VDC备用电源组件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轴，D70X183MM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V3F25/V3F16 速度线路板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V3F25/V3F16 速度线路板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V3F25/V3F18 HCB 385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对重保护板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扬声器FSM0007(带支架）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变压器,20V 40VA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井道磁开关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磁开关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抱闸钢丝绳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松闸手柄</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平层开关12VDC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平层感应器组件（含4个感应器+支架及线）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平层感应器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护脚板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LED射灯,外壳黑色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轿内天花板组件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AMDL厅门开门装置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线缆，串行变频器接口 L=5M EN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线缆，2xINS. SAFETY FL-FL (122) 4FL 5.0M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电缆,2xINS. SAFETY FL-FL (122) 6FL 3.5M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电缆,2xINS. SAFETY FL-FL (122) 6FL 5.0M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DZS 装置电缆 L=7M EN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LCEETSL板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适配板,F2K到KNX99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平层板支架组件,轿厢导轨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ETS 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 2E140-PI51-08 CE MX20,MX32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风机组件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3-WAY 阀门置换组 MX40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软管维修组</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SHAFT FOR RESOLVER,MX40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测速编码器组件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成套维修组件 HYDRAULIC CYL.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液压缸组件 FOR BRAKE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楼层代码HIPO M面板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抱闸控制模块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刹车控制模块（w/o timer）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信号连接电缆 F2KMUL-F2KKIB/F2KKS2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钥匙开关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电阻箱,V3F25MLB100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机房选项盒</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井道网络模块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控制柜至楼层节点电缆L＝20m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主开关模块，FOUR LIFTS RCBO 10A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变压器,1250VA 420V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F2KCDMW板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COP电子板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F2KHDM HLI线路板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F2KHDM 线路板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厅外点阵显示板F2KHDVW橘黄色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F2KHLAW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F2KHLAW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F2KFUL COP/LCS板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末极限开关撞弓</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VTC板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 SOFTWARE,6.12.3 ROW W KRM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 软件, 6.7.18.4 ROW W KX99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紧急开门装置F.T.立柱侧</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轿厢缓冲器底座，L=1006-1220MM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SINGLE PILLAR ASSEMBLY L=515-698MM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SINGLE PILLAR ASSEMBLY L=692-888MM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松闸钢丝,MX20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开关模块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交叉接线模块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交叉接线模块KDL32 ，额外电源, KDL32, KDM40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制动电阻箱</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制动电阻箱</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线缆，LCECPU到DCBH，2.25米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轿厢顶部导轨加强垫板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KONE7000 液晶显示器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 ENCODER L=3M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马达编码器 电线  L=13750MM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ENCODER, POSITION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POSITION ENCODER (NEB) FOR ROW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抱闸控制模块,用于MX32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抱闸控制模块,用于MX40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制动控制部件,FOR MX100 MACHINERY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抱闸控制模块,用于MX32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MX40抱闸控制模块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抱闸控制模块,用于MX18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读取单元,HIPO-M-A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MX18接线盒</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风扇,MOTOR MYT17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接口控制器KIC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DOP INTERFACE CABLE,10M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CMBN板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CMBN板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滑动导靴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补偿绳涨紧装置轮轴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补偿绳涨紧装置轮轴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LCECOB TO F2KMUL CABLE,NO ALARM IN END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风扇V3F18 90A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GUIDE, COMPENSATION CABLE L=650MM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补偿链支架 L750MM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GUIDE, COMPENSATION CABLE L=850MM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补偿链导向装置 L=950mm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TAMAGAWA ENCODER WITH ROUND FLANGE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RF2KADB显示适配</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MX18维修组件,含刹车片</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MX18维修组件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RESISTOR,POWER 600VAC 110W 5OHM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电阻 2M 2M 3PHASE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2-CHANNEL PCI CAN BOARD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SLG10导靴，130X104X40MM 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靴衬,16MM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KDS50 LCII底层带OSS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补偿链，WFB075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补偿链，WFB150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补偿链，WFB200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补偿链，WFB250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补偿链，WFB300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补偿链，WFB350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补偿链，WFB400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D8钢芯曳引绳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D13 钢芯曳引绳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限速器钢丝绳, PAWO F1, D=6MM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D8麻芯钢丝绳,8x19s+pp - 8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D10麻芯曳引绳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D13麻芯曳引绳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D16麻芯曳引绳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D19 麻芯曳引绳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BSTSHL BOARD HL DRIVER 24V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门刀滚轮 D45XD12MM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对重导轨, HT60-1.5, L=5000mm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CAPACITOR, 47MF 900V 80A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CAPACITOR, 68MF 900V 80A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OL100张紧轮, D304/306MM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限速器张紧轮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推杆，OSG OL100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AVDLCD_V 垂直液晶显示板( 中文功能显示)</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KDS300 COP LCD显示板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 RG200 D200/27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磁开关,24VDC 100X67X22MM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开门撞弓</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ADC电源板,345/380/415V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滚轮导靴 D80.7MM W=28.2MM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导靴滚轮,D80MM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滚动导靴 86800G16,RG80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螺纹杆，M8 DIN 975 4.6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电位器,ADC PL&lt;=1300MM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POTENTIOMETER 87011G02,1.5TURN,LL&gt;1400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KCECCG 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KCEREL板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KCEREL电子板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KCEREL 电路板模块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KCEREL ASSEMBLY G06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D10钢芯钢丝绳,D10-8X19S+IWR1570 N/MM2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 V3F16R KDL16R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DOOR CLOSE KEEPER  87091G02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轴承座,MX18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MONITOR,FLAT 100-240V 19W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 RG125-19/56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动力制动模块,V3F25-40/80A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油封 AS190X220X12 DIN3760-NBR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 6032-2RS1/C3 MTF3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LCEUIO组件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FAN ASSEMBLY,KDH CABINET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KDH 通讯电缆 L=2.8M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变压器,380-480V/400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电感,125A 500V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隔离转换器 RS-232 TO 422/485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风扇,0.35A 230VAC 64W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风扇保护罩,6.4X240MM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交流-4 -440V/125A - 线圈 220VDC直流</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三相断路器 80A 480VAC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三相断路器 100A 480VAC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三相断路器 125A 480VAC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三相断路器 150A 480VAC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交通灯，红绿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银灰色 带轮子 三边装黄色平齿边框 不带磨面</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回转链，22节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Handrail chain 102nodes 16B-2 (E1C)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Handrail chain 134nodes, 16B-2 (E1C)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E1C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IGBT update kit for V3F80 - 80A module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单相断路器 4A 240V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LWM放大器，PCB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COP FULL GRAPHIC COLOR LCD DISPLAY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10.4寸TFT全彩液晶显示器，竖屏</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AVDHLR1到站灯板，用于大尺寸圆形</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DCBM MCB板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MCDM板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脉冲编码器界面模块，24VDC 55MA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DCBM CPU板, KDL32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回路板,ASRU-01C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电子板AGPS-11C，15VDC 6W</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 GPUS-01 国内用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 GPUS-01,ACS800-11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多方通话 TB-10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安全开关,250VAC 6A 1NO+1NC IP65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驱动模块,VACON NX 500V 87A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D1钢芯门机皮带,L=4400MM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D1门机皮带,纤维芯,L=4400MM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变压器,127V/230V/400V 50HZ/60HZ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油杯，K=29mm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R1带锁门刀锁钩</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R5右门刀带锁，NH=300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R1中分轿门触点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开门装置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R6带轿门锁触点组件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门机马达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门机马达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AMD D15门机马达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门机马达, 用于AMD D1.5 D7, 右置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 xml:space="preserve"> AMDC-MIT161左门刀V2 NH500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松闸钢丝</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抱闸组件，MX10US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抱闸电磁铁  230VAC 0.15A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UNIT,DRIVE 400V 40A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轴，D65/65X264MM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轴，D65/65X306MM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MCDMC板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电容,30UF-1000VDC/640VAC-D50XH85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FAN, 24VDC 25.2W 50/60HZ</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马达底部缓冲垫, PU30x149x411 VH124-55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ROPE JUMP COVERS, Minispace, 8-grooves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钢丝绳防跳盖板，MINISPACE 7槽</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编码器线缆,7M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编码器线缆，11M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旋转变压器电缆,11M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电缆组件，MX14 10MM2 10M CSA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SLG1，用于10mmT75导轨，A=10.5MM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导靴 SLG1,16mm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电源模块 HF150W-SDR-26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滑动导靴，SLG2 9mm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SLG2滑动导靴,16mm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KDL32 控制单元</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DC-LINK 电容模块 KDL32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SD卡（带程序）</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385电源模块控制线, 用于KDL32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CABLE FIXING FOR CURTAIN OF LIGHT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继电器 TIME 24VDC 230VAC 6A 36X12.5X29</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紫铜管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HANDRAIL INLET BOX</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扶手带入口面板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松闸扳手</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制动线, L2=4000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松闸钢丝,MX14,L2=10m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马达 7.5KW 415V 50HZ 960RPM IP21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24VDC,4A 直流电源</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NODE CABLE,DOP TO SHAFT (HF) 7M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变压器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制动模块</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制动器,MX14 1200 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控制继电器 200-500VAC 1P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MCCB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PCB,MCCB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BRAKE CONTROL BOARD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油压缓冲器,YH75A/435,V&lt;=2.50m/s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TYBS 8包塑弹性电梯补偿链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TYBS 9包塑弹性电梯补偿链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TYBS 11包塑弹性电梯补偿链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TYBS 13包塑弹性电梯补偿链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变频器, 7.5KW 380VAC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门机控制板， PAX</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MX编码器,D37.3 L2=4500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MX编码器,D37.3 L2=7000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编码器,D37.3 L2=12500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 D75 L2=4500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 D75 L2=7000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MX-ENCODER,D75 L2=12500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编码器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驱动模块KDL16L,12A/400V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KDL16L DRIVE MODULE, 14A,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KDL16L 驱动模组, 18A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KDL16L 驱动模组, 18A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V3F16L替换套件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V3F16L替换套件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REPLACEMENT KIT FOR V3F16L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BCX07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检修盒, 报警按钮 L=1.5M, ZH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检修盒, 报警按钮/蜂鸣器 L=1.5M, ZH,HF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MX14抱闸，制动力 1440 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CONTROLLER PANA40PLUS 842003J</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DAMPER CYLINDER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OIL TANK, 664X296X214MM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坦克轮缓冲垫</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棘轮拉紧带,6M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MX20马达降噪装置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风扇，24VDC 5W 180X180X40MM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 ASSEMBLY,CONTACTOR BOARD CO16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补偿链导向轮，DI=1100mm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绳轮，DI=530mm，补偿装置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驱动模块KDL16R, 20A/400V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RECOF.驱动模块, KDL16R 22A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KDL16R DRIVE MODULE, 22A 400V</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驱动替换包，V3F16ES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LED天花射灯，LF97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玻璃钢对重保护板 C=700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玻璃钢对重保护板 C=700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KDL16 配线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对重块, 生铁, 650X200X30MM 25KG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有机房钢丝绳半自动润滑工具</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限速器 OL35 CAR, 1.60M/S RIGHT BENT STAND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MX32 中轴</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电子板IVXVF 168.Q</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BOARD TX RC 590723 SCHINDLER</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LIMIT SWITCH, SPECIAL 13-14 21-22 IP67</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PU-BUFFEREN81 T5 MODEL A 220X80MM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多功能板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KSSMUL板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测速计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旋转编码器组件GTF 7.16L/460- D75 11M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转速计 MX05/MX06/MX10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法兰盘轴承,Y-TYPE INA RCJTY75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补偿链，WFQS075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补偿链，WFQS100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补偿链，WFQS150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补偿链，WFQS200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补偿链，WFQS250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补偿链，WFQS300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补偿链，WFQS350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补偿链，WFQS400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旋转变压器组件, MX20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FAN,MX10 KDL32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BEARING CHANGE KIT MX10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KDA 模组, BCM25 40A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KDA模块, BCM25, KDM90, MRL, LCE, EN</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V3F18替换组件</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PCB,MOTION CONTROL BOARD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TRAVELLING CABLE HANGER,WALL FIXING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TRAVELLING CABLE HANGER, WALL FIXING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NBSL1/2厅门触点电线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门挂板, 中分右侧LL=900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门挂板右 LL=1000MM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门挂板 RIGHT LL=1100MM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门挂板LEFT LL=1000MM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NBSL中分厅门左挂板组件 LL=1100MM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门挂板, 左开慢门LL=800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NBSL右开整套钩子锁，IP20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TOE GUARD - NBSL护脚板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护脚板, LL=1100MM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UNIT,PCB MCDM AND HEAT TRANSFER COMPOUND</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STEPAXLE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TERMINAL STRIP PIECE, OUTSIDE RIGHT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TERMINAL STRIP PIECE, OUTSIDE LEFT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梯级缺失传感器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装在外盖板的柱状双色交通灯</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AB M310继电器</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 24VDC 16A 50/60HZ 4P</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胶水 500ML- TUBE 411 LOCT</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限位开关</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松闸钢丝绳 MX20 L2=10000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硅驱动模块 CM75E3U-24H</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开关电源 X59LX-82</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DOPMUL ASSEMBLY</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坦克轮, D608 7XD16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进口驱动模块, KR6 40A IP23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交流变极器模组 KR7 90A IP23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交流变极器模组, KR7 90A IP23</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MX14整机更换轴承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MX18整机更换轴承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MX20整机更换轴承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PAC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链条防跳装置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传动链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驱动链,80-2 116节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主动链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链条 JIS80-2 134LINKS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驱动链,100-2 102节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驱动链,100-2 104节</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驱动链, GB20A-2, 96LINKS</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EJV 1.0 银色1000MM梯级三面塑料黄边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赤铜管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EJV回转链</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B3变频器MG600Q-T10Z34(P1)HA</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PCB板， VDU 200B UCE7 25F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Switching regulator AVR1 JWT100-5FF/DC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Switching regulator JWT75FF-DC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电子板, I/O-200E UCE4-413L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PCB板,CDI-3A UCE4-96L</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国产语音报站系统</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E-LINK用研华工控机，IPC-510P4</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塑料波纹管,FCZ-PA-AD13B</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K-DELTA外呼显示板</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对讲机电源和电池</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地震传感器,Draka2500 230VAC 3-AXIS 0.5-15HZ　</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PC</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维修工时费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工时</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电梯空调</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人脸识别一体机（刷脸及刷卡）XMT-FACE5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楼层控制器JT-02G-C16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轿内楼层扩展板JT-06K-8</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2432</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无线网桥DS-3WF0AC-2NE</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2433</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网络交换 工业交换机 （铝合金）/ZXR05F</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2434</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出口层按钮 带绿色星型按钮</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2435</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消防联动模块JT-06X</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2436</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发卡系统JT-07C</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2437</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系统管理IC卡</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张</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2438</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人脸采集仪 雷登/1080P/RS-N3-B0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2439</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服务器 Vostro3020SFF-R14NBN16G</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2440</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接口协议软件开发对接费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2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2441</w:t>
            </w:r>
          </w:p>
        </w:tc>
        <w:tc>
          <w:tcPr>
            <w:tcW w:w="311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梯控安装调试费</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等线" w:hAnsi="等线" w:eastAsia="等线" w:cs="等线"/>
                <w:i w:val="0"/>
                <w:iCs w:val="0"/>
                <w:color w:val="000000"/>
                <w:kern w:val="0"/>
                <w:sz w:val="22"/>
                <w:szCs w:val="22"/>
                <w:u w:val="none"/>
                <w:lang w:val="en-US" w:eastAsia="zh-CN" w:bidi="ar"/>
              </w:rPr>
            </w:pPr>
          </w:p>
        </w:tc>
      </w:tr>
    </w:tbl>
    <w:p>
      <w:pPr>
        <w:pStyle w:val="9"/>
        <w:spacing w:line="360" w:lineRule="auto"/>
        <w:rPr>
          <w:rFonts w:hint="default"/>
          <w:b w:val="0"/>
          <w:bCs/>
          <w:lang w:val="en-US" w:eastAsia="zh-CN"/>
        </w:rPr>
      </w:pPr>
    </w:p>
    <w:p>
      <w:pPr>
        <w:rPr>
          <w:rFonts w:cs="宋体" w:asciiTheme="minorEastAsia" w:hAnsiTheme="minorEastAsia" w:eastAsiaTheme="minorEastAsia"/>
          <w:b/>
          <w:bCs/>
          <w:color w:val="FF0000"/>
          <w:sz w:val="24"/>
          <w:szCs w:val="24"/>
        </w:rPr>
      </w:pPr>
    </w:p>
    <w:p>
      <w:pPr>
        <w:rPr>
          <w:rFonts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5</w:t>
      </w:r>
    </w:p>
    <w:p>
      <w:pPr>
        <w:pStyle w:val="12"/>
        <w:spacing w:line="360" w:lineRule="auto"/>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商务条款偏离表</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1080"/>
        <w:gridCol w:w="2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4140"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招标文件条款</w:t>
            </w:r>
          </w:p>
        </w:tc>
        <w:tc>
          <w:tcPr>
            <w:tcW w:w="3554"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Theme="minorEastAsia" w:hAnsiTheme="minorEastAsia" w:eastAsiaTheme="minorEastAsia"/>
                <w:color w:val="000000"/>
                <w:sz w:val="24"/>
                <w:szCs w:val="24"/>
              </w:rPr>
            </w:pP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条款号</w:t>
            </w:r>
          </w:p>
        </w:tc>
        <w:tc>
          <w:tcPr>
            <w:tcW w:w="30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条款内容</w:t>
            </w: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条款号</w:t>
            </w:r>
          </w:p>
        </w:tc>
        <w:tc>
          <w:tcPr>
            <w:tcW w:w="24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                   授权代表签字：            日期：</w:t>
      </w:r>
    </w:p>
    <w:p>
      <w:pPr>
        <w:ind w:left="235" w:leftChars="112"/>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为避免歧义，无偏离也应要提报该表，并注明“无”字。如无该表则即使在其它部分已反映，将也被视为“无偏离”。</w:t>
      </w:r>
    </w:p>
    <w:p>
      <w:pPr>
        <w:rPr>
          <w:rFonts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6</w:t>
      </w: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技术规格、参数偏离表</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3971"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招标文件条款</w:t>
            </w:r>
          </w:p>
        </w:tc>
        <w:tc>
          <w:tcPr>
            <w:tcW w:w="3723"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Theme="minorEastAsia" w:hAnsiTheme="minorEastAsia" w:eastAsiaTheme="minorEastAsia"/>
                <w:color w:val="000000"/>
                <w:sz w:val="24"/>
                <w:szCs w:val="24"/>
              </w:rPr>
            </w:pP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型号</w:t>
            </w:r>
          </w:p>
        </w:tc>
        <w:tc>
          <w:tcPr>
            <w:tcW w:w="289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偏离</w:t>
            </w:r>
          </w:p>
        </w:tc>
        <w:tc>
          <w:tcPr>
            <w:tcW w:w="111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型号</w:t>
            </w:r>
          </w:p>
        </w:tc>
        <w:tc>
          <w:tcPr>
            <w:tcW w:w="2613"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                   授权代表签字：            日期：</w:t>
      </w:r>
    </w:p>
    <w:p>
      <w:pPr>
        <w:rPr>
          <w:rFonts w:asciiTheme="minorEastAsia" w:hAnsiTheme="minorEastAsia" w:eastAsiaTheme="minorEastAsia"/>
          <w:b/>
          <w:color w:val="000000"/>
          <w:sz w:val="24"/>
          <w:szCs w:val="24"/>
        </w:rPr>
      </w:pPr>
    </w:p>
    <w:p>
      <w:pPr>
        <w:ind w:left="235" w:leftChars="112"/>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即使投标人在《技术性能、参数的详细描述》中进行了描述，也要提报该表，</w:t>
      </w:r>
      <w:r>
        <w:rPr>
          <w:rFonts w:hint="eastAsia" w:asciiTheme="minorEastAsia" w:hAnsiTheme="minorEastAsia" w:eastAsiaTheme="minorEastAsia"/>
          <w:b/>
          <w:color w:val="000000"/>
          <w:sz w:val="24"/>
          <w:szCs w:val="24"/>
        </w:rPr>
        <w:t>无该表则被视为“无偏离”。</w:t>
      </w:r>
      <w:r>
        <w:rPr>
          <w:rFonts w:hint="eastAsia" w:asciiTheme="minorEastAsia" w:hAnsiTheme="minorEastAsia" w:eastAsiaTheme="minorEastAsia"/>
          <w:color w:val="000000"/>
          <w:sz w:val="24"/>
          <w:szCs w:val="24"/>
        </w:rPr>
        <w:t>如无偏离注明“无”字。</w:t>
      </w: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cs="宋体"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hint="eastAsia" w:asciiTheme="minorEastAsia" w:hAnsiTheme="minorEastAsia" w:eastAsiaTheme="minorEastAsia"/>
          <w:b/>
          <w:bCs/>
          <w:color w:val="000000"/>
          <w:sz w:val="24"/>
          <w:szCs w:val="24"/>
        </w:rPr>
        <w:t>7</w:t>
      </w:r>
    </w:p>
    <w:p>
      <w:pPr>
        <w:jc w:val="center"/>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免费增值服务</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trPr>
        <w:tc>
          <w:tcPr>
            <w:tcW w:w="9286" w:type="dxa"/>
          </w:tcPr>
          <w:p>
            <w:pPr>
              <w:rPr>
                <w:rFonts w:asciiTheme="minorEastAsia" w:hAnsiTheme="minorEastAsia" w:eastAsiaTheme="minorEastAsia"/>
                <w:sz w:val="24"/>
                <w:szCs w:val="24"/>
              </w:rPr>
            </w:pPr>
            <w:r>
              <w:rPr>
                <w:rFonts w:hint="eastAsia" w:asciiTheme="minorEastAsia" w:hAnsiTheme="minorEastAsia" w:eastAsiaTheme="minorEastAsia"/>
                <w:sz w:val="24"/>
                <w:szCs w:val="24"/>
              </w:rPr>
              <w:t>格式自拟</w:t>
            </w: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tc>
      </w:tr>
    </w:tbl>
    <w:p>
      <w:pPr>
        <w:rPr>
          <w:rFonts w:asciiTheme="minorEastAsia" w:hAnsiTheme="minorEastAsia" w:eastAsiaTheme="minorEastAsia"/>
          <w:sz w:val="24"/>
          <w:szCs w:val="24"/>
        </w:rPr>
      </w:pPr>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投标人名称：                   授权代表签字：                  日期：</w:t>
      </w:r>
    </w:p>
    <w:p>
      <w:pPr>
        <w:ind w:firstLine="1928" w:firstLineChars="800"/>
        <w:outlineLvl w:val="0"/>
        <w:rPr>
          <w:rFonts w:asciiTheme="minorEastAsia" w:hAnsiTheme="minorEastAsia" w:eastAsiaTheme="minorEastAsia"/>
          <w:b/>
          <w:bCs/>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rPr>
          <w:rFonts w:asciiTheme="minorEastAsia" w:hAnsiTheme="minorEastAsia" w:eastAsiaTheme="minorEastAsia"/>
          <w:color w:val="000000"/>
          <w:sz w:val="24"/>
          <w:szCs w:val="24"/>
        </w:rPr>
      </w:pPr>
    </w:p>
    <w:p>
      <w:pPr>
        <w:pStyle w:val="12"/>
        <w:spacing w:line="360" w:lineRule="auto"/>
        <w:rPr>
          <w:rFonts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hint="eastAsia" w:asciiTheme="minorEastAsia" w:hAnsiTheme="minorEastAsia" w:eastAsiaTheme="minorEastAsia"/>
          <w:b/>
          <w:bCs/>
          <w:color w:val="000000"/>
          <w:sz w:val="24"/>
          <w:szCs w:val="24"/>
        </w:rPr>
        <w:t>8</w:t>
      </w:r>
    </w:p>
    <w:p>
      <w:pPr>
        <w:rPr>
          <w:rFonts w:eastAsia="黑体"/>
          <w:sz w:val="30"/>
          <w:szCs w:val="30"/>
        </w:rPr>
      </w:pPr>
      <w:r>
        <w:rPr>
          <w:rFonts w:hint="eastAsia" w:eastAsia="黑体"/>
          <w:sz w:val="30"/>
          <w:szCs w:val="30"/>
        </w:rPr>
        <w:t xml:space="preserve">               法人授权委托书</w:t>
      </w:r>
    </w:p>
    <w:p>
      <w:pPr>
        <w:rPr>
          <w:rFonts w:eastAsia="黑体"/>
          <w:b/>
          <w:bCs/>
          <w:sz w:val="30"/>
          <w:szCs w:val="30"/>
        </w:rPr>
      </w:pP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12"/>
        <w:ind w:left="5250"/>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ind w:firstLine="420" w:firstLineChars="200"/>
        <w:rPr>
          <w:rFonts w:ascii="宋体" w:hAnsi="宋体"/>
          <w:kern w:val="0"/>
          <w:szCs w:val="21"/>
        </w:rPr>
      </w:pPr>
      <w:r>
        <w:rPr>
          <w:rFonts w:hint="eastAsia" w:ascii="宋体" w:hAnsi="宋体"/>
          <w:kern w:val="0"/>
          <w:szCs w:val="21"/>
        </w:rPr>
        <w:t>代理人无转委托权，特此委托。</w:t>
      </w:r>
    </w:p>
    <w:p>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ind w:firstLine="420" w:firstLineChars="200"/>
        <w:rPr>
          <w:rFonts w:ascii="宋体" w:hAnsi="宋体"/>
          <w:kern w:val="0"/>
          <w:szCs w:val="21"/>
        </w:rPr>
      </w:pPr>
      <w:r>
        <w:rPr>
          <w:rFonts w:hint="eastAsia" w:ascii="宋体" w:hAnsi="宋体"/>
          <w:kern w:val="0"/>
          <w:szCs w:val="21"/>
        </w:rPr>
        <w:t>投标人名称：（盖单位公章）</w:t>
      </w:r>
    </w:p>
    <w:p>
      <w:pPr>
        <w:ind w:firstLine="420" w:firstLineChars="200"/>
        <w:rPr>
          <w:rFonts w:ascii="宋体" w:hAnsi="宋体"/>
          <w:kern w:val="0"/>
          <w:szCs w:val="21"/>
        </w:rPr>
      </w:pPr>
      <w:r>
        <w:rPr>
          <w:rFonts w:hint="eastAsia" w:ascii="宋体" w:hAnsi="宋体"/>
          <w:kern w:val="0"/>
          <w:szCs w:val="21"/>
        </w:rPr>
        <w:t>法定代表人：（签字）</w:t>
      </w:r>
    </w:p>
    <w:p>
      <w:pPr>
        <w:ind w:firstLine="420" w:firstLineChars="200"/>
        <w:rPr>
          <w:rFonts w:ascii="宋体"/>
          <w:kern w:val="0"/>
          <w:szCs w:val="21"/>
        </w:rPr>
      </w:pPr>
    </w:p>
    <w:p>
      <w:pPr>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pStyle w:val="9"/>
        <w:rPr>
          <w:rFonts w:asciiTheme="minorEastAsia" w:hAnsiTheme="minorEastAsia" w:eastAsiaTheme="minorEastAsia"/>
          <w:color w:val="000000"/>
          <w:sz w:val="24"/>
          <w:szCs w:val="24"/>
        </w:rPr>
      </w:pPr>
    </w:p>
    <w:p>
      <w:pPr>
        <w:rPr>
          <w:rFonts w:asciiTheme="minorEastAsia" w:hAnsiTheme="minorEastAsia" w:eastAsiaTheme="minorEastAsia"/>
          <w:b/>
          <w:sz w:val="24"/>
          <w:szCs w:val="24"/>
        </w:rPr>
      </w:pPr>
    </w:p>
    <w:sectPr>
      <w:headerReference r:id="rId4" w:type="first"/>
      <w:footerReference r:id="rId6" w:type="first"/>
      <w:headerReference r:id="rId3" w:type="default"/>
      <w:footerReference r:id="rId5" w:type="default"/>
      <w:pgSz w:w="11906" w:h="16838"/>
      <w:pgMar w:top="1588" w:right="1418" w:bottom="1134" w:left="1418"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新宋体">
    <w:panose1 w:val="02010609030101010101"/>
    <w:charset w:val="86"/>
    <w:family w:val="modern"/>
    <w:pitch w:val="default"/>
    <w:sig w:usb0="00000203" w:usb1="288F0000" w:usb2="00000006" w:usb3="00000000" w:csb0="00040001" w:csb1="00000000"/>
  </w:font>
  <w:font w:name="思源黑体 Regular">
    <w:altName w:val="黑体"/>
    <w:panose1 w:val="00000000000000000000"/>
    <w:charset w:val="00"/>
    <w:family w:val="auto"/>
    <w:pitch w:val="default"/>
    <w:sig w:usb0="00000000" w:usb1="00000000" w:usb2="00000000" w:usb3="00000000" w:csb0="00000000" w:csb1="00000000"/>
  </w:font>
  <w:font w:name="TKTypeMedium">
    <w:altName w:val="Segoe Print"/>
    <w:panose1 w:val="00000000000000000000"/>
    <w:charset w:val="00"/>
    <w:family w:val="auto"/>
    <w:pitch w:val="default"/>
    <w:sig w:usb0="00000000" w:usb1="00000000" w:usb2="00000000" w:usb3="00000000" w:csb0="00000000" w:csb1="00000000"/>
  </w:font>
  <w:font w:name="PMingLiU">
    <w:altName w:val="Segoe Print"/>
    <w:panose1 w:val="00000000000000000000"/>
    <w:charset w:val="00"/>
    <w:family w:val="auto"/>
    <w:pitch w:val="default"/>
    <w:sig w:usb0="00000000" w:usb1="00000000" w:usb2="00000000" w:usb3="00000000" w:csb0="00000000" w:csb1="00000000"/>
  </w:font>
  <w:font w:name="MISMMT+ËÎÌå">
    <w:altName w:val="Arial Unicode MS"/>
    <w:panose1 w:val="00000000000000000000"/>
    <w:charset w:val="01"/>
    <w:family w:val="auto"/>
    <w:pitch w:val="default"/>
    <w:sig w:usb0="00000000" w:usb1="00000000" w:usb2="01010101" w:usb3="01010101" w:csb0="01010101" w:csb1="01010101"/>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Segoe Print">
    <w:panose1 w:val="02000600000000000000"/>
    <w:charset w:val="00"/>
    <w:family w:val="auto"/>
    <w:pitch w:val="default"/>
    <w:sig w:usb0="0000028F" w:usb1="00000000" w:usb2="00000000" w:usb3="00000000" w:csb0="2000009F" w:csb1="4701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jv2scIBAACP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xcA8KbQ8LCpZ+MOkJNxXBOhdG0U3kR/ryXrKf/aPM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L479rHCAQAAjwMAAA4AAAAAAAAAAQAgAAAAHgEAAGRycy9lMm9Eb2MueG1sUEsF&#10;BgAAAAAGAAYAWQEAAFIFAAAAAA==&#10;">
              <v:fill on="f" focussize="0,0"/>
              <v:stroke on="f"/>
              <v:imagedata o:title=""/>
              <o:lock v:ext="edit" aspectratio="f"/>
              <v:textbox inset="0mm,0mm,0mm,0mm" style="mso-fit-shape-to-text:t;">
                <w:txbxContent>
                  <w:p>
                    <w:pPr>
                      <w:pStyle w:val="17"/>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7"/>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pPr>
                      <w:pStyle w:val="17"/>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r>
      <w:rPr>
        <w:rFonts w:hint="eastAsia"/>
      </w:rPr>
      <w:t>1</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1"/>
      </w:pBdr>
      <w:tabs>
        <w:tab w:val="left" w:pos="1020"/>
        <w:tab w:val="clear" w:pos="4153"/>
      </w:tabs>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0"/>
      </w:pBdr>
      <w:jc w:val="both"/>
      <w:rPr>
        <w:sz w:val="24"/>
        <w:szCs w:val="24"/>
      </w:rPr>
    </w:pPr>
  </w:p>
  <w:p>
    <w:pPr>
      <w:pStyle w:val="18"/>
      <w:pBdr>
        <w:bottom w:val="none" w:color="auto" w:sz="0" w:space="0"/>
      </w:pBdr>
      <w:jc w:val="both"/>
      <w:rPr>
        <w:sz w:val="24"/>
        <w:szCs w:val="24"/>
      </w:rPr>
    </w:pPr>
  </w:p>
  <w:p>
    <w:pPr>
      <w:pStyle w:val="18"/>
      <w:pBdr>
        <w:bottom w:val="none" w:color="auto" w:sz="0" w:space="0"/>
      </w:pBdr>
      <w:jc w:val="right"/>
      <w:rPr>
        <w:sz w:val="24"/>
        <w:szCs w:val="24"/>
      </w:rPr>
    </w:pPr>
    <w:r>
      <w:rPr>
        <w:sz w:val="24"/>
        <w:szCs w:val="24"/>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FA1A7A"/>
    <w:multiLevelType w:val="singleLevel"/>
    <w:tmpl w:val="E2FA1A7A"/>
    <w:lvl w:ilvl="0" w:tentative="0">
      <w:start w:val="3"/>
      <w:numFmt w:val="chineseCounting"/>
      <w:suff w:val="nothing"/>
      <w:lvlText w:val="%1、"/>
      <w:lvlJc w:val="left"/>
      <w:pPr>
        <w:ind w:left="0" w:leftChars="0" w:firstLine="3592" w:firstLineChars="0"/>
      </w:pPr>
      <w:rPr>
        <w:rFonts w:hint="eastAsia"/>
      </w:rPr>
    </w:lvl>
  </w:abstractNum>
  <w:abstractNum w:abstractNumId="1">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2">
    <w:nsid w:val="319C58FA"/>
    <w:multiLevelType w:val="multilevel"/>
    <w:tmpl w:val="319C58FA"/>
    <w:lvl w:ilvl="0" w:tentative="0">
      <w:start w:val="1"/>
      <w:numFmt w:val="decimal"/>
      <w:lvlText w:val="（%1）"/>
      <w:lvlJc w:val="left"/>
      <w:pPr>
        <w:ind w:left="1270" w:hanging="420"/>
      </w:pPr>
      <w:rPr>
        <w:b w:val="0"/>
        <w:color w:val="auto"/>
      </w:rPr>
    </w:lvl>
    <w:lvl w:ilvl="1" w:tentative="0">
      <w:start w:val="1"/>
      <w:numFmt w:val="lowerLetter"/>
      <w:lvlText w:val="%2)"/>
      <w:lvlJc w:val="left"/>
      <w:pPr>
        <w:ind w:left="1690" w:hanging="420"/>
      </w:pPr>
    </w:lvl>
    <w:lvl w:ilvl="2" w:tentative="0">
      <w:start w:val="1"/>
      <w:numFmt w:val="lowerRoman"/>
      <w:lvlText w:val="%3."/>
      <w:lvlJc w:val="right"/>
      <w:pPr>
        <w:ind w:left="2110" w:hanging="420"/>
      </w:pPr>
    </w:lvl>
    <w:lvl w:ilvl="3" w:tentative="0">
      <w:start w:val="1"/>
      <w:numFmt w:val="decimal"/>
      <w:lvlText w:val="%4."/>
      <w:lvlJc w:val="left"/>
      <w:pPr>
        <w:ind w:left="2530" w:hanging="420"/>
      </w:pPr>
    </w:lvl>
    <w:lvl w:ilvl="4" w:tentative="0">
      <w:start w:val="1"/>
      <w:numFmt w:val="lowerLetter"/>
      <w:lvlText w:val="%5)"/>
      <w:lvlJc w:val="left"/>
      <w:pPr>
        <w:ind w:left="2950" w:hanging="420"/>
      </w:pPr>
    </w:lvl>
    <w:lvl w:ilvl="5" w:tentative="0">
      <w:start w:val="1"/>
      <w:numFmt w:val="lowerRoman"/>
      <w:lvlText w:val="%6."/>
      <w:lvlJc w:val="right"/>
      <w:pPr>
        <w:ind w:left="3370" w:hanging="420"/>
      </w:pPr>
    </w:lvl>
    <w:lvl w:ilvl="6" w:tentative="0">
      <w:start w:val="1"/>
      <w:numFmt w:val="decimal"/>
      <w:lvlText w:val="%7."/>
      <w:lvlJc w:val="left"/>
      <w:pPr>
        <w:ind w:left="3790" w:hanging="420"/>
      </w:pPr>
    </w:lvl>
    <w:lvl w:ilvl="7" w:tentative="0">
      <w:start w:val="1"/>
      <w:numFmt w:val="lowerLetter"/>
      <w:lvlText w:val="%8)"/>
      <w:lvlJc w:val="left"/>
      <w:pPr>
        <w:ind w:left="4210" w:hanging="420"/>
      </w:pPr>
    </w:lvl>
    <w:lvl w:ilvl="8" w:tentative="0">
      <w:start w:val="1"/>
      <w:numFmt w:val="lowerRoman"/>
      <w:lvlText w:val="%9."/>
      <w:lvlJc w:val="right"/>
      <w:pPr>
        <w:ind w:left="4630" w:hanging="420"/>
      </w:pPr>
    </w:lvl>
  </w:abstractNum>
  <w:abstractNum w:abstractNumId="3">
    <w:nsid w:val="44B91E1E"/>
    <w:multiLevelType w:val="multilevel"/>
    <w:tmpl w:val="44B91E1E"/>
    <w:lvl w:ilvl="0" w:tentative="0">
      <w:start w:val="1"/>
      <w:numFmt w:val="decimal"/>
      <w:lvlText w:val="（%1）"/>
      <w:lvlJc w:val="left"/>
      <w:pPr>
        <w:ind w:left="955" w:hanging="720"/>
      </w:pPr>
      <w:rPr>
        <w:rFonts w:hint="default"/>
      </w:rPr>
    </w:lvl>
    <w:lvl w:ilvl="1" w:tentative="0">
      <w:start w:val="1"/>
      <w:numFmt w:val="lowerLetter"/>
      <w:lvlText w:val="%2)"/>
      <w:lvlJc w:val="left"/>
      <w:pPr>
        <w:ind w:left="1075" w:hanging="420"/>
      </w:pPr>
    </w:lvl>
    <w:lvl w:ilvl="2" w:tentative="0">
      <w:start w:val="1"/>
      <w:numFmt w:val="lowerRoman"/>
      <w:lvlText w:val="%3."/>
      <w:lvlJc w:val="right"/>
      <w:pPr>
        <w:ind w:left="1495" w:hanging="420"/>
      </w:pPr>
    </w:lvl>
    <w:lvl w:ilvl="3" w:tentative="0">
      <w:start w:val="1"/>
      <w:numFmt w:val="decimal"/>
      <w:lvlText w:val="%4."/>
      <w:lvlJc w:val="left"/>
      <w:pPr>
        <w:ind w:left="1915" w:hanging="420"/>
      </w:pPr>
    </w:lvl>
    <w:lvl w:ilvl="4" w:tentative="0">
      <w:start w:val="1"/>
      <w:numFmt w:val="lowerLetter"/>
      <w:lvlText w:val="%5)"/>
      <w:lvlJc w:val="left"/>
      <w:pPr>
        <w:ind w:left="2335" w:hanging="420"/>
      </w:pPr>
    </w:lvl>
    <w:lvl w:ilvl="5" w:tentative="0">
      <w:start w:val="1"/>
      <w:numFmt w:val="lowerRoman"/>
      <w:lvlText w:val="%6."/>
      <w:lvlJc w:val="right"/>
      <w:pPr>
        <w:ind w:left="2755" w:hanging="420"/>
      </w:pPr>
    </w:lvl>
    <w:lvl w:ilvl="6" w:tentative="0">
      <w:start w:val="1"/>
      <w:numFmt w:val="decimal"/>
      <w:lvlText w:val="%7."/>
      <w:lvlJc w:val="left"/>
      <w:pPr>
        <w:ind w:left="3175" w:hanging="420"/>
      </w:pPr>
    </w:lvl>
    <w:lvl w:ilvl="7" w:tentative="0">
      <w:start w:val="1"/>
      <w:numFmt w:val="lowerLetter"/>
      <w:lvlText w:val="%8)"/>
      <w:lvlJc w:val="left"/>
      <w:pPr>
        <w:ind w:left="3595" w:hanging="420"/>
      </w:pPr>
    </w:lvl>
    <w:lvl w:ilvl="8" w:tentative="0">
      <w:start w:val="1"/>
      <w:numFmt w:val="lowerRoman"/>
      <w:lvlText w:val="%9."/>
      <w:lvlJc w:val="right"/>
      <w:pPr>
        <w:ind w:left="4015" w:hanging="420"/>
      </w:pPr>
    </w:lvl>
  </w:abstractNum>
  <w:abstractNum w:abstractNumId="4">
    <w:nsid w:val="65510F80"/>
    <w:multiLevelType w:val="multilevel"/>
    <w:tmpl w:val="65510F80"/>
    <w:lvl w:ilvl="0" w:tentative="0">
      <w:start w:val="1"/>
      <w:numFmt w:val="decimal"/>
      <w:lvlText w:val="（%1）"/>
      <w:lvlJc w:val="left"/>
      <w:pPr>
        <w:ind w:left="987"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3"/>
  </w:num>
  <w:num w:numId="2">
    <w:abstractNumId w:val="1"/>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RhYmRhNzNkYzMzNGJlMTJlNGRjYzUzM2Q2ZGI5MDYifQ=="/>
  </w:docVars>
  <w:rsids>
    <w:rsidRoot w:val="003447BF"/>
    <w:rsid w:val="0000048D"/>
    <w:rsid w:val="000014D3"/>
    <w:rsid w:val="00001DCB"/>
    <w:rsid w:val="000056AD"/>
    <w:rsid w:val="00005AF4"/>
    <w:rsid w:val="00006391"/>
    <w:rsid w:val="000073A8"/>
    <w:rsid w:val="00007986"/>
    <w:rsid w:val="00010983"/>
    <w:rsid w:val="00010BB4"/>
    <w:rsid w:val="00010FB5"/>
    <w:rsid w:val="000126A7"/>
    <w:rsid w:val="00013B94"/>
    <w:rsid w:val="000140D2"/>
    <w:rsid w:val="000142C2"/>
    <w:rsid w:val="000153FB"/>
    <w:rsid w:val="00016CB2"/>
    <w:rsid w:val="000201F5"/>
    <w:rsid w:val="0002055A"/>
    <w:rsid w:val="00022BFC"/>
    <w:rsid w:val="00023513"/>
    <w:rsid w:val="000246CB"/>
    <w:rsid w:val="00025E3D"/>
    <w:rsid w:val="00025E68"/>
    <w:rsid w:val="000304EA"/>
    <w:rsid w:val="00030E91"/>
    <w:rsid w:val="00031834"/>
    <w:rsid w:val="00032F3A"/>
    <w:rsid w:val="00033243"/>
    <w:rsid w:val="0003453C"/>
    <w:rsid w:val="00035188"/>
    <w:rsid w:val="00035800"/>
    <w:rsid w:val="000370BC"/>
    <w:rsid w:val="00040F59"/>
    <w:rsid w:val="000426B5"/>
    <w:rsid w:val="00043761"/>
    <w:rsid w:val="000437B4"/>
    <w:rsid w:val="00043B31"/>
    <w:rsid w:val="00043E7D"/>
    <w:rsid w:val="0005298D"/>
    <w:rsid w:val="000547D0"/>
    <w:rsid w:val="00056906"/>
    <w:rsid w:val="00056F0F"/>
    <w:rsid w:val="00060239"/>
    <w:rsid w:val="0006053F"/>
    <w:rsid w:val="00060FC1"/>
    <w:rsid w:val="000626B3"/>
    <w:rsid w:val="0006501F"/>
    <w:rsid w:val="00066685"/>
    <w:rsid w:val="00067867"/>
    <w:rsid w:val="0007042D"/>
    <w:rsid w:val="00071741"/>
    <w:rsid w:val="00071B86"/>
    <w:rsid w:val="00074924"/>
    <w:rsid w:val="00074AC3"/>
    <w:rsid w:val="0007601C"/>
    <w:rsid w:val="00077AF5"/>
    <w:rsid w:val="0008080E"/>
    <w:rsid w:val="00080A11"/>
    <w:rsid w:val="00081F41"/>
    <w:rsid w:val="00082151"/>
    <w:rsid w:val="000825CD"/>
    <w:rsid w:val="00083710"/>
    <w:rsid w:val="00083C90"/>
    <w:rsid w:val="00083F0A"/>
    <w:rsid w:val="0008454C"/>
    <w:rsid w:val="0008616A"/>
    <w:rsid w:val="00086313"/>
    <w:rsid w:val="00087C81"/>
    <w:rsid w:val="000940E3"/>
    <w:rsid w:val="00094EC9"/>
    <w:rsid w:val="00097138"/>
    <w:rsid w:val="000A04E8"/>
    <w:rsid w:val="000A0EDD"/>
    <w:rsid w:val="000A10C4"/>
    <w:rsid w:val="000A202D"/>
    <w:rsid w:val="000A2BA0"/>
    <w:rsid w:val="000A5015"/>
    <w:rsid w:val="000A5072"/>
    <w:rsid w:val="000A7372"/>
    <w:rsid w:val="000A7EDB"/>
    <w:rsid w:val="000B1727"/>
    <w:rsid w:val="000B1E28"/>
    <w:rsid w:val="000B5234"/>
    <w:rsid w:val="000B527D"/>
    <w:rsid w:val="000B6DD8"/>
    <w:rsid w:val="000B705B"/>
    <w:rsid w:val="000C1BB6"/>
    <w:rsid w:val="000C3151"/>
    <w:rsid w:val="000C65C2"/>
    <w:rsid w:val="000C664A"/>
    <w:rsid w:val="000C7492"/>
    <w:rsid w:val="000D0712"/>
    <w:rsid w:val="000D14A9"/>
    <w:rsid w:val="000D3325"/>
    <w:rsid w:val="000D486E"/>
    <w:rsid w:val="000D4D7C"/>
    <w:rsid w:val="000D4EA2"/>
    <w:rsid w:val="000D5ACE"/>
    <w:rsid w:val="000D63EF"/>
    <w:rsid w:val="000D6C0C"/>
    <w:rsid w:val="000D7A5B"/>
    <w:rsid w:val="000E141B"/>
    <w:rsid w:val="000E18E1"/>
    <w:rsid w:val="000E329A"/>
    <w:rsid w:val="000E356E"/>
    <w:rsid w:val="000E70CB"/>
    <w:rsid w:val="000E720A"/>
    <w:rsid w:val="000F02A3"/>
    <w:rsid w:val="000F25E7"/>
    <w:rsid w:val="000F3869"/>
    <w:rsid w:val="000F3A83"/>
    <w:rsid w:val="000F4027"/>
    <w:rsid w:val="000F456F"/>
    <w:rsid w:val="000F5488"/>
    <w:rsid w:val="000F5B0A"/>
    <w:rsid w:val="00100754"/>
    <w:rsid w:val="00101DA8"/>
    <w:rsid w:val="00102A52"/>
    <w:rsid w:val="00105E10"/>
    <w:rsid w:val="00106078"/>
    <w:rsid w:val="001069A6"/>
    <w:rsid w:val="00107ADD"/>
    <w:rsid w:val="00110520"/>
    <w:rsid w:val="00112A18"/>
    <w:rsid w:val="0011312D"/>
    <w:rsid w:val="0011354F"/>
    <w:rsid w:val="00114375"/>
    <w:rsid w:val="00114A6A"/>
    <w:rsid w:val="001158C7"/>
    <w:rsid w:val="001160D8"/>
    <w:rsid w:val="0012053A"/>
    <w:rsid w:val="00120F1C"/>
    <w:rsid w:val="00121368"/>
    <w:rsid w:val="001228DF"/>
    <w:rsid w:val="00124193"/>
    <w:rsid w:val="00124801"/>
    <w:rsid w:val="00124DC8"/>
    <w:rsid w:val="0012571D"/>
    <w:rsid w:val="001258FA"/>
    <w:rsid w:val="001267A2"/>
    <w:rsid w:val="00126ED2"/>
    <w:rsid w:val="001302DE"/>
    <w:rsid w:val="00131694"/>
    <w:rsid w:val="00131E0F"/>
    <w:rsid w:val="00134429"/>
    <w:rsid w:val="001353DD"/>
    <w:rsid w:val="0013630E"/>
    <w:rsid w:val="00136356"/>
    <w:rsid w:val="001369FF"/>
    <w:rsid w:val="00140381"/>
    <w:rsid w:val="0014056C"/>
    <w:rsid w:val="00140711"/>
    <w:rsid w:val="00140736"/>
    <w:rsid w:val="001434B4"/>
    <w:rsid w:val="001458B6"/>
    <w:rsid w:val="00147091"/>
    <w:rsid w:val="001471D4"/>
    <w:rsid w:val="0015024C"/>
    <w:rsid w:val="00150C31"/>
    <w:rsid w:val="00152193"/>
    <w:rsid w:val="00152259"/>
    <w:rsid w:val="001531DD"/>
    <w:rsid w:val="001533AA"/>
    <w:rsid w:val="00153684"/>
    <w:rsid w:val="00156266"/>
    <w:rsid w:val="00156A1E"/>
    <w:rsid w:val="0015720C"/>
    <w:rsid w:val="00157B9E"/>
    <w:rsid w:val="001609DF"/>
    <w:rsid w:val="00161531"/>
    <w:rsid w:val="00162435"/>
    <w:rsid w:val="00162592"/>
    <w:rsid w:val="00162999"/>
    <w:rsid w:val="0016501A"/>
    <w:rsid w:val="001652C8"/>
    <w:rsid w:val="001656BB"/>
    <w:rsid w:val="001663D2"/>
    <w:rsid w:val="001708B6"/>
    <w:rsid w:val="0017281F"/>
    <w:rsid w:val="00172ADC"/>
    <w:rsid w:val="00173F23"/>
    <w:rsid w:val="001749E7"/>
    <w:rsid w:val="00174A06"/>
    <w:rsid w:val="0017622A"/>
    <w:rsid w:val="00176B3A"/>
    <w:rsid w:val="00180DE7"/>
    <w:rsid w:val="0018208D"/>
    <w:rsid w:val="001850E7"/>
    <w:rsid w:val="00186A61"/>
    <w:rsid w:val="00187848"/>
    <w:rsid w:val="0019057F"/>
    <w:rsid w:val="00191E43"/>
    <w:rsid w:val="001953D9"/>
    <w:rsid w:val="001A0476"/>
    <w:rsid w:val="001A0538"/>
    <w:rsid w:val="001A479C"/>
    <w:rsid w:val="001A7750"/>
    <w:rsid w:val="001B00E7"/>
    <w:rsid w:val="001B13F5"/>
    <w:rsid w:val="001B1B87"/>
    <w:rsid w:val="001B1F29"/>
    <w:rsid w:val="001B2B12"/>
    <w:rsid w:val="001B357B"/>
    <w:rsid w:val="001B644A"/>
    <w:rsid w:val="001B6547"/>
    <w:rsid w:val="001B6A93"/>
    <w:rsid w:val="001C04E2"/>
    <w:rsid w:val="001C109C"/>
    <w:rsid w:val="001C1D5C"/>
    <w:rsid w:val="001C3215"/>
    <w:rsid w:val="001C3682"/>
    <w:rsid w:val="001C3E67"/>
    <w:rsid w:val="001C5908"/>
    <w:rsid w:val="001C70F9"/>
    <w:rsid w:val="001D12D4"/>
    <w:rsid w:val="001D1DF0"/>
    <w:rsid w:val="001D6A5D"/>
    <w:rsid w:val="001E0B6D"/>
    <w:rsid w:val="001E1AA5"/>
    <w:rsid w:val="001E1FE5"/>
    <w:rsid w:val="001E2AFF"/>
    <w:rsid w:val="001E397B"/>
    <w:rsid w:val="001E39F6"/>
    <w:rsid w:val="001E3ABF"/>
    <w:rsid w:val="001E4691"/>
    <w:rsid w:val="001E63F0"/>
    <w:rsid w:val="001E7FA1"/>
    <w:rsid w:val="001F25F8"/>
    <w:rsid w:val="001F337F"/>
    <w:rsid w:val="001F3706"/>
    <w:rsid w:val="001F3871"/>
    <w:rsid w:val="001F46E7"/>
    <w:rsid w:val="001F5748"/>
    <w:rsid w:val="001F65F6"/>
    <w:rsid w:val="001F73CB"/>
    <w:rsid w:val="00201687"/>
    <w:rsid w:val="00201D34"/>
    <w:rsid w:val="0020244E"/>
    <w:rsid w:val="002033F6"/>
    <w:rsid w:val="00203CED"/>
    <w:rsid w:val="00203CF7"/>
    <w:rsid w:val="00204261"/>
    <w:rsid w:val="002047D2"/>
    <w:rsid w:val="00204DAB"/>
    <w:rsid w:val="00205586"/>
    <w:rsid w:val="00206B5F"/>
    <w:rsid w:val="00206D6F"/>
    <w:rsid w:val="002075B3"/>
    <w:rsid w:val="002102AA"/>
    <w:rsid w:val="00211C25"/>
    <w:rsid w:val="00215247"/>
    <w:rsid w:val="00215597"/>
    <w:rsid w:val="002157D9"/>
    <w:rsid w:val="0021644E"/>
    <w:rsid w:val="00216AA3"/>
    <w:rsid w:val="002178FD"/>
    <w:rsid w:val="00223BB6"/>
    <w:rsid w:val="00223FED"/>
    <w:rsid w:val="002272FC"/>
    <w:rsid w:val="0023111B"/>
    <w:rsid w:val="0023452A"/>
    <w:rsid w:val="00234B42"/>
    <w:rsid w:val="00235762"/>
    <w:rsid w:val="0023641F"/>
    <w:rsid w:val="0023657F"/>
    <w:rsid w:val="00236F49"/>
    <w:rsid w:val="002401A4"/>
    <w:rsid w:val="00240742"/>
    <w:rsid w:val="00240890"/>
    <w:rsid w:val="00240DB5"/>
    <w:rsid w:val="00243948"/>
    <w:rsid w:val="002444B8"/>
    <w:rsid w:val="00245CCD"/>
    <w:rsid w:val="002476B1"/>
    <w:rsid w:val="002510B3"/>
    <w:rsid w:val="002516D9"/>
    <w:rsid w:val="0025278D"/>
    <w:rsid w:val="00253E44"/>
    <w:rsid w:val="00254642"/>
    <w:rsid w:val="0025474D"/>
    <w:rsid w:val="00255AC4"/>
    <w:rsid w:val="00256680"/>
    <w:rsid w:val="002575B7"/>
    <w:rsid w:val="00261779"/>
    <w:rsid w:val="00264203"/>
    <w:rsid w:val="0026442A"/>
    <w:rsid w:val="002650E7"/>
    <w:rsid w:val="00266C0D"/>
    <w:rsid w:val="00267148"/>
    <w:rsid w:val="002714D2"/>
    <w:rsid w:val="00271A2C"/>
    <w:rsid w:val="00272D15"/>
    <w:rsid w:val="0027316E"/>
    <w:rsid w:val="002731AC"/>
    <w:rsid w:val="00274153"/>
    <w:rsid w:val="00274683"/>
    <w:rsid w:val="0027584C"/>
    <w:rsid w:val="0028000E"/>
    <w:rsid w:val="002806B7"/>
    <w:rsid w:val="00284CC0"/>
    <w:rsid w:val="00285D9D"/>
    <w:rsid w:val="002908CC"/>
    <w:rsid w:val="00290AF9"/>
    <w:rsid w:val="002918DB"/>
    <w:rsid w:val="00297CE2"/>
    <w:rsid w:val="002A00F9"/>
    <w:rsid w:val="002A0242"/>
    <w:rsid w:val="002A133F"/>
    <w:rsid w:val="002A2AAF"/>
    <w:rsid w:val="002B032B"/>
    <w:rsid w:val="002B12F1"/>
    <w:rsid w:val="002B1789"/>
    <w:rsid w:val="002B2899"/>
    <w:rsid w:val="002B5016"/>
    <w:rsid w:val="002B510D"/>
    <w:rsid w:val="002B5135"/>
    <w:rsid w:val="002B5881"/>
    <w:rsid w:val="002B5BE4"/>
    <w:rsid w:val="002B6209"/>
    <w:rsid w:val="002B6E49"/>
    <w:rsid w:val="002C129C"/>
    <w:rsid w:val="002C44D2"/>
    <w:rsid w:val="002C4A24"/>
    <w:rsid w:val="002C4A5B"/>
    <w:rsid w:val="002C662D"/>
    <w:rsid w:val="002C6BB4"/>
    <w:rsid w:val="002D037B"/>
    <w:rsid w:val="002D046C"/>
    <w:rsid w:val="002D1F57"/>
    <w:rsid w:val="002D3628"/>
    <w:rsid w:val="002D38FC"/>
    <w:rsid w:val="002D3B8C"/>
    <w:rsid w:val="002D478F"/>
    <w:rsid w:val="002D50D1"/>
    <w:rsid w:val="002D5BA2"/>
    <w:rsid w:val="002D67B7"/>
    <w:rsid w:val="002D700F"/>
    <w:rsid w:val="002D742C"/>
    <w:rsid w:val="002D79E9"/>
    <w:rsid w:val="002D7B89"/>
    <w:rsid w:val="002E0BDC"/>
    <w:rsid w:val="002E2C82"/>
    <w:rsid w:val="002E3F33"/>
    <w:rsid w:val="002E556A"/>
    <w:rsid w:val="002F0674"/>
    <w:rsid w:val="002F08AD"/>
    <w:rsid w:val="002F2D1C"/>
    <w:rsid w:val="002F2F85"/>
    <w:rsid w:val="002F4F8D"/>
    <w:rsid w:val="002F4F93"/>
    <w:rsid w:val="002F73C1"/>
    <w:rsid w:val="002F7E55"/>
    <w:rsid w:val="0030183C"/>
    <w:rsid w:val="00302A83"/>
    <w:rsid w:val="00303AD0"/>
    <w:rsid w:val="003046ED"/>
    <w:rsid w:val="00304E5C"/>
    <w:rsid w:val="003058C6"/>
    <w:rsid w:val="003058F1"/>
    <w:rsid w:val="0031082A"/>
    <w:rsid w:val="00312AD3"/>
    <w:rsid w:val="00314492"/>
    <w:rsid w:val="0031577A"/>
    <w:rsid w:val="00316501"/>
    <w:rsid w:val="0031690F"/>
    <w:rsid w:val="003206D2"/>
    <w:rsid w:val="003222CF"/>
    <w:rsid w:val="0032300C"/>
    <w:rsid w:val="00323B1A"/>
    <w:rsid w:val="00323D93"/>
    <w:rsid w:val="00326B4B"/>
    <w:rsid w:val="00330BD9"/>
    <w:rsid w:val="00331BD6"/>
    <w:rsid w:val="00334FCD"/>
    <w:rsid w:val="00335566"/>
    <w:rsid w:val="00336641"/>
    <w:rsid w:val="00337328"/>
    <w:rsid w:val="00337877"/>
    <w:rsid w:val="00340A81"/>
    <w:rsid w:val="003421B5"/>
    <w:rsid w:val="00342CD3"/>
    <w:rsid w:val="003447BF"/>
    <w:rsid w:val="00344B0C"/>
    <w:rsid w:val="003450FE"/>
    <w:rsid w:val="003453B7"/>
    <w:rsid w:val="00345A9C"/>
    <w:rsid w:val="00345ECF"/>
    <w:rsid w:val="00347301"/>
    <w:rsid w:val="0034785B"/>
    <w:rsid w:val="00347B4A"/>
    <w:rsid w:val="00347CC2"/>
    <w:rsid w:val="0035039C"/>
    <w:rsid w:val="0035253E"/>
    <w:rsid w:val="00352633"/>
    <w:rsid w:val="00355F34"/>
    <w:rsid w:val="00360B4A"/>
    <w:rsid w:val="003635F7"/>
    <w:rsid w:val="00363D42"/>
    <w:rsid w:val="0036526F"/>
    <w:rsid w:val="00367B96"/>
    <w:rsid w:val="003711AC"/>
    <w:rsid w:val="00372F98"/>
    <w:rsid w:val="003733C4"/>
    <w:rsid w:val="00373854"/>
    <w:rsid w:val="00373F41"/>
    <w:rsid w:val="00376454"/>
    <w:rsid w:val="003767B9"/>
    <w:rsid w:val="00376E2C"/>
    <w:rsid w:val="003807C0"/>
    <w:rsid w:val="0038329C"/>
    <w:rsid w:val="003841E8"/>
    <w:rsid w:val="0038469B"/>
    <w:rsid w:val="003854C5"/>
    <w:rsid w:val="00386E3B"/>
    <w:rsid w:val="00390585"/>
    <w:rsid w:val="0039243F"/>
    <w:rsid w:val="00394CD6"/>
    <w:rsid w:val="00394ED9"/>
    <w:rsid w:val="00395B97"/>
    <w:rsid w:val="00396005"/>
    <w:rsid w:val="003962B6"/>
    <w:rsid w:val="003970DC"/>
    <w:rsid w:val="003A142B"/>
    <w:rsid w:val="003A1BFD"/>
    <w:rsid w:val="003A22A0"/>
    <w:rsid w:val="003A3633"/>
    <w:rsid w:val="003A5AB3"/>
    <w:rsid w:val="003A799B"/>
    <w:rsid w:val="003B2025"/>
    <w:rsid w:val="003B224A"/>
    <w:rsid w:val="003B4A6D"/>
    <w:rsid w:val="003B6F25"/>
    <w:rsid w:val="003B77E9"/>
    <w:rsid w:val="003B7A95"/>
    <w:rsid w:val="003C0D3E"/>
    <w:rsid w:val="003C1D15"/>
    <w:rsid w:val="003C4BB9"/>
    <w:rsid w:val="003C51CE"/>
    <w:rsid w:val="003C7963"/>
    <w:rsid w:val="003C7AC5"/>
    <w:rsid w:val="003D192F"/>
    <w:rsid w:val="003D2165"/>
    <w:rsid w:val="003D24E4"/>
    <w:rsid w:val="003D6390"/>
    <w:rsid w:val="003D77DF"/>
    <w:rsid w:val="003D7BF1"/>
    <w:rsid w:val="003E09EB"/>
    <w:rsid w:val="003E0CBD"/>
    <w:rsid w:val="003E1132"/>
    <w:rsid w:val="003E2B07"/>
    <w:rsid w:val="003E2E9F"/>
    <w:rsid w:val="003E2F40"/>
    <w:rsid w:val="003E523A"/>
    <w:rsid w:val="003E7138"/>
    <w:rsid w:val="003E7A55"/>
    <w:rsid w:val="003F1410"/>
    <w:rsid w:val="003F18EF"/>
    <w:rsid w:val="003F23A6"/>
    <w:rsid w:val="003F2A8C"/>
    <w:rsid w:val="003F3692"/>
    <w:rsid w:val="003F5F7A"/>
    <w:rsid w:val="0040022A"/>
    <w:rsid w:val="004007F3"/>
    <w:rsid w:val="00403331"/>
    <w:rsid w:val="00404A3D"/>
    <w:rsid w:val="00404B70"/>
    <w:rsid w:val="00405189"/>
    <w:rsid w:val="004068B2"/>
    <w:rsid w:val="004068FB"/>
    <w:rsid w:val="00406C8E"/>
    <w:rsid w:val="00407DF6"/>
    <w:rsid w:val="00412A67"/>
    <w:rsid w:val="00413080"/>
    <w:rsid w:val="00413830"/>
    <w:rsid w:val="00415E31"/>
    <w:rsid w:val="004171AC"/>
    <w:rsid w:val="00417894"/>
    <w:rsid w:val="00417AE1"/>
    <w:rsid w:val="00420A69"/>
    <w:rsid w:val="00420CDB"/>
    <w:rsid w:val="004242C0"/>
    <w:rsid w:val="00424959"/>
    <w:rsid w:val="004249D6"/>
    <w:rsid w:val="00424CEC"/>
    <w:rsid w:val="00424FF3"/>
    <w:rsid w:val="00425890"/>
    <w:rsid w:val="00426825"/>
    <w:rsid w:val="00427430"/>
    <w:rsid w:val="00427443"/>
    <w:rsid w:val="00430437"/>
    <w:rsid w:val="00431929"/>
    <w:rsid w:val="00432CA1"/>
    <w:rsid w:val="00432D9A"/>
    <w:rsid w:val="00432F85"/>
    <w:rsid w:val="004331B4"/>
    <w:rsid w:val="004338F3"/>
    <w:rsid w:val="00433B7C"/>
    <w:rsid w:val="0043557D"/>
    <w:rsid w:val="00435C8F"/>
    <w:rsid w:val="004369CE"/>
    <w:rsid w:val="004408FF"/>
    <w:rsid w:val="00440B29"/>
    <w:rsid w:val="004419A1"/>
    <w:rsid w:val="00441EA6"/>
    <w:rsid w:val="00442587"/>
    <w:rsid w:val="004439A5"/>
    <w:rsid w:val="00444400"/>
    <w:rsid w:val="00445613"/>
    <w:rsid w:val="00446B20"/>
    <w:rsid w:val="004470A7"/>
    <w:rsid w:val="0044784B"/>
    <w:rsid w:val="004525CF"/>
    <w:rsid w:val="00453645"/>
    <w:rsid w:val="00454AB3"/>
    <w:rsid w:val="00455615"/>
    <w:rsid w:val="004558A9"/>
    <w:rsid w:val="00455952"/>
    <w:rsid w:val="00456007"/>
    <w:rsid w:val="00456A3C"/>
    <w:rsid w:val="00461D9C"/>
    <w:rsid w:val="00461E1E"/>
    <w:rsid w:val="00463340"/>
    <w:rsid w:val="004639DA"/>
    <w:rsid w:val="004640C9"/>
    <w:rsid w:val="004642D4"/>
    <w:rsid w:val="00464855"/>
    <w:rsid w:val="004751DE"/>
    <w:rsid w:val="00475F4C"/>
    <w:rsid w:val="004777FD"/>
    <w:rsid w:val="00477BDC"/>
    <w:rsid w:val="00483ACC"/>
    <w:rsid w:val="004843CF"/>
    <w:rsid w:val="00484890"/>
    <w:rsid w:val="00484DAB"/>
    <w:rsid w:val="00484DBA"/>
    <w:rsid w:val="00490786"/>
    <w:rsid w:val="00490A80"/>
    <w:rsid w:val="00490A89"/>
    <w:rsid w:val="00492A36"/>
    <w:rsid w:val="00492E73"/>
    <w:rsid w:val="0049342B"/>
    <w:rsid w:val="0049408B"/>
    <w:rsid w:val="0049581C"/>
    <w:rsid w:val="004A0138"/>
    <w:rsid w:val="004A2295"/>
    <w:rsid w:val="004A28D1"/>
    <w:rsid w:val="004A6294"/>
    <w:rsid w:val="004A650B"/>
    <w:rsid w:val="004A73B5"/>
    <w:rsid w:val="004A78E9"/>
    <w:rsid w:val="004B0197"/>
    <w:rsid w:val="004B08A6"/>
    <w:rsid w:val="004B135E"/>
    <w:rsid w:val="004B2681"/>
    <w:rsid w:val="004B2F5D"/>
    <w:rsid w:val="004B4371"/>
    <w:rsid w:val="004B486A"/>
    <w:rsid w:val="004B58F5"/>
    <w:rsid w:val="004B7614"/>
    <w:rsid w:val="004C11FF"/>
    <w:rsid w:val="004C15BD"/>
    <w:rsid w:val="004C2141"/>
    <w:rsid w:val="004C3010"/>
    <w:rsid w:val="004C485E"/>
    <w:rsid w:val="004C5E79"/>
    <w:rsid w:val="004C60F2"/>
    <w:rsid w:val="004D177C"/>
    <w:rsid w:val="004D1C6B"/>
    <w:rsid w:val="004D1DEE"/>
    <w:rsid w:val="004D26A6"/>
    <w:rsid w:val="004D3345"/>
    <w:rsid w:val="004D392B"/>
    <w:rsid w:val="004D5A62"/>
    <w:rsid w:val="004D70FC"/>
    <w:rsid w:val="004E0EED"/>
    <w:rsid w:val="004E315E"/>
    <w:rsid w:val="004F2DD3"/>
    <w:rsid w:val="004F47A8"/>
    <w:rsid w:val="004F50BC"/>
    <w:rsid w:val="004F5278"/>
    <w:rsid w:val="004F5827"/>
    <w:rsid w:val="004F5994"/>
    <w:rsid w:val="004F5E7F"/>
    <w:rsid w:val="004F6792"/>
    <w:rsid w:val="004F726A"/>
    <w:rsid w:val="004F78CE"/>
    <w:rsid w:val="00500CD9"/>
    <w:rsid w:val="00501A26"/>
    <w:rsid w:val="005023A3"/>
    <w:rsid w:val="0050287F"/>
    <w:rsid w:val="00505662"/>
    <w:rsid w:val="00506771"/>
    <w:rsid w:val="00506F0F"/>
    <w:rsid w:val="00507DB0"/>
    <w:rsid w:val="005108CD"/>
    <w:rsid w:val="00513345"/>
    <w:rsid w:val="00513892"/>
    <w:rsid w:val="00515BAC"/>
    <w:rsid w:val="005207CB"/>
    <w:rsid w:val="005225BE"/>
    <w:rsid w:val="005239B4"/>
    <w:rsid w:val="005258B1"/>
    <w:rsid w:val="005259EE"/>
    <w:rsid w:val="0052690E"/>
    <w:rsid w:val="0052786D"/>
    <w:rsid w:val="00527CA1"/>
    <w:rsid w:val="00530470"/>
    <w:rsid w:val="0053060F"/>
    <w:rsid w:val="00530F5A"/>
    <w:rsid w:val="00531AA4"/>
    <w:rsid w:val="005327D0"/>
    <w:rsid w:val="00534424"/>
    <w:rsid w:val="00534EF3"/>
    <w:rsid w:val="00535477"/>
    <w:rsid w:val="00536EBF"/>
    <w:rsid w:val="00537577"/>
    <w:rsid w:val="00537F86"/>
    <w:rsid w:val="005404C5"/>
    <w:rsid w:val="00541DDC"/>
    <w:rsid w:val="0054267E"/>
    <w:rsid w:val="005435FD"/>
    <w:rsid w:val="00543AA0"/>
    <w:rsid w:val="0054493C"/>
    <w:rsid w:val="005450F5"/>
    <w:rsid w:val="0054764C"/>
    <w:rsid w:val="0055043D"/>
    <w:rsid w:val="00551123"/>
    <w:rsid w:val="00551492"/>
    <w:rsid w:val="005515D7"/>
    <w:rsid w:val="0056051C"/>
    <w:rsid w:val="00562D9E"/>
    <w:rsid w:val="00562F3F"/>
    <w:rsid w:val="00563AA4"/>
    <w:rsid w:val="00563DBA"/>
    <w:rsid w:val="00565140"/>
    <w:rsid w:val="005666BC"/>
    <w:rsid w:val="00567EE7"/>
    <w:rsid w:val="00570BBF"/>
    <w:rsid w:val="00572A33"/>
    <w:rsid w:val="00573BA8"/>
    <w:rsid w:val="005746D2"/>
    <w:rsid w:val="0057534A"/>
    <w:rsid w:val="005754CE"/>
    <w:rsid w:val="00575602"/>
    <w:rsid w:val="00576694"/>
    <w:rsid w:val="00576B92"/>
    <w:rsid w:val="00580029"/>
    <w:rsid w:val="00580ACA"/>
    <w:rsid w:val="00580BF4"/>
    <w:rsid w:val="00581E43"/>
    <w:rsid w:val="00582FC4"/>
    <w:rsid w:val="0058351A"/>
    <w:rsid w:val="0058593C"/>
    <w:rsid w:val="0058737F"/>
    <w:rsid w:val="005877F8"/>
    <w:rsid w:val="00590E34"/>
    <w:rsid w:val="00591228"/>
    <w:rsid w:val="00591B98"/>
    <w:rsid w:val="00591FD1"/>
    <w:rsid w:val="00593602"/>
    <w:rsid w:val="00594757"/>
    <w:rsid w:val="005A0210"/>
    <w:rsid w:val="005A11E5"/>
    <w:rsid w:val="005A58E1"/>
    <w:rsid w:val="005B1BF3"/>
    <w:rsid w:val="005B67D4"/>
    <w:rsid w:val="005B7D81"/>
    <w:rsid w:val="005C12DC"/>
    <w:rsid w:val="005C1667"/>
    <w:rsid w:val="005C1F5E"/>
    <w:rsid w:val="005C223C"/>
    <w:rsid w:val="005C2443"/>
    <w:rsid w:val="005C35EA"/>
    <w:rsid w:val="005C36E5"/>
    <w:rsid w:val="005C3EBF"/>
    <w:rsid w:val="005C43D6"/>
    <w:rsid w:val="005C520D"/>
    <w:rsid w:val="005C57D4"/>
    <w:rsid w:val="005C61FD"/>
    <w:rsid w:val="005C65E5"/>
    <w:rsid w:val="005C662C"/>
    <w:rsid w:val="005C6811"/>
    <w:rsid w:val="005C7618"/>
    <w:rsid w:val="005C782D"/>
    <w:rsid w:val="005D0063"/>
    <w:rsid w:val="005D1AFA"/>
    <w:rsid w:val="005D216C"/>
    <w:rsid w:val="005D2F1F"/>
    <w:rsid w:val="005D31AB"/>
    <w:rsid w:val="005D569B"/>
    <w:rsid w:val="005D59EF"/>
    <w:rsid w:val="005D63A5"/>
    <w:rsid w:val="005D6C31"/>
    <w:rsid w:val="005D7CEF"/>
    <w:rsid w:val="005D7E2E"/>
    <w:rsid w:val="005E1353"/>
    <w:rsid w:val="005E276D"/>
    <w:rsid w:val="005E446B"/>
    <w:rsid w:val="005E4709"/>
    <w:rsid w:val="005E5082"/>
    <w:rsid w:val="005E50FA"/>
    <w:rsid w:val="005E5FEF"/>
    <w:rsid w:val="005E637D"/>
    <w:rsid w:val="005E7143"/>
    <w:rsid w:val="005F380F"/>
    <w:rsid w:val="005F3D67"/>
    <w:rsid w:val="005F6885"/>
    <w:rsid w:val="005F6EEB"/>
    <w:rsid w:val="005F76A1"/>
    <w:rsid w:val="005F79B1"/>
    <w:rsid w:val="00600C96"/>
    <w:rsid w:val="00601DB5"/>
    <w:rsid w:val="0060404B"/>
    <w:rsid w:val="0060496B"/>
    <w:rsid w:val="006053FA"/>
    <w:rsid w:val="00605A5D"/>
    <w:rsid w:val="00607354"/>
    <w:rsid w:val="006073AC"/>
    <w:rsid w:val="006079E8"/>
    <w:rsid w:val="00610EC5"/>
    <w:rsid w:val="006129C4"/>
    <w:rsid w:val="0061445A"/>
    <w:rsid w:val="00614E7B"/>
    <w:rsid w:val="006155BE"/>
    <w:rsid w:val="00615DF9"/>
    <w:rsid w:val="006160AC"/>
    <w:rsid w:val="006178D9"/>
    <w:rsid w:val="006204FB"/>
    <w:rsid w:val="00621AEE"/>
    <w:rsid w:val="00622EBF"/>
    <w:rsid w:val="00624CCB"/>
    <w:rsid w:val="00627715"/>
    <w:rsid w:val="006309DA"/>
    <w:rsid w:val="00630E44"/>
    <w:rsid w:val="00630EF0"/>
    <w:rsid w:val="00632470"/>
    <w:rsid w:val="006329B9"/>
    <w:rsid w:val="00632AFC"/>
    <w:rsid w:val="00632CE5"/>
    <w:rsid w:val="0063460A"/>
    <w:rsid w:val="006348DA"/>
    <w:rsid w:val="00635B90"/>
    <w:rsid w:val="006362CD"/>
    <w:rsid w:val="00637C80"/>
    <w:rsid w:val="00640312"/>
    <w:rsid w:val="00640E88"/>
    <w:rsid w:val="006411A5"/>
    <w:rsid w:val="00641866"/>
    <w:rsid w:val="006422D1"/>
    <w:rsid w:val="006424EF"/>
    <w:rsid w:val="0064270E"/>
    <w:rsid w:val="00645F80"/>
    <w:rsid w:val="00645FB2"/>
    <w:rsid w:val="00646647"/>
    <w:rsid w:val="00647218"/>
    <w:rsid w:val="00647775"/>
    <w:rsid w:val="00647B2A"/>
    <w:rsid w:val="0065370C"/>
    <w:rsid w:val="00654FCF"/>
    <w:rsid w:val="00655E63"/>
    <w:rsid w:val="006570AD"/>
    <w:rsid w:val="00657394"/>
    <w:rsid w:val="006606B7"/>
    <w:rsid w:val="00662BC7"/>
    <w:rsid w:val="006639D2"/>
    <w:rsid w:val="006643CD"/>
    <w:rsid w:val="0066484F"/>
    <w:rsid w:val="0066495C"/>
    <w:rsid w:val="006668A3"/>
    <w:rsid w:val="0067145D"/>
    <w:rsid w:val="00672E17"/>
    <w:rsid w:val="00672E52"/>
    <w:rsid w:val="00672FCF"/>
    <w:rsid w:val="0067399D"/>
    <w:rsid w:val="0067471C"/>
    <w:rsid w:val="00675DCA"/>
    <w:rsid w:val="006760EA"/>
    <w:rsid w:val="006777B0"/>
    <w:rsid w:val="006778F7"/>
    <w:rsid w:val="00677917"/>
    <w:rsid w:val="006802D8"/>
    <w:rsid w:val="0068232F"/>
    <w:rsid w:val="00682721"/>
    <w:rsid w:val="00682BCD"/>
    <w:rsid w:val="00684592"/>
    <w:rsid w:val="00687831"/>
    <w:rsid w:val="00687ED7"/>
    <w:rsid w:val="0069033F"/>
    <w:rsid w:val="006913DE"/>
    <w:rsid w:val="00691473"/>
    <w:rsid w:val="0069148D"/>
    <w:rsid w:val="00692FF4"/>
    <w:rsid w:val="00694336"/>
    <w:rsid w:val="00695499"/>
    <w:rsid w:val="00696044"/>
    <w:rsid w:val="00697B53"/>
    <w:rsid w:val="006A2099"/>
    <w:rsid w:val="006A2FCB"/>
    <w:rsid w:val="006A449C"/>
    <w:rsid w:val="006A4EC8"/>
    <w:rsid w:val="006A5CB6"/>
    <w:rsid w:val="006A756D"/>
    <w:rsid w:val="006A75D9"/>
    <w:rsid w:val="006B022A"/>
    <w:rsid w:val="006B1E24"/>
    <w:rsid w:val="006B44BF"/>
    <w:rsid w:val="006B5F1F"/>
    <w:rsid w:val="006B631E"/>
    <w:rsid w:val="006B6FA0"/>
    <w:rsid w:val="006B7456"/>
    <w:rsid w:val="006B7D4F"/>
    <w:rsid w:val="006C0AEC"/>
    <w:rsid w:val="006C31FA"/>
    <w:rsid w:val="006C3235"/>
    <w:rsid w:val="006C38D4"/>
    <w:rsid w:val="006C460A"/>
    <w:rsid w:val="006C5C0F"/>
    <w:rsid w:val="006C772B"/>
    <w:rsid w:val="006C78F6"/>
    <w:rsid w:val="006C798A"/>
    <w:rsid w:val="006D4F11"/>
    <w:rsid w:val="006D515F"/>
    <w:rsid w:val="006D57CF"/>
    <w:rsid w:val="006D6545"/>
    <w:rsid w:val="006D6805"/>
    <w:rsid w:val="006D6F56"/>
    <w:rsid w:val="006D71DD"/>
    <w:rsid w:val="006D7E84"/>
    <w:rsid w:val="006E042C"/>
    <w:rsid w:val="006E1A49"/>
    <w:rsid w:val="006E5AF1"/>
    <w:rsid w:val="006E672C"/>
    <w:rsid w:val="006E7F33"/>
    <w:rsid w:val="006F055D"/>
    <w:rsid w:val="006F188C"/>
    <w:rsid w:val="006F1AD4"/>
    <w:rsid w:val="006F1DCB"/>
    <w:rsid w:val="006F2640"/>
    <w:rsid w:val="006F2AC1"/>
    <w:rsid w:val="006F2EA5"/>
    <w:rsid w:val="006F3577"/>
    <w:rsid w:val="006F35C0"/>
    <w:rsid w:val="006F3F76"/>
    <w:rsid w:val="006F440D"/>
    <w:rsid w:val="006F6435"/>
    <w:rsid w:val="006F64F7"/>
    <w:rsid w:val="00700FBD"/>
    <w:rsid w:val="007015F7"/>
    <w:rsid w:val="00702257"/>
    <w:rsid w:val="007033C6"/>
    <w:rsid w:val="0070398B"/>
    <w:rsid w:val="007049FC"/>
    <w:rsid w:val="00705463"/>
    <w:rsid w:val="00705E0B"/>
    <w:rsid w:val="007062F4"/>
    <w:rsid w:val="00706DD8"/>
    <w:rsid w:val="00707F0C"/>
    <w:rsid w:val="00710D1D"/>
    <w:rsid w:val="00710EF6"/>
    <w:rsid w:val="00711B2C"/>
    <w:rsid w:val="00712EB1"/>
    <w:rsid w:val="007139F3"/>
    <w:rsid w:val="007143A8"/>
    <w:rsid w:val="00715110"/>
    <w:rsid w:val="007159A1"/>
    <w:rsid w:val="0071690D"/>
    <w:rsid w:val="00717311"/>
    <w:rsid w:val="00720472"/>
    <w:rsid w:val="00720BA7"/>
    <w:rsid w:val="00721369"/>
    <w:rsid w:val="0072186C"/>
    <w:rsid w:val="00721DAF"/>
    <w:rsid w:val="00722583"/>
    <w:rsid w:val="00722724"/>
    <w:rsid w:val="00723CE4"/>
    <w:rsid w:val="00723CE5"/>
    <w:rsid w:val="00725C8B"/>
    <w:rsid w:val="00725FFD"/>
    <w:rsid w:val="007271EC"/>
    <w:rsid w:val="00730B7D"/>
    <w:rsid w:val="0073305A"/>
    <w:rsid w:val="007342E0"/>
    <w:rsid w:val="00734438"/>
    <w:rsid w:val="007344E4"/>
    <w:rsid w:val="00736D8E"/>
    <w:rsid w:val="007377E7"/>
    <w:rsid w:val="007379C1"/>
    <w:rsid w:val="0074064C"/>
    <w:rsid w:val="007419A1"/>
    <w:rsid w:val="00742B83"/>
    <w:rsid w:val="00743A46"/>
    <w:rsid w:val="0074486C"/>
    <w:rsid w:val="007453E8"/>
    <w:rsid w:val="00746D34"/>
    <w:rsid w:val="00751E97"/>
    <w:rsid w:val="007521DE"/>
    <w:rsid w:val="00752466"/>
    <w:rsid w:val="00752794"/>
    <w:rsid w:val="00753930"/>
    <w:rsid w:val="00754FA7"/>
    <w:rsid w:val="00755A09"/>
    <w:rsid w:val="00756267"/>
    <w:rsid w:val="00762330"/>
    <w:rsid w:val="007645E6"/>
    <w:rsid w:val="00765AEA"/>
    <w:rsid w:val="00767466"/>
    <w:rsid w:val="00770C5D"/>
    <w:rsid w:val="00771D1F"/>
    <w:rsid w:val="007731F9"/>
    <w:rsid w:val="0077359E"/>
    <w:rsid w:val="0077395B"/>
    <w:rsid w:val="00775035"/>
    <w:rsid w:val="007765BE"/>
    <w:rsid w:val="00780B4F"/>
    <w:rsid w:val="007832E9"/>
    <w:rsid w:val="007834B6"/>
    <w:rsid w:val="00784EFD"/>
    <w:rsid w:val="00785913"/>
    <w:rsid w:val="0078746D"/>
    <w:rsid w:val="00791646"/>
    <w:rsid w:val="00792CAB"/>
    <w:rsid w:val="00792E85"/>
    <w:rsid w:val="00793075"/>
    <w:rsid w:val="007945B4"/>
    <w:rsid w:val="00797BFF"/>
    <w:rsid w:val="007A0A05"/>
    <w:rsid w:val="007A1B56"/>
    <w:rsid w:val="007A2423"/>
    <w:rsid w:val="007A353D"/>
    <w:rsid w:val="007A3655"/>
    <w:rsid w:val="007A59E0"/>
    <w:rsid w:val="007A5DEE"/>
    <w:rsid w:val="007A7635"/>
    <w:rsid w:val="007B1422"/>
    <w:rsid w:val="007B1F2F"/>
    <w:rsid w:val="007B4862"/>
    <w:rsid w:val="007B49C2"/>
    <w:rsid w:val="007B719E"/>
    <w:rsid w:val="007C3C81"/>
    <w:rsid w:val="007C4B05"/>
    <w:rsid w:val="007C7B54"/>
    <w:rsid w:val="007D03D2"/>
    <w:rsid w:val="007D1ADF"/>
    <w:rsid w:val="007D1FB0"/>
    <w:rsid w:val="007D30D7"/>
    <w:rsid w:val="007D46BA"/>
    <w:rsid w:val="007D6102"/>
    <w:rsid w:val="007D7AD5"/>
    <w:rsid w:val="007E0484"/>
    <w:rsid w:val="007E0ABF"/>
    <w:rsid w:val="007E2B5E"/>
    <w:rsid w:val="007E2B7E"/>
    <w:rsid w:val="007E3074"/>
    <w:rsid w:val="007E35A0"/>
    <w:rsid w:val="007E4D8D"/>
    <w:rsid w:val="007E768E"/>
    <w:rsid w:val="007E774C"/>
    <w:rsid w:val="007F039D"/>
    <w:rsid w:val="007F1875"/>
    <w:rsid w:val="007F24A7"/>
    <w:rsid w:val="007F2DE9"/>
    <w:rsid w:val="007F626F"/>
    <w:rsid w:val="007F7AC2"/>
    <w:rsid w:val="00800195"/>
    <w:rsid w:val="00804448"/>
    <w:rsid w:val="008058C3"/>
    <w:rsid w:val="00805D62"/>
    <w:rsid w:val="00806BE7"/>
    <w:rsid w:val="00807210"/>
    <w:rsid w:val="00810E5C"/>
    <w:rsid w:val="00811EBD"/>
    <w:rsid w:val="00814026"/>
    <w:rsid w:val="00820578"/>
    <w:rsid w:val="00820930"/>
    <w:rsid w:val="00823398"/>
    <w:rsid w:val="00826CA4"/>
    <w:rsid w:val="00827897"/>
    <w:rsid w:val="00827EAD"/>
    <w:rsid w:val="00830163"/>
    <w:rsid w:val="00831F12"/>
    <w:rsid w:val="00831F9C"/>
    <w:rsid w:val="008351F2"/>
    <w:rsid w:val="00836DC4"/>
    <w:rsid w:val="00837174"/>
    <w:rsid w:val="00837508"/>
    <w:rsid w:val="00840B0A"/>
    <w:rsid w:val="00841A0A"/>
    <w:rsid w:val="0084292F"/>
    <w:rsid w:val="008466E3"/>
    <w:rsid w:val="00847A44"/>
    <w:rsid w:val="00850EC0"/>
    <w:rsid w:val="008514EB"/>
    <w:rsid w:val="00851F89"/>
    <w:rsid w:val="008526DD"/>
    <w:rsid w:val="00853FE6"/>
    <w:rsid w:val="0085757E"/>
    <w:rsid w:val="0085794F"/>
    <w:rsid w:val="00861E76"/>
    <w:rsid w:val="008624C7"/>
    <w:rsid w:val="00862B4C"/>
    <w:rsid w:val="008630FD"/>
    <w:rsid w:val="0086411E"/>
    <w:rsid w:val="008649D1"/>
    <w:rsid w:val="008654AE"/>
    <w:rsid w:val="00866DA7"/>
    <w:rsid w:val="008674CD"/>
    <w:rsid w:val="00876D70"/>
    <w:rsid w:val="00880798"/>
    <w:rsid w:val="00880D58"/>
    <w:rsid w:val="008819D4"/>
    <w:rsid w:val="00881E95"/>
    <w:rsid w:val="00883BE6"/>
    <w:rsid w:val="008845B0"/>
    <w:rsid w:val="008846ED"/>
    <w:rsid w:val="00885044"/>
    <w:rsid w:val="00885613"/>
    <w:rsid w:val="008869C4"/>
    <w:rsid w:val="0088717D"/>
    <w:rsid w:val="008878FC"/>
    <w:rsid w:val="00891A49"/>
    <w:rsid w:val="008945FF"/>
    <w:rsid w:val="00896120"/>
    <w:rsid w:val="00896867"/>
    <w:rsid w:val="00897D64"/>
    <w:rsid w:val="008A2477"/>
    <w:rsid w:val="008A28A2"/>
    <w:rsid w:val="008A49C0"/>
    <w:rsid w:val="008A4F7D"/>
    <w:rsid w:val="008A7463"/>
    <w:rsid w:val="008B0B59"/>
    <w:rsid w:val="008B1CA4"/>
    <w:rsid w:val="008B6BFF"/>
    <w:rsid w:val="008B7EDD"/>
    <w:rsid w:val="008C0184"/>
    <w:rsid w:val="008C0A62"/>
    <w:rsid w:val="008C10A9"/>
    <w:rsid w:val="008C2A77"/>
    <w:rsid w:val="008C4224"/>
    <w:rsid w:val="008C4542"/>
    <w:rsid w:val="008C5279"/>
    <w:rsid w:val="008C5747"/>
    <w:rsid w:val="008D0336"/>
    <w:rsid w:val="008D2B91"/>
    <w:rsid w:val="008D36FA"/>
    <w:rsid w:val="008D40A7"/>
    <w:rsid w:val="008D4549"/>
    <w:rsid w:val="008D487B"/>
    <w:rsid w:val="008D4BD5"/>
    <w:rsid w:val="008D5BE8"/>
    <w:rsid w:val="008D640A"/>
    <w:rsid w:val="008D6AA2"/>
    <w:rsid w:val="008D6FCD"/>
    <w:rsid w:val="008E0B8D"/>
    <w:rsid w:val="008E1610"/>
    <w:rsid w:val="008E271A"/>
    <w:rsid w:val="008E28DD"/>
    <w:rsid w:val="008E3E26"/>
    <w:rsid w:val="008E6739"/>
    <w:rsid w:val="008E7B9F"/>
    <w:rsid w:val="008F0684"/>
    <w:rsid w:val="008F2568"/>
    <w:rsid w:val="008F48F7"/>
    <w:rsid w:val="008F56AE"/>
    <w:rsid w:val="008F5A62"/>
    <w:rsid w:val="008F7BFD"/>
    <w:rsid w:val="00900E2E"/>
    <w:rsid w:val="00901C4C"/>
    <w:rsid w:val="00901E23"/>
    <w:rsid w:val="00904DC5"/>
    <w:rsid w:val="009066A7"/>
    <w:rsid w:val="0090792B"/>
    <w:rsid w:val="009104F3"/>
    <w:rsid w:val="00911C5E"/>
    <w:rsid w:val="009134D5"/>
    <w:rsid w:val="00913CDD"/>
    <w:rsid w:val="00914BF0"/>
    <w:rsid w:val="00914EFB"/>
    <w:rsid w:val="0091553F"/>
    <w:rsid w:val="00915CD9"/>
    <w:rsid w:val="00916C78"/>
    <w:rsid w:val="009174CA"/>
    <w:rsid w:val="00917A81"/>
    <w:rsid w:val="00920A48"/>
    <w:rsid w:val="009215E9"/>
    <w:rsid w:val="009237D0"/>
    <w:rsid w:val="0092512D"/>
    <w:rsid w:val="0092555F"/>
    <w:rsid w:val="00926466"/>
    <w:rsid w:val="00930E5C"/>
    <w:rsid w:val="00931CF3"/>
    <w:rsid w:val="00932D8E"/>
    <w:rsid w:val="0093415D"/>
    <w:rsid w:val="0093430C"/>
    <w:rsid w:val="00934E30"/>
    <w:rsid w:val="0093542A"/>
    <w:rsid w:val="00935C03"/>
    <w:rsid w:val="009364E3"/>
    <w:rsid w:val="009370FD"/>
    <w:rsid w:val="00937F8F"/>
    <w:rsid w:val="0094039C"/>
    <w:rsid w:val="0094095B"/>
    <w:rsid w:val="00941FF1"/>
    <w:rsid w:val="00943285"/>
    <w:rsid w:val="00944244"/>
    <w:rsid w:val="0094424A"/>
    <w:rsid w:val="00944A26"/>
    <w:rsid w:val="00946EEA"/>
    <w:rsid w:val="0095068B"/>
    <w:rsid w:val="009506F3"/>
    <w:rsid w:val="009515BA"/>
    <w:rsid w:val="00952060"/>
    <w:rsid w:val="009526DC"/>
    <w:rsid w:val="00952F99"/>
    <w:rsid w:val="00955C7A"/>
    <w:rsid w:val="00956F4B"/>
    <w:rsid w:val="009572D5"/>
    <w:rsid w:val="009624E4"/>
    <w:rsid w:val="00962652"/>
    <w:rsid w:val="0096282A"/>
    <w:rsid w:val="009653DD"/>
    <w:rsid w:val="0097115D"/>
    <w:rsid w:val="00973331"/>
    <w:rsid w:val="00973485"/>
    <w:rsid w:val="00973901"/>
    <w:rsid w:val="00973C75"/>
    <w:rsid w:val="009741F2"/>
    <w:rsid w:val="009744EE"/>
    <w:rsid w:val="00974A1D"/>
    <w:rsid w:val="009763F6"/>
    <w:rsid w:val="00977EDA"/>
    <w:rsid w:val="009805DB"/>
    <w:rsid w:val="00984854"/>
    <w:rsid w:val="00984D47"/>
    <w:rsid w:val="00984D9F"/>
    <w:rsid w:val="00985262"/>
    <w:rsid w:val="00985B1E"/>
    <w:rsid w:val="009861E0"/>
    <w:rsid w:val="00987BFD"/>
    <w:rsid w:val="00991056"/>
    <w:rsid w:val="0099211A"/>
    <w:rsid w:val="0099220A"/>
    <w:rsid w:val="009947E6"/>
    <w:rsid w:val="00995904"/>
    <w:rsid w:val="009971D3"/>
    <w:rsid w:val="0099735D"/>
    <w:rsid w:val="00997610"/>
    <w:rsid w:val="00997FD1"/>
    <w:rsid w:val="009A2D4D"/>
    <w:rsid w:val="009A4DF0"/>
    <w:rsid w:val="009B254B"/>
    <w:rsid w:val="009B29B7"/>
    <w:rsid w:val="009B2AB7"/>
    <w:rsid w:val="009B2F47"/>
    <w:rsid w:val="009B562F"/>
    <w:rsid w:val="009B6844"/>
    <w:rsid w:val="009B6E6B"/>
    <w:rsid w:val="009B6F41"/>
    <w:rsid w:val="009C1A89"/>
    <w:rsid w:val="009C2FAB"/>
    <w:rsid w:val="009C3350"/>
    <w:rsid w:val="009C3CC3"/>
    <w:rsid w:val="009C7857"/>
    <w:rsid w:val="009D1B9B"/>
    <w:rsid w:val="009D3C0D"/>
    <w:rsid w:val="009D4525"/>
    <w:rsid w:val="009D4F7D"/>
    <w:rsid w:val="009D55C9"/>
    <w:rsid w:val="009D6906"/>
    <w:rsid w:val="009D7EB5"/>
    <w:rsid w:val="009D7FCD"/>
    <w:rsid w:val="009E1720"/>
    <w:rsid w:val="009E1F66"/>
    <w:rsid w:val="009E28FF"/>
    <w:rsid w:val="009E2F43"/>
    <w:rsid w:val="009E40C9"/>
    <w:rsid w:val="009E6F38"/>
    <w:rsid w:val="009E7D7C"/>
    <w:rsid w:val="009F0847"/>
    <w:rsid w:val="009F11E8"/>
    <w:rsid w:val="009F13D0"/>
    <w:rsid w:val="009F25B4"/>
    <w:rsid w:val="009F4365"/>
    <w:rsid w:val="009F5980"/>
    <w:rsid w:val="009F5A22"/>
    <w:rsid w:val="009F731B"/>
    <w:rsid w:val="00A0031F"/>
    <w:rsid w:val="00A0114B"/>
    <w:rsid w:val="00A0228D"/>
    <w:rsid w:val="00A056D2"/>
    <w:rsid w:val="00A07ECF"/>
    <w:rsid w:val="00A12DFF"/>
    <w:rsid w:val="00A17255"/>
    <w:rsid w:val="00A17D91"/>
    <w:rsid w:val="00A2041A"/>
    <w:rsid w:val="00A20586"/>
    <w:rsid w:val="00A20DE3"/>
    <w:rsid w:val="00A223C6"/>
    <w:rsid w:val="00A22AC0"/>
    <w:rsid w:val="00A23DCC"/>
    <w:rsid w:val="00A24E47"/>
    <w:rsid w:val="00A265CF"/>
    <w:rsid w:val="00A311B6"/>
    <w:rsid w:val="00A31C25"/>
    <w:rsid w:val="00A34781"/>
    <w:rsid w:val="00A34E1A"/>
    <w:rsid w:val="00A36052"/>
    <w:rsid w:val="00A37AF2"/>
    <w:rsid w:val="00A40512"/>
    <w:rsid w:val="00A4191F"/>
    <w:rsid w:val="00A41DA1"/>
    <w:rsid w:val="00A420F5"/>
    <w:rsid w:val="00A42536"/>
    <w:rsid w:val="00A436ED"/>
    <w:rsid w:val="00A470DF"/>
    <w:rsid w:val="00A50229"/>
    <w:rsid w:val="00A50CF3"/>
    <w:rsid w:val="00A52319"/>
    <w:rsid w:val="00A52385"/>
    <w:rsid w:val="00A52A50"/>
    <w:rsid w:val="00A530DE"/>
    <w:rsid w:val="00A546F3"/>
    <w:rsid w:val="00A552F7"/>
    <w:rsid w:val="00A55C47"/>
    <w:rsid w:val="00A571B1"/>
    <w:rsid w:val="00A571DA"/>
    <w:rsid w:val="00A57639"/>
    <w:rsid w:val="00A60B74"/>
    <w:rsid w:val="00A613F6"/>
    <w:rsid w:val="00A615A1"/>
    <w:rsid w:val="00A617C1"/>
    <w:rsid w:val="00A61BE1"/>
    <w:rsid w:val="00A62309"/>
    <w:rsid w:val="00A62A2B"/>
    <w:rsid w:val="00A62A52"/>
    <w:rsid w:val="00A62EEE"/>
    <w:rsid w:val="00A63429"/>
    <w:rsid w:val="00A639D8"/>
    <w:rsid w:val="00A63FF9"/>
    <w:rsid w:val="00A64E96"/>
    <w:rsid w:val="00A65827"/>
    <w:rsid w:val="00A65F05"/>
    <w:rsid w:val="00A669EE"/>
    <w:rsid w:val="00A66C95"/>
    <w:rsid w:val="00A67AF5"/>
    <w:rsid w:val="00A67E94"/>
    <w:rsid w:val="00A70351"/>
    <w:rsid w:val="00A703B2"/>
    <w:rsid w:val="00A70569"/>
    <w:rsid w:val="00A71628"/>
    <w:rsid w:val="00A7162F"/>
    <w:rsid w:val="00A748B3"/>
    <w:rsid w:val="00A7678B"/>
    <w:rsid w:val="00A81496"/>
    <w:rsid w:val="00A82156"/>
    <w:rsid w:val="00A82AD7"/>
    <w:rsid w:val="00A83A0A"/>
    <w:rsid w:val="00A8480C"/>
    <w:rsid w:val="00A85FC3"/>
    <w:rsid w:val="00A90509"/>
    <w:rsid w:val="00A9058D"/>
    <w:rsid w:val="00A918DE"/>
    <w:rsid w:val="00A927BD"/>
    <w:rsid w:val="00A92F14"/>
    <w:rsid w:val="00A93466"/>
    <w:rsid w:val="00A95938"/>
    <w:rsid w:val="00A95E9A"/>
    <w:rsid w:val="00A968B6"/>
    <w:rsid w:val="00AA35A8"/>
    <w:rsid w:val="00AA5E61"/>
    <w:rsid w:val="00AA6E3D"/>
    <w:rsid w:val="00AB030D"/>
    <w:rsid w:val="00AB09C5"/>
    <w:rsid w:val="00AB11B2"/>
    <w:rsid w:val="00AB240E"/>
    <w:rsid w:val="00AB34AB"/>
    <w:rsid w:val="00AB44C2"/>
    <w:rsid w:val="00AB5554"/>
    <w:rsid w:val="00AB57CC"/>
    <w:rsid w:val="00AB6FF3"/>
    <w:rsid w:val="00AB7637"/>
    <w:rsid w:val="00AC0FDB"/>
    <w:rsid w:val="00AC18B3"/>
    <w:rsid w:val="00AC5B53"/>
    <w:rsid w:val="00AC5BC7"/>
    <w:rsid w:val="00AC5DF3"/>
    <w:rsid w:val="00AC5E52"/>
    <w:rsid w:val="00AC654A"/>
    <w:rsid w:val="00AC7055"/>
    <w:rsid w:val="00AC738D"/>
    <w:rsid w:val="00AC7758"/>
    <w:rsid w:val="00AC7B7D"/>
    <w:rsid w:val="00AC7EE4"/>
    <w:rsid w:val="00AD2FB0"/>
    <w:rsid w:val="00AD3B37"/>
    <w:rsid w:val="00AD4212"/>
    <w:rsid w:val="00AD6C22"/>
    <w:rsid w:val="00AE08FF"/>
    <w:rsid w:val="00AE0A1A"/>
    <w:rsid w:val="00AE0CB6"/>
    <w:rsid w:val="00AE0E67"/>
    <w:rsid w:val="00AE0EB1"/>
    <w:rsid w:val="00AE10BD"/>
    <w:rsid w:val="00AE16E7"/>
    <w:rsid w:val="00AE1D88"/>
    <w:rsid w:val="00AE2D33"/>
    <w:rsid w:val="00AE3D49"/>
    <w:rsid w:val="00AE5F19"/>
    <w:rsid w:val="00AE5F96"/>
    <w:rsid w:val="00AE6333"/>
    <w:rsid w:val="00AE79CB"/>
    <w:rsid w:val="00AE7E4B"/>
    <w:rsid w:val="00AE7EE0"/>
    <w:rsid w:val="00AF00AB"/>
    <w:rsid w:val="00AF01A9"/>
    <w:rsid w:val="00AF07E1"/>
    <w:rsid w:val="00AF30E0"/>
    <w:rsid w:val="00AF4063"/>
    <w:rsid w:val="00AF541C"/>
    <w:rsid w:val="00AF5FB6"/>
    <w:rsid w:val="00AF6057"/>
    <w:rsid w:val="00AF6297"/>
    <w:rsid w:val="00B000E1"/>
    <w:rsid w:val="00B0261C"/>
    <w:rsid w:val="00B03407"/>
    <w:rsid w:val="00B04C2B"/>
    <w:rsid w:val="00B0613A"/>
    <w:rsid w:val="00B06238"/>
    <w:rsid w:val="00B07322"/>
    <w:rsid w:val="00B07A4D"/>
    <w:rsid w:val="00B11B70"/>
    <w:rsid w:val="00B11D42"/>
    <w:rsid w:val="00B12226"/>
    <w:rsid w:val="00B14AAA"/>
    <w:rsid w:val="00B1572C"/>
    <w:rsid w:val="00B1605D"/>
    <w:rsid w:val="00B171F3"/>
    <w:rsid w:val="00B2128F"/>
    <w:rsid w:val="00B25883"/>
    <w:rsid w:val="00B263D3"/>
    <w:rsid w:val="00B27AC0"/>
    <w:rsid w:val="00B315C9"/>
    <w:rsid w:val="00B31E1B"/>
    <w:rsid w:val="00B32262"/>
    <w:rsid w:val="00B33AE7"/>
    <w:rsid w:val="00B34D43"/>
    <w:rsid w:val="00B356D4"/>
    <w:rsid w:val="00B35B9E"/>
    <w:rsid w:val="00B35CF5"/>
    <w:rsid w:val="00B361F0"/>
    <w:rsid w:val="00B36E47"/>
    <w:rsid w:val="00B36EBB"/>
    <w:rsid w:val="00B37290"/>
    <w:rsid w:val="00B4259A"/>
    <w:rsid w:val="00B43712"/>
    <w:rsid w:val="00B43CAD"/>
    <w:rsid w:val="00B44D1D"/>
    <w:rsid w:val="00B44F3C"/>
    <w:rsid w:val="00B451DC"/>
    <w:rsid w:val="00B4553C"/>
    <w:rsid w:val="00B46848"/>
    <w:rsid w:val="00B5117D"/>
    <w:rsid w:val="00B51EA6"/>
    <w:rsid w:val="00B554DD"/>
    <w:rsid w:val="00B55B1D"/>
    <w:rsid w:val="00B56F50"/>
    <w:rsid w:val="00B579C6"/>
    <w:rsid w:val="00B6004B"/>
    <w:rsid w:val="00B62167"/>
    <w:rsid w:val="00B6429A"/>
    <w:rsid w:val="00B6448C"/>
    <w:rsid w:val="00B6487F"/>
    <w:rsid w:val="00B6513E"/>
    <w:rsid w:val="00B6571B"/>
    <w:rsid w:val="00B6620B"/>
    <w:rsid w:val="00B66584"/>
    <w:rsid w:val="00B67504"/>
    <w:rsid w:val="00B71270"/>
    <w:rsid w:val="00B723FD"/>
    <w:rsid w:val="00B725A4"/>
    <w:rsid w:val="00B726E9"/>
    <w:rsid w:val="00B72F78"/>
    <w:rsid w:val="00B76217"/>
    <w:rsid w:val="00B76E4A"/>
    <w:rsid w:val="00B82528"/>
    <w:rsid w:val="00B825B4"/>
    <w:rsid w:val="00B82D99"/>
    <w:rsid w:val="00B83808"/>
    <w:rsid w:val="00B8495C"/>
    <w:rsid w:val="00B85589"/>
    <w:rsid w:val="00B86612"/>
    <w:rsid w:val="00B86E61"/>
    <w:rsid w:val="00B90DAB"/>
    <w:rsid w:val="00B91FB3"/>
    <w:rsid w:val="00B95100"/>
    <w:rsid w:val="00B96838"/>
    <w:rsid w:val="00BA0BA0"/>
    <w:rsid w:val="00BA0C64"/>
    <w:rsid w:val="00BA142F"/>
    <w:rsid w:val="00BA34B9"/>
    <w:rsid w:val="00BB024E"/>
    <w:rsid w:val="00BB2033"/>
    <w:rsid w:val="00BB2F82"/>
    <w:rsid w:val="00BB3BC7"/>
    <w:rsid w:val="00BB42E0"/>
    <w:rsid w:val="00BB4462"/>
    <w:rsid w:val="00BB46F2"/>
    <w:rsid w:val="00BB570C"/>
    <w:rsid w:val="00BC025B"/>
    <w:rsid w:val="00BC06A0"/>
    <w:rsid w:val="00BC1A8D"/>
    <w:rsid w:val="00BC1F6F"/>
    <w:rsid w:val="00BC6744"/>
    <w:rsid w:val="00BC6874"/>
    <w:rsid w:val="00BC6D98"/>
    <w:rsid w:val="00BD0A31"/>
    <w:rsid w:val="00BD130E"/>
    <w:rsid w:val="00BD19B2"/>
    <w:rsid w:val="00BD1D02"/>
    <w:rsid w:val="00BD3452"/>
    <w:rsid w:val="00BD5269"/>
    <w:rsid w:val="00BD601B"/>
    <w:rsid w:val="00BD6FA6"/>
    <w:rsid w:val="00BD76F3"/>
    <w:rsid w:val="00BD7BCB"/>
    <w:rsid w:val="00BE046B"/>
    <w:rsid w:val="00BE0EAB"/>
    <w:rsid w:val="00BE1167"/>
    <w:rsid w:val="00BE1E7E"/>
    <w:rsid w:val="00BE2611"/>
    <w:rsid w:val="00BE37AD"/>
    <w:rsid w:val="00BE37E5"/>
    <w:rsid w:val="00BE3BB3"/>
    <w:rsid w:val="00BE464F"/>
    <w:rsid w:val="00BE53CA"/>
    <w:rsid w:val="00BE5EF7"/>
    <w:rsid w:val="00BE5F01"/>
    <w:rsid w:val="00BE6001"/>
    <w:rsid w:val="00BE624B"/>
    <w:rsid w:val="00BF0C27"/>
    <w:rsid w:val="00BF2398"/>
    <w:rsid w:val="00BF34E1"/>
    <w:rsid w:val="00BF3DE4"/>
    <w:rsid w:val="00BF41DA"/>
    <w:rsid w:val="00BF6DB1"/>
    <w:rsid w:val="00C00FD7"/>
    <w:rsid w:val="00C01C93"/>
    <w:rsid w:val="00C01D58"/>
    <w:rsid w:val="00C01E20"/>
    <w:rsid w:val="00C01E46"/>
    <w:rsid w:val="00C0304E"/>
    <w:rsid w:val="00C03F10"/>
    <w:rsid w:val="00C04D6F"/>
    <w:rsid w:val="00C0640D"/>
    <w:rsid w:val="00C06576"/>
    <w:rsid w:val="00C06591"/>
    <w:rsid w:val="00C074A2"/>
    <w:rsid w:val="00C12C58"/>
    <w:rsid w:val="00C1463E"/>
    <w:rsid w:val="00C14EC9"/>
    <w:rsid w:val="00C1684A"/>
    <w:rsid w:val="00C17DEB"/>
    <w:rsid w:val="00C21EB8"/>
    <w:rsid w:val="00C23EB9"/>
    <w:rsid w:val="00C24F8F"/>
    <w:rsid w:val="00C2781E"/>
    <w:rsid w:val="00C279BC"/>
    <w:rsid w:val="00C33BE2"/>
    <w:rsid w:val="00C33C1C"/>
    <w:rsid w:val="00C3400A"/>
    <w:rsid w:val="00C35792"/>
    <w:rsid w:val="00C37D1F"/>
    <w:rsid w:val="00C419D2"/>
    <w:rsid w:val="00C42017"/>
    <w:rsid w:val="00C42E53"/>
    <w:rsid w:val="00C45B87"/>
    <w:rsid w:val="00C46AB2"/>
    <w:rsid w:val="00C503AC"/>
    <w:rsid w:val="00C504AE"/>
    <w:rsid w:val="00C50906"/>
    <w:rsid w:val="00C51545"/>
    <w:rsid w:val="00C544DA"/>
    <w:rsid w:val="00C56040"/>
    <w:rsid w:val="00C5690B"/>
    <w:rsid w:val="00C56D94"/>
    <w:rsid w:val="00C57D38"/>
    <w:rsid w:val="00C62150"/>
    <w:rsid w:val="00C6220D"/>
    <w:rsid w:val="00C62667"/>
    <w:rsid w:val="00C63311"/>
    <w:rsid w:val="00C65B51"/>
    <w:rsid w:val="00C6605A"/>
    <w:rsid w:val="00C7012D"/>
    <w:rsid w:val="00C734F9"/>
    <w:rsid w:val="00C73AE2"/>
    <w:rsid w:val="00C7485C"/>
    <w:rsid w:val="00C75450"/>
    <w:rsid w:val="00C776C2"/>
    <w:rsid w:val="00C809F7"/>
    <w:rsid w:val="00C85A37"/>
    <w:rsid w:val="00C86233"/>
    <w:rsid w:val="00C8682B"/>
    <w:rsid w:val="00C875E1"/>
    <w:rsid w:val="00C87EC8"/>
    <w:rsid w:val="00C9019C"/>
    <w:rsid w:val="00C97C52"/>
    <w:rsid w:val="00CA01E3"/>
    <w:rsid w:val="00CA02B0"/>
    <w:rsid w:val="00CA357E"/>
    <w:rsid w:val="00CA377F"/>
    <w:rsid w:val="00CA4FA0"/>
    <w:rsid w:val="00CA5479"/>
    <w:rsid w:val="00CA65DE"/>
    <w:rsid w:val="00CA7468"/>
    <w:rsid w:val="00CA798A"/>
    <w:rsid w:val="00CA7B9F"/>
    <w:rsid w:val="00CA7DF3"/>
    <w:rsid w:val="00CA7F07"/>
    <w:rsid w:val="00CB0310"/>
    <w:rsid w:val="00CB09D1"/>
    <w:rsid w:val="00CB0A82"/>
    <w:rsid w:val="00CB237E"/>
    <w:rsid w:val="00CB2B83"/>
    <w:rsid w:val="00CB4C4E"/>
    <w:rsid w:val="00CB6D9D"/>
    <w:rsid w:val="00CC1ADB"/>
    <w:rsid w:val="00CC2A3D"/>
    <w:rsid w:val="00CC3C93"/>
    <w:rsid w:val="00CC6FA7"/>
    <w:rsid w:val="00CC758C"/>
    <w:rsid w:val="00CD115A"/>
    <w:rsid w:val="00CD158C"/>
    <w:rsid w:val="00CD193E"/>
    <w:rsid w:val="00CD20B3"/>
    <w:rsid w:val="00CD28AE"/>
    <w:rsid w:val="00CD3509"/>
    <w:rsid w:val="00CD4255"/>
    <w:rsid w:val="00CD6DA4"/>
    <w:rsid w:val="00CD7E86"/>
    <w:rsid w:val="00CE1560"/>
    <w:rsid w:val="00CE2660"/>
    <w:rsid w:val="00CE45D3"/>
    <w:rsid w:val="00CE60EB"/>
    <w:rsid w:val="00CE685A"/>
    <w:rsid w:val="00CE7237"/>
    <w:rsid w:val="00CF0876"/>
    <w:rsid w:val="00CF0E4C"/>
    <w:rsid w:val="00CF1AAF"/>
    <w:rsid w:val="00CF1D3D"/>
    <w:rsid w:val="00CF256A"/>
    <w:rsid w:val="00CF34E6"/>
    <w:rsid w:val="00CF3BE8"/>
    <w:rsid w:val="00CF3F9F"/>
    <w:rsid w:val="00CF41B3"/>
    <w:rsid w:val="00CF4D5E"/>
    <w:rsid w:val="00CF531B"/>
    <w:rsid w:val="00CF6355"/>
    <w:rsid w:val="00CF6794"/>
    <w:rsid w:val="00D014A9"/>
    <w:rsid w:val="00D02384"/>
    <w:rsid w:val="00D037C4"/>
    <w:rsid w:val="00D050DE"/>
    <w:rsid w:val="00D05358"/>
    <w:rsid w:val="00D07049"/>
    <w:rsid w:val="00D07500"/>
    <w:rsid w:val="00D10712"/>
    <w:rsid w:val="00D10CDF"/>
    <w:rsid w:val="00D12188"/>
    <w:rsid w:val="00D125AE"/>
    <w:rsid w:val="00D1291A"/>
    <w:rsid w:val="00D12BF9"/>
    <w:rsid w:val="00D13E39"/>
    <w:rsid w:val="00D144EF"/>
    <w:rsid w:val="00D145F5"/>
    <w:rsid w:val="00D146BC"/>
    <w:rsid w:val="00D16DDF"/>
    <w:rsid w:val="00D1739C"/>
    <w:rsid w:val="00D220E4"/>
    <w:rsid w:val="00D252C3"/>
    <w:rsid w:val="00D26630"/>
    <w:rsid w:val="00D26741"/>
    <w:rsid w:val="00D271EB"/>
    <w:rsid w:val="00D27641"/>
    <w:rsid w:val="00D311AB"/>
    <w:rsid w:val="00D319C1"/>
    <w:rsid w:val="00D34BED"/>
    <w:rsid w:val="00D40691"/>
    <w:rsid w:val="00D409E6"/>
    <w:rsid w:val="00D413EF"/>
    <w:rsid w:val="00D41A5C"/>
    <w:rsid w:val="00D421C8"/>
    <w:rsid w:val="00D42FFE"/>
    <w:rsid w:val="00D433EF"/>
    <w:rsid w:val="00D452B9"/>
    <w:rsid w:val="00D455D8"/>
    <w:rsid w:val="00D46100"/>
    <w:rsid w:val="00D513D0"/>
    <w:rsid w:val="00D529A1"/>
    <w:rsid w:val="00D558ED"/>
    <w:rsid w:val="00D576A0"/>
    <w:rsid w:val="00D60F51"/>
    <w:rsid w:val="00D61758"/>
    <w:rsid w:val="00D618FB"/>
    <w:rsid w:val="00D63C39"/>
    <w:rsid w:val="00D6474B"/>
    <w:rsid w:val="00D65BE8"/>
    <w:rsid w:val="00D663CB"/>
    <w:rsid w:val="00D664C2"/>
    <w:rsid w:val="00D66518"/>
    <w:rsid w:val="00D70368"/>
    <w:rsid w:val="00D72636"/>
    <w:rsid w:val="00D743CC"/>
    <w:rsid w:val="00D74BA9"/>
    <w:rsid w:val="00D75E26"/>
    <w:rsid w:val="00D762F4"/>
    <w:rsid w:val="00D80620"/>
    <w:rsid w:val="00D82955"/>
    <w:rsid w:val="00D8307C"/>
    <w:rsid w:val="00D83641"/>
    <w:rsid w:val="00D844A1"/>
    <w:rsid w:val="00D86B70"/>
    <w:rsid w:val="00D87A14"/>
    <w:rsid w:val="00D90DA0"/>
    <w:rsid w:val="00D90DD0"/>
    <w:rsid w:val="00D92B91"/>
    <w:rsid w:val="00D9356E"/>
    <w:rsid w:val="00D937D4"/>
    <w:rsid w:val="00D946BC"/>
    <w:rsid w:val="00D96478"/>
    <w:rsid w:val="00D9680F"/>
    <w:rsid w:val="00D96965"/>
    <w:rsid w:val="00D97E89"/>
    <w:rsid w:val="00DA060C"/>
    <w:rsid w:val="00DA1160"/>
    <w:rsid w:val="00DA2E9A"/>
    <w:rsid w:val="00DA47BC"/>
    <w:rsid w:val="00DA56A0"/>
    <w:rsid w:val="00DA779A"/>
    <w:rsid w:val="00DA7865"/>
    <w:rsid w:val="00DB092E"/>
    <w:rsid w:val="00DB324F"/>
    <w:rsid w:val="00DB5FAB"/>
    <w:rsid w:val="00DB6545"/>
    <w:rsid w:val="00DB7149"/>
    <w:rsid w:val="00DB7F6F"/>
    <w:rsid w:val="00DC0701"/>
    <w:rsid w:val="00DC09F2"/>
    <w:rsid w:val="00DC14D4"/>
    <w:rsid w:val="00DC29CF"/>
    <w:rsid w:val="00DC5E5E"/>
    <w:rsid w:val="00DC63F4"/>
    <w:rsid w:val="00DD0036"/>
    <w:rsid w:val="00DD0063"/>
    <w:rsid w:val="00DD05B5"/>
    <w:rsid w:val="00DD191A"/>
    <w:rsid w:val="00DD2117"/>
    <w:rsid w:val="00DD33A6"/>
    <w:rsid w:val="00DD3CE4"/>
    <w:rsid w:val="00DD4AAF"/>
    <w:rsid w:val="00DD547F"/>
    <w:rsid w:val="00DE006A"/>
    <w:rsid w:val="00DE1271"/>
    <w:rsid w:val="00DE2665"/>
    <w:rsid w:val="00DE482E"/>
    <w:rsid w:val="00DE4BA0"/>
    <w:rsid w:val="00DE5899"/>
    <w:rsid w:val="00DE5900"/>
    <w:rsid w:val="00DE6B58"/>
    <w:rsid w:val="00DE7BC1"/>
    <w:rsid w:val="00DF07EF"/>
    <w:rsid w:val="00DF0D8A"/>
    <w:rsid w:val="00DF1349"/>
    <w:rsid w:val="00DF2D40"/>
    <w:rsid w:val="00DF327A"/>
    <w:rsid w:val="00DF3EF4"/>
    <w:rsid w:val="00DF456A"/>
    <w:rsid w:val="00DF6006"/>
    <w:rsid w:val="00DF6524"/>
    <w:rsid w:val="00DF70B2"/>
    <w:rsid w:val="00E029F3"/>
    <w:rsid w:val="00E02DC4"/>
    <w:rsid w:val="00E03B72"/>
    <w:rsid w:val="00E03E1B"/>
    <w:rsid w:val="00E04B8F"/>
    <w:rsid w:val="00E07364"/>
    <w:rsid w:val="00E077B2"/>
    <w:rsid w:val="00E1026E"/>
    <w:rsid w:val="00E120E8"/>
    <w:rsid w:val="00E14CA4"/>
    <w:rsid w:val="00E14FEC"/>
    <w:rsid w:val="00E158E3"/>
    <w:rsid w:val="00E15C73"/>
    <w:rsid w:val="00E15F03"/>
    <w:rsid w:val="00E16AA1"/>
    <w:rsid w:val="00E17478"/>
    <w:rsid w:val="00E17B67"/>
    <w:rsid w:val="00E2212D"/>
    <w:rsid w:val="00E235A9"/>
    <w:rsid w:val="00E2477D"/>
    <w:rsid w:val="00E26016"/>
    <w:rsid w:val="00E30A18"/>
    <w:rsid w:val="00E312ED"/>
    <w:rsid w:val="00E33521"/>
    <w:rsid w:val="00E3464C"/>
    <w:rsid w:val="00E360DE"/>
    <w:rsid w:val="00E37AC9"/>
    <w:rsid w:val="00E40B76"/>
    <w:rsid w:val="00E41BB6"/>
    <w:rsid w:val="00E42CA1"/>
    <w:rsid w:val="00E433D2"/>
    <w:rsid w:val="00E43B2D"/>
    <w:rsid w:val="00E44151"/>
    <w:rsid w:val="00E47292"/>
    <w:rsid w:val="00E51726"/>
    <w:rsid w:val="00E53D36"/>
    <w:rsid w:val="00E55665"/>
    <w:rsid w:val="00E55E00"/>
    <w:rsid w:val="00E56053"/>
    <w:rsid w:val="00E62C54"/>
    <w:rsid w:val="00E647C1"/>
    <w:rsid w:val="00E64DC0"/>
    <w:rsid w:val="00E65FEE"/>
    <w:rsid w:val="00E721D2"/>
    <w:rsid w:val="00E7325C"/>
    <w:rsid w:val="00E7400C"/>
    <w:rsid w:val="00E742BB"/>
    <w:rsid w:val="00E74833"/>
    <w:rsid w:val="00E77B47"/>
    <w:rsid w:val="00E800F3"/>
    <w:rsid w:val="00E80505"/>
    <w:rsid w:val="00E83633"/>
    <w:rsid w:val="00E83B09"/>
    <w:rsid w:val="00E8415A"/>
    <w:rsid w:val="00E84425"/>
    <w:rsid w:val="00E8623F"/>
    <w:rsid w:val="00E862C8"/>
    <w:rsid w:val="00E87CA5"/>
    <w:rsid w:val="00E87F78"/>
    <w:rsid w:val="00E925FF"/>
    <w:rsid w:val="00E952FA"/>
    <w:rsid w:val="00E954A2"/>
    <w:rsid w:val="00E9587D"/>
    <w:rsid w:val="00E9632A"/>
    <w:rsid w:val="00E96CEF"/>
    <w:rsid w:val="00E975C1"/>
    <w:rsid w:val="00EA3D64"/>
    <w:rsid w:val="00EA3E12"/>
    <w:rsid w:val="00EA45E0"/>
    <w:rsid w:val="00EA508B"/>
    <w:rsid w:val="00EA6A51"/>
    <w:rsid w:val="00EA6E2D"/>
    <w:rsid w:val="00EB2992"/>
    <w:rsid w:val="00EB306B"/>
    <w:rsid w:val="00EB422B"/>
    <w:rsid w:val="00EB48F1"/>
    <w:rsid w:val="00EB4BB1"/>
    <w:rsid w:val="00EB6182"/>
    <w:rsid w:val="00EB6DD0"/>
    <w:rsid w:val="00EC0296"/>
    <w:rsid w:val="00EC0B31"/>
    <w:rsid w:val="00EC230A"/>
    <w:rsid w:val="00EC27E9"/>
    <w:rsid w:val="00EC334D"/>
    <w:rsid w:val="00EC3DC2"/>
    <w:rsid w:val="00EC47F6"/>
    <w:rsid w:val="00EC5941"/>
    <w:rsid w:val="00EC5C26"/>
    <w:rsid w:val="00EC6130"/>
    <w:rsid w:val="00EC62AF"/>
    <w:rsid w:val="00EC7FD9"/>
    <w:rsid w:val="00ED0CB6"/>
    <w:rsid w:val="00ED2992"/>
    <w:rsid w:val="00ED3B35"/>
    <w:rsid w:val="00ED479D"/>
    <w:rsid w:val="00ED6706"/>
    <w:rsid w:val="00ED6A73"/>
    <w:rsid w:val="00ED6F26"/>
    <w:rsid w:val="00ED73F5"/>
    <w:rsid w:val="00ED7B10"/>
    <w:rsid w:val="00EE054F"/>
    <w:rsid w:val="00EE0780"/>
    <w:rsid w:val="00EE1D00"/>
    <w:rsid w:val="00EE2218"/>
    <w:rsid w:val="00EE2495"/>
    <w:rsid w:val="00EE4087"/>
    <w:rsid w:val="00EE4436"/>
    <w:rsid w:val="00EE445F"/>
    <w:rsid w:val="00EE52E0"/>
    <w:rsid w:val="00EE72BF"/>
    <w:rsid w:val="00EF07A5"/>
    <w:rsid w:val="00EF3152"/>
    <w:rsid w:val="00EF36A3"/>
    <w:rsid w:val="00EF557D"/>
    <w:rsid w:val="00EF77C5"/>
    <w:rsid w:val="00F03520"/>
    <w:rsid w:val="00F066F7"/>
    <w:rsid w:val="00F077B2"/>
    <w:rsid w:val="00F10B72"/>
    <w:rsid w:val="00F11CC4"/>
    <w:rsid w:val="00F12D11"/>
    <w:rsid w:val="00F138A7"/>
    <w:rsid w:val="00F15D9E"/>
    <w:rsid w:val="00F16385"/>
    <w:rsid w:val="00F16389"/>
    <w:rsid w:val="00F1707E"/>
    <w:rsid w:val="00F22E7F"/>
    <w:rsid w:val="00F23F54"/>
    <w:rsid w:val="00F27039"/>
    <w:rsid w:val="00F270BF"/>
    <w:rsid w:val="00F27838"/>
    <w:rsid w:val="00F30183"/>
    <w:rsid w:val="00F30476"/>
    <w:rsid w:val="00F305F6"/>
    <w:rsid w:val="00F308BF"/>
    <w:rsid w:val="00F312EC"/>
    <w:rsid w:val="00F3258B"/>
    <w:rsid w:val="00F339AD"/>
    <w:rsid w:val="00F33B87"/>
    <w:rsid w:val="00F34287"/>
    <w:rsid w:val="00F342E2"/>
    <w:rsid w:val="00F34E55"/>
    <w:rsid w:val="00F359B5"/>
    <w:rsid w:val="00F36FC9"/>
    <w:rsid w:val="00F401A8"/>
    <w:rsid w:val="00F42AB2"/>
    <w:rsid w:val="00F45B9C"/>
    <w:rsid w:val="00F45E3C"/>
    <w:rsid w:val="00F54902"/>
    <w:rsid w:val="00F5525A"/>
    <w:rsid w:val="00F553A1"/>
    <w:rsid w:val="00F553C7"/>
    <w:rsid w:val="00F56ECA"/>
    <w:rsid w:val="00F5745A"/>
    <w:rsid w:val="00F57E8C"/>
    <w:rsid w:val="00F60845"/>
    <w:rsid w:val="00F63369"/>
    <w:rsid w:val="00F63899"/>
    <w:rsid w:val="00F671A8"/>
    <w:rsid w:val="00F67BE5"/>
    <w:rsid w:val="00F71906"/>
    <w:rsid w:val="00F71E6B"/>
    <w:rsid w:val="00F71FD3"/>
    <w:rsid w:val="00F7274D"/>
    <w:rsid w:val="00F756D0"/>
    <w:rsid w:val="00F75DD7"/>
    <w:rsid w:val="00F80393"/>
    <w:rsid w:val="00F80CE2"/>
    <w:rsid w:val="00F81C99"/>
    <w:rsid w:val="00F82801"/>
    <w:rsid w:val="00F82B3C"/>
    <w:rsid w:val="00F83133"/>
    <w:rsid w:val="00F8471E"/>
    <w:rsid w:val="00F85E74"/>
    <w:rsid w:val="00F87FCC"/>
    <w:rsid w:val="00F903D1"/>
    <w:rsid w:val="00F90A03"/>
    <w:rsid w:val="00F90D66"/>
    <w:rsid w:val="00F9207A"/>
    <w:rsid w:val="00F935B4"/>
    <w:rsid w:val="00F93D44"/>
    <w:rsid w:val="00F95C0E"/>
    <w:rsid w:val="00F968CA"/>
    <w:rsid w:val="00F96BBB"/>
    <w:rsid w:val="00F96E6A"/>
    <w:rsid w:val="00FA0E64"/>
    <w:rsid w:val="00FA6E0E"/>
    <w:rsid w:val="00FA79BA"/>
    <w:rsid w:val="00FB166C"/>
    <w:rsid w:val="00FB50B2"/>
    <w:rsid w:val="00FB523B"/>
    <w:rsid w:val="00FB6FA7"/>
    <w:rsid w:val="00FB7196"/>
    <w:rsid w:val="00FC22E5"/>
    <w:rsid w:val="00FC2EC6"/>
    <w:rsid w:val="00FC3954"/>
    <w:rsid w:val="00FC4B39"/>
    <w:rsid w:val="00FC4E57"/>
    <w:rsid w:val="00FC53DC"/>
    <w:rsid w:val="00FC55B7"/>
    <w:rsid w:val="00FC5FD6"/>
    <w:rsid w:val="00FC723A"/>
    <w:rsid w:val="00FD110D"/>
    <w:rsid w:val="00FD14EB"/>
    <w:rsid w:val="00FD178B"/>
    <w:rsid w:val="00FD218C"/>
    <w:rsid w:val="00FD3745"/>
    <w:rsid w:val="00FD4967"/>
    <w:rsid w:val="00FD5AF8"/>
    <w:rsid w:val="00FD6AA4"/>
    <w:rsid w:val="00FE2E63"/>
    <w:rsid w:val="00FE3F71"/>
    <w:rsid w:val="00FE4904"/>
    <w:rsid w:val="00FE5BE7"/>
    <w:rsid w:val="00FF171D"/>
    <w:rsid w:val="00FF3C9E"/>
    <w:rsid w:val="00FF47F0"/>
    <w:rsid w:val="00FF64DB"/>
    <w:rsid w:val="00FF73E4"/>
    <w:rsid w:val="00FF766B"/>
    <w:rsid w:val="00FF7D8A"/>
    <w:rsid w:val="01E97279"/>
    <w:rsid w:val="02A4502F"/>
    <w:rsid w:val="030E73CB"/>
    <w:rsid w:val="032936F6"/>
    <w:rsid w:val="03861BCD"/>
    <w:rsid w:val="05800A23"/>
    <w:rsid w:val="070B40CF"/>
    <w:rsid w:val="074D4254"/>
    <w:rsid w:val="07517EB9"/>
    <w:rsid w:val="07A0617E"/>
    <w:rsid w:val="082D55DE"/>
    <w:rsid w:val="08620400"/>
    <w:rsid w:val="08884E1D"/>
    <w:rsid w:val="08EC709B"/>
    <w:rsid w:val="0A4A12D0"/>
    <w:rsid w:val="0A7D421F"/>
    <w:rsid w:val="0A9E38B0"/>
    <w:rsid w:val="0B080929"/>
    <w:rsid w:val="0B1C0C91"/>
    <w:rsid w:val="0B7D4ED7"/>
    <w:rsid w:val="0D0672A0"/>
    <w:rsid w:val="0D891C8E"/>
    <w:rsid w:val="0F032044"/>
    <w:rsid w:val="0F0B2107"/>
    <w:rsid w:val="0F4C1435"/>
    <w:rsid w:val="0FB80239"/>
    <w:rsid w:val="102C480D"/>
    <w:rsid w:val="103A5EEF"/>
    <w:rsid w:val="11485EE6"/>
    <w:rsid w:val="129B20D8"/>
    <w:rsid w:val="13DA0EB3"/>
    <w:rsid w:val="14A26217"/>
    <w:rsid w:val="15984887"/>
    <w:rsid w:val="16B458A5"/>
    <w:rsid w:val="17F804C8"/>
    <w:rsid w:val="1C451F1C"/>
    <w:rsid w:val="1C956D37"/>
    <w:rsid w:val="1DA40E74"/>
    <w:rsid w:val="1E562C25"/>
    <w:rsid w:val="1F0A71CD"/>
    <w:rsid w:val="1F1B4CF5"/>
    <w:rsid w:val="205F522A"/>
    <w:rsid w:val="21261724"/>
    <w:rsid w:val="212671F1"/>
    <w:rsid w:val="21B0162B"/>
    <w:rsid w:val="22EE1C67"/>
    <w:rsid w:val="23005F01"/>
    <w:rsid w:val="23D36A69"/>
    <w:rsid w:val="24137107"/>
    <w:rsid w:val="243A07DB"/>
    <w:rsid w:val="24624F9E"/>
    <w:rsid w:val="2583016A"/>
    <w:rsid w:val="258A48BE"/>
    <w:rsid w:val="25BE0023"/>
    <w:rsid w:val="25E5250A"/>
    <w:rsid w:val="26513373"/>
    <w:rsid w:val="26E85BC3"/>
    <w:rsid w:val="279449AB"/>
    <w:rsid w:val="27F31520"/>
    <w:rsid w:val="2B0258C0"/>
    <w:rsid w:val="2B1541E7"/>
    <w:rsid w:val="2ED96B26"/>
    <w:rsid w:val="2F087DC3"/>
    <w:rsid w:val="2F593F96"/>
    <w:rsid w:val="31E55B89"/>
    <w:rsid w:val="31E81A6A"/>
    <w:rsid w:val="321D44E0"/>
    <w:rsid w:val="32A41A2D"/>
    <w:rsid w:val="3333748F"/>
    <w:rsid w:val="34202321"/>
    <w:rsid w:val="35B06701"/>
    <w:rsid w:val="35BC7697"/>
    <w:rsid w:val="36154BBA"/>
    <w:rsid w:val="38370E25"/>
    <w:rsid w:val="38622F16"/>
    <w:rsid w:val="38624702"/>
    <w:rsid w:val="3887291D"/>
    <w:rsid w:val="389031E1"/>
    <w:rsid w:val="39DF330B"/>
    <w:rsid w:val="3A790FC2"/>
    <w:rsid w:val="3B42216A"/>
    <w:rsid w:val="3CAD4CD2"/>
    <w:rsid w:val="3F6C6682"/>
    <w:rsid w:val="431E6016"/>
    <w:rsid w:val="43CE7653"/>
    <w:rsid w:val="44E91969"/>
    <w:rsid w:val="45346C28"/>
    <w:rsid w:val="47A17DBF"/>
    <w:rsid w:val="4866712F"/>
    <w:rsid w:val="48BB14A6"/>
    <w:rsid w:val="490073E8"/>
    <w:rsid w:val="49615088"/>
    <w:rsid w:val="49C14541"/>
    <w:rsid w:val="49F730C9"/>
    <w:rsid w:val="4B5135E7"/>
    <w:rsid w:val="4B5253B1"/>
    <w:rsid w:val="4C565F54"/>
    <w:rsid w:val="4C5E6928"/>
    <w:rsid w:val="4C894DFB"/>
    <w:rsid w:val="4D2A5E68"/>
    <w:rsid w:val="4E077B10"/>
    <w:rsid w:val="4EDD44AD"/>
    <w:rsid w:val="4F44079F"/>
    <w:rsid w:val="4F5A7301"/>
    <w:rsid w:val="4F961996"/>
    <w:rsid w:val="51F14779"/>
    <w:rsid w:val="521504B8"/>
    <w:rsid w:val="525D1AED"/>
    <w:rsid w:val="539F1B19"/>
    <w:rsid w:val="541774DA"/>
    <w:rsid w:val="54A17506"/>
    <w:rsid w:val="55637075"/>
    <w:rsid w:val="571070B5"/>
    <w:rsid w:val="58BE2B52"/>
    <w:rsid w:val="5AA951FB"/>
    <w:rsid w:val="5AE00D43"/>
    <w:rsid w:val="5B09785F"/>
    <w:rsid w:val="5B306813"/>
    <w:rsid w:val="5BE44133"/>
    <w:rsid w:val="5C44724A"/>
    <w:rsid w:val="5C6C6C7F"/>
    <w:rsid w:val="5D3B6BA3"/>
    <w:rsid w:val="5D8D3742"/>
    <w:rsid w:val="5ECE61CF"/>
    <w:rsid w:val="5F810BF2"/>
    <w:rsid w:val="5F846534"/>
    <w:rsid w:val="615F41CC"/>
    <w:rsid w:val="62AB6CDD"/>
    <w:rsid w:val="62FD5F8C"/>
    <w:rsid w:val="63E853DA"/>
    <w:rsid w:val="645E38EF"/>
    <w:rsid w:val="64C708FC"/>
    <w:rsid w:val="660D28EF"/>
    <w:rsid w:val="668D44AD"/>
    <w:rsid w:val="67B12A91"/>
    <w:rsid w:val="6994325D"/>
    <w:rsid w:val="6ACB5AC8"/>
    <w:rsid w:val="6B0403EE"/>
    <w:rsid w:val="6B1C23D3"/>
    <w:rsid w:val="6C555865"/>
    <w:rsid w:val="6CA54F08"/>
    <w:rsid w:val="6CBF7D74"/>
    <w:rsid w:val="6E776E55"/>
    <w:rsid w:val="6EA12B86"/>
    <w:rsid w:val="6EE52976"/>
    <w:rsid w:val="6F393B8A"/>
    <w:rsid w:val="6F4767E1"/>
    <w:rsid w:val="6FC446FE"/>
    <w:rsid w:val="70360599"/>
    <w:rsid w:val="70CC1BEE"/>
    <w:rsid w:val="73FA5D53"/>
    <w:rsid w:val="740C55CD"/>
    <w:rsid w:val="7581506D"/>
    <w:rsid w:val="76BB13D7"/>
    <w:rsid w:val="76FB1F6E"/>
    <w:rsid w:val="771A0B81"/>
    <w:rsid w:val="78BC288B"/>
    <w:rsid w:val="78DB2840"/>
    <w:rsid w:val="78E93A45"/>
    <w:rsid w:val="793D4148"/>
    <w:rsid w:val="7A0F3269"/>
    <w:rsid w:val="7A796645"/>
    <w:rsid w:val="7B7A6BAB"/>
    <w:rsid w:val="7C445F6B"/>
    <w:rsid w:val="7D860C2E"/>
    <w:rsid w:val="7F715912"/>
    <w:rsid w:val="7FE8148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3"/>
    <w:next w:val="1"/>
    <w:link w:val="36"/>
    <w:qFormat/>
    <w:uiPriority w:val="0"/>
    <w:pPr>
      <w:keepNext/>
      <w:keepLines/>
      <w:spacing w:before="340" w:after="330" w:line="576" w:lineRule="auto"/>
      <w:outlineLvl w:val="0"/>
    </w:pPr>
    <w:rPr>
      <w:b/>
      <w:bCs/>
      <w:kern w:val="44"/>
      <w:sz w:val="44"/>
      <w:szCs w:val="44"/>
    </w:rPr>
  </w:style>
  <w:style w:type="paragraph" w:styleId="4">
    <w:name w:val="heading 2"/>
    <w:basedOn w:val="1"/>
    <w:next w:val="1"/>
    <w:link w:val="37"/>
    <w:qFormat/>
    <w:uiPriority w:val="0"/>
    <w:pPr>
      <w:keepNext/>
      <w:keepLines/>
      <w:spacing w:before="260" w:after="260" w:line="413" w:lineRule="auto"/>
      <w:outlineLvl w:val="1"/>
    </w:pPr>
    <w:rPr>
      <w:rFonts w:ascii="Arial" w:hAnsi="Arial" w:eastAsia="黑体"/>
      <w:b/>
      <w:bCs/>
      <w:sz w:val="32"/>
      <w:szCs w:val="32"/>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0"/>
    <w:pPr>
      <w:ind w:left="480"/>
      <w:jc w:val="left"/>
    </w:pPr>
    <w:rPr>
      <w:i/>
      <w:iCs/>
      <w:sz w:val="20"/>
    </w:rPr>
  </w:style>
  <w:style w:type="paragraph" w:styleId="5">
    <w:name w:val="toc 7"/>
    <w:basedOn w:val="1"/>
    <w:next w:val="1"/>
    <w:qFormat/>
    <w:uiPriority w:val="0"/>
    <w:pPr>
      <w:ind w:left="1440"/>
      <w:jc w:val="left"/>
    </w:pPr>
    <w:rPr>
      <w:sz w:val="18"/>
      <w:szCs w:val="18"/>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Document Map"/>
    <w:basedOn w:val="1"/>
    <w:link w:val="48"/>
    <w:qFormat/>
    <w:uiPriority w:val="0"/>
    <w:pPr>
      <w:shd w:val="clear" w:color="auto" w:fill="000080"/>
    </w:pPr>
    <w:rPr>
      <w:sz w:val="24"/>
      <w:szCs w:val="24"/>
    </w:rPr>
  </w:style>
  <w:style w:type="paragraph" w:styleId="8">
    <w:name w:val="annotation text"/>
    <w:basedOn w:val="1"/>
    <w:link w:val="39"/>
    <w:qFormat/>
    <w:uiPriority w:val="0"/>
    <w:pPr>
      <w:jc w:val="left"/>
    </w:pPr>
  </w:style>
  <w:style w:type="paragraph" w:styleId="9">
    <w:name w:val="Body Text"/>
    <w:basedOn w:val="1"/>
    <w:qFormat/>
    <w:uiPriority w:val="0"/>
    <w:rPr>
      <w:rFonts w:ascii="仿宋_GB2312" w:eastAsia="仿宋_GB2312"/>
      <w:sz w:val="32"/>
    </w:rPr>
  </w:style>
  <w:style w:type="paragraph" w:styleId="10">
    <w:name w:val="Body Text Indent"/>
    <w:basedOn w:val="1"/>
    <w:qFormat/>
    <w:uiPriority w:val="0"/>
    <w:pPr>
      <w:spacing w:after="120"/>
      <w:ind w:left="420" w:leftChars="200"/>
    </w:pPr>
  </w:style>
  <w:style w:type="paragraph" w:styleId="11">
    <w:name w:val="toc 5"/>
    <w:basedOn w:val="1"/>
    <w:next w:val="1"/>
    <w:qFormat/>
    <w:uiPriority w:val="0"/>
    <w:pPr>
      <w:ind w:left="960"/>
      <w:jc w:val="left"/>
    </w:pPr>
    <w:rPr>
      <w:sz w:val="18"/>
      <w:szCs w:val="18"/>
    </w:rPr>
  </w:style>
  <w:style w:type="paragraph" w:styleId="12">
    <w:name w:val="Plain Text"/>
    <w:basedOn w:val="1"/>
    <w:link w:val="40"/>
    <w:qFormat/>
    <w:uiPriority w:val="0"/>
    <w:rPr>
      <w:rFonts w:ascii="宋体" w:hAnsi="Courier New"/>
    </w:rPr>
  </w:style>
  <w:style w:type="paragraph" w:styleId="13">
    <w:name w:val="toc 8"/>
    <w:basedOn w:val="1"/>
    <w:next w:val="1"/>
    <w:qFormat/>
    <w:uiPriority w:val="0"/>
    <w:pPr>
      <w:ind w:left="1680"/>
      <w:jc w:val="left"/>
    </w:pPr>
    <w:rPr>
      <w:sz w:val="18"/>
      <w:szCs w:val="18"/>
    </w:rPr>
  </w:style>
  <w:style w:type="paragraph" w:styleId="14">
    <w:name w:val="Date"/>
    <w:basedOn w:val="1"/>
    <w:next w:val="1"/>
    <w:link w:val="45"/>
    <w:qFormat/>
    <w:uiPriority w:val="0"/>
    <w:pPr>
      <w:ind w:left="100" w:leftChars="2500"/>
    </w:pPr>
    <w:rPr>
      <w:sz w:val="24"/>
      <w:szCs w:val="24"/>
    </w:rPr>
  </w:style>
  <w:style w:type="paragraph" w:styleId="15">
    <w:name w:val="Body Text Indent 2"/>
    <w:basedOn w:val="1"/>
    <w:link w:val="38"/>
    <w:qFormat/>
    <w:uiPriority w:val="0"/>
    <w:pPr>
      <w:spacing w:after="120" w:line="480" w:lineRule="auto"/>
      <w:ind w:left="420" w:leftChars="200"/>
    </w:pPr>
  </w:style>
  <w:style w:type="paragraph" w:styleId="16">
    <w:name w:val="Balloon Text"/>
    <w:basedOn w:val="1"/>
    <w:link w:val="43"/>
    <w:qFormat/>
    <w:uiPriority w:val="0"/>
    <w:rPr>
      <w:sz w:val="18"/>
      <w:szCs w:val="18"/>
    </w:rPr>
  </w:style>
  <w:style w:type="paragraph" w:styleId="17">
    <w:name w:val="footer"/>
    <w:basedOn w:val="1"/>
    <w:link w:val="70"/>
    <w:qFormat/>
    <w:uiPriority w:val="99"/>
    <w:pPr>
      <w:tabs>
        <w:tab w:val="center" w:pos="4153"/>
        <w:tab w:val="right" w:pos="8306"/>
      </w:tabs>
      <w:snapToGrid w:val="0"/>
      <w:jc w:val="left"/>
    </w:pPr>
    <w:rPr>
      <w:sz w:val="18"/>
      <w:szCs w:val="18"/>
    </w:rPr>
  </w:style>
  <w:style w:type="paragraph" w:styleId="18">
    <w:name w:val="header"/>
    <w:basedOn w:val="1"/>
    <w:link w:val="50"/>
    <w:qFormat/>
    <w:uiPriority w:val="99"/>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0"/>
    <w:pPr>
      <w:spacing w:line="360" w:lineRule="auto"/>
      <w:jc w:val="left"/>
    </w:pPr>
    <w:rPr>
      <w:rFonts w:ascii="宋体" w:hAnsi="宋体"/>
      <w:b/>
      <w:caps/>
      <w:color w:val="FF0000"/>
      <w:szCs w:val="21"/>
    </w:rPr>
  </w:style>
  <w:style w:type="paragraph" w:styleId="20">
    <w:name w:val="toc 4"/>
    <w:basedOn w:val="1"/>
    <w:next w:val="1"/>
    <w:qFormat/>
    <w:uiPriority w:val="0"/>
    <w:pPr>
      <w:ind w:left="720"/>
      <w:jc w:val="left"/>
    </w:pPr>
    <w:rPr>
      <w:sz w:val="18"/>
      <w:szCs w:val="18"/>
    </w:rPr>
  </w:style>
  <w:style w:type="paragraph" w:styleId="21">
    <w:name w:val="toc 6"/>
    <w:basedOn w:val="1"/>
    <w:next w:val="1"/>
    <w:qFormat/>
    <w:uiPriority w:val="0"/>
    <w:pPr>
      <w:ind w:left="1200"/>
      <w:jc w:val="left"/>
    </w:pPr>
    <w:rPr>
      <w:sz w:val="18"/>
      <w:szCs w:val="18"/>
    </w:rPr>
  </w:style>
  <w:style w:type="paragraph" w:styleId="22">
    <w:name w:val="Body Text Indent 3"/>
    <w:basedOn w:val="1"/>
    <w:link w:val="49"/>
    <w:qFormat/>
    <w:uiPriority w:val="0"/>
    <w:pPr>
      <w:spacing w:after="120"/>
      <w:ind w:left="420" w:leftChars="200"/>
    </w:pPr>
    <w:rPr>
      <w:sz w:val="16"/>
      <w:szCs w:val="16"/>
    </w:rPr>
  </w:style>
  <w:style w:type="paragraph" w:styleId="23">
    <w:name w:val="toc 2"/>
    <w:basedOn w:val="1"/>
    <w:next w:val="1"/>
    <w:unhideWhenUsed/>
    <w:qFormat/>
    <w:uiPriority w:val="0"/>
    <w:pPr>
      <w:ind w:left="420" w:leftChars="200"/>
    </w:pPr>
  </w:style>
  <w:style w:type="paragraph" w:styleId="24">
    <w:name w:val="toc 9"/>
    <w:basedOn w:val="1"/>
    <w:next w:val="1"/>
    <w:qFormat/>
    <w:uiPriority w:val="0"/>
    <w:pPr>
      <w:ind w:left="1920"/>
      <w:jc w:val="left"/>
    </w:pPr>
    <w:rPr>
      <w:sz w:val="18"/>
      <w:szCs w:val="18"/>
    </w:rPr>
  </w:style>
  <w:style w:type="paragraph" w:styleId="25">
    <w:name w:val="index 1"/>
    <w:basedOn w:val="1"/>
    <w:next w:val="1"/>
    <w:qFormat/>
    <w:uiPriority w:val="0"/>
    <w:rPr>
      <w:sz w:val="24"/>
      <w:szCs w:val="24"/>
    </w:rPr>
  </w:style>
  <w:style w:type="paragraph" w:styleId="26">
    <w:name w:val="Title"/>
    <w:basedOn w:val="1"/>
    <w:next w:val="1"/>
    <w:link w:val="47"/>
    <w:qFormat/>
    <w:uiPriority w:val="0"/>
    <w:pPr>
      <w:spacing w:before="160" w:after="40" w:line="0" w:lineRule="atLeast"/>
      <w:ind w:left="425" w:hanging="425"/>
      <w:jc w:val="left"/>
      <w:outlineLvl w:val="0"/>
    </w:pPr>
    <w:rPr>
      <w:rFonts w:ascii="Arial" w:hAnsi="Arial"/>
      <w:b/>
      <w:bCs/>
      <w:sz w:val="32"/>
      <w:szCs w:val="32"/>
    </w:rPr>
  </w:style>
  <w:style w:type="paragraph" w:styleId="27">
    <w:name w:val="annotation subject"/>
    <w:basedOn w:val="8"/>
    <w:next w:val="8"/>
    <w:link w:val="51"/>
    <w:qFormat/>
    <w:uiPriority w:val="0"/>
    <w:rPr>
      <w:b/>
      <w:bCs/>
    </w:r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0"/>
    <w:rPr>
      <w:b/>
    </w:rPr>
  </w:style>
  <w:style w:type="character" w:styleId="32">
    <w:name w:val="page number"/>
    <w:basedOn w:val="30"/>
    <w:qFormat/>
    <w:uiPriority w:val="0"/>
  </w:style>
  <w:style w:type="character" w:styleId="33">
    <w:name w:val="FollowedHyperlink"/>
    <w:qFormat/>
    <w:uiPriority w:val="0"/>
    <w:rPr>
      <w:color w:val="800080"/>
      <w:u w:val="single"/>
    </w:rPr>
  </w:style>
  <w:style w:type="character" w:styleId="34">
    <w:name w:val="Hyperlink"/>
    <w:basedOn w:val="30"/>
    <w:qFormat/>
    <w:uiPriority w:val="0"/>
    <w:rPr>
      <w:rFonts w:cs="Times New Roman"/>
      <w:color w:val="1F4F88"/>
      <w:u w:val="none"/>
    </w:rPr>
  </w:style>
  <w:style w:type="character" w:styleId="35">
    <w:name w:val="annotation reference"/>
    <w:qFormat/>
    <w:uiPriority w:val="0"/>
    <w:rPr>
      <w:sz w:val="21"/>
      <w:szCs w:val="21"/>
    </w:rPr>
  </w:style>
  <w:style w:type="character" w:customStyle="1" w:styleId="36">
    <w:name w:val="标题 1 字符"/>
    <w:link w:val="2"/>
    <w:qFormat/>
    <w:uiPriority w:val="0"/>
    <w:rPr>
      <w:b/>
      <w:bCs/>
      <w:kern w:val="44"/>
      <w:sz w:val="44"/>
      <w:szCs w:val="44"/>
    </w:rPr>
  </w:style>
  <w:style w:type="character" w:customStyle="1" w:styleId="37">
    <w:name w:val="标题 2 字符"/>
    <w:link w:val="4"/>
    <w:qFormat/>
    <w:uiPriority w:val="0"/>
    <w:rPr>
      <w:rFonts w:ascii="Arial" w:hAnsi="Arial" w:eastAsia="黑体"/>
      <w:b/>
      <w:bCs/>
      <w:kern w:val="2"/>
      <w:sz w:val="32"/>
      <w:szCs w:val="32"/>
    </w:rPr>
  </w:style>
  <w:style w:type="character" w:customStyle="1" w:styleId="38">
    <w:name w:val="正文文本缩进 2 字符"/>
    <w:link w:val="15"/>
    <w:qFormat/>
    <w:uiPriority w:val="0"/>
    <w:rPr>
      <w:kern w:val="2"/>
      <w:sz w:val="21"/>
    </w:rPr>
  </w:style>
  <w:style w:type="character" w:customStyle="1" w:styleId="39">
    <w:name w:val="批注文字 字符"/>
    <w:link w:val="8"/>
    <w:qFormat/>
    <w:uiPriority w:val="0"/>
    <w:rPr>
      <w:kern w:val="2"/>
      <w:sz w:val="21"/>
    </w:rPr>
  </w:style>
  <w:style w:type="character" w:customStyle="1" w:styleId="40">
    <w:name w:val="纯文本 字符1"/>
    <w:link w:val="12"/>
    <w:qFormat/>
    <w:uiPriority w:val="0"/>
    <w:rPr>
      <w:rFonts w:ascii="宋体" w:hAnsi="Courier New" w:eastAsia="宋体"/>
      <w:kern w:val="2"/>
      <w:sz w:val="21"/>
      <w:lang w:val="en-US" w:eastAsia="zh-CN" w:bidi="ar-SA"/>
    </w:rPr>
  </w:style>
  <w:style w:type="character" w:customStyle="1" w:styleId="41">
    <w:name w:val="Char Char3"/>
    <w:qFormat/>
    <w:uiPriority w:val="0"/>
    <w:rPr>
      <w:rFonts w:ascii="宋体" w:hAnsi="Courier New" w:eastAsia="宋体"/>
      <w:kern w:val="2"/>
      <w:sz w:val="21"/>
      <w:lang w:val="en-US" w:eastAsia="zh-CN" w:bidi="ar-SA"/>
    </w:rPr>
  </w:style>
  <w:style w:type="character" w:customStyle="1" w:styleId="42">
    <w:name w:val="apple-converted-space"/>
    <w:basedOn w:val="30"/>
    <w:qFormat/>
    <w:uiPriority w:val="0"/>
  </w:style>
  <w:style w:type="character" w:customStyle="1" w:styleId="43">
    <w:name w:val="批注框文本 字符"/>
    <w:link w:val="16"/>
    <w:qFormat/>
    <w:uiPriority w:val="0"/>
    <w:rPr>
      <w:kern w:val="2"/>
      <w:sz w:val="18"/>
      <w:szCs w:val="18"/>
    </w:rPr>
  </w:style>
  <w:style w:type="character" w:customStyle="1" w:styleId="44">
    <w:name w:val="Char Char5"/>
    <w:qFormat/>
    <w:uiPriority w:val="0"/>
    <w:rPr>
      <w:rFonts w:ascii="宋体" w:hAnsi="Courier New" w:eastAsia="宋体"/>
      <w:kern w:val="2"/>
      <w:sz w:val="21"/>
      <w:lang w:val="en-US" w:eastAsia="zh-CN" w:bidi="ar-SA"/>
    </w:rPr>
  </w:style>
  <w:style w:type="character" w:customStyle="1" w:styleId="45">
    <w:name w:val="日期 字符"/>
    <w:link w:val="14"/>
    <w:qFormat/>
    <w:uiPriority w:val="0"/>
    <w:rPr>
      <w:kern w:val="2"/>
      <w:sz w:val="24"/>
      <w:szCs w:val="24"/>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标题 字符"/>
    <w:link w:val="26"/>
    <w:qFormat/>
    <w:uiPriority w:val="0"/>
    <w:rPr>
      <w:rFonts w:ascii="Arial" w:hAnsi="Arial" w:cs="Arial"/>
      <w:b/>
      <w:bCs/>
      <w:kern w:val="2"/>
      <w:sz w:val="32"/>
      <w:szCs w:val="32"/>
    </w:rPr>
  </w:style>
  <w:style w:type="character" w:customStyle="1" w:styleId="48">
    <w:name w:val="文档结构图 字符"/>
    <w:link w:val="7"/>
    <w:qFormat/>
    <w:uiPriority w:val="0"/>
    <w:rPr>
      <w:kern w:val="2"/>
      <w:sz w:val="24"/>
      <w:szCs w:val="24"/>
      <w:shd w:val="clear" w:color="auto" w:fill="000080"/>
    </w:rPr>
  </w:style>
  <w:style w:type="character" w:customStyle="1" w:styleId="49">
    <w:name w:val="正文文本缩进 3 字符"/>
    <w:link w:val="22"/>
    <w:qFormat/>
    <w:uiPriority w:val="0"/>
    <w:rPr>
      <w:kern w:val="2"/>
      <w:sz w:val="16"/>
      <w:szCs w:val="16"/>
    </w:rPr>
  </w:style>
  <w:style w:type="character" w:customStyle="1" w:styleId="50">
    <w:name w:val="页眉 字符"/>
    <w:link w:val="18"/>
    <w:qFormat/>
    <w:uiPriority w:val="99"/>
    <w:rPr>
      <w:rFonts w:eastAsia="宋体"/>
      <w:kern w:val="2"/>
      <w:sz w:val="18"/>
      <w:szCs w:val="18"/>
      <w:lang w:val="en-US" w:eastAsia="zh-CN" w:bidi="ar-SA"/>
    </w:rPr>
  </w:style>
  <w:style w:type="character" w:customStyle="1" w:styleId="51">
    <w:name w:val="批注主题 字符"/>
    <w:link w:val="27"/>
    <w:qFormat/>
    <w:uiPriority w:val="0"/>
    <w:rPr>
      <w:b/>
      <w:bCs/>
      <w:kern w:val="2"/>
      <w:sz w:val="21"/>
    </w:rPr>
  </w:style>
  <w:style w:type="character" w:customStyle="1" w:styleId="52">
    <w:name w:val="HTML Markup"/>
    <w:qFormat/>
    <w:uiPriority w:val="0"/>
    <w:rPr>
      <w:vanish/>
      <w:color w:val="FF0000"/>
    </w:rPr>
  </w:style>
  <w:style w:type="character" w:customStyle="1" w:styleId="53">
    <w:name w:val="Char Char2"/>
    <w:qFormat/>
    <w:uiPriority w:val="0"/>
    <w:rPr>
      <w:rFonts w:ascii="宋体" w:hAnsi="Courier New" w:cs="宋体"/>
      <w:kern w:val="2"/>
      <w:sz w:val="21"/>
      <w:szCs w:val="21"/>
    </w:rPr>
  </w:style>
  <w:style w:type="paragraph" w:customStyle="1" w:styleId="5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5">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6">
    <w:name w:val="1列"/>
    <w:basedOn w:val="1"/>
    <w:qFormat/>
    <w:uiPriority w:val="0"/>
    <w:pPr>
      <w:spacing w:line="360" w:lineRule="auto"/>
      <w:ind w:left="401" w:hanging="401" w:hangingChars="191"/>
    </w:pPr>
    <w:rPr>
      <w:szCs w:val="24"/>
    </w:rPr>
  </w:style>
  <w:style w:type="paragraph" w:customStyle="1" w:styleId="57">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58">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5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60">
    <w:name w:val="列出段落1"/>
    <w:basedOn w:val="1"/>
    <w:qFormat/>
    <w:uiPriority w:val="0"/>
    <w:pPr>
      <w:ind w:firstLine="420" w:firstLineChars="200"/>
    </w:pPr>
    <w:rPr>
      <w:rFonts w:ascii="Calibri" w:hAnsi="Calibri"/>
      <w:szCs w:val="22"/>
    </w:rPr>
  </w:style>
  <w:style w:type="paragraph" w:customStyle="1" w:styleId="6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62">
    <w:name w:val="Char Char Char Char Char Char Char"/>
    <w:basedOn w:val="1"/>
    <w:qFormat/>
    <w:uiPriority w:val="0"/>
    <w:rPr>
      <w:rFonts w:ascii="Verdana" w:hAnsi="Verdana"/>
      <w:kern w:val="0"/>
      <w:sz w:val="20"/>
      <w:lang w:eastAsia="en-US"/>
    </w:rPr>
  </w:style>
  <w:style w:type="paragraph" w:customStyle="1" w:styleId="63">
    <w:name w:val="二级列表 Char"/>
    <w:basedOn w:val="1"/>
    <w:qFormat/>
    <w:uiPriority w:val="0"/>
    <w:rPr>
      <w:rFonts w:ascii="Calibri" w:hAnsi="Calibri"/>
    </w:rPr>
  </w:style>
  <w:style w:type="paragraph" w:customStyle="1" w:styleId="64">
    <w:name w:val="正文文本1"/>
    <w:basedOn w:val="1"/>
    <w:link w:val="65"/>
    <w:qFormat/>
    <w:uiPriority w:val="0"/>
    <w:pPr>
      <w:adjustRightInd w:val="0"/>
      <w:spacing w:before="120" w:afterLines="50" w:line="280" w:lineRule="atLeast"/>
      <w:textAlignment w:val="baseline"/>
    </w:pPr>
    <w:rPr>
      <w:rFonts w:eastAsia="新宋体"/>
      <w:szCs w:val="21"/>
    </w:rPr>
  </w:style>
  <w:style w:type="character" w:customStyle="1" w:styleId="65">
    <w:name w:val="BODY TEXT Char"/>
    <w:link w:val="64"/>
    <w:qFormat/>
    <w:uiPriority w:val="0"/>
    <w:rPr>
      <w:rFonts w:eastAsia="新宋体"/>
      <w:kern w:val="2"/>
      <w:sz w:val="21"/>
      <w:szCs w:val="21"/>
    </w:rPr>
  </w:style>
  <w:style w:type="character" w:customStyle="1" w:styleId="66">
    <w:name w:val="纯文本 字符"/>
    <w:qFormat/>
    <w:uiPriority w:val="0"/>
    <w:rPr>
      <w:rFonts w:ascii="宋体" w:hAnsi="Courier New" w:eastAsia="宋体"/>
      <w:kern w:val="2"/>
      <w:sz w:val="21"/>
      <w:lang w:val="en-US" w:eastAsia="zh-CN" w:bidi="ar-SA"/>
    </w:rPr>
  </w:style>
  <w:style w:type="paragraph" w:customStyle="1" w:styleId="67">
    <w:name w:val="Tabelle"/>
    <w:basedOn w:val="1"/>
    <w:qFormat/>
    <w:uiPriority w:val="0"/>
    <w:pPr>
      <w:widowControl/>
      <w:spacing w:before="40" w:after="40"/>
      <w:jc w:val="left"/>
    </w:pPr>
    <w:rPr>
      <w:rFonts w:ascii="Arial" w:hAnsi="Arial"/>
      <w:kern w:val="0"/>
      <w:sz w:val="20"/>
      <w:lang w:eastAsia="de-DE"/>
    </w:rPr>
  </w:style>
  <w:style w:type="paragraph" w:customStyle="1" w:styleId="68">
    <w:name w:val="Fließtext"/>
    <w:basedOn w:val="1"/>
    <w:qFormat/>
    <w:uiPriority w:val="0"/>
    <w:pPr>
      <w:widowControl/>
      <w:spacing w:before="40" w:after="40"/>
      <w:jc w:val="left"/>
    </w:pPr>
    <w:rPr>
      <w:rFonts w:ascii="Arial" w:hAnsi="Arial"/>
      <w:kern w:val="0"/>
      <w:sz w:val="20"/>
      <w:lang w:eastAsia="de-DE"/>
    </w:rPr>
  </w:style>
  <w:style w:type="paragraph" w:styleId="69">
    <w:name w:val="List Paragraph"/>
    <w:basedOn w:val="1"/>
    <w:unhideWhenUsed/>
    <w:qFormat/>
    <w:uiPriority w:val="99"/>
    <w:pPr>
      <w:ind w:firstLine="420" w:firstLineChars="200"/>
    </w:pPr>
  </w:style>
  <w:style w:type="character" w:customStyle="1" w:styleId="70">
    <w:name w:val="页脚 字符"/>
    <w:link w:val="17"/>
    <w:qFormat/>
    <w:uiPriority w:val="99"/>
    <w:rPr>
      <w:kern w:val="2"/>
      <w:sz w:val="18"/>
      <w:szCs w:val="18"/>
    </w:rPr>
  </w:style>
  <w:style w:type="character" w:customStyle="1" w:styleId="71">
    <w:name w:val="font71"/>
    <w:basedOn w:val="30"/>
    <w:qFormat/>
    <w:uiPriority w:val="0"/>
    <w:rPr>
      <w:rFonts w:ascii="思源黑体 Regular" w:hAnsi="思源黑体 Regular" w:eastAsia="思源黑体 Regular" w:cs="思源黑体 Regular"/>
      <w:color w:val="000000"/>
      <w:sz w:val="20"/>
      <w:szCs w:val="20"/>
      <w:u w:val="none"/>
    </w:rPr>
  </w:style>
  <w:style w:type="character" w:customStyle="1" w:styleId="72">
    <w:name w:val="font41"/>
    <w:basedOn w:val="30"/>
    <w:qFormat/>
    <w:uiPriority w:val="0"/>
    <w:rPr>
      <w:rFonts w:hint="eastAsia" w:ascii="宋体" w:hAnsi="宋体" w:eastAsia="宋体" w:cs="宋体"/>
      <w:color w:val="000000"/>
      <w:sz w:val="20"/>
      <w:szCs w:val="20"/>
      <w:u w:val="none"/>
    </w:rPr>
  </w:style>
  <w:style w:type="character" w:customStyle="1" w:styleId="73">
    <w:name w:val="font51"/>
    <w:basedOn w:val="30"/>
    <w:qFormat/>
    <w:uiPriority w:val="0"/>
    <w:rPr>
      <w:rFonts w:hint="default" w:ascii="TKTypeMedium" w:hAnsi="TKTypeMedium" w:eastAsia="TKTypeMedium" w:cs="TKTypeMedium"/>
      <w:color w:val="000000"/>
      <w:sz w:val="20"/>
      <w:szCs w:val="20"/>
      <w:u w:val="none"/>
    </w:rPr>
  </w:style>
  <w:style w:type="character" w:customStyle="1" w:styleId="74">
    <w:name w:val="font01"/>
    <w:basedOn w:val="30"/>
    <w:qFormat/>
    <w:uiPriority w:val="0"/>
    <w:rPr>
      <w:rFonts w:ascii="PMingLiU" w:hAnsi="PMingLiU" w:eastAsia="PMingLiU" w:cs="PMingLiU"/>
      <w:color w:val="000000"/>
      <w:sz w:val="14"/>
      <w:szCs w:val="14"/>
      <w:u w:val="none"/>
    </w:rPr>
  </w:style>
  <w:style w:type="character" w:customStyle="1" w:styleId="75">
    <w:name w:val="font11"/>
    <w:basedOn w:val="30"/>
    <w:qFormat/>
    <w:uiPriority w:val="0"/>
    <w:rPr>
      <w:rFonts w:hint="eastAsia" w:ascii="宋体" w:hAnsi="宋体" w:eastAsia="宋体" w:cs="宋体"/>
      <w:color w:val="000000"/>
      <w:sz w:val="14"/>
      <w:szCs w:val="14"/>
      <w:u w:val="none"/>
    </w:rPr>
  </w:style>
  <w:style w:type="character" w:customStyle="1" w:styleId="76">
    <w:name w:val="font31"/>
    <w:basedOn w:val="30"/>
    <w:qFormat/>
    <w:uiPriority w:val="0"/>
    <w:rPr>
      <w:rFonts w:ascii="思源黑体 Regular" w:hAnsi="思源黑体 Regular" w:eastAsia="思源黑体 Regular" w:cs="思源黑体 Regular"/>
      <w:color w:val="FFFFFF"/>
      <w:sz w:val="20"/>
      <w:szCs w:val="20"/>
      <w:u w:val="none"/>
    </w:rPr>
  </w:style>
  <w:style w:type="paragraph" w:customStyle="1" w:styleId="77">
    <w:name w:val="标书正文格式"/>
    <w:basedOn w:val="12"/>
    <w:qFormat/>
    <w:uiPriority w:val="0"/>
    <w:pPr>
      <w:spacing w:line="360" w:lineRule="auto"/>
      <w:ind w:firstLine="200" w:firstLineChars="200"/>
    </w:pPr>
    <w:rPr>
      <w:rFonts w:hAnsi="宋体"/>
      <w:color w:val="000000"/>
      <w:kern w:val="0"/>
      <w:szCs w:val="24"/>
      <w:lang w:val="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670391-6F6F-429A-9E83-4D3CFB633A56}">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111</Pages>
  <Words>11614</Words>
  <Characters>15741</Characters>
  <Lines>128</Lines>
  <Paragraphs>36</Paragraphs>
  <TotalTime>12</TotalTime>
  <ScaleCrop>false</ScaleCrop>
  <LinksUpToDate>false</LinksUpToDate>
  <CharactersWithSpaces>16770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2019-11-16T00:44:00Z</dcterms:created>
  <dc:creator>微软用户</dc:creator>
  <cp:lastModifiedBy>秋收冬藏</cp:lastModifiedBy>
  <cp:lastPrinted>2018-05-14T03:09:00Z</cp:lastPrinted>
  <dcterms:modified xsi:type="dcterms:W3CDTF">2025-12-23T10:54:31Z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E40C3D0F7091492297A175417CB5EFD5</vt:lpwstr>
  </property>
  <property fmtid="{D5CDD505-2E9C-101B-9397-08002B2CF9AE}" pid="4" name="KSOTemplateDocerSaveRecord">
    <vt:lpwstr>eyJoZGlkIjoiZGRhYmRhNzNkYzMzNGJlMTJlNGRjYzUzM2Q2ZGI5MDYiLCJ1c2VySWQiOiIyNTExNTY1NDcifQ==</vt:lpwstr>
  </property>
</Properties>
</file>