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pStyle w:val="18"/>
        <w:jc w:val="center"/>
        <w:rPr>
          <w:rFonts w:hint="eastAsia" w:eastAsiaTheme="minorEastAsia"/>
          <w:lang w:eastAsia="zh-CN"/>
        </w:rPr>
      </w:pPr>
      <w:r>
        <w:rPr>
          <w:rFonts w:hint="eastAsia" w:ascii="Calibri" w:hAnsi="宋体" w:eastAsia="宋体" w:cs="Times New Roman"/>
          <w:b/>
          <w:bCs/>
          <w:color w:val="000000"/>
          <w:spacing w:val="-8"/>
          <w:sz w:val="48"/>
          <w:szCs w:val="44"/>
          <w:lang w:eastAsia="zh-CN"/>
        </w:rPr>
        <w:t>济南卡车制造公司莱芜厂区新增后背电池行车技改项目</w:t>
      </w:r>
    </w:p>
    <w:p>
      <w:pPr>
        <w:pStyle w:val="18"/>
        <w:rPr>
          <w:rFonts w:hint="eastAsia"/>
          <w:lang w:eastAsia="zh-CN"/>
        </w:rPr>
      </w:pPr>
    </w:p>
    <w:p>
      <w:pPr>
        <w:pStyle w:val="18"/>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5"/>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5"/>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5"/>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8"/>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8"/>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6"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编号：FSCZB2025120334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lang w:val="en-US" w:eastAsia="zh-CN"/>
              </w:rPr>
              <w:t>莱芜厂区总装二线新增1套10T行车，含配套土建基础、行车框</w:t>
            </w:r>
          </w:p>
          <w:p>
            <w:pP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架、钢结构框架改造等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中国重汽集团济南卡车股份有限公司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赵力</w:t>
            </w:r>
          </w:p>
          <w:p>
            <w:pPr>
              <w:pStyle w:val="18"/>
              <w:ind w:firstLine="482" w:firstLineChars="200"/>
              <w:rPr>
                <w:rFonts w:hint="default"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17860606595</w:t>
            </w:r>
          </w:p>
          <w:p>
            <w:pPr>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lang w:val="en-US" w:eastAsia="zh-CN"/>
              </w:rPr>
              <w:t>zhaoli@sinotruk.com</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联系人：杜嘉源</w:t>
            </w:r>
          </w:p>
          <w:p>
            <w:pPr>
              <w:pStyle w:val="18"/>
              <w:ind w:firstLine="482" w:firstLineChars="200"/>
              <w:rPr>
                <w:rFonts w:hint="eastAsia"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15699457995</w:t>
            </w:r>
          </w:p>
          <w:p>
            <w:pPr>
              <w:ind w:firstLine="482" w:firstLineChars="200"/>
              <w:rPr>
                <w:rFonts w:hint="default"/>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lang w:val="en-US" w:eastAsia="zh-CN"/>
              </w:rPr>
              <w:t>dujiayuan@sinotruk.com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8"/>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000000"/>
                <w:sz w:val="24"/>
                <w:szCs w:val="24"/>
                <w:highlight w:val="yellow"/>
                <w:lang w:val="en-US" w:eastAsia="zh-CN"/>
              </w:rPr>
              <w:t>44.5</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8"/>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8"/>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 xml:space="preserve"> 25 </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 xml:space="preserve"> 30 </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 xml:space="preserve"> 30</w:t>
            </w:r>
            <w:r>
              <w:rPr>
                <w:rFonts w:hint="eastAsia" w:ascii="宋体" w:hAnsi="宋体" w:eastAsia="宋体" w:cs="宋体"/>
                <w:sz w:val="24"/>
                <w:szCs w:val="24"/>
                <w:highlight w:val="yellow"/>
              </w:rPr>
              <w:t>日17:00前</w:t>
            </w:r>
            <w:r>
              <w:rPr>
                <w:rFonts w:hint="eastAsia" w:ascii="宋体" w:hAnsi="宋体" w:eastAsia="宋体" w:cs="宋体"/>
                <w:sz w:val="24"/>
                <w:szCs w:val="24"/>
                <w:highlight w:val="none"/>
              </w:rPr>
              <w:t>；</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p>
            <w:pPr>
              <w:pStyle w:val="115"/>
              <w:spacing w:line="240" w:lineRule="auto"/>
              <w:ind w:firstLine="482"/>
              <w:rPr>
                <w:rFonts w:hint="eastAsia" w:eastAsia="宋体" w:cs="宋体"/>
                <w:color w:val="FF0000"/>
              </w:rPr>
            </w:pPr>
            <w:r>
              <w:rPr>
                <w:rFonts w:hint="eastAsia" w:eastAsia="宋体" w:cs="宋体"/>
                <w:color w:val="FF0000"/>
                <w:lang w:val="en-US" w:eastAsia="zh-CN"/>
              </w:rPr>
              <w:t>注：</w:t>
            </w:r>
            <w:r>
              <w:rPr>
                <w:rFonts w:hint="eastAsia" w:eastAsia="宋体" w:cs="宋体"/>
                <w:color w:val="FF0000"/>
              </w:rPr>
              <w:t>已注册的投标人注意去重汽e采通平台检查更新近三年的经营概况，财务信息</w:t>
            </w:r>
            <w:r>
              <w:rPr>
                <w:rFonts w:hint="eastAsia" w:eastAsia="宋体" w:cs="宋体"/>
                <w:color w:val="FF0000"/>
                <w:lang w:val="en-US" w:eastAsia="zh-CN"/>
              </w:rPr>
              <w:t>严格按要求</w:t>
            </w:r>
            <w:r>
              <w:rPr>
                <w:rFonts w:hint="eastAsia" w:eastAsia="宋体" w:cs="宋体"/>
                <w:color w:val="FF0000"/>
              </w:rPr>
              <w:t>更新到近三年，且不许有空余</w:t>
            </w:r>
            <w:r>
              <w:rPr>
                <w:rFonts w:hint="eastAsia" w:eastAsia="宋体" w:cs="宋体"/>
                <w:color w:val="FF0000"/>
                <w:lang w:eastAsia="zh-CN"/>
              </w:rPr>
              <w:t>（</w:t>
            </w:r>
            <w:r>
              <w:rPr>
                <w:rFonts w:hint="eastAsia" w:eastAsia="宋体" w:cs="宋体"/>
                <w:color w:val="FF0000"/>
                <w:lang w:val="en-US" w:eastAsia="zh-CN"/>
              </w:rPr>
              <w:t>不按要求完善资质审查阶段会被驳回</w:t>
            </w:r>
            <w:r>
              <w:rPr>
                <w:rFonts w:hint="eastAsia" w:eastAsia="宋体" w:cs="宋体"/>
                <w:color w:val="FF0000"/>
                <w:lang w:eastAsia="zh-CN"/>
              </w:rPr>
              <w:t>）</w:t>
            </w:r>
            <w:r>
              <w:rPr>
                <w:rFonts w:hint="eastAsia" w:eastAsia="宋体" w:cs="宋体"/>
                <w:color w:val="FF0000"/>
              </w:rPr>
              <w:t>，若因此造成应标不成功，后果由投标人自行承担。</w:t>
            </w:r>
          </w:p>
          <w:p>
            <w:pPr>
              <w:pStyle w:val="115"/>
              <w:spacing w:line="240" w:lineRule="auto"/>
              <w:ind w:firstLine="482"/>
              <w:rPr>
                <w:rFonts w:hint="eastAsia" w:eastAsia="宋体" w:cs="宋体"/>
              </w:rPr>
            </w:pPr>
            <w:r>
              <w:rPr>
                <w:rFonts w:hint="eastAsia" w:eastAsia="宋体" w:cs="宋体"/>
                <w:color w:val="FF0000"/>
              </w:rPr>
              <w:t>(更新路径:重汽e采通-供应商中心-供应商变更-供应商财务数据变更管理)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 xml:space="preserve"> 30 </w:t>
            </w:r>
            <w:r>
              <w:rPr>
                <w:rFonts w:hint="eastAsia" w:eastAsia="宋体" w:cs="宋体"/>
                <w:highlight w:val="yellow"/>
              </w:rPr>
              <w:t>日</w:t>
            </w:r>
            <w:r>
              <w:rPr>
                <w:rFonts w:hint="eastAsia" w:eastAsia="宋体" w:cs="宋体"/>
                <w:highlight w:val="yellow"/>
                <w:lang w:val="en-US" w:eastAsia="zh-CN"/>
              </w:rPr>
              <w:t>17时00分00秒</w:t>
            </w:r>
          </w:p>
          <w:p>
            <w:pPr>
              <w:pStyle w:val="115"/>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 xml:space="preserve"> 4  </w:t>
            </w:r>
            <w:r>
              <w:rPr>
                <w:rFonts w:hint="eastAsia" w:ascii="宋体"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bookmarkStart w:id="122" w:name="_GoBack"/>
            <w:bookmarkEnd w:id="122"/>
            <w:r>
              <w:rPr>
                <w:rFonts w:hint="eastAsia" w:ascii="宋体" w:hAnsi="宋体" w:eastAsia="宋体" w:cs="宋体"/>
                <w:sz w:val="24"/>
                <w:szCs w:val="24"/>
                <w:highlight w:val="yellow"/>
              </w:rPr>
              <w:t>）</w:t>
            </w:r>
          </w:p>
          <w:p>
            <w:pPr>
              <w:pStyle w:val="18"/>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lang w:val="en-US" w:eastAsia="zh-CN"/>
              </w:rPr>
              <w:t>单位</w:t>
            </w:r>
            <w:r>
              <w:rPr>
                <w:rFonts w:hint="eastAsia" w:ascii="宋体" w:hAnsi="宋体" w:eastAsia="宋体" w:cs="宋体"/>
                <w:b/>
                <w:bCs/>
                <w:color w:val="000000"/>
                <w:kern w:val="0"/>
                <w:sz w:val="24"/>
                <w:szCs w:val="24"/>
                <w:highlight w:val="yellow"/>
              </w:rPr>
              <w:t>名称：</w:t>
            </w:r>
            <w:r>
              <w:rPr>
                <w:rFonts w:ascii="宋体" w:hAnsi="宋体" w:eastAsia="宋体" w:cs="宋体"/>
                <w:sz w:val="24"/>
                <w:szCs w:val="24"/>
              </w:rPr>
              <w:t>中国重汽集团济南卡车股份有限公司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rPr>
              <w:t>招商银行股份有限公司济南分行营业部</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sz w:val="24"/>
                <w:szCs w:val="24"/>
              </w:rPr>
              <w:t>531900051810601</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ascii="宋体" w:hAnsi="宋体" w:eastAsia="宋体" w:cs="宋体"/>
                <w:sz w:val="24"/>
                <w:szCs w:val="24"/>
              </w:rPr>
              <w:t>308451028020</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r>
              <w:rPr>
                <w:rFonts w:hint="eastAsia" w:eastAsia="宋体" w:cs="Times New Roman"/>
                <w:sz w:val="24"/>
                <w:szCs w:val="28"/>
                <w:highlight w:val="yellow"/>
                <w:lang w:val="en-US" w:eastAsia="zh-CN"/>
              </w:rPr>
              <w:t>严格按照此格式备注</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 xml:space="preserve"> 5  </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hint="eastAsia" w:ascii="宋体" w:hAnsi="宋体" w:eastAsia="宋体" w:cs="宋体"/>
                <w:kern w:val="0"/>
                <w:sz w:val="24"/>
                <w:szCs w:val="24"/>
                <w:highlight w:val="yellow"/>
                <w:lang w:val="en-US" w:eastAsia="zh-CN"/>
              </w:rPr>
              <w:t>暂定，具体时间地点另行通知</w:t>
            </w:r>
            <w:r>
              <w:rPr>
                <w:rFonts w:hint="eastAsia" w:ascii="宋体" w:hAnsi="宋体" w:eastAsia="宋体" w:cs="宋体"/>
                <w:kern w:val="0"/>
                <w:sz w:val="24"/>
                <w:szCs w:val="24"/>
                <w:highlight w:val="yellow"/>
                <w:lang w:eastAsia="zh-CN"/>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三楼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资质标审核→唱标→商务标评审。原则上选取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yellow"/>
                <w:lang w:val="en-US" w:eastAsia="zh-CN"/>
              </w:rPr>
              <w:t>3个月内</w:t>
            </w:r>
            <w:r>
              <w:rPr>
                <w:rFonts w:hint="eastAsia" w:hAnsi="宋体" w:eastAsia="宋体" w:cs="宋体"/>
                <w:color w:val="000000"/>
                <w:sz w:val="24"/>
                <w:szCs w:val="24"/>
                <w:highlight w:val="none"/>
              </w:rPr>
              <w:t>完成现场安装调试及培训服务。</w:t>
            </w:r>
          </w:p>
          <w:p>
            <w:pPr>
              <w:pStyle w:val="18"/>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none"/>
              </w:rPr>
              <w:t>安装调试工期超过</w:t>
            </w:r>
            <w:r>
              <w:rPr>
                <w:rFonts w:hint="eastAsia" w:hAnsi="宋体" w:eastAsia="宋体" w:cs="宋体"/>
                <w:color w:val="000000"/>
                <w:sz w:val="24"/>
                <w:szCs w:val="24"/>
                <w:highlight w:val="yellow"/>
                <w:u w:val="none"/>
                <w:lang w:val="en-US" w:eastAsia="zh-CN"/>
              </w:rPr>
              <w:t>15</w:t>
            </w:r>
            <w:r>
              <w:rPr>
                <w:rFonts w:hint="eastAsia" w:ascii="宋体" w:hAnsi="宋体" w:eastAsia="宋体" w:cs="宋体"/>
                <w:color w:val="000000"/>
                <w:sz w:val="24"/>
                <w:szCs w:val="24"/>
                <w:highlight w:val="yellow"/>
                <w:u w:val="none"/>
              </w:rPr>
              <w:t>个日历日</w:t>
            </w:r>
            <w:r>
              <w:rPr>
                <w:rFonts w:hint="eastAsia" w:ascii="宋体" w:hAnsi="宋体" w:eastAsia="宋体" w:cs="宋体"/>
                <w:color w:val="000000"/>
                <w:sz w:val="24"/>
                <w:szCs w:val="24"/>
                <w:highlight w:val="yellow"/>
              </w:rPr>
              <w:t>的</w:t>
            </w:r>
            <w:r>
              <w:rPr>
                <w:rFonts w:hint="eastAsia" w:ascii="宋体" w:hAnsi="宋体" w:eastAsia="宋体" w:cs="宋体"/>
                <w:color w:val="000000"/>
                <w:sz w:val="24"/>
                <w:szCs w:val="24"/>
                <w:highlight w:val="none"/>
              </w:rPr>
              <w:t>，投标人应当随标书提供详细的工期计划。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lang w:val="en-US" w:eastAsia="zh-CN"/>
              </w:rPr>
              <w:t>济南卡车制造公司</w:t>
            </w:r>
            <w:r>
              <w:rPr>
                <w:rFonts w:hint="eastAsia" w:ascii="宋体" w:hAnsi="宋体" w:eastAsia="宋体" w:cs="宋体"/>
                <w:color w:val="000000"/>
                <w:sz w:val="24"/>
                <w:szCs w:val="24"/>
                <w:highlight w:val="yellow"/>
                <w:u w:val="single"/>
              </w:rPr>
              <w:t>莱芜工厂</w:t>
            </w:r>
            <w:r>
              <w:rPr>
                <w:rFonts w:hint="eastAsia" w:ascii="宋体" w:hAnsi="宋体" w:eastAsia="宋体" w:cs="宋体"/>
                <w:color w:val="000000"/>
                <w:sz w:val="24"/>
                <w:szCs w:val="24"/>
                <w:highlight w:val="yellow"/>
                <w:u w:val="single"/>
                <w:lang w:val="en-US" w:eastAsia="zh-CN"/>
              </w:rPr>
              <w:t>总装一部内</w:t>
            </w:r>
            <w:r>
              <w:rPr>
                <w:rFonts w:hint="eastAsia" w:ascii="宋体" w:hAnsi="宋体" w:eastAsia="宋体" w:cs="宋体"/>
                <w:color w:val="000000"/>
                <w:kern w:val="2"/>
                <w:sz w:val="24"/>
                <w:szCs w:val="24"/>
                <w:lang w:val="en-US" w:eastAsia="zh-CN" w:bidi="ar-S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%，正本一份，复印件二份），经买方依照财务制度审核无误后支付。</w:t>
            </w:r>
          </w:p>
          <w:p>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yellow"/>
                <w:lang w:eastAsia="zh-CN"/>
              </w:rPr>
              <w:t>。</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lang w:val="en-US" w:eastAsia="zh-CN"/>
              </w:rPr>
              <w:t>详见合同签订信息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w:t>
            </w:r>
            <w:r>
              <w:rPr>
                <w:rFonts w:hint="eastAsia" w:ascii="宋体" w:hAnsi="宋体" w:eastAsia="宋体" w:cs="宋体"/>
                <w:sz w:val="24"/>
                <w:szCs w:val="24"/>
                <w:highlight w:val="yellow"/>
                <w:lang w:val="en-US" w:eastAsia="zh-CN"/>
              </w:rPr>
              <w:t>0</w:t>
            </w:r>
            <w:r>
              <w:rPr>
                <w:rFonts w:hint="eastAsia" w:ascii="宋体" w:hAnsi="宋体" w:eastAsia="宋体" w:cs="宋体"/>
                <w:sz w:val="24"/>
                <w:szCs w:val="24"/>
                <w:highlight w:val="none"/>
              </w:rPr>
              <w:t>日内需根据设计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8"/>
        <w:jc w:val="center"/>
        <w:outlineLvl w:val="0"/>
        <w:rPr>
          <w:rFonts w:hint="eastAsia" w:ascii="Calibri" w:hAnsi="Calibri" w:eastAsia="宋体" w:cs="Times New Roman"/>
          <w:b/>
          <w:bCs/>
          <w:kern w:val="44"/>
          <w:sz w:val="36"/>
          <w:szCs w:val="44"/>
        </w:rPr>
      </w:pPr>
      <w:bookmarkStart w:id="4" w:name="_Toc15609"/>
    </w:p>
    <w:p>
      <w:pPr>
        <w:pStyle w:val="18"/>
        <w:jc w:val="center"/>
        <w:outlineLvl w:val="0"/>
        <w:rPr>
          <w:rFonts w:hint="eastAsia" w:ascii="Calibri" w:hAnsi="Calibri" w:eastAsia="宋体" w:cs="Times New Roman"/>
          <w:b/>
          <w:bCs/>
          <w:kern w:val="44"/>
          <w:sz w:val="36"/>
          <w:szCs w:val="44"/>
        </w:rPr>
      </w:pPr>
    </w:p>
    <w:p>
      <w:pPr>
        <w:pStyle w:val="18"/>
        <w:jc w:val="center"/>
        <w:outlineLvl w:val="0"/>
        <w:rPr>
          <w:rFonts w:hint="eastAsia" w:ascii="Calibri" w:hAnsi="Calibri" w:eastAsia="宋体" w:cs="Times New Roman"/>
          <w:b/>
          <w:bCs/>
          <w:kern w:val="44"/>
          <w:sz w:val="36"/>
          <w:szCs w:val="44"/>
        </w:rPr>
      </w:pPr>
    </w:p>
    <w:p>
      <w:pPr>
        <w:pStyle w:val="18"/>
        <w:jc w:val="center"/>
        <w:outlineLvl w:val="0"/>
        <w:rPr>
          <w:rFonts w:hint="eastAsia" w:ascii="Calibri" w:hAnsi="Calibri" w:eastAsia="宋体" w:cs="Times New Roman"/>
          <w:b/>
          <w:bCs/>
          <w:kern w:val="44"/>
          <w:sz w:val="36"/>
          <w:szCs w:val="44"/>
        </w:rPr>
      </w:pPr>
    </w:p>
    <w:p>
      <w:pPr>
        <w:pStyle w:val="18"/>
        <w:jc w:val="center"/>
        <w:outlineLvl w:val="0"/>
        <w:rPr>
          <w:rFonts w:hint="eastAsia" w:ascii="Calibri" w:hAnsi="Calibri" w:eastAsia="宋体" w:cs="Times New Roman"/>
          <w:b/>
          <w:bCs/>
          <w:kern w:val="44"/>
          <w:sz w:val="36"/>
          <w:szCs w:val="44"/>
        </w:rPr>
      </w:pPr>
    </w:p>
    <w:p>
      <w:pPr>
        <w:pStyle w:val="18"/>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5"/>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8"/>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5"/>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85487"/>
      <w:bookmarkStart w:id="7" w:name="_Toc33266914"/>
      <w:bookmarkStart w:id="8" w:name="_Toc33266950"/>
      <w:bookmarkStart w:id="9" w:name="_Toc33265752"/>
      <w:bookmarkStart w:id="10" w:name="_Toc33267001"/>
      <w:bookmarkStart w:id="11" w:name="_Toc33266627"/>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628"/>
      <w:bookmarkStart w:id="15" w:name="_Toc395116634"/>
      <w:bookmarkStart w:id="16" w:name="_Toc33285489"/>
      <w:bookmarkStart w:id="17" w:name="_Toc33265753"/>
      <w:bookmarkStart w:id="18" w:name="_Toc33266951"/>
      <w:bookmarkStart w:id="19" w:name="_Toc33267002"/>
      <w:bookmarkStart w:id="20" w:name="_Toc33265654"/>
      <w:bookmarkStart w:id="21" w:name="_Toc33266915"/>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8"/>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8"/>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1"/>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6"/>
      <w:bookmarkStart w:id="24" w:name="OLE_LINK29"/>
      <w:bookmarkStart w:id="25" w:name="OLE_LINK25"/>
      <w:bookmarkStart w:id="26" w:name="OLE_LINK28"/>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中国重汽集团济南卡车股份有限公司</w:t>
      </w:r>
      <w:r>
        <w:rPr>
          <w:rFonts w:hint="eastAsia" w:ascii="宋体" w:hAnsi="宋体" w:eastAsia="宋体" w:cs="宋体"/>
          <w:b/>
          <w:color w:val="000000"/>
          <w:sz w:val="24"/>
          <w:szCs w:val="24"/>
        </w:rPr>
        <w:t>。</w:t>
      </w:r>
    </w:p>
    <w:p>
      <w:pPr>
        <w:pStyle w:val="18"/>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8"/>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2022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11980"/>
      <w:bookmarkStart w:id="33" w:name="_Toc169605877"/>
      <w:r>
        <w:rPr>
          <w:rFonts w:hint="eastAsia" w:ascii="Calibri" w:hAnsi="Calibri" w:eastAsia="宋体" w:cs="Times New Roman"/>
          <w:b/>
          <w:bCs/>
          <w:kern w:val="44"/>
          <w:sz w:val="36"/>
          <w:szCs w:val="44"/>
        </w:rPr>
        <w:t>第四部分 技术标书</w:t>
      </w:r>
      <w:bookmarkEnd w:id="32"/>
    </w:p>
    <w:p>
      <w:pPr>
        <w:pStyle w:val="18"/>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中国重汽集团济南卡车制造公司</w:t>
      </w:r>
    </w:p>
    <w:p>
      <w:pPr>
        <w:jc w:val="center"/>
        <w:rPr>
          <w:rFonts w:hint="eastAsia" w:ascii="Calibri" w:hAnsi="Calibri" w:eastAsia="宋体" w:cs="Times New Roman"/>
          <w:b/>
          <w:bCs/>
          <w:color w:val="000000"/>
          <w:sz w:val="28"/>
          <w:szCs w:val="28"/>
          <w:lang w:eastAsia="zh-CN"/>
        </w:rPr>
      </w:pPr>
      <w:r>
        <w:rPr>
          <w:rFonts w:hint="eastAsia" w:ascii="Calibri" w:hAnsi="Calibri" w:eastAsia="宋体" w:cs="Times New Roman"/>
          <w:b/>
          <w:bCs/>
          <w:color w:val="000000"/>
          <w:sz w:val="48"/>
          <w:szCs w:val="48"/>
          <w:lang w:eastAsia="zh-CN"/>
        </w:rPr>
        <w:t>莱芜厂区新增后背电池行车技改项目</w:t>
      </w:r>
    </w:p>
    <w:p>
      <w:pPr>
        <w:pStyle w:val="18"/>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8"/>
      </w:pPr>
    </w:p>
    <w:p>
      <w:pPr>
        <w:pStyle w:val="18"/>
        <w:rPr>
          <w:rFonts w:ascii="黑体" w:hAnsi="宋体" w:eastAsia="黑体" w:cs="Times New Roman"/>
          <w:color w:val="000000"/>
          <w:sz w:val="72"/>
          <w:szCs w:val="72"/>
        </w:rPr>
      </w:pPr>
    </w:p>
    <w:p>
      <w:pPr>
        <w:pStyle w:val="18"/>
        <w:rPr>
          <w:rFonts w:ascii="黑体" w:hAnsi="宋体" w:eastAsia="黑体" w:cs="Times New Roman"/>
          <w:color w:val="000000"/>
          <w:sz w:val="72"/>
          <w:szCs w:val="72"/>
        </w:rPr>
      </w:pPr>
    </w:p>
    <w:p>
      <w:pPr>
        <w:pStyle w:val="18"/>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202</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lang w:eastAsia="zh-CN"/>
        </w:rPr>
        <w:t xml:space="preserve">年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lang w:eastAsia="zh-CN"/>
        </w:rPr>
        <w:t>月</w:t>
      </w:r>
    </w:p>
    <w:p>
      <w:pPr>
        <w:pStyle w:val="18"/>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8"/>
        <w:rPr>
          <w:rFonts w:hint="eastAsia" w:ascii="华文仿宋" w:hAnsi="华文仿宋" w:eastAsia="华文仿宋"/>
          <w:b/>
          <w:bCs/>
          <w:sz w:val="32"/>
          <w:szCs w:val="28"/>
        </w:rPr>
      </w:pPr>
    </w:p>
    <w:p>
      <w:pPr>
        <w:pStyle w:val="18"/>
        <w:rPr>
          <w:rFonts w:hint="eastAsia" w:ascii="华文仿宋" w:hAnsi="华文仿宋" w:eastAsia="华文仿宋"/>
          <w:b/>
          <w:bCs/>
          <w:sz w:val="32"/>
          <w:szCs w:val="28"/>
        </w:rPr>
      </w:pPr>
    </w:p>
    <w:p>
      <w:pPr>
        <w:pStyle w:val="18"/>
        <w:rPr>
          <w:rFonts w:hint="eastAsia" w:ascii="华文仿宋" w:hAnsi="华文仿宋" w:eastAsia="华文仿宋"/>
          <w:b/>
          <w:bCs/>
          <w:sz w:val="32"/>
          <w:szCs w:val="28"/>
        </w:rPr>
      </w:pPr>
    </w:p>
    <w:p>
      <w:pPr>
        <w:pStyle w:val="18"/>
        <w:rPr>
          <w:rFonts w:hint="eastAsia" w:ascii="华文仿宋" w:hAnsi="华文仿宋" w:eastAsia="华文仿宋"/>
          <w:b/>
          <w:bCs/>
          <w:sz w:val="32"/>
          <w:szCs w:val="28"/>
        </w:rPr>
      </w:pPr>
    </w:p>
    <w:p>
      <w:pPr>
        <w:spacing w:line="360" w:lineRule="auto"/>
        <w:rPr>
          <w:rFonts w:ascii="宋体" w:hAnsi="宋体" w:eastAsia="宋体"/>
          <w:b/>
          <w:sz w:val="36"/>
          <w:szCs w:val="36"/>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p>
    <w:p>
      <w:pPr>
        <w:keepNext/>
        <w:keepLines/>
        <w:spacing w:before="120" w:after="120" w:line="480" w:lineRule="exact"/>
        <w:jc w:val="center"/>
        <w:outlineLvl w:val="1"/>
        <w:rPr>
          <w:rFonts w:ascii="宋体" w:hAnsi="宋体" w:eastAsia="宋体"/>
          <w:b/>
          <w:bCs/>
          <w:kern w:val="44"/>
          <w:sz w:val="28"/>
          <w:szCs w:val="28"/>
        </w:rPr>
      </w:pPr>
      <w:r>
        <w:rPr>
          <w:rFonts w:hint="eastAsia" w:ascii="宋体" w:hAnsi="宋体" w:eastAsia="宋体"/>
          <w:b/>
          <w:bCs/>
          <w:kern w:val="44"/>
          <w:sz w:val="28"/>
          <w:szCs w:val="28"/>
        </w:rPr>
        <w:t>第一章采购货物概况</w:t>
      </w:r>
    </w:p>
    <w:p>
      <w:pPr>
        <w:keepNext/>
        <w:keepLines/>
        <w:spacing w:before="120" w:after="120" w:line="480" w:lineRule="exact"/>
        <w:jc w:val="center"/>
        <w:outlineLvl w:val="2"/>
        <w:rPr>
          <w:rFonts w:ascii="宋体" w:hAnsi="宋体" w:eastAsia="宋体"/>
          <w:b/>
          <w:bCs/>
          <w:sz w:val="24"/>
          <w:szCs w:val="24"/>
        </w:rPr>
      </w:pPr>
      <w:bookmarkStart w:id="34" w:name="_Toc169605878"/>
      <w:r>
        <w:rPr>
          <w:rFonts w:hint="eastAsia" w:ascii="宋体" w:hAnsi="宋体" w:eastAsia="宋体"/>
          <w:b/>
          <w:bCs/>
          <w:sz w:val="24"/>
          <w:szCs w:val="24"/>
        </w:rPr>
        <w:t>第一节使用环境</w:t>
      </w:r>
      <w:bookmarkEnd w:id="34"/>
    </w:p>
    <w:p>
      <w:pPr>
        <w:spacing w:line="360" w:lineRule="auto"/>
        <w:rPr>
          <w:rFonts w:hint="eastAsia" w:ascii="宋体" w:hAnsi="宋体" w:eastAsia="宋体"/>
          <w:sz w:val="24"/>
          <w:szCs w:val="24"/>
          <w:u w:val="single"/>
        </w:rPr>
      </w:pPr>
      <w:r>
        <w:rPr>
          <w:rFonts w:hint="eastAsia" w:ascii="宋体" w:hAnsi="宋体" w:eastAsia="宋体"/>
          <w:sz w:val="24"/>
          <w:szCs w:val="24"/>
        </w:rPr>
        <w:t>一、项目名称：</w:t>
      </w:r>
      <w:r>
        <w:rPr>
          <w:rFonts w:hint="eastAsia" w:ascii="宋体" w:hAnsi="宋体" w:eastAsia="宋体" w:cs="宋体"/>
          <w:sz w:val="24"/>
          <w:szCs w:val="24"/>
          <w:highlight w:val="none"/>
          <w:u w:val="single"/>
          <w:lang w:val="en-US" w:eastAsia="zh-CN"/>
        </w:rPr>
        <w:t>济南卡车制造公司莱芜厂区新增后背电池行车技改项目</w:t>
      </w:r>
    </w:p>
    <w:p>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中国重汽集团济南卡车制造公司</w:t>
      </w:r>
    </w:p>
    <w:p>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中国重汽集团济南卡车制造公司</w:t>
      </w:r>
      <w:r>
        <w:rPr>
          <w:rFonts w:hint="eastAsia" w:ascii="宋体" w:hAnsi="宋体" w:eastAsia="宋体" w:cs="宋体"/>
          <w:color w:val="000000"/>
          <w:sz w:val="24"/>
          <w:szCs w:val="24"/>
          <w:u w:val="single"/>
          <w:lang w:val="en-US" w:eastAsia="zh-CN"/>
        </w:rPr>
        <w:t>莱芜</w:t>
      </w:r>
      <w:r>
        <w:rPr>
          <w:rFonts w:hint="eastAsia" w:ascii="宋体" w:hAnsi="宋体" w:eastAsia="宋体" w:cs="宋体"/>
          <w:color w:val="000000"/>
          <w:sz w:val="24"/>
          <w:szCs w:val="24"/>
          <w:u w:val="single"/>
        </w:rPr>
        <w:t>工厂</w:t>
      </w:r>
    </w:p>
    <w:p>
      <w:pPr>
        <w:pStyle w:val="129"/>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8"/>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8"/>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pPr>
        <w:keepNext/>
        <w:keepLines/>
        <w:spacing w:before="120" w:after="120" w:line="480" w:lineRule="exact"/>
        <w:jc w:val="center"/>
        <w:outlineLvl w:val="2"/>
        <w:rPr>
          <w:rFonts w:ascii="宋体" w:hAnsi="宋体" w:eastAsia="宋体"/>
          <w:b/>
          <w:bCs/>
          <w:sz w:val="24"/>
          <w:szCs w:val="24"/>
        </w:rPr>
      </w:pPr>
      <w:r>
        <w:rPr>
          <w:rFonts w:hint="eastAsia" w:ascii="宋体" w:hAnsi="宋体" w:eastAsia="宋体"/>
          <w:b/>
          <w:bCs/>
          <w:sz w:val="24"/>
          <w:szCs w:val="24"/>
        </w:rPr>
        <w:t>第二节采购货物概况</w:t>
      </w:r>
    </w:p>
    <w:p>
      <w:pPr>
        <w:pStyle w:val="129"/>
        <w:numPr>
          <w:ilvl w:val="0"/>
          <w:numId w:val="12"/>
        </w:numPr>
        <w:spacing w:line="420" w:lineRule="exact"/>
        <w:ind w:firstLineChars="0"/>
        <w:outlineLvl w:val="3"/>
        <w:rPr>
          <w:rFonts w:ascii="宋体" w:hAnsi="宋体" w:eastAsia="宋体"/>
          <w:bCs/>
          <w:sz w:val="24"/>
          <w:szCs w:val="24"/>
        </w:rPr>
      </w:pPr>
      <w:r>
        <w:rPr>
          <w:rFonts w:hint="eastAsia" w:ascii="宋体" w:hAnsi="宋体" w:eastAsia="宋体"/>
          <w:b/>
          <w:sz w:val="24"/>
          <w:szCs w:val="24"/>
        </w:rPr>
        <w:t>货物名称：10</w:t>
      </w:r>
      <w:r>
        <w:rPr>
          <w:rFonts w:hint="eastAsia" w:ascii="宋体" w:hAnsi="宋体" w:eastAsia="宋体"/>
          <w:b/>
          <w:sz w:val="24"/>
          <w:szCs w:val="24"/>
          <w:lang w:val="en-US" w:eastAsia="zh-CN"/>
        </w:rPr>
        <w:t>T</w:t>
      </w:r>
      <w:r>
        <w:rPr>
          <w:rFonts w:hint="eastAsia" w:ascii="宋体" w:hAnsi="宋体" w:eastAsia="宋体"/>
          <w:b/>
          <w:sz w:val="24"/>
          <w:szCs w:val="24"/>
        </w:rPr>
        <w:t>单梁</w:t>
      </w:r>
      <w:r>
        <w:rPr>
          <w:rFonts w:hint="eastAsia" w:ascii="宋体" w:hAnsi="宋体" w:eastAsia="宋体"/>
          <w:b/>
          <w:sz w:val="24"/>
          <w:szCs w:val="24"/>
          <w:lang w:val="en-US" w:eastAsia="zh-CN"/>
        </w:rPr>
        <w:t>欧式</w:t>
      </w:r>
      <w:r>
        <w:rPr>
          <w:rFonts w:hint="eastAsia" w:ascii="宋体" w:hAnsi="宋体" w:eastAsia="宋体"/>
          <w:b/>
          <w:sz w:val="24"/>
          <w:szCs w:val="24"/>
        </w:rPr>
        <w:t>行车</w:t>
      </w:r>
    </w:p>
    <w:p>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318"/>
        <w:gridCol w:w="1770"/>
        <w:gridCol w:w="498"/>
        <w:gridCol w:w="708"/>
        <w:gridCol w:w="1276"/>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7"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序号</w:t>
            </w:r>
          </w:p>
        </w:tc>
        <w:tc>
          <w:tcPr>
            <w:tcW w:w="1318"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名称</w:t>
            </w:r>
          </w:p>
        </w:tc>
        <w:tc>
          <w:tcPr>
            <w:tcW w:w="177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规格</w:t>
            </w:r>
          </w:p>
        </w:tc>
        <w:tc>
          <w:tcPr>
            <w:tcW w:w="498"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单位</w:t>
            </w:r>
          </w:p>
        </w:tc>
        <w:tc>
          <w:tcPr>
            <w:tcW w:w="708"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数量</w:t>
            </w:r>
          </w:p>
        </w:tc>
        <w:tc>
          <w:tcPr>
            <w:tcW w:w="1276"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交货方式</w:t>
            </w:r>
          </w:p>
        </w:tc>
        <w:tc>
          <w:tcPr>
            <w:tcW w:w="2413"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17"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1</w:t>
            </w:r>
          </w:p>
        </w:tc>
        <w:tc>
          <w:tcPr>
            <w:tcW w:w="1318" w:type="dxa"/>
            <w:vAlign w:val="center"/>
          </w:tcPr>
          <w:p>
            <w:pPr>
              <w:keepNext w:val="0"/>
              <w:keepLines w:val="0"/>
              <w:widowControl/>
              <w:suppressLineNumbers w:val="0"/>
              <w:spacing w:before="0" w:beforeAutospacing="0" w:after="0" w:afterAutospacing="0"/>
              <w:ind w:left="0" w:right="0"/>
              <w:jc w:val="center"/>
              <w:rPr>
                <w:rFonts w:hint="default" w:ascii="仿宋_GB2312" w:hAnsi="仿宋_GB2312" w:eastAsia="仿宋_GB2312" w:cs="仿宋_GB2312"/>
                <w:color w:val="000000"/>
                <w:kern w:val="0"/>
                <w:sz w:val="24"/>
                <w:szCs w:val="24"/>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T</w:t>
            </w:r>
            <w:r>
              <w:rPr>
                <w:rFonts w:hint="eastAsia" w:ascii="宋体" w:hAnsi="宋体" w:eastAsia="宋体" w:cs="宋体"/>
                <w:color w:val="auto"/>
                <w:sz w:val="24"/>
                <w:szCs w:val="24"/>
                <w:highlight w:val="none"/>
              </w:rPr>
              <w:t>单梁欧式行车</w:t>
            </w:r>
          </w:p>
        </w:tc>
        <w:tc>
          <w:tcPr>
            <w:tcW w:w="1770" w:type="dxa"/>
            <w:vAlign w:val="center"/>
          </w:tcPr>
          <w:p>
            <w:pPr>
              <w:keepNext w:val="0"/>
              <w:keepLines w:val="0"/>
              <w:widowControl/>
              <w:suppressLineNumbers w:val="0"/>
              <w:spacing w:before="0" w:beforeAutospacing="0" w:after="0" w:afterAutospacing="0"/>
              <w:ind w:left="0" w:right="0"/>
              <w:jc w:val="center"/>
              <w:rPr>
                <w:rFonts w:hint="default" w:ascii="宋体" w:hAnsi="宋体" w:eastAsia="仿宋_GB2312"/>
                <w:b/>
                <w:bCs/>
                <w:lang w:val="en-US"/>
              </w:rPr>
            </w:pPr>
            <w:r>
              <w:rPr>
                <w:rFonts w:hint="eastAsia" w:ascii="宋体" w:hAnsi="宋体" w:eastAsia="宋体" w:cs="宋体"/>
                <w:color w:val="auto"/>
                <w:sz w:val="24"/>
                <w:szCs w:val="24"/>
                <w:highlight w:val="none"/>
                <w:lang w:val="en-US" w:eastAsia="zh-CN"/>
              </w:rPr>
              <w:t>Gn=10t、So=9.7m、Lo=11m、A5</w:t>
            </w:r>
          </w:p>
        </w:tc>
        <w:tc>
          <w:tcPr>
            <w:tcW w:w="498"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套</w:t>
            </w:r>
          </w:p>
        </w:tc>
        <w:tc>
          <w:tcPr>
            <w:tcW w:w="708"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1</w:t>
            </w:r>
          </w:p>
        </w:tc>
        <w:tc>
          <w:tcPr>
            <w:tcW w:w="1276"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b/>
              </w:rPr>
            </w:pPr>
            <w:r>
              <w:rPr>
                <w:rFonts w:hint="eastAsia" w:ascii="宋体" w:hAnsi="宋体" w:eastAsia="宋体"/>
                <w:b/>
              </w:rPr>
              <w:t>交钥匙方式</w:t>
            </w:r>
          </w:p>
        </w:tc>
        <w:tc>
          <w:tcPr>
            <w:tcW w:w="2413"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b/>
                <w:lang w:val="en-US" w:eastAsia="zh-CN"/>
              </w:rPr>
            </w:pPr>
            <w:r>
              <w:rPr>
                <w:rFonts w:hint="eastAsia" w:ascii="宋体" w:hAnsi="宋体" w:eastAsia="宋体"/>
                <w:b/>
              </w:rPr>
              <w:t>含滑线</w:t>
            </w:r>
            <w:r>
              <w:rPr>
                <w:rFonts w:hint="eastAsia" w:ascii="宋体" w:hAnsi="宋体" w:eastAsia="宋体"/>
                <w:b/>
                <w:lang w:val="en-US" w:eastAsia="zh-CN"/>
              </w:rPr>
              <w:t>11</w:t>
            </w:r>
            <w:r>
              <w:rPr>
                <w:rFonts w:hint="eastAsia" w:ascii="宋体" w:hAnsi="宋体" w:eastAsia="宋体"/>
                <w:b/>
                <w:lang w:eastAsia="zh-CN"/>
              </w:rPr>
              <w:t>m</w:t>
            </w:r>
            <w:r>
              <w:rPr>
                <w:rFonts w:hint="eastAsia" w:ascii="宋体" w:hAnsi="宋体" w:eastAsia="宋体"/>
                <w:b/>
              </w:rPr>
              <w:t>，轨道</w:t>
            </w:r>
            <w:r>
              <w:rPr>
                <w:rFonts w:hint="eastAsia" w:ascii="宋体" w:hAnsi="宋体" w:eastAsia="宋体"/>
                <w:b/>
                <w:lang w:val="en-US" w:eastAsia="zh-CN"/>
              </w:rPr>
              <w:t>9.4</w:t>
            </w:r>
            <w:r>
              <w:rPr>
                <w:rFonts w:hint="eastAsia" w:ascii="宋体" w:hAnsi="宋体" w:eastAsia="宋体"/>
                <w:b/>
                <w:lang w:eastAsia="zh-CN"/>
              </w:rPr>
              <w:t>m</w:t>
            </w:r>
            <w:r>
              <w:rPr>
                <w:rFonts w:hint="eastAsia" w:ascii="宋体" w:hAnsi="宋体" w:eastAsia="宋体"/>
                <w:b/>
              </w:rPr>
              <w:t>，配套土建基础、行车框架、钢结构框架改造</w:t>
            </w:r>
            <w:r>
              <w:rPr>
                <w:rFonts w:hint="eastAsia" w:ascii="宋体" w:hAnsi="宋体" w:eastAsia="宋体"/>
                <w:b/>
                <w:lang w:val="en-US" w:eastAsia="zh-CN"/>
              </w:rPr>
              <w:t>等</w:t>
            </w: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13"/>
      </w:pPr>
    </w:p>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b/>
          <w:color w:val="000000"/>
          <w:sz w:val="24"/>
          <w:szCs w:val="24"/>
        </w:rPr>
        <w:t>、采购货物特别说明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主要器件品牌表：</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元器件建议按照下表清单中的标准选用，投标方投标时提供选用规格清单,最终规格待图纸会签时确定，</w:t>
      </w:r>
      <w:r>
        <w:rPr>
          <w:rFonts w:hint="eastAsia" w:ascii="宋体" w:hAnsi="宋体" w:eastAsia="宋体" w:cs="宋体"/>
          <w:bCs/>
          <w:sz w:val="24"/>
          <w:szCs w:val="24"/>
          <w:highlight w:val="yellow"/>
        </w:rPr>
        <w:t>可选同等或</w:t>
      </w:r>
      <w:r>
        <w:rPr>
          <w:rFonts w:hint="eastAsia" w:ascii="宋体" w:hAnsi="宋体" w:eastAsia="宋体" w:cs="宋体"/>
          <w:bCs/>
          <w:sz w:val="24"/>
          <w:szCs w:val="24"/>
          <w:highlight w:val="yellow"/>
          <w:lang w:val="en-US" w:eastAsia="zh-CN"/>
        </w:rPr>
        <w:t>国内一流</w:t>
      </w:r>
      <w:r>
        <w:rPr>
          <w:rFonts w:hint="eastAsia" w:ascii="宋体" w:hAnsi="宋体" w:eastAsia="宋体" w:cs="宋体"/>
          <w:bCs/>
          <w:sz w:val="24"/>
          <w:szCs w:val="24"/>
          <w:highlight w:val="yellow"/>
        </w:rPr>
        <w:t>品牌。</w:t>
      </w:r>
    </w:p>
    <w:tbl>
      <w:tblPr>
        <w:tblStyle w:val="39"/>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0" w:type="dxa"/>
          <w:left w:w="108" w:type="dxa"/>
          <w:bottom w:w="170" w:type="dxa"/>
          <w:right w:w="108" w:type="dxa"/>
        </w:tblCellMar>
      </w:tblPr>
      <w:tblGrid>
        <w:gridCol w:w="1031"/>
        <w:gridCol w:w="1114"/>
        <w:gridCol w:w="1925"/>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序号</w:t>
            </w:r>
          </w:p>
        </w:tc>
        <w:tc>
          <w:tcPr>
            <w:tcW w:w="3039" w:type="dxa"/>
            <w:gridSpan w:val="2"/>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名     称</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rPr>
            </w:pPr>
            <w:r>
              <w:rPr>
                <w:rFonts w:hint="eastAsia" w:ascii="宋体" w:hAnsi="宋体" w:cs="宋体"/>
                <w:kern w:val="0"/>
                <w:szCs w:val="21"/>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default" w:ascii="宋体" w:hAnsi="宋体" w:eastAsia="等线" w:cs="宋体"/>
                <w:color w:val="000000"/>
                <w:sz w:val="21"/>
                <w:szCs w:val="21"/>
                <w:lang w:val="en-US" w:eastAsia="zh-CN"/>
              </w:rPr>
            </w:pPr>
            <w:r>
              <w:rPr>
                <w:rFonts w:hint="eastAsia" w:ascii="宋体" w:hAnsi="宋体" w:cs="宋体"/>
                <w:b/>
                <w:bCs/>
                <w:color w:val="000000"/>
                <w:sz w:val="21"/>
                <w:szCs w:val="21"/>
              </w:rPr>
              <w:t>主端梁金属钢结构</w:t>
            </w:r>
            <w:r>
              <w:rPr>
                <w:rFonts w:hint="eastAsia" w:ascii="宋体" w:hAnsi="宋体" w:cs="宋体"/>
                <w:b/>
                <w:bCs/>
                <w:color w:val="000000"/>
                <w:sz w:val="21"/>
                <w:szCs w:val="21"/>
                <w:lang w:val="en-US" w:eastAsia="zh-CN"/>
              </w:rPr>
              <w:t>及立柱材料</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山钢，莱钢、宝武、鞍钢等品牌大厂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714"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2</w:t>
            </w:r>
          </w:p>
        </w:tc>
        <w:tc>
          <w:tcPr>
            <w:tcW w:w="1114" w:type="dxa"/>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cs="宋体"/>
                <w:b/>
                <w:bCs/>
                <w:color w:val="000000"/>
                <w:sz w:val="21"/>
                <w:szCs w:val="21"/>
                <w:lang w:val="en-US" w:eastAsia="zh-CN"/>
              </w:rPr>
              <w:t>起升机构</w:t>
            </w:r>
          </w:p>
        </w:tc>
        <w:tc>
          <w:tcPr>
            <w:tcW w:w="1925"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电动葫芦品牌</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Novocranes诺威、BRIMA八马、WORLD华德或同档次品牌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3</w:t>
            </w:r>
          </w:p>
        </w:tc>
        <w:tc>
          <w:tcPr>
            <w:tcW w:w="111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p>
        </w:tc>
        <w:tc>
          <w:tcPr>
            <w:tcW w:w="1925"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钢丝绳</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英国布顿、英制钢缆、韩国荣盛或同档次品牌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4</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大</w:t>
            </w:r>
            <w:r>
              <w:rPr>
                <w:rFonts w:hint="eastAsia" w:ascii="宋体" w:hAnsi="宋体" w:cs="宋体"/>
                <w:b/>
                <w:bCs/>
                <w:color w:val="000000"/>
                <w:sz w:val="21"/>
                <w:szCs w:val="21"/>
                <w:lang w:val="en-US" w:eastAsia="zh-CN"/>
              </w:rPr>
              <w:t>小</w:t>
            </w:r>
            <w:r>
              <w:rPr>
                <w:rFonts w:hint="eastAsia" w:ascii="宋体" w:hAnsi="宋体" w:cs="宋体"/>
                <w:b/>
                <w:bCs/>
                <w:color w:val="000000"/>
                <w:sz w:val="21"/>
                <w:szCs w:val="21"/>
              </w:rPr>
              <w:t>车驱动三合一电机</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fr-FR" w:eastAsia="zh-CN"/>
              </w:rPr>
            </w:pPr>
            <w:r>
              <w:rPr>
                <w:rFonts w:hint="eastAsia" w:ascii="宋体" w:hAnsi="宋体" w:cs="宋体"/>
                <w:kern w:val="0"/>
                <w:szCs w:val="21"/>
                <w:lang w:val="en-US" w:eastAsia="zh-CN"/>
              </w:rPr>
              <w:t>ABM、SEW、BONENG博能或同档次品牌（要求一级能效*）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5</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变频器</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西门子、日本安川、施耐德或同档次品牌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6</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电气元器件</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施耐德、西门子或同档次品牌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7</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手操</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欧姆、韩起、台湾禹鼎、施耐德或同档次品牌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8</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按钮遥控</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欧姆、韩起、台湾禹鼎、施耐德或同档次品牌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9</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lang w:val="en-US" w:eastAsia="zh-CN"/>
              </w:rPr>
            </w:pPr>
            <w:r>
              <w:rPr>
                <w:rFonts w:hint="eastAsia" w:ascii="宋体" w:hAnsi="宋体" w:cs="宋体"/>
                <w:b/>
                <w:bCs/>
                <w:color w:val="000000"/>
                <w:sz w:val="21"/>
                <w:szCs w:val="21"/>
              </w:rPr>
              <w:t>滑线</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济南德玛、武汉汉发同档次品牌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10</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大、小车限位开关</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施耐德、韩起、房山或同档次品牌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11</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欧式主梁及钢结构</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材质不低于Q235-B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12</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欧式端梁</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轴承：NSK、SKF、FAG品牌产品或同档次</w:t>
            </w:r>
          </w:p>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车轮：42CrMo铸钢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13</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轨道及附件</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河北永洋同或同档次牌国内品牌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14</w:t>
            </w:r>
          </w:p>
        </w:tc>
        <w:tc>
          <w:tcPr>
            <w:tcW w:w="3039"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电缆</w:t>
            </w:r>
          </w:p>
        </w:tc>
        <w:tc>
          <w:tcPr>
            <w:tcW w:w="5370" w:type="dxa"/>
            <w:noWrap w:val="0"/>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江苏上上、远东电缆等国内一线品牌</w:t>
            </w:r>
          </w:p>
        </w:tc>
      </w:tr>
    </w:tbl>
    <w:p>
      <w:pPr>
        <w:pStyle w:val="13"/>
        <w:ind w:left="0" w:leftChars="0" w:firstLine="0" w:firstLineChars="0"/>
        <w:rPr>
          <w:rFonts w:hint="eastAsia"/>
        </w:rPr>
      </w:pP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rPr>
          <w:rFonts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1、投标方须对防冻液真空加注机提升总装线适应性改造项目施工详细内容充分分析，识别出总装产线需要变更的变化点并提供详细的工艺方案，同时以此为报价基础。</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油壶口位置不变的情况下，如发现问题，可对加注形式、设备结构、用电量等工艺参数提出修改意见和改进措施。对设备的运转质量负最终责任。对设计修改部分提供完整技术资料。</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spacing w:line="360" w:lineRule="auto"/>
        <w:ind w:firstLine="480" w:firstLineChars="200"/>
        <w:rPr>
          <w:rFonts w:hint="eastAsia" w:ascii="宋体" w:hAnsi="宋体" w:eastAsia="宋体"/>
          <w:bCs/>
          <w:sz w:val="24"/>
          <w:szCs w:val="24"/>
          <w:highlight w:val="cyan"/>
          <w:lang w:eastAsia="zh-CN"/>
        </w:rPr>
      </w:pPr>
      <w:r>
        <w:rPr>
          <w:rFonts w:hint="eastAsia" w:ascii="宋体" w:hAnsi="宋体" w:eastAsia="宋体"/>
          <w:bCs/>
          <w:sz w:val="24"/>
          <w:szCs w:val="24"/>
          <w:highlight w:val="yellow"/>
        </w:rPr>
        <w:t>原则上，本项目中电机功率＞7.5kW,必须选用一级能效。电机功率&lt;7.5kW，优先选用一级能效；其中对于能源供应类设备及年运行时间≥2000h工艺设备的电机必须选用一级能效。杜绝选用三级及以下能效。</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主、辅材的采购、供应；</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lang w:val="en-US" w:eastAsia="zh-CN"/>
        </w:rPr>
        <w:t>负责</w:t>
      </w:r>
      <w:r>
        <w:rPr>
          <w:rFonts w:hint="eastAsia" w:ascii="宋体" w:hAnsi="宋体" w:eastAsia="宋体"/>
          <w:bCs/>
          <w:sz w:val="24"/>
          <w:szCs w:val="24"/>
        </w:rPr>
        <w:t>土建施工，负责检查各种预留孔洞、沟槽和预埋件的位置、尺寸；</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配合业主方进行工艺调试；</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pPr>
        <w:numPr>
          <w:ilvl w:val="0"/>
          <w:numId w:val="13"/>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numPr>
          <w:ilvl w:val="0"/>
          <w:numId w:val="13"/>
        </w:numPr>
        <w:spacing w:line="360" w:lineRule="auto"/>
        <w:rPr>
          <w:rFonts w:ascii="宋体" w:hAnsi="宋体" w:eastAsia="宋体"/>
          <w:bCs/>
          <w:sz w:val="24"/>
          <w:szCs w:val="24"/>
        </w:rPr>
      </w:pPr>
      <w:bookmarkStart w:id="35" w:name="_Hlk206399421"/>
      <w:r>
        <w:rPr>
          <w:rFonts w:hint="eastAsia" w:ascii="宋体" w:hAnsi="宋体" w:eastAsia="宋体"/>
          <w:bCs/>
          <w:sz w:val="24"/>
          <w:szCs w:val="24"/>
        </w:rPr>
        <w:t>其他</w:t>
      </w:r>
      <w:r>
        <w:rPr>
          <w:rFonts w:hint="eastAsia" w:ascii="宋体" w:hAnsi="宋体" w:eastAsia="宋体"/>
          <w:bCs/>
          <w:sz w:val="24"/>
          <w:szCs w:val="24"/>
          <w:lang w:val="en-US" w:eastAsia="zh-CN"/>
        </w:rPr>
        <w:t>招标方</w:t>
      </w:r>
      <w:r>
        <w:rPr>
          <w:rFonts w:hint="eastAsia" w:ascii="宋体" w:hAnsi="宋体" w:eastAsia="宋体"/>
          <w:bCs/>
          <w:sz w:val="24"/>
          <w:szCs w:val="24"/>
        </w:rPr>
        <w:t>的施工要求。</w:t>
      </w:r>
    </w:p>
    <w:bookmarkEnd w:id="35"/>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ascii="宋体" w:hAnsi="宋体" w:eastAsia="宋体"/>
          <w:sz w:val="24"/>
          <w:szCs w:val="24"/>
        </w:rPr>
      </w:pPr>
    </w:p>
    <w:p>
      <w:pPr>
        <w:widowControl/>
        <w:spacing w:line="360" w:lineRule="auto"/>
        <w:jc w:val="left"/>
        <w:rPr>
          <w:rFonts w:ascii="宋体" w:hAnsi="宋体" w:eastAsia="宋体"/>
          <w:sz w:val="24"/>
          <w:szCs w:val="24"/>
        </w:rPr>
      </w:pPr>
    </w:p>
    <w:p>
      <w:pPr>
        <w:keepNext/>
        <w:keepLines/>
        <w:spacing w:before="120" w:after="120" w:line="480" w:lineRule="exact"/>
        <w:jc w:val="center"/>
        <w:outlineLvl w:val="1"/>
        <w:rPr>
          <w:rFonts w:ascii="宋体" w:hAnsi="宋体" w:eastAsia="宋体"/>
          <w:bCs/>
          <w:kern w:val="44"/>
          <w:sz w:val="28"/>
          <w:szCs w:val="28"/>
        </w:rPr>
      </w:pPr>
      <w:bookmarkStart w:id="36" w:name="_Toc169605880"/>
      <w:bookmarkStart w:id="37" w:name="_Toc169605881"/>
      <w:r>
        <w:rPr>
          <w:rFonts w:hint="eastAsia" w:ascii="宋体" w:hAnsi="宋体" w:eastAsia="宋体"/>
          <w:b/>
          <w:bCs/>
          <w:kern w:val="44"/>
          <w:sz w:val="28"/>
          <w:szCs w:val="28"/>
        </w:rPr>
        <w:t>第二章技术要求</w:t>
      </w:r>
      <w:bookmarkEnd w:id="36"/>
    </w:p>
    <w:p>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sz w:val="24"/>
          <w:szCs w:val="24"/>
        </w:rPr>
      </w:pPr>
      <w:r>
        <w:rPr>
          <w:rFonts w:hint="eastAsia" w:ascii="宋体" w:hAnsi="宋体" w:eastAsia="宋体"/>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sz w:val="24"/>
          <w:szCs w:val="24"/>
        </w:rPr>
      </w:pPr>
      <w:r>
        <w:rPr>
          <w:rFonts w:hint="eastAsia" w:ascii="宋体" w:hAnsi="宋体" w:eastAsia="宋体"/>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.投标人认为所供货物必须由招标人配备、解决或提供的其它要求，如设备基础隔振和减振设施、软化水、洁净气源等，均应在投标文件“技术偏离”中予以充分说明。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sz w:val="24"/>
          <w:szCs w:val="24"/>
        </w:rPr>
      </w:pPr>
      <w:r>
        <w:rPr>
          <w:rFonts w:ascii="宋体" w:hAnsi="宋体" w:eastAsia="宋体"/>
          <w:bCs/>
          <w:sz w:val="24"/>
          <w:szCs w:val="24"/>
        </w:rPr>
        <w:t>4</w:t>
      </w:r>
      <w:r>
        <w:rPr>
          <w:rFonts w:hint="eastAsia" w:ascii="宋体" w:hAnsi="宋体" w:eastAsia="宋体"/>
          <w:bCs/>
          <w:sz w:val="24"/>
          <w:szCs w:val="24"/>
        </w:rPr>
        <w:t>.投标人应根据招投标货物具体要求，提出</w:t>
      </w:r>
      <w:r>
        <w:rPr>
          <w:rFonts w:hint="eastAsia" w:ascii="宋体" w:hAnsi="宋体" w:eastAsia="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宋体" w:eastAsia="宋体"/>
          <w:sz w:val="24"/>
          <w:szCs w:val="24"/>
        </w:rPr>
      </w:pPr>
      <w:r>
        <w:rPr>
          <w:rFonts w:hint="eastAsia" w:ascii="宋体" w:hAnsi="宋体" w:eastAsia="宋体"/>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.为避免投标人优势在招标评审时漏项，质保期超出本技术标书要求的，应当在投标文件“技术偏离”中特别注明。</w:t>
      </w:r>
    </w:p>
    <w:p>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.投标人应保证所供货物的先进性、可靠性、经济性和实用性，并为全新货物（或设备）。</w:t>
      </w:r>
    </w:p>
    <w:p>
      <w:pPr>
        <w:spacing w:line="360" w:lineRule="auto"/>
        <w:ind w:firstLine="480" w:firstLineChars="20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.投标人应满足招标人提出的各项技术要求，必要时应当免费提供技术承诺或担保。</w:t>
      </w:r>
    </w:p>
    <w:p>
      <w:pPr>
        <w:spacing w:line="360" w:lineRule="auto"/>
        <w:ind w:firstLine="480" w:firstLineChars="200"/>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.投标人应保证所供货物的完整性和成套性，能保证货物的正常运行、使用。</w:t>
      </w:r>
    </w:p>
    <w:p>
      <w:pPr>
        <w:spacing w:line="360" w:lineRule="auto"/>
        <w:ind w:firstLine="480" w:firstLineChars="200"/>
        <w:rPr>
          <w:rFonts w:ascii="宋体" w:hAnsi="宋体" w:eastAsia="宋体"/>
          <w:sz w:val="24"/>
          <w:szCs w:val="24"/>
        </w:rPr>
      </w:pPr>
      <w:r>
        <w:rPr>
          <w:rFonts w:ascii="宋体" w:hAnsi="宋体" w:eastAsia="宋体"/>
          <w:sz w:val="24"/>
          <w:szCs w:val="24"/>
        </w:rPr>
        <w:t>7</w:t>
      </w:r>
      <w:r>
        <w:rPr>
          <w:rFonts w:hint="eastAsia" w:ascii="宋体" w:hAnsi="宋体" w:eastAsia="宋体"/>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8.投标人预验收时需提供进口设备、部件的报关清关资料。</w:t>
      </w:r>
    </w:p>
    <w:p>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9.</w:t>
      </w:r>
      <w:r>
        <w:rPr>
          <w:rFonts w:hint="eastAsia" w:ascii="Times New Roman" w:hAnsi="Times New Roman" w:eastAsia="宋体"/>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14.投标方应满足招标方提出的各项技术要求。</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18.投标方认为所供货物必须由招标方配备、解决或提供的其他要求，如设备基础隔振和减振设施、洁净气源等，均应在投标文件中予以充分说明。</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 xml:space="preserve"> *22. 本项目中所有改造均不可影响卡车制造公司正常生产。</w:t>
      </w:r>
    </w:p>
    <w:p>
      <w:pPr>
        <w:spacing w:line="360" w:lineRule="auto"/>
        <w:ind w:firstLine="600" w:firstLineChars="250"/>
        <w:rPr>
          <w:rFonts w:ascii="宋体" w:hAnsi="宋体" w:eastAsia="宋体"/>
          <w:sz w:val="24"/>
          <w:szCs w:val="24"/>
        </w:rPr>
      </w:pPr>
      <w:r>
        <w:rPr>
          <w:rFonts w:hint="eastAsia" w:ascii="Times New Roman" w:hAnsi="Times New Roman" w:eastAsia="宋体"/>
          <w:bCs/>
          <w:sz w:val="24"/>
          <w:szCs w:val="24"/>
        </w:rPr>
        <w:t>23.本招标文件中所有加注“*”的条款为否决项，不允许出现偏离。</w:t>
      </w:r>
    </w:p>
    <w:p>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1.法律、法规、技术标准要求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双方签订的技术协议、双方会签的图纸、双方签订的会议纪要、安全规范和标准、防火规范和标准、环保规范和标准。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设备采用材质合格证明及分析报告</w:t>
      </w:r>
    </w:p>
    <w:p>
      <w:pPr>
        <w:numPr>
          <w:ilvl w:val="0"/>
          <w:numId w:val="14"/>
        </w:numPr>
        <w:spacing w:line="360" w:lineRule="auto"/>
        <w:rPr>
          <w:rFonts w:ascii="宋体" w:hAnsi="宋体" w:eastAsia="宋体" w:cs="宋体"/>
          <w:sz w:val="24"/>
          <w:szCs w:val="24"/>
        </w:rPr>
      </w:pPr>
      <w:r>
        <w:rPr>
          <w:rFonts w:hint="eastAsia" w:ascii="宋体" w:hAnsi="宋体" w:eastAsia="宋体" w:cs="宋体"/>
          <w:sz w:val="24"/>
          <w:szCs w:val="24"/>
        </w:rPr>
        <w:t>设计标准与规范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GB/T3811-2008</w:t>
      </w:r>
      <w:r>
        <w:rPr>
          <w:rFonts w:hint="eastAsia" w:ascii="宋体" w:hAnsi="宋体" w:eastAsia="宋体" w:cs="宋体"/>
          <w:sz w:val="24"/>
          <w:szCs w:val="24"/>
        </w:rPr>
        <w:tab/>
      </w:r>
      <w:r>
        <w:rPr>
          <w:rFonts w:hint="eastAsia" w:ascii="宋体" w:hAnsi="宋体" w:eastAsia="宋体" w:cs="宋体"/>
          <w:sz w:val="24"/>
          <w:szCs w:val="24"/>
        </w:rPr>
        <w:t>《起重机设计规范》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GB/T6067.1-2010 《起重机安全规程第l部分总则》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GB/T6067.5-2014《起重机安全规程第5部分桥式和门式起重机》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GB/T14405-2011《通用桥式起重机》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GB/T5226.32-2017《机械电气安全 机械电气设备第32部分：起重机械技术条件》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GB/T20303.1-2016《起重机司机室第l部分总则》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GB/T20303.5-2006《起重机司机室第5部分桥式和门式起重机》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22437.1-2018 《起重机 载荷与载荷组合的设计原则 第1部分：总则》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35975-2018 《起重吊具 分类》</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34529-2017 《起重机和葫芦 钢丝绳、卷筒和滑轮的选择》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34198-2017 《起重机用钢丝绳》</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5972-2016 《起重机 钢丝绳 保养、维护、检验和报废》</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23724.1-2016 《起重机 检查 第1部分：总则》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20303.1-2016 《起重机械 检查与维护规程 第7部分：桅杆起重机》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31052.10-2016 《起重机械 检查与维护规程 第10部分：轻小型起重设备》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31052.1-2014 《起重机械 检查与维护规程 第1部分：总则》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31051.1-2014《起重机 工作和非工作状态下的锚定装置 第1部分：总则》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30222-2013 《起重机械用电力驱动起升机构能效测试方法》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30223-2013 《起重机械用电力驱动运行机构能效测试方法》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29562.3-2013 《起重机械用电动机能效测试方法 第3部分：锥形转子三相异步电动机》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24818.1-2009 《起重机 通道及安全防护设施 第1部分：总则》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24818.5-2009 《起重机 通道及安全防护设施 第5部分：桥式和门式起重机》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22437.5-2008 《起重机 载荷与载荷组合的设计原则 第5部分：桥式和门式起重机》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22416.1-2008</w:t>
      </w:r>
      <w:r>
        <w:rPr>
          <w:rFonts w:hint="eastAsia" w:ascii="宋体" w:hAnsi="宋体" w:eastAsia="宋体" w:cs="宋体"/>
          <w:sz w:val="24"/>
          <w:szCs w:val="24"/>
        </w:rPr>
        <w:tab/>
      </w:r>
      <w:r>
        <w:rPr>
          <w:rFonts w:hint="eastAsia" w:ascii="宋体" w:hAnsi="宋体" w:eastAsia="宋体" w:cs="宋体"/>
          <w:sz w:val="24"/>
          <w:szCs w:val="24"/>
        </w:rPr>
        <w:t>《起重机 维护 第1部分：总则》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20863.1-2007</w:t>
      </w:r>
      <w:r>
        <w:rPr>
          <w:rFonts w:hint="eastAsia" w:ascii="宋体" w:hAnsi="宋体" w:eastAsia="宋体" w:cs="宋体"/>
          <w:sz w:val="24"/>
          <w:szCs w:val="24"/>
        </w:rPr>
        <w:tab/>
      </w:r>
      <w:r>
        <w:rPr>
          <w:rFonts w:hint="eastAsia" w:ascii="宋体" w:hAnsi="宋体" w:eastAsia="宋体" w:cs="宋体"/>
          <w:sz w:val="24"/>
          <w:szCs w:val="24"/>
        </w:rPr>
        <w:t>《起重机械 分级 第1部分：总则》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20863.5-2007</w:t>
      </w:r>
      <w:r>
        <w:rPr>
          <w:rFonts w:hint="eastAsia" w:ascii="宋体" w:hAnsi="宋体" w:eastAsia="宋体" w:cs="宋体"/>
          <w:sz w:val="24"/>
          <w:szCs w:val="24"/>
        </w:rPr>
        <w:tab/>
      </w:r>
      <w:r>
        <w:rPr>
          <w:rFonts w:hint="eastAsia" w:ascii="宋体" w:hAnsi="宋体" w:eastAsia="宋体" w:cs="宋体"/>
          <w:sz w:val="24"/>
          <w:szCs w:val="24"/>
        </w:rPr>
        <w:t xml:space="preserve"> 《起重机 分级 第5部分: 桥式和门式起重机》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10183-2005 《桥式和门式起重机 制造及轨道安装公差》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18875-2002 《起重机 备件手册》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18453-2001 《起重机 维护手册 第1部分:总则》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17908-1999 《起重机和起重机械 技术性能和验收文件》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 790-1995 《电动桥式起重机跨度和起升高度系列》</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GB/T25295-2010《电气设备安全设计导则》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GB/T12602-2009</w:t>
      </w:r>
      <w:r>
        <w:rPr>
          <w:rFonts w:hint="eastAsia" w:ascii="宋体" w:hAnsi="宋体" w:eastAsia="宋体" w:cs="宋体"/>
          <w:sz w:val="24"/>
          <w:szCs w:val="24"/>
        </w:rPr>
        <w:tab/>
      </w:r>
      <w:r>
        <w:rPr>
          <w:rFonts w:hint="eastAsia" w:ascii="宋体" w:hAnsi="宋体" w:eastAsia="宋体" w:cs="宋体"/>
          <w:sz w:val="24"/>
          <w:szCs w:val="24"/>
        </w:rPr>
        <w:t>《起重机械超载保护装置》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GB/T28264-2017《起重机械安全监控管理系统》</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GB986-1998《气焊、手工焊及气保焊焊缝坡口基本形式与尺寸》</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GB/T4942.1-2006 《旋转电机整体结构的防护等级》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GB50052-2016</w:t>
      </w:r>
      <w:r>
        <w:rPr>
          <w:rFonts w:hint="eastAsia" w:ascii="宋体" w:hAnsi="宋体" w:eastAsia="宋体" w:cs="宋体"/>
          <w:sz w:val="24"/>
          <w:szCs w:val="24"/>
        </w:rPr>
        <w:tab/>
      </w:r>
      <w:r>
        <w:rPr>
          <w:rFonts w:hint="eastAsia" w:ascii="宋体" w:hAnsi="宋体" w:eastAsia="宋体" w:cs="宋体"/>
          <w:sz w:val="24"/>
          <w:szCs w:val="24"/>
        </w:rPr>
        <w:t>《供配电系统设计规范》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GB50054-2011</w:t>
      </w:r>
      <w:r>
        <w:rPr>
          <w:rFonts w:hint="eastAsia" w:ascii="宋体" w:hAnsi="宋体" w:eastAsia="宋体" w:cs="宋体"/>
          <w:sz w:val="24"/>
          <w:szCs w:val="24"/>
        </w:rPr>
        <w:tab/>
      </w:r>
      <w:r>
        <w:rPr>
          <w:rFonts w:hint="eastAsia" w:ascii="宋体" w:hAnsi="宋体" w:eastAsia="宋体" w:cs="宋体"/>
          <w:sz w:val="24"/>
          <w:szCs w:val="24"/>
        </w:rPr>
        <w:t>《低压配电设计规范》</w:t>
      </w:r>
    </w:p>
    <w:p>
      <w:pPr>
        <w:numPr>
          <w:ilvl w:val="0"/>
          <w:numId w:val="15"/>
        </w:numPr>
        <w:spacing w:line="360" w:lineRule="auto"/>
        <w:rPr>
          <w:rFonts w:ascii="宋体" w:hAnsi="宋体" w:eastAsia="宋体" w:cs="宋体"/>
          <w:sz w:val="24"/>
          <w:szCs w:val="24"/>
        </w:rPr>
      </w:pPr>
      <w:r>
        <w:rPr>
          <w:rFonts w:hint="eastAsia" w:ascii="宋体" w:hAnsi="宋体" w:eastAsia="宋体" w:cs="宋体"/>
          <w:sz w:val="24"/>
          <w:szCs w:val="24"/>
        </w:rPr>
        <w:t>材料标准与规范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GB699-88《优质碳素结构钢》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GB700-88《碳素结构钢》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JB/T6392-2008《起重机车轮》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GB8918-2006《重要用途钢丝绳》</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GB1348-88《低合金结构钢》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GBl1352-89《一般工程用铸造碳钢件》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J8/T9003-2004《起重机用三合一减速器》</w:t>
      </w:r>
    </w:p>
    <w:p>
      <w:pPr>
        <w:numPr>
          <w:ilvl w:val="0"/>
          <w:numId w:val="16"/>
        </w:numPr>
        <w:spacing w:line="360" w:lineRule="auto"/>
        <w:rPr>
          <w:rFonts w:ascii="宋体" w:hAnsi="宋体" w:eastAsia="宋体" w:cs="宋体"/>
          <w:sz w:val="24"/>
          <w:szCs w:val="24"/>
        </w:rPr>
      </w:pPr>
      <w:r>
        <w:rPr>
          <w:rFonts w:hint="eastAsia" w:ascii="宋体" w:hAnsi="宋体" w:eastAsia="宋体" w:cs="宋体"/>
          <w:sz w:val="24"/>
          <w:szCs w:val="24"/>
        </w:rPr>
        <w:t>检验标准与规范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GB5905-2011《起重机试验规范和规程》</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GB/T3323-2005《钢熔化焊对接头射线照相和质量分级》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GBl1345- 2013《焊缝无损检测技术、检测等级和评定》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GB/T8923.2-2008《涂覆涂料前钢材表面处理》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GB50278 -2010《起重设备安装工程施工及验收规范》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GB50256-2014《电气装置安装工程起重机电气装置施工及验收规范》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05G525《吊车轨道联结及车挡》</w:t>
      </w:r>
    </w:p>
    <w:p>
      <w:pPr>
        <w:numPr>
          <w:ilvl w:val="0"/>
          <w:numId w:val="16"/>
        </w:numPr>
        <w:spacing w:line="360" w:lineRule="auto"/>
        <w:rPr>
          <w:rFonts w:ascii="宋体" w:hAnsi="宋体" w:eastAsia="宋体" w:cs="宋体"/>
          <w:sz w:val="24"/>
          <w:szCs w:val="24"/>
        </w:rPr>
      </w:pPr>
      <w:r>
        <w:rPr>
          <w:rFonts w:hint="eastAsia" w:ascii="宋体" w:hAnsi="宋体" w:eastAsia="宋体" w:cs="宋体"/>
          <w:sz w:val="24"/>
          <w:szCs w:val="24"/>
        </w:rPr>
        <w:t>其它国家和行业相关的技术标准规范等。</w:t>
      </w:r>
    </w:p>
    <w:p>
      <w:pPr>
        <w:numPr>
          <w:ilvl w:val="0"/>
          <w:numId w:val="16"/>
        </w:numPr>
        <w:spacing w:line="360" w:lineRule="auto"/>
        <w:rPr>
          <w:rFonts w:ascii="宋体" w:hAnsi="宋体" w:eastAsia="宋体" w:cs="宋体"/>
          <w:sz w:val="24"/>
          <w:szCs w:val="24"/>
          <w:highlight w:val="yellow"/>
        </w:rPr>
      </w:pPr>
      <w:r>
        <w:rPr>
          <w:rFonts w:hint="eastAsia" w:ascii="宋体" w:hAnsi="宋体" w:eastAsia="宋体" w:cs="宋体"/>
          <w:sz w:val="24"/>
          <w:szCs w:val="24"/>
          <w:lang w:eastAsia="zh-CN"/>
        </w:rPr>
        <w:t>中标人</w:t>
      </w:r>
      <w:r>
        <w:rPr>
          <w:rFonts w:hint="eastAsia" w:ascii="宋体" w:hAnsi="宋体" w:eastAsia="宋体" w:cs="宋体"/>
          <w:sz w:val="24"/>
          <w:szCs w:val="24"/>
        </w:rPr>
        <w:t>企标高于上述标准时优先采用</w:t>
      </w:r>
      <w:r>
        <w:rPr>
          <w:rFonts w:hint="eastAsia" w:ascii="宋体" w:hAnsi="宋体" w:eastAsia="宋体" w:cs="宋体"/>
          <w:sz w:val="24"/>
          <w:szCs w:val="24"/>
          <w:lang w:eastAsia="zh-CN"/>
        </w:rPr>
        <w:t>中标人</w:t>
      </w:r>
      <w:r>
        <w:rPr>
          <w:rFonts w:hint="eastAsia" w:ascii="宋体" w:hAnsi="宋体" w:eastAsia="宋体" w:cs="宋体"/>
          <w:sz w:val="24"/>
          <w:szCs w:val="24"/>
        </w:rPr>
        <w:t>企标。</w:t>
      </w:r>
    </w:p>
    <w:p>
      <w:pPr>
        <w:pStyle w:val="36"/>
        <w:numPr>
          <w:ilvl w:val="0"/>
          <w:numId w:val="17"/>
        </w:numPr>
        <w:spacing w:before="156" w:after="156" w:line="320" w:lineRule="exact"/>
        <w:jc w:val="left"/>
        <w:rPr>
          <w:rFonts w:ascii="宋体" w:hAnsi="宋体" w:eastAsia="宋体" w:cs="宋体"/>
          <w:sz w:val="28"/>
          <w:szCs w:val="28"/>
          <w:highlight w:val="yellow"/>
        </w:rPr>
      </w:pPr>
      <w:r>
        <w:rPr>
          <w:rFonts w:hint="eastAsia" w:ascii="宋体" w:hAnsi="宋体" w:eastAsia="宋体" w:cs="宋体"/>
          <w:sz w:val="28"/>
          <w:szCs w:val="28"/>
          <w:highlight w:val="yellow"/>
        </w:rPr>
        <w:t>设备构成及主要技术说明</w:t>
      </w:r>
    </w:p>
    <w:tbl>
      <w:tblPr>
        <w:tblStyle w:val="39"/>
        <w:tblW w:w="8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719"/>
        <w:gridCol w:w="5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型式</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欧式电动单梁桥式起重机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跨度</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ascii="宋体" w:hAnsi="宋体" w:cs="宋体"/>
                <w:kern w:val="0"/>
                <w:szCs w:val="21"/>
                <w:highlight w:val="yellow"/>
                <w:lang w:val="en-US" w:eastAsia="zh-CN"/>
              </w:rPr>
              <w:t>9.</w:t>
            </w:r>
            <w:r>
              <w:rPr>
                <w:rFonts w:hint="eastAsia" w:cs="Times New Roman"/>
                <w:szCs w:val="21"/>
                <w:highlight w:val="yellow"/>
                <w:lang w:val="en-US" w:eastAsia="zh-CN"/>
              </w:rPr>
              <w:t>4m</w:t>
            </w:r>
            <w:r>
              <w:rPr>
                <w:rFonts w:hint="eastAsia" w:cs="Times New Roman"/>
                <w:szCs w:val="21"/>
                <w:highlight w:val="yellow"/>
              </w:rPr>
              <w:t>(详细尺寸投标方现场测量）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主要用途</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szCs w:val="21"/>
                <w:highlight w:val="yellow"/>
              </w:rPr>
              <w:t>用于</w:t>
            </w:r>
            <w:r>
              <w:rPr>
                <w:rFonts w:hint="eastAsia"/>
                <w:szCs w:val="21"/>
                <w:highlight w:val="yellow"/>
                <w:lang w:val="en-US" w:eastAsia="zh-CN"/>
              </w:rPr>
              <w:t>后背电池</w:t>
            </w:r>
            <w:r>
              <w:rPr>
                <w:rFonts w:hint="eastAsia"/>
                <w:szCs w:val="21"/>
                <w:highlight w:val="yellow"/>
              </w:rPr>
              <w:t>吊运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起重量</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eastAsia="等线" w:cs="宋体"/>
                <w:kern w:val="0"/>
                <w:szCs w:val="21"/>
                <w:highlight w:val="yellow"/>
                <w:lang w:val="en-US" w:eastAsia="zh-CN"/>
              </w:rPr>
            </w:pPr>
            <w:r>
              <w:rPr>
                <w:rFonts w:hint="default" w:ascii="宋体" w:hAnsi="宋体" w:cs="宋体"/>
                <w:kern w:val="0"/>
                <w:szCs w:val="21"/>
                <w:highlight w:val="yellow"/>
              </w:rPr>
              <w:t>10</w:t>
            </w:r>
            <w:r>
              <w:rPr>
                <w:rFonts w:hint="eastAsia" w:ascii="宋体" w:hAnsi="宋体" w:cs="宋体"/>
                <w:kern w:val="0"/>
                <w:szCs w:val="21"/>
                <w:highlight w:val="yellow"/>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设备数量（台）</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工作级别</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最大起升高度（m）</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lang w:val="en-US"/>
              </w:rPr>
            </w:pPr>
            <w:r>
              <w:rPr>
                <w:rFonts w:hint="eastAsia" w:ascii="宋体" w:hAnsi="宋体" w:cs="宋体"/>
                <w:kern w:val="0"/>
                <w:szCs w:val="21"/>
                <w:highlight w:val="yellow"/>
                <w:lang w:val="en-US" w:eastAsia="zh-CN"/>
              </w:rPr>
              <w:t>≥6m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0" w:type="dxa"/>
            <w:vMerge w:val="restart"/>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速度（m/min）</w:t>
            </w:r>
          </w:p>
        </w:tc>
        <w:tc>
          <w:tcPr>
            <w:tcW w:w="1719" w:type="dxa"/>
            <w:vAlign w:val="center"/>
          </w:tcPr>
          <w:p>
            <w:pPr>
              <w:keepNext w:val="0"/>
              <w:keepLines w:val="0"/>
              <w:suppressLineNumbers w:val="0"/>
              <w:adjustRightInd w:val="0"/>
              <w:spacing w:before="0" w:beforeAutospacing="0" w:after="0" w:afterAutospacing="0" w:line="320" w:lineRule="exact"/>
              <w:ind w:left="0" w:right="0"/>
              <w:textAlignment w:val="baseline"/>
              <w:rPr>
                <w:rFonts w:hint="default" w:ascii="宋体" w:hAnsi="宋体" w:cs="宋体"/>
                <w:kern w:val="0"/>
                <w:szCs w:val="21"/>
                <w:highlight w:val="yellow"/>
              </w:rPr>
            </w:pPr>
            <w:r>
              <w:rPr>
                <w:rFonts w:hint="eastAsia" w:ascii="宋体" w:hAnsi="宋体" w:cs="宋体"/>
                <w:kern w:val="0"/>
                <w:szCs w:val="21"/>
                <w:highlight w:val="yellow"/>
              </w:rPr>
              <w:t>大车运行</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0~20m/min变频调速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0" w:type="dxa"/>
            <w:vMerge w:val="continue"/>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p>
        </w:tc>
        <w:tc>
          <w:tcPr>
            <w:tcW w:w="1719" w:type="dxa"/>
            <w:vAlign w:val="center"/>
          </w:tcPr>
          <w:p>
            <w:pPr>
              <w:keepNext w:val="0"/>
              <w:keepLines w:val="0"/>
              <w:suppressLineNumbers w:val="0"/>
              <w:adjustRightInd w:val="0"/>
              <w:spacing w:before="0" w:beforeAutospacing="0" w:after="0" w:afterAutospacing="0" w:line="320" w:lineRule="exact"/>
              <w:ind w:left="0" w:right="0"/>
              <w:textAlignment w:val="baseline"/>
              <w:rPr>
                <w:rFonts w:hint="default" w:ascii="宋体" w:hAnsi="宋体" w:cs="宋体"/>
                <w:kern w:val="0"/>
                <w:szCs w:val="21"/>
                <w:highlight w:val="yellow"/>
              </w:rPr>
            </w:pPr>
            <w:r>
              <w:rPr>
                <w:rFonts w:hint="eastAsia" w:ascii="宋体" w:hAnsi="宋体" w:cs="宋体"/>
                <w:kern w:val="0"/>
                <w:szCs w:val="21"/>
                <w:highlight w:val="yellow"/>
              </w:rPr>
              <w:t>起升</w:t>
            </w:r>
          </w:p>
          <w:p>
            <w:pPr>
              <w:keepNext w:val="0"/>
              <w:keepLines w:val="0"/>
              <w:suppressLineNumbers w:val="0"/>
              <w:adjustRightInd w:val="0"/>
              <w:spacing w:before="0" w:beforeAutospacing="0" w:after="0" w:afterAutospacing="0" w:line="320" w:lineRule="exact"/>
              <w:ind w:left="0" w:right="0"/>
              <w:jc w:val="center"/>
              <w:textAlignment w:val="baseline"/>
              <w:rPr>
                <w:rFonts w:hint="default" w:ascii="宋体" w:hAnsi="宋体" w:cs="宋体"/>
                <w:kern w:val="0"/>
                <w:szCs w:val="21"/>
                <w:highlight w:val="yellow"/>
              </w:rPr>
            </w:pPr>
            <w:r>
              <w:rPr>
                <w:rFonts w:hint="default" w:ascii="宋体" w:hAnsi="宋体" w:cs="宋体"/>
                <w:kern w:val="0"/>
                <w:szCs w:val="21"/>
                <w:highlight w:val="yellow"/>
              </w:rPr>
              <w:t>主</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0.5~5m/min变频调速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0" w:type="dxa"/>
            <w:vMerge w:val="continue"/>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p>
        </w:tc>
        <w:tc>
          <w:tcPr>
            <w:tcW w:w="1719" w:type="dxa"/>
            <w:vAlign w:val="center"/>
          </w:tcPr>
          <w:p>
            <w:pPr>
              <w:keepNext w:val="0"/>
              <w:keepLines w:val="0"/>
              <w:suppressLineNumbers w:val="0"/>
              <w:adjustRightInd w:val="0"/>
              <w:spacing w:before="0" w:beforeAutospacing="0" w:after="0" w:afterAutospacing="0" w:line="320" w:lineRule="exact"/>
              <w:ind w:left="0" w:right="0"/>
              <w:textAlignment w:val="baseline"/>
              <w:rPr>
                <w:rFonts w:hint="default" w:ascii="宋体" w:hAnsi="宋体" w:cs="宋体"/>
                <w:kern w:val="0"/>
                <w:szCs w:val="21"/>
                <w:highlight w:val="yellow"/>
              </w:rPr>
            </w:pPr>
            <w:r>
              <w:rPr>
                <w:rFonts w:hint="eastAsia" w:ascii="宋体" w:hAnsi="宋体" w:cs="宋体"/>
                <w:kern w:val="0"/>
                <w:szCs w:val="21"/>
                <w:highlight w:val="yellow"/>
              </w:rPr>
              <w:t>小车运行</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0~20m/min变频调速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1155" w:firstLineChars="550"/>
              <w:jc w:val="left"/>
              <w:textAlignment w:val="baseline"/>
              <w:rPr>
                <w:rFonts w:hint="default" w:ascii="宋体" w:hAnsi="宋体" w:cs="宋体"/>
                <w:kern w:val="0"/>
                <w:szCs w:val="21"/>
                <w:highlight w:val="yellow"/>
              </w:rPr>
            </w:pPr>
            <w:r>
              <w:rPr>
                <w:rFonts w:hint="eastAsia" w:ascii="宋体" w:hAnsi="宋体" w:cs="宋体"/>
                <w:kern w:val="0"/>
                <w:szCs w:val="21"/>
                <w:highlight w:val="yellow"/>
              </w:rPr>
              <w:t>荐用钢轨</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P43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1155" w:firstLineChars="550"/>
              <w:jc w:val="left"/>
              <w:textAlignment w:val="baseline"/>
              <w:rPr>
                <w:rFonts w:hint="default" w:ascii="宋体" w:hAnsi="宋体" w:cs="宋体"/>
                <w:kern w:val="0"/>
                <w:szCs w:val="21"/>
                <w:highlight w:val="yellow"/>
              </w:rPr>
            </w:pPr>
            <w:r>
              <w:rPr>
                <w:rFonts w:hint="eastAsia" w:ascii="宋体" w:hAnsi="宋体" w:cs="宋体"/>
                <w:kern w:val="0"/>
                <w:szCs w:val="21"/>
                <w:highlight w:val="yellow"/>
              </w:rPr>
              <w:t>轮压</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≤68KN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操作方式</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lang w:val="en-US" w:eastAsia="zh-CN"/>
              </w:rPr>
              <w:t>无线遥控+备用手操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079" w:type="dxa"/>
            <w:gridSpan w:val="2"/>
            <w:vAlign w:val="center"/>
          </w:tcPr>
          <w:p>
            <w:pPr>
              <w:keepNext w:val="0"/>
              <w:keepLines w:val="0"/>
              <w:suppressLineNumbers w:val="0"/>
              <w:adjustRightInd w:val="0"/>
              <w:spacing w:before="0" w:beforeAutospacing="0" w:after="0" w:afterAutospacing="0" w:line="320" w:lineRule="exact"/>
              <w:ind w:left="0" w:right="0" w:firstLine="317" w:firstLineChars="151"/>
              <w:jc w:val="center"/>
              <w:textAlignment w:val="baseline"/>
              <w:rPr>
                <w:rFonts w:hint="default" w:ascii="宋体" w:hAnsi="宋体" w:cs="宋体"/>
                <w:kern w:val="0"/>
                <w:szCs w:val="21"/>
                <w:highlight w:val="yellow"/>
              </w:rPr>
            </w:pPr>
            <w:r>
              <w:rPr>
                <w:rFonts w:hint="eastAsia" w:ascii="宋体" w:hAnsi="宋体" w:cs="宋体"/>
                <w:kern w:val="0"/>
                <w:szCs w:val="21"/>
                <w:highlight w:val="yellow"/>
              </w:rPr>
              <w:t>电源</w:t>
            </w:r>
          </w:p>
        </w:tc>
        <w:tc>
          <w:tcPr>
            <w:tcW w:w="5748" w:type="dxa"/>
            <w:vAlign w:val="center"/>
          </w:tcPr>
          <w:p>
            <w:pPr>
              <w:keepNext w:val="0"/>
              <w:keepLines w:val="0"/>
              <w:suppressLineNumbers w:val="0"/>
              <w:adjustRightInd w:val="0"/>
              <w:spacing w:before="0" w:beforeAutospacing="0" w:after="0" w:afterAutospacing="0" w:line="320" w:lineRule="exact"/>
              <w:ind w:left="0" w:right="0"/>
              <w:jc w:val="center"/>
              <w:textAlignment w:val="baseline"/>
              <w:rPr>
                <w:rFonts w:hint="eastAsia" w:ascii="宋体" w:hAnsi="宋体" w:cs="宋体"/>
                <w:kern w:val="0"/>
                <w:szCs w:val="21"/>
                <w:highlight w:val="yellow"/>
              </w:rPr>
            </w:pPr>
            <w:r>
              <w:rPr>
                <w:rFonts w:hint="eastAsia" w:ascii="宋体" w:hAnsi="宋体" w:cs="宋体"/>
                <w:kern w:val="0"/>
                <w:szCs w:val="21"/>
                <w:highlight w:val="yellow"/>
              </w:rPr>
              <w:t>三相交流 AC 50Hz 380V</w:t>
            </w:r>
          </w:p>
        </w:tc>
      </w:tr>
    </w:tbl>
    <w:p>
      <w:pPr>
        <w:rPr>
          <w:highlight w:val="yellow"/>
        </w:rPr>
      </w:pP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2.1设备性能要求</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2.1.1 起重机的设计与制造须运行安全、设计先进、结构合理、操作简单、维修方便，其总体技术水平达到当今国内外同类产品的先进水平。</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2.1.2起重机的钢结构、机械系统、电气系统和安全保护装置要符合或高于现行国家有关规范和标准。</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2.1.3起重机有足够的强度、刚度、稳定性和抗倾覆性，各机构能安全可靠地运行，震动、噪声、环保均符合现行有关标准的要求，消防和安全均符合ISO国际标准或国家标准；</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2.1.4起重机须把充分满足使用方的要求作为最重要的追求目标；</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2.1.5起重机的设计图纸和技术文件的制图方法、尺寸、公差配合、符号等都应采用公制体系，并符合ISO现行有关标准或中国现行有关国家标准的规定；</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2.1.6起重机钢结构设计合理、结构优化、符合规范和标准，满足强度、刚度和稳定性的要求，设计中应充分考虑现场的工作环境；钢结构的设计必须考虑到制造、检查、运输、安装和维护的方便与可靠性。在满足需求和有关现行规范标准条件下，通过优化设计，最大限度地降低钢结构的重量；</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所有钢结构件对接焊缝按照国家标准（钢结构超声波探伤标准GB/T3323-2005）进行探伤并且焊接后都要经过抛丸2.5Sa预处理，以达到消除焊接应力和除锈除氧化皮的目的，保证焊接质量；</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起重机的钢结构主要由主梁、端梁等组成；主梁与端梁所有链接采用10.9级高强度镀锌螺栓连接，安全性好，强度高，确保整机精度和运行平稳。</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 结构要求</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2.2.1主梁部分</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主梁为箱型梁结构；</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主梁上拱度、水平方向的弯曲要符合国家相关标准；</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主梁由钢板焊接成型，钢板材料必须符合国家的相应规范，刚度满足国家标准要求，主要钢结构材料应具有良好的焊接工艺性，主要钢结构材料采用不低于Q235B，使用的材料具有材质报告及相应的合格证书；</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所有钢结构件在喷漆前必须经过表面抛丸Sa2.5预处理以达到消除焊接应力和除锈除氧化皮的目的；并且对接焊缝按照国家标准（钢结构超声波探伤标准GB/T3323-2005）进行探伤；</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2.2.2端梁部分</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端梁材质：中国国家标准不低于Q345B；</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端梁为矩形钢管或钢板焊接成型，成型后的端梁在数控机床一次定位加工；</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每个端梁配有双轮缘的车轮、缓冲器和防脱轨保护装置；</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2.2.3起重机机械部分</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重机机械系统主要由起升机构、大车及小车行走机构等主要机械机构组成；起重机机械系统所用的零部件，如齿轮箱、制动器、卷筒、轮、滑轮、吊钩、轴承等都必须按起重机规范和相应标准设计制造。所有旋转轴、联节器、齿轮和其它旋转部件均须有安全防护，防护罩的设计应能使人容易接近润滑油脂加注点、油位计和其它检查点，以便操作人员能够没有危险的或者不需拆除防护体的任何部分情况下，就可进行日常观察、维修。</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起重机各部安全联锁和限位装置、缓冲器、制动器、安全护栏、吊钩防脱钩等齐全，安全可靠。</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上升极限位置限位器：起升机构设置上升极限位置限位器，保证吊具起升到极限位置时，自动切断起升装置的动力电源，通过安全报警系统发出信号；起升设置上升双限位。</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下降极限位置限位器：保证吊钩下降到极限位置时，自动切断下降装置的动力电源，使钢丝绳在卷筒上缠绕圈数不少于国家规范所规定的圈数；</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防碰撞机构：起重机设置两套限位机械限位与光电防碰撞装置，；</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2.2.4起升机构</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电动葫芦：采用国内知名品牌。</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单梁桥式起重机起升机构为欧式开放卷扬机构；</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起升机构钢丝绳应采用符合国际和中国现行有关标准的产品，所有钢丝绳采用高强度钢丝绳，要求破断力大，寿命长，自润滑，免维护性能好；</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起升电机：防护等级IP55，F级绝缘；接电持续率60%；有过热保护，风冷式；电机外壳由铝合金冲压成型或压铸成型壳体。</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减速箱：完全密封紧凑型齿轮箱，硬齿面（HRC60）、经过研磨处理；采用半油脂润滑，免维护；</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限位开关：起升机构设置双限位</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卷筒：卷筒直径和钢丝绳直径比值符合国家标准，增强钢丝绳寿命，重物放置偏移小；钢丝绳用绳夹固定，至少有3 圈钢丝绳固定安全圈。主副钩电机接电持续率60%。</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在吊钩放在最低端，至少留有2圈钢丝绳余量（不含压绳圈）；重级工作制轴承(机构工作级别大于等于M6)，轴承为国内外知名厂家产品；卷筒由无缝钢管制成，并加工出绳槽。</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吊钩：吊钩组由吊钩和滑轮等组成。采用抗磨滚子轴承，轴承为国内外知名厂家产品；吊钩可以 360°旋转，配备弹簧压紧的安全扣可以防止滑脱；依据标准 DIN17200，吊钩锻件为调质钢 34CrMoV。</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2.2.5大车、小车行走机构</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2.2.5.1驱动结构形式：三合一结构；大、小车：电机防护等级为IP55、绝缘等级为F 级。电机调速为变频器调速，变频器采用起重机专用变频器。</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2.2.5.2 减速机为硬齿面减速机，其齿轮、齿轮轴为锻制，齿面硬度55HRC左右。</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2.2.5.3 制动器为电磁盘式制动器,防尘、无石棉设计。制动器具有自动调节间隙功能，当起升刹车片厚度不够时自动报警，在断电时运行机构要确保处于制动状态要求转向操作轻便, 可靠性高。</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起升制动器：双制动</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刹车片寿命：正常使用不低于100万次，紧急制动不低于500次。</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2.2.5.4 车轮材料为球墨铸铁或锻造合金，表面硬化处理。</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2.2.5.5 在大、小车运行的终端位置设置十字限位开关，大、小车运行到此位置自动实现减速、停止。终端位置设置机械死档块，防止因电气失灵大、小车冲出轨道。</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2.2.5.6 缓冲器采用吸收能量高、缓冲性能好的缓冲器。</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2.2.6操作方式</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2.2.6</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操作系统：采用无线遥控器和备用手操，无线遥控器推荐品牌为台湾禹鼎。需确保安全可靠，各台起重机操作频率合理分配，绝对不应相互干扰；在遥控装置故障情况下，应能通过备用手操装置安全地将正在起吊的货物放置在指定位置，并将行车移动到检修位置。备用手操设计为非跟随式扁电缆滑道手电门操纵，。</w:t>
      </w:r>
    </w:p>
    <w:p>
      <w:pPr>
        <w:spacing w:line="360" w:lineRule="auto"/>
        <w:ind w:firstLine="480" w:firstLineChars="200"/>
      </w:pPr>
      <w:r>
        <w:rPr>
          <w:rFonts w:hint="eastAsia" w:ascii="宋体" w:hAnsi="宋体" w:eastAsia="宋体" w:cs="宋体"/>
          <w:sz w:val="24"/>
          <w:szCs w:val="24"/>
          <w:highlight w:val="yellow"/>
        </w:rPr>
        <w:t>2.2.6</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地操系统的防护等级不低于IP65，按钮寿命不抵于50万次。</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2.3电气及控制要求</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2.3.1起重机电气系统的设计和制造须把安全运行放在首位，所有电气设备须有必要的防护措施，防止发生意外的触电事故和碰撞事故，在所有的操作系统上都应设有应急停止专用的蘑菇头紧急停车开关；</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2.3.2起重机所采用的电气元器件和部件要充分保证系统的可靠性、稳定性、耐用性。电气元器件和部件的要保证其产品的连续性，能够保证备件10年的国内供应；</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2.3.3起重机的电气控制系统的所有控制柜和元器件都要保留足够的检测和维修空间，并且可方便地搬运和吊装，电气控制系统要方便维修、更换和拆卸部件；</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2.3.4所有起重机配置过载保护及报警功能、以及安全规范规定或相关标准规定的所有保护措施；起重机的所有电气元件选用国内外知名品牌产品；</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 xml:space="preserve">2.3.5电气柜要求：电气柜须采用标准尺寸柜体，外壳防护等级为IP54， </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2.3.6常规电气保护：过流、过压、欠压、短路、过热、接地、漏电、缺相、刹车片厚度监测、报警保护。</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2.3.7大车行走指示：大车行走时要有符合工程标准的声光警示装置；</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2.3.8起重机要尽量采用各种阻燃材料从本质上来预防火灾的发生；</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2.3.9所有正常工作条件下温度超过60℃的部分都应用隔热材料进行防护；</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2.3.10所有可能带电的部位，应进行绝缘处理或者用栅栏护围以防止危险发生；</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2.3.11起重机电气系统所使用的电线和电缆一律为各种铜芯电线和电缆，必须具有耐高温、防火、防爆、机械强度高、安全可靠的特性；</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2.3.12起重机的电源采用三相五线制(380V 50Hz)，现场每跨提供一处电源断路器，断路器出线开始由投标方负责提供，电源由大车滑触线引入起重机上的电源控制柜上。由电源控制柜引出动力、照明、控制等电源。电源总开关必须具有过电流及电磁保护功能。电网的PE 线与起重机轨道紧密相连，轨道应采用重复接地措施。滑触线需提供相间、各相对地的绝缘测试报告。</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 其他要求</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2.4.1所有转动部件应有可靠的润滑系统。</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2.4.2 全部减速器采用硬齿面减速器，供方应采取措施防止减速器渗漏油。</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2.4.3起重机须具备载荷的模拟测量、报警、过载保护，以及超载次数累计、显示等功能，以便提高起重机自身保护和监控，减少不合理操作对起重机带来的损害。</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2.4.4 整车设置警示电铃，大、小车、起升等运行之前需操作电铃警示。</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2.4.5起升机构（主、副钩）设置起重量限制器，当载荷达到90%额定载荷时，发出提示性报警信号，达到100%额定载荷时，起升机构停止上升，只能下降。起重量限制器带吨位显示器，必须保证在地面上数字清晰可见，选择质量可靠的产品。重量限制器具有主、副钩总载荷叠加功能，防止主梁过载。</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2.4.6采用全新国标轨道，不允许采用翻新轨道，包括轨道、轨道压板（图集号：05G525）、螺栓、鱼尾板、调整垫板。轨道两端车档应与起重机撞块有良好的接触（大车止档招标方提供）。</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2.4.7起重机的喷涂应按招标方要求喷涂,采用高质量防锈漆，钢结构、机械设备及零部件都要作防腐处理。制造钢结构的板材和型材要经过抛丸预处理，管材除镀锌外，要经过化学方法或机械手工除锈。</w:t>
      </w:r>
    </w:p>
    <w:p>
      <w:pPr>
        <w:spacing w:line="360" w:lineRule="auto"/>
        <w:ind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rPr>
        <w:t>2.4.</w:t>
      </w:r>
      <w:r>
        <w:rPr>
          <w:rFonts w:hint="eastAsia" w:ascii="宋体" w:hAnsi="宋体" w:eastAsia="宋体" w:cs="宋体"/>
          <w:sz w:val="24"/>
          <w:szCs w:val="24"/>
          <w:highlight w:val="yellow"/>
          <w:lang w:val="en-US" w:eastAsia="zh-CN"/>
        </w:rPr>
        <w:t>8</w:t>
      </w:r>
      <w:r>
        <w:rPr>
          <w:rFonts w:hint="eastAsia" w:ascii="宋体" w:hAnsi="宋体" w:eastAsia="宋体" w:cs="宋体"/>
          <w:sz w:val="24"/>
          <w:szCs w:val="24"/>
          <w:highlight w:val="yellow"/>
        </w:rPr>
        <w:t>起重机</w:t>
      </w:r>
      <w:r>
        <w:rPr>
          <w:rFonts w:hint="eastAsia" w:ascii="宋体" w:hAnsi="宋体" w:eastAsia="宋体" w:cs="宋体"/>
          <w:sz w:val="24"/>
          <w:szCs w:val="24"/>
          <w:highlight w:val="yellow"/>
          <w:lang w:val="en-US" w:eastAsia="zh-CN"/>
        </w:rPr>
        <w:t>承重立柱配备防撞防护，同时 具备明显的警示作用。</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2.5 标准</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2.5.1 桥式起重机的设计、制造、包装、运输、安装、验收应符合下列标准、规范和有关的中国国家标准(GB)的要求。如下列标准与企业执行标准有矛盾，按较高标准执行。从订货之日起至供方开始投料制造之前的这段时间内，如果因标准、规程发生修改或变化，需方有权提出补充要求，供方应满足并遵守这些要求。</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2.5.2 供方须执行本规范书所列标准。有矛盾时，按较高标准执行。</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rPr>
        <w:t>2.5.3</w:t>
      </w:r>
      <w:r>
        <w:rPr>
          <w:rFonts w:hint="eastAsia" w:ascii="宋体" w:hAnsi="宋体" w:eastAsia="宋体" w:cs="宋体"/>
          <w:sz w:val="24"/>
          <w:szCs w:val="24"/>
          <w:highlight w:val="yellow"/>
          <w:lang w:val="en-US" w:eastAsia="zh-CN"/>
        </w:rPr>
        <w:t>基础与柱脚：核心要求：确保天车轨道梁及钢柱基础的承载力和稳定性。技术要求与规范：</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 xml:space="preserve">  · 柱脚采用预埋锚栓或地脚螺栓固定。</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 xml:space="preserve">  · 地基基础施工质量需符合 《建筑地基基础工程施工质量验收标准》GB 50202-2018 的规定。</w:t>
      </w:r>
    </w:p>
    <w:p>
      <w:pPr>
        <w:spacing w:line="360" w:lineRule="auto"/>
        <w:ind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 xml:space="preserve">  · 柱脚二次灌浆需使用无收缩灌浆料（抗压强度通常不低于60MPa），以保证密实度。</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2.6涂装要求</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2.6.1起重机涂装的寿命要求不小于10年，要求采用高质量防锈漆。</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2.6.2起重机所有的钢结构、机械设备及所有零部件都要作防腐处理。制造钢结构的板材和型材都要经过Sa2.5抛丸预处理，管材除镀锌外，要经过化学方法或机械手工除锈。</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2.6.3设备的涂装要求：钢结构油漆为A80，涂层总厚度不小于120µm。主梁结构颜色：RAL1028（中黄色），零部件油漆为（包括齿轮箱、电机、吊钩、制动器及小车等）RAL5009（蓝色），电器柜内侧也要涂漆。以上所有涂装颜色需业主确认。如需变更，需要在合同生效之日起壹个月内通知卖方。</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2.6.4发运途中，所有金属表面都有防湿防潮保护；</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2.6.5外购的机电设备的颜色与周围环境相协调，提交时不能有任何损坏；</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2.6.6漆膜的外观检查为湿膜，不得缩边、缩水、起泡、发白、失光、涂料流挂。干膜不得有细微龟裂、剥膜等现象。面漆应均匀、平整、色泽一致，不得有漏漆、流漆、开裂、针孔、脱层等缺陷；</w:t>
      </w:r>
    </w:p>
    <w:p>
      <w:pPr>
        <w:spacing w:line="360" w:lineRule="auto"/>
        <w:ind w:firstLine="480" w:firstLineChars="200"/>
        <w:rPr>
          <w:highlight w:val="yellow"/>
        </w:rPr>
      </w:pPr>
      <w:r>
        <w:rPr>
          <w:rFonts w:hint="eastAsia" w:ascii="宋体" w:hAnsi="宋体" w:eastAsia="宋体" w:cs="宋体"/>
          <w:sz w:val="24"/>
          <w:szCs w:val="24"/>
          <w:highlight w:val="yellow"/>
        </w:rPr>
        <w:t>2.6.7漆膜性能检验，漆膜的干透性、粘附力参照GB9286-88规定的一级质量要求进行。漆膜的厚度检验，每10</w:t>
      </w: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rPr>
        <w:t>不少于3处，厚度误差20%。</w:t>
      </w:r>
    </w:p>
    <w:p>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1</w:t>
            </w:r>
          </w:p>
        </w:tc>
        <w:tc>
          <w:tcPr>
            <w:tcW w:w="411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keepNext w:val="0"/>
              <w:keepLines w:val="0"/>
              <w:suppressLineNumbers w:val="0"/>
              <w:spacing w:before="0" w:beforeAutospacing="0" w:after="0" w:afterAutospacing="0" w:line="360" w:lineRule="auto"/>
              <w:ind w:left="480" w:right="0"/>
              <w:jc w:val="center"/>
              <w:rPr>
                <w:rFonts w:hint="default" w:ascii="宋体" w:hAnsi="宋体" w:eastAsia="宋体" w:cs="宋体"/>
                <w:sz w:val="24"/>
                <w:szCs w:val="24"/>
              </w:rPr>
            </w:pPr>
          </w:p>
        </w:tc>
        <w:tc>
          <w:tcPr>
            <w:tcW w:w="206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2</w:t>
            </w:r>
          </w:p>
        </w:tc>
        <w:tc>
          <w:tcPr>
            <w:tcW w:w="411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keepNext w:val="0"/>
              <w:keepLines w:val="0"/>
              <w:suppressLineNumbers w:val="0"/>
              <w:spacing w:before="0" w:beforeAutospacing="0" w:after="0" w:afterAutospacing="0" w:line="360" w:lineRule="auto"/>
              <w:ind w:left="480" w:right="0"/>
              <w:jc w:val="center"/>
              <w:rPr>
                <w:rFonts w:hint="default" w:ascii="宋体" w:hAnsi="宋体" w:eastAsia="宋体" w:cs="宋体"/>
                <w:sz w:val="24"/>
                <w:szCs w:val="24"/>
              </w:rPr>
            </w:pPr>
          </w:p>
        </w:tc>
        <w:tc>
          <w:tcPr>
            <w:tcW w:w="206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卖方确认</w:t>
            </w:r>
          </w:p>
        </w:tc>
      </w:tr>
    </w:tbl>
    <w:p>
      <w:pPr>
        <w:pStyle w:val="18"/>
        <w:rPr>
          <w:rFonts w:hAnsi="宋体" w:eastAsia="宋体"/>
        </w:rPr>
      </w:pPr>
    </w:p>
    <w:p>
      <w:pPr>
        <w:keepNext/>
        <w:keepLines/>
        <w:jc w:val="center"/>
        <w:outlineLvl w:val="1"/>
        <w:rPr>
          <w:rFonts w:ascii="宋体" w:hAnsi="宋体" w:eastAsia="宋体"/>
          <w:b/>
          <w:bCs/>
          <w:kern w:val="44"/>
          <w:sz w:val="28"/>
          <w:szCs w:val="28"/>
        </w:rPr>
      </w:pPr>
      <w:r>
        <w:rPr>
          <w:rFonts w:hint="eastAsia" w:ascii="宋体" w:hAnsi="宋体" w:eastAsia="宋体"/>
          <w:b/>
          <w:bCs/>
          <w:kern w:val="44"/>
          <w:sz w:val="28"/>
          <w:szCs w:val="28"/>
        </w:rPr>
        <w:t>第三章供货范围及供货方式</w:t>
      </w:r>
      <w:bookmarkEnd w:id="37"/>
    </w:p>
    <w:p>
      <w:pPr>
        <w:rPr>
          <w:rFonts w:ascii="宋体" w:hAnsi="宋体" w:eastAsia="宋体"/>
        </w:rPr>
      </w:pPr>
    </w:p>
    <w:p>
      <w:pPr>
        <w:keepNext/>
        <w:keepLines/>
        <w:spacing w:line="360" w:lineRule="auto"/>
        <w:jc w:val="center"/>
        <w:outlineLvl w:val="2"/>
      </w:pPr>
      <w:bookmarkStart w:id="38" w:name="_Toc169605882"/>
      <w:r>
        <w:rPr>
          <w:rFonts w:hint="eastAsia" w:ascii="宋体" w:hAnsi="宋体" w:eastAsia="宋体" w:cs="宋体"/>
          <w:b/>
          <w:bCs/>
          <w:sz w:val="24"/>
          <w:szCs w:val="32"/>
        </w:rPr>
        <w:t>第一节  供货范围</w:t>
      </w:r>
      <w:bookmarkEnd w:id="38"/>
    </w:p>
    <w:p>
      <w:pPr>
        <w:pStyle w:val="129"/>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39"/>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序号</w:t>
            </w:r>
          </w:p>
        </w:tc>
        <w:tc>
          <w:tcPr>
            <w:tcW w:w="3520" w:type="dxa"/>
            <w:vAlign w:val="center"/>
          </w:tcPr>
          <w:p>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名称</w:t>
            </w:r>
          </w:p>
        </w:tc>
        <w:tc>
          <w:tcPr>
            <w:tcW w:w="1215" w:type="dxa"/>
            <w:vAlign w:val="center"/>
          </w:tcPr>
          <w:p>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单位</w:t>
            </w:r>
          </w:p>
        </w:tc>
        <w:tc>
          <w:tcPr>
            <w:tcW w:w="793" w:type="dxa"/>
            <w:vAlign w:val="center"/>
          </w:tcPr>
          <w:p>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数量</w:t>
            </w:r>
          </w:p>
        </w:tc>
        <w:tc>
          <w:tcPr>
            <w:tcW w:w="2803" w:type="dxa"/>
            <w:vAlign w:val="center"/>
          </w:tcPr>
          <w:p>
            <w:pPr>
              <w:keepNext w:val="0"/>
              <w:keepLines w:val="0"/>
              <w:suppressLineNumbers w:val="0"/>
              <w:spacing w:before="0" w:beforeAutospacing="0" w:after="0" w:afterAutospacing="0" w:line="360" w:lineRule="auto"/>
              <w:ind w:left="0" w:right="0"/>
              <w:jc w:val="center"/>
              <w:textAlignment w:val="center"/>
              <w:rPr>
                <w:rFonts w:hint="default" w:ascii="宋体" w:hAnsi="宋体" w:eastAsia="宋体" w:cs="宋体"/>
                <w:color w:val="FF0000"/>
                <w:sz w:val="24"/>
                <w:szCs w:val="24"/>
              </w:rPr>
            </w:pPr>
            <w:r>
              <w:rPr>
                <w:rFonts w:hint="eastAsia" w:ascii="宋体" w:hAnsi="宋体" w:eastAsia="宋体" w:cs="宋体"/>
                <w:b/>
                <w:bCs/>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1</w:t>
            </w:r>
          </w:p>
        </w:tc>
        <w:tc>
          <w:tcPr>
            <w:tcW w:w="3520"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单梁行车</w:t>
            </w:r>
          </w:p>
        </w:tc>
        <w:tc>
          <w:tcPr>
            <w:tcW w:w="1215"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1</w:t>
            </w:r>
          </w:p>
        </w:tc>
        <w:tc>
          <w:tcPr>
            <w:tcW w:w="280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lang w:val="en-US" w:eastAsia="zh-CN"/>
              </w:rPr>
              <w:t>含</w:t>
            </w:r>
            <w:r>
              <w:rPr>
                <w:rFonts w:hint="eastAsia" w:ascii="宋体" w:hAnsi="宋体" w:eastAsia="宋体" w:cs="宋体"/>
                <w:sz w:val="24"/>
              </w:rPr>
              <w:t>配套土建基础、行车框架、钢结构框架改造</w:t>
            </w:r>
            <w:r>
              <w:rPr>
                <w:rFonts w:hint="eastAsia" w:ascii="宋体" w:hAnsi="宋体" w:eastAsia="宋体" w:cs="宋体"/>
                <w:sz w:val="24"/>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2</w:t>
            </w:r>
          </w:p>
        </w:tc>
        <w:tc>
          <w:tcPr>
            <w:tcW w:w="3520"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滑线、轨道、其他附件</w:t>
            </w:r>
          </w:p>
        </w:tc>
        <w:tc>
          <w:tcPr>
            <w:tcW w:w="1215"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1</w:t>
            </w:r>
          </w:p>
        </w:tc>
        <w:tc>
          <w:tcPr>
            <w:tcW w:w="280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34"/>
              <w:keepNext w:val="0"/>
              <w:keepLines w:val="0"/>
              <w:suppressLineNumbers w:val="0"/>
              <w:spacing w:before="0" w:beforeAutospacing="0" w:after="0" w:afterAutospacing="0" w:line="360" w:lineRule="auto"/>
              <w:ind w:left="0" w:right="0"/>
              <w:jc w:val="center"/>
              <w:rPr>
                <w:rFonts w:hint="default" w:ascii="宋体" w:hAnsi="宋体" w:cs="宋体"/>
                <w:szCs w:val="24"/>
              </w:rPr>
            </w:pPr>
            <w:r>
              <w:rPr>
                <w:rFonts w:hint="eastAsia" w:ascii="宋体" w:hAnsi="宋体" w:cs="宋体"/>
                <w:szCs w:val="24"/>
              </w:rPr>
              <w:t>3</w:t>
            </w:r>
          </w:p>
        </w:tc>
        <w:tc>
          <w:tcPr>
            <w:tcW w:w="3520"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设备使用说明书</w:t>
            </w:r>
          </w:p>
        </w:tc>
        <w:tc>
          <w:tcPr>
            <w:tcW w:w="1215"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3</w:t>
            </w:r>
          </w:p>
        </w:tc>
        <w:tc>
          <w:tcPr>
            <w:tcW w:w="280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34"/>
              <w:keepNext w:val="0"/>
              <w:keepLines w:val="0"/>
              <w:suppressLineNumbers w:val="0"/>
              <w:tabs>
                <w:tab w:val="center" w:pos="375"/>
                <w:tab w:val="left" w:pos="539"/>
              </w:tabs>
              <w:spacing w:before="0" w:beforeAutospacing="0" w:after="0" w:afterAutospacing="0" w:line="360" w:lineRule="auto"/>
              <w:ind w:left="0" w:right="0"/>
              <w:jc w:val="center"/>
              <w:rPr>
                <w:rFonts w:hint="default" w:ascii="宋体" w:hAnsi="宋体" w:cs="宋体"/>
                <w:szCs w:val="24"/>
              </w:rPr>
            </w:pPr>
            <w:r>
              <w:rPr>
                <w:rFonts w:hint="eastAsia" w:ascii="宋体" w:hAnsi="宋体" w:cs="宋体"/>
                <w:szCs w:val="24"/>
              </w:rPr>
              <w:t>4</w:t>
            </w:r>
          </w:p>
        </w:tc>
        <w:tc>
          <w:tcPr>
            <w:tcW w:w="3520"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系统软硬件清单</w:t>
            </w:r>
          </w:p>
        </w:tc>
        <w:tc>
          <w:tcPr>
            <w:tcW w:w="1215"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3</w:t>
            </w:r>
          </w:p>
        </w:tc>
        <w:tc>
          <w:tcPr>
            <w:tcW w:w="280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34"/>
              <w:keepNext w:val="0"/>
              <w:keepLines w:val="0"/>
              <w:suppressLineNumbers w:val="0"/>
              <w:spacing w:before="0" w:beforeAutospacing="0" w:after="0" w:afterAutospacing="0" w:line="360" w:lineRule="auto"/>
              <w:ind w:left="0" w:right="0"/>
              <w:jc w:val="center"/>
              <w:rPr>
                <w:rFonts w:hint="default" w:ascii="宋体" w:hAnsi="宋体" w:cs="宋体"/>
                <w:szCs w:val="24"/>
              </w:rPr>
            </w:pPr>
            <w:r>
              <w:rPr>
                <w:rFonts w:hint="eastAsia" w:ascii="宋体" w:hAnsi="宋体" w:cs="宋体"/>
                <w:szCs w:val="24"/>
              </w:rPr>
              <w:t>5</w:t>
            </w:r>
          </w:p>
        </w:tc>
        <w:tc>
          <w:tcPr>
            <w:tcW w:w="3520"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技术培训资料</w:t>
            </w:r>
          </w:p>
        </w:tc>
        <w:tc>
          <w:tcPr>
            <w:tcW w:w="1215"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3</w:t>
            </w:r>
          </w:p>
        </w:tc>
        <w:tc>
          <w:tcPr>
            <w:tcW w:w="280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34"/>
              <w:keepNext w:val="0"/>
              <w:keepLines w:val="0"/>
              <w:suppressLineNumbers w:val="0"/>
              <w:spacing w:before="0" w:beforeAutospacing="0" w:after="0" w:afterAutospacing="0" w:line="360" w:lineRule="auto"/>
              <w:ind w:left="0" w:right="0"/>
              <w:jc w:val="center"/>
              <w:rPr>
                <w:rFonts w:hint="default" w:ascii="宋体" w:hAnsi="宋体" w:cs="宋体"/>
                <w:szCs w:val="24"/>
              </w:rPr>
            </w:pPr>
            <w:r>
              <w:rPr>
                <w:rFonts w:hint="eastAsia" w:ascii="宋体" w:hAnsi="宋体" w:cs="宋体"/>
                <w:szCs w:val="24"/>
              </w:rPr>
              <w:t>6</w:t>
            </w:r>
          </w:p>
        </w:tc>
        <w:tc>
          <w:tcPr>
            <w:tcW w:w="3520"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设备资料（序号6/7/8/9）电子版WORD或PDF版</w:t>
            </w:r>
          </w:p>
        </w:tc>
        <w:tc>
          <w:tcPr>
            <w:tcW w:w="1215"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1</w:t>
            </w:r>
          </w:p>
        </w:tc>
        <w:tc>
          <w:tcPr>
            <w:tcW w:w="2803" w:type="dxa"/>
            <w:vAlign w:val="center"/>
          </w:tcPr>
          <w:p>
            <w:pPr>
              <w:pStyle w:val="128"/>
              <w:keepNext w:val="0"/>
              <w:keepLines w:val="0"/>
              <w:suppressLineNumbers w:val="0"/>
              <w:spacing w:before="0" w:beforeLines="0" w:beforeAutospacing="0" w:after="0" w:afterLines="0" w:afterAutospacing="0" w:line="360" w:lineRule="auto"/>
              <w:ind w:left="0" w:right="0"/>
              <w:jc w:val="center"/>
              <w:rPr>
                <w:rFonts w:hint="default" w:ascii="宋体" w:hAnsi="宋体" w:eastAsia="宋体" w:cs="宋体"/>
                <w:sz w:val="24"/>
              </w:rPr>
            </w:pPr>
            <w:r>
              <w:rPr>
                <w:rFonts w:hint="eastAsia" w:ascii="宋体" w:hAnsi="宋体" w:eastAsia="宋体" w:cs="宋体"/>
                <w:sz w:val="24"/>
              </w:rPr>
              <w:t>中文</w:t>
            </w:r>
          </w:p>
        </w:tc>
      </w:tr>
    </w:tbl>
    <w:p>
      <w:pPr>
        <w:spacing w:beforeLines="5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pStyle w:val="13"/>
        <w:ind w:firstLine="420" w:firstLineChars="175"/>
        <w:rPr>
          <w:rFonts w:ascii="宋体" w:hAnsi="宋体" w:eastAsia="宋体" w:cs="宋体"/>
          <w:sz w:val="24"/>
          <w:szCs w:val="24"/>
        </w:rPr>
      </w:pPr>
      <w:r>
        <w:rPr>
          <w:rFonts w:hint="eastAsia" w:ascii="宋体" w:hAnsi="宋体" w:eastAsia="宋体" w:cs="宋体"/>
          <w:sz w:val="24"/>
          <w:szCs w:val="24"/>
        </w:rPr>
        <w:t>3.供货界面说明</w:t>
      </w:r>
    </w:p>
    <w:p>
      <w:pPr>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3.1、投标方提供每跨含适配的轨道、滑线（及运输安装）及安装附件</w:t>
      </w:r>
      <w:r>
        <w:rPr>
          <w:rFonts w:hint="eastAsia" w:ascii="宋体" w:hAnsi="宋体" w:eastAsia="宋体" w:cs="宋体"/>
          <w:sz w:val="24"/>
          <w:szCs w:val="24"/>
          <w:highlight w:val="yellow"/>
          <w:lang w:eastAsia="zh-CN"/>
        </w:rPr>
        <w:t>。</w:t>
      </w:r>
    </w:p>
    <w:p>
      <w:pPr>
        <w:spacing w:line="360" w:lineRule="auto"/>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3.2、滑触线按适配型号安装，含未来增加项。</w:t>
      </w:r>
    </w:p>
    <w:p>
      <w:pPr>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3.</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、投标方提供电源开关箱至行车接线端的电缆、安装及附件</w:t>
      </w:r>
      <w:r>
        <w:rPr>
          <w:rFonts w:hint="eastAsia" w:ascii="宋体" w:hAnsi="宋体" w:eastAsia="宋体" w:cs="宋体"/>
          <w:sz w:val="24"/>
          <w:szCs w:val="24"/>
          <w:highlight w:val="yellow"/>
          <w:lang w:eastAsia="zh-CN"/>
        </w:rPr>
        <w:t>。</w:t>
      </w:r>
    </w:p>
    <w:p>
      <w:pPr>
        <w:spacing w:line="360" w:lineRule="auto"/>
        <w:ind w:firstLine="480" w:firstLineChars="20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3.</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、压板采用焊接的形式</w:t>
      </w:r>
      <w:r>
        <w:rPr>
          <w:rFonts w:hint="eastAsia" w:ascii="宋体" w:hAnsi="宋体" w:eastAsia="宋体" w:cs="宋体"/>
          <w:sz w:val="24"/>
          <w:szCs w:val="24"/>
          <w:highlight w:val="yellow"/>
          <w:lang w:eastAsia="zh-CN"/>
        </w:rPr>
        <w:t>。</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rPr>
        <w:t>3.</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投标方对施工区钢结构与相关电路与气路改造，满足现有的生产条件。</w:t>
      </w:r>
    </w:p>
    <w:p>
      <w:pPr>
        <w:spacing w:line="360" w:lineRule="auto"/>
        <w:ind w:firstLine="480" w:firstLineChars="200"/>
        <w:rPr>
          <w:rFonts w:hint="default"/>
          <w:lang w:val="en-US" w:eastAsia="zh-CN"/>
        </w:rPr>
      </w:pPr>
      <w:r>
        <w:rPr>
          <w:rFonts w:hint="eastAsia" w:ascii="宋体" w:hAnsi="宋体" w:eastAsia="宋体" w:cs="宋体"/>
          <w:sz w:val="24"/>
          <w:szCs w:val="24"/>
          <w:highlight w:val="yellow"/>
        </w:rPr>
        <w:t>3.</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投标方在中标后10日内提供土建基础相关图纸并提供土建基础的核算过程，由双方确认会签后进行施工。</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9.供方必须提供设备模型（文件格式STP），模型文件应包含设备的全部信息；对设备结构及功能详细说明，包括设备工作流程描述、运行说明、工位节拍等信息。</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10.</w:t>
      </w:r>
      <w:r>
        <w:rPr>
          <w:rFonts w:ascii="Times New Roman" w:hAnsi="Times New Roman" w:eastAsia="宋体"/>
          <w:sz w:val="24"/>
          <w:szCs w:val="24"/>
        </w:rPr>
        <w:t>维修和使用手册</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在调试以前必须提供维修和使用手册四套和一套电子文件。这些手册应包括，但不限于下述内容：</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设备描述和主要设备的分项；</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润滑计划和润滑频次；</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供应商的文献和详细的元件部件；</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操作程序；</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设备布置图；</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详细的元件和总装图，包括分解部件总成图；</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故障分析和解决方法；</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维修功能——维护和维修细节，包括频次；</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图纸</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.1提供机械AutoCAD（.dwg）格式，电气EPLANP8可编辑格式的文件和电子数据。</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.2提供所有设施和设备的图纸，包括总图、原理图、制造图、分解视图。</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.3在签订合同后立即进行设计图纸，并提供图纸，在整个阶段连续地进行。这些图纸包括，但不限于：</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详细的零件图；</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零件和总成图；</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总的平面布置图和分图；</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钢结构布置图和分图；</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11</w:t>
      </w:r>
      <w:r>
        <w:rPr>
          <w:rFonts w:ascii="Times New Roman" w:hAnsi="Times New Roman" w:eastAsia="宋体"/>
          <w:sz w:val="24"/>
          <w:szCs w:val="24"/>
        </w:rPr>
        <w:t>.4在制作开始前必须将所有平面图和分图交给本公司会签。提供</w:t>
      </w:r>
      <w:r>
        <w:rPr>
          <w:rFonts w:hint="eastAsia" w:ascii="Times New Roman" w:hAnsi="Times New Roman" w:eastAsia="宋体"/>
          <w:sz w:val="24"/>
          <w:szCs w:val="24"/>
        </w:rPr>
        <w:t>二</w:t>
      </w:r>
      <w:r>
        <w:rPr>
          <w:rFonts w:ascii="Times New Roman" w:hAnsi="Times New Roman" w:eastAsia="宋体"/>
          <w:sz w:val="24"/>
          <w:szCs w:val="24"/>
        </w:rPr>
        <w:t>份图纸加一套电子文件。这种图纸的会签并不构成供货厂商可以不承担设计责任保证或者对设备顺利运用的责任。</w:t>
      </w:r>
    </w:p>
    <w:p>
      <w:pPr>
        <w:spacing w:line="360" w:lineRule="auto"/>
        <w:ind w:firstLine="480" w:firstLineChars="200"/>
        <w:rPr>
          <w:rFonts w:ascii="宋体" w:hAnsi="宋体" w:eastAsia="宋体" w:cs="宋体"/>
          <w:sz w:val="24"/>
          <w:szCs w:val="24"/>
        </w:rPr>
      </w:pPr>
      <w:r>
        <w:rPr>
          <w:rFonts w:hint="eastAsia" w:ascii="Times New Roman" w:hAnsi="Times New Roman" w:eastAsia="宋体"/>
          <w:sz w:val="24"/>
          <w:szCs w:val="24"/>
        </w:rPr>
        <w:t>11</w:t>
      </w:r>
      <w:r>
        <w:rPr>
          <w:rFonts w:ascii="Times New Roman" w:hAnsi="Times New Roman" w:eastAsia="宋体"/>
          <w:sz w:val="24"/>
          <w:szCs w:val="24"/>
        </w:rPr>
        <w:t>.5在完工时要提供四套图纸和机械AutoCAD（.dwg）格式，电气EPLANP8电子版本图纸。</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9" w:name="_Toc169605883"/>
    </w:p>
    <w:p>
      <w:pPr>
        <w:pStyle w:val="18"/>
        <w:spacing w:line="360" w:lineRule="auto"/>
        <w:rPr>
          <w:rFonts w:hAnsi="宋体" w:eastAsia="宋体"/>
        </w:rPr>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9"/>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sz w:val="24"/>
          <w:szCs w:val="24"/>
          <w:u w:val="single"/>
          <w:lang w:val="en-US" w:eastAsia="zh-CN"/>
        </w:rPr>
        <w:t>中国</w:t>
      </w:r>
      <w:r>
        <w:rPr>
          <w:rFonts w:hint="eastAsia" w:ascii="Times New Roman" w:hAnsi="Times New Roman" w:eastAsia="宋体"/>
          <w:sz w:val="24"/>
          <w:szCs w:val="24"/>
          <w:u w:val="single"/>
        </w:rPr>
        <w:t>重汽集团济南卡车制造公司莱芜工厂</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30</w:t>
      </w:r>
      <w:r>
        <w:rPr>
          <w:rFonts w:hint="eastAsia" w:ascii="宋体" w:hAnsi="宋体" w:eastAsia="宋体"/>
          <w:sz w:val="24"/>
          <w:szCs w:val="24"/>
        </w:rPr>
        <w:t>个日历日之内交货至供货地点。</w:t>
      </w:r>
    </w:p>
    <w:p>
      <w:pPr>
        <w:spacing w:line="360" w:lineRule="auto"/>
        <w:ind w:firstLine="480" w:firstLineChars="200"/>
        <w:jc w:val="left"/>
        <w:rPr>
          <w:rFonts w:hint="default" w:ascii="宋体" w:hAnsi="宋体" w:eastAsia="宋体"/>
          <w:sz w:val="24"/>
          <w:szCs w:val="24"/>
          <w:lang w:val="en-US" w:eastAsia="zh-CN"/>
        </w:rPr>
      </w:pPr>
      <w:r>
        <w:rPr>
          <w:rFonts w:hint="eastAsia" w:ascii="宋体" w:hAnsi="宋体" w:eastAsia="宋体"/>
          <w:sz w:val="24"/>
          <w:szCs w:val="24"/>
        </w:rPr>
        <w:t>2.</w:t>
      </w:r>
      <w:r>
        <w:rPr>
          <w:rFonts w:hint="eastAsia" w:ascii="宋体" w:hAnsi="宋体" w:eastAsia="宋体"/>
          <w:sz w:val="24"/>
          <w:szCs w:val="24"/>
          <w:highlight w:val="yellow"/>
        </w:rPr>
        <w:t>接续</w:t>
      </w:r>
      <w:r>
        <w:rPr>
          <w:rFonts w:hint="eastAsia" w:ascii="宋体" w:hAnsi="宋体" w:eastAsia="宋体"/>
          <w:sz w:val="24"/>
          <w:szCs w:val="24"/>
          <w:highlight w:val="yellow"/>
          <w:u w:val="single"/>
          <w:lang w:val="en-US" w:eastAsia="zh-CN"/>
        </w:rPr>
        <w:t>15</w:t>
      </w:r>
      <w:r>
        <w:rPr>
          <w:rFonts w:hint="eastAsia" w:ascii="宋体" w:hAnsi="宋体" w:eastAsia="宋体"/>
          <w:sz w:val="24"/>
          <w:szCs w:val="24"/>
          <w:highlight w:val="yellow"/>
        </w:rPr>
        <w:t>个日历日之内安装调试完毕</w:t>
      </w:r>
      <w:r>
        <w:rPr>
          <w:rFonts w:hint="eastAsia" w:ascii="宋体" w:hAnsi="宋体" w:eastAsia="宋体"/>
          <w:sz w:val="24"/>
          <w:szCs w:val="24"/>
          <w:highlight w:val="yellow"/>
          <w:lang w:eastAsia="zh-CN"/>
        </w:rPr>
        <w:t>，</w:t>
      </w:r>
      <w:r>
        <w:rPr>
          <w:rFonts w:hint="eastAsia" w:ascii="宋体" w:hAnsi="宋体" w:eastAsia="宋体"/>
          <w:sz w:val="24"/>
          <w:szCs w:val="24"/>
          <w:highlight w:val="yellow"/>
          <w:lang w:val="en-US" w:eastAsia="zh-CN"/>
        </w:rPr>
        <w:t>施工过程进行隔离，不影响生产。安装完成后</w:t>
      </w:r>
      <w:r>
        <w:rPr>
          <w:rFonts w:hint="eastAsia" w:ascii="宋体" w:hAnsi="宋体" w:eastAsia="宋体"/>
          <w:sz w:val="24"/>
          <w:szCs w:val="24"/>
          <w:highlight w:val="yellow"/>
          <w:u w:val="single"/>
          <w:lang w:val="en-US" w:eastAsia="zh-CN"/>
        </w:rPr>
        <w:t>15</w:t>
      </w:r>
      <w:r>
        <w:rPr>
          <w:rFonts w:hint="eastAsia" w:ascii="宋体" w:hAnsi="宋体" w:eastAsia="宋体"/>
          <w:sz w:val="24"/>
          <w:szCs w:val="24"/>
          <w:highlight w:val="yellow"/>
        </w:rPr>
        <w:t>个日历日</w:t>
      </w:r>
      <w:r>
        <w:rPr>
          <w:rFonts w:hint="eastAsia" w:ascii="宋体" w:hAnsi="宋体" w:eastAsia="宋体"/>
          <w:sz w:val="24"/>
          <w:szCs w:val="24"/>
          <w:highlight w:val="yellow"/>
          <w:lang w:val="en-US" w:eastAsia="zh-CN"/>
        </w:rPr>
        <w:t>内中标方负责为招标方向当地特种设备主管部门取得验收报告，通过验收。起重机终验收在招标方所在地进行，验收按合同、技术协议、中标方提供的自检报告书以及国家相关标准进行验收。</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widowControl/>
        <w:spacing w:line="360" w:lineRule="auto"/>
        <w:jc w:val="left"/>
        <w:rPr>
          <w:rFonts w:ascii="宋体" w:hAnsi="宋体" w:eastAsia="宋体"/>
          <w:szCs w:val="20"/>
        </w:rPr>
      </w:pPr>
    </w:p>
    <w:p>
      <w:pPr>
        <w:keepNext/>
        <w:keepLines/>
        <w:spacing w:line="360" w:lineRule="auto"/>
        <w:jc w:val="center"/>
        <w:outlineLvl w:val="1"/>
        <w:rPr>
          <w:rFonts w:ascii="宋体" w:hAnsi="宋体" w:eastAsia="宋体"/>
          <w:b/>
          <w:bCs/>
          <w:kern w:val="44"/>
          <w:sz w:val="28"/>
          <w:szCs w:val="28"/>
        </w:rPr>
      </w:pPr>
      <w:bookmarkStart w:id="40" w:name="_Toc169605884"/>
      <w:r>
        <w:rPr>
          <w:rFonts w:hint="eastAsia" w:ascii="宋体" w:hAnsi="宋体" w:eastAsia="宋体"/>
          <w:b/>
          <w:bCs/>
          <w:kern w:val="44"/>
          <w:sz w:val="28"/>
          <w:szCs w:val="28"/>
        </w:rPr>
        <w:t>第四章质保期及售后服务</w:t>
      </w:r>
      <w:bookmarkEnd w:id="40"/>
    </w:p>
    <w:p>
      <w:pPr>
        <w:pStyle w:val="121"/>
        <w:spacing w:line="360" w:lineRule="auto"/>
        <w:rPr>
          <w:rFonts w:ascii="宋体" w:hAnsi="宋体"/>
        </w:rPr>
      </w:pPr>
      <w:r>
        <w:rPr>
          <w:rFonts w:hint="eastAsia" w:ascii="宋体" w:hAnsi="宋体"/>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pPr>
      <w:r>
        <w:rPr>
          <w:rFonts w:hint="eastAsia" w:ascii="Times New Roman" w:hAnsi="Times New Roman" w:eastAsia="宋体"/>
          <w:sz w:val="24"/>
          <w:szCs w:val="24"/>
        </w:rPr>
        <w:t>5.软件要具备升级功能，在投产后十年内中标方负责为业主方免费升级。</w:t>
      </w:r>
    </w:p>
    <w:p>
      <w:pPr>
        <w:pStyle w:val="121"/>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8"/>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1"/>
        <w:spacing w:line="360" w:lineRule="auto"/>
        <w:rPr>
          <w:rFonts w:ascii="宋体" w:hAnsi="宋体" w:cs="宋体"/>
        </w:rPr>
      </w:pPr>
      <w:r>
        <w:rPr>
          <w:rFonts w:hint="eastAsia" w:ascii="宋体" w:hAnsi="宋体" w:cs="宋体"/>
        </w:rPr>
        <w:t>三、安装调试及验收服务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w:t>
      </w:r>
      <w:r>
        <w:rPr>
          <w:rFonts w:hint="eastAsia" w:ascii="宋体" w:hAnsi="宋体" w:eastAsia="宋体"/>
          <w:sz w:val="24"/>
          <w:szCs w:val="24"/>
          <w:lang w:eastAsia="zh-CN"/>
        </w:rPr>
        <w:t>招标方</w:t>
      </w:r>
      <w:r>
        <w:rPr>
          <w:rFonts w:hint="eastAsia" w:ascii="宋体" w:hAnsi="宋体" w:eastAsia="宋体"/>
          <w:sz w:val="24"/>
          <w:szCs w:val="24"/>
        </w:rPr>
        <w:t>完成设备数据采集的调试工作，包括但不限于提供设备PLC程序（无密码），接口调试等工作。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15</w:t>
      </w:r>
      <w:r>
        <w:rPr>
          <w:rFonts w:hint="eastAsia" w:ascii="宋体" w:hAnsi="宋体" w:eastAsia="宋体"/>
          <w:sz w:val="24"/>
          <w:szCs w:val="24"/>
        </w:rPr>
        <w:t>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pPr>
        <w:pStyle w:val="121"/>
        <w:spacing w:line="360" w:lineRule="auto"/>
        <w:rPr>
          <w:rFonts w:ascii="宋体" w:hAnsi="宋体" w:cs="宋体"/>
        </w:rPr>
      </w:pPr>
      <w:r>
        <w:rPr>
          <w:rFonts w:hint="eastAsia" w:ascii="宋体" w:hAnsi="宋体" w:cs="宋体"/>
        </w:rPr>
        <w:t>四、售后服务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pPr>
        <w:pStyle w:val="121"/>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ascii="Times New Roman" w:hAnsi="Times New Roman" w:eastAsia="宋体"/>
          <w:sz w:val="24"/>
          <w:szCs w:val="24"/>
        </w:rPr>
        <w:t>济南卡车制造公司</w:t>
      </w:r>
      <w:r>
        <w:rPr>
          <w:rFonts w:ascii="Times New Roman" w:hAnsi="Times New Roman" w:eastAsia="宋体"/>
          <w:sz w:val="24"/>
          <w:szCs w:val="24"/>
        </w:rPr>
        <w:t>（章丘重汽工业园）</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pStyle w:val="2"/>
      </w:pPr>
    </w:p>
    <w:p>
      <w:pPr>
        <w:keepNext/>
        <w:keepLines/>
        <w:numPr>
          <w:ilvl w:val="0"/>
          <w:numId w:val="18"/>
        </w:numPr>
        <w:spacing w:line="360" w:lineRule="auto"/>
        <w:jc w:val="center"/>
        <w:outlineLvl w:val="1"/>
        <w:rPr>
          <w:rFonts w:hint="eastAsia" w:ascii="宋体" w:hAnsi="宋体" w:eastAsia="宋体"/>
          <w:b/>
          <w:bCs/>
          <w:kern w:val="44"/>
          <w:sz w:val="28"/>
          <w:szCs w:val="28"/>
        </w:rPr>
      </w:pPr>
      <w:bookmarkStart w:id="41" w:name="_Toc465187646"/>
      <w:r>
        <w:rPr>
          <w:rFonts w:hint="eastAsia" w:ascii="宋体" w:hAnsi="宋体" w:eastAsia="宋体"/>
          <w:b/>
          <w:bCs/>
          <w:kern w:val="44"/>
          <w:sz w:val="28"/>
          <w:szCs w:val="28"/>
        </w:rPr>
        <w:t xml:space="preserve"> </w:t>
      </w:r>
      <w:r>
        <w:rPr>
          <w:rFonts w:hint="eastAsia" w:ascii="宋体" w:hAnsi="宋体" w:eastAsia="宋体"/>
          <w:b/>
          <w:bCs/>
          <w:kern w:val="44"/>
          <w:sz w:val="28"/>
          <w:szCs w:val="28"/>
          <w:lang w:val="en-US" w:eastAsia="zh-CN"/>
        </w:rPr>
        <w:t>预验收与</w:t>
      </w:r>
      <w:r>
        <w:rPr>
          <w:rFonts w:hint="eastAsia" w:ascii="宋体" w:hAnsi="宋体" w:eastAsia="宋体"/>
          <w:b/>
          <w:bCs/>
          <w:kern w:val="44"/>
          <w:sz w:val="28"/>
          <w:szCs w:val="28"/>
        </w:rPr>
        <w:t>终验收</w:t>
      </w:r>
      <w:bookmarkEnd w:id="41"/>
    </w:p>
    <w:p>
      <w:pPr>
        <w:pStyle w:val="121"/>
        <w:spacing w:line="360" w:lineRule="auto"/>
        <w:rPr>
          <w:rFonts w:hint="eastAsia" w:ascii="宋体" w:hAnsi="宋体"/>
          <w:color w:val="auto"/>
          <w:lang w:val="en-US" w:eastAsia="zh-CN"/>
        </w:rPr>
      </w:pPr>
      <w:r>
        <w:rPr>
          <w:rFonts w:hint="eastAsia" w:ascii="宋体" w:hAnsi="宋体"/>
          <w:color w:val="auto"/>
          <w:lang w:val="en-US" w:eastAsia="zh-CN"/>
        </w:rPr>
        <w:t>一、验收依据和验收标准</w:t>
      </w:r>
    </w:p>
    <w:p>
      <w:pPr>
        <w:pStyle w:val="121"/>
        <w:spacing w:line="360" w:lineRule="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2、如果验收过程中，发现招标文件、投标文件、答疑文件、技术交流文件等与技术协议书、合同存在差异，原则上以涉及条款中对买方最有利条款为验收依据。</w:t>
      </w:r>
    </w:p>
    <w:p>
      <w:pPr>
        <w:pStyle w:val="121"/>
        <w:spacing w:line="360" w:lineRule="auto"/>
        <w:rPr>
          <w:rFonts w:hint="eastAsia" w:ascii="宋体" w:hAnsi="宋体"/>
          <w:color w:val="auto"/>
          <w:lang w:val="en-US" w:eastAsia="zh-CN"/>
        </w:rPr>
      </w:pPr>
      <w:r>
        <w:rPr>
          <w:rFonts w:hint="eastAsia" w:ascii="宋体" w:hAnsi="宋体"/>
          <w:color w:val="auto"/>
          <w:lang w:val="en-US" w:eastAsia="zh-CN"/>
        </w:rPr>
        <w:t>二、检验</w:t>
      </w:r>
    </w:p>
    <w:p>
      <w:pPr>
        <w:pStyle w:val="121"/>
        <w:spacing w:line="360" w:lineRule="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1"/>
        <w:spacing w:line="360" w:lineRule="auto"/>
        <w:rPr>
          <w:rFonts w:hint="eastAsia" w:ascii="宋体" w:hAnsi="宋体"/>
          <w:color w:val="auto"/>
          <w:lang w:val="en-US" w:eastAsia="zh-CN"/>
        </w:rPr>
      </w:pPr>
      <w:r>
        <w:rPr>
          <w:rFonts w:hint="eastAsia" w:ascii="宋体" w:hAnsi="宋体"/>
          <w:color w:val="auto"/>
          <w:lang w:val="en-US" w:eastAsia="zh-CN"/>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货物安装调试完毕，</w:t>
      </w:r>
      <w:r>
        <w:rPr>
          <w:rFonts w:hint="eastAsia" w:ascii="宋体" w:hAnsi="宋体" w:eastAsia="宋体" w:cs="宋体"/>
          <w:color w:val="000000"/>
          <w:sz w:val="24"/>
          <w:szCs w:val="24"/>
          <w:lang w:val="en-US" w:eastAsia="zh-CN"/>
        </w:rPr>
        <w:t>在正常工况下运行30日</w:t>
      </w:r>
      <w:r>
        <w:rPr>
          <w:rFonts w:hint="eastAsia" w:ascii="宋体" w:hAnsi="宋体" w:eastAsia="宋体" w:cs="宋体"/>
          <w:color w:val="000000"/>
          <w:sz w:val="24"/>
          <w:szCs w:val="24"/>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试运行期间或之后无维修、调整等行为（特殊情况除外）。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w:t>
      </w:r>
      <w:r>
        <w:rPr>
          <w:rFonts w:hint="eastAsia" w:ascii="宋体" w:hAnsi="宋体" w:eastAsia="宋体" w:cs="宋体"/>
          <w:color w:val="000000"/>
          <w:sz w:val="24"/>
          <w:szCs w:val="24"/>
          <w:lang w:val="en-US" w:eastAsia="zh-CN"/>
        </w:rPr>
        <w:t>规格型号</w:t>
      </w:r>
      <w:r>
        <w:rPr>
          <w:rFonts w:hint="eastAsia" w:ascii="宋体" w:hAnsi="宋体" w:eastAsia="宋体" w:cs="宋体"/>
          <w:color w:val="000000"/>
          <w:sz w:val="24"/>
          <w:szCs w:val="24"/>
        </w:rPr>
        <w:t>、技术性能等，达到签定的技术协议书和合同规定的终验收标准。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2、验收基本要求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货物允许情况下，一般先进行</w:t>
      </w:r>
      <w:r>
        <w:rPr>
          <w:rFonts w:hint="eastAsia" w:ascii="宋体" w:hAnsi="宋体" w:eastAsia="宋体" w:cs="宋体"/>
          <w:color w:val="000000"/>
          <w:sz w:val="24"/>
          <w:szCs w:val="24"/>
          <w:lang w:val="en-US" w:eastAsia="zh-CN"/>
        </w:rPr>
        <w:t>行车无载荷运行3次</w:t>
      </w:r>
      <w:r>
        <w:rPr>
          <w:rFonts w:hint="eastAsia" w:ascii="宋体" w:hAnsi="宋体" w:eastAsia="宋体" w:cs="宋体"/>
          <w:color w:val="000000"/>
          <w:sz w:val="24"/>
          <w:szCs w:val="24"/>
        </w:rPr>
        <w:t>，然后再进行负荷运行</w:t>
      </w:r>
      <w:r>
        <w:rPr>
          <w:rFonts w:hint="eastAsia" w:ascii="宋体" w:hAnsi="宋体" w:eastAsia="宋体" w:cs="宋体"/>
          <w:color w:val="000000"/>
          <w:sz w:val="24"/>
          <w:szCs w:val="24"/>
          <w:lang w:val="en-US" w:eastAsia="zh-CN"/>
        </w:rPr>
        <w:t>3次，验证各个行车最大起重吨数</w:t>
      </w:r>
      <w:r>
        <w:rPr>
          <w:rFonts w:hint="eastAsia" w:ascii="宋体" w:hAnsi="宋体" w:eastAsia="宋体" w:cs="宋体"/>
          <w:color w:val="000000"/>
          <w:sz w:val="24"/>
          <w:szCs w:val="24"/>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出现下列问题之一，视作验收失败：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2.2.1  在整个验收过程中发生关键零部件损坏或重大故障；</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2.2.2  一般性故障超过 2 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2.2.3  所有出现的维修调整，每次时间均超过90分钟；所有维修调整时间的总和超过总运行时间的 5%；</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2.2.4  更换的零部件货值超过总货值的3%。</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累计负载运行实际性能（或生产率）达到合同规定；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验收原则上要求一次完成。若一次验收不成功，最多允许两次；如果出现第三次验收失败，重新作价或退货；</w:t>
      </w:r>
    </w:p>
    <w:p>
      <w:pPr>
        <w:adjustRightInd w:val="0"/>
        <w:snapToGrid w:val="0"/>
        <w:spacing w:line="360" w:lineRule="auto"/>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2.5 特种设备的首次注册检定由厂家完成，招标方可以协助提供相关材料，特种设备注册检定证书等相关文件作为验收的必要材料。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 xml:space="preserve">  验收通过后买卖双方共同签署终验收报告，并移交、核对全部供货范围内物品。</w:t>
      </w:r>
    </w:p>
    <w:p>
      <w:pPr>
        <w:pStyle w:val="18"/>
        <w:outlineLvl w:val="2"/>
        <w:rPr>
          <w:rFonts w:hAnsi="宋体" w:eastAsia="宋体" w:cs="宋体"/>
          <w:b/>
          <w:bCs/>
          <w:color w:val="000000"/>
          <w:sz w:val="24"/>
          <w:szCs w:val="24"/>
        </w:rPr>
        <w:sectPr>
          <w:footerReference r:id="rId12" w:type="first"/>
          <w:footerReference r:id="rId11" w:type="default"/>
          <w:pgSz w:w="16838" w:h="11906" w:orient="landscape"/>
          <w:pgMar w:top="1417" w:right="1588" w:bottom="1417" w:left="1134" w:header="851" w:footer="992" w:gutter="0"/>
          <w:cols w:space="720" w:num="1"/>
          <w:titlePg/>
          <w:docGrid w:type="lines" w:linePitch="312" w:charSpace="0"/>
        </w:sectPr>
      </w:pPr>
    </w:p>
    <w:bookmarkEnd w:id="33"/>
    <w:p>
      <w:pPr>
        <w:pStyle w:val="18"/>
      </w:pPr>
    </w:p>
    <w:p>
      <w:pPr>
        <w:spacing w:line="360" w:lineRule="auto"/>
        <w:jc w:val="center"/>
        <w:outlineLvl w:val="0"/>
        <w:rPr>
          <w:rFonts w:ascii="宋体" w:hAnsi="Calibri" w:eastAsia="宋体" w:cs="Times New Roman"/>
          <w:b/>
          <w:sz w:val="36"/>
          <w:szCs w:val="36"/>
        </w:rPr>
      </w:pPr>
      <w:bookmarkStart w:id="42"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2"/>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spacing w:line="360" w:lineRule="auto"/>
        <w:jc w:val="right"/>
        <w:rPr>
          <w:rFonts w:hint="default" w:ascii="方正小标宋简体" w:hAnsi="方正小标宋简体" w:eastAsia="方正小标宋简体" w:cs="方正小标宋简体"/>
          <w:b/>
          <w:bCs/>
          <w:w w:val="90"/>
          <w:sz w:val="24"/>
          <w:szCs w:val="24"/>
          <w:u w:val="single"/>
          <w:lang w:val="en-US" w:eastAsia="zh-CN"/>
        </w:rPr>
      </w:pPr>
      <w:bookmarkStart w:id="43" w:name="_Toc283814116"/>
      <w:bookmarkStart w:id="44" w:name="_Toc29691"/>
      <w:r>
        <w:rPr>
          <w:rFonts w:hint="eastAsia" w:ascii="仿宋_GB2312" w:hAnsi="仿宋_GB2312" w:eastAsia="仿宋_GB2312" w:cs="仿宋_GB2312"/>
          <w:w w:val="90"/>
          <w:sz w:val="24"/>
          <w:szCs w:val="24"/>
          <w:lang w:val="en-US" w:eastAsia="zh-CN"/>
        </w:rPr>
        <w:t xml:space="preserve"> </w:t>
      </w:r>
    </w:p>
    <w:p>
      <w:pPr>
        <w:spacing w:line="360" w:lineRule="auto"/>
        <w:jc w:val="center"/>
        <w:rPr>
          <w:rFonts w:hint="eastAsia" w:ascii="方正小标宋简体" w:hAnsi="方正小标宋简体" w:eastAsia="方正小标宋简体" w:cs="方正小标宋简体"/>
          <w:w w:val="90"/>
          <w:sz w:val="44"/>
          <w:szCs w:val="44"/>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pPr>
        <w:spacing w:line="360" w:lineRule="auto"/>
        <w:jc w:val="center"/>
        <w:rPr>
          <w:rFonts w:hint="eastAsia" w:ascii="方正小标宋简体" w:hAnsi="方正小标宋简体" w:eastAsia="方正小标宋简体" w:cs="方正小标宋简体"/>
          <w:w w:val="90"/>
          <w:sz w:val="56"/>
          <w:szCs w:val="56"/>
          <w:lang w:eastAsia="zh-CN"/>
        </w:rPr>
      </w:pPr>
    </w:p>
    <w:p>
      <w:pPr>
        <w:spacing w:line="360" w:lineRule="auto"/>
        <w:jc w:val="center"/>
        <w:rPr>
          <w:rFonts w:hint="eastAsia" w:ascii="仿宋_GB2312" w:hAnsi="仿宋_GB2312" w:eastAsia="仿宋_GB2312" w:cs="仿宋_GB2312"/>
          <w:bCs/>
          <w:sz w:val="24"/>
          <w:szCs w:val="24"/>
        </w:rPr>
      </w:pPr>
    </w:p>
    <w:p>
      <w:pPr>
        <w:spacing w:line="360" w:lineRule="auto"/>
        <w:jc w:val="center"/>
        <w:rPr>
          <w:rFonts w:hint="eastAsia"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headerReference r:id="rId13" w:type="default"/>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pPr>
        <w:pStyle w:val="3"/>
        <w:tabs>
          <w:tab w:val="right" w:leader="dot" w:pos="9061"/>
        </w:tabs>
        <w:ind w:left="0" w:firstLine="480" w:firstLineChars="200"/>
        <w:jc w:val="both"/>
        <w:rPr>
          <w:rFonts w:ascii="黑体" w:hAnsi="黑体" w:eastAsia="黑体" w:cs="黑体"/>
          <w:b w:val="0"/>
          <w:sz w:val="24"/>
          <w:szCs w:val="24"/>
        </w:rPr>
      </w:pPr>
      <w:bookmarkStart w:id="45" w:name="_Toc16330018"/>
      <w:bookmarkStart w:id="46" w:name="_Toc11930"/>
      <w:bookmarkStart w:id="47" w:name="_Toc17619"/>
      <w:bookmarkStart w:id="48" w:name="_Toc11823"/>
      <w:r>
        <w:rPr>
          <w:rFonts w:hint="eastAsia" w:ascii="黑体" w:hAnsi="黑体" w:eastAsia="黑体" w:cs="黑体"/>
          <w:b w:val="0"/>
          <w:sz w:val="24"/>
          <w:szCs w:val="24"/>
        </w:rPr>
        <w:t>1 合同设备</w:t>
      </w:r>
      <w:bookmarkEnd w:id="45"/>
      <w:bookmarkEnd w:id="46"/>
      <w:bookmarkEnd w:id="47"/>
      <w:bookmarkEnd w:id="4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9" w:name="_Toc22800"/>
      <w:bookmarkStart w:id="50" w:name="_Toc32510"/>
      <w:bookmarkStart w:id="51" w:name="_Toc29026"/>
      <w:r>
        <w:rPr>
          <w:rFonts w:hint="eastAsia" w:ascii="仿宋_GB2312" w:hAnsi="仿宋_GB2312" w:eastAsia="仿宋_GB2312" w:cs="仿宋_GB2312"/>
          <w:sz w:val="24"/>
          <w:szCs w:val="24"/>
        </w:rPr>
        <w:t>本合同约定设备的技术规格详见附件二《技术协议书》。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pStyle w:val="3"/>
        <w:tabs>
          <w:tab w:val="right" w:leader="dot" w:pos="9061"/>
        </w:tabs>
        <w:ind w:left="0" w:firstLine="480" w:firstLineChars="200"/>
        <w:jc w:val="both"/>
        <w:rPr>
          <w:rFonts w:ascii="黑体" w:hAnsi="黑体" w:eastAsia="黑体" w:cs="黑体"/>
          <w:b w:val="0"/>
          <w:sz w:val="24"/>
          <w:szCs w:val="24"/>
        </w:rPr>
      </w:pPr>
      <w:bookmarkStart w:id="52" w:name="_Toc16330019"/>
      <w:r>
        <w:rPr>
          <w:rFonts w:hint="eastAsia" w:ascii="黑体" w:hAnsi="黑体" w:eastAsia="黑体" w:cs="黑体"/>
          <w:b w:val="0"/>
          <w:sz w:val="24"/>
          <w:szCs w:val="24"/>
        </w:rPr>
        <w:t>2 包装</w:t>
      </w:r>
      <w:bookmarkEnd w:id="49"/>
      <w:bookmarkEnd w:id="50"/>
      <w:bookmarkEnd w:id="51"/>
      <w:bookmarkEnd w:id="5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pStyle w:val="3"/>
        <w:tabs>
          <w:tab w:val="right" w:leader="dot" w:pos="9061"/>
        </w:tabs>
        <w:ind w:left="0" w:firstLine="480" w:firstLineChars="200"/>
        <w:jc w:val="both"/>
        <w:rPr>
          <w:rFonts w:ascii="黑体" w:hAnsi="黑体" w:eastAsia="黑体" w:cs="黑体"/>
          <w:b w:val="0"/>
          <w:sz w:val="24"/>
          <w:szCs w:val="24"/>
        </w:rPr>
      </w:pPr>
      <w:bookmarkStart w:id="53" w:name="_Toc16330020"/>
      <w:bookmarkStart w:id="54" w:name="_Toc27453"/>
      <w:bookmarkStart w:id="55" w:name="_Toc2833"/>
      <w:bookmarkStart w:id="56" w:name="_Toc27144"/>
      <w:r>
        <w:rPr>
          <w:rFonts w:hint="eastAsia" w:ascii="黑体" w:hAnsi="黑体" w:eastAsia="黑体" w:cs="黑体"/>
          <w:b w:val="0"/>
          <w:sz w:val="24"/>
          <w:szCs w:val="24"/>
        </w:rPr>
        <w:t>3 运输标记</w:t>
      </w:r>
      <w:bookmarkEnd w:id="53"/>
      <w:bookmarkEnd w:id="54"/>
      <w:bookmarkEnd w:id="55"/>
      <w:bookmarkEnd w:id="5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ind w:left="0" w:firstLine="480" w:firstLineChars="200"/>
        <w:jc w:val="both"/>
        <w:rPr>
          <w:rFonts w:ascii="黑体" w:hAnsi="黑体" w:eastAsia="黑体" w:cs="黑体"/>
          <w:b w:val="0"/>
          <w:sz w:val="24"/>
          <w:szCs w:val="24"/>
        </w:rPr>
      </w:pPr>
      <w:bookmarkStart w:id="57" w:name="_Toc10630"/>
      <w:bookmarkStart w:id="58" w:name="_Toc16133"/>
      <w:bookmarkStart w:id="59" w:name="_Toc16330021"/>
      <w:bookmarkStart w:id="60" w:name="_Toc7431"/>
      <w:r>
        <w:rPr>
          <w:rFonts w:hint="eastAsia" w:ascii="黑体" w:hAnsi="黑体" w:eastAsia="黑体" w:cs="黑体"/>
          <w:b w:val="0"/>
          <w:sz w:val="24"/>
          <w:szCs w:val="24"/>
        </w:rPr>
        <w:t>4 检验</w:t>
      </w:r>
      <w:bookmarkEnd w:id="57"/>
      <w:bookmarkEnd w:id="58"/>
      <w:bookmarkEnd w:id="59"/>
      <w:bookmarkEnd w:id="6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pStyle w:val="3"/>
        <w:tabs>
          <w:tab w:val="right" w:leader="dot" w:pos="9061"/>
        </w:tabs>
        <w:ind w:left="0" w:firstLine="480" w:firstLineChars="200"/>
        <w:jc w:val="both"/>
        <w:rPr>
          <w:rFonts w:ascii="黑体" w:hAnsi="黑体" w:eastAsia="黑体" w:cs="黑体"/>
          <w:b w:val="0"/>
          <w:sz w:val="24"/>
          <w:szCs w:val="24"/>
        </w:rPr>
      </w:pPr>
      <w:bookmarkStart w:id="61" w:name="_Toc24467"/>
      <w:bookmarkStart w:id="62" w:name="_Toc11217"/>
      <w:bookmarkStart w:id="63" w:name="_Toc19850"/>
      <w:bookmarkStart w:id="64" w:name="_Toc16330022"/>
      <w:r>
        <w:rPr>
          <w:rFonts w:hint="eastAsia" w:ascii="黑体" w:hAnsi="黑体" w:eastAsia="黑体" w:cs="黑体"/>
          <w:b w:val="0"/>
          <w:sz w:val="24"/>
          <w:szCs w:val="24"/>
        </w:rPr>
        <w:t>5 权利担保</w:t>
      </w:r>
      <w:bookmarkEnd w:id="61"/>
      <w:bookmarkEnd w:id="62"/>
      <w:bookmarkEnd w:id="63"/>
      <w:bookmarkEnd w:id="6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ind w:left="0" w:firstLine="480" w:firstLineChars="200"/>
        <w:jc w:val="both"/>
        <w:rPr>
          <w:rFonts w:ascii="黑体" w:hAnsi="黑体" w:eastAsia="黑体" w:cs="黑体"/>
          <w:b w:val="0"/>
          <w:sz w:val="24"/>
          <w:szCs w:val="24"/>
        </w:rPr>
      </w:pPr>
      <w:bookmarkStart w:id="65" w:name="_Toc16330023"/>
      <w:bookmarkStart w:id="66" w:name="_Toc14809"/>
      <w:bookmarkStart w:id="67" w:name="_Toc11759"/>
      <w:bookmarkStart w:id="68" w:name="_Toc27500"/>
      <w:r>
        <w:rPr>
          <w:rFonts w:hint="eastAsia" w:ascii="黑体" w:hAnsi="黑体" w:eastAsia="黑体" w:cs="黑体"/>
          <w:b w:val="0"/>
          <w:sz w:val="24"/>
          <w:szCs w:val="24"/>
        </w:rPr>
        <w:t>6 交货</w:t>
      </w:r>
      <w:bookmarkEnd w:id="65"/>
      <w:bookmarkEnd w:id="66"/>
      <w:bookmarkEnd w:id="67"/>
      <w:bookmarkEnd w:id="6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ind w:left="0" w:firstLine="480" w:firstLineChars="200"/>
        <w:jc w:val="both"/>
        <w:rPr>
          <w:rFonts w:ascii="黑体" w:hAnsi="黑体" w:eastAsia="黑体" w:cs="黑体"/>
          <w:b w:val="0"/>
          <w:sz w:val="24"/>
          <w:szCs w:val="24"/>
        </w:rPr>
      </w:pPr>
      <w:bookmarkStart w:id="69" w:name="_Toc8024"/>
      <w:bookmarkStart w:id="70" w:name="_Toc25510"/>
      <w:bookmarkStart w:id="71" w:name="_Toc2984"/>
      <w:bookmarkStart w:id="72" w:name="_Toc16330024"/>
      <w:r>
        <w:rPr>
          <w:rFonts w:hint="eastAsia" w:ascii="黑体" w:hAnsi="黑体" w:eastAsia="黑体" w:cs="黑体"/>
          <w:b w:val="0"/>
          <w:sz w:val="24"/>
          <w:szCs w:val="24"/>
        </w:rPr>
        <w:t>7 安装、调试</w:t>
      </w:r>
      <w:bookmarkEnd w:id="69"/>
      <w:bookmarkEnd w:id="70"/>
      <w:bookmarkEnd w:id="71"/>
      <w:bookmarkEnd w:id="7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pStyle w:val="3"/>
        <w:tabs>
          <w:tab w:val="right" w:leader="dot" w:pos="9061"/>
        </w:tabs>
        <w:ind w:left="0" w:firstLine="480" w:firstLineChars="200"/>
        <w:jc w:val="both"/>
        <w:rPr>
          <w:rFonts w:ascii="黑体" w:hAnsi="黑体" w:eastAsia="黑体" w:cs="黑体"/>
          <w:b w:val="0"/>
          <w:sz w:val="24"/>
          <w:szCs w:val="24"/>
        </w:rPr>
      </w:pPr>
      <w:bookmarkStart w:id="73" w:name="_Toc14260"/>
      <w:bookmarkStart w:id="74" w:name="_Toc14098"/>
      <w:bookmarkStart w:id="75" w:name="_Toc16330025"/>
      <w:bookmarkStart w:id="76" w:name="_Toc6350"/>
      <w:r>
        <w:rPr>
          <w:rFonts w:hint="eastAsia" w:ascii="黑体" w:hAnsi="黑体" w:eastAsia="黑体" w:cs="黑体"/>
          <w:b w:val="0"/>
          <w:sz w:val="24"/>
          <w:szCs w:val="24"/>
        </w:rPr>
        <w:t>8 价款与支付</w:t>
      </w:r>
      <w:bookmarkEnd w:id="73"/>
      <w:bookmarkEnd w:id="74"/>
      <w:bookmarkEnd w:id="75"/>
      <w:bookmarkEnd w:id="7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pPr>
        <w:pStyle w:val="3"/>
        <w:tabs>
          <w:tab w:val="right" w:leader="dot" w:pos="9061"/>
        </w:tabs>
        <w:ind w:left="0" w:firstLine="480" w:firstLineChars="200"/>
        <w:jc w:val="both"/>
        <w:rPr>
          <w:rFonts w:ascii="黑体" w:hAnsi="黑体" w:eastAsia="黑体" w:cs="黑体"/>
          <w:b w:val="0"/>
          <w:sz w:val="24"/>
          <w:szCs w:val="24"/>
        </w:rPr>
      </w:pPr>
      <w:bookmarkStart w:id="77" w:name="_Toc16330026"/>
      <w:bookmarkStart w:id="78" w:name="_Toc25708"/>
      <w:bookmarkStart w:id="79" w:name="_Toc6726"/>
      <w:bookmarkStart w:id="80" w:name="_Toc24085"/>
      <w:r>
        <w:rPr>
          <w:rFonts w:hint="eastAsia" w:ascii="黑体" w:hAnsi="黑体" w:eastAsia="黑体" w:cs="黑体"/>
          <w:b w:val="0"/>
          <w:sz w:val="24"/>
          <w:szCs w:val="24"/>
        </w:rPr>
        <w:t>9 质量保证及售后服务</w:t>
      </w:r>
      <w:bookmarkEnd w:id="77"/>
      <w:bookmarkEnd w:id="78"/>
      <w:bookmarkEnd w:id="79"/>
      <w:bookmarkEnd w:id="8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81" w:name="_Toc10359"/>
      <w:bookmarkStart w:id="82" w:name="_Toc16330027"/>
      <w:bookmarkStart w:id="83" w:name="_Toc12927"/>
      <w:bookmarkStart w:id="84" w:name="_Toc15570"/>
      <w:r>
        <w:rPr>
          <w:rFonts w:hint="eastAsia" w:ascii="黑体" w:hAnsi="黑体" w:eastAsia="黑体" w:cs="黑体"/>
          <w:b w:val="0"/>
          <w:sz w:val="24"/>
          <w:szCs w:val="24"/>
        </w:rPr>
        <w:t>10法定责任</w:t>
      </w:r>
      <w:bookmarkEnd w:id="81"/>
      <w:bookmarkEnd w:id="82"/>
      <w:bookmarkEnd w:id="83"/>
      <w:bookmarkEnd w:id="84"/>
      <w:r>
        <w:rPr>
          <w:rFonts w:hint="eastAsia" w:ascii="黑体" w:hAnsi="黑体" w:eastAsia="黑体" w:cs="黑体"/>
          <w:b w:val="0"/>
          <w:sz w:val="24"/>
          <w:szCs w:val="24"/>
          <w:lang w:val="en-US" w:eastAsia="zh-CN"/>
        </w:rPr>
        <w:t>及合规责任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pPr>
        <w:pStyle w:val="3"/>
        <w:tabs>
          <w:tab w:val="right" w:leader="dot" w:pos="9061"/>
        </w:tabs>
        <w:ind w:left="0" w:firstLine="480" w:firstLineChars="200"/>
        <w:jc w:val="both"/>
        <w:rPr>
          <w:rFonts w:ascii="黑体" w:hAnsi="黑体" w:eastAsia="黑体" w:cs="黑体"/>
          <w:b w:val="0"/>
          <w:sz w:val="24"/>
          <w:szCs w:val="24"/>
        </w:rPr>
      </w:pPr>
      <w:bookmarkStart w:id="85" w:name="_Toc30381"/>
      <w:bookmarkStart w:id="86" w:name="_Toc9708"/>
      <w:bookmarkStart w:id="87" w:name="_Toc27314"/>
      <w:bookmarkStart w:id="88" w:name="_Toc16330028"/>
      <w:r>
        <w:rPr>
          <w:rFonts w:hint="eastAsia" w:ascii="黑体" w:hAnsi="黑体" w:eastAsia="黑体" w:cs="黑体"/>
          <w:b w:val="0"/>
          <w:sz w:val="24"/>
          <w:szCs w:val="24"/>
        </w:rPr>
        <w:t>11 违约责任</w:t>
      </w:r>
      <w:bookmarkEnd w:id="85"/>
      <w:bookmarkEnd w:id="86"/>
      <w:bookmarkEnd w:id="87"/>
      <w:bookmarkEnd w:id="8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pPr>
        <w:pStyle w:val="3"/>
        <w:tabs>
          <w:tab w:val="right" w:leader="dot" w:pos="9061"/>
        </w:tabs>
        <w:ind w:left="0" w:firstLine="480" w:firstLineChars="200"/>
        <w:jc w:val="both"/>
        <w:rPr>
          <w:rFonts w:ascii="黑体" w:hAnsi="黑体" w:eastAsia="黑体" w:cs="黑体"/>
          <w:b w:val="0"/>
          <w:sz w:val="24"/>
          <w:szCs w:val="24"/>
        </w:rPr>
      </w:pPr>
      <w:bookmarkStart w:id="89" w:name="_Toc16330029"/>
      <w:bookmarkStart w:id="90" w:name="_Toc1827"/>
      <w:bookmarkStart w:id="91" w:name="_Toc9172"/>
      <w:bookmarkStart w:id="92" w:name="_Toc31554"/>
      <w:r>
        <w:rPr>
          <w:rFonts w:hint="eastAsia" w:ascii="黑体" w:hAnsi="黑体" w:eastAsia="黑体" w:cs="黑体"/>
          <w:b w:val="0"/>
          <w:sz w:val="24"/>
          <w:szCs w:val="24"/>
        </w:rPr>
        <w:t>12 合同的终止与解除</w:t>
      </w:r>
      <w:bookmarkEnd w:id="89"/>
      <w:bookmarkEnd w:id="90"/>
      <w:bookmarkEnd w:id="91"/>
      <w:bookmarkEnd w:id="9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pPr>
        <w:pStyle w:val="3"/>
        <w:tabs>
          <w:tab w:val="right" w:leader="dot" w:pos="9061"/>
        </w:tabs>
        <w:ind w:left="0" w:firstLine="480" w:firstLineChars="200"/>
        <w:jc w:val="both"/>
        <w:rPr>
          <w:rFonts w:ascii="黑体" w:hAnsi="黑体" w:eastAsia="黑体" w:cs="黑体"/>
          <w:b w:val="0"/>
          <w:sz w:val="24"/>
          <w:szCs w:val="24"/>
        </w:rPr>
      </w:pPr>
      <w:bookmarkStart w:id="93" w:name="_Toc31945"/>
      <w:bookmarkStart w:id="94" w:name="_Toc8620"/>
      <w:bookmarkStart w:id="95" w:name="_Toc13671"/>
      <w:bookmarkStart w:id="96" w:name="_Toc16330030"/>
      <w:r>
        <w:rPr>
          <w:rFonts w:hint="eastAsia" w:ascii="黑体" w:hAnsi="黑体" w:eastAsia="黑体" w:cs="黑体"/>
          <w:b w:val="0"/>
          <w:sz w:val="24"/>
          <w:szCs w:val="24"/>
        </w:rPr>
        <w:t>13 不可抗力</w:t>
      </w:r>
      <w:bookmarkEnd w:id="93"/>
      <w:bookmarkEnd w:id="94"/>
      <w:bookmarkEnd w:id="95"/>
      <w:bookmarkEnd w:id="9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pStyle w:val="3"/>
        <w:tabs>
          <w:tab w:val="right" w:leader="dot" w:pos="9061"/>
        </w:tabs>
        <w:ind w:left="0" w:firstLine="480" w:firstLineChars="200"/>
        <w:jc w:val="both"/>
        <w:rPr>
          <w:rFonts w:ascii="黑体" w:hAnsi="黑体" w:eastAsia="黑体" w:cs="黑体"/>
          <w:b w:val="0"/>
          <w:sz w:val="24"/>
          <w:szCs w:val="24"/>
        </w:rPr>
      </w:pPr>
      <w:bookmarkStart w:id="97" w:name="_Toc637"/>
      <w:bookmarkStart w:id="98" w:name="_Toc16330031"/>
      <w:bookmarkStart w:id="99" w:name="_Toc31243"/>
      <w:bookmarkStart w:id="100" w:name="_Toc30389"/>
      <w:r>
        <w:rPr>
          <w:rFonts w:hint="eastAsia" w:ascii="黑体" w:hAnsi="黑体" w:eastAsia="黑体" w:cs="黑体"/>
          <w:b w:val="0"/>
          <w:sz w:val="24"/>
          <w:szCs w:val="24"/>
        </w:rPr>
        <w:t>14 通讯</w:t>
      </w:r>
      <w:bookmarkEnd w:id="97"/>
      <w:bookmarkEnd w:id="98"/>
      <w:bookmarkEnd w:id="99"/>
      <w:bookmarkEnd w:id="10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pStyle w:val="3"/>
        <w:tabs>
          <w:tab w:val="right" w:leader="dot" w:pos="9061"/>
        </w:tabs>
        <w:ind w:left="0" w:firstLine="480" w:firstLineChars="200"/>
        <w:jc w:val="both"/>
        <w:rPr>
          <w:rFonts w:ascii="黑体" w:hAnsi="黑体" w:eastAsia="黑体" w:cs="黑体"/>
          <w:b w:val="0"/>
          <w:sz w:val="24"/>
          <w:szCs w:val="24"/>
        </w:rPr>
      </w:pPr>
      <w:bookmarkStart w:id="101" w:name="_Toc11290"/>
      <w:bookmarkStart w:id="102" w:name="_Toc16330032"/>
      <w:bookmarkStart w:id="103" w:name="_Toc12984"/>
      <w:bookmarkStart w:id="104" w:name="_Toc9915"/>
      <w:r>
        <w:rPr>
          <w:rFonts w:hint="eastAsia" w:ascii="黑体" w:hAnsi="黑体" w:eastAsia="黑体" w:cs="黑体"/>
          <w:b w:val="0"/>
          <w:sz w:val="24"/>
          <w:szCs w:val="24"/>
        </w:rPr>
        <w:t>15 适用法律及争议解决</w:t>
      </w:r>
      <w:bookmarkEnd w:id="101"/>
      <w:bookmarkEnd w:id="102"/>
      <w:bookmarkEnd w:id="103"/>
      <w:bookmarkEnd w:id="10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ind w:left="0" w:firstLine="480" w:firstLineChars="200"/>
        <w:jc w:val="both"/>
        <w:rPr>
          <w:rFonts w:ascii="黑体" w:hAnsi="黑体" w:eastAsia="黑体" w:cs="黑体"/>
          <w:b w:val="0"/>
          <w:sz w:val="24"/>
          <w:szCs w:val="24"/>
        </w:rPr>
      </w:pPr>
      <w:bookmarkStart w:id="105" w:name="_Toc23765"/>
      <w:bookmarkStart w:id="106" w:name="_Toc23906"/>
      <w:bookmarkStart w:id="107" w:name="_Toc16330033"/>
      <w:bookmarkStart w:id="108" w:name="_Toc18207"/>
      <w:r>
        <w:rPr>
          <w:rFonts w:hint="eastAsia" w:ascii="黑体" w:hAnsi="黑体" w:eastAsia="黑体" w:cs="黑体"/>
          <w:b w:val="0"/>
          <w:sz w:val="24"/>
          <w:szCs w:val="24"/>
        </w:rPr>
        <w:t>16 附件</w:t>
      </w:r>
      <w:bookmarkEnd w:id="105"/>
      <w:bookmarkEnd w:id="106"/>
      <w:bookmarkEnd w:id="107"/>
      <w:bookmarkEnd w:id="10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pStyle w:val="3"/>
        <w:tabs>
          <w:tab w:val="right" w:leader="dot" w:pos="9061"/>
        </w:tabs>
        <w:ind w:left="0" w:firstLine="480" w:firstLineChars="200"/>
        <w:jc w:val="both"/>
        <w:rPr>
          <w:rFonts w:ascii="黑体" w:hAnsi="黑体" w:eastAsia="黑体" w:cs="黑体"/>
          <w:b w:val="0"/>
          <w:sz w:val="24"/>
          <w:szCs w:val="24"/>
        </w:rPr>
      </w:pPr>
      <w:bookmarkStart w:id="109" w:name="_Toc17656"/>
      <w:bookmarkStart w:id="110" w:name="_Toc31331"/>
      <w:bookmarkStart w:id="111" w:name="_Toc16330034"/>
      <w:bookmarkStart w:id="112" w:name="_Toc27202"/>
      <w:r>
        <w:rPr>
          <w:rFonts w:hint="eastAsia" w:ascii="黑体" w:hAnsi="黑体" w:eastAsia="黑体" w:cs="黑体"/>
          <w:b w:val="0"/>
          <w:sz w:val="24"/>
          <w:szCs w:val="24"/>
        </w:rPr>
        <w:t>17 其他规定</w:t>
      </w:r>
      <w:bookmarkEnd w:id="109"/>
      <w:bookmarkEnd w:id="110"/>
      <w:bookmarkEnd w:id="111"/>
      <w:bookmarkEnd w:id="11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80" w:firstLineChars="200"/>
        <w:rPr>
          <w:rFonts w:ascii="仿宋_GB2312" w:hAnsi="仿宋_GB2312" w:eastAsia="仿宋_GB2312" w:cs="仿宋_GB2312"/>
          <w:sz w:val="24"/>
          <w:szCs w:val="24"/>
        </w:rPr>
      </w:pPr>
      <w:bookmarkStart w:id="113" w:name="_Toc19077"/>
      <w:bookmarkStart w:id="114" w:name="_Toc17952"/>
      <w:bookmarkStart w:id="115" w:name="_Toc16330035"/>
      <w:bookmarkStart w:id="116"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3"/>
      <w:bookmarkEnd w:id="114"/>
      <w:bookmarkEnd w:id="115"/>
      <w:bookmarkEnd w:id="11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rPr>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pPr>
              <w:spacing w:line="360" w:lineRule="auto"/>
              <w:jc w:val="center"/>
              <w:rPr>
                <w:rFonts w:ascii="仿宋_GB2312" w:eastAsia="仿宋_GB2312" w:hAnsiTheme="minorEastAsia" w:cstheme="minorEastAsia"/>
              </w:rPr>
            </w:pPr>
          </w:p>
        </w:tc>
        <w:tc>
          <w:tcPr>
            <w:tcW w:w="977" w:type="dxa"/>
            <w:vAlign w:val="center"/>
          </w:tcPr>
          <w:p>
            <w:pPr>
              <w:spacing w:line="360" w:lineRule="auto"/>
              <w:jc w:val="center"/>
              <w:rPr>
                <w:rFonts w:ascii="仿宋_GB2312" w:eastAsia="仿宋_GB2312" w:hAnsiTheme="minorEastAsia" w:cstheme="minorEastAsia"/>
              </w:rPr>
            </w:pPr>
          </w:p>
        </w:tc>
        <w:tc>
          <w:tcPr>
            <w:tcW w:w="881" w:type="dxa"/>
            <w:vAlign w:val="center"/>
          </w:tcPr>
          <w:p>
            <w:pPr>
              <w:spacing w:line="360" w:lineRule="auto"/>
              <w:jc w:val="center"/>
              <w:rPr>
                <w:rFonts w:ascii="仿宋_GB2312" w:eastAsia="仿宋_GB2312" w:hAnsiTheme="minorEastAsia" w:cstheme="minorEastAsia"/>
              </w:rPr>
            </w:pPr>
          </w:p>
        </w:tc>
        <w:tc>
          <w:tcPr>
            <w:tcW w:w="99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r>
      <w:bookmarkEnd w:id="43"/>
    </w:tbl>
    <w:p>
      <w:pPr>
        <w:pStyle w:val="3"/>
        <w:tabs>
          <w:tab w:val="right" w:leader="dot" w:pos="9061"/>
        </w:tabs>
        <w:ind w:left="0"/>
        <w:jc w:val="both"/>
        <w:rPr>
          <w:rFonts w:asciiTheme="minorEastAsia" w:hAnsiTheme="minorEastAsia" w:eastAsiaTheme="minorEastAsia" w:cstheme="minorEastAsia"/>
          <w:sz w:val="20"/>
        </w:rPr>
      </w:pPr>
    </w:p>
    <w:p>
      <w:pPr>
        <w:rPr>
          <w:rFonts w:asciiTheme="minorEastAsia" w:hAnsiTheme="minorEastAsia" w:eastAsia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17" w:name="_Toc14341849"/>
    </w:p>
    <w:p>
      <w:pPr>
        <w:ind w:right="480"/>
        <w:jc w:val="center"/>
        <w:rPr>
          <w:sz w:val="24"/>
          <w:szCs w:val="24"/>
        </w:rPr>
      </w:pPr>
      <w:r>
        <w:rPr>
          <w:rFonts w:hint="eastAsia" w:ascii="楷体_GB2312" w:hAnsi="宋体" w:eastAsia="楷体_GB2312"/>
          <w:sz w:val="24"/>
        </w:rPr>
        <w:t xml:space="preserve">                                    </w:t>
      </w:r>
    </w:p>
    <w:bookmarkEnd w:id="117"/>
    <w:p>
      <w:pPr>
        <w:rPr>
          <w:rFonts w:hint="eastAsia" w:ascii="方正小标宋简体" w:hAnsi="方正小标宋简体" w:eastAsia="方正小标宋简体" w:cs="方正小标宋简体"/>
          <w:sz w:val="40"/>
          <w:szCs w:val="21"/>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pPr>
        <w:pStyle w:val="14"/>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4"/>
        <w:spacing w:before="9"/>
        <w:ind w:left="0" w:firstLine="0"/>
        <w:rPr>
          <w:rFonts w:ascii="楷体" w:hAnsi="楷体" w:eastAsia="楷体" w:cs="楷体"/>
          <w:sz w:val="40"/>
          <w:szCs w:val="28"/>
        </w:rPr>
      </w:pPr>
    </w:p>
    <w:p>
      <w:pPr>
        <w:pStyle w:val="14"/>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4"/>
        <w:ind w:left="0" w:firstLine="0"/>
        <w:rPr>
          <w:rFonts w:ascii="楷体" w:hAnsi="楷体" w:eastAsia="楷体" w:cs="楷体"/>
          <w:b/>
          <w:sz w:val="24"/>
          <w:szCs w:val="28"/>
        </w:rPr>
      </w:pPr>
    </w:p>
    <w:p>
      <w:pPr>
        <w:pStyle w:val="14"/>
        <w:ind w:left="0" w:firstLine="0"/>
        <w:rPr>
          <w:rFonts w:ascii="楷体" w:hAnsi="楷体" w:eastAsia="楷体" w:cs="楷体"/>
          <w:b/>
          <w:sz w:val="24"/>
          <w:szCs w:val="28"/>
        </w:rPr>
      </w:pPr>
    </w:p>
    <w:p>
      <w:pPr>
        <w:pStyle w:val="14"/>
        <w:ind w:left="0" w:firstLine="0"/>
        <w:rPr>
          <w:rFonts w:ascii="楷体" w:hAnsi="楷体" w:eastAsia="楷体" w:cs="楷体"/>
          <w:b/>
          <w:sz w:val="24"/>
          <w:szCs w:val="28"/>
        </w:rPr>
      </w:pPr>
    </w:p>
    <w:p>
      <w:pPr>
        <w:pStyle w:val="14"/>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pPr>
        <w:keepNext/>
        <w:keepLines/>
        <w:outlineLvl w:val="9"/>
        <w:rPr>
          <w:rFonts w:hint="eastAsia" w:ascii="Times New Roman" w:hAnsi="Times New Roman" w:eastAsia="宋体" w:cs="Times New Roman"/>
          <w:b/>
          <w:bCs/>
          <w:color w:val="000000"/>
          <w:sz w:val="24"/>
          <w:szCs w:val="24"/>
        </w:rPr>
      </w:pPr>
    </w:p>
    <w:p>
      <w:pPr>
        <w:pStyle w:val="18"/>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8"/>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8" w:name="_Toc353881012"/>
      <w:bookmarkStart w:id="119" w:name="_Toc212369550"/>
      <w:bookmarkStart w:id="120" w:name="_Toc639004"/>
      <w:bookmarkStart w:id="12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8"/>
      <w:bookmarkEnd w:id="119"/>
      <w:bookmarkEnd w:id="120"/>
      <w:bookmarkEnd w:id="121"/>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济南卡车制造公司莱芜厂区新增后背电池行车技改项目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济南卡车制造公司莱芜厂区新增后背电池行车技改项目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highlight w:val="yellow"/>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pPr>
            <w:r>
              <w:t xml:space="preserve">品牌区分 </w:t>
            </w:r>
          </w:p>
        </w:tc>
        <w:tc>
          <w:tcPr>
            <w:tcW w:w="7500" w:type="dxa"/>
            <w:gridSpan w:val="6"/>
          </w:tcPr>
          <w:p>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3"/>
              <w:spacing w:before="15"/>
              <w:ind w:left="279"/>
            </w:pPr>
            <w:r>
              <w:rPr>
                <w:spacing w:val="-2"/>
              </w:rPr>
              <w:t>质量</w:t>
            </w:r>
            <w:r>
              <w:t xml:space="preserve"> </w:t>
            </w:r>
          </w:p>
          <w:p>
            <w:pPr>
              <w:pStyle w:val="133"/>
              <w:spacing w:before="30" w:line="277" w:lineRule="exact"/>
              <w:ind w:left="279"/>
            </w:pPr>
            <w:r>
              <w:rPr>
                <w:rFonts w:hint="eastAsia"/>
              </w:rPr>
              <w:t>体系</w:t>
            </w:r>
          </w:p>
        </w:tc>
        <w:tc>
          <w:tcPr>
            <w:tcW w:w="2820" w:type="dxa"/>
            <w:gridSpan w:val="2"/>
          </w:tcPr>
          <w:p>
            <w:pPr>
              <w:pStyle w:val="133"/>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lang w:eastAsia="zh-CN"/>
              </w:rPr>
              <w:t>2022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1</w:t>
            </w:r>
          </w:p>
        </w:tc>
        <w:tc>
          <w:tcPr>
            <w:tcW w:w="2238" w:type="dxa"/>
            <w:vAlign w:val="center"/>
          </w:tcPr>
          <w:p>
            <w:pPr>
              <w:spacing w:beforeLines="0" w:afterLines="0" w:line="360" w:lineRule="auto"/>
              <w:jc w:val="center"/>
              <w:rPr>
                <w:rFonts w:hint="eastAsia" w:ascii="宋体" w:hAnsi="宋体" w:eastAsia="宋体" w:cstheme="minorBidi"/>
                <w:b w:val="0"/>
                <w:bCs/>
                <w:kern w:val="2"/>
                <w:sz w:val="24"/>
                <w:szCs w:val="24"/>
                <w:lang w:val="en-US" w:eastAsia="zh-CN" w:bidi="ar-SA"/>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T</w:t>
            </w:r>
            <w:r>
              <w:rPr>
                <w:rFonts w:hint="eastAsia" w:ascii="宋体" w:hAnsi="宋体" w:eastAsia="宋体" w:cs="宋体"/>
                <w:color w:val="auto"/>
                <w:sz w:val="24"/>
                <w:szCs w:val="24"/>
                <w:highlight w:val="none"/>
              </w:rPr>
              <w:t>单梁欧式行车</w:t>
            </w:r>
          </w:p>
        </w:tc>
        <w:tc>
          <w:tcPr>
            <w:tcW w:w="2239" w:type="dxa"/>
            <w:vAlign w:val="center"/>
          </w:tcPr>
          <w:p>
            <w:pPr>
              <w:spacing w:beforeLines="0" w:afterLines="0" w:line="360" w:lineRule="auto"/>
              <w:jc w:val="center"/>
              <w:rPr>
                <w:rFonts w:ascii="Arial"/>
                <w:sz w:val="24"/>
                <w:szCs w:val="24"/>
              </w:rPr>
            </w:pPr>
            <w:r>
              <w:rPr>
                <w:rFonts w:hint="eastAsia" w:ascii="宋体" w:hAnsi="宋体" w:eastAsia="宋体" w:cs="宋体"/>
                <w:color w:val="auto"/>
                <w:sz w:val="24"/>
                <w:szCs w:val="24"/>
                <w:highlight w:val="none"/>
                <w:lang w:val="en-US" w:eastAsia="zh-CN"/>
              </w:rPr>
              <w:t>Gn=10t、So=9.7m、Lo=11m、A5</w:t>
            </w:r>
          </w:p>
        </w:tc>
        <w:tc>
          <w:tcPr>
            <w:tcW w:w="1335" w:type="dxa"/>
            <w:vAlign w:val="center"/>
          </w:tcPr>
          <w:p>
            <w:pPr>
              <w:spacing w:line="240" w:lineRule="auto"/>
              <w:jc w:val="center"/>
              <w:textAlignment w:val="center"/>
              <w:rPr>
                <w:rFonts w:hint="eastAsia" w:ascii="Arial" w:eastAsiaTheme="minorEastAsia"/>
                <w:sz w:val="24"/>
                <w:szCs w:val="24"/>
                <w:lang w:eastAsia="zh-CN"/>
              </w:rPr>
            </w:pPr>
            <w:r>
              <w:rPr>
                <w:rFonts w:hint="eastAsia" w:ascii="宋体" w:hAnsi="宋体" w:eastAsia="宋体" w:cs="宋体"/>
                <w:sz w:val="24"/>
                <w:szCs w:val="24"/>
                <w:highlight w:val="none"/>
                <w:lang w:val="en-US" w:eastAsia="zh-CN"/>
              </w:rPr>
              <w:t>套</w:t>
            </w:r>
          </w:p>
        </w:tc>
        <w:tc>
          <w:tcPr>
            <w:tcW w:w="1824" w:type="dxa"/>
            <w:vAlign w:val="center"/>
          </w:tcPr>
          <w:p>
            <w:pPr>
              <w:jc w:val="center"/>
              <w:rPr>
                <w:rFonts w:ascii="Arial"/>
                <w:sz w:val="24"/>
                <w:szCs w:val="24"/>
              </w:rPr>
            </w:pPr>
            <w:r>
              <w:rPr>
                <w:rFonts w:hint="eastAsia" w:ascii="宋体" w:hAnsi="宋体" w:eastAsia="宋体" w:cs="宋体"/>
                <w:kern w:val="2"/>
                <w:sz w:val="24"/>
                <w:szCs w:val="24"/>
                <w:highlight w:val="none"/>
                <w:lang w:val="en-US" w:eastAsia="zh-CN" w:bidi="ar-SA"/>
              </w:rPr>
              <w:t>1</w:t>
            </w: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r>
              <w:rPr>
                <w:rFonts w:hint="eastAsia" w:ascii="宋体" w:hAnsi="宋体" w:eastAsia="宋体"/>
                <w:b/>
              </w:rPr>
              <w:t>含滑线</w:t>
            </w:r>
            <w:r>
              <w:rPr>
                <w:rFonts w:hint="eastAsia" w:ascii="宋体" w:hAnsi="宋体" w:eastAsia="宋体"/>
                <w:b/>
                <w:lang w:val="en-US" w:eastAsia="zh-CN"/>
              </w:rPr>
              <w:t>11</w:t>
            </w:r>
            <w:r>
              <w:rPr>
                <w:rFonts w:hint="eastAsia" w:ascii="宋体" w:hAnsi="宋体" w:eastAsia="宋体"/>
                <w:b/>
                <w:lang w:eastAsia="zh-CN"/>
              </w:rPr>
              <w:t>m</w:t>
            </w:r>
            <w:r>
              <w:rPr>
                <w:rFonts w:hint="eastAsia" w:ascii="宋体" w:hAnsi="宋体" w:eastAsia="宋体"/>
                <w:b/>
              </w:rPr>
              <w:t>，轨道</w:t>
            </w:r>
            <w:r>
              <w:rPr>
                <w:rFonts w:hint="eastAsia" w:ascii="宋体" w:hAnsi="宋体" w:eastAsia="宋体"/>
                <w:b/>
                <w:lang w:val="en-US" w:eastAsia="zh-CN"/>
              </w:rPr>
              <w:t>9.4</w:t>
            </w:r>
            <w:r>
              <w:rPr>
                <w:rFonts w:hint="eastAsia" w:ascii="宋体" w:hAnsi="宋体" w:eastAsia="宋体"/>
                <w:b/>
                <w:lang w:eastAsia="zh-CN"/>
              </w:rPr>
              <w:t>m</w:t>
            </w:r>
            <w:r>
              <w:rPr>
                <w:rFonts w:hint="eastAsia" w:ascii="宋体" w:hAnsi="宋体" w:eastAsia="宋体"/>
                <w:b/>
              </w:rPr>
              <w:t>，配套土建基础、行车框架、钢结构框架改造</w:t>
            </w:r>
            <w:r>
              <w:rPr>
                <w:rFonts w:hint="eastAsia" w:ascii="宋体" w:hAnsi="宋体" w:eastAsia="宋体"/>
                <w:b/>
                <w:lang w:val="en-US" w:eastAsia="zh-CN"/>
              </w:rPr>
              <w:t>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p>
        </w:tc>
        <w:tc>
          <w:tcPr>
            <w:tcW w:w="2238" w:type="dxa"/>
            <w:vAlign w:val="center"/>
          </w:tcPr>
          <w:p>
            <w:pPr>
              <w:spacing w:beforeLines="0" w:afterLines="0" w:line="360" w:lineRule="auto"/>
              <w:jc w:val="both"/>
              <w:rPr>
                <w:rFonts w:hint="eastAsia" w:ascii="宋体" w:hAnsi="宋体" w:eastAsia="宋体" w:cstheme="minorBidi"/>
                <w:b w:val="0"/>
                <w:bCs/>
                <w:kern w:val="2"/>
                <w:sz w:val="24"/>
                <w:szCs w:val="24"/>
                <w:lang w:val="en-US" w:eastAsia="zh-CN" w:bidi="ar-SA"/>
              </w:rPr>
            </w:pPr>
          </w:p>
        </w:tc>
        <w:tc>
          <w:tcPr>
            <w:tcW w:w="2239" w:type="dxa"/>
            <w:vAlign w:val="center"/>
          </w:tcPr>
          <w:p>
            <w:pPr>
              <w:spacing w:beforeLines="0" w:afterLines="0" w:line="360" w:lineRule="auto"/>
              <w:jc w:val="center"/>
              <w:rPr>
                <w:rFonts w:ascii="Arial"/>
                <w:sz w:val="24"/>
                <w:szCs w:val="24"/>
              </w:rPr>
            </w:pPr>
          </w:p>
        </w:tc>
        <w:tc>
          <w:tcPr>
            <w:tcW w:w="1335" w:type="dxa"/>
            <w:vAlign w:val="center"/>
          </w:tcPr>
          <w:p>
            <w:pPr>
              <w:spacing w:line="240" w:lineRule="auto"/>
              <w:jc w:val="center"/>
              <w:textAlignment w:val="center"/>
              <w:rPr>
                <w:rFonts w:hint="eastAsia" w:ascii="Arial" w:eastAsiaTheme="minorEastAsia"/>
                <w:sz w:val="24"/>
                <w:szCs w:val="24"/>
                <w:lang w:eastAsia="zh-CN"/>
              </w:rPr>
            </w:pPr>
          </w:p>
        </w:tc>
        <w:tc>
          <w:tcPr>
            <w:tcW w:w="1824" w:type="dxa"/>
            <w:vAlign w:val="center"/>
          </w:tcPr>
          <w:p>
            <w:pPr>
              <w:jc w:val="center"/>
              <w:rPr>
                <w:rFonts w:ascii="Arial"/>
                <w:sz w:val="24"/>
                <w:szCs w:val="24"/>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8"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济南卡车制造公司莱芜厂区新增后背电池行车技改项目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济南卡车制造公司莱芜厂区新增后背电池行车技改项目</w:t>
            </w:r>
          </w:p>
        </w:tc>
        <w:tc>
          <w:tcPr>
            <w:tcW w:w="883"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00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pPr>
              <w:jc w:val="center"/>
              <w:rPr>
                <w:rFonts w:ascii="Times New Roman" w:hAnsi="Times New Roman" w:eastAsia="宋体" w:cs="Times New Roman"/>
                <w:b/>
                <w:szCs w:val="20"/>
              </w:rPr>
            </w:pPr>
          </w:p>
        </w:tc>
        <w:tc>
          <w:tcPr>
            <w:tcW w:w="1261" w:type="dxa"/>
            <w:vAlign w:val="center"/>
          </w:tcPr>
          <w:p>
            <w:pPr>
              <w:jc w:val="center"/>
              <w:rPr>
                <w:rFonts w:ascii="Times New Roman" w:hAnsi="Times New Roman" w:eastAsia="宋体" w:cs="Times New Roman"/>
                <w:b/>
                <w:szCs w:val="20"/>
              </w:rPr>
            </w:pPr>
          </w:p>
        </w:tc>
        <w:tc>
          <w:tcPr>
            <w:tcW w:w="974" w:type="dxa"/>
            <w:vAlign w:val="center"/>
          </w:tcPr>
          <w:p>
            <w:pPr>
              <w:jc w:val="center"/>
              <w:rPr>
                <w:rFonts w:ascii="Times New Roman" w:hAnsi="Times New Roman" w:eastAsia="宋体" w:cs="Times New Roman"/>
                <w:b/>
                <w:szCs w:val="20"/>
              </w:rPr>
            </w:pPr>
          </w:p>
        </w:tc>
        <w:tc>
          <w:tcPr>
            <w:tcW w:w="950"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8"/>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1921"/>
        <w:gridCol w:w="2385"/>
        <w:gridCol w:w="17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gridSpan w:val="2"/>
            <w:vAlign w:val="top"/>
          </w:tcPr>
          <w:p>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vAlign w:val="top"/>
          </w:tcPr>
          <w:p>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921" w:type="dxa"/>
            <w:tcBorders>
              <w:right w:val="single" w:color="000000" w:sz="4" w:space="0"/>
            </w:tcBorders>
            <w:vAlign w:val="top"/>
          </w:tcPr>
          <w:p>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385" w:type="dxa"/>
            <w:tcBorders>
              <w:left w:val="single" w:color="000000" w:sz="4" w:space="0"/>
            </w:tcBorders>
            <w:vAlign w:val="top"/>
          </w:tcPr>
          <w:p>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717" w:type="dxa"/>
            <w:vAlign w:val="top"/>
          </w:tcPr>
          <w:p>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gridSpan w:val="2"/>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921"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385"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717"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gridSpan w:val="2"/>
            <w:vAlign w:val="center"/>
          </w:tcPr>
          <w:p>
            <w:pPr>
              <w:spacing w:beforeLines="0" w:afterLines="0" w:line="360" w:lineRule="auto"/>
              <w:jc w:val="center"/>
              <w:rPr>
                <w:rFonts w:hint="eastAsia" w:ascii="仿宋" w:hAnsi="仿宋" w:eastAsia="仿宋"/>
                <w:sz w:val="22"/>
                <w:szCs w:val="22"/>
                <w:lang w:val="en-US" w:eastAsia="zh-CN"/>
              </w:rPr>
            </w:pPr>
            <w:r>
              <w:rPr>
                <w:rFonts w:hint="eastAsia" w:ascii="仿宋" w:hAnsi="仿宋" w:eastAsia="仿宋"/>
                <w:sz w:val="22"/>
                <w:szCs w:val="22"/>
                <w:lang w:val="en-US" w:eastAsia="zh-CN"/>
              </w:rPr>
              <w:t>10T单梁欧式行车</w:t>
            </w:r>
          </w:p>
        </w:tc>
        <w:tc>
          <w:tcPr>
            <w:tcW w:w="2239" w:type="dxa"/>
            <w:vAlign w:val="center"/>
          </w:tcPr>
          <w:p>
            <w:pPr>
              <w:spacing w:beforeLines="0" w:afterLines="0" w:line="360" w:lineRule="auto"/>
              <w:jc w:val="center"/>
              <w:rPr>
                <w:rFonts w:hint="eastAsia" w:ascii="仿宋" w:hAnsi="仿宋" w:eastAsia="仿宋"/>
                <w:sz w:val="22"/>
                <w:szCs w:val="22"/>
                <w:lang w:val="en-US" w:eastAsia="zh-CN"/>
              </w:rPr>
            </w:pPr>
            <w:r>
              <w:rPr>
                <w:rFonts w:hint="eastAsia" w:ascii="仿宋" w:hAnsi="仿宋" w:eastAsia="仿宋"/>
                <w:sz w:val="22"/>
                <w:szCs w:val="22"/>
                <w:lang w:val="en-US" w:eastAsia="zh-CN"/>
              </w:rPr>
              <w:t>Gn=10t、So=9.7m、Lo=11m、A5</w:t>
            </w:r>
          </w:p>
        </w:tc>
        <w:tc>
          <w:tcPr>
            <w:tcW w:w="1120" w:type="dxa"/>
            <w:vAlign w:val="center"/>
          </w:tcPr>
          <w:p>
            <w:pPr>
              <w:spacing w:line="240" w:lineRule="auto"/>
              <w:jc w:val="center"/>
              <w:textAlignment w:val="center"/>
              <w:rPr>
                <w:rFonts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套</w:t>
            </w:r>
          </w:p>
        </w:tc>
        <w:tc>
          <w:tcPr>
            <w:tcW w:w="1120" w:type="dxa"/>
            <w:vAlign w:val="center"/>
          </w:tcPr>
          <w:p>
            <w:pPr>
              <w:jc w:val="center"/>
              <w:rPr>
                <w:rFonts w:hint="default" w:ascii="宋体" w:hAnsi="宋体" w:eastAsia="宋体" w:cs="宋体"/>
                <w:kern w:val="2"/>
                <w:sz w:val="24"/>
                <w:szCs w:val="24"/>
                <w:highlight w:val="yellow"/>
                <w:lang w:val="en-US" w:eastAsia="zh-CN" w:bidi="ar-SA"/>
              </w:rPr>
            </w:pPr>
            <w:r>
              <w:rPr>
                <w:rFonts w:hint="eastAsia" w:ascii="宋体" w:hAnsi="宋体" w:eastAsia="宋体" w:cs="宋体"/>
                <w:kern w:val="2"/>
                <w:sz w:val="24"/>
                <w:szCs w:val="24"/>
                <w:highlight w:val="none"/>
                <w:lang w:val="en-US" w:eastAsia="zh-CN" w:bidi="ar-SA"/>
              </w:rPr>
              <w:t>1</w:t>
            </w:r>
          </w:p>
        </w:tc>
        <w:tc>
          <w:tcPr>
            <w:tcW w:w="1682" w:type="dxa"/>
          </w:tcPr>
          <w:p>
            <w:pPr>
              <w:rPr>
                <w:rFonts w:ascii="Arial"/>
              </w:rPr>
            </w:pPr>
          </w:p>
        </w:tc>
        <w:tc>
          <w:tcPr>
            <w:tcW w:w="1921" w:type="dxa"/>
            <w:tcBorders>
              <w:right w:val="single" w:color="000000" w:sz="4" w:space="0"/>
            </w:tcBorders>
          </w:tcPr>
          <w:p>
            <w:pPr>
              <w:rPr>
                <w:rFonts w:ascii="Arial"/>
              </w:rPr>
            </w:pPr>
          </w:p>
        </w:tc>
        <w:tc>
          <w:tcPr>
            <w:tcW w:w="2385" w:type="dxa"/>
            <w:tcBorders>
              <w:left w:val="single" w:color="000000" w:sz="4" w:space="0"/>
            </w:tcBorders>
          </w:tcPr>
          <w:p>
            <w:pPr>
              <w:rPr>
                <w:rFonts w:ascii="Arial"/>
              </w:rPr>
            </w:pPr>
          </w:p>
        </w:tc>
        <w:tc>
          <w:tcPr>
            <w:tcW w:w="1717" w:type="dxa"/>
          </w:tcPr>
          <w:p>
            <w:pPr>
              <w:spacing w:beforeLines="0" w:afterLines="0" w:line="360" w:lineRule="auto"/>
              <w:jc w:val="center"/>
              <w:rPr>
                <w:rFonts w:hint="eastAsia" w:ascii="仿宋" w:hAnsi="仿宋" w:eastAsia="仿宋"/>
                <w:sz w:val="22"/>
                <w:szCs w:val="22"/>
                <w:lang w:val="en-US" w:eastAsia="zh-CN"/>
              </w:rPr>
            </w:pPr>
            <w:r>
              <w:rPr>
                <w:rFonts w:hint="eastAsia" w:ascii="仿宋" w:hAnsi="仿宋" w:eastAsia="仿宋"/>
                <w:sz w:val="22"/>
                <w:szCs w:val="22"/>
                <w:lang w:val="en-US" w:eastAsia="zh-CN"/>
              </w:rPr>
              <w:t>含滑线11m，轨道9.4m，配套土建基础、行车框架、钢结构框架改造等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gridSpan w:val="2"/>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120" w:type="dxa"/>
          </w:tcPr>
          <w:p>
            <w:pPr>
              <w:rPr>
                <w:rFonts w:ascii="Arial"/>
              </w:rPr>
            </w:pPr>
          </w:p>
        </w:tc>
        <w:tc>
          <w:tcPr>
            <w:tcW w:w="1682" w:type="dxa"/>
          </w:tcPr>
          <w:p>
            <w:pPr>
              <w:rPr>
                <w:rFonts w:ascii="Arial"/>
              </w:rPr>
            </w:pPr>
          </w:p>
        </w:tc>
        <w:tc>
          <w:tcPr>
            <w:tcW w:w="1921" w:type="dxa"/>
            <w:tcBorders>
              <w:right w:val="single" w:color="000000" w:sz="4" w:space="0"/>
            </w:tcBorders>
          </w:tcPr>
          <w:p>
            <w:pPr>
              <w:rPr>
                <w:rFonts w:ascii="Arial"/>
              </w:rPr>
            </w:pPr>
          </w:p>
        </w:tc>
        <w:tc>
          <w:tcPr>
            <w:tcW w:w="2385" w:type="dxa"/>
            <w:tcBorders>
              <w:left w:val="single" w:color="000000" w:sz="4" w:space="0"/>
            </w:tcBorders>
          </w:tcPr>
          <w:p>
            <w:pPr>
              <w:rPr>
                <w:rFonts w:ascii="Arial"/>
              </w:rPr>
            </w:pPr>
          </w:p>
        </w:tc>
        <w:tc>
          <w:tcPr>
            <w:tcW w:w="17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rPr>
            </w:pPr>
          </w:p>
        </w:tc>
        <w:tc>
          <w:tcPr>
            <w:tcW w:w="9872"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385" w:type="dxa"/>
            <w:tcBorders>
              <w:left w:val="single" w:color="000000" w:sz="4" w:space="0"/>
            </w:tcBorders>
          </w:tcPr>
          <w:p>
            <w:pPr>
              <w:rPr>
                <w:rFonts w:ascii="Arial"/>
              </w:rPr>
            </w:pPr>
          </w:p>
        </w:tc>
        <w:tc>
          <w:tcPr>
            <w:tcW w:w="1717"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2"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8"/>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济南卡车制造公司莱芜厂区新增后背电池行车技改项目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济南卡车制造公司莱芜厂区新增后背电池行车技改项目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济南卡车制造公司莱芜厂区新增后背电池行车技改项目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keepNext/>
        <w:keepLines/>
        <w:spacing w:before="156" w:beforeLines="50" w:after="156" w:afterLines="50"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1174" w:tblpY="320"/>
        <w:tblOverlap w:val="never"/>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940"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评价类型</w:t>
            </w:r>
          </w:p>
        </w:tc>
        <w:tc>
          <w:tcPr>
            <w:tcW w:w="61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序号</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内   容</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标准分</w:t>
            </w:r>
          </w:p>
        </w:tc>
        <w:tc>
          <w:tcPr>
            <w:tcW w:w="9369"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trPr>
        <w:tc>
          <w:tcPr>
            <w:tcW w:w="940" w:type="dxa"/>
            <w:vMerge w:val="restart"/>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10</w:t>
            </w:r>
            <w:r>
              <w:rPr>
                <w:rFonts w:hint="eastAsia" w:ascii="宋体" w:hAnsi="宋体" w:eastAsia="宋体" w:cs="宋体"/>
                <w:sz w:val="18"/>
                <w:szCs w:val="18"/>
              </w:rPr>
              <w:t>0分</w:t>
            </w:r>
          </w:p>
        </w:tc>
        <w:tc>
          <w:tcPr>
            <w:tcW w:w="61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设备制造商同类型项目业绩</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4</w:t>
            </w:r>
          </w:p>
        </w:tc>
        <w:tc>
          <w:tcPr>
            <w:tcW w:w="9369" w:type="dxa"/>
            <w:noWrap w:val="0"/>
            <w:vAlign w:val="center"/>
          </w:tcPr>
          <w:p>
            <w:pPr>
              <w:tabs>
                <w:tab w:val="left" w:pos="13965"/>
              </w:tabs>
              <w:spacing w:line="420" w:lineRule="exact"/>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ascii="宋体" w:hAnsi="宋体" w:eastAsia="宋体" w:cs="宋体"/>
                <w:sz w:val="18"/>
                <w:szCs w:val="18"/>
              </w:rPr>
              <w:t>4</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eastAsia="宋体" w:cs="宋体"/>
                <w:sz w:val="18"/>
                <w:szCs w:val="18"/>
                <w:lang w:val="en-US" w:eastAsia="zh-CN"/>
              </w:rPr>
              <w:t>20</w:t>
            </w:r>
            <w:r>
              <w:rPr>
                <w:rFonts w:hint="eastAsia" w:ascii="宋体" w:hAnsi="宋体" w:eastAsia="宋体" w:cs="宋体"/>
                <w:sz w:val="18"/>
                <w:szCs w:val="18"/>
              </w:rPr>
              <w:t>年</w:t>
            </w:r>
            <w:r>
              <w:rPr>
                <w:rFonts w:hint="eastAsia" w:ascii="宋体" w:hAnsi="宋体" w:eastAsia="宋体" w:cs="宋体"/>
                <w:sz w:val="18"/>
                <w:szCs w:val="18"/>
                <w:lang w:val="en-US" w:eastAsia="zh-CN"/>
              </w:rPr>
              <w:t>5</w:t>
            </w:r>
            <w:r>
              <w:rPr>
                <w:rFonts w:hint="eastAsia" w:ascii="宋体" w:hAnsi="宋体" w:eastAsia="宋体" w:cs="宋体"/>
                <w:sz w:val="18"/>
                <w:szCs w:val="18"/>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2</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供货周期及工期进度计划</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4</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2</w:t>
            </w:r>
            <w:r>
              <w:rPr>
                <w:rFonts w:hint="eastAsia" w:ascii="宋体" w:hAnsi="宋体" w:eastAsia="宋体" w:cs="宋体"/>
                <w:sz w:val="18"/>
                <w:szCs w:val="18"/>
              </w:rPr>
              <w:t>个月得</w:t>
            </w:r>
            <w:r>
              <w:rPr>
                <w:rFonts w:ascii="宋体" w:hAnsi="宋体" w:eastAsia="宋体" w:cs="宋体"/>
                <w:sz w:val="18"/>
                <w:szCs w:val="18"/>
              </w:rPr>
              <w:t>4</w:t>
            </w:r>
            <w:r>
              <w:rPr>
                <w:rFonts w:hint="eastAsia" w:ascii="宋体" w:hAnsi="宋体" w:eastAsia="宋体" w:cs="宋体"/>
                <w:sz w:val="18"/>
                <w:szCs w:val="18"/>
              </w:rPr>
              <w:t>分，</w:t>
            </w:r>
            <w:r>
              <w:rPr>
                <w:rFonts w:hint="eastAsia" w:ascii="宋体" w:hAnsi="宋体" w:eastAsia="宋体" w:cs="宋体"/>
                <w:sz w:val="18"/>
                <w:szCs w:val="18"/>
                <w:lang w:val="en-US" w:eastAsia="zh-CN"/>
              </w:rPr>
              <w:t>2</w:t>
            </w:r>
            <w:r>
              <w:rPr>
                <w:rFonts w:hint="eastAsia" w:ascii="宋体" w:hAnsi="宋体" w:eastAsia="宋体" w:cs="宋体"/>
                <w:sz w:val="18"/>
                <w:szCs w:val="18"/>
              </w:rPr>
              <w:t>＜到货期≤</w:t>
            </w:r>
            <w:r>
              <w:rPr>
                <w:rFonts w:hint="eastAsia" w:ascii="宋体" w:hAnsi="宋体" w:eastAsia="宋体" w:cs="宋体"/>
                <w:sz w:val="18"/>
                <w:szCs w:val="18"/>
                <w:lang w:val="en-US" w:eastAsia="zh-CN"/>
              </w:rPr>
              <w:t>3</w:t>
            </w:r>
            <w:r>
              <w:rPr>
                <w:rFonts w:hint="eastAsia" w:ascii="宋体" w:hAnsi="宋体" w:eastAsia="宋体" w:cs="宋体"/>
                <w:sz w:val="18"/>
                <w:szCs w:val="18"/>
              </w:rPr>
              <w:t>个月得</w:t>
            </w:r>
            <w:r>
              <w:rPr>
                <w:rFonts w:ascii="宋体" w:hAnsi="宋体" w:eastAsia="宋体" w:cs="宋体"/>
                <w:sz w:val="18"/>
                <w:szCs w:val="18"/>
              </w:rPr>
              <w:t>3</w:t>
            </w:r>
            <w:r>
              <w:rPr>
                <w:rFonts w:hint="eastAsia" w:ascii="宋体" w:hAnsi="宋体" w:eastAsia="宋体" w:cs="宋体"/>
                <w:sz w:val="18"/>
                <w:szCs w:val="18"/>
              </w:rPr>
              <w:t>分，</w:t>
            </w:r>
            <w:r>
              <w:rPr>
                <w:rFonts w:hint="eastAsia" w:ascii="宋体" w:hAnsi="宋体" w:eastAsia="宋体" w:cs="宋体"/>
                <w:sz w:val="18"/>
                <w:szCs w:val="18"/>
                <w:lang w:val="en-US" w:eastAsia="zh-CN"/>
              </w:rPr>
              <w:t>3</w:t>
            </w:r>
            <w:r>
              <w:rPr>
                <w:rFonts w:hint="eastAsia" w:ascii="宋体" w:hAnsi="宋体" w:eastAsia="宋体" w:cs="宋体"/>
                <w:sz w:val="18"/>
                <w:szCs w:val="18"/>
              </w:rPr>
              <w:t>＜到货期≤</w:t>
            </w:r>
            <w:r>
              <w:rPr>
                <w:rFonts w:hint="eastAsia" w:ascii="宋体" w:hAnsi="宋体" w:eastAsia="宋体" w:cs="宋体"/>
                <w:sz w:val="18"/>
                <w:szCs w:val="18"/>
                <w:lang w:val="en-US" w:eastAsia="zh-CN"/>
              </w:rPr>
              <w:t>4</w:t>
            </w:r>
            <w:r>
              <w:rPr>
                <w:rFonts w:hint="eastAsia" w:ascii="宋体" w:hAnsi="宋体" w:eastAsia="宋体" w:cs="宋体"/>
                <w:sz w:val="18"/>
                <w:szCs w:val="18"/>
              </w:rPr>
              <w:t>个月得</w:t>
            </w:r>
            <w:r>
              <w:rPr>
                <w:rFonts w:hint="eastAsia" w:ascii="宋体" w:hAnsi="宋体" w:eastAsia="宋体" w:cs="宋体"/>
                <w:sz w:val="18"/>
                <w:szCs w:val="18"/>
                <w:lang w:val="en-US" w:eastAsia="zh-CN"/>
              </w:rPr>
              <w:t>1</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3</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现场答疑</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8</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ascii="宋体" w:hAnsi="宋体" w:eastAsia="宋体" w:cs="宋体"/>
                <w:sz w:val="18"/>
                <w:szCs w:val="18"/>
              </w:rPr>
              <w:t>8</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4</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50</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定制系统方案达到招标要求，设备主要部件或核心部件，具备自身技术优势，打分1-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达到招标要求的前提下，系统配置更加周全，其精度、参数、技术水平、可靠性等优势明显，打分1-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应具有专业化试验软件，数据处理有独到之处，系统开放程度高，打分1-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4</w:t>
            </w:r>
            <w:r>
              <w:rPr>
                <w:rFonts w:hint="eastAsia" w:ascii="宋体" w:hAnsi="宋体" w:eastAsia="宋体" w:cs="宋体"/>
                <w:sz w:val="18"/>
                <w:szCs w:val="18"/>
                <w:lang w:eastAsia="zh-CN"/>
              </w:rPr>
              <w:t>）</w:t>
            </w:r>
            <w:r>
              <w:rPr>
                <w:rFonts w:hint="eastAsia" w:ascii="宋体" w:hAnsi="宋体" w:eastAsia="宋体" w:cs="宋体"/>
                <w:sz w:val="18"/>
                <w:szCs w:val="18"/>
              </w:rPr>
              <w:t>关键系统技术支持资料、数据处理说明、操作说明详细完整，打分1-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r>
              <w:rPr>
                <w:rFonts w:hint="eastAsia" w:ascii="宋体" w:hAnsi="宋体" w:eastAsia="宋体" w:cs="宋体"/>
                <w:sz w:val="18"/>
                <w:szCs w:val="18"/>
                <w:lang w:eastAsia="zh-CN"/>
              </w:rPr>
              <w:t>）</w:t>
            </w:r>
            <w:r>
              <w:rPr>
                <w:rFonts w:hint="eastAsia" w:ascii="宋体" w:hAnsi="宋体" w:eastAsia="宋体" w:cs="宋体"/>
                <w:sz w:val="18"/>
                <w:szCs w:val="18"/>
              </w:rPr>
              <w:t>综合评价，打分</w:t>
            </w:r>
            <w:r>
              <w:rPr>
                <w:rFonts w:ascii="宋体" w:hAnsi="宋体" w:eastAsia="宋体" w:cs="宋体"/>
                <w:sz w:val="18"/>
                <w:szCs w:val="18"/>
              </w:rPr>
              <w:t>1</w:t>
            </w:r>
            <w:r>
              <w:rPr>
                <w:rFonts w:hint="eastAsia" w:ascii="宋体" w:hAnsi="宋体" w:eastAsia="宋体" w:cs="宋体"/>
                <w:sz w:val="18"/>
                <w:szCs w:val="18"/>
              </w:rPr>
              <w:t>-</w:t>
            </w:r>
            <w:r>
              <w:rPr>
                <w:rFonts w:ascii="宋体" w:hAnsi="宋体" w:eastAsia="宋体" w:cs="宋体"/>
                <w:sz w:val="18"/>
                <w:szCs w:val="18"/>
              </w:rPr>
              <w:t>10</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5</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技术偏离</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16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16</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6</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7</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在中国有常驻的专业技术力量的维保机构</w:t>
            </w:r>
            <w:r>
              <w:rPr>
                <w:rFonts w:hint="eastAsia" w:ascii="宋体" w:hAnsi="宋体" w:eastAsia="宋体" w:cs="宋体"/>
                <w:sz w:val="18"/>
                <w:szCs w:val="18"/>
                <w:lang w:val="en-US" w:eastAsia="zh-CN"/>
              </w:rPr>
              <w:t>及</w:t>
            </w:r>
            <w:r>
              <w:rPr>
                <w:rFonts w:hint="eastAsia" w:ascii="宋体" w:hAnsi="宋体" w:eastAsia="宋体" w:cs="宋体"/>
                <w:sz w:val="18"/>
                <w:szCs w:val="18"/>
              </w:rPr>
              <w:t>专业技术人员</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8</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售后服务及时周到</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hint="eastAsia"/>
          <w:lang w:val="en-US" w:eastAsia="zh-CN"/>
        </w:rPr>
        <w:sectPr>
          <w:headerReference r:id="rId42" w:type="first"/>
          <w:footerReference r:id="rId44" w:type="first"/>
          <w:headerReference r:id="rId41" w:type="default"/>
          <w:footerReference r:id="rId43"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eastAsia="宋体" w:cs="宋体"/>
          <w:color w:val="000000"/>
          <w:sz w:val="24"/>
          <w:szCs w:val="24"/>
          <w:lang w:eastAsia="zh-CN"/>
        </w:rPr>
        <w:t>。</w:t>
      </w:r>
    </w:p>
    <w:p>
      <w:pPr>
        <w:pStyle w:val="18"/>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8"/>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8"/>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pPr>
        <w:pStyle w:val="18"/>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8"/>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18"/>
        <w:sectPr>
          <w:pgSz w:w="11906" w:h="16838"/>
          <w:pgMar w:top="1588" w:right="1418" w:bottom="1134" w:left="1418" w:header="851" w:footer="992" w:gutter="0"/>
          <w:cols w:space="720" w:num="1"/>
          <w:titlePg/>
          <w:docGrid w:type="lines" w:linePitch="312" w:charSpace="0"/>
        </w:sectPr>
      </w:pPr>
    </w:p>
    <w:p>
      <w:pPr>
        <w:pStyle w:val="18"/>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8"/>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pPr>
        <w:pStyle w:val="18"/>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1VaEz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1VaEzAgAAZA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7b30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B3zVT6Pjpx/fT&#10;z4fTr28EdxCotX6GuHuLyNC9Mx3GZrj3uIy8u8qp+AtGBH7Ie7zIK7pAeHw0nUynOVwcvuEA/Ozx&#10;uXU+vBdGkWgU1KF/SVZ22PjQhw4hMZs260bK1EOpSVvQq9dv8/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V7b30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SVE40AgAAY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0lRONAIAAGMEAAAOAAAAAAAAAAEAIAAAAB8BAABkcnMvZTJvRG9jLnhtbFBL&#10;BQYAAAAABgAGAFkBAADFBQAAAAA=&#10;">
              <v:fill on="f" focussize="0,0"/>
              <v:stroke on="f" weight="0.5pt"/>
              <v:imagedata o:title=""/>
              <o:lock v:ext="edit" aspectratio="f"/>
              <v:textbox inset="0mm,0mm,0mm,0mm" style="mso-fit-shape-to-text:t;">
                <w:txbxContent>
                  <w:p>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I0lo0AgAAY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iNJaNAIAAGIEAAAOAAAAAAAAAAEAIAAAAB8BAABkcnMvZTJvRG9jLnhtbFBL&#10;BQYAAAAABgAGAFkBAADFBQAAAAA=&#10;">
              <v:fill on="f" focussize="0,0"/>
              <v:stroke on="f" weight="0.5pt"/>
              <v:imagedata o:title=""/>
              <o:lock v:ext="edit" aspectratio="f"/>
              <v:textbox inset="0mm,0mm,0mm,0mm" style="mso-fit-shape-to-text:t;">
                <w:txbxContent>
                  <w:p>
                    <w:pPr>
                      <w:pStyle w:val="2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pPr>
                      <w:pStyle w:val="2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pPr>
                      <w:pStyle w:val="23"/>
                    </w:pPr>
                  </w:p>
                </w:txbxContent>
              </v:textbox>
            </v:shape>
          </w:pict>
        </mc:Fallback>
      </mc:AlternateContent>
    </w:r>
  </w:p>
  <w:p>
    <w:pPr>
      <w:pStyle w:val="2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7pEM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7pEMzAgAAYgQAAA4AAAAAAAAAAQAgAAAAHwEAAGRycy9lMm9Eb2MueG1sUEsF&#10;BgAAAAAGAAYAWQEAAMQFAAAAAA==&#10;">
              <v:fill on="f" focussize="0,0"/>
              <v:stroke on="f" weight="0.5pt"/>
              <v:imagedata o:title=""/>
              <o:lock v:ext="edit" aspectratio="f"/>
              <v:textbox inset="0mm,0mm,0mm,0mm" style="mso-fit-shape-to-text:t;">
                <w:txbxContent>
                  <w:p>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xBc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9kkv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xBczAgAAYgQAAA4AAAAAAAAAAQAgAAAAHwEAAGRycy9lMm9Eb2MueG1sUEsF&#10;BgAAAAAGAAYAWQEAAMQFAAAAAA==&#10;">
              <v:fill on="f" focussize="0,0"/>
              <v:stroke on="f" weight="0.5pt"/>
              <v:imagedata o:title=""/>
              <o:lock v:ext="edit" aspectratio="f"/>
              <v:textbox inset="0mm,0mm,0mm,0mm" style="mso-fit-shape-to-text:t;">
                <w:txbxContent>
                  <w:p>
                    <w:pPr>
                      <w:pStyle w:val="23"/>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pPr>
                      <w:pStyle w:val="23"/>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pPr>
                      <w:pStyle w:val="23"/>
                    </w:pPr>
                  </w:p>
                </w:txbxContent>
              </v:textbox>
            </v:shape>
          </w:pict>
        </mc:Fallback>
      </mc:AlternateContent>
    </w:r>
  </w:p>
  <w:p>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2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A14D0"/>
    <w:multiLevelType w:val="singleLevel"/>
    <w:tmpl w:val="9D0A14D0"/>
    <w:lvl w:ilvl="0" w:tentative="0">
      <w:start w:val="5"/>
      <w:numFmt w:val="chineseCounting"/>
      <w:suff w:val="space"/>
      <w:lvlText w:val="第%1章"/>
      <w:lvlJc w:val="left"/>
      <w:rPr>
        <w:rFonts w:hint="eastAsia"/>
      </w:rPr>
    </w:lvl>
  </w:abstractNum>
  <w:abstractNum w:abstractNumId="1">
    <w:nsid w:val="A53CF982"/>
    <w:multiLevelType w:val="singleLevel"/>
    <w:tmpl w:val="A53CF982"/>
    <w:lvl w:ilvl="0" w:tentative="0">
      <w:start w:val="1"/>
      <w:numFmt w:val="bullet"/>
      <w:lvlText w:val=""/>
      <w:lvlJc w:val="left"/>
      <w:pPr>
        <w:ind w:left="420" w:hanging="420"/>
      </w:pPr>
      <w:rPr>
        <w:rFonts w:hint="default" w:ascii="Wingdings" w:hAnsi="Wingdings"/>
      </w:r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6728E47"/>
    <w:multiLevelType w:val="singleLevel"/>
    <w:tmpl w:val="26728E47"/>
    <w:lvl w:ilvl="0" w:tentative="0">
      <w:start w:val="1"/>
      <w:numFmt w:val="bullet"/>
      <w:lvlText w:val=""/>
      <w:lvlJc w:val="left"/>
      <w:pPr>
        <w:ind w:left="420" w:hanging="420"/>
      </w:pPr>
      <w:rPr>
        <w:rFonts w:hint="default" w:ascii="Wingdings" w:hAnsi="Wingdings"/>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32B2BE1D"/>
    <w:multiLevelType w:val="singleLevel"/>
    <w:tmpl w:val="32B2BE1D"/>
    <w:lvl w:ilvl="0" w:tentative="0">
      <w:start w:val="1"/>
      <w:numFmt w:val="bullet"/>
      <w:lvlText w:val=""/>
      <w:lvlJc w:val="left"/>
      <w:pPr>
        <w:ind w:left="420" w:hanging="420"/>
      </w:pPr>
      <w:rPr>
        <w:rFonts w:hint="default" w:ascii="Wingdings" w:hAnsi="Wingdings"/>
      </w:rPr>
    </w:lvl>
  </w:abstractNum>
  <w:abstractNum w:abstractNumId="12">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3">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4">
    <w:nsid w:val="646260FA"/>
    <w:multiLevelType w:val="multilevel"/>
    <w:tmpl w:val="646260FA"/>
    <w:lvl w:ilvl="0" w:tentative="0">
      <w:start w:val="1"/>
      <w:numFmt w:val="decimal"/>
      <w:pStyle w:val="15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8DED5D6"/>
    <w:multiLevelType w:val="singleLevel"/>
    <w:tmpl w:val="78DED5D6"/>
    <w:lvl w:ilvl="0" w:tentative="0">
      <w:start w:val="2"/>
      <w:numFmt w:val="decimal"/>
      <w:suff w:val="nothing"/>
      <w:lvlText w:val="%1、"/>
      <w:lvlJc w:val="left"/>
    </w:lvl>
  </w:abstractNum>
  <w:abstractNum w:abstractNumId="17">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14"/>
  </w:num>
  <w:num w:numId="3">
    <w:abstractNumId w:val="15"/>
  </w:num>
  <w:num w:numId="4">
    <w:abstractNumId w:val="2"/>
  </w:num>
  <w:num w:numId="5">
    <w:abstractNumId w:val="17"/>
  </w:num>
  <w:num w:numId="6">
    <w:abstractNumId w:val="8"/>
  </w:num>
  <w:num w:numId="7">
    <w:abstractNumId w:val="5"/>
  </w:num>
  <w:num w:numId="8">
    <w:abstractNumId w:val="13"/>
  </w:num>
  <w:num w:numId="9">
    <w:abstractNumId w:val="3"/>
  </w:num>
  <w:num w:numId="10">
    <w:abstractNumId w:val="10"/>
  </w:num>
  <w:num w:numId="11">
    <w:abstractNumId w:val="7"/>
  </w:num>
  <w:num w:numId="12">
    <w:abstractNumId w:val="6"/>
  </w:num>
  <w:num w:numId="13">
    <w:abstractNumId w:val="12"/>
  </w:num>
  <w:num w:numId="14">
    <w:abstractNumId w:val="9"/>
  </w:num>
  <w:num w:numId="15">
    <w:abstractNumId w:val="11"/>
  </w:num>
  <w:num w:numId="16">
    <w:abstractNumId w:val="1"/>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4832F2"/>
    <w:rsid w:val="014D51C1"/>
    <w:rsid w:val="01714809"/>
    <w:rsid w:val="01C52478"/>
    <w:rsid w:val="025C7FF6"/>
    <w:rsid w:val="027408EE"/>
    <w:rsid w:val="02963F39"/>
    <w:rsid w:val="02B3095A"/>
    <w:rsid w:val="02BA7274"/>
    <w:rsid w:val="02C32E43"/>
    <w:rsid w:val="03251978"/>
    <w:rsid w:val="0325718A"/>
    <w:rsid w:val="042921B6"/>
    <w:rsid w:val="043B72BB"/>
    <w:rsid w:val="04450729"/>
    <w:rsid w:val="04461EC1"/>
    <w:rsid w:val="04504B3F"/>
    <w:rsid w:val="04AD02B8"/>
    <w:rsid w:val="04DE51C8"/>
    <w:rsid w:val="04DF17D4"/>
    <w:rsid w:val="05412745"/>
    <w:rsid w:val="05491761"/>
    <w:rsid w:val="055C1AD8"/>
    <w:rsid w:val="05A351AD"/>
    <w:rsid w:val="05F9748A"/>
    <w:rsid w:val="06266F78"/>
    <w:rsid w:val="063E7B7A"/>
    <w:rsid w:val="06582413"/>
    <w:rsid w:val="067E33B8"/>
    <w:rsid w:val="06E82FCB"/>
    <w:rsid w:val="06F34B95"/>
    <w:rsid w:val="06F91350"/>
    <w:rsid w:val="07571DAC"/>
    <w:rsid w:val="084859A3"/>
    <w:rsid w:val="08DD171B"/>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6E45C2"/>
    <w:rsid w:val="0BE12DB6"/>
    <w:rsid w:val="0BFC6504"/>
    <w:rsid w:val="0C345AD1"/>
    <w:rsid w:val="0C626CE4"/>
    <w:rsid w:val="0D0C2B7B"/>
    <w:rsid w:val="0D9308F8"/>
    <w:rsid w:val="0DE76C3D"/>
    <w:rsid w:val="0E1A1D85"/>
    <w:rsid w:val="0E750568"/>
    <w:rsid w:val="0E9C3C97"/>
    <w:rsid w:val="0EEA1A9A"/>
    <w:rsid w:val="0F2D7A80"/>
    <w:rsid w:val="0F4277E5"/>
    <w:rsid w:val="0F4C5227"/>
    <w:rsid w:val="0F684B57"/>
    <w:rsid w:val="0FA75561"/>
    <w:rsid w:val="0FB83603"/>
    <w:rsid w:val="0FCA77F1"/>
    <w:rsid w:val="0FCD5DCC"/>
    <w:rsid w:val="10043197"/>
    <w:rsid w:val="10270545"/>
    <w:rsid w:val="103409DF"/>
    <w:rsid w:val="10444021"/>
    <w:rsid w:val="108A1D4B"/>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3695B36"/>
    <w:rsid w:val="1372609F"/>
    <w:rsid w:val="13D73572"/>
    <w:rsid w:val="14504752"/>
    <w:rsid w:val="145A6A37"/>
    <w:rsid w:val="1467440F"/>
    <w:rsid w:val="153955DC"/>
    <w:rsid w:val="15400323"/>
    <w:rsid w:val="15433A9B"/>
    <w:rsid w:val="15A93017"/>
    <w:rsid w:val="15CF64A5"/>
    <w:rsid w:val="15FC2F04"/>
    <w:rsid w:val="16181FAC"/>
    <w:rsid w:val="168756A0"/>
    <w:rsid w:val="16F94849"/>
    <w:rsid w:val="17045E51"/>
    <w:rsid w:val="172011D4"/>
    <w:rsid w:val="17252C3B"/>
    <w:rsid w:val="173F0A2E"/>
    <w:rsid w:val="17770BC2"/>
    <w:rsid w:val="17860E2F"/>
    <w:rsid w:val="17A119AA"/>
    <w:rsid w:val="180100EF"/>
    <w:rsid w:val="18586F2B"/>
    <w:rsid w:val="19442DF9"/>
    <w:rsid w:val="19A766B9"/>
    <w:rsid w:val="19CE76BA"/>
    <w:rsid w:val="19F26070"/>
    <w:rsid w:val="19F97C8B"/>
    <w:rsid w:val="1A1523CE"/>
    <w:rsid w:val="1A6A6939"/>
    <w:rsid w:val="1AA730BD"/>
    <w:rsid w:val="1B333D5D"/>
    <w:rsid w:val="1B587618"/>
    <w:rsid w:val="1B5F19C7"/>
    <w:rsid w:val="1C1C709B"/>
    <w:rsid w:val="1C4F6795"/>
    <w:rsid w:val="1C9F6814"/>
    <w:rsid w:val="1CCB626F"/>
    <w:rsid w:val="1D1F0356"/>
    <w:rsid w:val="1D5C514E"/>
    <w:rsid w:val="1D865D14"/>
    <w:rsid w:val="1D8705EC"/>
    <w:rsid w:val="1D8E41CF"/>
    <w:rsid w:val="1DD872E4"/>
    <w:rsid w:val="1DEC0E7D"/>
    <w:rsid w:val="1E43150B"/>
    <w:rsid w:val="1EA93E80"/>
    <w:rsid w:val="1ED33FB6"/>
    <w:rsid w:val="1EE81332"/>
    <w:rsid w:val="1F32415A"/>
    <w:rsid w:val="1F542F9A"/>
    <w:rsid w:val="1F702632"/>
    <w:rsid w:val="1F7E2174"/>
    <w:rsid w:val="1FDC645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3D72D8"/>
    <w:rsid w:val="254E0478"/>
    <w:rsid w:val="25E036B2"/>
    <w:rsid w:val="25E9082A"/>
    <w:rsid w:val="25F42473"/>
    <w:rsid w:val="269C17B8"/>
    <w:rsid w:val="26AF2D79"/>
    <w:rsid w:val="26B34B91"/>
    <w:rsid w:val="270D66E8"/>
    <w:rsid w:val="27514612"/>
    <w:rsid w:val="278B0DAB"/>
    <w:rsid w:val="279C6B0E"/>
    <w:rsid w:val="27A64735"/>
    <w:rsid w:val="27CC4DF2"/>
    <w:rsid w:val="281864F2"/>
    <w:rsid w:val="286903EF"/>
    <w:rsid w:val="287F5DD3"/>
    <w:rsid w:val="288047CB"/>
    <w:rsid w:val="289E62FA"/>
    <w:rsid w:val="28FD6E90"/>
    <w:rsid w:val="291E2CA6"/>
    <w:rsid w:val="29331862"/>
    <w:rsid w:val="299741EC"/>
    <w:rsid w:val="299E147F"/>
    <w:rsid w:val="29C32A87"/>
    <w:rsid w:val="29CF26DC"/>
    <w:rsid w:val="2A1C5DA0"/>
    <w:rsid w:val="2A200D39"/>
    <w:rsid w:val="2A280AB9"/>
    <w:rsid w:val="2A507EFF"/>
    <w:rsid w:val="2ADC05A4"/>
    <w:rsid w:val="2AEF2177"/>
    <w:rsid w:val="2B146D62"/>
    <w:rsid w:val="2B6F0D7F"/>
    <w:rsid w:val="2B8716BD"/>
    <w:rsid w:val="2B8B76FF"/>
    <w:rsid w:val="2BD5034F"/>
    <w:rsid w:val="2C924AE7"/>
    <w:rsid w:val="2D025012"/>
    <w:rsid w:val="2D4178F0"/>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B1B0E"/>
    <w:rsid w:val="2F5107A8"/>
    <w:rsid w:val="2F5C684F"/>
    <w:rsid w:val="2F63756E"/>
    <w:rsid w:val="2F922AC9"/>
    <w:rsid w:val="2FE6553A"/>
    <w:rsid w:val="307776D1"/>
    <w:rsid w:val="30862574"/>
    <w:rsid w:val="309D1AAC"/>
    <w:rsid w:val="30AD52F3"/>
    <w:rsid w:val="30B631E1"/>
    <w:rsid w:val="311933AA"/>
    <w:rsid w:val="317D15BB"/>
    <w:rsid w:val="31CC144A"/>
    <w:rsid w:val="31D07E6C"/>
    <w:rsid w:val="323F65DA"/>
    <w:rsid w:val="32412074"/>
    <w:rsid w:val="328A70AC"/>
    <w:rsid w:val="32DE0199"/>
    <w:rsid w:val="333C2963"/>
    <w:rsid w:val="335B2774"/>
    <w:rsid w:val="33A4642E"/>
    <w:rsid w:val="33D4039C"/>
    <w:rsid w:val="33D47E05"/>
    <w:rsid w:val="33DF460E"/>
    <w:rsid w:val="3413677D"/>
    <w:rsid w:val="342B544B"/>
    <w:rsid w:val="345E036E"/>
    <w:rsid w:val="34C47852"/>
    <w:rsid w:val="34DE1E4F"/>
    <w:rsid w:val="34F07DB1"/>
    <w:rsid w:val="357E6FD1"/>
    <w:rsid w:val="359009FB"/>
    <w:rsid w:val="35D354B8"/>
    <w:rsid w:val="35D4025C"/>
    <w:rsid w:val="35E84393"/>
    <w:rsid w:val="362666BC"/>
    <w:rsid w:val="363646D4"/>
    <w:rsid w:val="368A6B11"/>
    <w:rsid w:val="36F44712"/>
    <w:rsid w:val="37085B1F"/>
    <w:rsid w:val="372E04CB"/>
    <w:rsid w:val="38E070F2"/>
    <w:rsid w:val="390D33AB"/>
    <w:rsid w:val="391E6D06"/>
    <w:rsid w:val="39573D9E"/>
    <w:rsid w:val="3A074847"/>
    <w:rsid w:val="3A830B2E"/>
    <w:rsid w:val="3AA90FE6"/>
    <w:rsid w:val="3AA9318F"/>
    <w:rsid w:val="3AB62DA0"/>
    <w:rsid w:val="3B057828"/>
    <w:rsid w:val="3B69577B"/>
    <w:rsid w:val="3B702D85"/>
    <w:rsid w:val="3B7D3FD5"/>
    <w:rsid w:val="3B823DDF"/>
    <w:rsid w:val="3BD827B4"/>
    <w:rsid w:val="3C237ED3"/>
    <w:rsid w:val="3C4D2D59"/>
    <w:rsid w:val="3CAA596A"/>
    <w:rsid w:val="3CAF1D22"/>
    <w:rsid w:val="3CB1587B"/>
    <w:rsid w:val="3CB735F2"/>
    <w:rsid w:val="3CC1773F"/>
    <w:rsid w:val="3D186684"/>
    <w:rsid w:val="3D260E6E"/>
    <w:rsid w:val="3D363C36"/>
    <w:rsid w:val="3D8B2178"/>
    <w:rsid w:val="3DB34909"/>
    <w:rsid w:val="3DD115F5"/>
    <w:rsid w:val="3DE435F0"/>
    <w:rsid w:val="3DE5122C"/>
    <w:rsid w:val="3DF37E53"/>
    <w:rsid w:val="3ED26DE9"/>
    <w:rsid w:val="3EED17D0"/>
    <w:rsid w:val="3F0C0304"/>
    <w:rsid w:val="3F774839"/>
    <w:rsid w:val="3FBD02CF"/>
    <w:rsid w:val="3FEC147E"/>
    <w:rsid w:val="3FED7DE8"/>
    <w:rsid w:val="40376375"/>
    <w:rsid w:val="412732B7"/>
    <w:rsid w:val="4127791F"/>
    <w:rsid w:val="41281794"/>
    <w:rsid w:val="413C1FDF"/>
    <w:rsid w:val="41806A69"/>
    <w:rsid w:val="41B0259C"/>
    <w:rsid w:val="41B77686"/>
    <w:rsid w:val="41BC6F1C"/>
    <w:rsid w:val="41EF2363"/>
    <w:rsid w:val="41F77860"/>
    <w:rsid w:val="424A4B98"/>
    <w:rsid w:val="42581D3A"/>
    <w:rsid w:val="428E23A1"/>
    <w:rsid w:val="42ED2EA4"/>
    <w:rsid w:val="42F6649D"/>
    <w:rsid w:val="42FE0080"/>
    <w:rsid w:val="43315D2E"/>
    <w:rsid w:val="43670C99"/>
    <w:rsid w:val="43824A1C"/>
    <w:rsid w:val="43D110E1"/>
    <w:rsid w:val="43E873C9"/>
    <w:rsid w:val="44905B1F"/>
    <w:rsid w:val="45316885"/>
    <w:rsid w:val="45A95EE9"/>
    <w:rsid w:val="45FB0F21"/>
    <w:rsid w:val="46167166"/>
    <w:rsid w:val="4636719A"/>
    <w:rsid w:val="465859F2"/>
    <w:rsid w:val="47200EE3"/>
    <w:rsid w:val="47435AC2"/>
    <w:rsid w:val="47544B78"/>
    <w:rsid w:val="47587AF7"/>
    <w:rsid w:val="47745A86"/>
    <w:rsid w:val="47E239AC"/>
    <w:rsid w:val="480F4B73"/>
    <w:rsid w:val="487974B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B260F2D"/>
    <w:rsid w:val="4B9049B6"/>
    <w:rsid w:val="4B9A1456"/>
    <w:rsid w:val="4BA32C82"/>
    <w:rsid w:val="4BE70627"/>
    <w:rsid w:val="4C0A5AE1"/>
    <w:rsid w:val="4C130AB8"/>
    <w:rsid w:val="4C5A284D"/>
    <w:rsid w:val="4C5C0673"/>
    <w:rsid w:val="4CB370E9"/>
    <w:rsid w:val="4CB96B43"/>
    <w:rsid w:val="4CC75FCC"/>
    <w:rsid w:val="4CC87A5E"/>
    <w:rsid w:val="4CD63947"/>
    <w:rsid w:val="4CF957AB"/>
    <w:rsid w:val="4CFC49F4"/>
    <w:rsid w:val="4D073D73"/>
    <w:rsid w:val="4D1E27BA"/>
    <w:rsid w:val="4D23574A"/>
    <w:rsid w:val="4D270EF8"/>
    <w:rsid w:val="4D4C4DB0"/>
    <w:rsid w:val="4D7322D5"/>
    <w:rsid w:val="4DD7034C"/>
    <w:rsid w:val="4DE312CB"/>
    <w:rsid w:val="4DF5318E"/>
    <w:rsid w:val="4E1F4862"/>
    <w:rsid w:val="4E2E4393"/>
    <w:rsid w:val="4E535EF2"/>
    <w:rsid w:val="4F08773C"/>
    <w:rsid w:val="4F102B4E"/>
    <w:rsid w:val="4F31409F"/>
    <w:rsid w:val="4F5E670E"/>
    <w:rsid w:val="4F846A83"/>
    <w:rsid w:val="50070E2C"/>
    <w:rsid w:val="501112F3"/>
    <w:rsid w:val="504B57F2"/>
    <w:rsid w:val="50681F00"/>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5E2895"/>
    <w:rsid w:val="54942CAE"/>
    <w:rsid w:val="54A61722"/>
    <w:rsid w:val="54B31FAF"/>
    <w:rsid w:val="54C211D8"/>
    <w:rsid w:val="54E97446"/>
    <w:rsid w:val="551F3E29"/>
    <w:rsid w:val="55326D63"/>
    <w:rsid w:val="555D1A10"/>
    <w:rsid w:val="56AC4A78"/>
    <w:rsid w:val="56DB16B9"/>
    <w:rsid w:val="577A3463"/>
    <w:rsid w:val="57F967AD"/>
    <w:rsid w:val="58052975"/>
    <w:rsid w:val="584D1A65"/>
    <w:rsid w:val="584F5C44"/>
    <w:rsid w:val="58504D6C"/>
    <w:rsid w:val="58E525CA"/>
    <w:rsid w:val="58E55347"/>
    <w:rsid w:val="58EE7372"/>
    <w:rsid w:val="593D045A"/>
    <w:rsid w:val="5960739E"/>
    <w:rsid w:val="59896D0A"/>
    <w:rsid w:val="59B72684"/>
    <w:rsid w:val="5A295A8C"/>
    <w:rsid w:val="5A9579AE"/>
    <w:rsid w:val="5AC468CD"/>
    <w:rsid w:val="5B342B9A"/>
    <w:rsid w:val="5B5953B0"/>
    <w:rsid w:val="5B630802"/>
    <w:rsid w:val="5B807F68"/>
    <w:rsid w:val="5BA72CE5"/>
    <w:rsid w:val="5C034D53"/>
    <w:rsid w:val="5CC81D66"/>
    <w:rsid w:val="5D6509CD"/>
    <w:rsid w:val="5D722852"/>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921C2"/>
    <w:rsid w:val="62B362C8"/>
    <w:rsid w:val="62C1330E"/>
    <w:rsid w:val="6342085E"/>
    <w:rsid w:val="636F415C"/>
    <w:rsid w:val="63D22876"/>
    <w:rsid w:val="641B511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AA2321"/>
    <w:rsid w:val="68011379"/>
    <w:rsid w:val="681E1720"/>
    <w:rsid w:val="68252C37"/>
    <w:rsid w:val="68817BAC"/>
    <w:rsid w:val="689A5E59"/>
    <w:rsid w:val="68A94E70"/>
    <w:rsid w:val="68EE72DF"/>
    <w:rsid w:val="690B4C92"/>
    <w:rsid w:val="69485FEA"/>
    <w:rsid w:val="69677DC0"/>
    <w:rsid w:val="69937EC7"/>
    <w:rsid w:val="69D64558"/>
    <w:rsid w:val="69E3623E"/>
    <w:rsid w:val="6A042548"/>
    <w:rsid w:val="6A471EFD"/>
    <w:rsid w:val="6AB57116"/>
    <w:rsid w:val="6B17424A"/>
    <w:rsid w:val="6B2218FA"/>
    <w:rsid w:val="6B686C59"/>
    <w:rsid w:val="6B691672"/>
    <w:rsid w:val="6BE97F42"/>
    <w:rsid w:val="6C2063E9"/>
    <w:rsid w:val="6C5E6A51"/>
    <w:rsid w:val="6C6513C3"/>
    <w:rsid w:val="6C744268"/>
    <w:rsid w:val="6C913746"/>
    <w:rsid w:val="6CD62D03"/>
    <w:rsid w:val="6CD97FB6"/>
    <w:rsid w:val="6D0E5050"/>
    <w:rsid w:val="6D1E3C1B"/>
    <w:rsid w:val="6D4B22B8"/>
    <w:rsid w:val="6D930013"/>
    <w:rsid w:val="6DA265FA"/>
    <w:rsid w:val="6E1A1656"/>
    <w:rsid w:val="6E231DD6"/>
    <w:rsid w:val="6E512505"/>
    <w:rsid w:val="6E5A5288"/>
    <w:rsid w:val="6EE013EE"/>
    <w:rsid w:val="6EE079F1"/>
    <w:rsid w:val="6EE42C42"/>
    <w:rsid w:val="6EF8183A"/>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1056AE"/>
    <w:rsid w:val="722922C6"/>
    <w:rsid w:val="727176A7"/>
    <w:rsid w:val="72CB03A1"/>
    <w:rsid w:val="732D4B5D"/>
    <w:rsid w:val="73393C88"/>
    <w:rsid w:val="7362513F"/>
    <w:rsid w:val="73771D49"/>
    <w:rsid w:val="73A1354E"/>
    <w:rsid w:val="73E035D5"/>
    <w:rsid w:val="743D0241"/>
    <w:rsid w:val="74A11E7D"/>
    <w:rsid w:val="7550071B"/>
    <w:rsid w:val="75590B0A"/>
    <w:rsid w:val="7582279F"/>
    <w:rsid w:val="75843EB5"/>
    <w:rsid w:val="75912FA2"/>
    <w:rsid w:val="75BB71AF"/>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81564B8"/>
    <w:rsid w:val="78224ACF"/>
    <w:rsid w:val="78CD6DCC"/>
    <w:rsid w:val="78D07CAF"/>
    <w:rsid w:val="78DE12D7"/>
    <w:rsid w:val="79210683"/>
    <w:rsid w:val="799C3465"/>
    <w:rsid w:val="79B14EC4"/>
    <w:rsid w:val="7A025270"/>
    <w:rsid w:val="7A2A6B4A"/>
    <w:rsid w:val="7A681070"/>
    <w:rsid w:val="7A860C7C"/>
    <w:rsid w:val="7AB879FE"/>
    <w:rsid w:val="7B3264DD"/>
    <w:rsid w:val="7B81188A"/>
    <w:rsid w:val="7B9E2902"/>
    <w:rsid w:val="7BC854E2"/>
    <w:rsid w:val="7C0562EC"/>
    <w:rsid w:val="7C067A45"/>
    <w:rsid w:val="7C0D2ED7"/>
    <w:rsid w:val="7C1C072C"/>
    <w:rsid w:val="7C27683F"/>
    <w:rsid w:val="7CB14B4D"/>
    <w:rsid w:val="7CF26969"/>
    <w:rsid w:val="7D25523C"/>
    <w:rsid w:val="7DB23041"/>
    <w:rsid w:val="7E5F7809"/>
    <w:rsid w:val="7ED56C53"/>
    <w:rsid w:val="7EEA1BAF"/>
    <w:rsid w:val="7F4909C9"/>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139"/>
    <w:qFormat/>
    <w:uiPriority w:val="9"/>
    <w:pPr>
      <w:keepNext/>
      <w:keepLines/>
      <w:jc w:val="center"/>
      <w:outlineLvl w:val="0"/>
    </w:pPr>
    <w:rPr>
      <w:b/>
      <w:bCs/>
      <w:kern w:val="44"/>
      <w:sz w:val="36"/>
      <w:szCs w:val="44"/>
    </w:rPr>
  </w:style>
  <w:style w:type="paragraph" w:styleId="2">
    <w:name w:val="heading 2"/>
    <w:basedOn w:val="1"/>
    <w:next w:val="1"/>
    <w:link w:val="14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14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qFormat/>
    <w:uiPriority w:val="0"/>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14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14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
    <w:link w:val="14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145"/>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146"/>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147"/>
    <w:qFormat/>
    <w:uiPriority w:val="0"/>
    <w:pPr>
      <w:ind w:left="100" w:leftChars="2500"/>
    </w:pPr>
    <w:rPr>
      <w:sz w:val="24"/>
    </w:rPr>
  </w:style>
  <w:style w:type="paragraph" w:styleId="21">
    <w:name w:val="Body Text Indent 2"/>
    <w:basedOn w:val="1"/>
    <w:link w:val="148"/>
    <w:qFormat/>
    <w:uiPriority w:val="0"/>
    <w:pPr>
      <w:spacing w:after="120" w:line="480" w:lineRule="auto"/>
      <w:ind w:left="420" w:leftChars="200"/>
    </w:pPr>
  </w:style>
  <w:style w:type="paragraph" w:styleId="22">
    <w:name w:val="Balloon Text"/>
    <w:basedOn w:val="1"/>
    <w:link w:val="149"/>
    <w:qFormat/>
    <w:uiPriority w:val="0"/>
    <w:rPr>
      <w:sz w:val="18"/>
    </w:rPr>
  </w:style>
  <w:style w:type="paragraph" w:styleId="23">
    <w:name w:val="footer"/>
    <w:basedOn w:val="1"/>
    <w:link w:val="150"/>
    <w:qFormat/>
    <w:uiPriority w:val="99"/>
    <w:pPr>
      <w:tabs>
        <w:tab w:val="center" w:pos="4153"/>
        <w:tab w:val="right" w:pos="8306"/>
      </w:tabs>
      <w:snapToGrid w:val="0"/>
      <w:jc w:val="left"/>
    </w:pPr>
    <w:rPr>
      <w:sz w:val="18"/>
    </w:rPr>
  </w:style>
  <w:style w:type="paragraph" w:styleId="24">
    <w:name w:val="header"/>
    <w:basedOn w:val="1"/>
    <w:link w:val="15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11"/>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152"/>
    <w:qFormat/>
    <w:uiPriority w:val="0"/>
    <w:pPr>
      <w:spacing w:after="120"/>
      <w:ind w:left="420" w:leftChars="200"/>
    </w:pPr>
    <w:rPr>
      <w:sz w:val="16"/>
    </w:rPr>
  </w:style>
  <w:style w:type="paragraph" w:styleId="31">
    <w:name w:val="index 9"/>
    <w:basedOn w:val="1"/>
    <w:next w:val="1"/>
    <w:semiHidden/>
    <w:unhideWhenUsed/>
    <w:uiPriority w:val="99"/>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153"/>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1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2"/>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4"/>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2"/>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7">
    <w:name w:val="font61"/>
    <w:qFormat/>
    <w:uiPriority w:val="0"/>
    <w:rPr>
      <w:rFonts w:hint="eastAsia" w:ascii="宋体" w:hAnsi="宋体" w:eastAsia="宋体" w:cs="宋体"/>
      <w:color w:val="000000"/>
      <w:sz w:val="22"/>
      <w:szCs w:val="22"/>
      <w:u w:val="none"/>
    </w:rPr>
  </w:style>
  <w:style w:type="paragraph" w:customStyle="1" w:styleId="138">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character" w:customStyle="1" w:styleId="139">
    <w:name w:val="标题 1 Char"/>
    <w:basedOn w:val="41"/>
    <w:link w:val="3"/>
    <w:qFormat/>
    <w:uiPriority w:val="9"/>
    <w:rPr>
      <w:rFonts w:ascii="Calibri" w:hAnsi="Calibri" w:eastAsia="宋体" w:cs="Times New Roman"/>
      <w:b/>
      <w:bCs/>
      <w:kern w:val="44"/>
      <w:sz w:val="36"/>
      <w:szCs w:val="44"/>
    </w:rPr>
  </w:style>
  <w:style w:type="character" w:customStyle="1" w:styleId="140">
    <w:name w:val="标题 2 Char"/>
    <w:basedOn w:val="41"/>
    <w:link w:val="2"/>
    <w:qFormat/>
    <w:uiPriority w:val="9"/>
    <w:rPr>
      <w:rFonts w:ascii="Arial" w:hAnsi="Arial" w:eastAsia="宋体" w:cs="Times New Roman"/>
      <w:b/>
      <w:bCs/>
      <w:sz w:val="24"/>
      <w:szCs w:val="32"/>
    </w:rPr>
  </w:style>
  <w:style w:type="character" w:customStyle="1" w:styleId="141">
    <w:name w:val="标题 3 Char"/>
    <w:basedOn w:val="41"/>
    <w:link w:val="5"/>
    <w:semiHidden/>
    <w:qFormat/>
    <w:uiPriority w:val="9"/>
    <w:rPr>
      <w:rFonts w:ascii="Calibri" w:hAnsi="Calibri" w:eastAsia="宋体" w:cs="Times New Roman"/>
      <w:b/>
      <w:bCs/>
      <w:sz w:val="32"/>
      <w:szCs w:val="32"/>
    </w:rPr>
  </w:style>
  <w:style w:type="character" w:customStyle="1" w:styleId="142">
    <w:name w:val="文档结构图 Char"/>
    <w:link w:val="10"/>
    <w:qFormat/>
    <w:locked/>
    <w:uiPriority w:val="0"/>
    <w:rPr>
      <w:rFonts w:ascii="Times New Roman" w:hAnsi="Times New Roman" w:eastAsia="宋体" w:cs="Times New Roman"/>
      <w:sz w:val="24"/>
      <w:shd w:val="clear" w:color="auto" w:fill="000080"/>
    </w:rPr>
  </w:style>
  <w:style w:type="character" w:customStyle="1" w:styleId="143">
    <w:name w:val="批注文字 Char1"/>
    <w:link w:val="12"/>
    <w:qFormat/>
    <w:locked/>
    <w:uiPriority w:val="0"/>
    <w:rPr>
      <w:rFonts w:ascii="Times New Roman" w:hAnsi="Times New Roman" w:eastAsia="宋体" w:cs="Times New Roman"/>
    </w:rPr>
  </w:style>
  <w:style w:type="character" w:customStyle="1" w:styleId="144">
    <w:name w:val="正文文本 Char"/>
    <w:basedOn w:val="41"/>
    <w:link w:val="14"/>
    <w:qFormat/>
    <w:uiPriority w:val="99"/>
    <w:rPr>
      <w:rFonts w:ascii="Calibri" w:hAnsi="Calibri" w:eastAsia="新宋体" w:cs="Times New Roman"/>
      <w:szCs w:val="21"/>
    </w:rPr>
  </w:style>
  <w:style w:type="character" w:customStyle="1" w:styleId="145">
    <w:name w:val="正文文本缩进 Char"/>
    <w:basedOn w:val="41"/>
    <w:link w:val="15"/>
    <w:qFormat/>
    <w:uiPriority w:val="99"/>
    <w:rPr>
      <w:rFonts w:ascii="Calibri" w:hAnsi="Calibri" w:eastAsia="宋体" w:cs="Times New Roman"/>
      <w:szCs w:val="20"/>
    </w:rPr>
  </w:style>
  <w:style w:type="character" w:customStyle="1" w:styleId="146">
    <w:name w:val="纯文本 Char1"/>
    <w:link w:val="18"/>
    <w:qFormat/>
    <w:locked/>
    <w:uiPriority w:val="0"/>
    <w:rPr>
      <w:rFonts w:ascii="宋体" w:hAnsi="Courier New" w:eastAsia="宋体" w:cs="Times New Roman"/>
    </w:rPr>
  </w:style>
  <w:style w:type="character" w:customStyle="1" w:styleId="147">
    <w:name w:val="日期 Char"/>
    <w:link w:val="20"/>
    <w:qFormat/>
    <w:locked/>
    <w:uiPriority w:val="0"/>
    <w:rPr>
      <w:rFonts w:ascii="Times New Roman" w:hAnsi="Times New Roman" w:eastAsia="宋体" w:cs="Times New Roman"/>
      <w:sz w:val="24"/>
    </w:rPr>
  </w:style>
  <w:style w:type="character" w:customStyle="1" w:styleId="148">
    <w:name w:val="正文文本缩进 2 Char"/>
    <w:link w:val="21"/>
    <w:qFormat/>
    <w:locked/>
    <w:uiPriority w:val="0"/>
    <w:rPr>
      <w:rFonts w:ascii="Times New Roman" w:hAnsi="Times New Roman" w:eastAsia="宋体" w:cs="Times New Roman"/>
    </w:rPr>
  </w:style>
  <w:style w:type="character" w:customStyle="1" w:styleId="149">
    <w:name w:val="批注框文本 Char"/>
    <w:link w:val="22"/>
    <w:qFormat/>
    <w:locked/>
    <w:uiPriority w:val="0"/>
    <w:rPr>
      <w:rFonts w:ascii="Times New Roman" w:hAnsi="Times New Roman" w:eastAsia="宋体" w:cs="Times New Roman"/>
      <w:sz w:val="18"/>
    </w:rPr>
  </w:style>
  <w:style w:type="character" w:customStyle="1" w:styleId="150">
    <w:name w:val="页脚 Char1"/>
    <w:link w:val="23"/>
    <w:qFormat/>
    <w:locked/>
    <w:uiPriority w:val="99"/>
    <w:rPr>
      <w:rFonts w:ascii="Times New Roman" w:hAnsi="Times New Roman" w:eastAsia="宋体" w:cs="Times New Roman"/>
      <w:sz w:val="18"/>
    </w:rPr>
  </w:style>
  <w:style w:type="character" w:customStyle="1" w:styleId="151">
    <w:name w:val="页眉 Char"/>
    <w:link w:val="24"/>
    <w:qFormat/>
    <w:locked/>
    <w:uiPriority w:val="0"/>
    <w:rPr>
      <w:rFonts w:ascii="Times New Roman" w:hAnsi="Times New Roman" w:eastAsia="宋体" w:cs="Times New Roman"/>
      <w:sz w:val="18"/>
    </w:rPr>
  </w:style>
  <w:style w:type="character" w:customStyle="1" w:styleId="152">
    <w:name w:val="正文文本缩进 3 Char"/>
    <w:link w:val="30"/>
    <w:qFormat/>
    <w:locked/>
    <w:uiPriority w:val="0"/>
    <w:rPr>
      <w:rFonts w:ascii="Times New Roman" w:hAnsi="Times New Roman" w:eastAsia="宋体" w:cs="Times New Roman"/>
      <w:sz w:val="16"/>
    </w:rPr>
  </w:style>
  <w:style w:type="character" w:customStyle="1" w:styleId="153">
    <w:name w:val="标题 Char"/>
    <w:link w:val="36"/>
    <w:qFormat/>
    <w:locked/>
    <w:uiPriority w:val="0"/>
    <w:rPr>
      <w:rFonts w:ascii="Arial" w:hAnsi="Arial" w:eastAsia="宋体" w:cs="Times New Roman"/>
      <w:b/>
      <w:sz w:val="32"/>
    </w:rPr>
  </w:style>
  <w:style w:type="character" w:customStyle="1" w:styleId="154">
    <w:name w:val="批注主题 Char1"/>
    <w:link w:val="37"/>
    <w:qFormat/>
    <w:locked/>
    <w:uiPriority w:val="0"/>
    <w:rPr>
      <w:rFonts w:ascii="Times New Roman" w:hAnsi="Times New Roman" w:eastAsia="宋体" w:cs="Times New Roman"/>
      <w:b/>
    </w:rPr>
  </w:style>
  <w:style w:type="paragraph" w:customStyle="1" w:styleId="155">
    <w:name w:val="修订1"/>
    <w:semiHidden/>
    <w:qFormat/>
    <w:uiPriority w:val="99"/>
    <w:rPr>
      <w:rFonts w:ascii="等线" w:hAnsi="等线" w:eastAsia="等线" w:cs="Times New Roman"/>
      <w:kern w:val="2"/>
      <w:sz w:val="21"/>
      <w:szCs w:val="22"/>
      <w:lang w:val="en-US" w:eastAsia="zh-CN" w:bidi="ar-SA"/>
    </w:rPr>
  </w:style>
  <w:style w:type="paragraph" w:customStyle="1" w:styleId="156">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5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58">
    <w:name w:val="正文表标题"/>
    <w:next w:val="157"/>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159">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160">
    <w:name w:val="Table Text"/>
    <w:basedOn w:val="1"/>
    <w:semiHidden/>
    <w:qFormat/>
    <w:uiPriority w:val="0"/>
    <w:rPr>
      <w:rFonts w:ascii="宋体" w:hAnsi="宋体" w:eastAsia="宋体" w:cs="宋体"/>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header" Target="header10.xml"/><Relationship Id="rId41" Type="http://schemas.openxmlformats.org/officeDocument/2006/relationships/header" Target="header9.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94</Pages>
  <Words>17181</Words>
  <Characters>18370</Characters>
  <Lines>305</Lines>
  <Paragraphs>86</Paragraphs>
  <TotalTime>40</TotalTime>
  <ScaleCrop>false</ScaleCrop>
  <LinksUpToDate>false</LinksUpToDate>
  <CharactersWithSpaces>18673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2022-07-01T03:19:00Z</cp:lastPrinted>
  <dcterms:modified xsi:type="dcterms:W3CDTF">2025-12-24T01:56:43Z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eyJoZGlkIjoiZDM3YTc5ZDhmMTYzMzFiNWJkNTU3ZWQ2NDg0Zjg2YzgiLCJ1c2VySWQiOiIxNjAxNDUxNTQ3In0=</vt:lpwstr>
  </property>
</Properties>
</file>