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Calibri" w:eastAsia="宋体" w:cs="Times New Roman"/>
          <w:color w:val="000000"/>
          <w:sz w:val="30"/>
          <w:szCs w:val="30"/>
        </w:rPr>
      </w:pPr>
      <w:bookmarkStart w:id="0" w:name="OLE_LINK30"/>
      <w:bookmarkStart w:id="1" w:name="OLE_LINK31"/>
    </w:p>
    <w:p>
      <w:pPr>
        <w:pStyle w:val="18"/>
        <w:jc w:val="center"/>
        <w:rPr>
          <w:rFonts w:hint="eastAsia" w:eastAsiaTheme="minorEastAsia"/>
          <w:lang w:eastAsia="zh-CN"/>
        </w:rPr>
      </w:pPr>
      <w:r>
        <w:rPr>
          <w:rFonts w:hint="eastAsia" w:ascii="Calibri" w:hAnsi="宋体" w:eastAsia="宋体" w:cs="Times New Roman"/>
          <w:b/>
          <w:bCs/>
          <w:color w:val="000000"/>
          <w:spacing w:val="-8"/>
          <w:sz w:val="48"/>
          <w:szCs w:val="44"/>
          <w:lang w:eastAsia="zh-CN"/>
        </w:rPr>
        <w:t>济南卡车制造公司莱芜厂区新增后背电池行车技改项目</w:t>
      </w:r>
    </w:p>
    <w:p>
      <w:pPr>
        <w:pStyle w:val="18"/>
        <w:rPr>
          <w:rFonts w:hint="eastAsia"/>
          <w:lang w:eastAsia="zh-CN"/>
        </w:rPr>
      </w:pPr>
    </w:p>
    <w:p>
      <w:pPr>
        <w:pStyle w:val="18"/>
        <w:rPr>
          <w:rFonts w:hint="eastAsia"/>
          <w:lang w:eastAsia="zh-CN"/>
        </w:rPr>
      </w:pPr>
    </w:p>
    <w:p>
      <w:pPr>
        <w:jc w:val="right"/>
        <w:rPr>
          <w:rFonts w:ascii="Calibri" w:hAnsi="Calibri" w:eastAsia="宋体" w:cs="Times New Roman"/>
          <w:color w:val="000000"/>
          <w:sz w:val="28"/>
          <w:szCs w:val="28"/>
        </w:rPr>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pPr>
        <w:jc w:val="center"/>
        <w:rPr>
          <w:rFonts w:ascii="黑体" w:hAnsi="宋体" w:eastAsia="黑体" w:cs="Times New Roman"/>
          <w:color w:val="000000"/>
          <w:sz w:val="72"/>
          <w:szCs w:val="72"/>
        </w:rPr>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ascii="黑体" w:hAnsi="宋体" w:eastAsia="黑体" w:cs="Times New Roman"/>
          <w:color w:val="000000"/>
          <w:sz w:val="72"/>
          <w:szCs w:val="72"/>
        </w:rPr>
      </w:pPr>
    </w:p>
    <w:p>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pPr>
        <w:spacing w:line="860" w:lineRule="exact"/>
        <w:rPr>
          <w:rFonts w:hint="eastAsia" w:ascii="华文仿宋" w:hAnsi="华文仿宋" w:eastAsia="华文仿宋"/>
          <w:sz w:val="32"/>
          <w:szCs w:val="28"/>
        </w:rPr>
      </w:pPr>
      <w:r>
        <w:rPr>
          <w:rFonts w:hint="eastAsia" w:ascii="华文仿宋" w:hAnsi="华文仿宋" w:eastAsia="华文仿宋"/>
          <w:sz w:val="32"/>
          <w:szCs w:val="28"/>
        </w:rPr>
        <w:t xml:space="preserve">            </w:t>
      </w:r>
    </w:p>
    <w:p>
      <w:pPr>
        <w:spacing w:line="860" w:lineRule="exact"/>
        <w:rPr>
          <w:rFonts w:hint="eastAsia" w:ascii="华文仿宋" w:hAnsi="华文仿宋" w:eastAsia="华文仿宋"/>
          <w:sz w:val="32"/>
          <w:szCs w:val="28"/>
        </w:rPr>
      </w:pPr>
    </w:p>
    <w:p>
      <w:pPr>
        <w:spacing w:line="860" w:lineRule="exact"/>
        <w:rPr>
          <w:rFonts w:hint="eastAsia" w:ascii="华文仿宋" w:hAnsi="华文仿宋" w:eastAsia="华文仿宋"/>
          <w:sz w:val="32"/>
          <w:szCs w:val="28"/>
        </w:rPr>
      </w:pPr>
    </w:p>
    <w:p>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w:t>
      </w:r>
    </w:p>
    <w:p>
      <w:pPr>
        <w:pStyle w:val="18"/>
        <w:rPr>
          <w:b/>
          <w:bCs/>
        </w:rPr>
      </w:pPr>
    </w:p>
    <w:p>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w:t>
      </w:r>
      <w:r>
        <w:rPr>
          <w:rFonts w:hint="eastAsia" w:ascii="宋体" w:hAnsi="宋体" w:eastAsia="宋体" w:cs="Times New Roman"/>
          <w:color w:val="000000"/>
          <w:sz w:val="28"/>
          <w:szCs w:val="28"/>
          <w:lang w:val="en-US" w:eastAsia="zh-CN"/>
        </w:rPr>
        <w:t>卡车股份</w:t>
      </w:r>
      <w:r>
        <w:rPr>
          <w:rFonts w:hint="eastAsia" w:ascii="宋体" w:hAnsi="宋体" w:eastAsia="宋体" w:cs="Times New Roman"/>
          <w:color w:val="000000"/>
          <w:sz w:val="28"/>
          <w:szCs w:val="28"/>
        </w:rPr>
        <w:t>有限公司</w:t>
      </w:r>
    </w:p>
    <w:p>
      <w:pPr>
        <w:jc w:val="center"/>
        <w:rPr>
          <w:rFonts w:ascii="宋体"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lang w:val="en-US" w:eastAsia="zh-CN"/>
        </w:rPr>
        <w:t>5</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lang w:val="en-US" w:eastAsia="zh-CN"/>
        </w:rPr>
        <w:t>12</w:t>
      </w:r>
      <w:r>
        <w:rPr>
          <w:rFonts w:hint="eastAsia" w:ascii="Calibri" w:hAnsi="Calibri" w:eastAsia="宋体" w:cs="Times New Roman"/>
          <w:color w:val="000000"/>
          <w:sz w:val="28"/>
          <w:szCs w:val="28"/>
        </w:rPr>
        <w:t>月</w:t>
      </w:r>
    </w:p>
    <w:p>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pPr>
            <w:spacing w:line="480" w:lineRule="auto"/>
            <w:jc w:val="center"/>
            <w:rPr>
              <w:rFonts w:cs="宋体"/>
              <w:b/>
              <w:bCs/>
              <w:sz w:val="48"/>
              <w:szCs w:val="48"/>
            </w:rPr>
          </w:pPr>
          <w:r>
            <w:rPr>
              <w:rFonts w:ascii="宋体" w:hAnsi="宋体" w:eastAsia="宋体" w:cs="宋体"/>
              <w:b/>
              <w:bCs/>
              <w:sz w:val="48"/>
              <w:szCs w:val="48"/>
            </w:rPr>
            <w:t>目录</w:t>
          </w:r>
        </w:p>
        <w:p>
          <w:pPr>
            <w:pStyle w:val="25"/>
            <w:tabs>
              <w:tab w:val="right" w:leader="dot" w:pos="9071"/>
            </w:tabs>
            <w:spacing w:line="480" w:lineRule="auto"/>
            <w:rPr>
              <w:rFonts w:hint="eastAsia" w:eastAsia="宋体"/>
              <w:color w:val="auto"/>
              <w:sz w:val="32"/>
              <w:szCs w:val="32"/>
              <w:lang w:eastAsia="zh-CN"/>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一</w:t>
          </w:r>
          <w:r>
            <w:rPr>
              <w:rFonts w:hint="eastAsia" w:ascii="Calibri" w:hAnsi="Calibri"/>
              <w:bCs/>
              <w:color w:val="auto"/>
              <w:kern w:val="44"/>
              <w:sz w:val="32"/>
              <w:szCs w:val="32"/>
            </w:rPr>
            <w:t>部分 投标人须知前附表</w:t>
          </w:r>
          <w:r>
            <w:rPr>
              <w:color w:val="auto"/>
              <w:sz w:val="32"/>
              <w:szCs w:val="32"/>
            </w:rPr>
            <w:tab/>
          </w:r>
          <w:r>
            <w:rPr>
              <w:color w:val="auto"/>
              <w:sz w:val="32"/>
              <w:szCs w:val="32"/>
            </w:rPr>
            <w:fldChar w:fldCharType="end"/>
          </w:r>
          <w:r>
            <w:rPr>
              <w:rFonts w:hint="eastAsia"/>
              <w:color w:val="auto"/>
              <w:sz w:val="32"/>
              <w:szCs w:val="32"/>
              <w:lang w:val="en-US" w:eastAsia="zh-CN"/>
            </w:rPr>
            <w:t>3</w:t>
          </w:r>
        </w:p>
        <w:p>
          <w:pPr>
            <w:pStyle w:val="25"/>
            <w:tabs>
              <w:tab w:val="right" w:leader="dot" w:pos="9071"/>
            </w:tabs>
            <w:spacing w:line="480" w:lineRule="auto"/>
            <w:rPr>
              <w:rFonts w:hint="eastAsia" w:eastAsia="宋体"/>
              <w:color w:val="auto"/>
              <w:sz w:val="32"/>
              <w:szCs w:val="32"/>
              <w:lang w:eastAsia="zh-CN"/>
            </w:rPr>
          </w:pPr>
          <w:r>
            <w:fldChar w:fldCharType="begin"/>
          </w:r>
          <w:r>
            <w:instrText xml:space="preserve"> HYPERLINK \l "_Toc15609"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二</w:t>
          </w:r>
          <w:r>
            <w:rPr>
              <w:rFonts w:hint="eastAsia" w:ascii="Calibri" w:hAnsi="Calibri"/>
              <w:bCs/>
              <w:color w:val="auto"/>
              <w:kern w:val="44"/>
              <w:sz w:val="32"/>
              <w:szCs w:val="32"/>
            </w:rPr>
            <w:t>部分 投标人须知</w:t>
          </w:r>
          <w:r>
            <w:rPr>
              <w:color w:val="auto"/>
              <w:sz w:val="32"/>
              <w:szCs w:val="32"/>
            </w:rPr>
            <w:tab/>
          </w:r>
          <w:r>
            <w:rPr>
              <w:color w:val="auto"/>
              <w:sz w:val="32"/>
              <w:szCs w:val="32"/>
            </w:rPr>
            <w:fldChar w:fldCharType="end"/>
          </w:r>
          <w:r>
            <w:rPr>
              <w:rFonts w:hint="eastAsia"/>
              <w:color w:val="auto"/>
              <w:sz w:val="32"/>
              <w:szCs w:val="32"/>
              <w:lang w:val="en-US" w:eastAsia="zh-CN"/>
            </w:rPr>
            <w:t>7</w:t>
          </w:r>
        </w:p>
        <w:p>
          <w:pPr>
            <w:pStyle w:val="25"/>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"_Toc22879"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三</w:t>
          </w:r>
          <w:r>
            <w:rPr>
              <w:rFonts w:hint="eastAsia" w:ascii="Calibri" w:hAnsi="Calibri"/>
              <w:bCs/>
              <w:color w:val="auto"/>
              <w:kern w:val="44"/>
              <w:sz w:val="32"/>
              <w:szCs w:val="32"/>
            </w:rPr>
            <w:t>部分 投标文件编制</w:t>
          </w:r>
          <w:r>
            <w:rPr>
              <w:color w:val="auto"/>
              <w:sz w:val="32"/>
              <w:szCs w:val="32"/>
            </w:rPr>
            <w:tab/>
          </w:r>
          <w:r>
            <w:rPr>
              <w:color w:val="auto"/>
              <w:sz w:val="32"/>
              <w:szCs w:val="32"/>
            </w:rPr>
            <w:fldChar w:fldCharType="end"/>
          </w:r>
          <w:r>
            <w:rPr>
              <w:rFonts w:hint="eastAsia"/>
              <w:color w:val="auto"/>
              <w:sz w:val="32"/>
              <w:szCs w:val="32"/>
              <w:lang w:val="en-US" w:eastAsia="zh-CN"/>
            </w:rPr>
            <w:t>13</w:t>
          </w:r>
        </w:p>
        <w:p>
          <w:pPr>
            <w:pStyle w:val="25"/>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"_Toc9849"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四</w:t>
          </w:r>
          <w:r>
            <w:rPr>
              <w:rFonts w:hint="eastAsia" w:ascii="Calibri" w:hAnsi="Calibri"/>
              <w:bCs/>
              <w:color w:val="auto"/>
              <w:kern w:val="44"/>
              <w:sz w:val="32"/>
              <w:szCs w:val="32"/>
            </w:rPr>
            <w:t>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lang w:val="en-US" w:eastAsia="zh-CN"/>
            </w:rPr>
            <w:t>16</w:t>
          </w:r>
        </w:p>
        <w:p>
          <w:pPr>
            <w:pStyle w:val="25"/>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"_Toc28859" </w:instrText>
          </w:r>
          <w:r>
            <w:fldChar w:fldCharType="separate"/>
          </w:r>
          <w:r>
            <w:rPr>
              <w:rFonts w:hint="eastAsia"/>
              <w:color w:val="auto"/>
              <w:sz w:val="32"/>
              <w:szCs w:val="32"/>
            </w:rPr>
            <w:t>第</w:t>
          </w:r>
          <w:r>
            <w:rPr>
              <w:rFonts w:hint="eastAsia"/>
              <w:color w:val="auto"/>
              <w:sz w:val="32"/>
              <w:szCs w:val="32"/>
              <w:lang w:val="en-US" w:eastAsia="zh-CN"/>
            </w:rPr>
            <w:t>五</w:t>
          </w:r>
          <w:r>
            <w:rPr>
              <w:rFonts w:hint="eastAsia"/>
              <w:color w:val="auto"/>
              <w:sz w:val="32"/>
              <w:szCs w:val="32"/>
            </w:rPr>
            <w:t>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lang w:val="en-US" w:eastAsia="zh-CN"/>
            </w:rPr>
            <w:t>35</w:t>
          </w:r>
        </w:p>
        <w:p>
          <w:pPr>
            <w:pStyle w:val="25"/>
            <w:tabs>
              <w:tab w:val="right" w:leader="dot" w:pos="9071"/>
            </w:tabs>
            <w:spacing w:line="480" w:lineRule="auto"/>
            <w:rPr>
              <w:rFonts w:hint="default" w:eastAsia="宋体"/>
              <w:lang w:val="en-US" w:eastAsia="zh-CN"/>
            </w:rPr>
          </w:pPr>
          <w:r>
            <w:fldChar w:fldCharType="begin"/>
          </w:r>
          <w:r>
            <w:instrText xml:space="preserve"> HYPERLINK \l "_Toc29691"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六</w:t>
          </w:r>
          <w:r>
            <w:rPr>
              <w:rFonts w:hint="eastAsia" w:ascii="Calibri" w:hAnsi="Calibri"/>
              <w:bCs/>
              <w:color w:val="auto"/>
              <w:kern w:val="44"/>
              <w:sz w:val="32"/>
              <w:szCs w:val="32"/>
            </w:rPr>
            <w:t>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lang w:val="en-US" w:eastAsia="zh-CN"/>
            </w:rPr>
            <w:t>53</w:t>
          </w:r>
        </w:p>
        <w:p>
          <w:pPr>
            <w:pStyle w:val="18"/>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pPr>
        <w:pStyle w:val="18"/>
        <w:numPr>
          <w:ilvl w:val="0"/>
          <w:numId w:val="3"/>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pPr>
        <w:pStyle w:val="18"/>
        <w:jc w:val="center"/>
        <w:rPr>
          <w:rFonts w:ascii="Calibri" w:hAnsi="Calibri" w:eastAsia="宋体" w:cs="Times New Roman"/>
          <w:b/>
          <w:bCs/>
          <w:kern w:val="44"/>
          <w:sz w:val="36"/>
          <w:szCs w:val="44"/>
        </w:rPr>
      </w:pPr>
    </w:p>
    <w:p>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w:t>
      </w:r>
      <w:r>
        <w:rPr>
          <w:rFonts w:hint="eastAsia" w:ascii="宋体" w:hAnsi="宋体" w:eastAsia="宋体" w:cs="宋体"/>
          <w:b/>
          <w:bCs/>
          <w:sz w:val="24"/>
          <w:szCs w:val="24"/>
          <w:lang w:val="en-US" w:eastAsia="zh-CN"/>
        </w:rPr>
        <w:t>部分</w:t>
      </w:r>
      <w:r>
        <w:rPr>
          <w:rFonts w:hint="eastAsia" w:ascii="宋体" w:hAnsi="宋体" w:eastAsia="宋体" w:cs="宋体"/>
          <w:b/>
          <w:bCs/>
          <w:sz w:val="24"/>
          <w:szCs w:val="24"/>
        </w:rPr>
        <w:t>是对“投标须知”正文的具体补充和修改，如有不一致，以“前附表”为准。</w:t>
      </w:r>
    </w:p>
    <w:tbl>
      <w:tblPr>
        <w:tblStyle w:val="39"/>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2"/>
                <w:rFonts w:ascii="宋体" w:hAnsi="宋体" w:eastAsia="宋体" w:cs="宋体"/>
                <w:b/>
                <w:sz w:val="28"/>
                <w:szCs w:val="28"/>
              </w:rPr>
            </w:pPr>
            <w:bookmarkStart w:id="3" w:name="_Toc346372875"/>
            <w:r>
              <w:rPr>
                <w:rStyle w:val="132"/>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562" w:firstLineChars="200"/>
              <w:jc w:val="center"/>
              <w:rPr>
                <w:rFonts w:ascii="宋体" w:hAnsi="宋体" w:eastAsia="宋体" w:cs="宋体"/>
                <w:b/>
                <w:bCs/>
                <w:sz w:val="28"/>
                <w:szCs w:val="28"/>
              </w:rPr>
            </w:pPr>
            <w:r>
              <w:rPr>
                <w:rStyle w:val="132"/>
                <w:rFonts w:hint="eastAsia" w:ascii="宋体" w:hAnsi="宋体" w:eastAsia="宋体" w:cs="宋体"/>
                <w:b/>
                <w:sz w:val="28"/>
                <w:szCs w:val="28"/>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6"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spacing w:line="240" w:lineRule="auto"/>
              <w:ind w:left="0"/>
              <w:jc w:val="center"/>
              <w:rPr>
                <w:rFonts w:hint="eastAsia" w:ascii="宋体" w:hAnsi="宋体" w:eastAsia="宋体" w:cs="宋体"/>
                <w:b/>
                <w:bCs/>
                <w:sz w:val="24"/>
                <w:szCs w:val="24"/>
              </w:rPr>
            </w:pPr>
            <w:r>
              <w:rPr>
                <w:rFonts w:hint="eastAsia" w:ascii="宋体" w:hAnsi="宋体" w:eastAsia="宋体" w:cs="宋体"/>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sz w:val="24"/>
                <w:szCs w:val="24"/>
                <w:highlight w:val="none"/>
                <w:u w:val="single"/>
                <w:lang w:val="en-US" w:eastAsia="zh-CN"/>
              </w:rPr>
              <w:t>济南卡车制造公司莱芜厂区新增后背电池行车技改项目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采购形式</w:t>
            </w:r>
            <w:r>
              <w:rPr>
                <w:rFonts w:hint="eastAsia" w:ascii="宋体" w:hAnsi="宋体" w:eastAsia="宋体" w:cs="宋体"/>
                <w:b/>
                <w:bCs/>
                <w:sz w:val="24"/>
                <w:szCs w:val="24"/>
              </w:rPr>
              <w:t>编号：FSCZB2025120334</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rPr>
              <w:t>招标内容：</w:t>
            </w:r>
            <w:r>
              <w:rPr>
                <w:rFonts w:hint="eastAsia" w:ascii="宋体" w:hAnsi="宋体" w:eastAsia="宋体" w:cs="宋体"/>
                <w:sz w:val="24"/>
                <w:szCs w:val="24"/>
                <w:highlight w:val="none"/>
                <w:lang w:val="en-US" w:eastAsia="zh-CN"/>
              </w:rPr>
              <w:t>莱芜厂区总装二线新增1套10T行车，含配套土建基础、行车框</w:t>
            </w:r>
          </w:p>
          <w:p>
            <w:pPr>
              <w:rPr>
                <w:rFonts w:ascii="宋体" w:hAnsi="宋体" w:eastAsia="宋体" w:cs="宋体"/>
                <w:sz w:val="24"/>
                <w:szCs w:val="24"/>
                <w:highlight w:val="none"/>
              </w:rPr>
            </w:pPr>
            <w:r>
              <w:rPr>
                <w:rFonts w:hint="eastAsia" w:ascii="宋体" w:hAnsi="宋体" w:eastAsia="宋体" w:cs="宋体"/>
                <w:sz w:val="24"/>
                <w:szCs w:val="24"/>
                <w:highlight w:val="none"/>
                <w:lang w:val="en-US" w:eastAsia="zh-CN"/>
              </w:rPr>
              <w:t>架、钢结构框架改造等</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招标形式：</w:t>
            </w:r>
            <w:r>
              <w:rPr>
                <w:rFonts w:hint="eastAsia" w:ascii="宋体" w:hAnsi="宋体" w:eastAsia="宋体" w:cs="宋体"/>
                <w:sz w:val="24"/>
                <w:szCs w:val="24"/>
                <w:highlight w:val="none"/>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lang w:eastAsia="zh-CN"/>
              </w:rPr>
              <w:t>中国重汽集团济南卡车股份有限公司</w:t>
            </w:r>
            <w:r>
              <w:rPr>
                <w:rFonts w:hint="eastAsia" w:ascii="宋体" w:hAnsi="宋体" w:eastAsia="宋体" w:cs="宋体"/>
                <w:bCs/>
                <w:snapToGrid w:val="0"/>
                <w:kern w:val="0"/>
                <w:sz w:val="24"/>
                <w:szCs w:val="24"/>
                <w:highlight w:val="none"/>
              </w:rPr>
              <w:t xml:space="preserve"> </w:t>
            </w:r>
          </w:p>
          <w:p>
            <w:pPr>
              <w:ind w:firstLine="482" w:firstLineChars="200"/>
              <w:rPr>
                <w:rFonts w:ascii="宋体" w:hAnsi="宋体" w:eastAsia="宋体" w:cs="宋体"/>
                <w:sz w:val="24"/>
                <w:szCs w:val="24"/>
                <w:highlight w:val="none"/>
              </w:rPr>
            </w:pPr>
            <w:r>
              <w:rPr>
                <w:rFonts w:hint="eastAsia" w:ascii="宋体" w:hAnsi="宋体" w:eastAsia="宋体" w:cs="宋体"/>
                <w:b/>
                <w:snapToGrid w:val="0"/>
                <w:kern w:val="0"/>
                <w:sz w:val="24"/>
                <w:szCs w:val="24"/>
                <w:highlight w:val="none"/>
                <w:lang w:val="en-US" w:eastAsia="zh-CN"/>
              </w:rPr>
              <w:t>招标人</w:t>
            </w:r>
            <w:r>
              <w:rPr>
                <w:rFonts w:hint="eastAsia" w:ascii="宋体" w:hAnsi="宋体" w:eastAsia="宋体" w:cs="宋体"/>
                <w:b/>
                <w:snapToGrid w:val="0"/>
                <w:kern w:val="0"/>
                <w:sz w:val="24"/>
                <w:szCs w:val="24"/>
                <w:highlight w:val="none"/>
              </w:rPr>
              <w:t>地址：</w:t>
            </w:r>
            <w:r>
              <w:rPr>
                <w:rFonts w:hint="eastAsia" w:ascii="宋体" w:hAnsi="宋体" w:eastAsia="宋体" w:cs="宋体"/>
                <w:sz w:val="24"/>
                <w:szCs w:val="24"/>
                <w:highlight w:val="none"/>
                <w:u w:val="single"/>
              </w:rPr>
              <w:t>济南</w:t>
            </w:r>
            <w:r>
              <w:rPr>
                <w:rFonts w:hint="eastAsia" w:ascii="宋体" w:hAnsi="宋体" w:eastAsia="宋体" w:cs="宋体"/>
                <w:sz w:val="24"/>
                <w:szCs w:val="24"/>
                <w:highlight w:val="none"/>
                <w:u w:val="none"/>
              </w:rPr>
              <w:t>市</w:t>
            </w:r>
            <w:r>
              <w:rPr>
                <w:rFonts w:hint="eastAsia" w:ascii="宋体" w:hAnsi="宋体" w:eastAsia="宋体" w:cs="宋体"/>
                <w:sz w:val="24"/>
                <w:szCs w:val="24"/>
                <w:highlight w:val="none"/>
                <w:u w:val="none"/>
                <w:lang w:val="en-US" w:eastAsia="zh-CN"/>
              </w:rPr>
              <w:t>历城区</w:t>
            </w:r>
            <w:r>
              <w:rPr>
                <w:rFonts w:hint="eastAsia" w:ascii="宋体" w:hAnsi="宋体" w:eastAsia="宋体" w:cs="宋体"/>
                <w:sz w:val="24"/>
                <w:szCs w:val="24"/>
                <w:highlight w:val="none"/>
                <w:u w:val="none"/>
              </w:rPr>
              <w:t>华奥</w:t>
            </w:r>
            <w:r>
              <w:rPr>
                <w:rFonts w:hint="eastAsia" w:ascii="宋体" w:hAnsi="宋体" w:eastAsia="宋体" w:cs="宋体"/>
                <w:sz w:val="24"/>
                <w:szCs w:val="24"/>
                <w:highlight w:val="none"/>
                <w:u w:val="single"/>
              </w:rPr>
              <w:t>路777号</w:t>
            </w:r>
            <w:r>
              <w:rPr>
                <w:rFonts w:hint="eastAsia" w:ascii="宋体" w:hAnsi="宋体" w:eastAsia="宋体" w:cs="宋体"/>
                <w:sz w:val="24"/>
                <w:szCs w:val="24"/>
                <w:highlight w:val="none"/>
              </w:rPr>
              <w:t xml:space="preserve"> </w:t>
            </w:r>
          </w:p>
          <w:p>
            <w:pPr>
              <w:ind w:firstLine="482" w:firstLineChars="200"/>
              <w:rPr>
                <w:rFonts w:hint="eastAsia" w:ascii="宋体" w:hAnsi="宋体" w:eastAsia="宋体" w:cs="宋体"/>
                <w:bCs/>
                <w:snapToGrid w:val="0"/>
                <w:kern w:val="0"/>
                <w:sz w:val="24"/>
                <w:szCs w:val="24"/>
                <w:highlight w:val="yellow"/>
                <w:lang w:val="en-US" w:eastAsia="zh-CN"/>
              </w:rPr>
            </w:pPr>
            <w:r>
              <w:rPr>
                <w:rFonts w:hint="eastAsia" w:ascii="宋体" w:hAnsi="宋体" w:eastAsia="宋体" w:cs="宋体"/>
                <w:b/>
                <w:snapToGrid w:val="0"/>
                <w:kern w:val="0"/>
                <w:sz w:val="24"/>
                <w:szCs w:val="24"/>
                <w:highlight w:val="yellow"/>
                <w:lang w:val="en-US" w:eastAsia="zh-CN"/>
              </w:rPr>
              <w:t>商务</w:t>
            </w:r>
            <w:r>
              <w:rPr>
                <w:rFonts w:hint="eastAsia" w:ascii="宋体" w:hAnsi="宋体" w:eastAsia="宋体" w:cs="宋体"/>
                <w:b/>
                <w:snapToGrid w:val="0"/>
                <w:kern w:val="0"/>
                <w:sz w:val="24"/>
                <w:szCs w:val="24"/>
                <w:highlight w:val="yellow"/>
              </w:rPr>
              <w:t>联系人：</w:t>
            </w:r>
            <w:r>
              <w:rPr>
                <w:rFonts w:hint="eastAsia" w:ascii="宋体" w:hAnsi="宋体" w:eastAsia="宋体" w:cs="宋体"/>
                <w:b/>
                <w:snapToGrid w:val="0"/>
                <w:kern w:val="0"/>
                <w:sz w:val="24"/>
                <w:szCs w:val="24"/>
                <w:highlight w:val="yellow"/>
                <w:lang w:val="en-US" w:eastAsia="zh-CN"/>
              </w:rPr>
              <w:t>赵力</w:t>
            </w:r>
          </w:p>
          <w:p>
            <w:pPr>
              <w:pStyle w:val="18"/>
              <w:ind w:firstLine="482" w:firstLineChars="200"/>
              <w:rPr>
                <w:rFonts w:hint="default" w:hAnsi="宋体" w:eastAsia="宋体" w:cs="宋体"/>
                <w:b/>
                <w:snapToGrid w:val="0"/>
                <w:kern w:val="0"/>
                <w:sz w:val="24"/>
                <w:szCs w:val="24"/>
                <w:highlight w:val="yellow"/>
                <w:lang w:val="en-US" w:eastAsia="zh-CN"/>
              </w:rPr>
            </w:pPr>
            <w:r>
              <w:rPr>
                <w:rFonts w:hint="eastAsia" w:ascii="宋体" w:hAnsi="宋体" w:eastAsia="宋体" w:cs="宋体"/>
                <w:b/>
                <w:snapToGrid w:val="0"/>
                <w:kern w:val="0"/>
                <w:sz w:val="24"/>
                <w:szCs w:val="24"/>
                <w:highlight w:val="yellow"/>
              </w:rPr>
              <w:t>电话：</w:t>
            </w:r>
            <w:r>
              <w:rPr>
                <w:rFonts w:hint="eastAsia" w:hAnsi="宋体" w:eastAsia="宋体" w:cs="宋体"/>
                <w:b/>
                <w:snapToGrid w:val="0"/>
                <w:kern w:val="0"/>
                <w:sz w:val="24"/>
                <w:szCs w:val="24"/>
                <w:highlight w:val="yellow"/>
                <w:lang w:val="en-US" w:eastAsia="zh-CN"/>
              </w:rPr>
              <w:t>17860606595</w:t>
            </w:r>
          </w:p>
          <w:p>
            <w:pPr>
              <w:ind w:firstLine="482" w:firstLineChars="200"/>
              <w:rPr>
                <w:rFonts w:hint="eastAsia" w:ascii="宋体" w:hAnsi="宋体" w:eastAsia="宋体" w:cs="宋体"/>
                <w:b/>
                <w:snapToGrid w:val="0"/>
                <w:kern w:val="0"/>
                <w:sz w:val="24"/>
                <w:szCs w:val="24"/>
                <w:highlight w:val="yellow"/>
                <w:lang w:val="en-US" w:eastAsia="zh-CN"/>
              </w:rPr>
            </w:pPr>
            <w:r>
              <w:rPr>
                <w:rFonts w:hint="eastAsia" w:ascii="宋体" w:hAnsi="宋体" w:eastAsia="宋体" w:cs="宋体"/>
                <w:b/>
                <w:snapToGrid w:val="0"/>
                <w:kern w:val="0"/>
                <w:sz w:val="24"/>
                <w:szCs w:val="24"/>
                <w:highlight w:val="yellow"/>
                <w:lang w:val="en-US" w:eastAsia="zh-CN"/>
              </w:rPr>
              <w:t>邮箱</w:t>
            </w:r>
            <w:r>
              <w:rPr>
                <w:rFonts w:hint="eastAsia" w:ascii="宋体" w:hAnsi="宋体" w:eastAsia="宋体" w:cs="宋体"/>
                <w:b/>
                <w:snapToGrid w:val="0"/>
                <w:kern w:val="0"/>
                <w:sz w:val="24"/>
                <w:szCs w:val="24"/>
                <w:highlight w:val="yellow"/>
              </w:rPr>
              <w:t>：</w:t>
            </w:r>
            <w:r>
              <w:rPr>
                <w:rFonts w:hint="eastAsia" w:ascii="宋体" w:hAnsi="宋体" w:eastAsia="宋体" w:cs="宋体"/>
                <w:b/>
                <w:snapToGrid w:val="0"/>
                <w:kern w:val="0"/>
                <w:sz w:val="24"/>
                <w:szCs w:val="24"/>
                <w:highlight w:val="yellow"/>
                <w:lang w:val="en-US" w:eastAsia="zh-CN"/>
              </w:rPr>
              <w:t>zhaoli@sinotruk.com</w:t>
            </w:r>
          </w:p>
          <w:p>
            <w:pPr>
              <w:ind w:firstLine="482" w:firstLineChars="200"/>
              <w:rPr>
                <w:rFonts w:hint="default" w:ascii="宋体" w:hAnsi="宋体" w:eastAsia="宋体" w:cs="宋体"/>
                <w:bCs/>
                <w:snapToGrid w:val="0"/>
                <w:kern w:val="0"/>
                <w:sz w:val="24"/>
                <w:szCs w:val="24"/>
                <w:highlight w:val="yellow"/>
                <w:lang w:val="en-US" w:eastAsia="zh-CN"/>
              </w:rPr>
            </w:pPr>
            <w:r>
              <w:rPr>
                <w:rFonts w:hint="eastAsia" w:ascii="宋体" w:hAnsi="宋体" w:eastAsia="宋体" w:cs="宋体"/>
                <w:b/>
                <w:snapToGrid w:val="0"/>
                <w:kern w:val="0"/>
                <w:sz w:val="24"/>
                <w:szCs w:val="24"/>
                <w:highlight w:val="yellow"/>
                <w:lang w:val="en-US" w:eastAsia="zh-CN"/>
              </w:rPr>
              <w:t>技术</w:t>
            </w:r>
            <w:r>
              <w:rPr>
                <w:rFonts w:hint="eastAsia" w:ascii="宋体" w:hAnsi="宋体" w:eastAsia="宋体" w:cs="宋体"/>
                <w:b/>
                <w:snapToGrid w:val="0"/>
                <w:kern w:val="0"/>
                <w:sz w:val="24"/>
                <w:szCs w:val="24"/>
                <w:highlight w:val="yellow"/>
              </w:rPr>
              <w:t>联系人：杜嘉源</w:t>
            </w:r>
          </w:p>
          <w:p>
            <w:pPr>
              <w:pStyle w:val="18"/>
              <w:ind w:firstLine="482" w:firstLineChars="200"/>
              <w:rPr>
                <w:rFonts w:hint="eastAsia" w:hAnsi="宋体" w:eastAsia="宋体" w:cs="宋体"/>
                <w:b/>
                <w:snapToGrid w:val="0"/>
                <w:kern w:val="0"/>
                <w:sz w:val="24"/>
                <w:szCs w:val="24"/>
                <w:highlight w:val="yellow"/>
                <w:lang w:val="en-US" w:eastAsia="zh-CN"/>
              </w:rPr>
            </w:pPr>
            <w:r>
              <w:rPr>
                <w:rFonts w:hint="eastAsia" w:ascii="宋体" w:hAnsi="宋体" w:eastAsia="宋体" w:cs="宋体"/>
                <w:b/>
                <w:snapToGrid w:val="0"/>
                <w:kern w:val="0"/>
                <w:sz w:val="24"/>
                <w:szCs w:val="24"/>
                <w:highlight w:val="yellow"/>
              </w:rPr>
              <w:t>电话：</w:t>
            </w:r>
            <w:r>
              <w:rPr>
                <w:rFonts w:hint="eastAsia" w:hAnsi="宋体" w:eastAsia="宋体" w:cs="宋体"/>
                <w:b/>
                <w:snapToGrid w:val="0"/>
                <w:kern w:val="0"/>
                <w:sz w:val="24"/>
                <w:szCs w:val="24"/>
                <w:highlight w:val="yellow"/>
                <w:lang w:val="en-US" w:eastAsia="zh-CN"/>
              </w:rPr>
              <w:t>15699457995</w:t>
            </w:r>
          </w:p>
          <w:p>
            <w:pPr>
              <w:ind w:firstLine="482" w:firstLineChars="200"/>
              <w:rPr>
                <w:rFonts w:hint="default"/>
                <w:lang w:val="en-US" w:eastAsia="zh-CN"/>
              </w:rPr>
            </w:pPr>
            <w:r>
              <w:rPr>
                <w:rFonts w:hint="eastAsia" w:ascii="宋体" w:hAnsi="宋体" w:eastAsia="宋体" w:cs="宋体"/>
                <w:b/>
                <w:snapToGrid w:val="0"/>
                <w:kern w:val="0"/>
                <w:sz w:val="24"/>
                <w:szCs w:val="24"/>
                <w:highlight w:val="yellow"/>
                <w:lang w:val="en-US" w:eastAsia="zh-CN"/>
              </w:rPr>
              <w:t>邮箱</w:t>
            </w:r>
            <w:r>
              <w:rPr>
                <w:rFonts w:hint="eastAsia" w:ascii="宋体" w:hAnsi="宋体" w:eastAsia="宋体" w:cs="宋体"/>
                <w:b/>
                <w:snapToGrid w:val="0"/>
                <w:kern w:val="0"/>
                <w:sz w:val="24"/>
                <w:szCs w:val="24"/>
                <w:highlight w:val="yellow"/>
              </w:rPr>
              <w:t>：</w:t>
            </w:r>
            <w:r>
              <w:rPr>
                <w:rFonts w:hint="eastAsia" w:ascii="宋体" w:hAnsi="宋体" w:eastAsia="宋体" w:cs="宋体"/>
                <w:b/>
                <w:snapToGrid w:val="0"/>
                <w:kern w:val="0"/>
                <w:sz w:val="24"/>
                <w:szCs w:val="24"/>
                <w:highlight w:val="yellow"/>
                <w:lang w:val="en-US" w:eastAsia="zh-CN"/>
              </w:rPr>
              <w:t>dujiayuan@sinotruk.com</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r>
              <w:rPr>
                <w:rFonts w:hint="eastAsia" w:ascii="宋体" w:hAnsi="宋体" w:eastAsia="宋体" w:cs="宋体"/>
                <w:kern w:val="0"/>
                <w:sz w:val="24"/>
                <w:szCs w:val="24"/>
                <w:lang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w:t>
            </w:r>
            <w:r>
              <w:rPr>
                <w:rFonts w:hint="eastAsia" w:ascii="宋体" w:hAnsi="宋体" w:eastAsia="宋体" w:cs="宋体"/>
                <w:sz w:val="24"/>
                <w:szCs w:val="24"/>
                <w:lang w:eastAsia="zh-CN"/>
              </w:rPr>
              <w:t>，</w:t>
            </w:r>
            <w:r>
              <w:rPr>
                <w:rFonts w:hint="eastAsia" w:ascii="宋体" w:hAnsi="宋体" w:eastAsia="宋体" w:cs="宋体"/>
                <w:sz w:val="24"/>
                <w:szCs w:val="24"/>
              </w:rPr>
              <w:t>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w:t>
            </w:r>
            <w:r>
              <w:rPr>
                <w:rFonts w:hint="eastAsia" w:ascii="宋体" w:hAnsi="宋体" w:eastAsia="宋体" w:cs="Times New Roman"/>
                <w:color w:val="000000"/>
                <w:sz w:val="24"/>
                <w:szCs w:val="24"/>
                <w:lang w:eastAsia="zh-CN"/>
              </w:rPr>
              <w:t>、配合办理政府验收手续（不限质监验收、消防验收、环评及职业卫生评价、安全评价等）</w:t>
            </w:r>
            <w:r>
              <w:rPr>
                <w:rFonts w:hint="eastAsia" w:ascii="宋体" w:hAnsi="宋体" w:eastAsia="宋体" w:cs="Times New Roman"/>
                <w:color w:val="000000"/>
                <w:sz w:val="24"/>
                <w:szCs w:val="24"/>
              </w:rPr>
              <w:t>及可预见的风险以及其它不可预见等全部费用。</w:t>
            </w:r>
          </w:p>
          <w:p>
            <w:pPr>
              <w:ind w:firstLine="482" w:firstLineChars="200"/>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highlight w:val="none"/>
                <w:lang w:val="en-US" w:eastAsia="zh-CN"/>
              </w:rPr>
              <w:t>应同时</w:t>
            </w:r>
            <w:r>
              <w:rPr>
                <w:rFonts w:hint="eastAsia" w:ascii="宋体" w:hAnsi="宋体" w:eastAsia="宋体" w:cs="Times New Roman"/>
                <w:b/>
                <w:bCs/>
                <w:color w:val="000000"/>
                <w:sz w:val="24"/>
                <w:szCs w:val="24"/>
                <w:highlight w:val="none"/>
              </w:rPr>
              <w:t>报含税价和不含税价</w:t>
            </w:r>
            <w:r>
              <w:rPr>
                <w:rFonts w:hint="eastAsia" w:ascii="宋体" w:hAnsi="宋体" w:eastAsia="宋体" w:cs="Times New Roman"/>
                <w:b/>
                <w:bCs/>
                <w:color w:val="000000"/>
                <w:sz w:val="24"/>
                <w:szCs w:val="24"/>
                <w:highlight w:val="none"/>
                <w:lang w:eastAsia="zh-CN"/>
              </w:rPr>
              <w:t>，</w:t>
            </w:r>
            <w:r>
              <w:rPr>
                <w:rFonts w:hint="eastAsia" w:ascii="宋体" w:hAnsi="宋体" w:eastAsia="宋体" w:cs="Times New Roman"/>
                <w:b/>
                <w:bCs/>
                <w:color w:val="000000"/>
                <w:sz w:val="24"/>
                <w:szCs w:val="24"/>
                <w:highlight w:val="none"/>
              </w:rPr>
              <w:t>写明税率</w:t>
            </w:r>
            <w:r>
              <w:rPr>
                <w:rFonts w:hint="eastAsia" w:ascii="宋体" w:hAnsi="宋体" w:eastAsia="宋体" w:cs="Times New Roman"/>
                <w:color w:val="000000"/>
                <w:sz w:val="24"/>
                <w:szCs w:val="24"/>
              </w:rPr>
              <w:t>）。</w:t>
            </w:r>
          </w:p>
          <w:p>
            <w:pPr>
              <w:pStyle w:val="18"/>
              <w:ind w:firstLine="482" w:firstLineChars="200"/>
              <w:rPr>
                <w:rFonts w:hint="eastAsia" w:eastAsia="宋体"/>
                <w:lang w:val="en-US" w:eastAsia="zh-CN"/>
              </w:rPr>
            </w:pPr>
            <w:r>
              <w:rPr>
                <w:rFonts w:hint="eastAsia" w:hAnsi="宋体" w:eastAsia="宋体" w:cs="Times New Roman"/>
                <w:b/>
                <w:bCs/>
                <w:color w:val="000000"/>
                <w:sz w:val="24"/>
                <w:szCs w:val="24"/>
                <w:lang w:val="en-US" w:eastAsia="zh-CN"/>
              </w:rPr>
              <w:t>投标限价</w:t>
            </w:r>
            <w:r>
              <w:rPr>
                <w:rFonts w:hint="eastAsia" w:hAnsi="宋体" w:eastAsia="宋体" w:cs="Times New Roman"/>
                <w:color w:val="000000"/>
                <w:sz w:val="24"/>
                <w:szCs w:val="24"/>
                <w:lang w:val="en-US" w:eastAsia="zh-CN"/>
              </w:rPr>
              <w:t>：</w:t>
            </w:r>
            <w:r>
              <w:rPr>
                <w:rFonts w:hint="eastAsia" w:hAnsi="宋体" w:eastAsia="宋体" w:cs="Times New Roman"/>
                <w:color w:val="000000"/>
                <w:sz w:val="24"/>
                <w:szCs w:val="24"/>
                <w:highlight w:val="none"/>
                <w:lang w:val="en-US" w:eastAsia="zh-CN"/>
              </w:rPr>
              <w:t>人民币</w:t>
            </w:r>
            <w:r>
              <w:rPr>
                <w:rFonts w:hint="eastAsia" w:hAnsi="宋体" w:eastAsia="宋体" w:cs="Times New Roman"/>
                <w:color w:val="000000"/>
                <w:sz w:val="24"/>
                <w:szCs w:val="24"/>
                <w:highlight w:val="yellow"/>
                <w:lang w:val="en-US" w:eastAsia="zh-CN"/>
              </w:rPr>
              <w:t>44.5</w:t>
            </w:r>
            <w:r>
              <w:rPr>
                <w:rFonts w:hint="eastAsia" w:hAnsi="宋体" w:eastAsia="宋体" w:cs="Times New Roman"/>
                <w:color w:val="000000"/>
                <w:sz w:val="24"/>
                <w:szCs w:val="24"/>
                <w:highlight w:val="none"/>
                <w:lang w:val="en-US" w:eastAsia="zh-CN"/>
              </w:rPr>
              <w:t>万元（含税，税率13%），超过投标限价无法投标。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18"/>
              <w:ind w:firstLine="482" w:firstLineChars="200"/>
              <w:rPr>
                <w:rFonts w:hAnsi="宋体" w:eastAsia="宋体" w:cs="宋体"/>
                <w:b/>
                <w:bCs/>
                <w:color w:val="FF0000"/>
                <w:sz w:val="24"/>
                <w:szCs w:val="24"/>
              </w:rPr>
            </w:pPr>
            <w:r>
              <w:rPr>
                <w:rFonts w:hint="eastAsia" w:hAnsi="宋体" w:eastAsia="宋体" w:cs="宋体"/>
                <w:b/>
                <w:bCs/>
                <w:color w:val="000000"/>
                <w:sz w:val="24"/>
                <w:szCs w:val="24"/>
              </w:rPr>
              <w:t>投标人条件：</w:t>
            </w:r>
          </w:p>
          <w:p>
            <w:pPr>
              <w:pStyle w:val="18"/>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w:t>
            </w:r>
            <w:r>
              <w:rPr>
                <w:rFonts w:hint="eastAsia" w:ascii="宋体" w:hAnsi="宋体" w:eastAsia="宋体" w:cs="宋体"/>
                <w:color w:val="000000"/>
                <w:sz w:val="24"/>
                <w:szCs w:val="24"/>
                <w:highlight w:val="none"/>
              </w:rPr>
              <w:t>于</w:t>
            </w:r>
            <w:r>
              <w:rPr>
                <w:rFonts w:hint="eastAsia" w:hAnsi="宋体" w:eastAsia="宋体" w:cs="宋体"/>
                <w:b/>
                <w:bCs/>
                <w:color w:val="000000"/>
                <w:sz w:val="24"/>
                <w:szCs w:val="24"/>
                <w:highlight w:val="yellow"/>
                <w:u w:val="single"/>
                <w:lang w:val="en-US" w:eastAsia="zh-CN"/>
              </w:rPr>
              <w:t>200</w:t>
            </w:r>
            <w:r>
              <w:rPr>
                <w:rFonts w:hint="eastAsia" w:ascii="宋体" w:hAnsi="宋体" w:eastAsia="宋体" w:cs="宋体"/>
                <w:b/>
                <w:color w:val="000000"/>
                <w:sz w:val="24"/>
                <w:szCs w:val="24"/>
                <w:highlight w:val="yellow"/>
                <w:u w:val="single"/>
              </w:rPr>
              <w:t>万</w:t>
            </w:r>
            <w:r>
              <w:rPr>
                <w:rFonts w:hint="eastAsia" w:ascii="宋体" w:hAnsi="宋体" w:eastAsia="宋体" w:cs="宋体"/>
                <w:color w:val="000000"/>
                <w:sz w:val="24"/>
                <w:szCs w:val="24"/>
              </w:rPr>
              <w:t>人民币（或等值其他货币）；公司成立</w:t>
            </w:r>
            <w:r>
              <w:rPr>
                <w:rFonts w:hint="eastAsia" w:ascii="宋体" w:hAnsi="宋体" w:eastAsia="宋体" w:cs="宋体"/>
                <w:b/>
                <w:color w:val="000000"/>
                <w:sz w:val="24"/>
                <w:szCs w:val="24"/>
                <w:highlight w:val="yellow"/>
                <w:u w:val="single"/>
              </w:rPr>
              <w:t>三年以上</w:t>
            </w:r>
            <w:r>
              <w:rPr>
                <w:rFonts w:hint="eastAsia" w:ascii="宋体" w:hAnsi="宋体" w:eastAsia="宋体" w:cs="宋体"/>
                <w:color w:val="000000"/>
                <w:sz w:val="24"/>
                <w:szCs w:val="24"/>
              </w:rPr>
              <w:t>（以营业执照成立日期到开标当日满三年为准），且经营范围满足招标人需求；并在人员、设备、资金等方面具有承担本项目的能力；</w:t>
            </w:r>
          </w:p>
          <w:p>
            <w:pPr>
              <w:pStyle w:val="18"/>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2.拟投标人应提供营业执照</w:t>
            </w:r>
            <w:r>
              <w:rPr>
                <w:rFonts w:hint="eastAsia" w:ascii="宋体" w:hAnsi="宋体" w:eastAsia="宋体" w:cs="宋体"/>
                <w:b/>
                <w:sz w:val="24"/>
                <w:szCs w:val="24"/>
              </w:rPr>
              <w:t>副本原件和扫描件（需盖章）</w:t>
            </w:r>
            <w:r>
              <w:rPr>
                <w:rFonts w:hint="eastAsia" w:ascii="宋体" w:hAnsi="宋体" w:eastAsia="宋体" w:cs="宋体"/>
                <w:color w:val="000000"/>
                <w:sz w:val="24"/>
                <w:szCs w:val="24"/>
              </w:rPr>
              <w:t>；</w:t>
            </w:r>
          </w:p>
          <w:p>
            <w:pPr>
              <w:pStyle w:val="18"/>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pPr>
              <w:pStyle w:val="18"/>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w:t>
            </w:r>
            <w:r>
              <w:rPr>
                <w:rFonts w:ascii="宋体" w:hAnsi="宋体" w:eastAsia="宋体" w:cs="宋体"/>
                <w:sz w:val="24"/>
                <w:szCs w:val="24"/>
              </w:rPr>
              <w:t>拟投标人在国家市场监督管理总局的《国家企业信用信息公示系统》中查询不存在不良记录</w:t>
            </w:r>
            <w:r>
              <w:rPr>
                <w:rFonts w:hint="eastAsia" w:ascii="宋体" w:hAnsi="宋体" w:eastAsia="宋体" w:cs="宋体"/>
                <w:color w:val="000000"/>
                <w:sz w:val="24"/>
                <w:szCs w:val="24"/>
              </w:rPr>
              <w:t>；</w:t>
            </w:r>
          </w:p>
          <w:p>
            <w:pPr>
              <w:pStyle w:val="18"/>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pPr>
              <w:pStyle w:val="18"/>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6.拟投标人</w:t>
            </w:r>
            <w:r>
              <w:rPr>
                <w:rFonts w:hint="eastAsia" w:hAnsi="宋体" w:eastAsia="宋体" w:cs="宋体"/>
                <w:sz w:val="24"/>
                <w:szCs w:val="24"/>
                <w:highlight w:val="yellow"/>
              </w:rPr>
              <w:t>20</w:t>
            </w:r>
            <w:r>
              <w:rPr>
                <w:rFonts w:hint="eastAsia" w:hAnsi="宋体" w:eastAsia="宋体" w:cs="宋体"/>
                <w:sz w:val="24"/>
                <w:szCs w:val="24"/>
                <w:highlight w:val="yellow"/>
                <w:lang w:val="en-US" w:eastAsia="zh-CN"/>
              </w:rPr>
              <w:t>22</w:t>
            </w:r>
            <w:r>
              <w:rPr>
                <w:rFonts w:hint="eastAsia" w:hAnsi="宋体" w:eastAsia="宋体" w:cs="宋体"/>
                <w:sz w:val="24"/>
                <w:szCs w:val="24"/>
                <w:highlight w:val="yellow"/>
              </w:rPr>
              <w:t>年1月1日</w:t>
            </w:r>
            <w:r>
              <w:rPr>
                <w:rFonts w:hint="eastAsia" w:hAnsi="宋体" w:eastAsia="宋体" w:cs="宋体"/>
                <w:sz w:val="24"/>
                <w:szCs w:val="24"/>
                <w:highlight w:val="none"/>
              </w:rPr>
              <w:t>至今</w:t>
            </w:r>
            <w:r>
              <w:rPr>
                <w:rFonts w:hint="eastAsia" w:ascii="宋体" w:hAnsi="宋体" w:eastAsia="宋体" w:cs="宋体"/>
                <w:color w:val="000000"/>
                <w:sz w:val="24"/>
                <w:szCs w:val="24"/>
                <w:highlight w:val="none"/>
              </w:rPr>
              <w:t>经</w:t>
            </w:r>
            <w:r>
              <w:rPr>
                <w:rFonts w:hint="eastAsia" w:ascii="宋体" w:hAnsi="宋体" w:eastAsia="宋体" w:cs="宋体"/>
                <w:b/>
                <w:bCs/>
                <w:color w:val="000000"/>
                <w:sz w:val="24"/>
                <w:szCs w:val="24"/>
                <w:highlight w:val="none"/>
              </w:rPr>
              <w:t>第三方</w:t>
            </w:r>
            <w:r>
              <w:rPr>
                <w:rFonts w:hint="eastAsia" w:ascii="宋体" w:hAnsi="宋体" w:eastAsia="宋体" w:cs="宋体"/>
                <w:color w:val="000000"/>
                <w:sz w:val="24"/>
                <w:szCs w:val="24"/>
                <w:highlight w:val="none"/>
              </w:rPr>
              <w:t>会计师事务所审计且出具无保留意见的财务审计报告，并加盖公章，包括但不限于报告页、经审计的资产负债表、利润表、现金流量表及报表附注</w:t>
            </w:r>
            <w:r>
              <w:rPr>
                <w:rFonts w:hint="eastAsia" w:hAnsi="宋体" w:eastAsia="宋体" w:cs="宋体"/>
                <w:color w:val="000000"/>
                <w:sz w:val="24"/>
                <w:szCs w:val="24"/>
                <w:highlight w:val="none"/>
                <w:lang w:eastAsia="zh-CN"/>
              </w:rPr>
              <w:t>，且未显示异常</w:t>
            </w:r>
            <w:r>
              <w:rPr>
                <w:rFonts w:hint="eastAsia" w:ascii="宋体" w:hAnsi="宋体" w:eastAsia="宋体" w:cs="宋体"/>
                <w:color w:val="000000"/>
                <w:sz w:val="24"/>
                <w:szCs w:val="24"/>
                <w:highlight w:val="none"/>
              </w:rPr>
              <w:t>；</w:t>
            </w:r>
          </w:p>
          <w:p>
            <w:pPr>
              <w:pStyle w:val="18"/>
              <w:ind w:firstLine="480" w:firstLineChars="200"/>
              <w:rPr>
                <w:rFonts w:hAnsi="宋体" w:eastAsia="宋体" w:cs="宋体"/>
                <w:kern w:val="0"/>
                <w:sz w:val="24"/>
                <w:szCs w:val="24"/>
                <w:lang w:bidi="ar"/>
              </w:rPr>
            </w:pPr>
            <w:r>
              <w:rPr>
                <w:rFonts w:hint="eastAsia" w:hAnsi="宋体" w:eastAsia="宋体" w:cs="宋体"/>
                <w:color w:val="000000"/>
                <w:kern w:val="0"/>
                <w:sz w:val="24"/>
                <w:szCs w:val="24"/>
              </w:rPr>
              <w:t>7.</w:t>
            </w:r>
            <w:r>
              <w:rPr>
                <w:rFonts w:hint="eastAsia" w:hAnsi="宋体" w:eastAsia="宋体" w:cs="宋体"/>
                <w:color w:val="000000"/>
                <w:sz w:val="24"/>
                <w:szCs w:val="24"/>
              </w:rPr>
              <w:t>拟投标人有与本次招标内容相同或类似项目业绩，且近3年内无因服务不当而造成重大事故；</w:t>
            </w:r>
          </w:p>
          <w:p>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8.</w:t>
            </w:r>
            <w:r>
              <w:rPr>
                <w:rFonts w:ascii="宋体" w:hAnsi="宋体" w:eastAsia="宋体" w:cs="宋体"/>
                <w:sz w:val="24"/>
                <w:szCs w:val="24"/>
              </w:rPr>
              <w:t>拟投标人近三年内在经营活动中无与本项目有关的违法及重大违规情况</w:t>
            </w:r>
            <w:r>
              <w:rPr>
                <w:rFonts w:hint="eastAsia" w:hAnsi="宋体" w:eastAsia="宋体" w:cs="宋体"/>
                <w:color w:val="000000"/>
                <w:sz w:val="24"/>
                <w:szCs w:val="24"/>
              </w:rPr>
              <w:t>；</w:t>
            </w:r>
          </w:p>
          <w:p>
            <w:pPr>
              <w:pStyle w:val="18"/>
              <w:ind w:firstLine="480" w:firstLineChars="200"/>
              <w:rPr>
                <w:rFonts w:hint="eastAsia" w:ascii="宋体" w:hAnsi="宋体" w:eastAsia="宋体" w:cs="宋体"/>
                <w:color w:val="000000"/>
                <w:sz w:val="24"/>
                <w:szCs w:val="24"/>
              </w:rPr>
            </w:pPr>
            <w:r>
              <w:rPr>
                <w:rFonts w:hint="eastAsia" w:hAnsi="宋体" w:eastAsia="宋体" w:cs="宋体"/>
                <w:color w:val="000000"/>
                <w:sz w:val="24"/>
                <w:szCs w:val="24"/>
              </w:rPr>
              <w:t>9.拟</w:t>
            </w:r>
            <w:r>
              <w:rPr>
                <w:rFonts w:hint="eastAsia" w:ascii="宋体" w:hAnsi="宋体" w:eastAsia="宋体" w:cs="宋体"/>
                <w:color w:val="000000"/>
                <w:sz w:val="24"/>
                <w:szCs w:val="24"/>
              </w:rPr>
              <w:t>投标人须认可招标人的工作指令，包括节、假日能正常开展工作的要求；</w:t>
            </w:r>
          </w:p>
          <w:p>
            <w:pPr>
              <w:pStyle w:val="18"/>
              <w:spacing w:line="24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10.</w:t>
            </w:r>
            <w:r>
              <w:rPr>
                <w:rFonts w:hint="eastAsia" w:hAnsi="宋体" w:eastAsia="宋体" w:cs="宋体"/>
                <w:color w:val="000000"/>
                <w:sz w:val="24"/>
                <w:szCs w:val="24"/>
              </w:rPr>
              <w:t>拟</w:t>
            </w:r>
            <w:r>
              <w:rPr>
                <w:rFonts w:hint="eastAsia" w:ascii="宋体" w:hAnsi="宋体" w:eastAsia="宋体" w:cs="宋体"/>
                <w:color w:val="000000"/>
                <w:sz w:val="24"/>
                <w:szCs w:val="24"/>
                <w:highlight w:val="none"/>
                <w:lang w:val="en-US" w:eastAsia="zh-CN"/>
              </w:rPr>
              <w:t>投标人最近半年纳税正常；</w:t>
            </w:r>
          </w:p>
          <w:p>
            <w:pPr>
              <w:pStyle w:val="18"/>
              <w:spacing w:line="24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11.</w:t>
            </w:r>
            <w:r>
              <w:rPr>
                <w:rFonts w:hint="eastAsia" w:hAnsi="宋体" w:eastAsia="宋体" w:cs="宋体"/>
                <w:color w:val="000000"/>
                <w:sz w:val="24"/>
                <w:szCs w:val="24"/>
              </w:rPr>
              <w:t>拟</w:t>
            </w:r>
            <w:r>
              <w:rPr>
                <w:rFonts w:hint="eastAsia" w:ascii="宋体" w:hAnsi="宋体" w:eastAsia="宋体" w:cs="宋体"/>
                <w:color w:val="000000"/>
                <w:sz w:val="24"/>
                <w:szCs w:val="24"/>
                <w:highlight w:val="none"/>
                <w:lang w:val="en-US" w:eastAsia="zh-CN"/>
              </w:rPr>
              <w:t>投标人信用证明材料（征信报告）未显示异常；</w:t>
            </w:r>
          </w:p>
          <w:p>
            <w:pPr>
              <w:pStyle w:val="18"/>
              <w:ind w:firstLine="480" w:firstLineChars="200"/>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lang w:val="en-US" w:eastAsia="zh-CN"/>
              </w:rPr>
              <w:t>12.</w:t>
            </w:r>
            <w:r>
              <w:rPr>
                <w:rFonts w:hint="eastAsia" w:hAnsi="宋体" w:eastAsia="宋体" w:cs="宋体"/>
                <w:color w:val="000000"/>
                <w:sz w:val="24"/>
                <w:szCs w:val="24"/>
              </w:rPr>
              <w:t>拟</w:t>
            </w:r>
            <w:r>
              <w:rPr>
                <w:rFonts w:hint="eastAsia" w:ascii="宋体" w:hAnsi="宋体" w:eastAsia="宋体" w:cs="宋体"/>
                <w:color w:val="000000"/>
                <w:kern w:val="2"/>
                <w:sz w:val="24"/>
                <w:szCs w:val="24"/>
                <w:highlight w:val="none"/>
                <w:lang w:val="en-US" w:eastAsia="zh-CN" w:bidi="ar-SA"/>
              </w:rPr>
              <w:t>投标人的直接或间接股东、法定代表人、董事、监事、高管非重汽员工及其亲属；</w:t>
            </w:r>
          </w:p>
          <w:p>
            <w:pPr>
              <w:pStyle w:val="18"/>
              <w:ind w:firstLine="480" w:firstLineChars="200"/>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13.</w:t>
            </w:r>
            <w:r>
              <w:rPr>
                <w:rFonts w:hint="eastAsia" w:hAnsi="宋体" w:eastAsia="宋体" w:cs="宋体"/>
                <w:b/>
                <w:bCs/>
                <w:color w:val="000000"/>
                <w:sz w:val="24"/>
                <w:szCs w:val="24"/>
                <w:highlight w:val="none"/>
                <w:lang w:val="en-US" w:eastAsia="zh-CN"/>
              </w:rPr>
              <w:t>本项目不接受联合体投标，</w:t>
            </w:r>
            <w:r>
              <w:rPr>
                <w:rFonts w:hint="eastAsia" w:hAnsi="宋体" w:eastAsia="宋体" w:cs="宋体"/>
                <w:color w:val="000000"/>
                <w:sz w:val="24"/>
                <w:szCs w:val="24"/>
                <w:highlight w:val="none"/>
                <w:lang w:val="en-US" w:eastAsia="zh-CN"/>
              </w:rPr>
              <w:t>拟投标人必须是最终投标单位和签订合同单位，不得以任何理由将已中标项目以任何形式分包或转包给其他单位。</w:t>
            </w:r>
          </w:p>
          <w:p>
            <w:pPr>
              <w:pStyle w:val="18"/>
              <w:ind w:firstLine="480" w:firstLineChars="200"/>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14.与招标人存在利害关系可能影响招标公正性的法人、其他组织或者个人，不得参加投标。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2.招标文件的答疑、澄清、修改</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应标</w:t>
            </w:r>
            <w:r>
              <w:rPr>
                <w:rFonts w:hint="eastAsia" w:ascii="宋体" w:hAnsi="宋体" w:eastAsia="宋体" w:cs="宋体"/>
                <w:b/>
                <w:bCs/>
                <w:sz w:val="24"/>
                <w:szCs w:val="24"/>
              </w:rPr>
              <w:t>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rPr>
              <w:t>202</w:t>
            </w:r>
            <w:r>
              <w:rPr>
                <w:rFonts w:hint="eastAsia" w:ascii="宋体" w:hAnsi="宋体" w:eastAsia="宋体" w:cs="宋体"/>
                <w:bCs/>
                <w:sz w:val="24"/>
                <w:szCs w:val="24"/>
                <w:highlight w:val="yellow"/>
                <w:lang w:val="en-US" w:eastAsia="zh-CN"/>
              </w:rPr>
              <w:t>5</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lang w:val="en-US" w:eastAsia="zh-CN"/>
              </w:rPr>
              <w:t>12</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 xml:space="preserve"> 25 </w:t>
            </w:r>
            <w:r>
              <w:rPr>
                <w:rFonts w:hint="eastAsia" w:ascii="宋体" w:hAnsi="宋体" w:eastAsia="宋体" w:cs="宋体"/>
                <w:bCs/>
                <w:sz w:val="24"/>
                <w:szCs w:val="24"/>
                <w:highlight w:val="yellow"/>
              </w:rPr>
              <w:t>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spacing w:line="240" w:lineRule="auto"/>
              <w:ind w:firstLine="482" w:firstLineChars="200"/>
              <w:rPr>
                <w:rFonts w:ascii="宋体" w:hAnsi="宋体" w:eastAsia="宋体" w:cs="宋体"/>
                <w:sz w:val="24"/>
                <w:szCs w:val="24"/>
              </w:rPr>
            </w:pPr>
            <w:r>
              <w:rPr>
                <w:rFonts w:hint="eastAsia" w:ascii="宋体" w:hAnsi="宋体" w:eastAsia="宋体" w:cs="宋体"/>
                <w:b/>
                <w:sz w:val="24"/>
                <w:szCs w:val="24"/>
                <w:highlight w:val="none"/>
              </w:rPr>
              <w:t>发标方式：</w:t>
            </w:r>
            <w:r>
              <w:rPr>
                <w:rFonts w:hint="default"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w:t>
            </w:r>
            <w:r>
              <w:rPr>
                <w:rFonts w:hint="eastAsia" w:ascii="宋体" w:hAnsi="宋体" w:eastAsia="宋体" w:cs="Times New Roman"/>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ascii="宋体" w:hAnsi="宋体" w:eastAsia="宋体" w:cs="宋体"/>
                <w:b/>
                <w:bCs/>
                <w:sz w:val="24"/>
                <w:szCs w:val="24"/>
                <w:highlight w:val="none"/>
              </w:rPr>
            </w:pPr>
            <w:r>
              <w:rPr>
                <w:rFonts w:hint="eastAsia" w:ascii="宋体" w:hAnsi="宋体" w:eastAsia="宋体" w:cs="宋体"/>
                <w:sz w:val="24"/>
                <w:szCs w:val="24"/>
                <w:highlight w:val="none"/>
              </w:rPr>
              <w:t>如果投标人对招标文件商务</w:t>
            </w:r>
            <w:r>
              <w:rPr>
                <w:rFonts w:hint="eastAsia" w:ascii="宋体" w:hAnsi="宋体" w:eastAsia="宋体" w:cs="宋体"/>
                <w:sz w:val="24"/>
                <w:szCs w:val="24"/>
                <w:highlight w:val="none"/>
                <w:lang w:val="en-US" w:eastAsia="zh-CN"/>
              </w:rPr>
              <w:t>部分</w:t>
            </w:r>
            <w:r>
              <w:rPr>
                <w:rFonts w:hint="eastAsia" w:ascii="宋体" w:hAnsi="宋体" w:eastAsia="宋体" w:cs="宋体"/>
                <w:sz w:val="24"/>
                <w:szCs w:val="24"/>
                <w:highlight w:val="none"/>
              </w:rPr>
              <w:t>、技术部分有疑问，请各投标人在本答疑环节提出。</w:t>
            </w:r>
          </w:p>
          <w:p>
            <w:pPr>
              <w:ind w:firstLine="482" w:firstLineChars="200"/>
              <w:jc w:val="left"/>
              <w:rPr>
                <w:rFonts w:ascii="宋体" w:hAnsi="宋体" w:eastAsia="宋体" w:cs="宋体"/>
                <w:sz w:val="24"/>
                <w:szCs w:val="24"/>
                <w:highlight w:val="none"/>
              </w:rPr>
            </w:pPr>
            <w:r>
              <w:rPr>
                <w:rFonts w:hint="eastAsia" w:ascii="宋体" w:hAnsi="宋体" w:eastAsia="宋体" w:cs="宋体"/>
                <w:b/>
                <w:bCs/>
                <w:sz w:val="24"/>
                <w:szCs w:val="24"/>
                <w:highlight w:val="none"/>
              </w:rPr>
              <w:t>提交疑问时间：</w:t>
            </w:r>
            <w:r>
              <w:rPr>
                <w:rFonts w:hint="eastAsia" w:ascii="宋体" w:hAnsi="宋体" w:eastAsia="宋体" w:cs="宋体"/>
                <w:bCs/>
                <w:sz w:val="24"/>
                <w:szCs w:val="24"/>
                <w:highlight w:val="yellow"/>
              </w:rPr>
              <w:t>202</w:t>
            </w:r>
            <w:r>
              <w:rPr>
                <w:rFonts w:hint="eastAsia" w:ascii="宋体" w:hAnsi="宋体" w:eastAsia="宋体" w:cs="宋体"/>
                <w:bCs/>
                <w:sz w:val="24"/>
                <w:szCs w:val="24"/>
                <w:highlight w:val="yellow"/>
                <w:lang w:val="en-US" w:eastAsia="zh-CN"/>
              </w:rPr>
              <w:t>5</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lang w:val="en-US" w:eastAsia="zh-CN"/>
              </w:rPr>
              <w:t>12</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 xml:space="preserve"> 30 </w:t>
            </w:r>
            <w:r>
              <w:rPr>
                <w:rFonts w:hint="eastAsia" w:ascii="宋体" w:hAnsi="宋体" w:eastAsia="宋体" w:cs="宋体"/>
                <w:bCs/>
                <w:sz w:val="24"/>
                <w:szCs w:val="24"/>
                <w:highlight w:val="yellow"/>
              </w:rPr>
              <w:t>日1</w:t>
            </w:r>
            <w:r>
              <w:rPr>
                <w:rFonts w:hint="eastAsia" w:ascii="宋体" w:hAnsi="宋体" w:eastAsia="宋体" w:cs="宋体"/>
                <w:bCs/>
                <w:sz w:val="24"/>
                <w:szCs w:val="24"/>
                <w:highlight w:val="yellow"/>
                <w:lang w:val="en-US" w:eastAsia="zh-CN"/>
              </w:rPr>
              <w:t>7</w:t>
            </w:r>
            <w:r>
              <w:rPr>
                <w:rFonts w:hint="eastAsia" w:ascii="宋体" w:hAnsi="宋体" w:eastAsia="宋体" w:cs="宋体"/>
                <w:bCs/>
                <w:sz w:val="24"/>
                <w:szCs w:val="24"/>
                <w:highlight w:val="yellow"/>
              </w:rPr>
              <w:t>:00前；</w:t>
            </w:r>
          </w:p>
          <w:p>
            <w:pPr>
              <w:ind w:firstLine="482" w:firstLineChars="200"/>
              <w:jc w:val="left"/>
              <w:rPr>
                <w:rFonts w:ascii="宋体" w:hAnsi="宋体" w:eastAsia="宋体" w:cs="宋体"/>
                <w:b/>
                <w:bCs/>
                <w:sz w:val="24"/>
                <w:szCs w:val="24"/>
                <w:highlight w:val="none"/>
              </w:rPr>
            </w:pPr>
            <w:r>
              <w:rPr>
                <w:rFonts w:hint="eastAsia" w:ascii="宋体" w:hAnsi="宋体" w:eastAsia="宋体" w:cs="宋体"/>
                <w:b/>
                <w:bCs/>
                <w:sz w:val="24"/>
                <w:szCs w:val="24"/>
                <w:highlight w:val="none"/>
              </w:rPr>
              <w:t>提交疑问方式</w:t>
            </w:r>
            <w:r>
              <w:rPr>
                <w:rFonts w:hint="eastAsia" w:ascii="宋体" w:hAnsi="宋体" w:eastAsia="宋体" w:cs="宋体"/>
                <w:sz w:val="24"/>
                <w:szCs w:val="24"/>
                <w:highlight w:val="none"/>
              </w:rPr>
              <w:t>：将答疑问题以word文件格式发</w:t>
            </w:r>
            <w:r>
              <w:rPr>
                <w:rFonts w:hint="eastAsia" w:ascii="宋体" w:hAnsi="宋体" w:eastAsia="宋体" w:cs="宋体"/>
                <w:sz w:val="24"/>
                <w:szCs w:val="24"/>
                <w:highlight w:val="none"/>
                <w:lang w:val="en-US" w:eastAsia="zh-CN"/>
              </w:rPr>
              <w:t>送至联系人</w:t>
            </w:r>
            <w:r>
              <w:rPr>
                <w:rFonts w:hint="eastAsia" w:ascii="宋体" w:hAnsi="宋体" w:eastAsia="宋体" w:cs="宋体"/>
                <w:sz w:val="24"/>
                <w:szCs w:val="24"/>
                <w:highlight w:val="none"/>
              </w:rPr>
              <w:t>邮件</w:t>
            </w:r>
            <w:r>
              <w:rPr>
                <w:rFonts w:hint="eastAsia" w:ascii="宋体" w:hAnsi="宋体" w:eastAsia="宋体" w:cs="宋体"/>
                <w:sz w:val="24"/>
                <w:szCs w:val="24"/>
                <w:highlight w:val="none"/>
                <w:lang w:val="en-US" w:eastAsia="zh-CN"/>
              </w:rPr>
              <w:t>内</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并电话联系工作人员查收，</w:t>
            </w:r>
            <w:r>
              <w:rPr>
                <w:rFonts w:hint="eastAsia" w:ascii="宋体" w:hAnsi="宋体" w:eastAsia="宋体" w:cs="宋体"/>
                <w:b/>
                <w:bCs/>
                <w:sz w:val="24"/>
                <w:szCs w:val="24"/>
                <w:highlight w:val="none"/>
              </w:rPr>
              <w:t>邮件名格式为：XXX公司（五个字以内公司简称）XX项目答疑文件。</w:t>
            </w:r>
          </w:p>
          <w:p>
            <w:pPr>
              <w:snapToGrid/>
              <w:ind w:firstLine="482" w:firstLineChars="200"/>
              <w:jc w:val="left"/>
              <w:rPr>
                <w:rFonts w:ascii="宋体" w:hAnsi="宋体" w:eastAsia="宋体" w:cs="宋体"/>
                <w:sz w:val="24"/>
                <w:szCs w:val="24"/>
              </w:rPr>
            </w:pPr>
            <w:r>
              <w:rPr>
                <w:rFonts w:hint="eastAsia" w:ascii="宋体" w:hAnsi="宋体" w:eastAsia="宋体" w:cs="宋体"/>
                <w:b/>
                <w:bCs/>
                <w:sz w:val="24"/>
                <w:szCs w:val="24"/>
                <w:highlight w:val="none"/>
              </w:rPr>
              <w:t>同时必须在邮件中以文字方式提供</w:t>
            </w:r>
            <w:r>
              <w:rPr>
                <w:rFonts w:hint="eastAsia" w:ascii="宋体" w:hAnsi="宋体" w:eastAsia="宋体" w:cs="宋体"/>
                <w:b/>
                <w:bCs/>
                <w:sz w:val="24"/>
                <w:szCs w:val="24"/>
                <w:highlight w:val="none"/>
                <w:lang w:eastAsia="zh-CN"/>
              </w:rPr>
              <w:t>投标人</w:t>
            </w:r>
            <w:r>
              <w:rPr>
                <w:rFonts w:hint="eastAsia" w:ascii="宋体" w:hAnsi="宋体" w:eastAsia="宋体" w:cs="宋体"/>
                <w:b/>
                <w:bCs/>
                <w:sz w:val="24"/>
                <w:szCs w:val="24"/>
                <w:highlight w:val="none"/>
              </w:rPr>
              <w:t>全称、投标授权人姓名、联系方式（固定电话、手机、电子邮箱）</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highlight w:val="none"/>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领取答疑、澄清和修改文件时间：</w:t>
            </w:r>
            <w:r>
              <w:rPr>
                <w:rFonts w:hint="eastAsia" w:ascii="宋体" w:hAnsi="宋体" w:eastAsia="宋体" w:cs="宋体"/>
                <w:sz w:val="24"/>
                <w:szCs w:val="24"/>
                <w:highlight w:val="yellow"/>
              </w:rPr>
              <w:t>202</w:t>
            </w:r>
            <w:r>
              <w:rPr>
                <w:rFonts w:hint="eastAsia" w:ascii="宋体" w:hAnsi="宋体" w:eastAsia="宋体" w:cs="宋体"/>
                <w:sz w:val="24"/>
                <w:szCs w:val="24"/>
                <w:highlight w:val="yellow"/>
                <w:lang w:val="en-US" w:eastAsia="zh-CN"/>
              </w:rPr>
              <w:t>5</w:t>
            </w:r>
            <w:r>
              <w:rPr>
                <w:rFonts w:hint="eastAsia" w:ascii="宋体" w:hAnsi="宋体" w:eastAsia="宋体" w:cs="宋体"/>
                <w:sz w:val="24"/>
                <w:szCs w:val="24"/>
                <w:highlight w:val="yellow"/>
              </w:rPr>
              <w:t>年</w:t>
            </w:r>
            <w:r>
              <w:rPr>
                <w:rFonts w:hint="eastAsia" w:ascii="宋体" w:hAnsi="宋体" w:eastAsia="宋体" w:cs="宋体"/>
                <w:sz w:val="24"/>
                <w:szCs w:val="24"/>
                <w:highlight w:val="yellow"/>
                <w:lang w:val="en-US" w:eastAsia="zh-CN"/>
              </w:rPr>
              <w:t>12</w:t>
            </w:r>
            <w:r>
              <w:rPr>
                <w:rFonts w:hint="eastAsia" w:ascii="宋体" w:hAnsi="宋体" w:eastAsia="宋体" w:cs="宋体"/>
                <w:sz w:val="24"/>
                <w:szCs w:val="24"/>
                <w:highlight w:val="yellow"/>
              </w:rPr>
              <w:t>月</w:t>
            </w:r>
            <w:r>
              <w:rPr>
                <w:rFonts w:hint="eastAsia" w:ascii="宋体" w:hAnsi="宋体" w:eastAsia="宋体" w:cs="宋体"/>
                <w:sz w:val="24"/>
                <w:szCs w:val="24"/>
                <w:highlight w:val="yellow"/>
                <w:lang w:val="en-US" w:eastAsia="zh-CN"/>
              </w:rPr>
              <w:t xml:space="preserve"> 30</w:t>
            </w:r>
            <w:r>
              <w:rPr>
                <w:rFonts w:hint="eastAsia" w:ascii="宋体" w:hAnsi="宋体" w:eastAsia="宋体" w:cs="宋体"/>
                <w:sz w:val="24"/>
                <w:szCs w:val="24"/>
                <w:highlight w:val="yellow"/>
              </w:rPr>
              <w:t>日17:00前</w:t>
            </w:r>
            <w:r>
              <w:rPr>
                <w:rFonts w:hint="eastAsia" w:ascii="宋体" w:hAnsi="宋体" w:eastAsia="宋体" w:cs="宋体"/>
                <w:sz w:val="24"/>
                <w:szCs w:val="24"/>
                <w:highlight w:val="none"/>
              </w:rPr>
              <w:t>；</w:t>
            </w:r>
          </w:p>
          <w:p>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答疑、澄清和修改文件方式：招标人将以电子邮件的方式将招标文件的答疑澄清文件发送至</w:t>
            </w:r>
            <w:r>
              <w:rPr>
                <w:rFonts w:hint="eastAsia" w:ascii="宋体" w:hAnsi="宋体" w:eastAsia="宋体" w:cs="宋体"/>
                <w:sz w:val="24"/>
                <w:szCs w:val="24"/>
                <w:highlight w:val="none"/>
                <w:lang w:val="en-US" w:eastAsia="zh-CN"/>
              </w:rPr>
              <w:t>答疑文件提交</w:t>
            </w:r>
            <w:r>
              <w:rPr>
                <w:rFonts w:hint="eastAsia" w:ascii="宋体" w:hAnsi="宋体" w:eastAsia="宋体" w:cs="宋体"/>
                <w:sz w:val="24"/>
                <w:szCs w:val="24"/>
                <w:highlight w:val="none"/>
              </w:rPr>
              <w:t>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5"/>
              <w:spacing w:line="240" w:lineRule="auto"/>
              <w:ind w:firstLine="482"/>
              <w:rPr>
                <w:rFonts w:hint="eastAsia" w:eastAsia="宋体" w:cs="宋体"/>
              </w:rPr>
            </w:pPr>
            <w:r>
              <w:rPr>
                <w:rFonts w:hint="eastAsia" w:eastAsia="宋体" w:cs="宋体"/>
                <w:b/>
                <w:bCs/>
              </w:rPr>
              <w:t>报名方式：</w:t>
            </w:r>
            <w:r>
              <w:rPr>
                <w:rFonts w:hint="eastAsia" w:eastAsia="宋体" w:cs="宋体"/>
              </w:rPr>
              <w:t>拟投标人根据招</w:t>
            </w:r>
            <w:r>
              <w:rPr>
                <w:rFonts w:hint="eastAsia" w:eastAsia="宋体" w:cs="宋体"/>
                <w:highlight w:val="none"/>
              </w:rPr>
              <w:t>标人在中国重汽官网</w:t>
            </w:r>
            <w:r>
              <w:rPr>
                <w:rFonts w:hint="eastAsia" w:eastAsia="宋体" w:cs="宋体"/>
                <w:highlight w:val="none"/>
                <w:lang w:val="en-US" w:eastAsia="zh-CN"/>
              </w:rPr>
              <w:t>等公开媒体</w:t>
            </w:r>
            <w:r>
              <w:rPr>
                <w:rFonts w:hint="eastAsia" w:eastAsia="宋体" w:cs="宋体"/>
              </w:rPr>
              <w:t>上发布的招标信息，</w:t>
            </w:r>
            <w:r>
              <w:rPr>
                <w:rFonts w:hint="eastAsia" w:ascii="宋体" w:hAnsi="Courier New" w:eastAsia="宋体" w:cs="Times New Roman"/>
                <w:color w:val="000000"/>
                <w:sz w:val="24"/>
                <w:szCs w:val="24"/>
                <w:lang w:val="en-US" w:eastAsia="zh-CN"/>
              </w:rPr>
              <w:t>在“中国重汽e采通”平台</w:t>
            </w:r>
            <w:r>
              <w:rPr>
                <w:rFonts w:hint="eastAsia" w:ascii="宋体" w:hAnsi="Courier New" w:eastAsia="宋体" w:cs="Times New Roman"/>
                <w:color w:val="000000"/>
                <w:sz w:val="24"/>
                <w:szCs w:val="24"/>
              </w:rPr>
              <w:t>报名</w:t>
            </w:r>
            <w:r>
              <w:rPr>
                <w:rFonts w:hint="eastAsia" w:eastAsia="宋体" w:cs="宋体"/>
              </w:rPr>
              <w:t>。</w:t>
            </w:r>
            <w:r>
              <w:rPr>
                <w:rFonts w:hint="eastAsia" w:ascii="宋体" w:hAnsi="宋体" w:eastAsia="宋体" w:cs="Times New Roman"/>
                <w:b/>
                <w:bCs/>
                <w:color w:val="000000"/>
                <w:sz w:val="24"/>
                <w:szCs w:val="24"/>
                <w:highlight w:val="none"/>
                <w:lang w:val="en-US" w:eastAsia="zh-CN"/>
              </w:rPr>
              <w:t>按照中国重汽e采通</w:t>
            </w:r>
            <w:r>
              <w:rPr>
                <w:rFonts w:hint="eastAsia" w:eastAsia="宋体" w:cs="Times New Roman"/>
                <w:b/>
                <w:bCs/>
                <w:color w:val="000000"/>
                <w:sz w:val="24"/>
                <w:szCs w:val="24"/>
                <w:highlight w:val="none"/>
                <w:lang w:val="en-US" w:eastAsia="zh-CN"/>
              </w:rPr>
              <w:t>“SRM</w:t>
            </w:r>
            <w:r>
              <w:rPr>
                <w:rFonts w:hint="eastAsia" w:ascii="宋体" w:hAnsi="宋体" w:eastAsia="宋体" w:cs="Times New Roman"/>
                <w:b/>
                <w:bCs/>
                <w:color w:val="000000"/>
                <w:sz w:val="24"/>
                <w:szCs w:val="24"/>
                <w:highlight w:val="none"/>
                <w:lang w:val="en-US" w:eastAsia="zh-CN"/>
              </w:rPr>
              <w:t>非生产供应商注册手册</w:t>
            </w:r>
            <w:r>
              <w:rPr>
                <w:rFonts w:hint="eastAsia" w:eastAsia="宋体" w:cs="Times New Roman"/>
                <w:b/>
                <w:bCs/>
                <w:color w:val="000000"/>
                <w:sz w:val="24"/>
                <w:szCs w:val="24"/>
                <w:highlight w:val="none"/>
                <w:lang w:val="en-US" w:eastAsia="zh-CN"/>
              </w:rPr>
              <w:t>”（附件15）</w:t>
            </w:r>
            <w:r>
              <w:rPr>
                <w:rFonts w:hint="eastAsia" w:ascii="宋体" w:hAnsi="宋体" w:eastAsia="宋体" w:cs="Times New Roman"/>
                <w:b/>
                <w:bCs/>
                <w:color w:val="000000"/>
                <w:sz w:val="24"/>
                <w:szCs w:val="24"/>
                <w:highlight w:val="none"/>
                <w:lang w:val="en-US" w:eastAsia="zh-CN"/>
              </w:rPr>
              <w:t>进行注册</w:t>
            </w:r>
            <w:r>
              <w:rPr>
                <w:rFonts w:hint="eastAsia" w:ascii="宋体" w:hAnsi="宋体" w:eastAsia="宋体" w:cs="Times New Roman"/>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w:t>
            </w:r>
            <w:r>
              <w:rPr>
                <w:rFonts w:hint="eastAsia" w:ascii="宋体" w:hAnsi="宋体" w:eastAsia="宋体" w:cs="Times New Roman"/>
                <w:color w:val="000000"/>
                <w:sz w:val="24"/>
                <w:szCs w:val="24"/>
                <w:highlight w:val="none"/>
                <w:lang w:val="en-US" w:eastAsia="zh-CN"/>
              </w:rPr>
              <w:t>登录</w:t>
            </w:r>
            <w:r>
              <w:rPr>
                <w:rFonts w:hint="eastAsia" w:ascii="宋体" w:hAnsi="宋体" w:eastAsia="宋体" w:cs="宋体"/>
                <w:b/>
                <w:color w:val="000000"/>
                <w:sz w:val="24"/>
                <w:szCs w:val="24"/>
                <w:highlight w:val="none"/>
                <w:lang w:val="en-US" w:eastAsia="zh-CN"/>
              </w:rPr>
              <w:t>重汽e采通平台</w:t>
            </w:r>
            <w:r>
              <w:rPr>
                <w:rFonts w:hint="eastAsia" w:ascii="宋体" w:hAnsi="宋体" w:eastAsia="宋体" w:cs="Times New Roman"/>
                <w:color w:val="000000"/>
                <w:sz w:val="24"/>
                <w:szCs w:val="24"/>
                <w:highlight w:val="none"/>
                <w:lang w:val="en-US" w:eastAsia="zh-CN"/>
              </w:rPr>
              <w:t>后</w:t>
            </w:r>
            <w:r>
              <w:rPr>
                <w:rFonts w:hint="eastAsia" w:eastAsia="宋体" w:cs="Times New Roman"/>
                <w:color w:val="000000"/>
                <w:sz w:val="24"/>
                <w:szCs w:val="24"/>
                <w:highlight w:val="none"/>
                <w:lang w:val="en-US" w:eastAsia="zh-CN"/>
              </w:rPr>
              <w:t>进入“供应商应标”，</w:t>
            </w:r>
            <w:r>
              <w:rPr>
                <w:rFonts w:hint="eastAsia" w:ascii="宋体" w:hAnsi="宋体" w:eastAsia="宋体" w:cs="Times New Roman"/>
                <w:color w:val="000000"/>
                <w:sz w:val="24"/>
                <w:szCs w:val="24"/>
                <w:highlight w:val="none"/>
                <w:lang w:val="en-US" w:eastAsia="zh-CN"/>
              </w:rPr>
              <w:t>选择对应的项目，点击</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应标</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后</w:t>
            </w:r>
            <w:r>
              <w:rPr>
                <w:rFonts w:hint="eastAsia" w:ascii="宋体" w:hAnsi="宋体" w:eastAsia="宋体" w:cs="Times New Roman"/>
                <w:b/>
                <w:bCs/>
                <w:color w:val="000000"/>
                <w:sz w:val="24"/>
                <w:szCs w:val="24"/>
                <w:highlight w:val="none"/>
              </w:rPr>
              <w:t>按照</w:t>
            </w:r>
            <w:r>
              <w:rPr>
                <w:rFonts w:hint="eastAsia" w:eastAsia="宋体" w:cs="Times New Roman"/>
                <w:b/>
                <w:bCs/>
                <w:color w:val="000000"/>
                <w:sz w:val="24"/>
                <w:szCs w:val="24"/>
                <w:highlight w:val="none"/>
                <w:lang w:val="en-US" w:eastAsia="zh-CN"/>
              </w:rPr>
              <w:t>招标文件</w:t>
            </w:r>
            <w:r>
              <w:rPr>
                <w:rFonts w:hint="eastAsia" w:ascii="宋体" w:hAnsi="宋体" w:eastAsia="宋体" w:cs="Times New Roman"/>
                <w:b/>
                <w:bCs/>
                <w:color w:val="000000"/>
                <w:sz w:val="24"/>
                <w:szCs w:val="24"/>
                <w:highlight w:val="none"/>
              </w:rPr>
              <w:t>第</w:t>
            </w:r>
            <w:r>
              <w:rPr>
                <w:rFonts w:hint="eastAsia" w:eastAsia="宋体" w:cs="Times New Roman"/>
                <w:b/>
                <w:bCs/>
                <w:color w:val="000000"/>
                <w:sz w:val="24"/>
                <w:szCs w:val="24"/>
                <w:highlight w:val="none"/>
                <w:lang w:val="en-US" w:eastAsia="zh-CN"/>
              </w:rPr>
              <w:t>三</w:t>
            </w:r>
            <w:r>
              <w:rPr>
                <w:rFonts w:hint="eastAsia" w:ascii="宋体" w:hAnsi="宋体" w:eastAsia="宋体" w:cs="Times New Roman"/>
                <w:b/>
                <w:bCs/>
                <w:color w:val="000000"/>
                <w:sz w:val="24"/>
                <w:szCs w:val="24"/>
                <w:highlight w:val="none"/>
              </w:rPr>
              <w:t>部分投标文件组成资格证明文件中的1.1</w:t>
            </w:r>
            <w:r>
              <w:rPr>
                <w:rFonts w:ascii="宋体" w:hAnsi="宋体" w:eastAsia="宋体" w:cs="Times New Roman"/>
                <w:b/>
                <w:bCs/>
                <w:color w:val="000000"/>
                <w:sz w:val="24"/>
                <w:szCs w:val="24"/>
                <w:highlight w:val="none"/>
              </w:rPr>
              <w:t>-</w:t>
            </w:r>
            <w:r>
              <w:rPr>
                <w:rFonts w:hint="eastAsia" w:ascii="宋体" w:hAnsi="宋体" w:eastAsia="宋体" w:cs="Times New Roman"/>
                <w:b/>
                <w:bCs/>
                <w:color w:val="000000"/>
                <w:sz w:val="24"/>
                <w:szCs w:val="24"/>
                <w:highlight w:val="none"/>
              </w:rPr>
              <w:t>1.</w:t>
            </w:r>
            <w:r>
              <w:rPr>
                <w:rFonts w:hint="eastAsia" w:ascii="宋体" w:hAnsi="宋体" w:eastAsia="宋体" w:cs="Times New Roman"/>
                <w:b/>
                <w:bCs/>
                <w:color w:val="000000"/>
                <w:sz w:val="24"/>
                <w:szCs w:val="24"/>
                <w:highlight w:val="none"/>
                <w:lang w:val="en-US" w:eastAsia="zh-CN"/>
              </w:rPr>
              <w:t>1</w:t>
            </w:r>
            <w:r>
              <w:rPr>
                <w:rFonts w:hint="eastAsia" w:eastAsia="宋体" w:cs="Times New Roman"/>
                <w:b/>
                <w:bCs/>
                <w:color w:val="000000"/>
                <w:sz w:val="24"/>
                <w:szCs w:val="24"/>
                <w:highlight w:val="none"/>
                <w:lang w:val="en-US" w:eastAsia="zh-CN"/>
              </w:rPr>
              <w:t>3</w:t>
            </w:r>
            <w:r>
              <w:rPr>
                <w:rFonts w:hint="eastAsia" w:ascii="宋体" w:hAnsi="宋体" w:eastAsia="宋体" w:cs="Times New Roman"/>
                <w:b/>
                <w:bCs/>
                <w:color w:val="000000"/>
                <w:sz w:val="24"/>
                <w:szCs w:val="24"/>
                <w:highlight w:val="none"/>
                <w:lang w:val="en-US" w:eastAsia="zh-CN"/>
              </w:rPr>
              <w:t>准备资料</w:t>
            </w:r>
            <w:r>
              <w:rPr>
                <w:rFonts w:hint="eastAsia" w:eastAsia="宋体" w:cs="Times New Roman"/>
                <w:b/>
                <w:bCs/>
                <w:color w:val="000000"/>
                <w:sz w:val="24"/>
                <w:szCs w:val="24"/>
                <w:highlight w:val="none"/>
                <w:lang w:val="en-US" w:eastAsia="zh-CN"/>
              </w:rPr>
              <w:t>并</w:t>
            </w:r>
            <w:r>
              <w:rPr>
                <w:rFonts w:hint="eastAsia" w:ascii="宋体" w:hAnsi="宋体" w:eastAsia="宋体" w:cs="Times New Roman"/>
                <w:color w:val="000000"/>
                <w:sz w:val="24"/>
                <w:szCs w:val="24"/>
                <w:highlight w:val="none"/>
                <w:lang w:val="en-US" w:eastAsia="zh-CN"/>
              </w:rPr>
              <w:t>上传，资质审查通过即为报名</w:t>
            </w:r>
            <w:r>
              <w:rPr>
                <w:rFonts w:hint="eastAsia" w:eastAsia="宋体" w:cs="Times New Roman"/>
                <w:color w:val="000000"/>
                <w:sz w:val="24"/>
                <w:szCs w:val="24"/>
                <w:highlight w:val="none"/>
                <w:lang w:val="en-US" w:eastAsia="zh-CN"/>
              </w:rPr>
              <w:t>成功</w:t>
            </w:r>
            <w:r>
              <w:rPr>
                <w:rFonts w:hint="eastAsia" w:hAnsi="Courier New" w:eastAsia="宋体" w:cs="Times New Roman"/>
                <w:color w:val="000000"/>
                <w:sz w:val="24"/>
                <w:szCs w:val="24"/>
                <w:highlight w:val="none"/>
                <w:lang w:eastAsia="zh-CN"/>
              </w:rPr>
              <w:t>；</w:t>
            </w:r>
            <w:r>
              <w:rPr>
                <w:rFonts w:hint="eastAsia" w:ascii="宋体" w:hAnsi="Courier New" w:eastAsia="宋体" w:cs="Times New Roman"/>
                <w:color w:val="000000"/>
                <w:sz w:val="24"/>
                <w:szCs w:val="24"/>
                <w:highlight w:val="none"/>
              </w:rPr>
              <w:t>公示期间</w:t>
            </w:r>
            <w:r>
              <w:rPr>
                <w:rFonts w:hint="eastAsia" w:ascii="宋体" w:hAnsi="Courier New" w:eastAsia="宋体" w:cs="Times New Roman"/>
                <w:color w:val="000000"/>
                <w:sz w:val="24"/>
                <w:szCs w:val="24"/>
              </w:rPr>
              <w:t>请尽快报名</w:t>
            </w:r>
            <w:r>
              <w:rPr>
                <w:rFonts w:hint="eastAsia" w:eastAsia="宋体" w:cs="宋体"/>
              </w:rPr>
              <w:t>。</w:t>
            </w:r>
          </w:p>
          <w:p>
            <w:pPr>
              <w:pStyle w:val="115"/>
              <w:spacing w:line="240" w:lineRule="auto"/>
              <w:ind w:firstLine="482"/>
              <w:rPr>
                <w:rFonts w:hint="eastAsia" w:eastAsia="宋体" w:cs="宋体"/>
                <w:color w:val="FF0000"/>
              </w:rPr>
            </w:pPr>
            <w:r>
              <w:rPr>
                <w:rFonts w:hint="eastAsia" w:eastAsia="宋体" w:cs="宋体"/>
                <w:color w:val="FF0000"/>
                <w:lang w:val="en-US" w:eastAsia="zh-CN"/>
              </w:rPr>
              <w:t>注：</w:t>
            </w:r>
            <w:r>
              <w:rPr>
                <w:rFonts w:hint="eastAsia" w:eastAsia="宋体" w:cs="宋体"/>
                <w:color w:val="FF0000"/>
              </w:rPr>
              <w:t>已注册的投标人注意去重汽e采通平台检查更新近三年的经营概况，财务信息</w:t>
            </w:r>
            <w:r>
              <w:rPr>
                <w:rFonts w:hint="eastAsia" w:eastAsia="宋体" w:cs="宋体"/>
                <w:color w:val="FF0000"/>
                <w:lang w:val="en-US" w:eastAsia="zh-CN"/>
              </w:rPr>
              <w:t>严格按要求</w:t>
            </w:r>
            <w:r>
              <w:rPr>
                <w:rFonts w:hint="eastAsia" w:eastAsia="宋体" w:cs="宋体"/>
                <w:color w:val="FF0000"/>
              </w:rPr>
              <w:t>更新到近三年，且不许有空余</w:t>
            </w:r>
            <w:r>
              <w:rPr>
                <w:rFonts w:hint="eastAsia" w:eastAsia="宋体" w:cs="宋体"/>
                <w:color w:val="FF0000"/>
                <w:lang w:eastAsia="zh-CN"/>
              </w:rPr>
              <w:t>（</w:t>
            </w:r>
            <w:r>
              <w:rPr>
                <w:rFonts w:hint="eastAsia" w:eastAsia="宋体" w:cs="宋体"/>
                <w:color w:val="FF0000"/>
                <w:lang w:val="en-US" w:eastAsia="zh-CN"/>
              </w:rPr>
              <w:t>不按要求完善资质审查阶段会被驳回</w:t>
            </w:r>
            <w:r>
              <w:rPr>
                <w:rFonts w:hint="eastAsia" w:eastAsia="宋体" w:cs="宋体"/>
                <w:color w:val="FF0000"/>
                <w:lang w:eastAsia="zh-CN"/>
              </w:rPr>
              <w:t>）</w:t>
            </w:r>
            <w:r>
              <w:rPr>
                <w:rFonts w:hint="eastAsia" w:eastAsia="宋体" w:cs="宋体"/>
                <w:color w:val="FF0000"/>
              </w:rPr>
              <w:t>，若因此造成应标不成功，后果由投标人自行承担。</w:t>
            </w:r>
          </w:p>
          <w:p>
            <w:pPr>
              <w:pStyle w:val="115"/>
              <w:spacing w:line="240" w:lineRule="auto"/>
              <w:ind w:firstLine="482"/>
              <w:rPr>
                <w:rFonts w:hint="eastAsia" w:eastAsia="宋体" w:cs="宋体"/>
              </w:rPr>
            </w:pPr>
            <w:r>
              <w:rPr>
                <w:rFonts w:hint="eastAsia" w:eastAsia="宋体" w:cs="宋体"/>
                <w:color w:val="FF0000"/>
              </w:rPr>
              <w:t>(更新路径:重汽e采通-供应商中心-供应商变更-供应商财务数据变更管理)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pPr>
          </w:p>
        </w:tc>
        <w:tc>
          <w:tcPr>
            <w:tcW w:w="8363" w:type="dxa"/>
            <w:tcBorders>
              <w:top w:val="single" w:color="auto" w:sz="2" w:space="0"/>
              <w:left w:val="single" w:color="auto" w:sz="2" w:space="0"/>
              <w:bottom w:val="single" w:color="auto" w:sz="2" w:space="0"/>
              <w:right w:val="single" w:color="auto" w:sz="2" w:space="0"/>
            </w:tcBorders>
            <w:vAlign w:val="center"/>
          </w:tcPr>
          <w:p>
            <w:pPr>
              <w:pStyle w:val="115"/>
              <w:spacing w:line="240" w:lineRule="auto"/>
              <w:ind w:firstLine="482"/>
              <w:rPr>
                <w:rFonts w:hint="default" w:eastAsia="宋体" w:cs="宋体"/>
                <w:highlight w:val="yellow"/>
                <w:lang w:val="en-US" w:eastAsia="zh-CN"/>
              </w:rPr>
            </w:pPr>
            <w:r>
              <w:rPr>
                <w:rFonts w:hint="eastAsia" w:eastAsia="宋体" w:cs="宋体"/>
                <w:b/>
                <w:bCs/>
                <w:lang w:val="en-US" w:eastAsia="zh-CN"/>
              </w:rPr>
              <w:t>应标</w:t>
            </w:r>
            <w:r>
              <w:rPr>
                <w:rFonts w:hint="eastAsia" w:eastAsia="宋体" w:cs="宋体"/>
                <w:b/>
                <w:bCs/>
              </w:rPr>
              <w:t>截止时间：</w:t>
            </w:r>
            <w:r>
              <w:rPr>
                <w:rFonts w:hint="eastAsia" w:eastAsia="宋体" w:cs="宋体"/>
                <w:highlight w:val="yellow"/>
              </w:rPr>
              <w:t>202</w:t>
            </w:r>
            <w:r>
              <w:rPr>
                <w:rFonts w:hint="eastAsia" w:eastAsia="宋体" w:cs="宋体"/>
                <w:highlight w:val="yellow"/>
                <w:lang w:val="en-US" w:eastAsia="zh-CN"/>
              </w:rPr>
              <w:t>5</w:t>
            </w:r>
            <w:r>
              <w:rPr>
                <w:rFonts w:hint="eastAsia" w:eastAsia="宋体" w:cs="宋体"/>
                <w:highlight w:val="yellow"/>
              </w:rPr>
              <w:t>年</w:t>
            </w:r>
            <w:r>
              <w:rPr>
                <w:rFonts w:hint="eastAsia" w:eastAsia="宋体" w:cs="宋体"/>
                <w:highlight w:val="yellow"/>
                <w:lang w:val="en-US" w:eastAsia="zh-CN"/>
              </w:rPr>
              <w:t>12</w:t>
            </w:r>
            <w:r>
              <w:rPr>
                <w:rFonts w:hint="eastAsia" w:eastAsia="宋体" w:cs="宋体"/>
                <w:highlight w:val="yellow"/>
              </w:rPr>
              <w:t>月</w:t>
            </w:r>
            <w:r>
              <w:rPr>
                <w:rFonts w:hint="eastAsia" w:eastAsia="宋体" w:cs="宋体"/>
                <w:highlight w:val="yellow"/>
                <w:lang w:val="en-US" w:eastAsia="zh-CN"/>
              </w:rPr>
              <w:t xml:space="preserve"> 30 </w:t>
            </w:r>
            <w:r>
              <w:rPr>
                <w:rFonts w:hint="eastAsia" w:eastAsia="宋体" w:cs="宋体"/>
                <w:highlight w:val="yellow"/>
              </w:rPr>
              <w:t>日</w:t>
            </w:r>
            <w:r>
              <w:rPr>
                <w:rFonts w:hint="eastAsia" w:eastAsia="宋体" w:cs="宋体"/>
                <w:highlight w:val="yellow"/>
                <w:lang w:val="en-US" w:eastAsia="zh-CN"/>
              </w:rPr>
              <w:t>17时00分00秒</w:t>
            </w:r>
          </w:p>
          <w:p>
            <w:pPr>
              <w:pStyle w:val="115"/>
              <w:spacing w:line="240" w:lineRule="auto"/>
              <w:ind w:firstLine="482"/>
              <w:rPr>
                <w:rFonts w:hint="default" w:eastAsia="宋体" w:cs="宋体"/>
                <w:highlight w:val="yellow"/>
                <w:lang w:val="en-US" w:eastAsia="zh-CN"/>
              </w:rPr>
            </w:pPr>
            <w:r>
              <w:rPr>
                <w:rFonts w:hint="eastAsia" w:eastAsia="宋体" w:cs="宋体"/>
                <w:b/>
                <w:bCs/>
                <w:highlight w:val="none"/>
                <w:lang w:val="en-US" w:eastAsia="zh-CN"/>
              </w:rPr>
              <w:t>注：请务必在应标截止时间前完成注册及应标操作，注册审核需2-4日，应标截止时间精确到秒，逾期将无法应标。请自行掌握时间，避免无法应标。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18"/>
              <w:ind w:firstLine="482" w:firstLineChars="200"/>
              <w:rPr>
                <w:rFonts w:hint="eastAsia" w:ascii="宋体" w:hAnsi="宋体" w:eastAsia="宋体" w:cs="宋体"/>
                <w:sz w:val="24"/>
                <w:szCs w:val="24"/>
                <w:highlight w:val="yellow"/>
              </w:rPr>
            </w:pPr>
            <w:r>
              <w:rPr>
                <w:rFonts w:hint="eastAsia" w:ascii="宋体" w:hAnsi="宋体" w:eastAsia="宋体" w:cs="宋体"/>
                <w:b/>
                <w:bCs/>
                <w:sz w:val="24"/>
                <w:szCs w:val="24"/>
              </w:rPr>
              <w:t>投标文件递交截止时间：</w:t>
            </w:r>
            <w:r>
              <w:rPr>
                <w:rFonts w:hint="eastAsia" w:ascii="宋体" w:hAnsi="宋体" w:eastAsia="宋体" w:cs="宋体"/>
                <w:sz w:val="24"/>
                <w:szCs w:val="24"/>
                <w:highlight w:val="yellow"/>
                <w:u w:val="single"/>
              </w:rPr>
              <w:t>202</w:t>
            </w:r>
            <w:r>
              <w:rPr>
                <w:rFonts w:hint="eastAsia" w:hAnsi="宋体" w:eastAsia="宋体" w:cs="宋体"/>
                <w:sz w:val="24"/>
                <w:szCs w:val="24"/>
                <w:highlight w:val="yellow"/>
                <w:u w:val="single"/>
                <w:lang w:val="en-US" w:eastAsia="zh-CN"/>
              </w:rPr>
              <w:t>6</w:t>
            </w:r>
            <w:r>
              <w:rPr>
                <w:rFonts w:hint="eastAsia" w:ascii="宋体" w:hAnsi="宋体" w:eastAsia="宋体" w:cs="宋体"/>
                <w:sz w:val="24"/>
                <w:szCs w:val="24"/>
                <w:highlight w:val="yellow"/>
              </w:rPr>
              <w:t>年</w:t>
            </w:r>
            <w:r>
              <w:rPr>
                <w:rFonts w:hint="eastAsia" w:hAnsi="宋体" w:eastAsia="宋体" w:cs="宋体"/>
                <w:sz w:val="24"/>
                <w:szCs w:val="24"/>
                <w:highlight w:val="yellow"/>
                <w:u w:val="single"/>
                <w:lang w:val="en-US" w:eastAsia="zh-CN"/>
              </w:rPr>
              <w:t>1</w:t>
            </w:r>
            <w:r>
              <w:rPr>
                <w:rFonts w:hint="eastAsia" w:ascii="宋体" w:hAnsi="宋体" w:eastAsia="宋体" w:cs="宋体"/>
                <w:sz w:val="24"/>
                <w:szCs w:val="24"/>
                <w:highlight w:val="yellow"/>
              </w:rPr>
              <w:t>月</w:t>
            </w:r>
            <w:r>
              <w:rPr>
                <w:rFonts w:hint="eastAsia" w:hAnsi="宋体" w:eastAsia="宋体" w:cs="宋体"/>
                <w:sz w:val="24"/>
                <w:szCs w:val="24"/>
                <w:highlight w:val="yellow"/>
                <w:u w:val="single"/>
                <w:lang w:val="en-US" w:eastAsia="zh-CN"/>
              </w:rPr>
              <w:t xml:space="preserve"> 4  </w:t>
            </w:r>
            <w:r>
              <w:rPr>
                <w:rFonts w:hint="eastAsia" w:ascii="宋体" w:hAnsi="宋体" w:eastAsia="宋体" w:cs="宋体"/>
                <w:sz w:val="24"/>
                <w:szCs w:val="24"/>
                <w:highlight w:val="yellow"/>
              </w:rPr>
              <w:t>日</w:t>
            </w:r>
            <w:r>
              <w:rPr>
                <w:rFonts w:hint="eastAsia" w:hAnsi="宋体" w:eastAsia="宋体" w:cs="宋体"/>
                <w:sz w:val="24"/>
                <w:szCs w:val="24"/>
                <w:highlight w:val="yellow"/>
                <w:lang w:val="en-US" w:eastAsia="zh-CN"/>
              </w:rPr>
              <w:t>下</w:t>
            </w:r>
            <w:r>
              <w:rPr>
                <w:rFonts w:hint="eastAsia" w:ascii="宋体" w:hAnsi="宋体" w:eastAsia="宋体" w:cs="宋体"/>
                <w:kern w:val="0"/>
                <w:sz w:val="24"/>
                <w:szCs w:val="24"/>
                <w:highlight w:val="yellow"/>
              </w:rPr>
              <w:t>午</w:t>
            </w:r>
            <w:r>
              <w:rPr>
                <w:rFonts w:hint="eastAsia" w:hAnsi="宋体" w:eastAsia="宋体" w:cs="宋体"/>
                <w:kern w:val="0"/>
                <w:sz w:val="24"/>
                <w:szCs w:val="24"/>
                <w:highlight w:val="yellow"/>
                <w:lang w:val="en-US" w:eastAsia="zh-CN"/>
              </w:rPr>
              <w:t>17</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val="en-US" w:eastAsia="zh-CN"/>
              </w:rPr>
              <w:t>00</w:t>
            </w:r>
            <w:r>
              <w:rPr>
                <w:rFonts w:hint="eastAsia" w:hAnsi="宋体" w:eastAsia="宋体" w:cs="宋体"/>
                <w:sz w:val="24"/>
                <w:szCs w:val="24"/>
                <w:highlight w:val="yellow"/>
                <w:lang w:val="en-US" w:eastAsia="zh-CN"/>
              </w:rPr>
              <w:t>:00</w:t>
            </w:r>
            <w:r>
              <w:rPr>
                <w:rFonts w:hint="eastAsia" w:ascii="宋体" w:hAnsi="宋体" w:eastAsia="宋体" w:cs="宋体"/>
                <w:sz w:val="24"/>
                <w:szCs w:val="24"/>
                <w:highlight w:val="yellow"/>
              </w:rPr>
              <w:t>（北京时间</w:t>
            </w:r>
            <w:bookmarkStart w:id="122" w:name="_GoBack"/>
            <w:bookmarkEnd w:id="122"/>
            <w:r>
              <w:rPr>
                <w:rFonts w:hint="eastAsia" w:ascii="宋体" w:hAnsi="宋体" w:eastAsia="宋体" w:cs="宋体"/>
                <w:sz w:val="24"/>
                <w:szCs w:val="24"/>
                <w:highlight w:val="yellow"/>
              </w:rPr>
              <w:t>）</w:t>
            </w:r>
          </w:p>
          <w:p>
            <w:pPr>
              <w:pStyle w:val="18"/>
              <w:ind w:firstLine="482" w:firstLineChars="200"/>
              <w:rPr>
                <w:rFonts w:hint="eastAsia" w:ascii="宋体" w:hAnsi="宋体" w:eastAsia="宋体" w:cs="宋体"/>
                <w:sz w:val="24"/>
                <w:szCs w:val="24"/>
                <w:highlight w:val="yellow"/>
                <w:lang w:eastAsia="zh-CN"/>
              </w:rPr>
            </w:pPr>
            <w:r>
              <w:rPr>
                <w:rFonts w:hint="eastAsia" w:hAnsi="宋体" w:eastAsia="宋体" w:cs="宋体"/>
                <w:b/>
                <w:bCs/>
                <w:sz w:val="24"/>
                <w:szCs w:val="24"/>
                <w:highlight w:val="none"/>
                <w:lang w:val="en-US" w:eastAsia="zh-CN"/>
              </w:rPr>
              <w:t>注：请务必在</w:t>
            </w:r>
            <w:r>
              <w:rPr>
                <w:rFonts w:hint="eastAsia" w:hAnsi="宋体" w:eastAsia="宋体" w:cs="宋体"/>
                <w:b/>
                <w:bCs/>
                <w:sz w:val="24"/>
                <w:szCs w:val="24"/>
              </w:rPr>
              <w:t>投标文件递交</w:t>
            </w:r>
            <w:r>
              <w:rPr>
                <w:rFonts w:hint="eastAsia" w:hAnsi="宋体" w:eastAsia="宋体" w:cs="宋体"/>
                <w:b/>
                <w:bCs/>
                <w:sz w:val="24"/>
                <w:szCs w:val="24"/>
                <w:highlight w:val="none"/>
                <w:lang w:val="en-US" w:eastAsia="zh-CN"/>
              </w:rPr>
              <w:t>截止时间前完成投标操作，截止时间精确到秒，逾期将无法投标。请自行掌握时间，避免无法投标</w:t>
            </w:r>
            <w:r>
              <w:rPr>
                <w:rFonts w:hint="eastAsia" w:eastAsia="宋体" w:cs="宋体"/>
                <w:b/>
                <w:bCs/>
                <w:sz w:val="24"/>
                <w:szCs w:val="28"/>
                <w:highlight w:val="none"/>
                <w:lang w:val="en-US"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lang w:val="en-US" w:eastAsia="zh-CN"/>
              </w:rPr>
            </w:pPr>
            <w:r>
              <w:rPr>
                <w:rFonts w:hint="eastAsia" w:ascii="宋体" w:hAnsi="宋体" w:eastAsia="宋体" w:cs="宋体"/>
                <w:sz w:val="24"/>
                <w:szCs w:val="24"/>
              </w:rPr>
              <w:t>3.</w:t>
            </w:r>
            <w:r>
              <w:rPr>
                <w:rFonts w:hint="eastAsia" w:ascii="宋体" w:hAnsi="宋体" w:eastAsia="宋体" w:cs="宋体"/>
                <w:sz w:val="24"/>
                <w:szCs w:val="24"/>
                <w:lang w:val="en-US" w:eastAsia="zh-CN"/>
              </w:rPr>
              <w:t>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w:t>
            </w:r>
            <w:r>
              <w:rPr>
                <w:rFonts w:hint="eastAsia" w:ascii="宋体" w:hAnsi="宋体" w:eastAsia="宋体" w:cs="宋体"/>
                <w:sz w:val="24"/>
                <w:szCs w:val="24"/>
                <w:lang w:val="en-US" w:eastAsia="zh-CN"/>
              </w:rPr>
              <w:t>个</w:t>
            </w:r>
            <w:r>
              <w:rPr>
                <w:rFonts w:hint="eastAsia" w:ascii="宋体" w:hAnsi="宋体" w:eastAsia="宋体" w:cs="宋体"/>
                <w:sz w:val="24"/>
                <w:szCs w:val="24"/>
              </w:rPr>
              <w:t>日历</w:t>
            </w:r>
            <w:r>
              <w:rPr>
                <w:rFonts w:hint="eastAsia" w:ascii="宋体" w:hAnsi="宋体" w:eastAsia="宋体" w:cs="宋体"/>
                <w:sz w:val="24"/>
                <w:szCs w:val="24"/>
                <w:lang w:val="en-US" w:eastAsia="zh-CN"/>
              </w:rPr>
              <w:t>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投标保证金的</w:t>
            </w:r>
            <w:r>
              <w:rPr>
                <w:rFonts w:hint="eastAsia" w:ascii="宋体" w:hAnsi="宋体" w:eastAsia="宋体" w:cs="宋体"/>
                <w:b/>
                <w:bCs/>
                <w:sz w:val="24"/>
                <w:szCs w:val="24"/>
                <w:highlight w:val="none"/>
              </w:rPr>
              <w:t>缴纳</w:t>
            </w:r>
            <w:r>
              <w:rPr>
                <w:rFonts w:hint="eastAsia" w:ascii="宋体" w:hAnsi="宋体" w:eastAsia="宋体" w:cs="宋体"/>
                <w:b/>
                <w:bCs/>
                <w:sz w:val="24"/>
                <w:szCs w:val="24"/>
              </w:rPr>
              <w:t>形式：</w:t>
            </w:r>
            <w:r>
              <w:rPr>
                <w:rFonts w:hint="eastAsia" w:ascii="宋体" w:hAnsi="宋体" w:eastAsia="宋体" w:cs="宋体"/>
                <w:sz w:val="24"/>
                <w:szCs w:val="24"/>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cyan"/>
              </w:rPr>
            </w:pPr>
            <w:r>
              <w:rPr>
                <w:rFonts w:hint="eastAsia" w:ascii="宋体" w:hAnsi="宋体" w:eastAsia="宋体" w:cs="宋体"/>
                <w:sz w:val="24"/>
                <w:szCs w:val="24"/>
                <w:highlight w:val="none"/>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default"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5000</w:t>
            </w:r>
            <w:r>
              <w:rPr>
                <w:rFonts w:hint="eastAsia" w:ascii="宋体" w:hAnsi="宋体" w:eastAsia="宋体" w:cs="宋体"/>
                <w:sz w:val="24"/>
                <w:szCs w:val="24"/>
                <w:highlight w:val="yellow"/>
              </w:rPr>
              <w:t>元</w:t>
            </w:r>
          </w:p>
          <w:p>
            <w:pPr>
              <w:tabs>
                <w:tab w:val="left" w:pos="932"/>
              </w:tabs>
              <w:ind w:firstLine="482" w:firstLineChars="200"/>
              <w:rPr>
                <w:rFonts w:hint="eastAsia" w:ascii="宋体" w:hAnsi="宋体" w:eastAsia="宋体" w:cs="宋体"/>
                <w:color w:val="000000"/>
                <w:kern w:val="0"/>
                <w:sz w:val="24"/>
                <w:szCs w:val="24"/>
                <w:highlight w:val="yellow"/>
                <w:lang w:eastAsia="zh-CN"/>
              </w:rPr>
            </w:pPr>
            <w:r>
              <w:rPr>
                <w:rFonts w:hint="eastAsia" w:ascii="宋体" w:hAnsi="宋体" w:eastAsia="宋体" w:cs="宋体"/>
                <w:b/>
                <w:bCs/>
                <w:color w:val="000000"/>
                <w:kern w:val="0"/>
                <w:sz w:val="24"/>
                <w:szCs w:val="24"/>
                <w:highlight w:val="yellow"/>
                <w:lang w:val="en-US" w:eastAsia="zh-CN"/>
              </w:rPr>
              <w:t>单位</w:t>
            </w:r>
            <w:r>
              <w:rPr>
                <w:rFonts w:hint="eastAsia" w:ascii="宋体" w:hAnsi="宋体" w:eastAsia="宋体" w:cs="宋体"/>
                <w:b/>
                <w:bCs/>
                <w:color w:val="000000"/>
                <w:kern w:val="0"/>
                <w:sz w:val="24"/>
                <w:szCs w:val="24"/>
                <w:highlight w:val="yellow"/>
              </w:rPr>
              <w:t>名称：</w:t>
            </w:r>
            <w:r>
              <w:rPr>
                <w:rFonts w:ascii="宋体" w:hAnsi="宋体" w:eastAsia="宋体" w:cs="宋体"/>
                <w:sz w:val="24"/>
                <w:szCs w:val="24"/>
              </w:rPr>
              <w:t>中国重汽集团济南卡车股份有限公司</w:t>
            </w:r>
          </w:p>
          <w:p>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开户银行：</w:t>
            </w:r>
            <w:r>
              <w:rPr>
                <w:rFonts w:ascii="宋体" w:hAnsi="宋体" w:eastAsia="宋体" w:cs="宋体"/>
                <w:sz w:val="24"/>
                <w:szCs w:val="24"/>
              </w:rPr>
              <w:t>招商银行股份有限公司济南分行营业部</w:t>
            </w:r>
          </w:p>
          <w:p>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银行帐号：</w:t>
            </w:r>
            <w:r>
              <w:rPr>
                <w:rFonts w:ascii="宋体" w:hAnsi="宋体" w:eastAsia="宋体" w:cs="宋体"/>
                <w:sz w:val="24"/>
                <w:szCs w:val="24"/>
              </w:rPr>
              <w:t>531900051810601</w:t>
            </w:r>
          </w:p>
          <w:p>
            <w:pPr>
              <w:ind w:firstLine="482" w:firstLineChars="200"/>
              <w:rPr>
                <w:rFonts w:ascii="宋体" w:hAnsi="宋体" w:eastAsia="宋体" w:cs="宋体"/>
                <w:sz w:val="24"/>
                <w:szCs w:val="24"/>
                <w:highlight w:val="yellow"/>
              </w:rPr>
            </w:pPr>
            <w:r>
              <w:rPr>
                <w:rFonts w:hint="eastAsia" w:ascii="宋体" w:hAnsi="宋体" w:eastAsia="宋体" w:cs="宋体"/>
                <w:b/>
                <w:bCs/>
                <w:color w:val="000000"/>
                <w:kern w:val="0"/>
                <w:sz w:val="24"/>
                <w:szCs w:val="24"/>
                <w:highlight w:val="yellow"/>
              </w:rPr>
              <w:t>联行号：</w:t>
            </w:r>
            <w:r>
              <w:rPr>
                <w:rFonts w:ascii="宋体" w:hAnsi="宋体" w:eastAsia="宋体" w:cs="宋体"/>
                <w:sz w:val="24"/>
                <w:szCs w:val="24"/>
              </w:rPr>
              <w:t>308451028020</w:t>
            </w:r>
          </w:p>
          <w:p>
            <w:pPr>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投标保证金应从投标人的基本账户转出至上述账户并到账，否则视为无效投标。</w:t>
            </w:r>
          </w:p>
          <w:p>
            <w:pPr>
              <w:ind w:firstLine="480" w:firstLineChars="200"/>
              <w:rPr>
                <w:rFonts w:hint="eastAsia" w:ascii="宋体" w:hAnsi="宋体" w:eastAsia="宋体" w:cs="宋体"/>
                <w:sz w:val="24"/>
                <w:szCs w:val="24"/>
                <w:highlight w:val="cyan"/>
                <w:lang w:eastAsia="zh-CN"/>
              </w:rPr>
            </w:pPr>
            <w:r>
              <w:rPr>
                <w:rFonts w:hint="eastAsia" w:eastAsia="宋体" w:cs="Times New Roman"/>
                <w:sz w:val="24"/>
                <w:szCs w:val="28"/>
                <w:highlight w:val="yellow"/>
              </w:rPr>
              <w:t>转账附言：公司名称+项目名称+投标保证金</w:t>
            </w:r>
            <w:r>
              <w:rPr>
                <w:rFonts w:hint="eastAsia" w:eastAsia="宋体" w:cs="Times New Roman"/>
                <w:sz w:val="24"/>
                <w:szCs w:val="28"/>
                <w:highlight w:val="yellow"/>
                <w:lang w:eastAsia="zh-CN"/>
              </w:rPr>
              <w:t>。（</w:t>
            </w:r>
            <w:r>
              <w:rPr>
                <w:rFonts w:hint="eastAsia" w:eastAsia="宋体" w:cs="Times New Roman"/>
                <w:sz w:val="24"/>
                <w:szCs w:val="28"/>
                <w:highlight w:val="yellow"/>
                <w:lang w:val="en-US" w:eastAsia="zh-CN"/>
              </w:rPr>
              <w:t>严格按照此格式备注</w:t>
            </w:r>
            <w:r>
              <w:rPr>
                <w:rFonts w:hint="eastAsia" w:eastAsia="宋体" w:cs="Times New Roman"/>
                <w:sz w:val="24"/>
                <w:szCs w:val="28"/>
                <w:highlight w:val="yellow"/>
                <w:lang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38"/>
              <w:spacing w:after="0" w:line="240" w:lineRule="auto"/>
              <w:ind w:left="0" w:leftChars="0" w:firstLine="482"/>
              <w:rPr>
                <w:rFonts w:hint="eastAsia" w:ascii="宋体" w:hAnsi="宋体" w:eastAsia="宋体" w:cs="宋体"/>
                <w:sz w:val="24"/>
                <w:szCs w:val="24"/>
                <w:highlight w:val="none"/>
                <w:lang w:eastAsia="zh-CN"/>
              </w:rPr>
            </w:pPr>
            <w:r>
              <w:rPr>
                <w:rFonts w:hint="eastAsia" w:ascii="宋体" w:hAnsi="宋体" w:cs="宋体"/>
                <w:b/>
                <w:bCs/>
                <w:sz w:val="24"/>
                <w:szCs w:val="24"/>
                <w:highlight w:val="none"/>
              </w:rPr>
              <w:t>保证金</w:t>
            </w:r>
            <w:r>
              <w:rPr>
                <w:rFonts w:hint="eastAsia" w:ascii="宋体" w:hAnsi="宋体" w:eastAsia="宋体" w:cs="宋体"/>
                <w:b/>
                <w:bCs/>
                <w:sz w:val="24"/>
                <w:szCs w:val="24"/>
                <w:highlight w:val="none"/>
              </w:rPr>
              <w:t>缴纳</w:t>
            </w:r>
            <w:r>
              <w:rPr>
                <w:rFonts w:hint="eastAsia" w:ascii="宋体" w:hAnsi="宋体" w:cs="宋体"/>
                <w:b/>
                <w:bCs/>
                <w:sz w:val="24"/>
                <w:szCs w:val="24"/>
                <w:highlight w:val="none"/>
              </w:rPr>
              <w:t>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lang w:val="en-US" w:eastAsia="zh-CN"/>
              </w:rPr>
              <w:t>6</w:t>
            </w:r>
            <w:r>
              <w:rPr>
                <w:rFonts w:hint="eastAsia" w:ascii="宋体" w:hAnsi="宋体" w:cs="宋体"/>
                <w:sz w:val="24"/>
                <w:szCs w:val="24"/>
                <w:highlight w:val="yellow"/>
              </w:rPr>
              <w:t>年</w:t>
            </w:r>
            <w:r>
              <w:rPr>
                <w:rFonts w:hint="eastAsia" w:ascii="宋体" w:hAnsi="宋体" w:cs="宋体"/>
                <w:sz w:val="24"/>
                <w:szCs w:val="24"/>
                <w:highlight w:val="yellow"/>
                <w:lang w:val="en-US" w:eastAsia="zh-CN"/>
              </w:rPr>
              <w:t>1</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4</w:t>
            </w:r>
            <w:r>
              <w:rPr>
                <w:rFonts w:hint="eastAsia" w:ascii="宋体" w:hAnsi="宋体" w:cs="宋体"/>
                <w:sz w:val="24"/>
                <w:szCs w:val="24"/>
                <w:highlight w:val="yellow"/>
              </w:rPr>
              <w:t>日1</w:t>
            </w:r>
            <w:r>
              <w:rPr>
                <w:rFonts w:ascii="宋体" w:hAnsi="宋体" w:cs="宋体"/>
                <w:sz w:val="24"/>
                <w:szCs w:val="24"/>
                <w:highlight w:val="yellow"/>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w:t>
            </w:r>
          </w:p>
          <w:p>
            <w:pPr>
              <w:pStyle w:val="38"/>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38"/>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对于没有中标的</w:t>
            </w:r>
            <w:r>
              <w:rPr>
                <w:rFonts w:hint="eastAsia" w:ascii="宋体" w:hAnsi="宋体" w:cs="宋体"/>
                <w:sz w:val="24"/>
                <w:szCs w:val="24"/>
                <w:highlight w:val="none"/>
                <w:lang w:eastAsia="zh-CN"/>
              </w:rPr>
              <w:t>投标人</w:t>
            </w:r>
            <w:r>
              <w:rPr>
                <w:rFonts w:hint="eastAsia" w:ascii="宋体" w:hAnsi="宋体" w:cs="宋体"/>
                <w:sz w:val="24"/>
                <w:szCs w:val="24"/>
                <w:highlight w:val="none"/>
              </w:rPr>
              <w:t>，投标保证金将于招标人内部完成中标人评审并确认最终中标人后在30工作日内予以原路返还（无息）；对于中标方，投标保证金将在签订合同后30</w:t>
            </w:r>
            <w:r>
              <w:rPr>
                <w:rFonts w:hint="eastAsia" w:ascii="宋体" w:hAnsi="宋体" w:cs="宋体"/>
                <w:sz w:val="24"/>
                <w:szCs w:val="24"/>
                <w:highlight w:val="none"/>
                <w:lang w:val="en-US" w:eastAsia="zh-CN"/>
              </w:rPr>
              <w:t>个</w:t>
            </w:r>
            <w:r>
              <w:rPr>
                <w:rFonts w:hint="eastAsia" w:ascii="宋体" w:hAnsi="宋体" w:cs="宋体"/>
                <w:sz w:val="24"/>
                <w:szCs w:val="24"/>
                <w:highlight w:val="none"/>
              </w:rPr>
              <w:t>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开标时间：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lang w:val="en-US" w:eastAsia="zh-CN"/>
              </w:rPr>
              <w:t>6</w:t>
            </w:r>
            <w:r>
              <w:rPr>
                <w:rFonts w:hint="eastAsia" w:ascii="宋体" w:hAnsi="宋体" w:cs="宋体"/>
                <w:sz w:val="24"/>
                <w:szCs w:val="24"/>
                <w:highlight w:val="yellow"/>
              </w:rPr>
              <w:t>年</w:t>
            </w:r>
            <w:r>
              <w:rPr>
                <w:rFonts w:hint="eastAsia" w:ascii="宋体" w:hAnsi="宋体" w:cs="宋体"/>
                <w:sz w:val="24"/>
                <w:szCs w:val="24"/>
                <w:highlight w:val="yellow"/>
                <w:lang w:val="en-US" w:eastAsia="zh-CN"/>
              </w:rPr>
              <w:t>1</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 xml:space="preserve"> 5  </w:t>
            </w:r>
            <w:r>
              <w:rPr>
                <w:rFonts w:hint="eastAsia" w:ascii="宋体" w:hAnsi="宋体" w:cs="宋体"/>
                <w:sz w:val="24"/>
                <w:szCs w:val="24"/>
                <w:highlight w:val="yellow"/>
              </w:rPr>
              <w:t>日</w:t>
            </w:r>
            <w:r>
              <w:rPr>
                <w:rFonts w:hint="eastAsia" w:ascii="宋体" w:hAnsi="宋体" w:cs="宋体"/>
                <w:sz w:val="24"/>
                <w:szCs w:val="24"/>
                <w:highlight w:val="yellow"/>
                <w:lang w:val="en-US" w:eastAsia="zh-CN"/>
              </w:rPr>
              <w:t>9:</w:t>
            </w:r>
            <w:r>
              <w:rPr>
                <w:rFonts w:ascii="宋体" w:hAnsi="宋体" w:cs="宋体"/>
                <w:sz w:val="24"/>
                <w:szCs w:val="24"/>
                <w:highlight w:val="yellow"/>
              </w:rPr>
              <w:t>0</w:t>
            </w:r>
            <w:r>
              <w:rPr>
                <w:rFonts w:hint="eastAsia" w:ascii="宋体" w:hAnsi="宋体" w:cs="宋体"/>
                <w:sz w:val="24"/>
                <w:szCs w:val="24"/>
                <w:highlight w:val="yellow"/>
              </w:rPr>
              <w:t>0</w:t>
            </w:r>
            <w:r>
              <w:rPr>
                <w:rFonts w:hint="eastAsia" w:ascii="宋体" w:hAnsi="宋体" w:cs="宋体"/>
                <w:sz w:val="24"/>
                <w:szCs w:val="24"/>
                <w:highlight w:val="yellow"/>
                <w:lang w:val="en-US" w:eastAsia="zh-CN"/>
              </w:rPr>
              <w:t>:00</w:t>
            </w:r>
            <w:r>
              <w:rPr>
                <w:rFonts w:hint="eastAsia" w:ascii="宋体" w:hAnsi="宋体" w:eastAsia="宋体" w:cs="宋体"/>
                <w:kern w:val="0"/>
                <w:sz w:val="24"/>
                <w:szCs w:val="24"/>
                <w:highlight w:val="yellow"/>
              </w:rPr>
              <w:t>。</w:t>
            </w:r>
            <w:r>
              <w:rPr>
                <w:rFonts w:hint="eastAsia" w:ascii="宋体" w:hAnsi="宋体" w:eastAsia="宋体" w:cs="宋体"/>
                <w:kern w:val="0"/>
                <w:sz w:val="24"/>
                <w:szCs w:val="24"/>
                <w:highlight w:val="yellow"/>
                <w:lang w:eastAsia="zh-CN"/>
              </w:rPr>
              <w:t>（</w:t>
            </w:r>
            <w:r>
              <w:rPr>
                <w:rFonts w:hint="eastAsia" w:ascii="宋体" w:hAnsi="宋体" w:eastAsia="宋体" w:cs="宋体"/>
                <w:kern w:val="0"/>
                <w:sz w:val="24"/>
                <w:szCs w:val="24"/>
                <w:highlight w:val="yellow"/>
                <w:lang w:val="en-US" w:eastAsia="zh-CN"/>
              </w:rPr>
              <w:t>暂定，具体时间地点另行通知</w:t>
            </w:r>
            <w:r>
              <w:rPr>
                <w:rFonts w:hint="eastAsia" w:ascii="宋体" w:hAnsi="宋体" w:eastAsia="宋体" w:cs="宋体"/>
                <w:kern w:val="0"/>
                <w:sz w:val="24"/>
                <w:szCs w:val="24"/>
                <w:highlight w:val="yellow"/>
                <w:lang w:eastAsia="zh-CN"/>
              </w:rPr>
              <w:t>）</w:t>
            </w:r>
          </w:p>
          <w:p>
            <w:pPr>
              <w:ind w:firstLine="482" w:firstLineChars="200"/>
              <w:rPr>
                <w:rFonts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w:t>
            </w:r>
            <w:r>
              <w:rPr>
                <w:rFonts w:hint="eastAsia" w:ascii="宋体" w:hAnsi="宋体" w:eastAsia="宋体" w:cs="Times New Roman"/>
                <w:color w:val="000000"/>
                <w:sz w:val="24"/>
                <w:szCs w:val="24"/>
                <w:highlight w:val="yellow"/>
              </w:rPr>
              <w:t>历城区</w:t>
            </w:r>
            <w:r>
              <w:rPr>
                <w:rFonts w:hint="eastAsia" w:ascii="宋体" w:hAnsi="宋体" w:eastAsia="宋体" w:cs="宋体"/>
                <w:sz w:val="24"/>
                <w:szCs w:val="24"/>
                <w:highlight w:val="yellow"/>
              </w:rPr>
              <w:t>华奥路777号重汽科技大厦</w:t>
            </w:r>
            <w:r>
              <w:rPr>
                <w:rFonts w:hint="eastAsia" w:ascii="宋体" w:hAnsi="宋体" w:eastAsia="宋体" w:cs="宋体"/>
                <w:sz w:val="24"/>
                <w:szCs w:val="24"/>
                <w:highlight w:val="yellow"/>
                <w:lang w:val="en-US" w:eastAsia="zh-CN"/>
              </w:rPr>
              <w:t>三楼</w:t>
            </w:r>
            <w:r>
              <w:rPr>
                <w:rFonts w:hint="eastAsia" w:ascii="宋体" w:hAnsi="宋体" w:eastAsia="宋体" w:cs="宋体"/>
                <w:sz w:val="24"/>
                <w:szCs w:val="24"/>
                <w:highlight w:val="yellow"/>
              </w:rPr>
              <w:t>会议室</w:t>
            </w:r>
            <w:r>
              <w:rPr>
                <w:rFonts w:hint="eastAsia" w:ascii="宋体" w:hAnsi="宋体" w:eastAsia="宋体" w:cs="宋体"/>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2</w:t>
            </w:r>
          </w:p>
        </w:tc>
        <w:tc>
          <w:tcPr>
            <w:tcW w:w="8363" w:type="dxa"/>
            <w:tcBorders>
              <w:top w:val="single" w:color="auto" w:sz="2" w:space="0"/>
              <w:left w:val="single" w:color="auto" w:sz="2" w:space="0"/>
              <w:bottom w:val="single" w:color="auto" w:sz="2" w:space="0"/>
              <w:right w:val="single" w:color="auto" w:sz="2" w:space="0"/>
            </w:tcBorders>
            <w:vAlign w:val="center"/>
          </w:tcPr>
          <w:p>
            <w:pPr>
              <w:pStyle w:val="12"/>
              <w:ind w:firstLine="482" w:firstLineChars="200"/>
              <w:rPr>
                <w:rFonts w:ascii="宋体" w:hAnsi="宋体" w:eastAsia="宋体" w:cs="宋体"/>
                <w:sz w:val="24"/>
                <w:szCs w:val="24"/>
              </w:rPr>
            </w:pPr>
            <w:r>
              <w:rPr>
                <w:rFonts w:hint="eastAsia" w:ascii="宋体" w:hAnsi="宋体" w:eastAsia="宋体" w:cs="宋体"/>
                <w:b/>
                <w:bCs/>
                <w:sz w:val="24"/>
                <w:szCs w:val="24"/>
              </w:rPr>
              <w:t>评标方法：</w:t>
            </w:r>
            <w:r>
              <w:rPr>
                <w:rFonts w:hint="eastAsia" w:ascii="宋体" w:hAnsi="宋体" w:eastAsia="宋体" w:cs="宋体"/>
                <w:b/>
                <w:bCs/>
                <w:sz w:val="24"/>
                <w:szCs w:val="24"/>
                <w:lang w:val="en-US" w:eastAsia="zh-CN"/>
              </w:rPr>
              <w:t>资质标审核→唱标→商务标评审。原则上选取</w:t>
            </w:r>
            <w:r>
              <w:rPr>
                <w:rFonts w:hint="eastAsia" w:ascii="宋体" w:hAnsi="宋体" w:eastAsia="宋体" w:cs="Times New Roman"/>
                <w:b/>
                <w:bCs/>
                <w:color w:val="000000"/>
                <w:sz w:val="24"/>
                <w:szCs w:val="24"/>
                <w:lang w:val="en-US" w:eastAsia="zh-CN"/>
              </w:rPr>
              <w:t>合理最低价中</w:t>
            </w:r>
            <w:r>
              <w:rPr>
                <w:rFonts w:hint="eastAsia" w:ascii="宋体" w:hAnsi="宋体" w:eastAsia="宋体" w:cs="Times New Roman"/>
                <w:b/>
                <w:bCs/>
                <w:color w:val="000000"/>
                <w:sz w:val="24"/>
                <w:szCs w:val="24"/>
                <w:highlight w:val="none"/>
                <w:lang w:val="en-US" w:eastAsia="zh-CN"/>
              </w:rPr>
              <w:t>标</w:t>
            </w:r>
            <w:r>
              <w:rPr>
                <w:rFonts w:hint="eastAsia" w:ascii="宋体" w:hAnsi="宋体" w:eastAsia="宋体" w:cs="宋体"/>
                <w:sz w:val="24"/>
                <w:szCs w:val="24"/>
                <w:highlight w:val="none"/>
              </w:rPr>
              <w:t>。</w:t>
            </w:r>
            <w:r>
              <w:rPr>
                <w:rFonts w:hint="eastAsia" w:ascii="宋体" w:hAnsi="宋体" w:eastAsia="宋体" w:cs="宋体"/>
                <w:sz w:val="24"/>
                <w:szCs w:val="24"/>
              </w:rPr>
              <w:t>具体</w:t>
            </w:r>
            <w:r>
              <w:rPr>
                <w:rFonts w:hint="eastAsia" w:ascii="宋体" w:hAnsi="宋体" w:eastAsia="宋体" w:cs="宋体"/>
                <w:sz w:val="24"/>
                <w:szCs w:val="24"/>
                <w:highlight w:val="none"/>
              </w:rPr>
              <w:t>详见“第</w:t>
            </w:r>
            <w:r>
              <w:rPr>
                <w:rFonts w:hint="eastAsia" w:ascii="宋体" w:hAnsi="宋体" w:eastAsia="宋体" w:cs="宋体"/>
                <w:sz w:val="24"/>
                <w:szCs w:val="24"/>
                <w:highlight w:val="none"/>
                <w:lang w:val="en-US" w:eastAsia="zh-CN"/>
              </w:rPr>
              <w:t>二</w:t>
            </w:r>
            <w:r>
              <w:rPr>
                <w:rFonts w:hint="eastAsia" w:ascii="宋体" w:hAnsi="宋体" w:eastAsia="宋体" w:cs="宋体"/>
                <w:sz w:val="24"/>
                <w:szCs w:val="24"/>
                <w:highlight w:val="none"/>
              </w:rPr>
              <w:t>部分投标须知第六条</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评</w:t>
            </w:r>
            <w:r>
              <w:rPr>
                <w:rFonts w:hint="eastAsia" w:ascii="宋体" w:hAnsi="宋体" w:eastAsia="宋体" w:cs="宋体"/>
                <w:sz w:val="24"/>
                <w:szCs w:val="24"/>
                <w:highlight w:val="none"/>
                <w:lang w:val="en-US" w:eastAsia="zh-CN"/>
              </w:rPr>
              <w:t>标</w:t>
            </w:r>
            <w:r>
              <w:rPr>
                <w:rFonts w:hint="eastAsia" w:ascii="宋体" w:hAnsi="宋体" w:eastAsia="宋体" w:cs="宋体"/>
                <w:sz w:val="24"/>
                <w:szCs w:val="24"/>
                <w:highlight w:val="none"/>
              </w:rPr>
              <w:t>原则”</w:t>
            </w:r>
            <w:r>
              <w:rPr>
                <w:rFonts w:hint="eastAsia" w:ascii="宋体" w:hAnsi="宋体" w:eastAsia="宋体" w:cs="宋体"/>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ascii="宋体" w:hAnsi="宋体" w:eastAsia="宋体" w:cs="宋体"/>
                <w:sz w:val="24"/>
                <w:szCs w:val="24"/>
              </w:rPr>
            </w:pPr>
            <w:r>
              <w:rPr>
                <w:rFonts w:hint="eastAsia" w:ascii="宋体" w:hAnsi="宋体" w:eastAsia="宋体" w:cs="宋体"/>
                <w:sz w:val="24"/>
                <w:szCs w:val="24"/>
              </w:rPr>
              <w:t>见第</w:t>
            </w:r>
            <w:r>
              <w:rPr>
                <w:rFonts w:hint="eastAsia" w:ascii="宋体" w:hAnsi="宋体" w:eastAsia="宋体" w:cs="宋体"/>
                <w:sz w:val="24"/>
                <w:szCs w:val="24"/>
                <w:lang w:val="en-US" w:eastAsia="zh-CN"/>
              </w:rPr>
              <w:t>二</w:t>
            </w:r>
            <w:r>
              <w:rPr>
                <w:rFonts w:hint="eastAsia" w:ascii="宋体" w:hAnsi="宋体" w:eastAsia="宋体" w:cs="宋体"/>
                <w:sz w:val="24"/>
                <w:szCs w:val="24"/>
              </w:rPr>
              <w:t>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18"/>
              <w:ind w:firstLine="482" w:firstLineChars="200"/>
              <w:rPr>
                <w:rFonts w:hAnsi="宋体" w:eastAsia="宋体" w:cs="宋体"/>
                <w:b/>
                <w:bCs/>
                <w:color w:val="000000"/>
                <w:sz w:val="24"/>
                <w:szCs w:val="24"/>
              </w:rPr>
            </w:pPr>
            <w:r>
              <w:rPr>
                <w:rFonts w:hint="eastAsia" w:hAnsi="宋体" w:eastAsia="宋体" w:cs="宋体"/>
                <w:b/>
                <w:bCs/>
                <w:color w:val="000000"/>
                <w:sz w:val="24"/>
                <w:szCs w:val="24"/>
              </w:rPr>
              <w:t>交货期：</w:t>
            </w:r>
          </w:p>
          <w:p>
            <w:pPr>
              <w:pStyle w:val="18"/>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自</w:t>
            </w:r>
            <w:r>
              <w:rPr>
                <w:rFonts w:hint="eastAsia" w:hAnsi="宋体" w:eastAsia="宋体" w:cs="宋体"/>
                <w:color w:val="000000"/>
                <w:sz w:val="24"/>
                <w:szCs w:val="24"/>
                <w:highlight w:val="none"/>
                <w:lang w:val="en-US" w:eastAsia="zh-CN"/>
              </w:rPr>
              <w:t>接到中标通知日</w:t>
            </w:r>
            <w:r>
              <w:rPr>
                <w:rFonts w:hint="eastAsia" w:hAnsi="宋体" w:eastAsia="宋体" w:cs="宋体"/>
                <w:color w:val="000000"/>
                <w:sz w:val="24"/>
                <w:szCs w:val="24"/>
                <w:highlight w:val="none"/>
              </w:rPr>
              <w:t>起，</w:t>
            </w:r>
            <w:r>
              <w:rPr>
                <w:rFonts w:hint="eastAsia" w:hAnsi="宋体" w:eastAsia="宋体" w:cs="宋体"/>
                <w:color w:val="000000"/>
                <w:sz w:val="24"/>
                <w:szCs w:val="24"/>
                <w:highlight w:val="yellow"/>
                <w:lang w:val="en-US" w:eastAsia="zh-CN"/>
              </w:rPr>
              <w:t>3个月内</w:t>
            </w:r>
            <w:r>
              <w:rPr>
                <w:rFonts w:hint="eastAsia" w:hAnsi="宋体" w:eastAsia="宋体" w:cs="宋体"/>
                <w:color w:val="000000"/>
                <w:sz w:val="24"/>
                <w:szCs w:val="24"/>
                <w:highlight w:val="none"/>
              </w:rPr>
              <w:t>完成现场安装调试及培训服务。</w:t>
            </w:r>
          </w:p>
          <w:p>
            <w:pPr>
              <w:pStyle w:val="18"/>
              <w:ind w:firstLine="480" w:firstLineChars="200"/>
              <w:rPr>
                <w:rFonts w:hAnsi="宋体" w:eastAsia="宋体" w:cs="宋体"/>
                <w:color w:val="000000"/>
                <w:sz w:val="24"/>
                <w:szCs w:val="24"/>
              </w:rPr>
            </w:pPr>
            <w:r>
              <w:rPr>
                <w:rFonts w:hint="eastAsia" w:ascii="宋体" w:hAnsi="宋体" w:eastAsia="宋体" w:cs="宋体"/>
                <w:color w:val="000000"/>
                <w:sz w:val="24"/>
                <w:szCs w:val="24"/>
                <w:highlight w:val="none"/>
              </w:rPr>
              <w:t>安装调试工期超过</w:t>
            </w:r>
            <w:r>
              <w:rPr>
                <w:rFonts w:hint="eastAsia" w:hAnsi="宋体" w:eastAsia="宋体" w:cs="宋体"/>
                <w:color w:val="000000"/>
                <w:sz w:val="24"/>
                <w:szCs w:val="24"/>
                <w:highlight w:val="yellow"/>
                <w:u w:val="none"/>
                <w:lang w:val="en-US" w:eastAsia="zh-CN"/>
              </w:rPr>
              <w:t>15</w:t>
            </w:r>
            <w:r>
              <w:rPr>
                <w:rFonts w:hint="eastAsia" w:ascii="宋体" w:hAnsi="宋体" w:eastAsia="宋体" w:cs="宋体"/>
                <w:color w:val="000000"/>
                <w:sz w:val="24"/>
                <w:szCs w:val="24"/>
                <w:highlight w:val="yellow"/>
                <w:u w:val="none"/>
              </w:rPr>
              <w:t>个日历日</w:t>
            </w:r>
            <w:r>
              <w:rPr>
                <w:rFonts w:hint="eastAsia" w:ascii="宋体" w:hAnsi="宋体" w:eastAsia="宋体" w:cs="宋体"/>
                <w:color w:val="000000"/>
                <w:sz w:val="24"/>
                <w:szCs w:val="24"/>
                <w:highlight w:val="yellow"/>
              </w:rPr>
              <w:t>的</w:t>
            </w:r>
            <w:r>
              <w:rPr>
                <w:rFonts w:hint="eastAsia" w:ascii="宋体" w:hAnsi="宋体" w:eastAsia="宋体" w:cs="宋体"/>
                <w:color w:val="000000"/>
                <w:sz w:val="24"/>
                <w:szCs w:val="24"/>
                <w:highlight w:val="none"/>
              </w:rPr>
              <w:t>，投标人应当随标书提供详细的工期计划。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pStyle w:val="18"/>
              <w:ind w:firstLine="482" w:firstLineChars="200"/>
              <w:rPr>
                <w:rFonts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pPr>
              <w:keepNext w:val="0"/>
              <w:keepLines w:val="0"/>
              <w:widowControl/>
              <w:suppressLineNumbers w:val="0"/>
              <w:ind w:firstLine="482" w:firstLineChars="200"/>
              <w:jc w:val="left"/>
              <w:rPr>
                <w:rFonts w:hAnsi="宋体" w:eastAsia="宋体" w:cs="宋体"/>
                <w:color w:val="000000"/>
                <w:sz w:val="24"/>
                <w:szCs w:val="24"/>
              </w:rPr>
            </w:pPr>
            <w:r>
              <w:rPr>
                <w:rFonts w:hint="eastAsia" w:hAnsi="宋体" w:eastAsia="宋体" w:cs="宋体"/>
                <w:b/>
                <w:bCs/>
                <w:color w:val="000000"/>
                <w:sz w:val="24"/>
                <w:szCs w:val="24"/>
              </w:rPr>
              <w:t>交货地点：</w:t>
            </w:r>
            <w:r>
              <w:rPr>
                <w:rFonts w:hint="eastAsia" w:ascii="宋体" w:hAnsi="宋体" w:eastAsia="宋体" w:cs="宋体"/>
                <w:color w:val="000000"/>
                <w:sz w:val="24"/>
                <w:szCs w:val="24"/>
                <w:highlight w:val="yellow"/>
                <w:u w:val="single"/>
                <w:lang w:val="en-US" w:eastAsia="zh-CN"/>
              </w:rPr>
              <w:t>济南卡车制造公司</w:t>
            </w:r>
            <w:r>
              <w:rPr>
                <w:rFonts w:hint="eastAsia" w:ascii="宋体" w:hAnsi="宋体" w:eastAsia="宋体" w:cs="宋体"/>
                <w:color w:val="000000"/>
                <w:sz w:val="24"/>
                <w:szCs w:val="24"/>
                <w:highlight w:val="yellow"/>
                <w:u w:val="single"/>
              </w:rPr>
              <w:t>莱芜工厂</w:t>
            </w:r>
            <w:r>
              <w:rPr>
                <w:rFonts w:hint="eastAsia" w:ascii="宋体" w:hAnsi="宋体" w:eastAsia="宋体" w:cs="宋体"/>
                <w:color w:val="000000"/>
                <w:sz w:val="24"/>
                <w:szCs w:val="24"/>
                <w:highlight w:val="yellow"/>
                <w:u w:val="single"/>
                <w:lang w:val="en-US" w:eastAsia="zh-CN"/>
              </w:rPr>
              <w:t>总装一部内</w:t>
            </w:r>
            <w:r>
              <w:rPr>
                <w:rFonts w:hint="eastAsia" w:ascii="宋体" w:hAnsi="宋体" w:eastAsia="宋体" w:cs="宋体"/>
                <w:color w:val="000000"/>
                <w:kern w:val="2"/>
                <w:sz w:val="24"/>
                <w:szCs w:val="24"/>
                <w:lang w:val="en-US" w:eastAsia="zh-CN" w:bidi="ar-SA"/>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2"/>
              <w:ind w:firstLine="482" w:firstLineChars="200"/>
              <w:rPr>
                <w:rFonts w:ascii="宋体" w:hAnsi="宋体" w:eastAsia="宋体" w:cs="宋体"/>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lang w:val="en-US" w:eastAsia="zh-CN"/>
              </w:rPr>
              <w:t>1</w:t>
            </w:r>
            <w:r>
              <w:rPr>
                <w:rFonts w:hint="eastAsia" w:ascii="宋体" w:hAnsi="宋体" w:eastAsia="宋体" w:cs="宋体"/>
                <w:b/>
                <w:sz w:val="24"/>
                <w:szCs w:val="24"/>
                <w:highlight w:val="yellow"/>
              </w:rPr>
              <w:t>年</w:t>
            </w:r>
            <w:r>
              <w:rPr>
                <w:rFonts w:hint="eastAsia" w:ascii="宋体" w:hAnsi="宋体" w:eastAsia="宋体" w:cs="宋体"/>
                <w:b/>
                <w:sz w:val="24"/>
                <w:szCs w:val="24"/>
              </w:rPr>
              <w:t>。</w:t>
            </w:r>
            <w:r>
              <w:rPr>
                <w:rFonts w:hint="eastAsia" w:ascii="宋体" w:hAnsi="宋体" w:eastAsia="宋体" w:cs="宋体"/>
                <w:sz w:val="24"/>
                <w:szCs w:val="24"/>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pStyle w:val="18"/>
              <w:ind w:firstLine="482" w:firstLineChars="200"/>
              <w:rPr>
                <w:rFonts w:hAnsi="宋体" w:eastAsia="宋体" w:cs="宋体"/>
                <w:color w:val="000000"/>
                <w:sz w:val="24"/>
                <w:szCs w:val="24"/>
                <w:highlight w:val="yellow"/>
              </w:rPr>
            </w:pPr>
            <w:r>
              <w:rPr>
                <w:rFonts w:hint="eastAsia" w:hAnsi="宋体" w:eastAsia="宋体" w:cs="宋体"/>
                <w:b/>
                <w:bCs/>
                <w:color w:val="000000"/>
                <w:sz w:val="24"/>
                <w:szCs w:val="24"/>
              </w:rPr>
              <w:t>付款方式：</w:t>
            </w:r>
            <w:r>
              <w:rPr>
                <w:rFonts w:hint="eastAsia" w:hAnsi="宋体" w:eastAsia="宋体" w:cs="宋体"/>
                <w:b/>
                <w:bCs/>
                <w:color w:val="000000"/>
                <w:sz w:val="24"/>
                <w:szCs w:val="24"/>
                <w:highlight w:val="yellow"/>
                <w:u w:val="single"/>
              </w:rPr>
              <w:t>半年期商业汇票（包括银行承兑汇票和商业承兑汇票）</w:t>
            </w:r>
            <w:r>
              <w:rPr>
                <w:rFonts w:hint="eastAsia" w:hAnsi="宋体" w:eastAsia="宋体" w:cs="宋体"/>
                <w:color w:val="000000"/>
                <w:sz w:val="24"/>
                <w:szCs w:val="24"/>
                <w:highlight w:val="yellow"/>
              </w:rPr>
              <w:t>：</w:t>
            </w:r>
          </w:p>
          <w:p>
            <w:pPr>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1</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rPr>
              <w:t>合同生效设备全部到齐无质量问题通过买方初步验收后, 卖方提交金额为合同含税价款</w:t>
            </w:r>
            <w:r>
              <w:rPr>
                <w:rFonts w:hint="eastAsia" w:ascii="宋体" w:hAnsi="宋体" w:eastAsia="宋体" w:cs="宋体"/>
                <w:b/>
                <w:bCs/>
                <w:color w:val="000000"/>
                <w:sz w:val="24"/>
                <w:szCs w:val="24"/>
                <w:highlight w:val="yellow"/>
                <w:lang w:val="en-US" w:eastAsia="zh-CN"/>
              </w:rPr>
              <w:t>30</w:t>
            </w:r>
            <w:r>
              <w:rPr>
                <w:rFonts w:hint="eastAsia" w:ascii="宋体" w:hAnsi="宋体" w:eastAsia="宋体" w:cs="宋体"/>
                <w:b/>
                <w:bCs/>
                <w:color w:val="000000"/>
                <w:sz w:val="24"/>
                <w:szCs w:val="24"/>
                <w:highlight w:val="yellow"/>
              </w:rPr>
              <w:t>%</w:t>
            </w:r>
            <w:r>
              <w:rPr>
                <w:rFonts w:hint="eastAsia" w:ascii="宋体" w:hAnsi="宋体" w:eastAsia="宋体" w:cs="宋体"/>
                <w:color w:val="000000"/>
                <w:sz w:val="24"/>
                <w:szCs w:val="24"/>
                <w:highlight w:val="yellow"/>
              </w:rPr>
              <w:t>的收据及合同全额</w:t>
            </w:r>
            <w:r>
              <w:rPr>
                <w:rFonts w:hint="eastAsia" w:ascii="宋体" w:hAnsi="宋体" w:eastAsia="宋体" w:cs="宋体"/>
                <w:color w:val="000000"/>
                <w:sz w:val="24"/>
                <w:szCs w:val="24"/>
                <w:highlight w:val="yellow"/>
                <w:lang w:val="en-US" w:eastAsia="zh-CN"/>
              </w:rPr>
              <w:t>30%</w:t>
            </w:r>
            <w:r>
              <w:rPr>
                <w:rFonts w:hint="eastAsia" w:ascii="宋体" w:hAnsi="宋体" w:eastAsia="宋体" w:cs="宋体"/>
                <w:color w:val="000000"/>
                <w:sz w:val="24"/>
                <w:szCs w:val="24"/>
                <w:highlight w:val="yellow"/>
              </w:rPr>
              <w:t>增值税专用发票（税率为</w:t>
            </w:r>
            <w:r>
              <w:rPr>
                <w:rFonts w:hint="eastAsia" w:ascii="宋体" w:hAnsi="宋体" w:eastAsia="宋体" w:cs="宋体"/>
                <w:color w:val="000000"/>
                <w:sz w:val="24"/>
                <w:szCs w:val="24"/>
                <w:highlight w:val="yellow"/>
                <w:lang w:val="en-US" w:eastAsia="zh-CN"/>
              </w:rPr>
              <w:t>13</w:t>
            </w:r>
            <w:r>
              <w:rPr>
                <w:rFonts w:hint="eastAsia" w:ascii="宋体" w:hAnsi="宋体" w:eastAsia="宋体" w:cs="宋体"/>
                <w:color w:val="000000"/>
                <w:sz w:val="24"/>
                <w:szCs w:val="24"/>
                <w:highlight w:val="yellow"/>
              </w:rPr>
              <w:t xml:space="preserve"> %，正本一份，复印件二份），经买方依照财务制度审核无误后支付。</w:t>
            </w:r>
          </w:p>
          <w:p>
            <w:pPr>
              <w:ind w:firstLine="480" w:firstLineChars="200"/>
              <w:rPr>
                <w:rFonts w:hint="eastAsia" w:ascii="宋体" w:hAnsi="宋体" w:eastAsia="宋体" w:cs="宋体"/>
                <w:color w:val="000000"/>
                <w:sz w:val="24"/>
                <w:szCs w:val="24"/>
                <w:highlight w:val="yellow"/>
                <w:lang w:eastAsia="zh-CN"/>
              </w:rPr>
            </w:pP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2</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rPr>
              <w:t>设备全部到齐无质量问题，经安装、调试最终验收合格后，卖方提交金额为合同含税价款</w:t>
            </w:r>
            <w:r>
              <w:rPr>
                <w:rFonts w:hint="eastAsia" w:ascii="宋体" w:hAnsi="宋体" w:eastAsia="宋体" w:cs="宋体"/>
                <w:b/>
                <w:bCs/>
                <w:color w:val="000000"/>
                <w:sz w:val="24"/>
                <w:szCs w:val="24"/>
                <w:highlight w:val="yellow"/>
                <w:lang w:val="en-US" w:eastAsia="zh-CN"/>
              </w:rPr>
              <w:t>60</w:t>
            </w:r>
            <w:r>
              <w:rPr>
                <w:rFonts w:hint="eastAsia" w:ascii="宋体" w:hAnsi="宋体" w:eastAsia="宋体" w:cs="宋体"/>
                <w:b/>
                <w:bCs/>
                <w:color w:val="000000"/>
                <w:sz w:val="24"/>
                <w:szCs w:val="24"/>
                <w:highlight w:val="yellow"/>
              </w:rPr>
              <w:t xml:space="preserve"> %</w:t>
            </w:r>
            <w:r>
              <w:rPr>
                <w:rFonts w:hint="eastAsia" w:ascii="宋体" w:hAnsi="宋体" w:eastAsia="宋体" w:cs="宋体"/>
                <w:color w:val="000000"/>
                <w:sz w:val="24"/>
                <w:szCs w:val="24"/>
                <w:highlight w:val="yellow"/>
              </w:rPr>
              <w:t>的收据及合同全额</w:t>
            </w:r>
            <w:r>
              <w:rPr>
                <w:rFonts w:hint="eastAsia" w:ascii="宋体" w:hAnsi="宋体" w:eastAsia="宋体" w:cs="宋体"/>
                <w:color w:val="000000"/>
                <w:sz w:val="24"/>
                <w:szCs w:val="24"/>
                <w:highlight w:val="yellow"/>
                <w:lang w:val="en-US" w:eastAsia="zh-CN"/>
              </w:rPr>
              <w:t>70%</w:t>
            </w:r>
            <w:r>
              <w:rPr>
                <w:rFonts w:hint="eastAsia" w:ascii="宋体" w:hAnsi="宋体" w:eastAsia="宋体" w:cs="宋体"/>
                <w:color w:val="000000"/>
                <w:sz w:val="24"/>
                <w:szCs w:val="24"/>
                <w:highlight w:val="yellow"/>
              </w:rPr>
              <w:t>增值税专用发票（税率为</w:t>
            </w:r>
            <w:r>
              <w:rPr>
                <w:rFonts w:hint="eastAsia" w:ascii="宋体" w:hAnsi="宋体" w:eastAsia="宋体" w:cs="宋体"/>
                <w:color w:val="000000"/>
                <w:sz w:val="24"/>
                <w:szCs w:val="24"/>
                <w:highlight w:val="yellow"/>
                <w:lang w:val="en-US" w:eastAsia="zh-CN"/>
              </w:rPr>
              <w:t>13</w:t>
            </w:r>
            <w:r>
              <w:rPr>
                <w:rFonts w:hint="eastAsia" w:ascii="宋体" w:hAnsi="宋体" w:eastAsia="宋体" w:cs="宋体"/>
                <w:color w:val="000000"/>
                <w:sz w:val="24"/>
                <w:szCs w:val="24"/>
                <w:highlight w:val="yellow"/>
              </w:rPr>
              <w:t xml:space="preserve"> %，正本一份，复印件二份）并附带该套合同设备最终验收报告的原件及其复印件两份，经买方依照财务制度审核无误后支付</w:t>
            </w:r>
            <w:r>
              <w:rPr>
                <w:rFonts w:hint="eastAsia" w:ascii="宋体" w:hAnsi="宋体" w:eastAsia="宋体" w:cs="宋体"/>
                <w:color w:val="000000"/>
                <w:sz w:val="24"/>
                <w:szCs w:val="24"/>
                <w:highlight w:val="yellow"/>
                <w:lang w:eastAsia="zh-CN"/>
              </w:rPr>
              <w:t>。</w:t>
            </w:r>
          </w:p>
          <w:p>
            <w:pPr>
              <w:ind w:firstLine="480" w:firstLineChars="200"/>
              <w:rPr>
                <w:rFonts w:ascii="宋体" w:hAnsi="宋体" w:eastAsia="宋体" w:cs="宋体"/>
                <w:sz w:val="24"/>
                <w:szCs w:val="24"/>
              </w:rPr>
            </w:pP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3</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rPr>
              <w:t>合同含税总价款的</w:t>
            </w:r>
            <w:r>
              <w:rPr>
                <w:rFonts w:hint="eastAsia" w:ascii="宋体" w:hAnsi="宋体" w:eastAsia="宋体" w:cs="宋体"/>
                <w:b/>
                <w:bCs/>
                <w:color w:val="000000"/>
                <w:sz w:val="24"/>
                <w:szCs w:val="24"/>
                <w:highlight w:val="yellow"/>
              </w:rPr>
              <w:t xml:space="preserve"> 10 %</w:t>
            </w:r>
            <w:r>
              <w:rPr>
                <w:rFonts w:hint="eastAsia" w:ascii="宋体" w:hAnsi="宋体" w:eastAsia="宋体" w:cs="宋体"/>
                <w:color w:val="000000"/>
                <w:sz w:val="24"/>
                <w:szCs w:val="24"/>
                <w:highlight w:val="yellow"/>
              </w:rPr>
              <w:t>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支付。如有质量问题，质量保证金予以相应扣除。</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ascii="宋体" w:hAnsi="宋体" w:eastAsia="宋体" w:cs="宋体"/>
                <w:b/>
                <w:color w:val="000000"/>
                <w:sz w:val="24"/>
                <w:szCs w:val="24"/>
                <w:highlight w:val="yellow"/>
              </w:rPr>
            </w:pPr>
            <w:r>
              <w:rPr>
                <w:rFonts w:hint="eastAsia" w:ascii="宋体" w:hAnsi="宋体" w:eastAsia="宋体" w:cs="宋体"/>
                <w:b/>
                <w:color w:val="000000"/>
                <w:sz w:val="24"/>
                <w:szCs w:val="24"/>
                <w:highlight w:val="yellow"/>
              </w:rPr>
              <w:t>增值税专用发票开票信息：</w:t>
            </w:r>
          </w:p>
          <w:p>
            <w:pPr>
              <w:ind w:firstLine="480" w:firstLineChars="200"/>
              <w:rPr>
                <w:rFonts w:ascii="宋体" w:hAnsi="宋体" w:cs="宋体"/>
                <w:bCs/>
                <w:sz w:val="24"/>
                <w:szCs w:val="24"/>
              </w:rPr>
            </w:pPr>
            <w:r>
              <w:rPr>
                <w:rFonts w:hint="eastAsia" w:ascii="宋体" w:hAnsi="宋体" w:eastAsia="宋体" w:cs="宋体"/>
                <w:color w:val="000000"/>
                <w:sz w:val="24"/>
                <w:szCs w:val="24"/>
                <w:highlight w:val="yellow"/>
                <w:lang w:val="en-US" w:eastAsia="zh-CN"/>
              </w:rPr>
              <w:t>详见合同签订信息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2"/>
              <w:jc w:val="center"/>
              <w:rPr>
                <w:rFonts w:ascii="宋体" w:hAnsi="宋体" w:eastAsia="宋体" w:cs="宋体"/>
                <w:sz w:val="24"/>
                <w:szCs w:val="24"/>
              </w:rPr>
            </w:pPr>
            <w:r>
              <w:rPr>
                <w:rFonts w:hint="eastAsia" w:ascii="宋体" w:hAnsi="宋体" w:eastAsia="宋体" w:cs="宋体"/>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12"/>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w:t>
            </w:r>
            <w:r>
              <w:rPr>
                <w:rFonts w:hint="eastAsia" w:ascii="宋体" w:hAnsi="宋体" w:eastAsia="宋体" w:cs="宋体"/>
                <w:sz w:val="24"/>
                <w:szCs w:val="24"/>
                <w:highlight w:val="none"/>
              </w:rPr>
              <w:t>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2"/>
              <w:ind w:firstLine="480" w:firstLineChars="200"/>
              <w:rPr>
                <w:rFonts w:ascii="宋体" w:hAnsi="宋体" w:eastAsia="宋体" w:cs="宋体"/>
                <w:sz w:val="24"/>
                <w:szCs w:val="24"/>
              </w:rPr>
            </w:pPr>
            <w:r>
              <w:rPr>
                <w:rFonts w:hint="eastAsia" w:ascii="宋体" w:hAnsi="宋体" w:eastAsia="宋体" w:cs="宋体"/>
                <w:sz w:val="24"/>
                <w:szCs w:val="24"/>
              </w:rPr>
              <w:t>中标方应在合同签</w:t>
            </w:r>
            <w:r>
              <w:rPr>
                <w:rFonts w:hint="eastAsia" w:ascii="宋体" w:hAnsi="宋体" w:eastAsia="宋体" w:cs="宋体"/>
                <w:sz w:val="24"/>
                <w:szCs w:val="24"/>
                <w:highlight w:val="none"/>
              </w:rPr>
              <w:t>订后</w:t>
            </w:r>
            <w:r>
              <w:rPr>
                <w:rFonts w:hint="eastAsia" w:ascii="宋体" w:hAnsi="宋体" w:eastAsia="宋体" w:cs="宋体"/>
                <w:sz w:val="24"/>
                <w:szCs w:val="24"/>
                <w:highlight w:val="yellow"/>
              </w:rPr>
              <w:t>1</w:t>
            </w:r>
            <w:r>
              <w:rPr>
                <w:rFonts w:hint="eastAsia" w:ascii="宋体" w:hAnsi="宋体" w:eastAsia="宋体" w:cs="宋体"/>
                <w:sz w:val="24"/>
                <w:szCs w:val="24"/>
                <w:highlight w:val="yellow"/>
                <w:lang w:val="en-US" w:eastAsia="zh-CN"/>
              </w:rPr>
              <w:t>0</w:t>
            </w:r>
            <w:r>
              <w:rPr>
                <w:rFonts w:hint="eastAsia" w:ascii="宋体" w:hAnsi="宋体" w:eastAsia="宋体" w:cs="宋体"/>
                <w:sz w:val="24"/>
                <w:szCs w:val="24"/>
                <w:highlight w:val="none"/>
              </w:rPr>
              <w:t>日内需根据设计</w:t>
            </w:r>
            <w:r>
              <w:rPr>
                <w:rStyle w:val="45"/>
                <w:rFonts w:hint="eastAsia" w:ascii="宋体" w:hAnsi="宋体" w:eastAsia="宋体" w:cs="宋体"/>
                <w:sz w:val="24"/>
                <w:szCs w:val="24"/>
                <w:highlight w:val="none"/>
              </w:rPr>
              <w:t>提资</w:t>
            </w:r>
            <w:r>
              <w:rPr>
                <w:rFonts w:hint="eastAsia" w:ascii="宋体" w:hAnsi="宋体" w:eastAsia="宋体" w:cs="宋体"/>
                <w:sz w:val="24"/>
                <w:szCs w:val="24"/>
                <w:highlight w:val="none"/>
              </w:rPr>
              <w:t>要求提供详细的</w:t>
            </w:r>
            <w:r>
              <w:rPr>
                <w:rStyle w:val="45"/>
                <w:rFonts w:hint="eastAsia" w:ascii="宋体" w:hAnsi="宋体" w:eastAsia="宋体" w:cs="宋体"/>
                <w:sz w:val="24"/>
                <w:szCs w:val="24"/>
                <w:highlight w:val="none"/>
              </w:rPr>
              <w:t>设备</w:t>
            </w:r>
            <w:r>
              <w:rPr>
                <w:rFonts w:hint="eastAsia" w:ascii="宋体" w:hAnsi="宋体" w:eastAsia="宋体" w:cs="宋体"/>
                <w:sz w:val="24"/>
                <w:szCs w:val="24"/>
                <w:highlight w:val="none"/>
              </w:rPr>
              <w:t>图纸等资料,其中包含</w:t>
            </w:r>
            <w:r>
              <w:rPr>
                <w:rStyle w:val="45"/>
                <w:rFonts w:hint="eastAsia" w:ascii="宋体" w:hAnsi="宋体" w:eastAsia="宋体" w:cs="宋体"/>
                <w:sz w:val="24"/>
                <w:szCs w:val="24"/>
                <w:highlight w:val="none"/>
              </w:rPr>
              <w:t>设备</w:t>
            </w:r>
            <w:r>
              <w:rPr>
                <w:rFonts w:hint="eastAsia" w:ascii="宋体" w:hAnsi="宋体" w:eastAsia="宋体" w:cs="宋体"/>
                <w:sz w:val="24"/>
                <w:szCs w:val="24"/>
                <w:highlight w:val="none"/>
              </w:rPr>
              <w:t>的外形尺寸,运维空间</w:t>
            </w:r>
            <w:r>
              <w:rPr>
                <w:rStyle w:val="45"/>
                <w:rFonts w:hint="eastAsia" w:ascii="宋体" w:hAnsi="宋体" w:eastAsia="宋体" w:cs="宋体"/>
                <w:sz w:val="24"/>
                <w:szCs w:val="24"/>
                <w:highlight w:val="none"/>
              </w:rPr>
              <w:t>,设备</w:t>
            </w:r>
            <w:r>
              <w:rPr>
                <w:rFonts w:hint="eastAsia" w:ascii="宋体" w:hAnsi="宋体" w:eastAsia="宋体" w:cs="宋体"/>
                <w:sz w:val="24"/>
                <w:szCs w:val="24"/>
                <w:highlight w:val="none"/>
              </w:rPr>
              <w:t>运行参数,材料材质,接口信息,规格,技术需求.等资料，提交给买方，项目设计单位以此补充设计施工图纸，中标人最终审核确认。对于提资不准确不全面、</w:t>
            </w:r>
            <w:r>
              <w:rPr>
                <w:rFonts w:hint="eastAsia" w:ascii="宋体" w:hAnsi="宋体" w:eastAsia="宋体" w:cs="宋体"/>
                <w:sz w:val="24"/>
                <w:szCs w:val="24"/>
              </w:rPr>
              <w:t>不符合招标文件技术要求、提资变更导致的损失由卖方承担，并承担违约责任。</w:t>
            </w:r>
          </w:p>
        </w:tc>
      </w:tr>
      <w:bookmarkEnd w:id="3"/>
    </w:tbl>
    <w:p>
      <w:pPr>
        <w:pStyle w:val="18"/>
        <w:jc w:val="center"/>
        <w:outlineLvl w:val="0"/>
        <w:rPr>
          <w:rFonts w:hint="eastAsia" w:ascii="Calibri" w:hAnsi="Calibri" w:eastAsia="宋体" w:cs="Times New Roman"/>
          <w:b/>
          <w:bCs/>
          <w:kern w:val="44"/>
          <w:sz w:val="36"/>
          <w:szCs w:val="44"/>
        </w:rPr>
      </w:pPr>
      <w:bookmarkStart w:id="4" w:name="_Toc15609"/>
    </w:p>
    <w:p>
      <w:pPr>
        <w:pStyle w:val="18"/>
        <w:jc w:val="center"/>
        <w:outlineLvl w:val="0"/>
        <w:rPr>
          <w:rFonts w:hint="eastAsia" w:ascii="Calibri" w:hAnsi="Calibri" w:eastAsia="宋体" w:cs="Times New Roman"/>
          <w:b/>
          <w:bCs/>
          <w:kern w:val="44"/>
          <w:sz w:val="36"/>
          <w:szCs w:val="44"/>
        </w:rPr>
      </w:pPr>
    </w:p>
    <w:p>
      <w:pPr>
        <w:pStyle w:val="18"/>
        <w:jc w:val="center"/>
        <w:outlineLvl w:val="0"/>
        <w:rPr>
          <w:rFonts w:hint="eastAsia" w:ascii="Calibri" w:hAnsi="Calibri" w:eastAsia="宋体" w:cs="Times New Roman"/>
          <w:b/>
          <w:bCs/>
          <w:kern w:val="44"/>
          <w:sz w:val="36"/>
          <w:szCs w:val="44"/>
        </w:rPr>
      </w:pPr>
    </w:p>
    <w:p>
      <w:pPr>
        <w:pStyle w:val="18"/>
        <w:jc w:val="center"/>
        <w:outlineLvl w:val="0"/>
        <w:rPr>
          <w:rFonts w:hint="eastAsia" w:ascii="Calibri" w:hAnsi="Calibri" w:eastAsia="宋体" w:cs="Times New Roman"/>
          <w:b/>
          <w:bCs/>
          <w:kern w:val="44"/>
          <w:sz w:val="36"/>
          <w:szCs w:val="44"/>
        </w:rPr>
      </w:pPr>
    </w:p>
    <w:p>
      <w:pPr>
        <w:pStyle w:val="18"/>
        <w:jc w:val="center"/>
        <w:outlineLvl w:val="0"/>
        <w:rPr>
          <w:rFonts w:hint="eastAsia" w:ascii="Calibri" w:hAnsi="Calibri" w:eastAsia="宋体" w:cs="Times New Roman"/>
          <w:b/>
          <w:bCs/>
          <w:kern w:val="44"/>
          <w:sz w:val="36"/>
          <w:szCs w:val="44"/>
        </w:rPr>
      </w:pPr>
    </w:p>
    <w:p>
      <w:pPr>
        <w:pStyle w:val="18"/>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二</w:t>
      </w:r>
      <w:r>
        <w:rPr>
          <w:rFonts w:hint="eastAsia" w:ascii="Calibri" w:hAnsi="Calibri" w:eastAsia="宋体" w:cs="Times New Roman"/>
          <w:b/>
          <w:bCs/>
          <w:kern w:val="44"/>
          <w:sz w:val="36"/>
          <w:szCs w:val="44"/>
        </w:rPr>
        <w:t>部分 投标须知</w:t>
      </w:r>
      <w:bookmarkEnd w:id="4"/>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一、项目名称</w:t>
      </w:r>
    </w:p>
    <w:p>
      <w:pPr>
        <w:spacing w:line="360" w:lineRule="auto"/>
        <w:ind w:left="1679" w:leftChars="228" w:hanging="1200" w:hangingChars="500"/>
        <w:rPr>
          <w:rFonts w:hint="eastAsia" w:ascii="宋体" w:hAnsi="宋体" w:eastAsia="宋体" w:cs="宋体"/>
          <w:color w:val="000000"/>
          <w:sz w:val="24"/>
          <w:szCs w:val="24"/>
          <w:highlight w:val="none"/>
          <w:u w:val="single"/>
        </w:rPr>
      </w:pPr>
      <w:r>
        <w:rPr>
          <w:rFonts w:hint="eastAsia" w:ascii="宋体" w:hAnsi="宋体" w:eastAsia="宋体" w:cs="宋体"/>
          <w:color w:val="000000"/>
          <w:sz w:val="24"/>
          <w:szCs w:val="24"/>
        </w:rPr>
        <w:t>项目名称：</w:t>
      </w:r>
      <w:bookmarkStart w:id="5" w:name="OLE_LINK1"/>
      <w:r>
        <w:rPr>
          <w:rFonts w:hint="eastAsia" w:ascii="宋体" w:hAnsi="宋体" w:eastAsia="宋体" w:cs="宋体"/>
          <w:color w:val="000000"/>
          <w:sz w:val="24"/>
          <w:szCs w:val="24"/>
          <w:highlight w:val="none"/>
        </w:rPr>
        <w:t>见《投标须知前附表》。</w:t>
      </w:r>
    </w:p>
    <w:bookmarkEnd w:id="5"/>
    <w:p>
      <w:pPr>
        <w:keepNext/>
        <w:keepLines/>
        <w:numPr>
          <w:ilvl w:val="0"/>
          <w:numId w:val="4"/>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招标内容及形式</w:t>
      </w:r>
    </w:p>
    <w:p>
      <w:pPr>
        <w:pStyle w:val="18"/>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见《投标须知前附表》。</w:t>
      </w:r>
    </w:p>
    <w:p>
      <w:pPr>
        <w:spacing w:line="360" w:lineRule="auto"/>
        <w:ind w:firstLine="482" w:firstLineChars="200"/>
        <w:rPr>
          <w:rFonts w:hint="eastAsia"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对于本项目需着重介绍的注意事项已经通过以下带颜色文档进行标记。</w:t>
      </w:r>
    </w:p>
    <w:p>
      <w:pPr>
        <w:spacing w:line="360" w:lineRule="auto"/>
        <w:ind w:firstLine="482" w:firstLineChars="200"/>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具体要求详见《技术标书》。</w:t>
      </w:r>
    </w:p>
    <w:p>
      <w:pPr>
        <w:keepNext/>
        <w:keepLines/>
        <w:numPr>
          <w:ilvl w:val="0"/>
          <w:numId w:val="4"/>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交货及付款</w:t>
      </w:r>
      <w:r>
        <w:rPr>
          <w:rFonts w:hint="eastAsia" w:ascii="宋体" w:hAnsi="宋体" w:eastAsia="宋体" w:cs="宋体"/>
          <w:b/>
          <w:bCs/>
          <w:sz w:val="24"/>
          <w:szCs w:val="24"/>
          <w:highlight w:val="none"/>
        </w:rPr>
        <w:tab/>
      </w:r>
    </w:p>
    <w:p>
      <w:pPr>
        <w:pStyle w:val="18"/>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交货期、交货地点、交货方式、付款方式及比例见《投标须知前附表》第7条。</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四、投标说明</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1.报名方式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投标人根据招</w:t>
      </w:r>
      <w:r>
        <w:rPr>
          <w:rFonts w:hint="eastAsia" w:ascii="宋体" w:hAnsi="宋体" w:eastAsia="宋体" w:cs="宋体"/>
          <w:color w:val="000000"/>
          <w:sz w:val="24"/>
          <w:szCs w:val="24"/>
          <w:highlight w:val="none"/>
        </w:rPr>
        <w:t>标人在中国重汽官网</w:t>
      </w:r>
      <w:r>
        <w:rPr>
          <w:rFonts w:hint="eastAsia" w:ascii="宋体" w:hAnsi="宋体" w:eastAsia="宋体" w:cs="宋体"/>
          <w:color w:val="000000"/>
          <w:sz w:val="24"/>
          <w:szCs w:val="24"/>
          <w:highlight w:val="none"/>
          <w:lang w:val="en-US" w:eastAsia="zh-CN"/>
        </w:rPr>
        <w:t>等公开媒体</w:t>
      </w:r>
      <w:r>
        <w:rPr>
          <w:rFonts w:hint="eastAsia" w:ascii="宋体" w:hAnsi="宋体" w:eastAsia="宋体" w:cs="宋体"/>
          <w:color w:val="000000"/>
          <w:sz w:val="24"/>
          <w:szCs w:val="24"/>
        </w:rPr>
        <w:t>上发布的招标信息，</w:t>
      </w:r>
      <w:r>
        <w:rPr>
          <w:rFonts w:hint="eastAsia" w:ascii="宋体" w:hAnsi="宋体" w:eastAsia="宋体" w:cs="宋体"/>
          <w:color w:val="000000"/>
          <w:sz w:val="24"/>
          <w:szCs w:val="24"/>
          <w:lang w:val="en-US" w:eastAsia="zh-CN"/>
        </w:rPr>
        <w:t>在“中国重汽e采通”平台</w:t>
      </w:r>
      <w:r>
        <w:rPr>
          <w:rFonts w:hint="eastAsia" w:ascii="宋体" w:hAnsi="宋体" w:eastAsia="宋体" w:cs="宋体"/>
          <w:color w:val="000000"/>
          <w:sz w:val="24"/>
          <w:szCs w:val="24"/>
        </w:rPr>
        <w:t>报名。</w:t>
      </w:r>
      <w:r>
        <w:rPr>
          <w:rFonts w:hint="eastAsia" w:ascii="宋体" w:hAnsi="宋体" w:eastAsia="宋体" w:cs="宋体"/>
          <w:b w:val="0"/>
          <w:bCs w:val="0"/>
          <w:color w:val="000000"/>
          <w:sz w:val="24"/>
          <w:szCs w:val="24"/>
          <w:highlight w:val="none"/>
          <w:lang w:val="en-US" w:eastAsia="zh-CN"/>
        </w:rPr>
        <w:t>按照中国重汽e采通“SRM非生产供应商注册手册（附件15）”进行注册</w:t>
      </w:r>
      <w:r>
        <w:rPr>
          <w:rFonts w:hint="eastAsia" w:ascii="宋体" w:hAnsi="宋体" w:eastAsia="宋体" w:cs="宋体"/>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“SRM系统供应商用户手册（附件16）”登录系统，</w:t>
      </w:r>
      <w:r>
        <w:rPr>
          <w:rFonts w:hint="eastAsia" w:ascii="宋体" w:hAnsi="宋体" w:eastAsia="宋体" w:cs="宋体"/>
          <w:color w:val="000000"/>
          <w:sz w:val="24"/>
          <w:szCs w:val="24"/>
          <w:highlight w:val="none"/>
          <w:lang w:val="en-US" w:eastAsia="zh-CN"/>
        </w:rPr>
        <w:t>进入“供应商应标”，选择对应的项目，点击“</w:t>
      </w:r>
      <w:r>
        <w:rPr>
          <w:rFonts w:hint="eastAsia" w:ascii="宋体" w:hAnsi="宋体" w:eastAsia="宋体" w:cs="宋体"/>
          <w:b w:val="0"/>
          <w:bCs w:val="0"/>
          <w:color w:val="000000"/>
          <w:sz w:val="24"/>
          <w:szCs w:val="24"/>
          <w:highlight w:val="none"/>
          <w:lang w:val="en-US" w:eastAsia="zh-CN"/>
        </w:rPr>
        <w:t>应标</w:t>
      </w:r>
      <w:r>
        <w:rPr>
          <w:rFonts w:hint="eastAsia" w:ascii="宋体" w:hAnsi="宋体" w:eastAsia="宋体" w:cs="宋体"/>
          <w:color w:val="000000"/>
          <w:sz w:val="24"/>
          <w:szCs w:val="24"/>
          <w:highlight w:val="none"/>
          <w:lang w:val="en-US" w:eastAsia="zh-CN"/>
        </w:rPr>
        <w:t>”后</w:t>
      </w:r>
      <w:r>
        <w:rPr>
          <w:rFonts w:hint="eastAsia" w:ascii="宋体" w:hAnsi="宋体" w:eastAsia="宋体" w:cs="宋体"/>
          <w:b w:val="0"/>
          <w:bCs w:val="0"/>
          <w:color w:val="000000"/>
          <w:sz w:val="24"/>
          <w:szCs w:val="24"/>
          <w:highlight w:val="none"/>
        </w:rPr>
        <w:t>按照</w:t>
      </w:r>
      <w:r>
        <w:rPr>
          <w:rFonts w:hint="eastAsia" w:ascii="宋体" w:hAnsi="宋体" w:eastAsia="宋体" w:cs="宋体"/>
          <w:b w:val="0"/>
          <w:bCs w:val="0"/>
          <w:color w:val="000000"/>
          <w:sz w:val="24"/>
          <w:szCs w:val="24"/>
          <w:highlight w:val="none"/>
          <w:lang w:val="en-US" w:eastAsia="zh-CN"/>
        </w:rPr>
        <w:t>招标文件</w:t>
      </w:r>
      <w:r>
        <w:rPr>
          <w:rFonts w:hint="eastAsia" w:ascii="宋体" w:hAnsi="宋体" w:eastAsia="宋体" w:cs="宋体"/>
          <w:b w:val="0"/>
          <w:bCs w:val="0"/>
          <w:color w:val="000000"/>
          <w:sz w:val="24"/>
          <w:szCs w:val="24"/>
          <w:highlight w:val="none"/>
        </w:rPr>
        <w:t>第</w:t>
      </w:r>
      <w:r>
        <w:rPr>
          <w:rFonts w:hint="eastAsia" w:ascii="宋体" w:hAnsi="宋体" w:eastAsia="宋体" w:cs="宋体"/>
          <w:b w:val="0"/>
          <w:bCs w:val="0"/>
          <w:color w:val="000000"/>
          <w:sz w:val="24"/>
          <w:szCs w:val="24"/>
          <w:highlight w:val="none"/>
          <w:lang w:val="en-US" w:eastAsia="zh-CN"/>
        </w:rPr>
        <w:t>三</w:t>
      </w:r>
      <w:r>
        <w:rPr>
          <w:rFonts w:hint="eastAsia" w:ascii="宋体" w:hAnsi="宋体" w:eastAsia="宋体" w:cs="宋体"/>
          <w:b w:val="0"/>
          <w:bCs w:val="0"/>
          <w:color w:val="000000"/>
          <w:sz w:val="24"/>
          <w:szCs w:val="24"/>
          <w:highlight w:val="none"/>
        </w:rPr>
        <w:t>部分投标文件组成资格证明文件中的1.1-1.</w:t>
      </w:r>
      <w:r>
        <w:rPr>
          <w:rFonts w:hint="eastAsia" w:ascii="宋体" w:hAnsi="宋体" w:eastAsia="宋体" w:cs="宋体"/>
          <w:b w:val="0"/>
          <w:bCs w:val="0"/>
          <w:color w:val="000000"/>
          <w:sz w:val="24"/>
          <w:szCs w:val="24"/>
          <w:highlight w:val="none"/>
          <w:lang w:val="en-US" w:eastAsia="zh-CN"/>
        </w:rPr>
        <w:t>13准备资料并</w:t>
      </w:r>
      <w:r>
        <w:rPr>
          <w:rFonts w:hint="eastAsia" w:ascii="宋体" w:hAnsi="宋体" w:eastAsia="宋体" w:cs="宋体"/>
          <w:color w:val="000000"/>
          <w:sz w:val="24"/>
          <w:szCs w:val="24"/>
          <w:highlight w:val="none"/>
          <w:lang w:val="en-US" w:eastAsia="zh-CN"/>
        </w:rPr>
        <w:t>上传，资质审查通过即为报名成功</w:t>
      </w:r>
      <w:r>
        <w:rPr>
          <w:rFonts w:hint="eastAsia" w:ascii="宋体" w:hAnsi="宋体" w:eastAsia="宋体" w:cs="宋体"/>
          <w:color w:val="000000"/>
          <w:sz w:val="24"/>
          <w:szCs w:val="24"/>
          <w:highlight w:val="none"/>
        </w:rPr>
        <w:t>，公示期间</w:t>
      </w:r>
      <w:r>
        <w:rPr>
          <w:rFonts w:hint="eastAsia" w:ascii="宋体" w:hAnsi="宋体" w:eastAsia="宋体" w:cs="宋体"/>
          <w:color w:val="000000"/>
          <w:sz w:val="24"/>
          <w:szCs w:val="24"/>
        </w:rPr>
        <w:t>请尽快报名。</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w:t>
      </w:r>
      <w:r>
        <w:rPr>
          <w:rFonts w:hint="eastAsia" w:ascii="宋体" w:hAnsi="宋体" w:eastAsia="宋体" w:cs="宋体"/>
          <w:color w:val="000000"/>
          <w:sz w:val="24"/>
          <w:szCs w:val="24"/>
          <w:lang w:val="en-US" w:eastAsia="zh-CN"/>
        </w:rPr>
        <w:t>人</w:t>
      </w:r>
      <w:r>
        <w:rPr>
          <w:rFonts w:hint="eastAsia" w:ascii="宋体" w:hAnsi="宋体" w:eastAsia="宋体" w:cs="宋体"/>
          <w:color w:val="000000"/>
          <w:sz w:val="24"/>
          <w:szCs w:val="24"/>
        </w:rPr>
        <w:t>承担</w:t>
      </w:r>
      <w:r>
        <w:rPr>
          <w:rFonts w:hint="eastAsia" w:ascii="宋体" w:hAnsi="宋体" w:eastAsia="宋体" w:cs="宋体"/>
          <w:color w:val="000000"/>
          <w:sz w:val="24"/>
          <w:szCs w:val="24"/>
          <w:lang w:val="en-US" w:eastAsia="zh-CN"/>
        </w:rPr>
        <w:t>责任</w:t>
      </w:r>
      <w:r>
        <w:rPr>
          <w:rFonts w:hint="eastAsia" w:ascii="宋体" w:hAnsi="宋体" w:eastAsia="宋体" w:cs="宋体"/>
          <w:color w:val="000000"/>
          <w:sz w:val="24"/>
          <w:szCs w:val="24"/>
        </w:rPr>
        <w:t>。</w:t>
      </w:r>
    </w:p>
    <w:p>
      <w:pPr>
        <w:keepNext/>
        <w:keepLines/>
        <w:numPr>
          <w:ilvl w:val="0"/>
          <w:numId w:val="5"/>
        </w:num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投标条件</w:t>
      </w:r>
    </w:p>
    <w:p>
      <w:pPr>
        <w:pStyle w:val="18"/>
        <w:spacing w:line="360" w:lineRule="auto"/>
        <w:ind w:firstLine="480"/>
        <w:rPr>
          <w:rFonts w:hint="eastAsia" w:ascii="宋体" w:hAnsi="宋体" w:eastAsia="宋体" w:cs="宋体"/>
          <w:b/>
          <w:color w:val="000000"/>
          <w:sz w:val="24"/>
          <w:szCs w:val="24"/>
          <w:highlight w:val="none"/>
        </w:rPr>
      </w:pPr>
      <w:r>
        <w:rPr>
          <w:rFonts w:hint="eastAsia" w:ascii="宋体" w:hAnsi="宋体" w:eastAsia="宋体" w:cs="宋体"/>
          <w:b/>
          <w:bCs/>
          <w:color w:val="000000"/>
          <w:sz w:val="24"/>
          <w:szCs w:val="24"/>
          <w:highlight w:val="none"/>
        </w:rPr>
        <w:t>对于中国境内投标人</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投标条件</w:t>
      </w:r>
      <w:r>
        <w:rPr>
          <w:rFonts w:hint="eastAsia" w:ascii="宋体" w:hAnsi="宋体" w:eastAsia="宋体" w:cs="宋体"/>
          <w:b/>
          <w:bCs/>
          <w:color w:val="000000"/>
          <w:sz w:val="24"/>
          <w:szCs w:val="24"/>
          <w:highlight w:val="none"/>
          <w:lang w:val="en-US" w:eastAsia="zh-CN"/>
        </w:rPr>
        <w:t>详见招标文件“第一部分投标须知前附表1.6”。</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3.报价</w:t>
      </w:r>
    </w:p>
    <w:p>
      <w:pPr>
        <w:pStyle w:val="18"/>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w:t>
      </w:r>
      <w:r>
        <w:rPr>
          <w:rFonts w:hint="eastAsia" w:ascii="宋体" w:hAnsi="宋体" w:eastAsia="宋体" w:cs="宋体"/>
          <w:sz w:val="24"/>
          <w:szCs w:val="24"/>
        </w:rPr>
        <w:t>本次招投标为</w:t>
      </w:r>
      <w:r>
        <w:rPr>
          <w:rFonts w:hint="eastAsia" w:ascii="宋体" w:hAnsi="宋体" w:eastAsia="宋体" w:cs="宋体"/>
          <w:color w:val="000000"/>
          <w:sz w:val="24"/>
          <w:szCs w:val="24"/>
          <w:highlight w:val="yellow"/>
        </w:rPr>
        <w:t>公开招标</w:t>
      </w:r>
      <w:r>
        <w:rPr>
          <w:rFonts w:hint="eastAsia" w:ascii="宋体" w:hAnsi="宋体" w:eastAsia="宋体" w:cs="宋体"/>
          <w:b/>
          <w:sz w:val="24"/>
          <w:szCs w:val="24"/>
        </w:rPr>
        <w:t>；</w:t>
      </w:r>
      <w:r>
        <w:rPr>
          <w:rFonts w:hint="eastAsia" w:ascii="宋体" w:hAnsi="宋体" w:eastAsia="宋体" w:cs="宋体"/>
          <w:color w:val="000000"/>
          <w:sz w:val="24"/>
          <w:szCs w:val="24"/>
        </w:rPr>
        <w:t>评标流程以及规则详见</w:t>
      </w:r>
      <w:r>
        <w:rPr>
          <w:rFonts w:hint="eastAsia" w:ascii="宋体" w:hAnsi="宋体" w:eastAsia="宋体" w:cs="宋体"/>
          <w:color w:val="000000"/>
          <w:sz w:val="24"/>
          <w:szCs w:val="24"/>
          <w:lang w:val="en-US" w:eastAsia="zh-CN"/>
        </w:rPr>
        <w:t>本部分第</w:t>
      </w:r>
      <w:r>
        <w:rPr>
          <w:rFonts w:hint="eastAsia" w:ascii="宋体" w:hAnsi="宋体" w:eastAsia="宋体" w:cs="宋体"/>
          <w:color w:val="000000"/>
          <w:sz w:val="24"/>
          <w:szCs w:val="24"/>
        </w:rPr>
        <w:t>六</w:t>
      </w:r>
      <w:r>
        <w:rPr>
          <w:rFonts w:hint="eastAsia" w:ascii="宋体" w:hAnsi="宋体" w:eastAsia="宋体" w:cs="宋体"/>
          <w:color w:val="000000"/>
          <w:sz w:val="24"/>
          <w:szCs w:val="24"/>
          <w:lang w:val="en-US" w:eastAsia="zh-CN"/>
        </w:rPr>
        <w:t>条</w:t>
      </w:r>
      <w:r>
        <w:rPr>
          <w:rFonts w:hint="eastAsia" w:ascii="宋体" w:hAnsi="宋体" w:eastAsia="宋体" w:cs="宋体"/>
          <w:color w:val="000000"/>
          <w:sz w:val="24"/>
          <w:szCs w:val="24"/>
        </w:rPr>
        <w:t>评标</w:t>
      </w:r>
      <w:r>
        <w:rPr>
          <w:rFonts w:hint="eastAsia" w:ascii="宋体" w:hAnsi="宋体" w:eastAsia="宋体" w:cs="宋体"/>
          <w:color w:val="000000"/>
          <w:sz w:val="24"/>
          <w:szCs w:val="24"/>
          <w:lang w:val="en-US" w:eastAsia="zh-CN"/>
        </w:rPr>
        <w:t>原则</w:t>
      </w:r>
      <w:r>
        <w:rPr>
          <w:rFonts w:hint="eastAsia" w:ascii="宋体" w:hAnsi="宋体" w:eastAsia="宋体" w:cs="宋体"/>
          <w:color w:val="000000"/>
          <w:sz w:val="24"/>
          <w:szCs w:val="24"/>
        </w:rPr>
        <w:t>。</w:t>
      </w:r>
    </w:p>
    <w:p>
      <w:pPr>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3.2</w:t>
      </w:r>
      <w:r>
        <w:rPr>
          <w:rFonts w:hint="eastAsia" w:ascii="宋体" w:hAnsi="宋体" w:eastAsia="宋体" w:cs="宋体"/>
          <w:b/>
          <w:bCs/>
          <w:color w:val="000000"/>
          <w:sz w:val="24"/>
          <w:szCs w:val="24"/>
          <w:highlight w:val="yellow"/>
        </w:rPr>
        <w:t>所有设备的报价货币单位为：</w:t>
      </w:r>
      <w:r>
        <w:rPr>
          <w:rFonts w:hint="eastAsia" w:ascii="宋体" w:hAnsi="宋体" w:eastAsia="宋体" w:cs="宋体"/>
          <w:b/>
          <w:bCs/>
          <w:color w:val="000000"/>
          <w:sz w:val="24"/>
          <w:szCs w:val="24"/>
          <w:highlight w:val="yellow"/>
          <w:u w:val="single"/>
        </w:rPr>
        <w:t xml:space="preserve">         </w:t>
      </w:r>
      <w:r>
        <w:rPr>
          <w:rFonts w:hint="eastAsia" w:ascii="宋体" w:hAnsi="宋体" w:eastAsia="宋体" w:cs="宋体"/>
          <w:b/>
          <w:bCs/>
          <w:color w:val="000000"/>
          <w:sz w:val="24"/>
          <w:szCs w:val="24"/>
          <w:highlight w:val="yellow"/>
        </w:rPr>
        <w:t>元</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人民币（</w:t>
      </w:r>
      <w:r>
        <w:rPr>
          <w:rFonts w:hint="eastAsia" w:ascii="宋体" w:hAnsi="宋体" w:eastAsia="宋体" w:cs="宋体"/>
          <w:b/>
          <w:bCs/>
          <w:color w:val="000000"/>
          <w:sz w:val="24"/>
          <w:szCs w:val="24"/>
          <w:highlight w:val="none"/>
          <w:lang w:val="en-US" w:eastAsia="zh-CN"/>
        </w:rPr>
        <w:t>应同时</w:t>
      </w:r>
      <w:r>
        <w:rPr>
          <w:rFonts w:hint="eastAsia" w:ascii="宋体" w:hAnsi="宋体" w:eastAsia="宋体" w:cs="宋体"/>
          <w:b/>
          <w:bCs/>
          <w:color w:val="000000"/>
          <w:sz w:val="24"/>
          <w:szCs w:val="24"/>
          <w:highlight w:val="none"/>
        </w:rPr>
        <w:t>报含税价和不含税价并写明税率）</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yellow"/>
        </w:rPr>
        <w:t>。</w:t>
      </w:r>
    </w:p>
    <w:p>
      <w:pPr>
        <w:keepNext/>
        <w:keepLines/>
        <w:spacing w:line="360" w:lineRule="auto"/>
        <w:ind w:firstLine="482" w:firstLineChars="200"/>
        <w:outlineLvl w:val="2"/>
        <w:rPr>
          <w:rFonts w:hint="eastAsia" w:ascii="宋体" w:hAnsi="宋体" w:eastAsia="宋体" w:cs="宋体"/>
          <w:sz w:val="24"/>
          <w:szCs w:val="24"/>
        </w:rPr>
      </w:pPr>
      <w:r>
        <w:rPr>
          <w:rFonts w:hint="eastAsia" w:ascii="宋体" w:hAnsi="宋体" w:eastAsia="宋体" w:cs="宋体"/>
          <w:b/>
          <w:bCs/>
          <w:color w:val="000000"/>
          <w:sz w:val="24"/>
          <w:szCs w:val="24"/>
        </w:rPr>
        <w:t>4.设备要求：</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pPr>
        <w:pStyle w:val="18"/>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pStyle w:val="18"/>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rPr>
        <w:t>4.7</w:t>
      </w:r>
      <w:r>
        <w:rPr>
          <w:rFonts w:hint="eastAsia" w:ascii="宋体" w:hAnsi="宋体" w:eastAsia="宋体" w:cs="宋体"/>
          <w:color w:val="000000"/>
          <w:sz w:val="24"/>
          <w:szCs w:val="24"/>
          <w:highlight w:val="yellow"/>
        </w:rPr>
        <w:t>设备设施颜色严格执行我公司企业标准《设备设施颜色标识》（Q/ZZ30070</w:t>
      </w:r>
    </w:p>
    <w:p>
      <w:pPr>
        <w:pStyle w:val="18"/>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—2020）</w:t>
      </w:r>
      <w:r>
        <w:rPr>
          <w:rFonts w:hint="eastAsia" w:ascii="宋体" w:hAnsi="宋体" w:eastAsia="宋体" w:cs="宋体"/>
          <w:color w:val="000000"/>
          <w:sz w:val="24"/>
          <w:szCs w:val="24"/>
        </w:rPr>
        <w:t>。</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5.其他要求</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6.询标</w:t>
      </w:r>
    </w:p>
    <w:p>
      <w:pPr>
        <w:keepNext/>
        <w:keepLines/>
        <w:spacing w:line="360" w:lineRule="auto"/>
        <w:ind w:firstLine="480" w:firstLineChars="200"/>
        <w:rPr>
          <w:rFonts w:hint="eastAsia" w:ascii="宋体" w:hAnsi="宋体" w:eastAsia="宋体" w:cs="宋体"/>
          <w:b/>
          <w:bCs/>
          <w:color w:val="000000"/>
          <w:sz w:val="24"/>
          <w:szCs w:val="24"/>
          <w:lang w:eastAsia="zh-CN"/>
        </w:rPr>
      </w:pPr>
      <w:r>
        <w:rPr>
          <w:rFonts w:hint="eastAsia" w:ascii="宋体" w:hAnsi="宋体" w:eastAsia="宋体" w:cs="宋体"/>
          <w:color w:val="000000"/>
          <w:sz w:val="24"/>
          <w:szCs w:val="24"/>
        </w:rPr>
        <w:t>凡对本次招标提出的询问，均以招标人的书面答复为准</w:t>
      </w:r>
      <w:r>
        <w:rPr>
          <w:rFonts w:hint="eastAsia" w:ascii="宋体" w:hAnsi="宋体" w:eastAsia="宋体" w:cs="宋体"/>
          <w:color w:val="000000"/>
          <w:sz w:val="24"/>
          <w:szCs w:val="24"/>
          <w:lang w:eastAsia="zh-CN"/>
        </w:rPr>
        <w:t>。</w:t>
      </w:r>
    </w:p>
    <w:p>
      <w:pPr>
        <w:keepNext/>
        <w:keepLines/>
        <w:spacing w:line="360" w:lineRule="auto"/>
        <w:outlineLvl w:val="1"/>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pPr>
        <w:keepNext/>
        <w:keepLines/>
        <w:spacing w:line="360" w:lineRule="auto"/>
        <w:ind w:firstLine="482" w:firstLineChars="200"/>
        <w:outlineLvl w:val="2"/>
        <w:rPr>
          <w:rFonts w:hint="eastAsia" w:ascii="宋体" w:hAnsi="宋体" w:eastAsia="宋体" w:cs="宋体"/>
          <w:color w:val="000000"/>
          <w:sz w:val="24"/>
          <w:szCs w:val="24"/>
        </w:rPr>
      </w:pPr>
      <w:r>
        <w:rPr>
          <w:rFonts w:hint="eastAsia" w:ascii="宋体" w:hAnsi="宋体" w:eastAsia="宋体" w:cs="宋体"/>
          <w:b/>
          <w:bCs/>
          <w:color w:val="000000"/>
          <w:sz w:val="24"/>
          <w:szCs w:val="24"/>
        </w:rPr>
        <w:t>1.发标时间</w:t>
      </w:r>
    </w:p>
    <w:p>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见《投标须知前附表》2.1。</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2.发标方式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eastAsia" w:ascii="宋体" w:hAnsi="宋体" w:eastAsia="宋体" w:cs="宋体"/>
          <w:color w:val="000000"/>
          <w:sz w:val="24"/>
          <w:szCs w:val="24"/>
          <w:highlight w:val="none"/>
        </w:rPr>
        <w:t>公布</w:t>
      </w:r>
      <w:r>
        <w:rPr>
          <w:rFonts w:hint="eastAsia" w:ascii="宋体" w:hAnsi="宋体" w:eastAsia="宋体" w:cs="宋体"/>
          <w:color w:val="000000"/>
          <w:sz w:val="24"/>
          <w:szCs w:val="24"/>
        </w:rPr>
        <w:t>。</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3.答疑</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见《投标须知前附表》</w:t>
      </w:r>
      <w:r>
        <w:rPr>
          <w:rFonts w:hint="eastAsia" w:ascii="宋体" w:hAnsi="宋体" w:eastAsia="宋体" w:cs="宋体"/>
          <w:color w:val="000000"/>
          <w:sz w:val="24"/>
          <w:szCs w:val="24"/>
          <w:highlight w:val="yellow"/>
          <w:lang w:val="en-US" w:eastAsia="zh-CN"/>
        </w:rPr>
        <w:t>第二条</w:t>
      </w:r>
      <w:r>
        <w:rPr>
          <w:rFonts w:hint="eastAsia" w:ascii="宋体" w:hAnsi="宋体" w:eastAsia="宋体" w:cs="宋体"/>
          <w:color w:val="000000"/>
          <w:sz w:val="24"/>
          <w:szCs w:val="24"/>
          <w:highlight w:val="yellow"/>
        </w:rPr>
        <w:t>，逾期不受理。</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4</w:t>
      </w:r>
      <w:r>
        <w:rPr>
          <w:rFonts w:hint="eastAsia" w:ascii="宋体" w:hAnsi="宋体" w:eastAsia="宋体" w:cs="宋体"/>
          <w:b/>
          <w:bCs/>
          <w:color w:val="000000"/>
          <w:sz w:val="24"/>
          <w:szCs w:val="24"/>
        </w:rPr>
        <w:t>.投标报名</w:t>
      </w:r>
    </w:p>
    <w:p>
      <w:pPr>
        <w:keepNext/>
        <w:keepLines/>
        <w:spacing w:line="360" w:lineRule="auto"/>
        <w:ind w:firstLine="482"/>
        <w:outlineLvl w:val="9"/>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1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hint="eastAsia" w:ascii="宋体" w:hAnsi="宋体" w:eastAsia="宋体" w:cs="宋体"/>
          <w:sz w:val="24"/>
          <w:szCs w:val="24"/>
          <w:highlight w:val="yellow"/>
        </w:rPr>
        <w:t>（保证金具体金额及缴纳截止时间见《投标须知前附表》</w:t>
      </w:r>
      <w:r>
        <w:rPr>
          <w:rFonts w:hint="eastAsia" w:ascii="宋体" w:hAnsi="宋体" w:eastAsia="宋体" w:cs="宋体"/>
          <w:sz w:val="24"/>
          <w:szCs w:val="24"/>
          <w:highlight w:val="yellow"/>
          <w:lang w:val="en-US" w:eastAsia="zh-CN"/>
        </w:rPr>
        <w:t>4.2和4.3</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eastAsia="zh-CN"/>
        </w:rPr>
        <w:t>。</w:t>
      </w:r>
    </w:p>
    <w:p>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.2招标人银行账户信息如下：</w:t>
      </w:r>
      <w:r>
        <w:rPr>
          <w:rFonts w:hint="eastAsia" w:ascii="宋体" w:hAnsi="宋体" w:eastAsia="宋体" w:cs="宋体"/>
          <w:sz w:val="24"/>
          <w:szCs w:val="24"/>
          <w:highlight w:val="none"/>
          <w:lang w:val="en-US" w:eastAsia="zh-CN"/>
        </w:rPr>
        <w:t>见</w:t>
      </w:r>
      <w:r>
        <w:rPr>
          <w:rFonts w:hint="eastAsia" w:ascii="宋体" w:hAnsi="宋体" w:eastAsia="宋体" w:cs="宋体"/>
          <w:sz w:val="24"/>
          <w:szCs w:val="24"/>
          <w:highlight w:val="none"/>
        </w:rPr>
        <w:t>《投标须知前附表》</w:t>
      </w:r>
      <w:r>
        <w:rPr>
          <w:rFonts w:hint="eastAsia" w:ascii="宋体" w:hAnsi="宋体" w:eastAsia="宋体" w:cs="宋体"/>
          <w:sz w:val="24"/>
          <w:szCs w:val="24"/>
          <w:highlight w:val="none"/>
          <w:lang w:val="en-US" w:eastAsia="zh-CN"/>
        </w:rPr>
        <w:t>4.2</w:t>
      </w:r>
      <w:r>
        <w:rPr>
          <w:rFonts w:hint="eastAsia" w:eastAsia="宋体" w:cs="宋体"/>
          <w:sz w:val="24"/>
          <w:szCs w:val="24"/>
          <w:highlight w:val="none"/>
          <w:lang w:val="en-US" w:eastAsia="zh-CN"/>
        </w:rPr>
        <w:t>。</w:t>
      </w:r>
    </w:p>
    <w:p>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rPr>
        <w:t>转账附言：公司名称+项目名称+投标保证金；</w:t>
      </w:r>
    </w:p>
    <w:p>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rPr>
        <w:t>对于没有中标的</w:t>
      </w:r>
      <w:r>
        <w:rPr>
          <w:rFonts w:hint="eastAsia" w:ascii="宋体" w:hAnsi="宋体" w:eastAsia="宋体" w:cs="宋体"/>
          <w:sz w:val="24"/>
          <w:szCs w:val="24"/>
          <w:lang w:eastAsia="zh-CN"/>
        </w:rPr>
        <w:t>投标人</w:t>
      </w:r>
      <w:r>
        <w:rPr>
          <w:rFonts w:hint="eastAsia" w:ascii="宋体" w:hAnsi="宋体" w:eastAsia="宋体" w:cs="宋体"/>
          <w:sz w:val="24"/>
          <w:szCs w:val="24"/>
        </w:rPr>
        <w:t>，投标保证金将于招标人内部完成中标人评审并确认最终中标人后在30工作日内予以原路返还（无息）；对于中标方，投标保证金将在签订合同后30</w:t>
      </w:r>
      <w:r>
        <w:rPr>
          <w:rFonts w:hint="eastAsia" w:ascii="宋体" w:hAnsi="宋体" w:eastAsia="宋体" w:cs="宋体"/>
          <w:sz w:val="24"/>
          <w:szCs w:val="24"/>
          <w:lang w:val="en-US" w:eastAsia="zh-CN"/>
        </w:rPr>
        <w:t>个</w:t>
      </w:r>
      <w:r>
        <w:rPr>
          <w:rFonts w:hint="eastAsia" w:ascii="宋体" w:hAnsi="宋体" w:eastAsia="宋体" w:cs="宋体"/>
          <w:sz w:val="24"/>
          <w:szCs w:val="24"/>
        </w:rPr>
        <w:t>工作日内原路返还（无息）；</w:t>
      </w:r>
    </w:p>
    <w:p>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.3说明</w:t>
      </w:r>
    </w:p>
    <w:p>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.3.1 投标人在向招标人出示《投标保证金缴纳凭证》后方可进行投标；</w:t>
      </w:r>
    </w:p>
    <w:p>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 发生以下情况时，招标人有权没收保证金：</w:t>
      </w:r>
    </w:p>
    <w:p>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.3.2.1 截至开标前3天，投标人无正当理由且未以书面形式递交说明而在投标截止日不来投标的；</w:t>
      </w:r>
    </w:p>
    <w:p>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.3.2.2 投标人递送投标文件后，无正当理由放弃投标的；</w:t>
      </w:r>
    </w:p>
    <w:p>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.3.2.3若为视频开标，招标过程中澄清函等资料原件未按要求提交的；</w:t>
      </w:r>
    </w:p>
    <w:p>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.3.2.4自中标通知书发出之日起30日内，中标人无正当理由不签订合同的；</w:t>
      </w:r>
    </w:p>
    <w:p>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.3.2.5投标人在投标过程中被查实有串标、围标、陪标等违规违纪行为的；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.3.2.6投标人有违约违规行为或被投诉、举报的，在调查处理期间，保证金暂不退还，待调查处理结束后按有关规定处理。</w:t>
      </w:r>
    </w:p>
    <w:p>
      <w:pPr>
        <w:pStyle w:val="115"/>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.4投标报名截止时间</w:t>
      </w:r>
    </w:p>
    <w:p>
      <w:pPr>
        <w:pStyle w:val="115"/>
        <w:spacing w:line="360" w:lineRule="auto"/>
        <w:ind w:firstLine="480"/>
        <w:rPr>
          <w:rFonts w:hint="eastAsia" w:ascii="宋体" w:hAnsi="宋体" w:eastAsia="宋体" w:cs="宋体"/>
          <w:sz w:val="24"/>
          <w:szCs w:val="24"/>
          <w:lang w:eastAsia="zh-CN"/>
        </w:rPr>
      </w:pPr>
      <w:r>
        <w:rPr>
          <w:rFonts w:hint="eastAsia" w:ascii="宋体" w:hAnsi="宋体" w:eastAsia="宋体" w:cs="宋体"/>
          <w:sz w:val="24"/>
          <w:szCs w:val="24"/>
        </w:rPr>
        <w:t>报名方式：</w:t>
      </w:r>
      <w:r>
        <w:rPr>
          <w:rFonts w:hint="eastAsia" w:ascii="宋体" w:hAnsi="宋体" w:eastAsia="宋体" w:cs="宋体"/>
          <w:sz w:val="24"/>
          <w:szCs w:val="24"/>
          <w:highlight w:val="yellow"/>
        </w:rPr>
        <w:t>见《投标须知前附表》2.3</w:t>
      </w:r>
      <w:r>
        <w:rPr>
          <w:rFonts w:hint="eastAsia" w:ascii="宋体" w:hAnsi="宋体" w:eastAsia="宋体" w:cs="宋体"/>
          <w:sz w:val="24"/>
          <w:szCs w:val="24"/>
          <w:highlight w:val="yellow"/>
          <w:lang w:eastAsia="zh-CN"/>
        </w:rPr>
        <w:t>。</w:t>
      </w:r>
    </w:p>
    <w:p>
      <w:pPr>
        <w:pStyle w:val="115"/>
        <w:spacing w:line="360" w:lineRule="auto"/>
        <w:ind w:firstLine="480"/>
        <w:rPr>
          <w:rFonts w:hint="eastAsia" w:ascii="宋体" w:hAnsi="宋体" w:eastAsia="宋体" w:cs="宋体"/>
          <w:sz w:val="24"/>
          <w:szCs w:val="24"/>
        </w:rPr>
      </w:pPr>
      <w:r>
        <w:rPr>
          <w:rFonts w:hint="eastAsia" w:ascii="宋体" w:hAnsi="宋体" w:eastAsia="宋体" w:cs="宋体"/>
          <w:sz w:val="24"/>
          <w:szCs w:val="24"/>
        </w:rPr>
        <w:t>报名提交资料：均为</w:t>
      </w:r>
      <w:r>
        <w:rPr>
          <w:rFonts w:hint="eastAsia" w:ascii="宋体" w:hAnsi="宋体" w:eastAsia="宋体" w:cs="宋体"/>
          <w:sz w:val="24"/>
          <w:szCs w:val="24"/>
          <w:lang w:val="en-US" w:eastAsia="zh-CN"/>
        </w:rPr>
        <w:t>盖章</w:t>
      </w:r>
      <w:r>
        <w:rPr>
          <w:rFonts w:hint="eastAsia" w:ascii="宋体" w:hAnsi="宋体" w:eastAsia="宋体" w:cs="宋体"/>
          <w:sz w:val="24"/>
          <w:szCs w:val="24"/>
        </w:rPr>
        <w:t>电子扫描版，用</w:t>
      </w:r>
      <w:r>
        <w:rPr>
          <w:rFonts w:hint="eastAsia" w:ascii="宋体" w:hAnsi="宋体" w:eastAsia="宋体" w:cs="宋体"/>
          <w:sz w:val="24"/>
          <w:szCs w:val="24"/>
          <w:lang w:eastAsia="zh-CN"/>
        </w:rPr>
        <w:t>“</w:t>
      </w:r>
      <w:r>
        <w:rPr>
          <w:rFonts w:hint="eastAsia" w:ascii="宋体" w:hAnsi="宋体" w:eastAsia="宋体" w:cs="宋体"/>
          <w:sz w:val="24"/>
          <w:szCs w:val="24"/>
        </w:rPr>
        <w:t>公司</w:t>
      </w:r>
      <w:r>
        <w:rPr>
          <w:rFonts w:hint="eastAsia" w:ascii="宋体" w:hAnsi="宋体" w:eastAsia="宋体" w:cs="宋体"/>
          <w:sz w:val="24"/>
          <w:szCs w:val="24"/>
          <w:lang w:val="en-US" w:eastAsia="zh-CN"/>
        </w:rPr>
        <w:t>名称+文件名称</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命名</w:t>
      </w:r>
      <w:r>
        <w:rPr>
          <w:rFonts w:hint="eastAsia" w:ascii="宋体" w:hAnsi="宋体" w:eastAsia="宋体" w:cs="宋体"/>
          <w:sz w:val="24"/>
          <w:szCs w:val="24"/>
        </w:rPr>
        <w:t>。</w:t>
      </w:r>
    </w:p>
    <w:p>
      <w:pPr>
        <w:numPr>
          <w:ilvl w:val="0"/>
          <w:numId w:val="6"/>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pPr>
        <w:numPr>
          <w:ilvl w:val="0"/>
          <w:numId w:val="6"/>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pPr>
        <w:numPr>
          <w:ilvl w:val="0"/>
          <w:numId w:val="6"/>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.开标时间</w:t>
      </w:r>
    </w:p>
    <w:p>
      <w:pPr>
        <w:keepNext/>
        <w:keepLines/>
        <w:spacing w:line="360" w:lineRule="auto"/>
        <w:ind w:firstLine="480" w:firstLineChars="200"/>
        <w:outlineLvl w:val="9"/>
        <w:rPr>
          <w:rFonts w:hint="eastAsia" w:ascii="宋体" w:hAnsi="宋体" w:eastAsia="宋体" w:cs="宋体"/>
          <w:color w:val="000000"/>
          <w:sz w:val="24"/>
          <w:szCs w:val="24"/>
        </w:rPr>
      </w:pPr>
      <w:r>
        <w:rPr>
          <w:rFonts w:hint="eastAsia" w:ascii="宋体" w:hAnsi="宋体" w:eastAsia="宋体" w:cs="宋体"/>
          <w:b w:val="0"/>
          <w:bCs w:val="0"/>
          <w:color w:val="000000"/>
          <w:sz w:val="24"/>
          <w:szCs w:val="24"/>
          <w:highlight w:val="yellow"/>
        </w:rPr>
        <w:t>见《投标须知前附表》5.</w:t>
      </w:r>
      <w:r>
        <w:rPr>
          <w:rFonts w:hint="eastAsia" w:ascii="宋体" w:hAnsi="宋体" w:eastAsia="宋体" w:cs="宋体"/>
          <w:b w:val="0"/>
          <w:bCs w:val="0"/>
          <w:color w:val="000000"/>
          <w:sz w:val="24"/>
          <w:szCs w:val="24"/>
          <w:highlight w:val="yellow"/>
          <w:lang w:val="en-US" w:eastAsia="zh-CN"/>
        </w:rPr>
        <w:t>1</w:t>
      </w:r>
      <w:r>
        <w:rPr>
          <w:rFonts w:hint="eastAsia" w:ascii="宋体" w:hAnsi="宋体" w:eastAsia="宋体" w:cs="宋体"/>
          <w:b w:val="0"/>
          <w:bCs w:val="0"/>
          <w:color w:val="000000"/>
          <w:sz w:val="24"/>
          <w:szCs w:val="24"/>
          <w:highlight w:val="yellow"/>
        </w:rPr>
        <w:t>，若有变动另行通知</w:t>
      </w:r>
      <w:r>
        <w:rPr>
          <w:rFonts w:hint="eastAsia" w:ascii="宋体" w:hAnsi="宋体" w:eastAsia="宋体" w:cs="宋体"/>
          <w:color w:val="000000"/>
          <w:sz w:val="24"/>
          <w:szCs w:val="24"/>
          <w:highlight w:val="yellow"/>
        </w:rPr>
        <w:t>。</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6</w:t>
      </w:r>
      <w:r>
        <w:rPr>
          <w:rFonts w:hint="eastAsia" w:ascii="宋体" w:hAnsi="宋体" w:eastAsia="宋体" w:cs="宋体"/>
          <w:b/>
          <w:bCs/>
          <w:color w:val="000000"/>
          <w:sz w:val="24"/>
          <w:szCs w:val="24"/>
        </w:rPr>
        <w:t>.开标方式</w:t>
      </w:r>
    </w:p>
    <w:p>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lang w:val="en-US" w:eastAsia="zh-CN"/>
        </w:rPr>
        <w:t>原则上</w:t>
      </w:r>
      <w:r>
        <w:rPr>
          <w:rFonts w:hint="eastAsia" w:ascii="宋体" w:hAnsi="宋体" w:eastAsia="宋体" w:cs="宋体"/>
          <w:color w:val="000000"/>
          <w:sz w:val="24"/>
          <w:szCs w:val="24"/>
          <w:highlight w:val="yellow"/>
          <w:lang w:val="en-US"/>
        </w:rPr>
        <w:t>来现场参与</w:t>
      </w:r>
      <w:r>
        <w:rPr>
          <w:rFonts w:hint="eastAsia" w:ascii="宋体" w:hAnsi="宋体" w:eastAsia="宋体" w:cs="宋体"/>
          <w:color w:val="000000"/>
          <w:sz w:val="24"/>
          <w:szCs w:val="24"/>
          <w:highlight w:val="yellow"/>
          <w:lang w:val="en-US" w:eastAsia="zh-CN"/>
        </w:rPr>
        <w:t>开</w:t>
      </w:r>
      <w:r>
        <w:rPr>
          <w:rFonts w:hint="eastAsia" w:ascii="宋体" w:hAnsi="宋体" w:eastAsia="宋体" w:cs="宋体"/>
          <w:color w:val="000000"/>
          <w:sz w:val="24"/>
          <w:szCs w:val="24"/>
          <w:highlight w:val="yellow"/>
          <w:lang w:val="en-US"/>
        </w:rPr>
        <w:t>标。</w:t>
      </w:r>
      <w:r>
        <w:rPr>
          <w:rFonts w:hint="eastAsia" w:ascii="宋体" w:hAnsi="宋体" w:eastAsia="宋体" w:cs="宋体"/>
          <w:color w:val="000000"/>
          <w:sz w:val="24"/>
          <w:szCs w:val="24"/>
          <w:highlight w:val="yellow"/>
          <w:lang w:val="en-US" w:eastAsia="zh-CN"/>
        </w:rPr>
        <w:t>如因特殊情况无法现场参与，需在开标前三日，通知招标人，由招标人创建</w:t>
      </w:r>
      <w:r>
        <w:rPr>
          <w:rFonts w:hint="eastAsia" w:ascii="宋体" w:hAnsi="宋体" w:eastAsia="宋体" w:cs="宋体"/>
          <w:color w:val="000000"/>
          <w:sz w:val="24"/>
          <w:szCs w:val="24"/>
          <w:highlight w:val="yellow"/>
        </w:rPr>
        <w:t>视频链接</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并</w:t>
      </w:r>
      <w:r>
        <w:rPr>
          <w:rFonts w:hint="eastAsia" w:ascii="宋体" w:hAnsi="宋体" w:eastAsia="宋体" w:cs="宋体"/>
          <w:color w:val="000000"/>
          <w:sz w:val="24"/>
          <w:szCs w:val="24"/>
          <w:highlight w:val="yellow"/>
        </w:rPr>
        <w:t>在报名</w:t>
      </w:r>
      <w:r>
        <w:rPr>
          <w:rFonts w:hint="eastAsia" w:ascii="宋体" w:hAnsi="宋体" w:eastAsia="宋体" w:cs="宋体"/>
          <w:color w:val="000000"/>
          <w:sz w:val="24"/>
          <w:szCs w:val="24"/>
          <w:highlight w:val="yellow"/>
          <w:lang w:val="en-US" w:eastAsia="zh-CN"/>
        </w:rPr>
        <w:t>结束</w:t>
      </w:r>
      <w:r>
        <w:rPr>
          <w:rFonts w:hint="eastAsia" w:ascii="宋体" w:hAnsi="宋体" w:eastAsia="宋体" w:cs="宋体"/>
          <w:color w:val="000000"/>
          <w:sz w:val="24"/>
          <w:szCs w:val="24"/>
          <w:highlight w:val="yellow"/>
        </w:rPr>
        <w:t>后统一</w:t>
      </w:r>
      <w:r>
        <w:rPr>
          <w:rFonts w:hint="eastAsia" w:ascii="宋体" w:hAnsi="宋体" w:eastAsia="宋体" w:cs="宋体"/>
          <w:color w:val="000000"/>
          <w:sz w:val="24"/>
          <w:szCs w:val="24"/>
          <w:highlight w:val="yellow"/>
          <w:lang w:val="en-US" w:eastAsia="zh-CN"/>
        </w:rPr>
        <w:t>通知</w:t>
      </w:r>
      <w:r>
        <w:rPr>
          <w:rFonts w:hint="eastAsia" w:ascii="宋体" w:hAnsi="宋体" w:eastAsia="宋体" w:cs="宋体"/>
          <w:color w:val="000000"/>
          <w:sz w:val="24"/>
          <w:szCs w:val="24"/>
          <w:highlight w:val="yellow"/>
        </w:rPr>
        <w:t>。</w:t>
      </w:r>
    </w:p>
    <w:p>
      <w:pPr>
        <w:keepNext w:val="0"/>
        <w:keepLines w:val="0"/>
        <w:spacing w:line="360" w:lineRule="auto"/>
        <w:ind w:left="0" w:leftChars="0" w:firstLine="0" w:firstLineChars="0"/>
        <w:jc w:val="left"/>
        <w:outlineLvl w:val="1"/>
        <w:rPr>
          <w:rFonts w:hint="eastAsia" w:ascii="宋体" w:hAnsi="宋体" w:eastAsia="宋体" w:cs="宋体"/>
          <w:b/>
          <w:bCs w:val="0"/>
          <w:sz w:val="24"/>
          <w:szCs w:val="24"/>
        </w:rPr>
      </w:pPr>
      <w:bookmarkStart w:id="6" w:name="_Toc33285487"/>
      <w:bookmarkStart w:id="7" w:name="_Toc33266914"/>
      <w:bookmarkStart w:id="8" w:name="_Toc33266950"/>
      <w:bookmarkStart w:id="9" w:name="_Toc33265752"/>
      <w:bookmarkStart w:id="10" w:name="_Toc33267001"/>
      <w:bookmarkStart w:id="11" w:name="_Toc33266627"/>
      <w:bookmarkStart w:id="12" w:name="_Toc33265653"/>
      <w:r>
        <w:rPr>
          <w:rFonts w:hint="eastAsia" w:ascii="宋体" w:hAnsi="宋体" w:eastAsia="宋体" w:cs="宋体"/>
          <w:b/>
          <w:bCs w:val="0"/>
          <w:sz w:val="24"/>
          <w:szCs w:val="24"/>
        </w:rPr>
        <w:t>六、评价原则</w:t>
      </w:r>
      <w:bookmarkEnd w:id="6"/>
      <w:bookmarkEnd w:id="7"/>
      <w:bookmarkEnd w:id="8"/>
      <w:bookmarkEnd w:id="9"/>
      <w:bookmarkEnd w:id="10"/>
      <w:bookmarkEnd w:id="11"/>
      <w:bookmarkEnd w:id="12"/>
      <w:bookmarkStart w:id="13" w:name="_Toc395116633"/>
    </w:p>
    <w:bookmarkEnd w:id="13"/>
    <w:p>
      <w:p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1.评标</w:t>
      </w:r>
    </w:p>
    <w:p>
      <w:pPr>
        <w:adjustRightInd w:val="0"/>
        <w:snapToGrid w:val="0"/>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w:t>
      </w:r>
      <w:r>
        <w:rPr>
          <w:rFonts w:hint="eastAsia" w:ascii="宋体" w:hAnsi="宋体" w:eastAsia="宋体" w:cs="Times New Roman"/>
          <w:b/>
          <w:bCs/>
          <w:sz w:val="24"/>
          <w:szCs w:val="24"/>
        </w:rPr>
        <w:t>原则上</w:t>
      </w:r>
      <w:r>
        <w:rPr>
          <w:rFonts w:hint="eastAsia" w:ascii="宋体" w:hAnsi="宋体" w:eastAsia="宋体" w:cs="宋体"/>
          <w:b/>
          <w:bCs/>
          <w:sz w:val="24"/>
          <w:szCs w:val="24"/>
          <w:lang w:val="en-US" w:eastAsia="zh-CN"/>
        </w:rPr>
        <w:t>合理最低价中标</w:t>
      </w:r>
      <w:bookmarkStart w:id="14" w:name="_Toc33266628"/>
      <w:bookmarkStart w:id="15" w:name="_Toc395116634"/>
      <w:bookmarkStart w:id="16" w:name="_Toc33285489"/>
      <w:bookmarkStart w:id="17" w:name="_Toc33265753"/>
      <w:bookmarkStart w:id="18" w:name="_Toc33266951"/>
      <w:bookmarkStart w:id="19" w:name="_Toc33267002"/>
      <w:bookmarkStart w:id="20" w:name="_Toc33265654"/>
      <w:bookmarkStart w:id="21" w:name="_Toc33266915"/>
      <w:r>
        <w:rPr>
          <w:rFonts w:hint="eastAsia" w:ascii="宋体" w:hAnsi="宋体" w:eastAsia="宋体" w:cs="宋体"/>
          <w:sz w:val="24"/>
          <w:szCs w:val="24"/>
          <w:lang w:val="en-US" w:eastAsia="zh-CN"/>
        </w:rPr>
        <w:t>。</w:t>
      </w:r>
      <w:r>
        <w:rPr>
          <w:rFonts w:hint="eastAsia" w:ascii="宋体" w:hAnsi="宋体" w:eastAsia="宋体" w:cs="宋体"/>
          <w:color w:val="000000"/>
          <w:sz w:val="24"/>
          <w:szCs w:val="24"/>
        </w:rPr>
        <w:t>本着公平、公正、公开的原则，</w:t>
      </w:r>
      <w:r>
        <w:rPr>
          <w:rFonts w:hint="eastAsia" w:ascii="宋体" w:hAnsi="宋体" w:eastAsia="宋体" w:cs="宋体"/>
          <w:color w:val="000000"/>
          <w:sz w:val="24"/>
          <w:szCs w:val="24"/>
          <w:lang w:val="en-US" w:eastAsia="zh-CN"/>
        </w:rPr>
        <w:t>选择合理最低价</w:t>
      </w:r>
      <w:r>
        <w:rPr>
          <w:rFonts w:hint="eastAsia" w:ascii="宋体" w:hAnsi="宋体" w:eastAsia="宋体" w:cs="宋体"/>
          <w:color w:val="000000"/>
          <w:sz w:val="24"/>
          <w:szCs w:val="24"/>
        </w:rPr>
        <w:t>确定中标人</w:t>
      </w:r>
      <w:r>
        <w:rPr>
          <w:rFonts w:hint="eastAsia" w:ascii="宋体" w:hAnsi="宋体" w:eastAsia="宋体" w:cs="宋体"/>
          <w:b/>
          <w:color w:val="000000"/>
          <w:sz w:val="24"/>
          <w:szCs w:val="24"/>
        </w:rPr>
        <w:t>，对未中标单位不做任何解释。</w:t>
      </w:r>
    </w:p>
    <w:bookmarkEnd w:id="14"/>
    <w:bookmarkEnd w:id="15"/>
    <w:bookmarkEnd w:id="16"/>
    <w:bookmarkEnd w:id="17"/>
    <w:bookmarkEnd w:id="18"/>
    <w:bookmarkEnd w:id="19"/>
    <w:bookmarkEnd w:id="20"/>
    <w:bookmarkEnd w:id="21"/>
    <w:p>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评标流程：</w:t>
      </w:r>
    </w:p>
    <w:p>
      <w:pPr>
        <w:pStyle w:val="18"/>
        <w:spacing w:line="360" w:lineRule="auto"/>
        <w:ind w:firstLine="482" w:firstLineChars="200"/>
        <w:rPr>
          <w:rFonts w:hint="eastAsia" w:ascii="宋体" w:hAnsi="宋体" w:eastAsia="宋体" w:cs="宋体"/>
          <w:sz w:val="24"/>
          <w:szCs w:val="24"/>
          <w:lang w:val="en-US" w:eastAsia="zh-CN"/>
        </w:rPr>
      </w:pPr>
      <w:r>
        <w:rPr>
          <w:rFonts w:hint="eastAsia" w:ascii="宋体" w:hAnsi="宋体" w:eastAsia="宋体" w:cs="宋体"/>
          <w:b/>
          <w:color w:val="000000"/>
          <w:sz w:val="24"/>
          <w:szCs w:val="24"/>
          <w:lang w:val="en-US" w:eastAsia="zh-CN"/>
        </w:rPr>
        <w:t>投标文件包含《投标文件（资质标）》、《投标文件（技术标）》、《投标文件（商务标）》（开标一览表），共计三个文件。</w:t>
      </w:r>
    </w:p>
    <w:p>
      <w:pPr>
        <w:numPr>
          <w:ilvl w:val="0"/>
          <w:numId w:val="7"/>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在“中国重汽e采通”应标报名时，</w:t>
      </w:r>
      <w:r>
        <w:rPr>
          <w:rFonts w:hint="eastAsia" w:ascii="宋体" w:hAnsi="宋体" w:eastAsia="宋体" w:cs="宋体"/>
          <w:b/>
          <w:bCs/>
          <w:color w:val="000000"/>
          <w:sz w:val="24"/>
          <w:szCs w:val="24"/>
          <w:highlight w:val="none"/>
        </w:rPr>
        <w:t>按照第</w:t>
      </w:r>
      <w:r>
        <w:rPr>
          <w:rFonts w:hint="eastAsia" w:ascii="宋体" w:hAnsi="宋体" w:eastAsia="宋体" w:cs="宋体"/>
          <w:b/>
          <w:bCs/>
          <w:color w:val="000000"/>
          <w:sz w:val="24"/>
          <w:szCs w:val="24"/>
          <w:highlight w:val="none"/>
          <w:lang w:val="en-US" w:eastAsia="zh-CN"/>
        </w:rPr>
        <w:t>三</w:t>
      </w:r>
      <w:r>
        <w:rPr>
          <w:rFonts w:hint="eastAsia" w:ascii="宋体" w:hAnsi="宋体" w:eastAsia="宋体" w:cs="宋体"/>
          <w:b/>
          <w:bCs/>
          <w:color w:val="000000"/>
          <w:sz w:val="24"/>
          <w:szCs w:val="24"/>
          <w:highlight w:val="none"/>
        </w:rPr>
        <w:t>部分</w:t>
      </w:r>
      <w:r>
        <w:rPr>
          <w:rFonts w:hint="eastAsia" w:ascii="宋体" w:hAnsi="宋体" w:eastAsia="宋体" w:cs="宋体"/>
          <w:b/>
          <w:bCs/>
          <w:color w:val="000000"/>
          <w:sz w:val="24"/>
          <w:szCs w:val="24"/>
          <w:highlight w:val="none"/>
          <w:lang w:val="en-US" w:eastAsia="zh-CN"/>
        </w:rPr>
        <w:t>第三条</w:t>
      </w:r>
      <w:r>
        <w:rPr>
          <w:rFonts w:hint="eastAsia" w:ascii="宋体" w:hAnsi="宋体" w:eastAsia="宋体" w:cs="宋体"/>
          <w:b/>
          <w:bCs/>
          <w:color w:val="000000"/>
          <w:sz w:val="24"/>
          <w:szCs w:val="24"/>
          <w:highlight w:val="none"/>
        </w:rPr>
        <w:t>投标文件组成资格证明文件中的1.1-1.</w:t>
      </w:r>
      <w:r>
        <w:rPr>
          <w:rFonts w:hint="eastAsia" w:ascii="宋体" w:hAnsi="宋体" w:eastAsia="宋体" w:cs="宋体"/>
          <w:b/>
          <w:bCs/>
          <w:color w:val="000000"/>
          <w:sz w:val="24"/>
          <w:szCs w:val="24"/>
          <w:highlight w:val="none"/>
          <w:lang w:val="en-US" w:eastAsia="zh-CN"/>
        </w:rPr>
        <w:t>13准备资料，上传完毕后，等待审核</w:t>
      </w:r>
      <w:r>
        <w:rPr>
          <w:rFonts w:hint="eastAsia" w:ascii="宋体" w:hAnsi="宋体" w:eastAsia="宋体" w:cs="宋体"/>
          <w:b/>
          <w:color w:val="000000"/>
          <w:sz w:val="24"/>
          <w:szCs w:val="24"/>
          <w:highlight w:val="none"/>
        </w:rPr>
        <w:t>；</w:t>
      </w:r>
    </w:p>
    <w:p>
      <w:pPr>
        <w:numPr>
          <w:ilvl w:val="0"/>
          <w:numId w:val="8"/>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通过</w:t>
      </w: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的单位进入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按照“SRM系统供应商用户手册（附件16）”，在重汽e采通平台投递电子标书（包含资质标、技术标、商务标）；</w:t>
      </w:r>
      <w:r>
        <w:rPr>
          <w:rFonts w:hint="eastAsia" w:ascii="宋体" w:hAnsi="宋体" w:eastAsia="宋体" w:cs="宋体"/>
          <w:b/>
          <w:color w:val="000000"/>
          <w:sz w:val="24"/>
          <w:szCs w:val="24"/>
          <w:highlight w:val="none"/>
        </w:rPr>
        <w:t>没有通过</w:t>
      </w:r>
      <w:r>
        <w:rPr>
          <w:rFonts w:hint="eastAsia" w:ascii="宋体" w:hAnsi="宋体" w:eastAsia="宋体" w:cs="宋体"/>
          <w:b/>
          <w:color w:val="000000"/>
          <w:sz w:val="24"/>
          <w:szCs w:val="24"/>
          <w:highlight w:val="none"/>
          <w:lang w:val="en-US" w:eastAsia="zh-CN"/>
        </w:rPr>
        <w:t>应标资质审查</w:t>
      </w:r>
      <w:r>
        <w:rPr>
          <w:rFonts w:hint="eastAsia" w:ascii="宋体" w:hAnsi="宋体" w:eastAsia="宋体" w:cs="宋体"/>
          <w:b/>
          <w:color w:val="000000"/>
          <w:sz w:val="24"/>
          <w:szCs w:val="24"/>
          <w:highlight w:val="none"/>
        </w:rPr>
        <w:t>的单位不能进入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p>
    <w:p>
      <w:pPr>
        <w:numPr>
          <w:ilvl w:val="0"/>
          <w:numId w:val="7"/>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auto"/>
          <w:sz w:val="24"/>
          <w:szCs w:val="24"/>
          <w:lang w:val="en-US" w:eastAsia="zh-CN"/>
        </w:rPr>
        <w:t>资质标评审：资质标审核通过的单位，可以进入</w:t>
      </w:r>
      <w:r>
        <w:rPr>
          <w:rFonts w:hint="eastAsia" w:ascii="宋体" w:hAnsi="宋体" w:eastAsia="宋体" w:cs="宋体"/>
          <w:b/>
          <w:color w:val="000000"/>
          <w:sz w:val="24"/>
          <w:szCs w:val="24"/>
          <w:highlight w:val="none"/>
          <w:lang w:val="en-US" w:eastAsia="zh-CN"/>
        </w:rPr>
        <w:t>公开唱标环节；</w:t>
      </w:r>
    </w:p>
    <w:p>
      <w:pPr>
        <w:numPr>
          <w:ilvl w:val="0"/>
          <w:numId w:val="9"/>
        </w:numPr>
        <w:spacing w:line="360" w:lineRule="auto"/>
        <w:rPr>
          <w:rFonts w:hint="eastAsia" w:ascii="宋体" w:hAnsi="宋体" w:eastAsia="宋体" w:cs="宋体"/>
          <w:b/>
          <w:color w:val="auto"/>
          <w:sz w:val="24"/>
          <w:szCs w:val="24"/>
        </w:rPr>
      </w:pPr>
      <w:r>
        <w:rPr>
          <w:rFonts w:hint="eastAsia" w:ascii="宋体" w:hAnsi="宋体" w:eastAsia="宋体" w:cs="宋体"/>
          <w:b/>
          <w:color w:val="000000"/>
          <w:sz w:val="24"/>
          <w:szCs w:val="24"/>
          <w:highlight w:val="none"/>
          <w:lang w:val="en-US" w:eastAsia="zh-CN"/>
        </w:rPr>
        <w:t>公开唱标：公示资质标入围单位的开标价格及商务条款响应情况</w:t>
      </w:r>
      <w:r>
        <w:rPr>
          <w:rFonts w:hint="eastAsia" w:ascii="宋体" w:hAnsi="宋体" w:eastAsia="宋体" w:cs="宋体"/>
          <w:b/>
          <w:color w:val="auto"/>
          <w:sz w:val="24"/>
          <w:szCs w:val="24"/>
          <w:lang w:val="en-US" w:eastAsia="zh-CN"/>
        </w:rPr>
        <w:t>；</w:t>
      </w:r>
    </w:p>
    <w:p>
      <w:pPr>
        <w:numPr>
          <w:ilvl w:val="0"/>
          <w:numId w:val="10"/>
        </w:numPr>
        <w:spacing w:line="360" w:lineRule="auto"/>
        <w:rPr>
          <w:rFonts w:hint="eastAsia" w:ascii="宋体" w:hAnsi="宋体" w:eastAsia="宋体" w:cs="宋体"/>
          <w:b/>
          <w:color w:val="auto"/>
          <w:sz w:val="24"/>
          <w:szCs w:val="24"/>
        </w:rPr>
      </w:pP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：商务条款相应确认→</w:t>
      </w:r>
      <w:r>
        <w:rPr>
          <w:rFonts w:hint="eastAsia" w:ascii="宋体" w:hAnsi="宋体" w:eastAsia="宋体" w:cs="宋体"/>
          <w:b/>
          <w:color w:val="auto"/>
          <w:sz w:val="24"/>
          <w:szCs w:val="24"/>
          <w:lang w:val="en-US" w:eastAsia="zh-CN"/>
        </w:rPr>
        <w:t>价格澄清</w:t>
      </w: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评审期间产生的商务价格澄清均由投标人在重汽e采通平台限时内完成提交</w:t>
      </w:r>
      <w:r>
        <w:rPr>
          <w:rFonts w:hint="eastAsia" w:ascii="宋体" w:hAnsi="宋体" w:eastAsia="宋体" w:cs="宋体"/>
          <w:b/>
          <w:color w:val="auto"/>
          <w:sz w:val="24"/>
          <w:szCs w:val="24"/>
        </w:rPr>
        <w:t>；</w:t>
      </w:r>
    </w:p>
    <w:p>
      <w:pPr>
        <w:numPr>
          <w:ilvl w:val="-1"/>
          <w:numId w:val="0"/>
        </w:numPr>
        <w:spacing w:line="360" w:lineRule="auto"/>
        <w:ind w:left="0"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highlight w:val="none"/>
          <w:lang w:val="en-US" w:eastAsia="zh-CN"/>
        </w:rPr>
        <w:t>注意：投标人均需要自带笔记本电脑在重汽e采通进行自主投标和提交澄清函；投标和提交澄清函均有时间限制，超时未提交的按无效处理</w:t>
      </w:r>
      <w:r>
        <w:rPr>
          <w:rFonts w:hint="eastAsia" w:ascii="宋体" w:hAnsi="宋体" w:eastAsia="宋体" w:cs="宋体"/>
          <w:b/>
          <w:color w:val="auto"/>
          <w:sz w:val="24"/>
          <w:szCs w:val="24"/>
          <w:lang w:val="en-US" w:eastAsia="zh-CN"/>
        </w:rPr>
        <w:t>。</w:t>
      </w:r>
    </w:p>
    <w:p>
      <w:pPr>
        <w:numPr>
          <w:ilvl w:val="0"/>
          <w:numId w:val="11"/>
        </w:numPr>
        <w:spacing w:line="360" w:lineRule="auto"/>
        <w:rPr>
          <w:rFonts w:hint="eastAsia" w:ascii="宋体" w:hAnsi="宋体" w:eastAsia="宋体" w:cs="宋体"/>
          <w:b/>
          <w:color w:val="auto"/>
          <w:sz w:val="24"/>
          <w:szCs w:val="24"/>
        </w:rPr>
      </w:pPr>
      <w:r>
        <w:rPr>
          <w:rFonts w:hint="eastAsia" w:ascii="宋体" w:hAnsi="宋体" w:eastAsia="宋体" w:cs="宋体"/>
          <w:b/>
          <w:color w:val="auto"/>
          <w:sz w:val="24"/>
          <w:szCs w:val="24"/>
          <w:lang w:val="en-US" w:eastAsia="zh-CN"/>
        </w:rPr>
        <w:t>中标人确定</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原则上</w:t>
      </w:r>
      <w:r>
        <w:rPr>
          <w:rFonts w:hint="eastAsia" w:ascii="宋体" w:hAnsi="宋体" w:eastAsia="宋体" w:cs="宋体"/>
          <w:b/>
          <w:bCs/>
          <w:color w:val="auto"/>
          <w:sz w:val="24"/>
          <w:szCs w:val="24"/>
          <w:lang w:val="en-US" w:eastAsia="zh-CN"/>
        </w:rPr>
        <w:t>合理最低价</w:t>
      </w:r>
      <w:r>
        <w:rPr>
          <w:rFonts w:hint="eastAsia" w:ascii="宋体" w:hAnsi="宋体" w:eastAsia="宋体" w:cs="宋体"/>
          <w:b/>
          <w:color w:val="auto"/>
          <w:sz w:val="24"/>
          <w:szCs w:val="24"/>
          <w:lang w:val="en-US" w:eastAsia="zh-CN"/>
        </w:rPr>
        <w:t>中标</w:t>
      </w:r>
      <w:r>
        <w:rPr>
          <w:rFonts w:hint="eastAsia" w:ascii="宋体" w:hAnsi="宋体" w:eastAsia="宋体" w:cs="宋体"/>
          <w:b/>
          <w:color w:val="auto"/>
          <w:sz w:val="24"/>
          <w:szCs w:val="24"/>
        </w:rPr>
        <w:t>。</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bidi="ar"/>
        </w:rPr>
        <w:t>变更意向中标人</w:t>
      </w:r>
      <w:r>
        <w:rPr>
          <w:rFonts w:hint="eastAsia" w:ascii="宋体" w:hAnsi="宋体" w:eastAsia="宋体" w:cs="宋体"/>
          <w:color w:val="000000"/>
          <w:sz w:val="24"/>
          <w:szCs w:val="24"/>
          <w:lang w:eastAsia="zh-CN"/>
        </w:rPr>
        <w:t>。</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七、合同签订</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w:t>
      </w:r>
      <w:r>
        <w:rPr>
          <w:rFonts w:hint="eastAsia" w:ascii="宋体" w:hAnsi="宋体" w:eastAsia="宋体" w:cs="宋体"/>
          <w:color w:val="000000"/>
          <w:sz w:val="24"/>
          <w:szCs w:val="24"/>
          <w:lang w:val="en-US" w:eastAsia="zh-CN"/>
        </w:rPr>
        <w:t>在重汽e采通平台公布中标结果，</w:t>
      </w:r>
      <w:r>
        <w:rPr>
          <w:rFonts w:hint="eastAsia" w:ascii="宋体" w:hAnsi="宋体" w:eastAsia="宋体" w:cs="宋体"/>
          <w:color w:val="000000"/>
          <w:sz w:val="24"/>
          <w:szCs w:val="24"/>
        </w:rPr>
        <w:t>并</w:t>
      </w:r>
      <w:r>
        <w:rPr>
          <w:rFonts w:hint="eastAsia" w:ascii="宋体" w:hAnsi="宋体" w:eastAsia="宋体" w:cs="宋体"/>
          <w:color w:val="000000"/>
          <w:sz w:val="24"/>
          <w:szCs w:val="24"/>
          <w:lang w:val="en-US" w:eastAsia="zh-CN"/>
        </w:rPr>
        <w:t>发送中标通知</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2.中标人应该在中标通知书规定的时间、地点与招标人签订采购合同，否则按照开标后撤回投标处理。</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.中标人应当按照合同约定的履约责任，在保证质量的前提下完成中标项目，不得将中标项目转包或分包给他人，否则视为违约，招标人有权解除合同。</w:t>
      </w:r>
    </w:p>
    <w:p>
      <w:pPr>
        <w:keepNext w:val="0"/>
        <w:keepLines w:val="0"/>
        <w:spacing w:line="360" w:lineRule="auto"/>
        <w:ind w:firstLine="482" w:firstLineChars="200"/>
        <w:outlineLvl w:val="9"/>
        <w:rPr>
          <w:rFonts w:hint="eastAsia" w:ascii="宋体" w:hAnsi="宋体" w:eastAsia="宋体" w:cs="宋体"/>
          <w:b/>
          <w:sz w:val="24"/>
          <w:szCs w:val="24"/>
          <w:lang w:eastAsia="zh-CN"/>
        </w:rPr>
      </w:pPr>
      <w:r>
        <w:rPr>
          <w:rFonts w:hint="eastAsia" w:ascii="宋体" w:hAnsi="宋体" w:eastAsia="宋体" w:cs="宋体"/>
          <w:b/>
          <w:sz w:val="24"/>
          <w:szCs w:val="24"/>
          <w:lang w:val="en-US" w:eastAsia="zh-CN"/>
        </w:rPr>
        <w:t>4</w:t>
      </w:r>
      <w:r>
        <w:rPr>
          <w:rFonts w:hint="eastAsia" w:ascii="宋体" w:hAnsi="宋体" w:eastAsia="宋体" w:cs="宋体"/>
          <w:b/>
          <w:sz w:val="24"/>
          <w:szCs w:val="24"/>
        </w:rPr>
        <w:t>.中标人由于履行义务的能力或信用有严重缺陷，招标人有权取消其中标资格，招标人将从中标候选单位中依序重新确定中标人，或重新组织招标</w:t>
      </w:r>
      <w:r>
        <w:rPr>
          <w:rFonts w:hint="eastAsia" w:ascii="宋体" w:hAnsi="宋体" w:eastAsia="宋体" w:cs="宋体"/>
          <w:b/>
          <w:sz w:val="24"/>
          <w:szCs w:val="24"/>
          <w:lang w:eastAsia="zh-CN"/>
        </w:rPr>
        <w:t>；</w:t>
      </w:r>
    </w:p>
    <w:p>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lang w:val="en-US" w:eastAsia="zh-CN"/>
        </w:rPr>
        <w:t>5.合同以双方最终签署的版本为准</w:t>
      </w:r>
      <w:r>
        <w:rPr>
          <w:rFonts w:hint="eastAsia" w:ascii="宋体" w:hAnsi="宋体" w:eastAsia="宋体" w:cs="宋体"/>
          <w:b/>
          <w:sz w:val="24"/>
          <w:szCs w:val="24"/>
        </w:rPr>
        <w:t>。</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八、废标及终止招标</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（5）投标人串通投标；</w:t>
      </w:r>
    </w:p>
    <w:p>
      <w:pPr>
        <w:pStyle w:val="18"/>
        <w:spacing w:line="360" w:lineRule="auto"/>
        <w:rPr>
          <w:rFonts w:hAnsi="宋体" w:eastAsia="宋体" w:cs="宋体"/>
          <w:sz w:val="24"/>
          <w:szCs w:val="24"/>
        </w:rPr>
      </w:pPr>
      <w:r>
        <w:rPr>
          <w:rFonts w:hint="eastAsia" w:hAnsi="宋体" w:eastAsia="宋体" w:cs="宋体"/>
          <w:color w:val="000000"/>
          <w:sz w:val="24"/>
          <w:szCs w:val="24"/>
        </w:rPr>
        <w:t xml:space="preserve">    （6）投标人被举报、检举，并经招标人查实无误的；</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（9）有效投标不足三家；</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pPr>
        <w:pStyle w:val="18"/>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12</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不同投标人的投标文件异常一致</w:t>
      </w:r>
      <w:r>
        <w:rPr>
          <w:rFonts w:hint="eastAsia" w:ascii="宋体" w:hAnsi="宋体" w:eastAsia="宋体" w:cs="宋体"/>
          <w:color w:val="000000"/>
          <w:sz w:val="24"/>
          <w:szCs w:val="24"/>
          <w:lang w:eastAsia="zh-CN"/>
        </w:rPr>
        <w:t>；</w:t>
      </w:r>
    </w:p>
    <w:p>
      <w:pPr>
        <w:pStyle w:val="18"/>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13</w:t>
      </w:r>
      <w:r>
        <w:rPr>
          <w:rFonts w:hint="eastAsia" w:ascii="宋体" w:hAnsi="宋体" w:eastAsia="宋体" w:cs="宋体"/>
          <w:color w:val="000000"/>
          <w:sz w:val="24"/>
          <w:szCs w:val="24"/>
          <w:lang w:eastAsia="zh-CN"/>
        </w:rPr>
        <w:t>）投标报价呈规律性差异的；</w:t>
      </w:r>
    </w:p>
    <w:p>
      <w:pPr>
        <w:pStyle w:val="18"/>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14</w:t>
      </w:r>
      <w:r>
        <w:rPr>
          <w:rFonts w:hint="eastAsia" w:ascii="宋体" w:hAnsi="宋体" w:eastAsia="宋体" w:cs="宋体"/>
          <w:color w:val="000000"/>
          <w:sz w:val="24"/>
          <w:szCs w:val="24"/>
          <w:lang w:eastAsia="zh-CN"/>
        </w:rPr>
        <w:t>）投标人报价均超过投标限价的</w:t>
      </w:r>
      <w:r>
        <w:rPr>
          <w:rFonts w:hint="eastAsia" w:hAnsi="宋体" w:eastAsia="宋体" w:cs="宋体"/>
          <w:color w:val="000000"/>
          <w:sz w:val="24"/>
          <w:szCs w:val="24"/>
          <w:lang w:eastAsia="zh-CN"/>
        </w:rPr>
        <w:t>；</w:t>
      </w:r>
    </w:p>
    <w:p>
      <w:pPr>
        <w:spacing w:line="360" w:lineRule="auto"/>
        <w:ind w:right="2" w:firstLine="480" w:firstLineChars="200"/>
        <w:rPr>
          <w:rFonts w:hint="eastAsia"/>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法律、法规规定的其他情况。</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bookmarkStart w:id="22" w:name="OLE_LINK27"/>
      <w:bookmarkStart w:id="23" w:name="OLE_LINK26"/>
      <w:bookmarkStart w:id="24" w:name="OLE_LINK29"/>
      <w:bookmarkStart w:id="25" w:name="OLE_LINK25"/>
      <w:bookmarkStart w:id="26" w:name="OLE_LINK28"/>
      <w:r>
        <w:rPr>
          <w:rFonts w:hint="eastAsia" w:ascii="宋体" w:hAnsi="宋体" w:eastAsia="宋体" w:cs="宋体"/>
          <w:bCs/>
          <w:sz w:val="24"/>
          <w:szCs w:val="24"/>
        </w:rPr>
        <w:t>；</w:t>
      </w:r>
      <w:bookmarkEnd w:id="22"/>
      <w:bookmarkEnd w:id="23"/>
      <w:bookmarkEnd w:id="24"/>
      <w:bookmarkEnd w:id="25"/>
      <w:bookmarkEnd w:id="26"/>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pPr>
        <w:pStyle w:val="18"/>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spacing w:line="360" w:lineRule="auto"/>
        <w:ind w:right="2" w:firstLine="482" w:firstLineChars="200"/>
        <w:outlineLvl w:val="1"/>
        <w:rPr>
          <w:rFonts w:hint="eastAsia"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w:t>
      </w:r>
      <w:r>
        <w:rPr>
          <w:rFonts w:hint="eastAsia" w:ascii="宋体" w:hAnsi="宋体" w:eastAsia="宋体" w:cs="宋体"/>
          <w:b/>
          <w:color w:val="000000"/>
          <w:sz w:val="24"/>
          <w:szCs w:val="24"/>
          <w:lang w:eastAsia="zh-CN"/>
        </w:rPr>
        <w:t>中国重汽集团济南卡车股份有限公司</w:t>
      </w:r>
      <w:r>
        <w:rPr>
          <w:rFonts w:hint="eastAsia" w:ascii="宋体" w:hAnsi="宋体" w:eastAsia="宋体" w:cs="宋体"/>
          <w:b/>
          <w:color w:val="000000"/>
          <w:sz w:val="24"/>
          <w:szCs w:val="24"/>
        </w:rPr>
        <w:t>。</w:t>
      </w:r>
    </w:p>
    <w:p>
      <w:pPr>
        <w:pStyle w:val="18"/>
        <w:spacing w:line="360" w:lineRule="auto"/>
        <w:jc w:val="center"/>
        <w:rPr>
          <w:rFonts w:hint="eastAsia" w:ascii="宋体" w:hAnsi="宋体" w:eastAsia="宋体" w:cs="宋体"/>
          <w:b/>
          <w:bCs/>
          <w:kern w:val="44"/>
          <w:sz w:val="24"/>
          <w:szCs w:val="24"/>
        </w:rPr>
        <w:sectPr>
          <w:headerReference r:id="rId7" w:type="default"/>
          <w:footerReference r:id="rId8" w:type="default"/>
          <w:pgSz w:w="11907" w:h="16840"/>
          <w:pgMar w:top="1304" w:right="1418" w:bottom="1304" w:left="1418" w:header="724" w:footer="851" w:gutter="0"/>
          <w:cols w:space="720" w:num="1"/>
          <w:docGrid w:linePitch="290" w:charSpace="-3931"/>
        </w:sectPr>
      </w:pPr>
    </w:p>
    <w:p>
      <w:pPr>
        <w:pStyle w:val="18"/>
        <w:numPr>
          <w:ilvl w:val="-1"/>
          <w:numId w:val="0"/>
        </w:numPr>
        <w:jc w:val="center"/>
        <w:outlineLvl w:val="0"/>
        <w:rPr>
          <w:rFonts w:ascii="Calibri" w:hAnsi="Calibri" w:eastAsia="宋体" w:cs="Times New Roman"/>
          <w:b/>
          <w:bCs/>
          <w:kern w:val="44"/>
          <w:sz w:val="36"/>
          <w:szCs w:val="44"/>
        </w:rPr>
      </w:pPr>
      <w:bookmarkStart w:id="27" w:name="_Toc22879"/>
      <w:r>
        <w:rPr>
          <w:rFonts w:hint="eastAsia" w:ascii="Calibri" w:hAnsi="Calibri" w:eastAsia="宋体" w:cs="Times New Roman"/>
          <w:b/>
          <w:bCs/>
          <w:kern w:val="44"/>
          <w:sz w:val="36"/>
          <w:szCs w:val="44"/>
          <w:lang w:val="en-US" w:eastAsia="zh-CN"/>
        </w:rPr>
        <w:t>第三部分</w:t>
      </w:r>
      <w:r>
        <w:rPr>
          <w:rFonts w:hint="eastAsia" w:ascii="Calibri" w:hAnsi="Calibri" w:eastAsia="宋体" w:cs="Times New Roman"/>
          <w:b/>
          <w:bCs/>
          <w:kern w:val="44"/>
          <w:sz w:val="36"/>
          <w:szCs w:val="44"/>
        </w:rPr>
        <w:t xml:space="preserve"> 投标文件编制</w:t>
      </w:r>
      <w:bookmarkEnd w:id="27"/>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一、投标文件的编制</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投标文件和与投标有关的所有文件均应使用中文</w:t>
      </w:r>
      <w:r>
        <w:rPr>
          <w:rFonts w:hint="eastAsia" w:ascii="宋体" w:hAnsi="宋体" w:eastAsia="宋体" w:cs="宋体"/>
          <w:color w:val="000000"/>
          <w:sz w:val="24"/>
          <w:szCs w:val="24"/>
          <w:lang w:eastAsia="zh-CN"/>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除投标文件的技术规格中另有规定外，投标文件中所使用的计量单位应为中华人民共和国法定计量单位。</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二、投标文件资料</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投标人所投标设备详细技术资料清单，在标书中列示说明；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投标人完整的技术支持与售后服务实施方案，在标书中列示说明，包含但不限于以下内容：</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投标人关于包装、运输、检验、交付、安装、调试、培训等方案，均需在投标文件中列示说明。</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三、投标文件的组成</w:t>
      </w:r>
    </w:p>
    <w:p>
      <w:pPr>
        <w:spacing w:line="360" w:lineRule="auto"/>
        <w:ind w:firstLine="480" w:firstLineChars="200"/>
        <w:rPr>
          <w:rFonts w:hint="eastAsia" w:ascii="宋体" w:hAnsi="宋体" w:eastAsia="宋体" w:cs="宋体"/>
          <w:bCs/>
          <w:color w:val="000000"/>
          <w:sz w:val="24"/>
          <w:szCs w:val="24"/>
          <w:lang w:val="en-US" w:eastAsia="zh-CN"/>
        </w:rPr>
      </w:pPr>
      <w:r>
        <w:rPr>
          <w:rFonts w:hint="eastAsia" w:ascii="宋体" w:hAnsi="宋体" w:eastAsia="宋体" w:cs="宋体"/>
          <w:b w:val="0"/>
          <w:bCs/>
          <w:color w:val="auto"/>
          <w:sz w:val="24"/>
          <w:szCs w:val="24"/>
          <w:highlight w:val="none"/>
        </w:rPr>
        <w:t>本项目投标文件</w:t>
      </w:r>
      <w:r>
        <w:rPr>
          <w:rFonts w:hint="eastAsia" w:ascii="宋体" w:hAnsi="宋体" w:eastAsia="宋体" w:cs="宋体"/>
          <w:b w:val="0"/>
          <w:bCs/>
          <w:color w:val="auto"/>
          <w:sz w:val="24"/>
          <w:szCs w:val="24"/>
          <w:highlight w:val="none"/>
          <w:lang w:val="en-US" w:eastAsia="zh-CN"/>
        </w:rPr>
        <w:t>分为</w:t>
      </w:r>
      <w:r>
        <w:rPr>
          <w:rFonts w:hint="eastAsia" w:ascii="宋体" w:hAnsi="宋体" w:eastAsia="宋体" w:cs="宋体"/>
          <w:b/>
          <w:bCs w:val="0"/>
          <w:color w:val="auto"/>
          <w:sz w:val="24"/>
          <w:szCs w:val="24"/>
          <w:highlight w:val="none"/>
          <w:lang w:val="en-US" w:eastAsia="zh-CN"/>
        </w:rPr>
        <w:t>纸质版</w:t>
      </w:r>
      <w:r>
        <w:rPr>
          <w:rFonts w:hint="eastAsia" w:ascii="宋体" w:hAnsi="宋体" w:eastAsia="宋体" w:cs="宋体"/>
          <w:b w:val="0"/>
          <w:bCs/>
          <w:color w:val="auto"/>
          <w:sz w:val="24"/>
          <w:szCs w:val="24"/>
          <w:highlight w:val="none"/>
          <w:lang w:val="en-US" w:eastAsia="zh-CN"/>
        </w:rPr>
        <w:t>投标文件和</w:t>
      </w:r>
      <w:r>
        <w:rPr>
          <w:rFonts w:hint="eastAsia" w:ascii="宋体" w:hAnsi="宋体" w:eastAsia="宋体" w:cs="宋体"/>
          <w:b/>
          <w:bCs w:val="0"/>
          <w:color w:val="auto"/>
          <w:sz w:val="24"/>
          <w:szCs w:val="24"/>
          <w:highlight w:val="none"/>
          <w:lang w:val="en-US" w:eastAsia="zh-CN"/>
        </w:rPr>
        <w:t>电子版</w:t>
      </w:r>
      <w:r>
        <w:rPr>
          <w:rFonts w:hint="eastAsia" w:ascii="宋体" w:hAnsi="宋体" w:eastAsia="宋体" w:cs="宋体"/>
          <w:b w:val="0"/>
          <w:bCs/>
          <w:color w:val="auto"/>
          <w:sz w:val="24"/>
          <w:szCs w:val="24"/>
          <w:highlight w:val="none"/>
          <w:lang w:val="en-US" w:eastAsia="zh-CN"/>
        </w:rPr>
        <w:t>投标文件，均</w:t>
      </w:r>
      <w:r>
        <w:rPr>
          <w:rFonts w:hint="eastAsia" w:ascii="宋体" w:hAnsi="宋体" w:eastAsia="宋体" w:cs="宋体"/>
          <w:b w:val="0"/>
          <w:bCs/>
          <w:color w:val="auto"/>
          <w:sz w:val="24"/>
          <w:szCs w:val="24"/>
          <w:highlight w:val="none"/>
        </w:rPr>
        <w:t>由</w:t>
      </w:r>
      <w:r>
        <w:rPr>
          <w:rFonts w:hint="eastAsia" w:ascii="宋体" w:hAnsi="宋体" w:eastAsia="宋体" w:cs="宋体"/>
          <w:b/>
          <w:bCs w:val="0"/>
          <w:color w:val="auto"/>
          <w:sz w:val="24"/>
          <w:szCs w:val="24"/>
          <w:highlight w:val="none"/>
        </w:rPr>
        <w:t>《投标文件（资质标）》、《投标文件（技术标）》、《投标文件（商务标）》（开标一览表）</w:t>
      </w:r>
      <w:r>
        <w:rPr>
          <w:rFonts w:hint="eastAsia" w:ascii="宋体" w:hAnsi="宋体" w:eastAsia="宋体" w:cs="宋体"/>
          <w:b w:val="0"/>
          <w:bCs/>
          <w:color w:val="auto"/>
          <w:sz w:val="24"/>
          <w:szCs w:val="24"/>
          <w:highlight w:val="none"/>
        </w:rPr>
        <w:t>文件组成，共计</w:t>
      </w:r>
      <w:r>
        <w:rPr>
          <w:rFonts w:hint="eastAsia" w:ascii="宋体" w:hAnsi="宋体" w:eastAsia="宋体" w:cs="宋体"/>
          <w:b w:val="0"/>
          <w:bCs/>
          <w:color w:val="auto"/>
          <w:sz w:val="24"/>
          <w:szCs w:val="24"/>
          <w:highlight w:val="none"/>
          <w:lang w:val="en-US" w:eastAsia="zh-CN"/>
        </w:rPr>
        <w:t>3</w:t>
      </w:r>
      <w:r>
        <w:rPr>
          <w:rFonts w:hint="eastAsia" w:ascii="宋体" w:hAnsi="宋体" w:eastAsia="宋体" w:cs="宋体"/>
          <w:bCs/>
          <w:color w:val="000000"/>
          <w:sz w:val="24"/>
          <w:szCs w:val="24"/>
        </w:rPr>
        <w:t>个</w:t>
      </w:r>
      <w:r>
        <w:rPr>
          <w:rFonts w:hint="eastAsia" w:ascii="宋体" w:hAnsi="宋体" w:eastAsia="宋体" w:cs="宋体"/>
          <w:bCs/>
          <w:color w:val="000000"/>
          <w:sz w:val="24"/>
          <w:szCs w:val="24"/>
          <w:lang w:val="en-US" w:eastAsia="zh-CN"/>
        </w:rPr>
        <w:t>文件。</w:t>
      </w:r>
    </w:p>
    <w:p>
      <w:pPr>
        <w:spacing w:line="360" w:lineRule="auto"/>
        <w:ind w:firstLine="482" w:firstLineChars="200"/>
        <w:rPr>
          <w:rFonts w:hint="eastAsia" w:ascii="宋体" w:hAnsi="宋体" w:eastAsia="宋体" w:cs="宋体"/>
          <w:bCs/>
          <w:color w:val="000000"/>
          <w:sz w:val="24"/>
          <w:szCs w:val="24"/>
          <w:lang w:val="en-US" w:eastAsia="zh-CN"/>
        </w:rPr>
      </w:pPr>
      <w:r>
        <w:rPr>
          <w:rFonts w:hint="eastAsia" w:ascii="宋体" w:hAnsi="宋体" w:eastAsia="宋体" w:cs="宋体"/>
          <w:b/>
          <w:bCs w:val="0"/>
          <w:color w:val="000000"/>
          <w:sz w:val="24"/>
          <w:szCs w:val="24"/>
          <w:lang w:val="en-US" w:eastAsia="zh-CN"/>
        </w:rPr>
        <w:t>投标文件的份数要求及投递方式</w:t>
      </w:r>
      <w:r>
        <w:rPr>
          <w:rFonts w:hint="eastAsia" w:ascii="宋体" w:hAnsi="宋体" w:eastAsia="宋体" w:cs="宋体"/>
          <w:bCs/>
          <w:color w:val="000000"/>
          <w:sz w:val="24"/>
          <w:szCs w:val="24"/>
          <w:lang w:val="en-US" w:eastAsia="zh-CN"/>
        </w:rPr>
        <w:t>，见《投标须知前附表》第3条。</w:t>
      </w:r>
    </w:p>
    <w:p>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bCs/>
          <w:sz w:val="24"/>
          <w:szCs w:val="24"/>
        </w:rPr>
        <w:t>1</w:t>
      </w:r>
      <w:r>
        <w:rPr>
          <w:rFonts w:hint="eastAsia" w:ascii="宋体" w:hAnsi="宋体" w:eastAsia="宋体" w:cs="宋体"/>
          <w:b/>
          <w:bCs/>
          <w:sz w:val="24"/>
          <w:szCs w:val="24"/>
          <w:lang w:val="en-US" w:eastAsia="zh-CN"/>
        </w:rPr>
        <w:t>.</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投标文件（资质标）</w:t>
      </w:r>
      <w:r>
        <w:rPr>
          <w:rFonts w:hint="eastAsia" w:ascii="宋体" w:hAnsi="宋体" w:eastAsia="宋体" w:cs="宋体"/>
          <w:b/>
          <w:bCs/>
          <w:sz w:val="24"/>
          <w:szCs w:val="24"/>
          <w:lang w:eastAsia="zh-CN"/>
        </w:rPr>
        <w:t>》</w:t>
      </w:r>
      <w:r>
        <w:rPr>
          <w:rFonts w:hint="eastAsia" w:ascii="宋体" w:hAnsi="宋体" w:eastAsia="宋体" w:cs="宋体"/>
          <w:b/>
          <w:bCs/>
          <w:sz w:val="24"/>
          <w:szCs w:val="24"/>
        </w:rPr>
        <w:t>包括</w:t>
      </w:r>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1.2投标函（附件1）；</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
          <w:color w:val="000000"/>
          <w:sz w:val="24"/>
          <w:szCs w:val="24"/>
          <w:lang w:val="en-US" w:eastAsia="zh-CN"/>
        </w:rPr>
        <w:t>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w:t>
      </w:r>
      <w:r>
        <w:rPr>
          <w:rFonts w:hint="eastAsia" w:ascii="宋体" w:hAnsi="宋体" w:eastAsia="宋体" w:cs="宋体"/>
          <w:kern w:val="0"/>
          <w:sz w:val="24"/>
          <w:szCs w:val="24"/>
          <w:highlight w:val="yellow"/>
          <w:lang w:val="en-US" w:eastAsia="zh-CN" w:bidi="en-US"/>
        </w:rPr>
        <w:t>6</w:t>
      </w:r>
      <w:r>
        <w:rPr>
          <w:rFonts w:hint="eastAsia" w:ascii="宋体" w:hAnsi="宋体" w:eastAsia="宋体" w:cs="宋体"/>
          <w:kern w:val="0"/>
          <w:sz w:val="24"/>
          <w:szCs w:val="24"/>
          <w:highlight w:val="yellow"/>
          <w:lang w:bidi="en-US"/>
        </w:rPr>
        <w:t>个月</w:t>
      </w:r>
      <w:r>
        <w:rPr>
          <w:rFonts w:hint="eastAsia" w:ascii="宋体" w:hAnsi="宋体" w:eastAsia="宋体" w:cs="宋体"/>
          <w:kern w:val="0"/>
          <w:sz w:val="24"/>
          <w:szCs w:val="24"/>
          <w:highlight w:val="yellow"/>
          <w:lang w:val="en-US" w:eastAsia="zh-CN" w:bidi="en-US"/>
        </w:rPr>
        <w:t>及以上在授权单位的社保</w:t>
      </w:r>
      <w:r>
        <w:rPr>
          <w:rFonts w:hint="eastAsia" w:ascii="宋体" w:hAnsi="宋体" w:eastAsia="宋体" w:cs="宋体"/>
          <w:kern w:val="0"/>
          <w:sz w:val="24"/>
          <w:szCs w:val="24"/>
          <w:highlight w:val="yellow"/>
          <w:lang w:bidi="en-US"/>
        </w:rPr>
        <w:t>缴纳证明</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b/>
          <w:color w:val="000000"/>
          <w:sz w:val="24"/>
          <w:szCs w:val="24"/>
          <w:highlight w:val="yellow"/>
          <w:lang w:eastAsia="zh-CN"/>
        </w:rPr>
      </w:pPr>
      <w:r>
        <w:rPr>
          <w:rFonts w:hint="eastAsia" w:ascii="宋体" w:hAnsi="宋体" w:eastAsia="宋体" w:cs="宋体"/>
          <w:color w:val="000000"/>
          <w:sz w:val="24"/>
          <w:szCs w:val="24"/>
        </w:rPr>
        <w:t>1.4近</w:t>
      </w:r>
      <w:r>
        <w:rPr>
          <w:rFonts w:hint="eastAsia" w:ascii="宋体" w:hAnsi="宋体" w:eastAsia="宋体" w:cs="宋体"/>
          <w:color w:val="000000"/>
          <w:sz w:val="24"/>
          <w:szCs w:val="24"/>
          <w:lang w:val="en-US" w:eastAsia="zh-CN"/>
        </w:rPr>
        <w:t>三年经第三方机构审计的</w:t>
      </w:r>
      <w:r>
        <w:rPr>
          <w:rFonts w:hint="eastAsia" w:ascii="宋体" w:hAnsi="宋体" w:eastAsia="宋体" w:cs="宋体"/>
          <w:color w:val="000000"/>
          <w:sz w:val="24"/>
          <w:szCs w:val="24"/>
        </w:rPr>
        <w:t>财务报表（</w:t>
      </w:r>
      <w:r>
        <w:rPr>
          <w:rFonts w:hint="eastAsia" w:ascii="宋体" w:hAnsi="宋体" w:eastAsia="宋体" w:cs="宋体"/>
          <w:color w:val="000000"/>
          <w:sz w:val="24"/>
          <w:szCs w:val="24"/>
          <w:lang w:val="en-US" w:eastAsia="zh-CN"/>
        </w:rPr>
        <w:t>报告页、</w:t>
      </w:r>
      <w:r>
        <w:rPr>
          <w:rFonts w:hint="eastAsia" w:ascii="宋体" w:hAnsi="宋体" w:eastAsia="宋体" w:cs="宋体"/>
          <w:color w:val="000000"/>
          <w:sz w:val="24"/>
          <w:szCs w:val="24"/>
        </w:rPr>
        <w:t>资产负债表、损益表、现金流量表）复印件（需加盖公章），必须连续，同时填写投标人基本情况表（附件3）</w:t>
      </w:r>
      <w:r>
        <w:rPr>
          <w:rFonts w:hint="eastAsia" w:ascii="宋体" w:hAnsi="宋体" w:eastAsia="宋体" w:cs="宋体"/>
          <w:b/>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highlight w:val="none"/>
        </w:rPr>
        <w:t>无与本项目有关的违法及重大违规</w:t>
      </w:r>
      <w:r>
        <w:rPr>
          <w:rFonts w:hint="eastAsia" w:ascii="宋体" w:hAnsi="宋体" w:eastAsia="宋体" w:cs="宋体"/>
          <w:color w:val="000000"/>
          <w:sz w:val="24"/>
          <w:szCs w:val="24"/>
        </w:rPr>
        <w:t>行为的声明；</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附投标当日系统内相关截图</w:t>
      </w:r>
      <w:r>
        <w:rPr>
          <w:rFonts w:hint="eastAsia" w:ascii="宋体" w:hAnsi="宋体" w:eastAsia="宋体" w:cs="宋体"/>
          <w:color w:val="000000"/>
          <w:sz w:val="24"/>
          <w:szCs w:val="24"/>
          <w:highlight w:val="yellow"/>
          <w:lang w:eastAsia="zh-CN"/>
        </w:rPr>
        <w:t>）</w:t>
      </w:r>
    </w:p>
    <w:p>
      <w:pPr>
        <w:spacing w:line="360" w:lineRule="auto"/>
        <w:ind w:firstLine="480" w:firstLineChars="200"/>
        <w:rPr>
          <w:rFonts w:hint="eastAsia"/>
          <w:lang w:eastAsia="zh-CN"/>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7</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8企业信用证明材料</w:t>
      </w:r>
      <w:r>
        <w:rPr>
          <w:rFonts w:hint="eastAsia" w:ascii="宋体" w:hAnsi="宋体" w:eastAsia="宋体" w:cs="宋体"/>
          <w:color w:val="000000"/>
          <w:sz w:val="24"/>
          <w:szCs w:val="24"/>
          <w:highlight w:val="yellow"/>
          <w:lang w:val="en-US" w:eastAsia="zh-CN"/>
        </w:rPr>
        <w:t>（征信中心出具的信用报告）</w:t>
      </w:r>
      <w:r>
        <w:rPr>
          <w:rFonts w:hint="eastAsia" w:ascii="宋体" w:hAnsi="宋体" w:eastAsia="宋体" w:cs="宋体"/>
          <w:color w:val="000000"/>
          <w:sz w:val="24"/>
          <w:szCs w:val="24"/>
          <w:lang w:val="en-US" w:eastAsia="zh-CN"/>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1.9</w:t>
      </w:r>
      <w:r>
        <w:rPr>
          <w:rFonts w:hint="eastAsia" w:ascii="宋体" w:hAnsi="宋体" w:eastAsia="宋体" w:cs="宋体"/>
          <w:color w:val="000000"/>
          <w:sz w:val="24"/>
          <w:szCs w:val="24"/>
        </w:rPr>
        <w:t>代理商投标要携带生产商的授权书、原厂售后服务承诺书，根据实际情况提供即可，无格式限制</w:t>
      </w:r>
      <w:r>
        <w:rPr>
          <w:rFonts w:hint="eastAsia" w:hAnsi="宋体" w:eastAsia="宋体" w:cs="宋体"/>
          <w:color w:val="000000"/>
          <w:sz w:val="24"/>
          <w:szCs w:val="24"/>
          <w:highlight w:val="none"/>
          <w:lang w:eastAsia="zh-CN"/>
        </w:rPr>
        <w:t>（</w:t>
      </w:r>
      <w:r>
        <w:rPr>
          <w:rFonts w:hint="eastAsia" w:hAnsi="宋体" w:eastAsia="宋体" w:cs="宋体"/>
          <w:color w:val="000000"/>
          <w:sz w:val="24"/>
          <w:szCs w:val="24"/>
          <w:highlight w:val="yellow"/>
        </w:rPr>
        <w:t>包括所代理品牌针对项目的唯一授权书</w:t>
      </w:r>
      <w:r>
        <w:rPr>
          <w:rFonts w:hint="eastAsia" w:hAnsi="宋体" w:eastAsia="宋体" w:cs="宋体"/>
          <w:color w:val="000000"/>
          <w:sz w:val="24"/>
          <w:szCs w:val="24"/>
          <w:highlight w:val="none"/>
          <w:lang w:eastAsia="zh-CN"/>
        </w:rPr>
        <w:t>）</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10</w:t>
      </w:r>
      <w:r>
        <w:rPr>
          <w:rFonts w:hint="eastAsia" w:ascii="宋体" w:hAnsi="宋体" w:eastAsia="宋体" w:cs="宋体"/>
          <w:color w:val="000000"/>
          <w:sz w:val="24"/>
          <w:szCs w:val="24"/>
        </w:rPr>
        <w:t>企业最近半年的完税证明</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11</w:t>
      </w:r>
      <w:r>
        <w:rPr>
          <w:rFonts w:hint="eastAsia" w:ascii="宋体" w:hAnsi="宋体" w:eastAsia="宋体" w:cs="宋体"/>
          <w:color w:val="000000"/>
          <w:sz w:val="24"/>
          <w:szCs w:val="24"/>
        </w:rPr>
        <w:t>保密承诺函（附件4）；</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1.12</w:t>
      </w:r>
      <w:r>
        <w:rPr>
          <w:rFonts w:hint="eastAsia" w:ascii="宋体" w:hAnsi="宋体" w:eastAsia="宋体" w:cs="宋体"/>
          <w:color w:val="000000"/>
          <w:sz w:val="24"/>
          <w:szCs w:val="24"/>
        </w:rPr>
        <w:t xml:space="preserve"> </w:t>
      </w:r>
      <w:r>
        <w:rPr>
          <w:rFonts w:hint="eastAsia" w:ascii="宋体" w:hAnsi="宋体" w:eastAsia="宋体" w:cs="宋体"/>
          <w:color w:val="000000"/>
          <w:sz w:val="24"/>
          <w:szCs w:val="24"/>
          <w:lang w:eastAsia="zh-CN"/>
        </w:rPr>
        <w:t>2022</w:t>
      </w:r>
      <w:r>
        <w:rPr>
          <w:rFonts w:hint="eastAsia" w:ascii="宋体" w:hAnsi="宋体" w:eastAsia="宋体" w:cs="宋体"/>
          <w:color w:val="000000"/>
          <w:sz w:val="24"/>
          <w:szCs w:val="24"/>
        </w:rPr>
        <w:t>年1月1日至今，企业近</w:t>
      </w:r>
      <w:r>
        <w:rPr>
          <w:rFonts w:hint="eastAsia" w:ascii="宋体" w:hAnsi="宋体" w:eastAsia="宋体" w:cs="宋体"/>
          <w:color w:val="000000"/>
          <w:sz w:val="24"/>
          <w:szCs w:val="24"/>
          <w:lang w:val="en-US" w:eastAsia="zh-CN"/>
        </w:rPr>
        <w:t>三年</w:t>
      </w:r>
      <w:r>
        <w:rPr>
          <w:rFonts w:hint="eastAsia" w:ascii="宋体" w:hAnsi="宋体" w:eastAsia="宋体" w:cs="宋体"/>
          <w:color w:val="000000"/>
          <w:sz w:val="24"/>
          <w:szCs w:val="24"/>
        </w:rPr>
        <w:t>同类项目业绩证明</w:t>
      </w:r>
      <w:r>
        <w:rPr>
          <w:rFonts w:hint="eastAsia" w:ascii="宋体" w:hAnsi="宋体" w:eastAsia="宋体" w:cs="宋体"/>
          <w:color w:val="000000"/>
          <w:sz w:val="24"/>
          <w:szCs w:val="24"/>
          <w:lang w:eastAsia="zh-CN"/>
        </w:rPr>
        <w:t>，</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lang w:val="en-US" w:eastAsia="zh-CN"/>
        </w:rPr>
        <w:t>复印件</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1.1</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投标保证金缴纳凭证</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同时</w:t>
      </w:r>
      <w:r>
        <w:rPr>
          <w:rFonts w:hint="eastAsia" w:ascii="宋体" w:hAnsi="宋体" w:eastAsia="宋体" w:cs="宋体"/>
          <w:color w:val="000000"/>
          <w:sz w:val="24"/>
          <w:szCs w:val="24"/>
          <w:highlight w:val="yellow"/>
          <w:lang w:val="en-US" w:eastAsia="zh-CN"/>
        </w:rPr>
        <w:t>正文描述付款账号、户名、开户行名称、开户行行号、保证金金额</w:t>
      </w:r>
      <w:r>
        <w:rPr>
          <w:rFonts w:hint="eastAsia" w:ascii="宋体" w:hAnsi="宋体" w:eastAsia="宋体" w:cs="宋体"/>
          <w:color w:val="000000"/>
          <w:sz w:val="24"/>
          <w:szCs w:val="24"/>
        </w:rPr>
        <w:t>。</w:t>
      </w:r>
    </w:p>
    <w:p>
      <w:pPr>
        <w:spacing w:line="360" w:lineRule="auto"/>
        <w:ind w:firstLine="482" w:firstLineChars="200"/>
        <w:rPr>
          <w:rFonts w:hint="eastAsia" w:ascii="宋体" w:hAnsi="宋体" w:eastAsia="宋体" w:cs="宋体"/>
          <w:b/>
          <w:bCs/>
          <w:sz w:val="24"/>
          <w:szCs w:val="24"/>
          <w:highlight w:val="none"/>
        </w:rPr>
      </w:pPr>
      <w:bookmarkStart w:id="28" w:name="_Toc212369515"/>
      <w:r>
        <w:rPr>
          <w:rFonts w:hint="eastAsia" w:ascii="宋体" w:hAnsi="宋体" w:eastAsia="宋体" w:cs="宋体"/>
          <w:b/>
          <w:bCs/>
          <w:sz w:val="24"/>
          <w:szCs w:val="24"/>
          <w:highlight w:val="none"/>
        </w:rPr>
        <w:t>2</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《投标文件（技术标）》</w:t>
      </w:r>
      <w:r>
        <w:rPr>
          <w:rFonts w:hint="eastAsia" w:ascii="宋体" w:hAnsi="宋体" w:eastAsia="宋体" w:cs="宋体"/>
          <w:b/>
          <w:bCs/>
          <w:sz w:val="24"/>
          <w:szCs w:val="24"/>
          <w:highlight w:val="none"/>
        </w:rPr>
        <w:t>：</w:t>
      </w:r>
      <w:bookmarkEnd w:id="28"/>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2.1技术规格偏离表（附件5</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pPr>
        <w:spacing w:line="360" w:lineRule="auto"/>
        <w:ind w:firstLine="480" w:firstLineChars="200"/>
        <w:rPr>
          <w:rFonts w:hint="eastAsia" w:hAnsi="宋体" w:eastAsia="宋体" w:cs="宋体"/>
          <w:b/>
          <w:color w:val="000000"/>
          <w:kern w:val="2"/>
          <w:sz w:val="24"/>
          <w:szCs w:val="24"/>
          <w:highlight w:val="yellow"/>
          <w:lang w:val="en-US" w:eastAsia="zh-CN" w:bidi="ar-SA"/>
        </w:rPr>
      </w:pPr>
      <w:r>
        <w:rPr>
          <w:rFonts w:hint="eastAsia" w:ascii="宋体" w:hAnsi="宋体" w:eastAsia="宋体" w:cs="宋体"/>
          <w:bCs/>
          <w:color w:val="000000"/>
          <w:sz w:val="24"/>
          <w:szCs w:val="24"/>
        </w:rPr>
        <w:t>2.2</w:t>
      </w:r>
      <w:r>
        <w:rPr>
          <w:rFonts w:hint="eastAsia" w:hAnsi="宋体" w:eastAsia="宋体" w:cs="宋体"/>
          <w:color w:val="000000"/>
          <w:kern w:val="2"/>
          <w:sz w:val="24"/>
          <w:szCs w:val="24"/>
          <w:highlight w:val="yellow"/>
          <w:lang w:val="en-US" w:eastAsia="zh-CN" w:bidi="ar-SA"/>
        </w:rPr>
        <w:t>设备分项配置表（附件5-2），列明项目设备分项配置规格型号、品牌等信息（要求分项明细与附表9-1完全对应），但</w:t>
      </w:r>
      <w:r>
        <w:rPr>
          <w:rFonts w:hint="eastAsia" w:ascii="宋体" w:hAnsi="宋体" w:eastAsia="宋体" w:cs="宋体"/>
          <w:b/>
          <w:color w:val="000000"/>
          <w:kern w:val="2"/>
          <w:sz w:val="24"/>
          <w:szCs w:val="24"/>
          <w:highlight w:val="yellow"/>
          <w:lang w:val="en-US" w:eastAsia="zh-CN" w:bidi="ar-SA"/>
        </w:rPr>
        <w:t>注意：</w:t>
      </w:r>
      <w:r>
        <w:rPr>
          <w:rFonts w:hint="eastAsia" w:hAnsi="宋体" w:eastAsia="宋体" w:cs="宋体"/>
          <w:b/>
          <w:color w:val="000000"/>
          <w:kern w:val="2"/>
          <w:sz w:val="24"/>
          <w:szCs w:val="24"/>
          <w:highlight w:val="yellow"/>
          <w:lang w:val="en-US" w:eastAsia="zh-CN" w:bidi="ar-SA"/>
        </w:rPr>
        <w:t>此表在技术标书中，禁止出现任何分项价格及项目总价；</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2.3</w:t>
      </w:r>
      <w:r>
        <w:rPr>
          <w:rFonts w:hint="eastAsia" w:ascii="宋体" w:hAnsi="宋体" w:eastAsia="宋体" w:cs="宋体"/>
          <w:color w:val="000000"/>
          <w:sz w:val="24"/>
          <w:szCs w:val="24"/>
        </w:rPr>
        <w:t>提供</w:t>
      </w:r>
      <w:r>
        <w:rPr>
          <w:rFonts w:hint="eastAsia" w:ascii="宋体" w:hAnsi="宋体" w:eastAsia="宋体" w:cs="宋体"/>
          <w:color w:val="000000"/>
          <w:sz w:val="24"/>
          <w:szCs w:val="24"/>
          <w:lang w:eastAsia="zh-CN"/>
        </w:rPr>
        <w:t>2022</w:t>
      </w:r>
      <w:r>
        <w:rPr>
          <w:rFonts w:hint="eastAsia" w:ascii="宋体" w:hAnsi="宋体" w:eastAsia="宋体" w:cs="宋体"/>
          <w:color w:val="000000"/>
          <w:sz w:val="24"/>
          <w:szCs w:val="24"/>
        </w:rPr>
        <w:t>年1月1日以来同类产品的制造销售业绩（用户名单、联系方式），并附合同复印件。该同类项目业绩一览表必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r>
        <w:rPr>
          <w:rFonts w:hint="eastAsia" w:ascii="宋体" w:hAnsi="宋体" w:eastAsia="宋体" w:cs="宋体"/>
          <w:b/>
          <w:bCs/>
          <w:color w:val="000000"/>
          <w:sz w:val="24"/>
          <w:szCs w:val="24"/>
        </w:rPr>
        <w:t>若未提供相应业绩证明，根据技术标评分规则，将影响现场评标专家组对投标单位业绩判定打分</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供货期及保证措施；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产品的技术服务和售后服务内容及措施；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交货进度及计划；</w:t>
      </w:r>
    </w:p>
    <w:p>
      <w:pPr>
        <w:spacing w:line="360" w:lineRule="auto"/>
        <w:ind w:firstLine="480" w:firstLineChars="200"/>
        <w:rPr>
          <w:rFonts w:hint="eastAsia" w:ascii="宋体" w:hAnsi="宋体" w:eastAsia="宋体" w:cs="宋体"/>
          <w:color w:val="000000"/>
          <w:sz w:val="24"/>
          <w:szCs w:val="24"/>
        </w:rPr>
      </w:pPr>
      <w:bookmarkStart w:id="29" w:name="_Toc536542319"/>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投标产品技术支持材料</w:t>
      </w:r>
      <w:bookmarkEnd w:id="29"/>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8</w:t>
      </w:r>
      <w:r>
        <w:rPr>
          <w:rFonts w:hint="eastAsia" w:ascii="宋体" w:hAnsi="宋体" w:eastAsia="宋体" w:cs="宋体"/>
          <w:color w:val="000000"/>
          <w:sz w:val="24"/>
          <w:szCs w:val="24"/>
        </w:rPr>
        <w:t>设备质量承诺函（附件7）；</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投标人需提交的其它资料。</w:t>
      </w:r>
    </w:p>
    <w:p>
      <w:pPr>
        <w:spacing w:line="360" w:lineRule="auto"/>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3</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《投标文件（商务标）》（开标一览表）</w:t>
      </w:r>
      <w:r>
        <w:rPr>
          <w:rFonts w:hint="eastAsia" w:ascii="宋体" w:hAnsi="宋体" w:eastAsia="宋体" w:cs="宋体"/>
          <w:b/>
          <w:bCs/>
          <w:sz w:val="24"/>
          <w:szCs w:val="24"/>
          <w:highlight w:val="none"/>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3.1开标一览表（附件8）；</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3.2投标</w:t>
      </w:r>
      <w:r>
        <w:rPr>
          <w:rFonts w:hint="eastAsia" w:ascii="宋体" w:hAnsi="宋体" w:eastAsia="宋体" w:cs="宋体"/>
          <w:color w:val="000000"/>
          <w:sz w:val="24"/>
          <w:szCs w:val="24"/>
          <w:highlight w:val="none"/>
        </w:rPr>
        <w:t>报价明细表（附件9</w:t>
      </w:r>
      <w:r>
        <w:rPr>
          <w:rFonts w:hint="eastAsia" w:ascii="宋体" w:hAnsi="宋体" w:eastAsia="宋体" w:cs="宋体"/>
          <w:color w:val="000000"/>
          <w:sz w:val="24"/>
          <w:szCs w:val="24"/>
          <w:highlight w:val="none"/>
          <w:lang w:val="en-US" w:eastAsia="zh-CN"/>
        </w:rPr>
        <w:t>-1至9-5</w:t>
      </w:r>
      <w:r>
        <w:rPr>
          <w:rFonts w:hint="eastAsia" w:ascii="宋体" w:hAnsi="宋体" w:eastAsia="宋体" w:cs="宋体"/>
          <w:color w:val="000000"/>
          <w:sz w:val="24"/>
          <w:szCs w:val="24"/>
          <w:highlight w:val="none"/>
        </w:rPr>
        <w:t>）</w:t>
      </w:r>
      <w:r>
        <w:rPr>
          <w:rFonts w:hint="eastAsia" w:ascii="宋体" w:hAnsi="宋体" w:eastAsia="宋体" w:cs="宋体"/>
          <w:b/>
          <w:color w:val="000000"/>
          <w:sz w:val="24"/>
          <w:szCs w:val="24"/>
          <w:highlight w:val="none"/>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0" w:name="OLE_LINK18"/>
      <w:bookmarkStart w:id="31" w:name="OLE_LINK19"/>
      <w:r>
        <w:rPr>
          <w:rFonts w:hint="eastAsia" w:ascii="宋体" w:hAnsi="宋体" w:eastAsia="宋体" w:cs="宋体"/>
          <w:b/>
          <w:color w:val="000000"/>
          <w:sz w:val="24"/>
          <w:szCs w:val="24"/>
        </w:rPr>
        <w:t>；</w:t>
      </w:r>
      <w:bookmarkEnd w:id="30"/>
      <w:bookmarkEnd w:id="31"/>
      <w:r>
        <w:rPr>
          <w:rFonts w:hint="eastAsia" w:ascii="宋体" w:hAnsi="宋体" w:eastAsia="宋体" w:cs="宋体"/>
          <w:color w:val="000000"/>
          <w:sz w:val="24"/>
          <w:szCs w:val="24"/>
        </w:rPr>
        <w:t xml:space="preserve"> </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3.6按招标文件投标人须知和技术规格书中要求提供的有关文件。</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四、投标文件格式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详见第</w:t>
      </w:r>
      <w:r>
        <w:rPr>
          <w:rFonts w:hint="eastAsia" w:ascii="宋体" w:hAnsi="宋体" w:eastAsia="宋体" w:cs="宋体"/>
          <w:color w:val="000000"/>
          <w:sz w:val="24"/>
          <w:szCs w:val="24"/>
          <w:lang w:val="en-US" w:eastAsia="zh-CN"/>
        </w:rPr>
        <w:t>六</w:t>
      </w:r>
      <w:r>
        <w:rPr>
          <w:rFonts w:hint="eastAsia" w:ascii="宋体" w:hAnsi="宋体" w:eastAsia="宋体" w:cs="宋体"/>
          <w:color w:val="000000"/>
          <w:sz w:val="24"/>
          <w:szCs w:val="24"/>
        </w:rPr>
        <w:t>部分投标文件附件格式1—13，其余未尽事宜请按各单位习惯制定即可。</w:t>
      </w:r>
    </w:p>
    <w:p>
      <w:pPr>
        <w:pStyle w:val="18"/>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pPr>
        <w:keepNext/>
        <w:keepLines/>
        <w:jc w:val="center"/>
        <w:outlineLvl w:val="0"/>
        <w:rPr>
          <w:rFonts w:ascii="Calibri" w:hAnsi="Calibri" w:eastAsia="宋体" w:cs="Times New Roman"/>
          <w:b/>
          <w:bCs/>
          <w:kern w:val="44"/>
          <w:sz w:val="36"/>
          <w:szCs w:val="44"/>
        </w:rPr>
      </w:pPr>
      <w:bookmarkStart w:id="32" w:name="_Toc11980"/>
      <w:bookmarkStart w:id="33" w:name="_Toc169605877"/>
      <w:r>
        <w:rPr>
          <w:rFonts w:hint="eastAsia" w:ascii="Calibri" w:hAnsi="Calibri" w:eastAsia="宋体" w:cs="Times New Roman"/>
          <w:b/>
          <w:bCs/>
          <w:kern w:val="44"/>
          <w:sz w:val="36"/>
          <w:szCs w:val="44"/>
        </w:rPr>
        <w:t>第四部分 技术标书</w:t>
      </w:r>
      <w:bookmarkEnd w:id="32"/>
    </w:p>
    <w:p>
      <w:pPr>
        <w:pStyle w:val="18"/>
      </w:pPr>
    </w:p>
    <w:p>
      <w:pPr>
        <w:keepNext/>
        <w:keepLines/>
        <w:jc w:val="center"/>
        <w:rPr>
          <w:rFonts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中国重汽集团济南卡车制造公司</w:t>
      </w:r>
    </w:p>
    <w:p>
      <w:pPr>
        <w:jc w:val="center"/>
        <w:rPr>
          <w:rFonts w:hint="eastAsia" w:ascii="Calibri" w:hAnsi="Calibri" w:eastAsia="宋体" w:cs="Times New Roman"/>
          <w:b/>
          <w:bCs/>
          <w:color w:val="000000"/>
          <w:sz w:val="28"/>
          <w:szCs w:val="28"/>
          <w:lang w:eastAsia="zh-CN"/>
        </w:rPr>
      </w:pPr>
      <w:r>
        <w:rPr>
          <w:rFonts w:hint="eastAsia" w:ascii="Calibri" w:hAnsi="Calibri" w:eastAsia="宋体" w:cs="Times New Roman"/>
          <w:b/>
          <w:bCs/>
          <w:color w:val="000000"/>
          <w:sz w:val="48"/>
          <w:szCs w:val="48"/>
          <w:lang w:eastAsia="zh-CN"/>
        </w:rPr>
        <w:t>莱芜厂区新增后背电池行车技改项目</w:t>
      </w:r>
    </w:p>
    <w:p>
      <w:pPr>
        <w:pStyle w:val="18"/>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技</w:t>
      </w: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术</w:t>
      </w: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书</w:t>
      </w:r>
    </w:p>
    <w:p>
      <w:pPr>
        <w:pStyle w:val="18"/>
      </w:pPr>
    </w:p>
    <w:p>
      <w:pPr>
        <w:pStyle w:val="18"/>
        <w:rPr>
          <w:rFonts w:ascii="黑体" w:hAnsi="宋体" w:eastAsia="黑体" w:cs="Times New Roman"/>
          <w:color w:val="000000"/>
          <w:sz w:val="72"/>
          <w:szCs w:val="72"/>
        </w:rPr>
      </w:pPr>
    </w:p>
    <w:p>
      <w:pPr>
        <w:pStyle w:val="18"/>
        <w:rPr>
          <w:rFonts w:ascii="黑体" w:hAnsi="宋体" w:eastAsia="黑体" w:cs="Times New Roman"/>
          <w:color w:val="000000"/>
          <w:sz w:val="72"/>
          <w:szCs w:val="72"/>
        </w:rPr>
      </w:pPr>
    </w:p>
    <w:p>
      <w:pPr>
        <w:pStyle w:val="18"/>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w:t>
      </w:r>
    </w:p>
    <w:p>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审核：             </w:t>
      </w:r>
    </w:p>
    <w:p>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批准：     </w:t>
      </w:r>
    </w:p>
    <w:p>
      <w:pPr>
        <w:pStyle w:val="18"/>
        <w:rPr>
          <w:b/>
          <w:bCs/>
        </w:rPr>
      </w:pPr>
    </w:p>
    <w:p>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w:t>
      </w:r>
      <w:r>
        <w:rPr>
          <w:rFonts w:hint="eastAsia" w:ascii="宋体" w:hAnsi="宋体" w:eastAsia="宋体" w:cs="Times New Roman"/>
          <w:color w:val="000000"/>
          <w:sz w:val="28"/>
          <w:szCs w:val="28"/>
          <w:lang w:val="en-US" w:eastAsia="zh-CN"/>
        </w:rPr>
        <w:t>卡车股份</w:t>
      </w:r>
      <w:r>
        <w:rPr>
          <w:rFonts w:hint="eastAsia" w:ascii="宋体" w:hAnsi="宋体" w:eastAsia="宋体" w:cs="Times New Roman"/>
          <w:color w:val="000000"/>
          <w:sz w:val="28"/>
          <w:szCs w:val="28"/>
        </w:rPr>
        <w:t>有限公司</w:t>
      </w:r>
    </w:p>
    <w:p>
      <w:pPr>
        <w:jc w:val="center"/>
        <w:rPr>
          <w:rFonts w:hint="eastAsia" w:ascii="Calibri" w:hAnsi="Calibri" w:eastAsia="宋体" w:cs="Times New Roman"/>
          <w:b/>
          <w:bCs/>
          <w:kern w:val="44"/>
          <w:sz w:val="36"/>
          <w:szCs w:val="44"/>
          <w:lang w:eastAsia="zh-CN"/>
        </w:rPr>
      </w:pPr>
      <w:r>
        <w:rPr>
          <w:rFonts w:hint="eastAsia" w:ascii="Calibri" w:hAnsi="Calibri" w:eastAsia="宋体" w:cs="Times New Roman"/>
          <w:color w:val="000000"/>
          <w:sz w:val="28"/>
          <w:szCs w:val="28"/>
          <w:lang w:eastAsia="zh-CN"/>
        </w:rPr>
        <w:t>202</w:t>
      </w:r>
      <w:r>
        <w:rPr>
          <w:rFonts w:hint="eastAsia" w:ascii="Calibri" w:hAnsi="Calibri" w:eastAsia="宋体" w:cs="Times New Roman"/>
          <w:color w:val="000000"/>
          <w:sz w:val="28"/>
          <w:szCs w:val="28"/>
          <w:lang w:val="en-US" w:eastAsia="zh-CN"/>
        </w:rPr>
        <w:t>5</w:t>
      </w:r>
      <w:r>
        <w:rPr>
          <w:rFonts w:hint="eastAsia" w:ascii="Calibri" w:hAnsi="Calibri" w:eastAsia="宋体" w:cs="Times New Roman"/>
          <w:color w:val="000000"/>
          <w:sz w:val="28"/>
          <w:szCs w:val="28"/>
          <w:lang w:eastAsia="zh-CN"/>
        </w:rPr>
        <w:t xml:space="preserve">年 </w:t>
      </w:r>
      <w:r>
        <w:rPr>
          <w:rFonts w:hint="eastAsia" w:ascii="Calibri" w:hAnsi="Calibri" w:eastAsia="宋体" w:cs="Times New Roman"/>
          <w:color w:val="000000"/>
          <w:sz w:val="28"/>
          <w:szCs w:val="28"/>
          <w:lang w:val="en-US" w:eastAsia="zh-CN"/>
        </w:rPr>
        <w:t>12</w:t>
      </w:r>
      <w:r>
        <w:rPr>
          <w:rFonts w:hint="eastAsia" w:ascii="Calibri" w:hAnsi="Calibri" w:eastAsia="宋体" w:cs="Times New Roman"/>
          <w:color w:val="000000"/>
          <w:sz w:val="28"/>
          <w:szCs w:val="28"/>
          <w:lang w:eastAsia="zh-CN"/>
        </w:rPr>
        <w:t>月</w:t>
      </w:r>
    </w:p>
    <w:p>
      <w:pPr>
        <w:pStyle w:val="18"/>
        <w:rPr>
          <w:rFonts w:hint="eastAsia" w:ascii="华文仿宋" w:hAnsi="华文仿宋" w:eastAsia="华文仿宋"/>
          <w:b/>
          <w:bCs/>
          <w:sz w:val="32"/>
          <w:szCs w:val="28"/>
        </w:rPr>
      </w:pPr>
      <w:r>
        <w:rPr>
          <w:rFonts w:hint="eastAsia" w:ascii="华文仿宋" w:hAnsi="华文仿宋" w:eastAsia="华文仿宋"/>
          <w:b/>
          <w:bCs/>
          <w:sz w:val="32"/>
          <w:szCs w:val="28"/>
        </w:rPr>
        <w:t xml:space="preserve">             </w:t>
      </w:r>
    </w:p>
    <w:p>
      <w:pPr>
        <w:pStyle w:val="18"/>
        <w:rPr>
          <w:rFonts w:hint="eastAsia" w:ascii="华文仿宋" w:hAnsi="华文仿宋" w:eastAsia="华文仿宋"/>
          <w:b/>
          <w:bCs/>
          <w:sz w:val="32"/>
          <w:szCs w:val="28"/>
        </w:rPr>
      </w:pPr>
    </w:p>
    <w:p>
      <w:pPr>
        <w:pStyle w:val="18"/>
        <w:rPr>
          <w:rFonts w:hint="eastAsia" w:ascii="华文仿宋" w:hAnsi="华文仿宋" w:eastAsia="华文仿宋"/>
          <w:b/>
          <w:bCs/>
          <w:sz w:val="32"/>
          <w:szCs w:val="28"/>
        </w:rPr>
      </w:pPr>
    </w:p>
    <w:p>
      <w:pPr>
        <w:pStyle w:val="18"/>
        <w:rPr>
          <w:rFonts w:hint="eastAsia" w:ascii="华文仿宋" w:hAnsi="华文仿宋" w:eastAsia="华文仿宋"/>
          <w:b/>
          <w:bCs/>
          <w:sz w:val="32"/>
          <w:szCs w:val="28"/>
        </w:rPr>
      </w:pPr>
    </w:p>
    <w:p>
      <w:pPr>
        <w:pStyle w:val="18"/>
        <w:rPr>
          <w:rFonts w:hint="eastAsia" w:ascii="华文仿宋" w:hAnsi="华文仿宋" w:eastAsia="华文仿宋"/>
          <w:b/>
          <w:bCs/>
          <w:sz w:val="32"/>
          <w:szCs w:val="28"/>
        </w:rPr>
      </w:pPr>
    </w:p>
    <w:p>
      <w:pPr>
        <w:spacing w:line="360" w:lineRule="auto"/>
        <w:rPr>
          <w:rFonts w:ascii="宋体" w:hAnsi="宋体" w:eastAsia="宋体"/>
          <w:b/>
          <w:sz w:val="36"/>
          <w:szCs w:val="36"/>
        </w:rPr>
        <w:sectPr>
          <w:headerReference r:id="rId9" w:type="default"/>
          <w:footerReference r:id="rId10" w:type="default"/>
          <w:pgSz w:w="11907" w:h="16840"/>
          <w:pgMar w:top="1304" w:right="1418" w:bottom="1304" w:left="1418" w:header="724" w:footer="851" w:gutter="0"/>
          <w:pgBorders>
            <w:top w:val="none" w:sz="0" w:space="0"/>
            <w:left w:val="none" w:sz="0" w:space="0"/>
            <w:bottom w:val="none" w:sz="0" w:space="0"/>
            <w:right w:val="none" w:sz="0" w:space="0"/>
          </w:pgBorders>
          <w:pgNumType w:fmt="decimal" w:start="1"/>
          <w:cols w:space="720" w:num="1"/>
          <w:docGrid w:linePitch="290" w:charSpace="-3931"/>
        </w:sectPr>
      </w:pPr>
    </w:p>
    <w:p>
      <w:pPr>
        <w:keepNext/>
        <w:keepLines/>
        <w:spacing w:before="120" w:after="120" w:line="480" w:lineRule="exact"/>
        <w:jc w:val="center"/>
        <w:outlineLvl w:val="1"/>
        <w:rPr>
          <w:rFonts w:ascii="宋体" w:hAnsi="宋体" w:eastAsia="宋体"/>
          <w:b/>
          <w:bCs/>
          <w:kern w:val="44"/>
          <w:sz w:val="28"/>
          <w:szCs w:val="28"/>
        </w:rPr>
      </w:pPr>
      <w:r>
        <w:rPr>
          <w:rFonts w:hint="eastAsia" w:ascii="宋体" w:hAnsi="宋体" w:eastAsia="宋体"/>
          <w:b/>
          <w:bCs/>
          <w:kern w:val="44"/>
          <w:sz w:val="28"/>
          <w:szCs w:val="28"/>
        </w:rPr>
        <w:t>第一章采购货物概况</w:t>
      </w:r>
    </w:p>
    <w:p>
      <w:pPr>
        <w:keepNext/>
        <w:keepLines/>
        <w:spacing w:before="120" w:after="120" w:line="480" w:lineRule="exact"/>
        <w:jc w:val="center"/>
        <w:outlineLvl w:val="2"/>
        <w:rPr>
          <w:rFonts w:ascii="宋体" w:hAnsi="宋体" w:eastAsia="宋体"/>
          <w:b/>
          <w:bCs/>
          <w:sz w:val="24"/>
          <w:szCs w:val="24"/>
        </w:rPr>
      </w:pPr>
      <w:bookmarkStart w:id="34" w:name="_Toc169605878"/>
      <w:r>
        <w:rPr>
          <w:rFonts w:hint="eastAsia" w:ascii="宋体" w:hAnsi="宋体" w:eastAsia="宋体"/>
          <w:b/>
          <w:bCs/>
          <w:sz w:val="24"/>
          <w:szCs w:val="24"/>
        </w:rPr>
        <w:t>第一节使用环境</w:t>
      </w:r>
      <w:bookmarkEnd w:id="34"/>
    </w:p>
    <w:p>
      <w:pPr>
        <w:spacing w:line="360" w:lineRule="auto"/>
        <w:rPr>
          <w:rFonts w:hint="eastAsia" w:ascii="宋体" w:hAnsi="宋体" w:eastAsia="宋体"/>
          <w:sz w:val="24"/>
          <w:szCs w:val="24"/>
          <w:u w:val="single"/>
        </w:rPr>
      </w:pPr>
      <w:r>
        <w:rPr>
          <w:rFonts w:hint="eastAsia" w:ascii="宋体" w:hAnsi="宋体" w:eastAsia="宋体"/>
          <w:sz w:val="24"/>
          <w:szCs w:val="24"/>
        </w:rPr>
        <w:t>一、项目名称：</w:t>
      </w:r>
      <w:r>
        <w:rPr>
          <w:rFonts w:hint="eastAsia" w:ascii="宋体" w:hAnsi="宋体" w:eastAsia="宋体" w:cs="宋体"/>
          <w:sz w:val="24"/>
          <w:szCs w:val="24"/>
          <w:highlight w:val="none"/>
          <w:u w:val="single"/>
          <w:lang w:val="en-US" w:eastAsia="zh-CN"/>
        </w:rPr>
        <w:t>济南卡车制造公司莱芜厂区新增后背电池行车技改项目</w:t>
      </w:r>
    </w:p>
    <w:p>
      <w:pPr>
        <w:spacing w:line="360" w:lineRule="auto"/>
        <w:outlineLvl w:val="3"/>
        <w:rPr>
          <w:rFonts w:ascii="宋体" w:hAnsi="宋体" w:eastAsia="宋体" w:cs="宋体"/>
          <w:color w:val="000000"/>
          <w:sz w:val="24"/>
          <w:szCs w:val="24"/>
          <w:u w:val="single"/>
        </w:rPr>
      </w:pPr>
      <w:r>
        <w:rPr>
          <w:rFonts w:hint="eastAsia" w:ascii="宋体" w:hAnsi="宋体" w:eastAsia="宋体"/>
          <w:sz w:val="24"/>
          <w:szCs w:val="24"/>
        </w:rPr>
        <w:t>二、建设地点：</w:t>
      </w:r>
      <w:r>
        <w:rPr>
          <w:rFonts w:hint="eastAsia" w:ascii="宋体" w:hAnsi="宋体" w:eastAsia="宋体" w:cs="宋体"/>
          <w:color w:val="000000"/>
          <w:sz w:val="24"/>
          <w:szCs w:val="24"/>
          <w:u w:val="single"/>
        </w:rPr>
        <w:t>中国重汽集团济南卡车制造公司</w:t>
      </w:r>
    </w:p>
    <w:p>
      <w:pPr>
        <w:spacing w:line="360" w:lineRule="auto"/>
        <w:outlineLvl w:val="3"/>
        <w:rPr>
          <w:rFonts w:ascii="宋体" w:hAnsi="宋体" w:eastAsia="宋体"/>
          <w:sz w:val="24"/>
          <w:szCs w:val="24"/>
        </w:rPr>
      </w:pPr>
      <w:r>
        <w:rPr>
          <w:rFonts w:hint="eastAsia" w:ascii="宋体" w:hAnsi="宋体" w:eastAsia="宋体"/>
          <w:sz w:val="24"/>
          <w:szCs w:val="24"/>
        </w:rPr>
        <w:t>三、使用地点：</w:t>
      </w:r>
      <w:r>
        <w:rPr>
          <w:rFonts w:hint="eastAsia" w:ascii="宋体" w:hAnsi="宋体" w:eastAsia="宋体" w:cs="宋体"/>
          <w:color w:val="000000"/>
          <w:sz w:val="24"/>
          <w:szCs w:val="24"/>
          <w:u w:val="single"/>
        </w:rPr>
        <w:t>中国重汽集团济南卡车制造公司</w:t>
      </w:r>
      <w:r>
        <w:rPr>
          <w:rFonts w:hint="eastAsia" w:ascii="宋体" w:hAnsi="宋体" w:eastAsia="宋体" w:cs="宋体"/>
          <w:color w:val="000000"/>
          <w:sz w:val="24"/>
          <w:szCs w:val="24"/>
          <w:u w:val="single"/>
          <w:lang w:val="en-US" w:eastAsia="zh-CN"/>
        </w:rPr>
        <w:t>莱芜</w:t>
      </w:r>
      <w:r>
        <w:rPr>
          <w:rFonts w:hint="eastAsia" w:ascii="宋体" w:hAnsi="宋体" w:eastAsia="宋体" w:cs="宋体"/>
          <w:color w:val="000000"/>
          <w:sz w:val="24"/>
          <w:szCs w:val="24"/>
          <w:u w:val="single"/>
        </w:rPr>
        <w:t>工厂</w:t>
      </w:r>
    </w:p>
    <w:p>
      <w:pPr>
        <w:pStyle w:val="129"/>
        <w:spacing w:line="360" w:lineRule="auto"/>
        <w:ind w:left="480" w:hanging="480" w:firstLineChars="0"/>
        <w:outlineLvl w:val="3"/>
        <w:rPr>
          <w:rFonts w:ascii="宋体" w:hAnsi="宋体" w:eastAsia="宋体"/>
          <w:sz w:val="24"/>
          <w:szCs w:val="24"/>
        </w:rPr>
      </w:pPr>
      <w:r>
        <w:rPr>
          <w:rFonts w:ascii="宋体" w:hAnsi="宋体" w:eastAsia="宋体"/>
          <w:sz w:val="24"/>
          <w:szCs w:val="24"/>
        </w:rPr>
        <w:t>四、</w:t>
      </w:r>
      <w:r>
        <w:rPr>
          <w:rFonts w:hint="eastAsia" w:ascii="宋体" w:hAnsi="宋体" w:eastAsia="宋体"/>
          <w:sz w:val="24"/>
          <w:szCs w:val="24"/>
        </w:rPr>
        <w:t>使用环境及能源供给：</w:t>
      </w:r>
    </w:p>
    <w:p>
      <w:pPr>
        <w:pStyle w:val="8"/>
        <w:tabs>
          <w:tab w:val="left" w:pos="1134"/>
        </w:tabs>
        <w:spacing w:line="360" w:lineRule="auto"/>
        <w:ind w:left="480" w:firstLine="0"/>
        <w:rPr>
          <w:rFonts w:ascii="宋体" w:hAnsi="宋体" w:eastAsia="宋体"/>
          <w:sz w:val="24"/>
          <w:szCs w:val="24"/>
        </w:rPr>
      </w:pPr>
      <w:r>
        <w:rPr>
          <w:rFonts w:hint="eastAsia" w:ascii="宋体" w:hAnsi="宋体" w:eastAsia="宋体"/>
          <w:bCs/>
          <w:sz w:val="24"/>
          <w:szCs w:val="24"/>
        </w:rPr>
        <w:t>1.海拔高度：</w:t>
      </w:r>
      <w:r>
        <w:rPr>
          <w:rFonts w:ascii="宋体" w:hAnsi="宋体" w:eastAsia="宋体"/>
          <w:sz w:val="24"/>
          <w:szCs w:val="24"/>
        </w:rPr>
        <w:t>≤</w:t>
      </w:r>
      <w:r>
        <w:rPr>
          <w:rFonts w:hint="eastAsia" w:ascii="宋体" w:hAnsi="宋体" w:eastAsia="宋体"/>
          <w:sz w:val="24"/>
          <w:szCs w:val="24"/>
        </w:rPr>
        <w:t>4000m；</w:t>
      </w:r>
    </w:p>
    <w:p>
      <w:pPr>
        <w:pStyle w:val="8"/>
        <w:tabs>
          <w:tab w:val="left" w:pos="1134"/>
        </w:tabs>
        <w:spacing w:line="360" w:lineRule="auto"/>
        <w:ind w:left="480" w:firstLine="0"/>
        <w:rPr>
          <w:rFonts w:ascii="宋体" w:hAnsi="宋体" w:eastAsia="宋体"/>
          <w:sz w:val="24"/>
          <w:szCs w:val="24"/>
        </w:rPr>
      </w:pPr>
      <w:r>
        <w:rPr>
          <w:rFonts w:hint="eastAsia" w:ascii="宋体" w:hAnsi="宋体" w:eastAsia="宋体"/>
          <w:bCs/>
          <w:sz w:val="24"/>
          <w:szCs w:val="24"/>
        </w:rPr>
        <w:t>2.环境温度：</w:t>
      </w:r>
      <w:r>
        <w:rPr>
          <w:rFonts w:ascii="宋体" w:hAnsi="宋体" w:eastAsia="宋体"/>
          <w:sz w:val="24"/>
          <w:szCs w:val="24"/>
        </w:rPr>
        <w:t>-25</w:t>
      </w:r>
      <w:r>
        <w:rPr>
          <w:rFonts w:hint="eastAsia" w:ascii="宋体" w:hAnsi="宋体" w:eastAsia="宋体"/>
          <w:sz w:val="24"/>
          <w:szCs w:val="24"/>
        </w:rPr>
        <w:t>℃</w:t>
      </w:r>
      <w:r>
        <w:rPr>
          <w:rFonts w:ascii="宋体" w:hAnsi="宋体" w:eastAsia="宋体"/>
          <w:sz w:val="24"/>
          <w:szCs w:val="24"/>
        </w:rPr>
        <w:t>～45</w:t>
      </w:r>
      <w:r>
        <w:rPr>
          <w:rFonts w:hint="eastAsia" w:ascii="宋体" w:hAnsi="宋体" w:eastAsia="宋体"/>
          <w:sz w:val="24"/>
          <w:szCs w:val="24"/>
        </w:rPr>
        <w:t>℃</w:t>
      </w:r>
      <w:r>
        <w:rPr>
          <w:rFonts w:ascii="宋体" w:hAnsi="宋体" w:eastAsia="宋体"/>
          <w:sz w:val="24"/>
          <w:szCs w:val="24"/>
        </w:rPr>
        <w:t>；</w:t>
      </w:r>
    </w:p>
    <w:p>
      <w:pPr>
        <w:spacing w:line="360" w:lineRule="auto"/>
        <w:ind w:firstLine="480" w:firstLineChars="200"/>
        <w:rPr>
          <w:rFonts w:ascii="宋体" w:hAnsi="宋体" w:eastAsia="宋体"/>
          <w:bCs/>
          <w:sz w:val="24"/>
          <w:szCs w:val="24"/>
        </w:rPr>
      </w:pPr>
      <w:r>
        <w:rPr>
          <w:rFonts w:hint="eastAsia" w:ascii="宋体" w:hAnsi="宋体" w:eastAsia="宋体"/>
          <w:bCs/>
          <w:sz w:val="24"/>
          <w:szCs w:val="24"/>
        </w:rPr>
        <w:t>3.相对湿度：年平均59%，最大95%、最小15%</w:t>
      </w:r>
      <w:r>
        <w:rPr>
          <w:rFonts w:ascii="宋体" w:hAnsi="宋体" w:eastAsia="宋体"/>
          <w:bCs/>
          <w:sz w:val="24"/>
          <w:szCs w:val="24"/>
        </w:rPr>
        <w:t>；</w:t>
      </w:r>
    </w:p>
    <w:p>
      <w:pPr>
        <w:spacing w:line="360" w:lineRule="auto"/>
        <w:ind w:firstLine="480" w:firstLineChars="200"/>
        <w:outlineLvl w:val="3"/>
        <w:rPr>
          <w:rFonts w:ascii="宋体" w:hAnsi="宋体" w:eastAsia="宋体" w:cs="宋体"/>
          <w:sz w:val="24"/>
          <w:szCs w:val="24"/>
        </w:rPr>
      </w:pPr>
      <w:r>
        <w:rPr>
          <w:rFonts w:ascii="宋体" w:hAnsi="宋体" w:eastAsia="宋体"/>
          <w:bCs/>
          <w:sz w:val="24"/>
          <w:szCs w:val="24"/>
        </w:rPr>
        <w:t>4</w:t>
      </w:r>
      <w:r>
        <w:rPr>
          <w:rFonts w:hint="eastAsia" w:ascii="宋体" w:hAnsi="宋体" w:eastAsia="宋体"/>
          <w:bCs/>
          <w:sz w:val="24"/>
          <w:szCs w:val="24"/>
        </w:rPr>
        <w:t>.</w:t>
      </w:r>
      <w:r>
        <w:rPr>
          <w:rFonts w:hint="eastAsia" w:ascii="宋体" w:hAnsi="宋体" w:eastAsia="宋体" w:cs="宋体"/>
          <w:sz w:val="24"/>
          <w:szCs w:val="24"/>
        </w:rPr>
        <w:t>大气压强：80kPa～110kPa；</w:t>
      </w:r>
    </w:p>
    <w:p>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5.电力</w:t>
      </w:r>
      <w:r>
        <w:rPr>
          <w:rFonts w:ascii="宋体" w:hAnsi="宋体" w:eastAsia="宋体" w:cs="宋体"/>
          <w:sz w:val="24"/>
          <w:szCs w:val="24"/>
        </w:rPr>
        <w:t>:中国制式，三相五线制供电，供电电压 380V士10%/220V士10%，供电频率50Hz士0.5Hz</w:t>
      </w:r>
      <w:r>
        <w:rPr>
          <w:rFonts w:hint="eastAsia" w:ascii="宋体" w:hAnsi="宋体" w:eastAsia="宋体" w:cs="宋体"/>
          <w:sz w:val="24"/>
          <w:szCs w:val="24"/>
        </w:rPr>
        <w:t>；</w:t>
      </w:r>
    </w:p>
    <w:p>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 xml:space="preserve">6.水：市政自来水0.25MPa(0.15-0.35MPa); </w:t>
      </w:r>
    </w:p>
    <w:p>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 xml:space="preserve">7.非采暖季：动力站房供高温热水，供回水温度80℃/60℃; </w:t>
      </w:r>
    </w:p>
    <w:p>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8.压缩空气：厂区空压机自产压缩空气，0.55～0.7 Mpa。</w:t>
      </w:r>
    </w:p>
    <w:p>
      <w:pPr>
        <w:spacing w:line="360" w:lineRule="auto"/>
        <w:rPr>
          <w:rFonts w:ascii="宋体" w:hAnsi="宋体" w:eastAsia="宋体"/>
          <w:bCs/>
          <w:sz w:val="24"/>
          <w:szCs w:val="24"/>
        </w:rPr>
      </w:pPr>
      <w:r>
        <w:rPr>
          <w:rFonts w:hint="eastAsia" w:ascii="宋体" w:hAnsi="宋体" w:eastAsia="宋体"/>
          <w:bCs/>
          <w:sz w:val="24"/>
          <w:szCs w:val="24"/>
        </w:rPr>
        <w:t>五、工作制度：全年工作300天、双班制、设备年时基数5000小时以上。</w:t>
      </w:r>
    </w:p>
    <w:p>
      <w:pPr>
        <w:keepNext/>
        <w:keepLines/>
        <w:spacing w:before="120" w:after="120" w:line="480" w:lineRule="exact"/>
        <w:jc w:val="center"/>
        <w:outlineLvl w:val="2"/>
        <w:rPr>
          <w:rFonts w:ascii="宋体" w:hAnsi="宋体" w:eastAsia="宋体"/>
          <w:b/>
          <w:bCs/>
          <w:sz w:val="24"/>
          <w:szCs w:val="24"/>
        </w:rPr>
      </w:pPr>
      <w:r>
        <w:rPr>
          <w:rFonts w:hint="eastAsia" w:ascii="宋体" w:hAnsi="宋体" w:eastAsia="宋体"/>
          <w:b/>
          <w:bCs/>
          <w:sz w:val="24"/>
          <w:szCs w:val="24"/>
        </w:rPr>
        <w:t>第二节采购货物概况</w:t>
      </w:r>
    </w:p>
    <w:p>
      <w:pPr>
        <w:pStyle w:val="129"/>
        <w:numPr>
          <w:ilvl w:val="0"/>
          <w:numId w:val="12"/>
        </w:numPr>
        <w:spacing w:line="420" w:lineRule="exact"/>
        <w:ind w:firstLineChars="0"/>
        <w:outlineLvl w:val="3"/>
        <w:rPr>
          <w:rFonts w:ascii="宋体" w:hAnsi="宋体" w:eastAsia="宋体"/>
          <w:bCs/>
          <w:sz w:val="24"/>
          <w:szCs w:val="24"/>
        </w:rPr>
      </w:pPr>
      <w:r>
        <w:rPr>
          <w:rFonts w:hint="eastAsia" w:ascii="宋体" w:hAnsi="宋体" w:eastAsia="宋体"/>
          <w:b/>
          <w:sz w:val="24"/>
          <w:szCs w:val="24"/>
        </w:rPr>
        <w:t>货物名称：10</w:t>
      </w:r>
      <w:r>
        <w:rPr>
          <w:rFonts w:hint="eastAsia" w:ascii="宋体" w:hAnsi="宋体" w:eastAsia="宋体"/>
          <w:b/>
          <w:sz w:val="24"/>
          <w:szCs w:val="24"/>
          <w:lang w:val="en-US" w:eastAsia="zh-CN"/>
        </w:rPr>
        <w:t>T</w:t>
      </w:r>
      <w:r>
        <w:rPr>
          <w:rFonts w:hint="eastAsia" w:ascii="宋体" w:hAnsi="宋体" w:eastAsia="宋体"/>
          <w:b/>
          <w:sz w:val="24"/>
          <w:szCs w:val="24"/>
        </w:rPr>
        <w:t>单梁</w:t>
      </w:r>
      <w:r>
        <w:rPr>
          <w:rFonts w:hint="eastAsia" w:ascii="宋体" w:hAnsi="宋体" w:eastAsia="宋体"/>
          <w:b/>
          <w:sz w:val="24"/>
          <w:szCs w:val="24"/>
          <w:lang w:val="en-US" w:eastAsia="zh-CN"/>
        </w:rPr>
        <w:t>欧式</w:t>
      </w:r>
      <w:r>
        <w:rPr>
          <w:rFonts w:hint="eastAsia" w:ascii="宋体" w:hAnsi="宋体" w:eastAsia="宋体"/>
          <w:b/>
          <w:sz w:val="24"/>
          <w:szCs w:val="24"/>
        </w:rPr>
        <w:t>行车</w:t>
      </w:r>
    </w:p>
    <w:p>
      <w:pPr>
        <w:spacing w:line="420" w:lineRule="exact"/>
        <w:outlineLvl w:val="3"/>
        <w:rPr>
          <w:rFonts w:ascii="宋体" w:hAnsi="宋体" w:eastAsia="宋体"/>
          <w:sz w:val="24"/>
          <w:szCs w:val="24"/>
        </w:rPr>
      </w:pPr>
      <w:r>
        <w:rPr>
          <w:rFonts w:hint="eastAsia" w:ascii="宋体" w:hAnsi="宋体" w:eastAsia="宋体"/>
          <w:b/>
          <w:sz w:val="24"/>
          <w:szCs w:val="24"/>
        </w:rPr>
        <w:t>二、货物数量：</w:t>
      </w:r>
      <w:r>
        <w:rPr>
          <w:rFonts w:hint="eastAsia" w:ascii="宋体" w:hAnsi="宋体" w:eastAsia="宋体"/>
          <w:sz w:val="24"/>
          <w:szCs w:val="24"/>
        </w:rPr>
        <w:t>（详见</w:t>
      </w:r>
      <w:r>
        <w:rPr>
          <w:rFonts w:hint="eastAsia" w:ascii="宋体" w:hAnsi="宋体" w:eastAsia="宋体" w:cs="宋体"/>
          <w:color w:val="000000"/>
          <w:sz w:val="24"/>
          <w:szCs w:val="24"/>
        </w:rPr>
        <w:t>采购货物主要构成一览表</w:t>
      </w:r>
      <w:r>
        <w:rPr>
          <w:rFonts w:hint="eastAsia" w:ascii="宋体" w:hAnsi="宋体" w:eastAsia="宋体"/>
          <w:sz w:val="24"/>
          <w:szCs w:val="24"/>
        </w:rPr>
        <w:t>）</w:t>
      </w:r>
    </w:p>
    <w:p>
      <w:pPr>
        <w:spacing w:line="420" w:lineRule="exact"/>
        <w:outlineLvl w:val="3"/>
        <w:rPr>
          <w:rFonts w:ascii="宋体" w:hAnsi="宋体" w:eastAsia="宋体"/>
          <w:b/>
          <w:sz w:val="24"/>
          <w:szCs w:val="24"/>
        </w:rPr>
      </w:pPr>
      <w:r>
        <w:rPr>
          <w:rFonts w:hint="eastAsia" w:ascii="宋体" w:hAnsi="宋体" w:eastAsia="宋体"/>
          <w:b/>
          <w:sz w:val="24"/>
          <w:szCs w:val="24"/>
        </w:rPr>
        <w:t>三、分投分中：</w:t>
      </w:r>
      <w:r>
        <w:rPr>
          <w:rFonts w:hint="eastAsia" w:ascii="宋体" w:hAnsi="宋体" w:eastAsia="宋体"/>
          <w:b/>
          <w:color w:val="000000"/>
          <w:sz w:val="24"/>
          <w:szCs w:val="24"/>
        </w:rPr>
        <w:t>不允许</w:t>
      </w:r>
    </w:p>
    <w:p>
      <w:pPr>
        <w:spacing w:line="360" w:lineRule="auto"/>
        <w:jc w:val="center"/>
        <w:rPr>
          <w:rFonts w:ascii="宋体" w:hAnsi="宋体" w:eastAsia="宋体" w:cs="宋体"/>
          <w:color w:val="000000"/>
          <w:sz w:val="24"/>
          <w:szCs w:val="24"/>
        </w:rPr>
      </w:pPr>
      <w:r>
        <w:rPr>
          <w:rFonts w:hint="eastAsia" w:ascii="宋体" w:hAnsi="宋体" w:eastAsia="宋体" w:cs="宋体"/>
          <w:color w:val="000000"/>
          <w:sz w:val="24"/>
          <w:szCs w:val="24"/>
        </w:rPr>
        <w:t>采购货物主要构成一览表</w:t>
      </w:r>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7"/>
        <w:gridCol w:w="1318"/>
        <w:gridCol w:w="1770"/>
        <w:gridCol w:w="498"/>
        <w:gridCol w:w="708"/>
        <w:gridCol w:w="1276"/>
        <w:gridCol w:w="24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17" w:type="dxa"/>
            <w:vAlign w:val="center"/>
          </w:tcPr>
          <w:p>
            <w:pPr>
              <w:keepNext w:val="0"/>
              <w:keepLines w:val="0"/>
              <w:suppressLineNumbers w:val="0"/>
              <w:spacing w:before="0" w:beforeAutospacing="0" w:after="0" w:afterAutospacing="0" w:line="360" w:lineRule="exact"/>
              <w:ind w:left="0" w:right="0"/>
              <w:jc w:val="center"/>
              <w:rPr>
                <w:rFonts w:hint="default" w:ascii="宋体" w:hAnsi="宋体" w:eastAsia="宋体"/>
                <w:b/>
              </w:rPr>
            </w:pPr>
            <w:r>
              <w:rPr>
                <w:rFonts w:hint="eastAsia" w:ascii="宋体" w:hAnsi="宋体" w:eastAsia="宋体"/>
                <w:b/>
              </w:rPr>
              <w:t>序号</w:t>
            </w:r>
          </w:p>
        </w:tc>
        <w:tc>
          <w:tcPr>
            <w:tcW w:w="1318" w:type="dxa"/>
            <w:vAlign w:val="center"/>
          </w:tcPr>
          <w:p>
            <w:pPr>
              <w:keepNext w:val="0"/>
              <w:keepLines w:val="0"/>
              <w:suppressLineNumbers w:val="0"/>
              <w:spacing w:before="0" w:beforeAutospacing="0" w:after="0" w:afterAutospacing="0" w:line="360" w:lineRule="exact"/>
              <w:ind w:left="0" w:right="0"/>
              <w:jc w:val="center"/>
              <w:rPr>
                <w:rFonts w:hint="default" w:ascii="宋体" w:hAnsi="宋体" w:eastAsia="宋体"/>
                <w:b/>
              </w:rPr>
            </w:pPr>
            <w:r>
              <w:rPr>
                <w:rFonts w:hint="eastAsia" w:ascii="宋体" w:hAnsi="宋体" w:eastAsia="宋体"/>
                <w:b/>
              </w:rPr>
              <w:t>名称</w:t>
            </w:r>
          </w:p>
        </w:tc>
        <w:tc>
          <w:tcPr>
            <w:tcW w:w="1770" w:type="dxa"/>
            <w:vAlign w:val="center"/>
          </w:tcPr>
          <w:p>
            <w:pPr>
              <w:keepNext w:val="0"/>
              <w:keepLines w:val="0"/>
              <w:suppressLineNumbers w:val="0"/>
              <w:spacing w:before="0" w:beforeAutospacing="0" w:after="0" w:afterAutospacing="0" w:line="360" w:lineRule="exact"/>
              <w:ind w:left="0" w:right="0"/>
              <w:jc w:val="center"/>
              <w:rPr>
                <w:rFonts w:hint="default" w:ascii="宋体" w:hAnsi="宋体" w:eastAsia="宋体"/>
                <w:b/>
              </w:rPr>
            </w:pPr>
            <w:r>
              <w:rPr>
                <w:rFonts w:hint="eastAsia" w:ascii="宋体" w:hAnsi="宋体" w:eastAsia="宋体"/>
                <w:b/>
              </w:rPr>
              <w:t>规格</w:t>
            </w:r>
          </w:p>
        </w:tc>
        <w:tc>
          <w:tcPr>
            <w:tcW w:w="498" w:type="dxa"/>
            <w:vAlign w:val="center"/>
          </w:tcPr>
          <w:p>
            <w:pPr>
              <w:keepNext w:val="0"/>
              <w:keepLines w:val="0"/>
              <w:suppressLineNumbers w:val="0"/>
              <w:spacing w:before="0" w:beforeAutospacing="0" w:after="0" w:afterAutospacing="0" w:line="360" w:lineRule="exact"/>
              <w:ind w:left="0" w:right="0"/>
              <w:jc w:val="center"/>
              <w:rPr>
                <w:rFonts w:hint="default" w:ascii="宋体" w:hAnsi="宋体" w:eastAsia="宋体"/>
                <w:b/>
              </w:rPr>
            </w:pPr>
            <w:r>
              <w:rPr>
                <w:rFonts w:hint="eastAsia" w:ascii="宋体" w:hAnsi="宋体" w:eastAsia="宋体"/>
                <w:b/>
              </w:rPr>
              <w:t>单位</w:t>
            </w:r>
          </w:p>
        </w:tc>
        <w:tc>
          <w:tcPr>
            <w:tcW w:w="708" w:type="dxa"/>
            <w:vAlign w:val="center"/>
          </w:tcPr>
          <w:p>
            <w:pPr>
              <w:keepNext w:val="0"/>
              <w:keepLines w:val="0"/>
              <w:suppressLineNumbers w:val="0"/>
              <w:spacing w:before="0" w:beforeAutospacing="0" w:after="0" w:afterAutospacing="0" w:line="360" w:lineRule="exact"/>
              <w:ind w:left="0" w:right="0"/>
              <w:jc w:val="center"/>
              <w:rPr>
                <w:rFonts w:hint="default" w:ascii="宋体" w:hAnsi="宋体" w:eastAsia="宋体"/>
                <w:b/>
              </w:rPr>
            </w:pPr>
            <w:r>
              <w:rPr>
                <w:rFonts w:hint="eastAsia" w:ascii="宋体" w:hAnsi="宋体" w:eastAsia="宋体"/>
                <w:b/>
              </w:rPr>
              <w:t>数量</w:t>
            </w:r>
          </w:p>
        </w:tc>
        <w:tc>
          <w:tcPr>
            <w:tcW w:w="1276" w:type="dxa"/>
            <w:vAlign w:val="center"/>
          </w:tcPr>
          <w:p>
            <w:pPr>
              <w:keepNext w:val="0"/>
              <w:keepLines w:val="0"/>
              <w:suppressLineNumbers w:val="0"/>
              <w:spacing w:before="0" w:beforeAutospacing="0" w:after="0" w:afterAutospacing="0" w:line="360" w:lineRule="exact"/>
              <w:ind w:left="0" w:right="0"/>
              <w:jc w:val="center"/>
              <w:rPr>
                <w:rFonts w:hint="default" w:ascii="宋体" w:hAnsi="宋体" w:eastAsia="宋体"/>
                <w:b/>
              </w:rPr>
            </w:pPr>
            <w:r>
              <w:rPr>
                <w:rFonts w:hint="eastAsia" w:ascii="宋体" w:hAnsi="宋体" w:eastAsia="宋体"/>
                <w:b/>
              </w:rPr>
              <w:t>交货方式</w:t>
            </w:r>
          </w:p>
        </w:tc>
        <w:tc>
          <w:tcPr>
            <w:tcW w:w="2413" w:type="dxa"/>
            <w:vAlign w:val="center"/>
          </w:tcPr>
          <w:p>
            <w:pPr>
              <w:keepNext w:val="0"/>
              <w:keepLines w:val="0"/>
              <w:suppressLineNumbers w:val="0"/>
              <w:spacing w:before="0" w:beforeAutospacing="0" w:after="0" w:afterAutospacing="0" w:line="360" w:lineRule="exact"/>
              <w:ind w:left="0" w:right="0"/>
              <w:jc w:val="center"/>
              <w:rPr>
                <w:rFonts w:hint="default" w:ascii="宋体" w:hAnsi="宋体" w:eastAsia="宋体"/>
                <w:b/>
              </w:rPr>
            </w:pPr>
            <w:r>
              <w:rPr>
                <w:rFonts w:hint="eastAsia" w:ascii="宋体" w:hAnsi="宋体" w:eastAsia="宋体"/>
                <w:b/>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917" w:type="dxa"/>
            <w:vAlign w:val="center"/>
          </w:tcPr>
          <w:p>
            <w:pPr>
              <w:keepNext w:val="0"/>
              <w:keepLines w:val="0"/>
              <w:suppressLineNumbers w:val="0"/>
              <w:spacing w:before="0" w:beforeAutospacing="0" w:after="0" w:afterAutospacing="0" w:line="360" w:lineRule="exact"/>
              <w:ind w:left="0" w:right="0"/>
              <w:jc w:val="center"/>
              <w:rPr>
                <w:rFonts w:hint="default" w:ascii="宋体" w:hAnsi="宋体" w:eastAsia="宋体"/>
                <w:b/>
              </w:rPr>
            </w:pPr>
            <w:r>
              <w:rPr>
                <w:rFonts w:hint="eastAsia" w:ascii="宋体" w:hAnsi="宋体" w:eastAsia="宋体"/>
                <w:b/>
              </w:rPr>
              <w:t>1</w:t>
            </w:r>
          </w:p>
        </w:tc>
        <w:tc>
          <w:tcPr>
            <w:tcW w:w="1318" w:type="dxa"/>
            <w:vAlign w:val="center"/>
          </w:tcPr>
          <w:p>
            <w:pPr>
              <w:keepNext w:val="0"/>
              <w:keepLines w:val="0"/>
              <w:widowControl/>
              <w:suppressLineNumbers w:val="0"/>
              <w:spacing w:before="0" w:beforeAutospacing="0" w:after="0" w:afterAutospacing="0"/>
              <w:ind w:left="0" w:right="0"/>
              <w:jc w:val="center"/>
              <w:rPr>
                <w:rFonts w:hint="default" w:ascii="仿宋_GB2312" w:hAnsi="仿宋_GB2312" w:eastAsia="仿宋_GB2312" w:cs="仿宋_GB2312"/>
                <w:color w:val="000000"/>
                <w:kern w:val="0"/>
                <w:sz w:val="24"/>
                <w:szCs w:val="24"/>
              </w:rPr>
            </w:pPr>
            <w:r>
              <w:rPr>
                <w:rFonts w:hint="eastAsia" w:ascii="宋体" w:hAnsi="宋体" w:eastAsia="宋体" w:cs="宋体"/>
                <w:color w:val="auto"/>
                <w:sz w:val="24"/>
                <w:szCs w:val="24"/>
                <w:highlight w:val="none"/>
              </w:rPr>
              <w:t>10</w:t>
            </w:r>
            <w:r>
              <w:rPr>
                <w:rFonts w:hint="eastAsia" w:ascii="宋体" w:hAnsi="宋体" w:eastAsia="宋体" w:cs="宋体"/>
                <w:color w:val="auto"/>
                <w:sz w:val="24"/>
                <w:szCs w:val="24"/>
                <w:highlight w:val="none"/>
                <w:lang w:val="en-US" w:eastAsia="zh-CN"/>
              </w:rPr>
              <w:t>T</w:t>
            </w:r>
            <w:r>
              <w:rPr>
                <w:rFonts w:hint="eastAsia" w:ascii="宋体" w:hAnsi="宋体" w:eastAsia="宋体" w:cs="宋体"/>
                <w:color w:val="auto"/>
                <w:sz w:val="24"/>
                <w:szCs w:val="24"/>
                <w:highlight w:val="none"/>
              </w:rPr>
              <w:t>单梁欧式行车</w:t>
            </w:r>
          </w:p>
        </w:tc>
        <w:tc>
          <w:tcPr>
            <w:tcW w:w="1770" w:type="dxa"/>
            <w:vAlign w:val="center"/>
          </w:tcPr>
          <w:p>
            <w:pPr>
              <w:keepNext w:val="0"/>
              <w:keepLines w:val="0"/>
              <w:widowControl/>
              <w:suppressLineNumbers w:val="0"/>
              <w:spacing w:before="0" w:beforeAutospacing="0" w:after="0" w:afterAutospacing="0"/>
              <w:ind w:left="0" w:right="0"/>
              <w:jc w:val="center"/>
              <w:rPr>
                <w:rFonts w:hint="default" w:ascii="宋体" w:hAnsi="宋体" w:eastAsia="仿宋_GB2312"/>
                <w:b/>
                <w:bCs/>
                <w:lang w:val="en-US"/>
              </w:rPr>
            </w:pPr>
            <w:r>
              <w:rPr>
                <w:rFonts w:hint="eastAsia" w:ascii="宋体" w:hAnsi="宋体" w:eastAsia="宋体" w:cs="宋体"/>
                <w:color w:val="auto"/>
                <w:sz w:val="24"/>
                <w:szCs w:val="24"/>
                <w:highlight w:val="none"/>
                <w:lang w:val="en-US" w:eastAsia="zh-CN"/>
              </w:rPr>
              <w:t>Gn=10t、So=9.7m、Lo=11m、A5</w:t>
            </w:r>
          </w:p>
        </w:tc>
        <w:tc>
          <w:tcPr>
            <w:tcW w:w="498" w:type="dxa"/>
            <w:vAlign w:val="center"/>
          </w:tcPr>
          <w:p>
            <w:pPr>
              <w:keepNext w:val="0"/>
              <w:keepLines w:val="0"/>
              <w:suppressLineNumbers w:val="0"/>
              <w:spacing w:before="0" w:beforeAutospacing="0" w:after="0" w:afterAutospacing="0" w:line="360" w:lineRule="exact"/>
              <w:ind w:left="0" w:right="0"/>
              <w:jc w:val="center"/>
              <w:rPr>
                <w:rFonts w:hint="default" w:ascii="宋体" w:hAnsi="宋体" w:eastAsia="宋体"/>
                <w:b/>
              </w:rPr>
            </w:pPr>
            <w:r>
              <w:rPr>
                <w:rFonts w:hint="eastAsia" w:ascii="宋体" w:hAnsi="宋体" w:eastAsia="宋体"/>
                <w:b/>
              </w:rPr>
              <w:t>套</w:t>
            </w:r>
          </w:p>
        </w:tc>
        <w:tc>
          <w:tcPr>
            <w:tcW w:w="708" w:type="dxa"/>
            <w:vAlign w:val="center"/>
          </w:tcPr>
          <w:p>
            <w:pPr>
              <w:keepNext w:val="0"/>
              <w:keepLines w:val="0"/>
              <w:suppressLineNumbers w:val="0"/>
              <w:spacing w:before="0" w:beforeAutospacing="0" w:after="0" w:afterAutospacing="0" w:line="360" w:lineRule="exact"/>
              <w:ind w:left="0" w:right="0"/>
              <w:jc w:val="center"/>
              <w:rPr>
                <w:rFonts w:hint="default" w:ascii="宋体" w:hAnsi="宋体" w:eastAsia="宋体"/>
                <w:b/>
              </w:rPr>
            </w:pPr>
            <w:r>
              <w:rPr>
                <w:rFonts w:hint="eastAsia" w:ascii="宋体" w:hAnsi="宋体" w:eastAsia="宋体"/>
                <w:b/>
              </w:rPr>
              <w:t>1</w:t>
            </w:r>
          </w:p>
        </w:tc>
        <w:tc>
          <w:tcPr>
            <w:tcW w:w="1276" w:type="dxa"/>
            <w:vAlign w:val="center"/>
          </w:tcPr>
          <w:p>
            <w:pPr>
              <w:keepNext w:val="0"/>
              <w:keepLines w:val="0"/>
              <w:suppressLineNumbers w:val="0"/>
              <w:spacing w:before="0" w:beforeAutospacing="0" w:after="0" w:afterAutospacing="0" w:line="360" w:lineRule="exact"/>
              <w:ind w:left="0" w:right="0"/>
              <w:jc w:val="center"/>
              <w:rPr>
                <w:rFonts w:hint="default" w:ascii="宋体" w:hAnsi="宋体" w:eastAsia="宋体"/>
                <w:b/>
              </w:rPr>
            </w:pPr>
            <w:r>
              <w:rPr>
                <w:rFonts w:hint="eastAsia" w:ascii="宋体" w:hAnsi="宋体" w:eastAsia="宋体"/>
                <w:b/>
              </w:rPr>
              <w:t>交钥匙方式</w:t>
            </w:r>
          </w:p>
        </w:tc>
        <w:tc>
          <w:tcPr>
            <w:tcW w:w="2413" w:type="dxa"/>
            <w:vAlign w:val="center"/>
          </w:tcPr>
          <w:p>
            <w:pPr>
              <w:keepNext w:val="0"/>
              <w:keepLines w:val="0"/>
              <w:suppressLineNumbers w:val="0"/>
              <w:spacing w:before="0" w:beforeAutospacing="0" w:after="0" w:afterAutospacing="0" w:line="360" w:lineRule="exact"/>
              <w:ind w:left="0" w:right="0"/>
              <w:jc w:val="center"/>
              <w:rPr>
                <w:rFonts w:hint="eastAsia" w:ascii="宋体" w:hAnsi="宋体" w:eastAsia="宋体"/>
                <w:b/>
                <w:lang w:val="en-US" w:eastAsia="zh-CN"/>
              </w:rPr>
            </w:pPr>
            <w:r>
              <w:rPr>
                <w:rFonts w:hint="eastAsia" w:ascii="宋体" w:hAnsi="宋体" w:eastAsia="宋体"/>
                <w:b/>
              </w:rPr>
              <w:t>含滑线</w:t>
            </w:r>
            <w:r>
              <w:rPr>
                <w:rFonts w:hint="eastAsia" w:ascii="宋体" w:hAnsi="宋体" w:eastAsia="宋体"/>
                <w:b/>
                <w:lang w:val="en-US" w:eastAsia="zh-CN"/>
              </w:rPr>
              <w:t>11</w:t>
            </w:r>
            <w:r>
              <w:rPr>
                <w:rFonts w:hint="eastAsia" w:ascii="宋体" w:hAnsi="宋体" w:eastAsia="宋体"/>
                <w:b/>
                <w:lang w:eastAsia="zh-CN"/>
              </w:rPr>
              <w:t>m</w:t>
            </w:r>
            <w:r>
              <w:rPr>
                <w:rFonts w:hint="eastAsia" w:ascii="宋体" w:hAnsi="宋体" w:eastAsia="宋体"/>
                <w:b/>
              </w:rPr>
              <w:t>，轨道</w:t>
            </w:r>
            <w:r>
              <w:rPr>
                <w:rFonts w:hint="eastAsia" w:ascii="宋体" w:hAnsi="宋体" w:eastAsia="宋体"/>
                <w:b/>
                <w:lang w:val="en-US" w:eastAsia="zh-CN"/>
              </w:rPr>
              <w:t>9.4</w:t>
            </w:r>
            <w:r>
              <w:rPr>
                <w:rFonts w:hint="eastAsia" w:ascii="宋体" w:hAnsi="宋体" w:eastAsia="宋体"/>
                <w:b/>
                <w:lang w:eastAsia="zh-CN"/>
              </w:rPr>
              <w:t>m</w:t>
            </w:r>
            <w:r>
              <w:rPr>
                <w:rFonts w:hint="eastAsia" w:ascii="宋体" w:hAnsi="宋体" w:eastAsia="宋体"/>
                <w:b/>
              </w:rPr>
              <w:t>，配套土建基础、行车框架、钢结构框架改造</w:t>
            </w:r>
            <w:r>
              <w:rPr>
                <w:rFonts w:hint="eastAsia" w:ascii="宋体" w:hAnsi="宋体" w:eastAsia="宋体"/>
                <w:b/>
                <w:lang w:val="en-US" w:eastAsia="zh-CN"/>
              </w:rPr>
              <w:t>等</w:t>
            </w:r>
          </w:p>
        </w:tc>
      </w:tr>
    </w:tbl>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备注：</w:t>
      </w:r>
    </w:p>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1.本表所列采购设备仅为主要设备明细，应配套供货以及招标人所列其它货物（或设备）和服务，请投标人认真阅读“供货范围”。若有异议，不管是多么微小，都应在投标文件“商务偏离”章节中予以详细说明。</w:t>
      </w:r>
    </w:p>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2.本表“供货方式”指：交钥匙方式——包括制造、运输、定点卸货、安装、调试和协助验收以及约定培训等。</w:t>
      </w:r>
    </w:p>
    <w:p>
      <w:pPr>
        <w:pStyle w:val="13"/>
      </w:pPr>
    </w:p>
    <w:p>
      <w:pPr>
        <w:spacing w:line="360" w:lineRule="auto"/>
        <w:outlineLvl w:val="3"/>
        <w:rPr>
          <w:rFonts w:ascii="宋体" w:hAnsi="宋体" w:eastAsia="宋体"/>
          <w:b/>
          <w:sz w:val="24"/>
          <w:szCs w:val="24"/>
        </w:rPr>
      </w:pPr>
      <w:r>
        <w:rPr>
          <w:rFonts w:hint="eastAsia" w:ascii="宋体" w:hAnsi="宋体" w:eastAsia="宋体"/>
          <w:b/>
          <w:sz w:val="24"/>
          <w:szCs w:val="24"/>
        </w:rPr>
        <w:t>四</w:t>
      </w:r>
      <w:r>
        <w:rPr>
          <w:rFonts w:hint="eastAsia" w:ascii="宋体" w:hAnsi="宋体" w:eastAsia="宋体"/>
          <w:b/>
          <w:color w:val="000000"/>
          <w:sz w:val="24"/>
          <w:szCs w:val="24"/>
        </w:rPr>
        <w:t>、采购货物特别说明</w:t>
      </w:r>
    </w:p>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主要器件品牌表：</w:t>
      </w:r>
    </w:p>
    <w:p>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元器件建议按照下表清单中的标准选用，投标方投标时提供选用规格清单,最终规格待图纸会签时确定，</w:t>
      </w:r>
      <w:r>
        <w:rPr>
          <w:rFonts w:hint="eastAsia" w:ascii="宋体" w:hAnsi="宋体" w:eastAsia="宋体" w:cs="宋体"/>
          <w:bCs/>
          <w:sz w:val="24"/>
          <w:szCs w:val="24"/>
          <w:highlight w:val="yellow"/>
        </w:rPr>
        <w:t>可选同等或</w:t>
      </w:r>
      <w:r>
        <w:rPr>
          <w:rFonts w:hint="eastAsia" w:ascii="宋体" w:hAnsi="宋体" w:eastAsia="宋体" w:cs="宋体"/>
          <w:bCs/>
          <w:sz w:val="24"/>
          <w:szCs w:val="24"/>
          <w:highlight w:val="yellow"/>
          <w:lang w:val="en-US" w:eastAsia="zh-CN"/>
        </w:rPr>
        <w:t>国内一流</w:t>
      </w:r>
      <w:r>
        <w:rPr>
          <w:rFonts w:hint="eastAsia" w:ascii="宋体" w:hAnsi="宋体" w:eastAsia="宋体" w:cs="宋体"/>
          <w:bCs/>
          <w:sz w:val="24"/>
          <w:szCs w:val="24"/>
          <w:highlight w:val="yellow"/>
        </w:rPr>
        <w:t>品牌。</w:t>
      </w:r>
    </w:p>
    <w:tbl>
      <w:tblPr>
        <w:tblStyle w:val="39"/>
        <w:tblW w:w="94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70" w:type="dxa"/>
          <w:left w:w="108" w:type="dxa"/>
          <w:bottom w:w="170" w:type="dxa"/>
          <w:right w:w="108" w:type="dxa"/>
        </w:tblCellMar>
      </w:tblPr>
      <w:tblGrid>
        <w:gridCol w:w="1031"/>
        <w:gridCol w:w="1114"/>
        <w:gridCol w:w="1925"/>
        <w:gridCol w:w="53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序号</w:t>
            </w:r>
          </w:p>
        </w:tc>
        <w:tc>
          <w:tcPr>
            <w:tcW w:w="3039" w:type="dxa"/>
            <w:gridSpan w:val="2"/>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名     称</w:t>
            </w:r>
          </w:p>
        </w:tc>
        <w:tc>
          <w:tcPr>
            <w:tcW w:w="5370"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rPr>
            </w:pPr>
            <w:r>
              <w:rPr>
                <w:rFonts w:hint="eastAsia" w:ascii="宋体" w:hAnsi="宋体" w:cs="宋体"/>
                <w:kern w:val="0"/>
                <w:szCs w:val="21"/>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1</w:t>
            </w:r>
          </w:p>
        </w:tc>
        <w:tc>
          <w:tcPr>
            <w:tcW w:w="3039" w:type="dxa"/>
            <w:gridSpan w:val="2"/>
            <w:noWrap w:val="0"/>
            <w:vAlign w:val="center"/>
          </w:tcPr>
          <w:p>
            <w:pPr>
              <w:keepNext w:val="0"/>
              <w:keepLines w:val="0"/>
              <w:suppressLineNumbers w:val="0"/>
              <w:spacing w:before="0" w:beforeAutospacing="0" w:after="0" w:afterAutospacing="0"/>
              <w:ind w:left="0" w:right="0"/>
              <w:jc w:val="center"/>
              <w:rPr>
                <w:rFonts w:hint="default" w:ascii="宋体" w:hAnsi="宋体" w:eastAsia="等线" w:cs="宋体"/>
                <w:color w:val="000000"/>
                <w:sz w:val="21"/>
                <w:szCs w:val="21"/>
                <w:lang w:val="en-US" w:eastAsia="zh-CN"/>
              </w:rPr>
            </w:pPr>
            <w:r>
              <w:rPr>
                <w:rFonts w:hint="eastAsia" w:ascii="宋体" w:hAnsi="宋体" w:cs="宋体"/>
                <w:b/>
                <w:bCs/>
                <w:color w:val="000000"/>
                <w:sz w:val="21"/>
                <w:szCs w:val="21"/>
              </w:rPr>
              <w:t>主端梁金属钢结构</w:t>
            </w:r>
            <w:r>
              <w:rPr>
                <w:rFonts w:hint="eastAsia" w:ascii="宋体" w:hAnsi="宋体" w:cs="宋体"/>
                <w:b/>
                <w:bCs/>
                <w:color w:val="000000"/>
                <w:sz w:val="21"/>
                <w:szCs w:val="21"/>
                <w:lang w:val="en-US" w:eastAsia="zh-CN"/>
              </w:rPr>
              <w:t>及立柱材料</w:t>
            </w:r>
          </w:p>
        </w:tc>
        <w:tc>
          <w:tcPr>
            <w:tcW w:w="5370"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山钢，莱钢、宝武、鞍钢等品牌大厂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714" w:hRule="atLeast"/>
          <w:jc w:val="center"/>
        </w:trPr>
        <w:tc>
          <w:tcPr>
            <w:tcW w:w="1031"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2</w:t>
            </w:r>
          </w:p>
        </w:tc>
        <w:tc>
          <w:tcPr>
            <w:tcW w:w="1114" w:type="dxa"/>
            <w:vMerge w:val="restart"/>
            <w:noWrap w:val="0"/>
            <w:vAlign w:val="center"/>
          </w:tcPr>
          <w:p>
            <w:pPr>
              <w:keepNext w:val="0"/>
              <w:keepLines w:val="0"/>
              <w:suppressLineNumbers w:val="0"/>
              <w:spacing w:before="0" w:beforeAutospacing="0" w:after="0" w:afterAutospacing="0"/>
              <w:ind w:left="0" w:right="0"/>
              <w:jc w:val="center"/>
              <w:rPr>
                <w:rFonts w:hint="default" w:ascii="宋体" w:hAnsi="宋体" w:eastAsia="宋体" w:cs="宋体"/>
                <w:color w:val="000000"/>
                <w:sz w:val="21"/>
                <w:szCs w:val="21"/>
                <w:lang w:val="en-US" w:eastAsia="zh-CN"/>
              </w:rPr>
            </w:pPr>
            <w:r>
              <w:rPr>
                <w:rFonts w:hint="eastAsia" w:ascii="宋体" w:hAnsi="宋体" w:cs="宋体"/>
                <w:b/>
                <w:bCs/>
                <w:color w:val="000000"/>
                <w:sz w:val="21"/>
                <w:szCs w:val="21"/>
                <w:lang w:val="en-US" w:eastAsia="zh-CN"/>
              </w:rPr>
              <w:t>起升机构</w:t>
            </w:r>
          </w:p>
        </w:tc>
        <w:tc>
          <w:tcPr>
            <w:tcW w:w="1925"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电动葫芦品牌</w:t>
            </w:r>
          </w:p>
        </w:tc>
        <w:tc>
          <w:tcPr>
            <w:tcW w:w="5370" w:type="dxa"/>
            <w:noWrap w:val="0"/>
            <w:vAlign w:val="center"/>
          </w:tcPr>
          <w:p>
            <w:pPr>
              <w:keepNext w:val="0"/>
              <w:keepLines w:val="0"/>
              <w:widowControl/>
              <w:suppressLineNumbers w:val="0"/>
              <w:spacing w:before="0" w:beforeAutospacing="0" w:after="0" w:afterAutospacing="0" w:line="320" w:lineRule="exact"/>
              <w:ind w:left="0" w:right="0"/>
              <w:jc w:val="center"/>
              <w:rPr>
                <w:rFonts w:hint="default" w:ascii="宋体" w:hAnsi="宋体" w:cs="宋体"/>
                <w:kern w:val="0"/>
                <w:szCs w:val="21"/>
                <w:lang w:val="en-US" w:eastAsia="zh-CN"/>
              </w:rPr>
            </w:pPr>
            <w:r>
              <w:rPr>
                <w:rFonts w:hint="eastAsia" w:ascii="宋体" w:hAnsi="宋体" w:cs="宋体"/>
                <w:kern w:val="0"/>
                <w:szCs w:val="21"/>
                <w:lang w:val="en-US" w:eastAsia="zh-CN"/>
              </w:rPr>
              <w:t>Novocranes诺威、BRIMA八马、WORLD华德或同档次品牌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3</w:t>
            </w:r>
          </w:p>
        </w:tc>
        <w:tc>
          <w:tcPr>
            <w:tcW w:w="1114" w:type="dxa"/>
            <w:vMerge w:val="continue"/>
            <w:noWrap w:val="0"/>
            <w:vAlign w:val="center"/>
          </w:tcPr>
          <w:p>
            <w:pPr>
              <w:keepNext w:val="0"/>
              <w:keepLines w:val="0"/>
              <w:suppressLineNumbers w:val="0"/>
              <w:spacing w:before="0" w:beforeAutospacing="0" w:after="0" w:afterAutospacing="0"/>
              <w:ind w:left="0" w:right="0"/>
              <w:jc w:val="center"/>
              <w:rPr>
                <w:rFonts w:hint="eastAsia" w:ascii="宋体" w:hAnsi="宋体" w:eastAsia="宋体" w:cs="宋体"/>
                <w:color w:val="000000"/>
                <w:kern w:val="2"/>
                <w:sz w:val="21"/>
                <w:szCs w:val="21"/>
                <w:lang w:val="en-US" w:eastAsia="zh-CN" w:bidi="ar-SA"/>
              </w:rPr>
            </w:pPr>
          </w:p>
        </w:tc>
        <w:tc>
          <w:tcPr>
            <w:tcW w:w="1925"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钢丝绳</w:t>
            </w:r>
          </w:p>
        </w:tc>
        <w:tc>
          <w:tcPr>
            <w:tcW w:w="5370"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英国布顿、英制钢缆、韩国荣盛或同档次品牌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4</w:t>
            </w:r>
          </w:p>
        </w:tc>
        <w:tc>
          <w:tcPr>
            <w:tcW w:w="3039" w:type="dxa"/>
            <w:gridSpan w:val="2"/>
            <w:noWrap w:val="0"/>
            <w:vAlign w:val="center"/>
          </w:tcPr>
          <w:p>
            <w:pPr>
              <w:keepNext w:val="0"/>
              <w:keepLines w:val="0"/>
              <w:suppressLineNumbers w:val="0"/>
              <w:spacing w:before="0" w:beforeAutospacing="0" w:after="0" w:afterAutospacing="0"/>
              <w:ind w:left="0" w:right="0"/>
              <w:jc w:val="center"/>
              <w:rPr>
                <w:rFonts w:hint="eastAsia" w:ascii="宋体" w:hAnsi="宋体" w:cs="宋体"/>
                <w:b/>
                <w:bCs/>
                <w:color w:val="000000"/>
                <w:sz w:val="21"/>
                <w:szCs w:val="21"/>
              </w:rPr>
            </w:pPr>
            <w:r>
              <w:rPr>
                <w:rFonts w:hint="eastAsia" w:ascii="宋体" w:hAnsi="宋体" w:cs="宋体"/>
                <w:b/>
                <w:bCs/>
                <w:color w:val="000000"/>
                <w:sz w:val="21"/>
                <w:szCs w:val="21"/>
              </w:rPr>
              <w:t>大</w:t>
            </w:r>
            <w:r>
              <w:rPr>
                <w:rFonts w:hint="eastAsia" w:ascii="宋体" w:hAnsi="宋体" w:cs="宋体"/>
                <w:b/>
                <w:bCs/>
                <w:color w:val="000000"/>
                <w:sz w:val="21"/>
                <w:szCs w:val="21"/>
                <w:lang w:val="en-US" w:eastAsia="zh-CN"/>
              </w:rPr>
              <w:t>小</w:t>
            </w:r>
            <w:r>
              <w:rPr>
                <w:rFonts w:hint="eastAsia" w:ascii="宋体" w:hAnsi="宋体" w:cs="宋体"/>
                <w:b/>
                <w:bCs/>
                <w:color w:val="000000"/>
                <w:sz w:val="21"/>
                <w:szCs w:val="21"/>
              </w:rPr>
              <w:t>车驱动三合一电机</w:t>
            </w:r>
          </w:p>
        </w:tc>
        <w:tc>
          <w:tcPr>
            <w:tcW w:w="5370"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fr-FR" w:eastAsia="zh-CN"/>
              </w:rPr>
            </w:pPr>
            <w:r>
              <w:rPr>
                <w:rFonts w:hint="eastAsia" w:ascii="宋体" w:hAnsi="宋体" w:cs="宋体"/>
                <w:kern w:val="0"/>
                <w:szCs w:val="21"/>
                <w:lang w:val="en-US" w:eastAsia="zh-CN"/>
              </w:rPr>
              <w:t>ABM、SEW、BONENG博能或同档次品牌（要求一级能效*）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5</w:t>
            </w:r>
          </w:p>
        </w:tc>
        <w:tc>
          <w:tcPr>
            <w:tcW w:w="3039" w:type="dxa"/>
            <w:gridSpan w:val="2"/>
            <w:noWrap w:val="0"/>
            <w:vAlign w:val="center"/>
          </w:tcPr>
          <w:p>
            <w:pPr>
              <w:keepNext w:val="0"/>
              <w:keepLines w:val="0"/>
              <w:suppressLineNumbers w:val="0"/>
              <w:spacing w:before="0" w:beforeAutospacing="0" w:after="0" w:afterAutospacing="0"/>
              <w:ind w:left="0" w:right="0"/>
              <w:jc w:val="center"/>
              <w:rPr>
                <w:rFonts w:hint="eastAsia" w:ascii="宋体" w:hAnsi="宋体" w:cs="宋体"/>
                <w:b/>
                <w:bCs/>
                <w:color w:val="000000"/>
                <w:sz w:val="21"/>
                <w:szCs w:val="21"/>
              </w:rPr>
            </w:pPr>
            <w:r>
              <w:rPr>
                <w:rFonts w:hint="eastAsia" w:ascii="宋体" w:hAnsi="宋体" w:cs="宋体"/>
                <w:b/>
                <w:bCs/>
                <w:color w:val="000000"/>
                <w:sz w:val="21"/>
                <w:szCs w:val="21"/>
              </w:rPr>
              <w:t>变频器</w:t>
            </w:r>
          </w:p>
        </w:tc>
        <w:tc>
          <w:tcPr>
            <w:tcW w:w="5370"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西门子、日本安川、施耐德或同档次品牌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6</w:t>
            </w:r>
          </w:p>
        </w:tc>
        <w:tc>
          <w:tcPr>
            <w:tcW w:w="3039" w:type="dxa"/>
            <w:gridSpan w:val="2"/>
            <w:noWrap w:val="0"/>
            <w:vAlign w:val="center"/>
          </w:tcPr>
          <w:p>
            <w:pPr>
              <w:keepNext w:val="0"/>
              <w:keepLines w:val="0"/>
              <w:suppressLineNumbers w:val="0"/>
              <w:spacing w:before="0" w:beforeAutospacing="0" w:after="0" w:afterAutospacing="0"/>
              <w:ind w:left="0" w:right="0"/>
              <w:jc w:val="center"/>
              <w:rPr>
                <w:rFonts w:hint="eastAsia" w:ascii="宋体" w:hAnsi="宋体" w:cs="宋体"/>
                <w:b/>
                <w:bCs/>
                <w:color w:val="000000"/>
                <w:sz w:val="21"/>
                <w:szCs w:val="21"/>
              </w:rPr>
            </w:pPr>
            <w:r>
              <w:rPr>
                <w:rFonts w:hint="eastAsia" w:ascii="宋体" w:hAnsi="宋体" w:cs="宋体"/>
                <w:b/>
                <w:bCs/>
                <w:color w:val="000000"/>
                <w:sz w:val="21"/>
                <w:szCs w:val="21"/>
              </w:rPr>
              <w:t>电气元器件</w:t>
            </w:r>
          </w:p>
        </w:tc>
        <w:tc>
          <w:tcPr>
            <w:tcW w:w="5370"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施耐德、西门子或同档次品牌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pPr>
              <w:keepNext w:val="0"/>
              <w:keepLines w:val="0"/>
              <w:widowControl/>
              <w:suppressLineNumbers w:val="0"/>
              <w:spacing w:before="0" w:beforeAutospacing="0" w:after="0" w:afterAutospacing="0" w:line="320" w:lineRule="exact"/>
              <w:ind w:left="0" w:right="0"/>
              <w:jc w:val="center"/>
              <w:rPr>
                <w:rFonts w:hint="default" w:ascii="宋体" w:hAnsi="宋体" w:cs="宋体"/>
                <w:kern w:val="0"/>
                <w:szCs w:val="21"/>
                <w:lang w:val="en-US" w:eastAsia="zh-CN"/>
              </w:rPr>
            </w:pPr>
            <w:r>
              <w:rPr>
                <w:rFonts w:hint="eastAsia" w:ascii="宋体" w:hAnsi="宋体" w:cs="宋体"/>
                <w:kern w:val="0"/>
                <w:szCs w:val="21"/>
                <w:lang w:val="en-US" w:eastAsia="zh-CN"/>
              </w:rPr>
              <w:t>7</w:t>
            </w:r>
          </w:p>
        </w:tc>
        <w:tc>
          <w:tcPr>
            <w:tcW w:w="3039" w:type="dxa"/>
            <w:gridSpan w:val="2"/>
            <w:noWrap w:val="0"/>
            <w:vAlign w:val="center"/>
          </w:tcPr>
          <w:p>
            <w:pPr>
              <w:keepNext w:val="0"/>
              <w:keepLines w:val="0"/>
              <w:suppressLineNumbers w:val="0"/>
              <w:spacing w:before="0" w:beforeAutospacing="0" w:after="0" w:afterAutospacing="0"/>
              <w:ind w:left="0" w:right="0"/>
              <w:jc w:val="center"/>
              <w:rPr>
                <w:rFonts w:hint="eastAsia" w:ascii="宋体" w:hAnsi="宋体" w:cs="宋体"/>
                <w:b/>
                <w:bCs/>
                <w:color w:val="000000"/>
                <w:sz w:val="21"/>
                <w:szCs w:val="21"/>
              </w:rPr>
            </w:pPr>
            <w:r>
              <w:rPr>
                <w:rFonts w:hint="eastAsia" w:ascii="宋体" w:hAnsi="宋体" w:cs="宋体"/>
                <w:b/>
                <w:bCs/>
                <w:color w:val="000000"/>
                <w:sz w:val="21"/>
                <w:szCs w:val="21"/>
              </w:rPr>
              <w:t>手操</w:t>
            </w:r>
          </w:p>
        </w:tc>
        <w:tc>
          <w:tcPr>
            <w:tcW w:w="5370"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欧姆、韩起、台湾禹鼎、施耐德或同档次品牌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8</w:t>
            </w:r>
          </w:p>
        </w:tc>
        <w:tc>
          <w:tcPr>
            <w:tcW w:w="3039" w:type="dxa"/>
            <w:gridSpan w:val="2"/>
            <w:noWrap w:val="0"/>
            <w:vAlign w:val="center"/>
          </w:tcPr>
          <w:p>
            <w:pPr>
              <w:keepNext w:val="0"/>
              <w:keepLines w:val="0"/>
              <w:suppressLineNumbers w:val="0"/>
              <w:spacing w:before="0" w:beforeAutospacing="0" w:after="0" w:afterAutospacing="0"/>
              <w:ind w:left="0" w:right="0"/>
              <w:jc w:val="center"/>
              <w:rPr>
                <w:rFonts w:hint="eastAsia" w:ascii="宋体" w:hAnsi="宋体" w:cs="宋体"/>
                <w:b/>
                <w:bCs/>
                <w:color w:val="000000"/>
                <w:sz w:val="21"/>
                <w:szCs w:val="21"/>
              </w:rPr>
            </w:pPr>
            <w:r>
              <w:rPr>
                <w:rFonts w:hint="eastAsia" w:ascii="宋体" w:hAnsi="宋体" w:cs="宋体"/>
                <w:b/>
                <w:bCs/>
                <w:color w:val="000000"/>
                <w:sz w:val="21"/>
                <w:szCs w:val="21"/>
              </w:rPr>
              <w:t>按钮遥控</w:t>
            </w:r>
          </w:p>
        </w:tc>
        <w:tc>
          <w:tcPr>
            <w:tcW w:w="5370"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欧姆、韩起、台湾禹鼎、施耐德或同档次品牌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9</w:t>
            </w:r>
          </w:p>
        </w:tc>
        <w:tc>
          <w:tcPr>
            <w:tcW w:w="3039" w:type="dxa"/>
            <w:gridSpan w:val="2"/>
            <w:noWrap w:val="0"/>
            <w:vAlign w:val="center"/>
          </w:tcPr>
          <w:p>
            <w:pPr>
              <w:keepNext w:val="0"/>
              <w:keepLines w:val="0"/>
              <w:suppressLineNumbers w:val="0"/>
              <w:spacing w:before="0" w:beforeAutospacing="0" w:after="0" w:afterAutospacing="0"/>
              <w:ind w:left="0" w:right="0"/>
              <w:jc w:val="center"/>
              <w:rPr>
                <w:rFonts w:hint="eastAsia" w:ascii="宋体" w:hAnsi="宋体" w:cs="宋体"/>
                <w:b/>
                <w:bCs/>
                <w:color w:val="000000"/>
                <w:sz w:val="21"/>
                <w:szCs w:val="21"/>
                <w:lang w:val="en-US" w:eastAsia="zh-CN"/>
              </w:rPr>
            </w:pPr>
            <w:r>
              <w:rPr>
                <w:rFonts w:hint="eastAsia" w:ascii="宋体" w:hAnsi="宋体" w:cs="宋体"/>
                <w:b/>
                <w:bCs/>
                <w:color w:val="000000"/>
                <w:sz w:val="21"/>
                <w:szCs w:val="21"/>
              </w:rPr>
              <w:t>滑线</w:t>
            </w:r>
          </w:p>
        </w:tc>
        <w:tc>
          <w:tcPr>
            <w:tcW w:w="5370"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济南德玛、武汉汉发同档次品牌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pPr>
              <w:keepNext w:val="0"/>
              <w:keepLines w:val="0"/>
              <w:widowControl/>
              <w:suppressLineNumbers w:val="0"/>
              <w:spacing w:before="0" w:beforeAutospacing="0" w:after="0" w:afterAutospacing="0" w:line="320" w:lineRule="exact"/>
              <w:ind w:left="0" w:right="0"/>
              <w:jc w:val="center"/>
              <w:rPr>
                <w:rFonts w:hint="default" w:ascii="宋体" w:hAnsi="宋体" w:cs="宋体"/>
                <w:kern w:val="0"/>
                <w:szCs w:val="21"/>
                <w:lang w:val="en-US" w:eastAsia="zh-CN"/>
              </w:rPr>
            </w:pPr>
            <w:r>
              <w:rPr>
                <w:rFonts w:hint="eastAsia" w:ascii="宋体" w:hAnsi="宋体" w:cs="宋体"/>
                <w:kern w:val="0"/>
                <w:szCs w:val="21"/>
                <w:lang w:val="en-US" w:eastAsia="zh-CN"/>
              </w:rPr>
              <w:t>10</w:t>
            </w:r>
          </w:p>
        </w:tc>
        <w:tc>
          <w:tcPr>
            <w:tcW w:w="3039" w:type="dxa"/>
            <w:gridSpan w:val="2"/>
            <w:noWrap w:val="0"/>
            <w:vAlign w:val="center"/>
          </w:tcPr>
          <w:p>
            <w:pPr>
              <w:keepNext w:val="0"/>
              <w:keepLines w:val="0"/>
              <w:suppressLineNumbers w:val="0"/>
              <w:spacing w:before="0" w:beforeAutospacing="0" w:after="0" w:afterAutospacing="0"/>
              <w:ind w:left="0" w:right="0"/>
              <w:jc w:val="center"/>
              <w:rPr>
                <w:rFonts w:hint="eastAsia" w:ascii="宋体" w:hAnsi="宋体" w:cs="宋体"/>
                <w:b/>
                <w:bCs/>
                <w:color w:val="000000"/>
                <w:sz w:val="21"/>
                <w:szCs w:val="21"/>
              </w:rPr>
            </w:pPr>
            <w:r>
              <w:rPr>
                <w:rFonts w:hint="eastAsia" w:ascii="宋体" w:hAnsi="宋体" w:cs="宋体"/>
                <w:b/>
                <w:bCs/>
                <w:color w:val="000000"/>
                <w:sz w:val="21"/>
                <w:szCs w:val="21"/>
              </w:rPr>
              <w:t>大、小车限位开关</w:t>
            </w:r>
          </w:p>
        </w:tc>
        <w:tc>
          <w:tcPr>
            <w:tcW w:w="5370"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施耐德、韩起、房山或同档次品牌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pPr>
              <w:keepNext w:val="0"/>
              <w:keepLines w:val="0"/>
              <w:widowControl/>
              <w:suppressLineNumbers w:val="0"/>
              <w:spacing w:before="0" w:beforeAutospacing="0" w:after="0" w:afterAutospacing="0" w:line="320" w:lineRule="exact"/>
              <w:ind w:left="0" w:right="0"/>
              <w:jc w:val="center"/>
              <w:rPr>
                <w:rFonts w:hint="default" w:ascii="宋体" w:hAnsi="宋体" w:cs="宋体"/>
                <w:kern w:val="0"/>
                <w:szCs w:val="21"/>
                <w:lang w:val="en-US" w:eastAsia="zh-CN"/>
              </w:rPr>
            </w:pPr>
            <w:r>
              <w:rPr>
                <w:rFonts w:hint="eastAsia" w:ascii="宋体" w:hAnsi="宋体" w:cs="宋体"/>
                <w:kern w:val="0"/>
                <w:szCs w:val="21"/>
                <w:lang w:val="en-US" w:eastAsia="zh-CN"/>
              </w:rPr>
              <w:t>11</w:t>
            </w:r>
          </w:p>
        </w:tc>
        <w:tc>
          <w:tcPr>
            <w:tcW w:w="3039" w:type="dxa"/>
            <w:gridSpan w:val="2"/>
            <w:noWrap w:val="0"/>
            <w:vAlign w:val="center"/>
          </w:tcPr>
          <w:p>
            <w:pPr>
              <w:keepNext w:val="0"/>
              <w:keepLines w:val="0"/>
              <w:suppressLineNumbers w:val="0"/>
              <w:spacing w:before="0" w:beforeAutospacing="0" w:after="0" w:afterAutospacing="0"/>
              <w:ind w:left="0" w:right="0"/>
              <w:jc w:val="center"/>
              <w:rPr>
                <w:rFonts w:hint="eastAsia" w:ascii="宋体" w:hAnsi="宋体" w:cs="宋体"/>
                <w:b/>
                <w:bCs/>
                <w:color w:val="000000"/>
                <w:sz w:val="21"/>
                <w:szCs w:val="21"/>
              </w:rPr>
            </w:pPr>
            <w:r>
              <w:rPr>
                <w:rFonts w:hint="eastAsia" w:ascii="宋体" w:hAnsi="宋体" w:cs="宋体"/>
                <w:b/>
                <w:bCs/>
                <w:color w:val="000000"/>
                <w:sz w:val="21"/>
                <w:szCs w:val="21"/>
              </w:rPr>
              <w:t>欧式主梁及钢结构</w:t>
            </w:r>
          </w:p>
        </w:tc>
        <w:tc>
          <w:tcPr>
            <w:tcW w:w="5370"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材质不低于Q235-B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pPr>
              <w:keepNext w:val="0"/>
              <w:keepLines w:val="0"/>
              <w:widowControl/>
              <w:suppressLineNumbers w:val="0"/>
              <w:spacing w:before="0" w:beforeAutospacing="0" w:after="0" w:afterAutospacing="0" w:line="320" w:lineRule="exact"/>
              <w:ind w:left="0" w:right="0"/>
              <w:jc w:val="center"/>
              <w:rPr>
                <w:rFonts w:hint="default" w:ascii="宋体" w:hAnsi="宋体" w:cs="宋体"/>
                <w:kern w:val="0"/>
                <w:szCs w:val="21"/>
                <w:lang w:val="en-US" w:eastAsia="zh-CN"/>
              </w:rPr>
            </w:pPr>
            <w:r>
              <w:rPr>
                <w:rFonts w:hint="eastAsia" w:ascii="宋体" w:hAnsi="宋体" w:cs="宋体"/>
                <w:kern w:val="0"/>
                <w:szCs w:val="21"/>
                <w:lang w:val="en-US" w:eastAsia="zh-CN"/>
              </w:rPr>
              <w:t>12</w:t>
            </w:r>
          </w:p>
        </w:tc>
        <w:tc>
          <w:tcPr>
            <w:tcW w:w="3039" w:type="dxa"/>
            <w:gridSpan w:val="2"/>
            <w:noWrap w:val="0"/>
            <w:vAlign w:val="center"/>
          </w:tcPr>
          <w:p>
            <w:pPr>
              <w:keepNext w:val="0"/>
              <w:keepLines w:val="0"/>
              <w:suppressLineNumbers w:val="0"/>
              <w:spacing w:before="0" w:beforeAutospacing="0" w:after="0" w:afterAutospacing="0"/>
              <w:ind w:left="0" w:right="0"/>
              <w:jc w:val="center"/>
              <w:rPr>
                <w:rFonts w:hint="eastAsia" w:ascii="宋体" w:hAnsi="宋体" w:cs="宋体"/>
                <w:b/>
                <w:bCs/>
                <w:color w:val="000000"/>
                <w:sz w:val="21"/>
                <w:szCs w:val="21"/>
              </w:rPr>
            </w:pPr>
            <w:r>
              <w:rPr>
                <w:rFonts w:hint="eastAsia" w:ascii="宋体" w:hAnsi="宋体" w:cs="宋体"/>
                <w:b/>
                <w:bCs/>
                <w:color w:val="000000"/>
                <w:sz w:val="21"/>
                <w:szCs w:val="21"/>
              </w:rPr>
              <w:t>欧式端梁</w:t>
            </w:r>
          </w:p>
        </w:tc>
        <w:tc>
          <w:tcPr>
            <w:tcW w:w="5370"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轴承：NSK、SKF、FAG品牌产品或同档次</w:t>
            </w:r>
          </w:p>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车轮：42CrMo铸钢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pPr>
              <w:keepNext w:val="0"/>
              <w:keepLines w:val="0"/>
              <w:widowControl/>
              <w:suppressLineNumbers w:val="0"/>
              <w:spacing w:before="0" w:beforeAutospacing="0" w:after="0" w:afterAutospacing="0" w:line="320" w:lineRule="exact"/>
              <w:ind w:left="0" w:right="0"/>
              <w:jc w:val="center"/>
              <w:rPr>
                <w:rFonts w:hint="default" w:ascii="宋体" w:hAnsi="宋体" w:cs="宋体"/>
                <w:kern w:val="0"/>
                <w:szCs w:val="21"/>
                <w:lang w:val="en-US" w:eastAsia="zh-CN"/>
              </w:rPr>
            </w:pPr>
            <w:r>
              <w:rPr>
                <w:rFonts w:hint="eastAsia" w:ascii="宋体" w:hAnsi="宋体" w:cs="宋体"/>
                <w:kern w:val="0"/>
                <w:szCs w:val="21"/>
                <w:lang w:val="en-US" w:eastAsia="zh-CN"/>
              </w:rPr>
              <w:t>13</w:t>
            </w:r>
          </w:p>
        </w:tc>
        <w:tc>
          <w:tcPr>
            <w:tcW w:w="3039" w:type="dxa"/>
            <w:gridSpan w:val="2"/>
            <w:noWrap w:val="0"/>
            <w:vAlign w:val="center"/>
          </w:tcPr>
          <w:p>
            <w:pPr>
              <w:keepNext w:val="0"/>
              <w:keepLines w:val="0"/>
              <w:suppressLineNumbers w:val="0"/>
              <w:spacing w:before="0" w:beforeAutospacing="0" w:after="0" w:afterAutospacing="0"/>
              <w:ind w:left="0" w:right="0"/>
              <w:jc w:val="center"/>
              <w:rPr>
                <w:rFonts w:hint="eastAsia" w:ascii="宋体" w:hAnsi="宋体" w:cs="宋体"/>
                <w:b/>
                <w:bCs/>
                <w:color w:val="000000"/>
                <w:sz w:val="21"/>
                <w:szCs w:val="21"/>
              </w:rPr>
            </w:pPr>
            <w:r>
              <w:rPr>
                <w:rFonts w:hint="eastAsia" w:ascii="宋体" w:hAnsi="宋体" w:cs="宋体"/>
                <w:b/>
                <w:bCs/>
                <w:color w:val="000000"/>
                <w:sz w:val="21"/>
                <w:szCs w:val="21"/>
              </w:rPr>
              <w:t>轨道及附件</w:t>
            </w:r>
          </w:p>
        </w:tc>
        <w:tc>
          <w:tcPr>
            <w:tcW w:w="5370" w:type="dxa"/>
            <w:noWrap w:val="0"/>
            <w:vAlign w:val="center"/>
          </w:tcPr>
          <w:p>
            <w:pPr>
              <w:keepNext w:val="0"/>
              <w:keepLines w:val="0"/>
              <w:widowControl/>
              <w:suppressLineNumbers w:val="0"/>
              <w:spacing w:before="0" w:beforeAutospacing="0" w:after="0" w:afterAutospacing="0" w:line="320" w:lineRule="exact"/>
              <w:ind w:left="0" w:right="0"/>
              <w:jc w:val="center"/>
              <w:rPr>
                <w:rFonts w:hint="eastAsia" w:ascii="宋体" w:hAnsi="宋体" w:cs="宋体"/>
                <w:kern w:val="0"/>
                <w:szCs w:val="21"/>
                <w:lang w:val="en-US" w:eastAsia="zh-CN"/>
              </w:rPr>
            </w:pPr>
            <w:r>
              <w:rPr>
                <w:rFonts w:hint="eastAsia" w:ascii="宋体" w:hAnsi="宋体" w:cs="宋体"/>
                <w:kern w:val="0"/>
                <w:szCs w:val="21"/>
                <w:lang w:val="en-US" w:eastAsia="zh-CN"/>
              </w:rPr>
              <w:t>河北永洋同或同档次牌国内品牌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noWrap w:val="0"/>
            <w:vAlign w:val="center"/>
          </w:tcPr>
          <w:p>
            <w:pPr>
              <w:keepNext w:val="0"/>
              <w:keepLines w:val="0"/>
              <w:widowControl/>
              <w:suppressLineNumbers w:val="0"/>
              <w:spacing w:before="0" w:beforeAutospacing="0" w:after="0" w:afterAutospacing="0" w:line="320" w:lineRule="exact"/>
              <w:ind w:left="0" w:right="0"/>
              <w:jc w:val="center"/>
              <w:rPr>
                <w:rFonts w:hint="default" w:ascii="宋体" w:hAnsi="宋体" w:cs="宋体"/>
                <w:kern w:val="0"/>
                <w:szCs w:val="21"/>
                <w:lang w:val="en-US" w:eastAsia="zh-CN"/>
              </w:rPr>
            </w:pPr>
            <w:r>
              <w:rPr>
                <w:rFonts w:hint="eastAsia" w:ascii="宋体" w:hAnsi="宋体" w:cs="宋体"/>
                <w:kern w:val="0"/>
                <w:szCs w:val="21"/>
                <w:lang w:val="en-US" w:eastAsia="zh-CN"/>
              </w:rPr>
              <w:t>14</w:t>
            </w:r>
          </w:p>
        </w:tc>
        <w:tc>
          <w:tcPr>
            <w:tcW w:w="3039" w:type="dxa"/>
            <w:gridSpan w:val="2"/>
            <w:noWrap w:val="0"/>
            <w:vAlign w:val="center"/>
          </w:tcPr>
          <w:p>
            <w:pPr>
              <w:keepNext w:val="0"/>
              <w:keepLines w:val="0"/>
              <w:suppressLineNumbers w:val="0"/>
              <w:spacing w:before="0" w:beforeAutospacing="0" w:after="0" w:afterAutospacing="0"/>
              <w:ind w:left="0" w:right="0"/>
              <w:jc w:val="center"/>
              <w:rPr>
                <w:rFonts w:hint="eastAsia" w:ascii="宋体" w:hAnsi="宋体" w:eastAsia="宋体" w:cs="宋体"/>
                <w:b/>
                <w:bCs/>
                <w:color w:val="000000"/>
                <w:sz w:val="21"/>
                <w:szCs w:val="21"/>
                <w:lang w:val="en-US" w:eastAsia="zh-CN"/>
              </w:rPr>
            </w:pPr>
            <w:r>
              <w:rPr>
                <w:rFonts w:hint="eastAsia" w:ascii="宋体" w:hAnsi="宋体" w:cs="宋体"/>
                <w:b/>
                <w:bCs/>
                <w:color w:val="000000"/>
                <w:sz w:val="21"/>
                <w:szCs w:val="21"/>
                <w:lang w:val="en-US" w:eastAsia="zh-CN"/>
              </w:rPr>
              <w:t>电缆</w:t>
            </w:r>
          </w:p>
        </w:tc>
        <w:tc>
          <w:tcPr>
            <w:tcW w:w="5370" w:type="dxa"/>
            <w:noWrap w:val="0"/>
            <w:vAlign w:val="center"/>
          </w:tcPr>
          <w:p>
            <w:pPr>
              <w:keepNext w:val="0"/>
              <w:keepLines w:val="0"/>
              <w:widowControl/>
              <w:suppressLineNumbers w:val="0"/>
              <w:spacing w:before="0" w:beforeAutospacing="0" w:after="0" w:afterAutospacing="0" w:line="320" w:lineRule="exact"/>
              <w:ind w:left="0" w:right="0"/>
              <w:jc w:val="center"/>
              <w:rPr>
                <w:rFonts w:hint="default" w:ascii="宋体" w:hAnsi="宋体" w:cs="宋体"/>
                <w:kern w:val="0"/>
                <w:szCs w:val="21"/>
                <w:lang w:val="en-US" w:eastAsia="zh-CN"/>
              </w:rPr>
            </w:pPr>
            <w:r>
              <w:rPr>
                <w:rFonts w:hint="eastAsia" w:ascii="宋体" w:hAnsi="宋体" w:cs="宋体"/>
                <w:kern w:val="0"/>
                <w:szCs w:val="21"/>
                <w:lang w:val="en-US" w:eastAsia="zh-CN"/>
              </w:rPr>
              <w:t>江苏上上、远东电缆等国内一线品牌</w:t>
            </w:r>
          </w:p>
        </w:tc>
      </w:tr>
    </w:tbl>
    <w:p>
      <w:pPr>
        <w:pStyle w:val="13"/>
        <w:ind w:left="0" w:leftChars="0" w:firstLine="0" w:firstLineChars="0"/>
        <w:rPr>
          <w:rFonts w:hint="eastAsia"/>
        </w:rPr>
      </w:pPr>
    </w:p>
    <w:p>
      <w:pPr>
        <w:spacing w:line="360" w:lineRule="auto"/>
        <w:ind w:firstLine="480" w:firstLineChars="200"/>
        <w:rPr>
          <w:rFonts w:ascii="宋体" w:hAnsi="宋体" w:eastAsia="宋体"/>
          <w:bCs/>
          <w:sz w:val="24"/>
          <w:szCs w:val="24"/>
        </w:rPr>
      </w:pPr>
      <w:r>
        <w:rPr>
          <w:rFonts w:hint="eastAsia" w:ascii="宋体" w:hAnsi="宋体" w:eastAsia="宋体"/>
          <w:bCs/>
          <w:sz w:val="24"/>
          <w:szCs w:val="24"/>
        </w:rPr>
        <w:t>招标方所列货物的名称和规格型号，如为某一供应商所特有，则该名称和规格型号可作参考；但要求投标方所提供的货物必须满足本技术标书实质性要求。</w:t>
      </w:r>
    </w:p>
    <w:p>
      <w:pPr>
        <w:spacing w:line="360" w:lineRule="auto"/>
        <w:rPr>
          <w:rFonts w:ascii="宋体" w:hAnsi="宋体" w:eastAsia="宋体"/>
          <w:sz w:val="24"/>
          <w:szCs w:val="24"/>
        </w:rPr>
      </w:pPr>
      <w:r>
        <w:rPr>
          <w:rFonts w:hint="eastAsia" w:ascii="宋体" w:hAnsi="宋体" w:eastAsia="宋体"/>
          <w:b/>
          <w:sz w:val="24"/>
          <w:szCs w:val="24"/>
        </w:rPr>
        <w:t>五、投标要求</w:t>
      </w:r>
    </w:p>
    <w:p>
      <w:pPr>
        <w:spacing w:line="360" w:lineRule="auto"/>
        <w:ind w:firstLine="480" w:firstLineChars="200"/>
        <w:rPr>
          <w:rFonts w:ascii="宋体" w:hAnsi="宋体" w:eastAsia="宋体"/>
          <w:bCs/>
          <w:sz w:val="24"/>
          <w:szCs w:val="24"/>
        </w:rPr>
      </w:pPr>
      <w:r>
        <w:rPr>
          <w:rFonts w:hint="eastAsia" w:ascii="宋体" w:hAnsi="宋体" w:eastAsia="宋体"/>
          <w:bCs/>
          <w:sz w:val="24"/>
          <w:szCs w:val="24"/>
        </w:rPr>
        <w:t>1、投标方须对防冻液真空加注机提升总装线适应性改造项目施工详细内容充分分析，识别出总装产线需要变更的变化点并提供详细的工艺方案，同时以此为报价基础。</w:t>
      </w:r>
    </w:p>
    <w:p>
      <w:pPr>
        <w:spacing w:line="360" w:lineRule="auto"/>
        <w:ind w:firstLine="480" w:firstLineChars="200"/>
        <w:rPr>
          <w:rFonts w:ascii="宋体" w:hAnsi="宋体" w:eastAsia="宋体"/>
          <w:bCs/>
          <w:sz w:val="24"/>
          <w:szCs w:val="24"/>
        </w:rPr>
      </w:pPr>
      <w:r>
        <w:rPr>
          <w:rFonts w:hint="eastAsia" w:ascii="宋体" w:hAnsi="宋体" w:eastAsia="宋体"/>
          <w:bCs/>
          <w:sz w:val="24"/>
          <w:szCs w:val="24"/>
        </w:rPr>
        <w:t>2、中标人对设备质量和可靠性负责。</w:t>
      </w:r>
    </w:p>
    <w:p>
      <w:pPr>
        <w:spacing w:line="360" w:lineRule="auto"/>
        <w:ind w:firstLine="480" w:firstLineChars="200"/>
        <w:rPr>
          <w:rFonts w:ascii="宋体" w:hAnsi="宋体" w:eastAsia="宋体"/>
          <w:bCs/>
          <w:sz w:val="24"/>
          <w:szCs w:val="24"/>
        </w:rPr>
      </w:pPr>
      <w:r>
        <w:rPr>
          <w:rFonts w:hint="eastAsia" w:ascii="宋体" w:hAnsi="宋体" w:eastAsia="宋体"/>
          <w:bCs/>
          <w:sz w:val="24"/>
          <w:szCs w:val="24"/>
        </w:rPr>
        <w:t>3、中标人应审查施工图纸，在工艺流程、布置及油壶口位置不变的情况下，如发现问题，可对加注形式、设备结构、用电量等工艺参数提出修改意见和改进措施。对设备的运转质量负最终责任。对设计修改部分提供完整技术资料。</w:t>
      </w:r>
    </w:p>
    <w:p>
      <w:pPr>
        <w:spacing w:line="360" w:lineRule="auto"/>
        <w:ind w:firstLine="480" w:firstLineChars="200"/>
        <w:rPr>
          <w:rFonts w:ascii="宋体" w:hAnsi="宋体" w:eastAsia="宋体"/>
          <w:bCs/>
          <w:sz w:val="24"/>
          <w:szCs w:val="24"/>
        </w:rPr>
      </w:pPr>
      <w:r>
        <w:rPr>
          <w:rFonts w:hint="eastAsia" w:ascii="宋体" w:hAnsi="宋体" w:eastAsia="宋体"/>
          <w:bCs/>
          <w:sz w:val="24"/>
          <w:szCs w:val="24"/>
        </w:rPr>
        <w:t>4、中标人对中标设备的制造、安装、调试提供系列服务，具体如下：</w:t>
      </w:r>
    </w:p>
    <w:p>
      <w:pPr>
        <w:spacing w:line="360" w:lineRule="auto"/>
        <w:ind w:firstLine="480" w:firstLineChars="200"/>
        <w:rPr>
          <w:rFonts w:hint="eastAsia" w:ascii="宋体" w:hAnsi="宋体" w:eastAsia="宋体"/>
          <w:bCs/>
          <w:sz w:val="24"/>
          <w:szCs w:val="24"/>
          <w:highlight w:val="cyan"/>
          <w:lang w:eastAsia="zh-CN"/>
        </w:rPr>
      </w:pPr>
      <w:r>
        <w:rPr>
          <w:rFonts w:hint="eastAsia" w:ascii="宋体" w:hAnsi="宋体" w:eastAsia="宋体"/>
          <w:bCs/>
          <w:sz w:val="24"/>
          <w:szCs w:val="24"/>
          <w:highlight w:val="yellow"/>
        </w:rPr>
        <w:t>原则上，本项目中电机功率＞7.5kW,必须选用一级能效。电机功率&lt;7.5kW，优先选用一级能效；其中对于能源供应类设备及年运行时间≥2000h工艺设备的电机必须选用一级能效。杜绝选用三级及以下能效。</w:t>
      </w:r>
    </w:p>
    <w:p>
      <w:pPr>
        <w:spacing w:line="360" w:lineRule="auto"/>
        <w:ind w:firstLine="480" w:firstLineChars="200"/>
        <w:rPr>
          <w:rFonts w:ascii="宋体" w:hAnsi="宋体" w:eastAsia="宋体"/>
          <w:bCs/>
          <w:sz w:val="24"/>
          <w:szCs w:val="24"/>
        </w:rPr>
      </w:pPr>
      <w:r>
        <w:rPr>
          <w:rFonts w:hint="eastAsia" w:ascii="宋体" w:hAnsi="宋体" w:eastAsia="宋体"/>
          <w:bCs/>
          <w:sz w:val="24"/>
          <w:szCs w:val="24"/>
        </w:rPr>
        <w:t>设备颜色符合《Q-ZZ30070设备设施颜色标识》规定，外观无明显缺陷，重新焊接完成后，对焊接位置进行重新刷漆。</w:t>
      </w:r>
    </w:p>
    <w:p>
      <w:pPr>
        <w:numPr>
          <w:ilvl w:val="0"/>
          <w:numId w:val="13"/>
        </w:numPr>
        <w:spacing w:line="360" w:lineRule="auto"/>
        <w:rPr>
          <w:rFonts w:ascii="宋体" w:hAnsi="宋体" w:eastAsia="宋体"/>
          <w:bCs/>
          <w:sz w:val="24"/>
          <w:szCs w:val="24"/>
        </w:rPr>
      </w:pPr>
      <w:r>
        <w:rPr>
          <w:rFonts w:hint="eastAsia" w:ascii="宋体" w:hAnsi="宋体" w:eastAsia="宋体"/>
          <w:bCs/>
          <w:sz w:val="24"/>
          <w:szCs w:val="24"/>
        </w:rPr>
        <w:t>主、辅材的采购、供应；</w:t>
      </w:r>
    </w:p>
    <w:p>
      <w:pPr>
        <w:numPr>
          <w:ilvl w:val="0"/>
          <w:numId w:val="13"/>
        </w:numPr>
        <w:spacing w:line="360" w:lineRule="auto"/>
        <w:rPr>
          <w:rFonts w:ascii="宋体" w:hAnsi="宋体" w:eastAsia="宋体"/>
          <w:bCs/>
          <w:sz w:val="24"/>
          <w:szCs w:val="24"/>
        </w:rPr>
      </w:pPr>
      <w:r>
        <w:rPr>
          <w:rFonts w:hint="eastAsia" w:ascii="宋体" w:hAnsi="宋体" w:eastAsia="宋体"/>
          <w:bCs/>
          <w:sz w:val="24"/>
          <w:szCs w:val="24"/>
        </w:rPr>
        <w:t>非标设备的加工、制作、安装；</w:t>
      </w:r>
    </w:p>
    <w:p>
      <w:pPr>
        <w:numPr>
          <w:ilvl w:val="0"/>
          <w:numId w:val="13"/>
        </w:numPr>
        <w:spacing w:line="360" w:lineRule="auto"/>
        <w:rPr>
          <w:rFonts w:ascii="宋体" w:hAnsi="宋体" w:eastAsia="宋体"/>
          <w:bCs/>
          <w:sz w:val="24"/>
          <w:szCs w:val="24"/>
        </w:rPr>
      </w:pPr>
      <w:r>
        <w:rPr>
          <w:rFonts w:hint="eastAsia" w:ascii="宋体" w:hAnsi="宋体" w:eastAsia="宋体"/>
          <w:bCs/>
          <w:sz w:val="24"/>
          <w:szCs w:val="24"/>
        </w:rPr>
        <w:t>除业主方提供外的机械及电气外购件、标准件的采购、供应，根据性能价格较优的原则选定供货厂商，并对外购件的质量负责；</w:t>
      </w:r>
    </w:p>
    <w:p>
      <w:pPr>
        <w:numPr>
          <w:ilvl w:val="0"/>
          <w:numId w:val="13"/>
        </w:numPr>
        <w:spacing w:line="360" w:lineRule="auto"/>
        <w:rPr>
          <w:rFonts w:ascii="宋体" w:hAnsi="宋体" w:eastAsia="宋体"/>
          <w:bCs/>
          <w:sz w:val="24"/>
          <w:szCs w:val="24"/>
        </w:rPr>
      </w:pPr>
      <w:r>
        <w:rPr>
          <w:rFonts w:hint="eastAsia" w:ascii="宋体" w:hAnsi="宋体" w:eastAsia="宋体"/>
          <w:bCs/>
          <w:sz w:val="24"/>
          <w:szCs w:val="24"/>
          <w:lang w:val="en-US" w:eastAsia="zh-CN"/>
        </w:rPr>
        <w:t>负责</w:t>
      </w:r>
      <w:r>
        <w:rPr>
          <w:rFonts w:hint="eastAsia" w:ascii="宋体" w:hAnsi="宋体" w:eastAsia="宋体"/>
          <w:bCs/>
          <w:sz w:val="24"/>
          <w:szCs w:val="24"/>
        </w:rPr>
        <w:t>土建施工，负责检查各种预留孔洞、沟槽和预埋件的位置、尺寸；</w:t>
      </w:r>
    </w:p>
    <w:p>
      <w:pPr>
        <w:numPr>
          <w:ilvl w:val="0"/>
          <w:numId w:val="13"/>
        </w:numPr>
        <w:spacing w:line="360" w:lineRule="auto"/>
        <w:rPr>
          <w:rFonts w:ascii="宋体" w:hAnsi="宋体" w:eastAsia="宋体"/>
          <w:bCs/>
          <w:sz w:val="24"/>
          <w:szCs w:val="24"/>
        </w:rPr>
      </w:pPr>
      <w:r>
        <w:rPr>
          <w:rFonts w:hint="eastAsia" w:ascii="宋体" w:hAnsi="宋体" w:eastAsia="宋体"/>
          <w:bCs/>
          <w:sz w:val="24"/>
          <w:szCs w:val="24"/>
        </w:rPr>
        <w:t>建立健全安全、保卫、卫生、消防制度，保证工程顺利进行；</w:t>
      </w:r>
    </w:p>
    <w:p>
      <w:pPr>
        <w:numPr>
          <w:ilvl w:val="0"/>
          <w:numId w:val="13"/>
        </w:numPr>
        <w:spacing w:line="360" w:lineRule="auto"/>
        <w:rPr>
          <w:rFonts w:ascii="宋体" w:hAnsi="宋体" w:eastAsia="宋体"/>
          <w:bCs/>
          <w:sz w:val="24"/>
          <w:szCs w:val="24"/>
        </w:rPr>
      </w:pPr>
      <w:r>
        <w:rPr>
          <w:rFonts w:hint="eastAsia" w:ascii="宋体" w:hAnsi="宋体" w:eastAsia="宋体"/>
          <w:bCs/>
          <w:sz w:val="24"/>
          <w:szCs w:val="24"/>
        </w:rPr>
        <w:t>施工人员的食宿及费用；</w:t>
      </w:r>
    </w:p>
    <w:p>
      <w:pPr>
        <w:numPr>
          <w:ilvl w:val="0"/>
          <w:numId w:val="13"/>
        </w:numPr>
        <w:spacing w:line="360" w:lineRule="auto"/>
        <w:rPr>
          <w:rFonts w:ascii="宋体" w:hAnsi="宋体" w:eastAsia="宋体"/>
          <w:bCs/>
          <w:sz w:val="24"/>
          <w:szCs w:val="24"/>
        </w:rPr>
      </w:pPr>
      <w:r>
        <w:rPr>
          <w:rFonts w:hint="eastAsia" w:ascii="宋体" w:hAnsi="宋体" w:eastAsia="宋体"/>
          <w:bCs/>
          <w:sz w:val="24"/>
          <w:szCs w:val="24"/>
        </w:rPr>
        <w:t>安装现场制作所需的设备、工具；</w:t>
      </w:r>
    </w:p>
    <w:p>
      <w:pPr>
        <w:numPr>
          <w:ilvl w:val="0"/>
          <w:numId w:val="13"/>
        </w:numPr>
        <w:spacing w:line="360" w:lineRule="auto"/>
        <w:rPr>
          <w:rFonts w:ascii="宋体" w:hAnsi="宋体" w:eastAsia="宋体"/>
          <w:bCs/>
          <w:sz w:val="24"/>
          <w:szCs w:val="24"/>
        </w:rPr>
      </w:pPr>
      <w:r>
        <w:rPr>
          <w:rFonts w:hint="eastAsia" w:ascii="宋体" w:hAnsi="宋体" w:eastAsia="宋体"/>
          <w:bCs/>
          <w:sz w:val="24"/>
          <w:szCs w:val="24"/>
        </w:rPr>
        <w:t>配合业主方进行工艺调试；</w:t>
      </w:r>
    </w:p>
    <w:p>
      <w:pPr>
        <w:numPr>
          <w:ilvl w:val="0"/>
          <w:numId w:val="13"/>
        </w:numPr>
        <w:spacing w:line="360" w:lineRule="auto"/>
        <w:rPr>
          <w:rFonts w:ascii="宋体" w:hAnsi="宋体" w:eastAsia="宋体"/>
          <w:bCs/>
          <w:sz w:val="24"/>
          <w:szCs w:val="24"/>
        </w:rPr>
      </w:pPr>
      <w:r>
        <w:rPr>
          <w:rFonts w:hint="eastAsia" w:ascii="宋体" w:hAnsi="宋体" w:eastAsia="宋体"/>
          <w:bCs/>
          <w:sz w:val="24"/>
          <w:szCs w:val="24"/>
        </w:rPr>
        <w:t>负责人员培训及售后服务；</w:t>
      </w:r>
    </w:p>
    <w:p>
      <w:pPr>
        <w:numPr>
          <w:ilvl w:val="0"/>
          <w:numId w:val="13"/>
        </w:numPr>
        <w:spacing w:line="360" w:lineRule="auto"/>
        <w:rPr>
          <w:rFonts w:ascii="宋体" w:hAnsi="宋体" w:eastAsia="宋体"/>
          <w:bCs/>
          <w:sz w:val="24"/>
          <w:szCs w:val="24"/>
        </w:rPr>
      </w:pPr>
      <w:r>
        <w:rPr>
          <w:rFonts w:hint="eastAsia" w:ascii="宋体" w:hAnsi="宋体" w:eastAsia="宋体"/>
          <w:bCs/>
          <w:sz w:val="24"/>
          <w:szCs w:val="24"/>
        </w:rPr>
        <w:t>从生产厂到交货地点的包装、运输；</w:t>
      </w:r>
    </w:p>
    <w:p>
      <w:pPr>
        <w:numPr>
          <w:ilvl w:val="0"/>
          <w:numId w:val="13"/>
        </w:numPr>
        <w:spacing w:line="360" w:lineRule="auto"/>
        <w:rPr>
          <w:rFonts w:ascii="宋体" w:hAnsi="宋体" w:eastAsia="宋体"/>
          <w:bCs/>
          <w:sz w:val="24"/>
          <w:szCs w:val="24"/>
        </w:rPr>
      </w:pPr>
      <w:r>
        <w:rPr>
          <w:rFonts w:hint="eastAsia" w:ascii="宋体" w:hAnsi="宋体" w:eastAsia="宋体"/>
          <w:bCs/>
          <w:sz w:val="24"/>
          <w:szCs w:val="24"/>
        </w:rPr>
        <w:t>参与设备验收，提供竣工图与竣工报告等技术文件，及时办理移交手续；</w:t>
      </w:r>
    </w:p>
    <w:p>
      <w:pPr>
        <w:numPr>
          <w:ilvl w:val="0"/>
          <w:numId w:val="13"/>
        </w:numPr>
        <w:spacing w:line="360" w:lineRule="auto"/>
        <w:rPr>
          <w:rFonts w:ascii="宋体" w:hAnsi="宋体" w:eastAsia="宋体"/>
          <w:bCs/>
          <w:sz w:val="24"/>
          <w:szCs w:val="24"/>
        </w:rPr>
      </w:pPr>
      <w:bookmarkStart w:id="35" w:name="_Hlk206399421"/>
      <w:r>
        <w:rPr>
          <w:rFonts w:hint="eastAsia" w:ascii="宋体" w:hAnsi="宋体" w:eastAsia="宋体"/>
          <w:bCs/>
          <w:sz w:val="24"/>
          <w:szCs w:val="24"/>
        </w:rPr>
        <w:t>其他</w:t>
      </w:r>
      <w:r>
        <w:rPr>
          <w:rFonts w:hint="eastAsia" w:ascii="宋体" w:hAnsi="宋体" w:eastAsia="宋体"/>
          <w:bCs/>
          <w:sz w:val="24"/>
          <w:szCs w:val="24"/>
          <w:lang w:val="en-US" w:eastAsia="zh-CN"/>
        </w:rPr>
        <w:t>招标方</w:t>
      </w:r>
      <w:r>
        <w:rPr>
          <w:rFonts w:hint="eastAsia" w:ascii="宋体" w:hAnsi="宋体" w:eastAsia="宋体"/>
          <w:bCs/>
          <w:sz w:val="24"/>
          <w:szCs w:val="24"/>
        </w:rPr>
        <w:t>的施工要求。</w:t>
      </w:r>
    </w:p>
    <w:bookmarkEnd w:id="35"/>
    <w:p>
      <w:pPr>
        <w:spacing w:line="360" w:lineRule="auto"/>
        <w:ind w:firstLine="480" w:firstLineChars="200"/>
        <w:rPr>
          <w:rFonts w:ascii="宋体" w:hAnsi="宋体" w:eastAsia="宋体"/>
          <w:bCs/>
          <w:sz w:val="24"/>
          <w:szCs w:val="24"/>
        </w:rPr>
      </w:pPr>
      <w:r>
        <w:rPr>
          <w:rFonts w:hint="eastAsia" w:ascii="宋体" w:hAnsi="宋体" w:eastAsia="宋体"/>
          <w:bCs/>
          <w:sz w:val="24"/>
          <w:szCs w:val="24"/>
        </w:rPr>
        <w:t>6、在现场制作的关键部件，必须经委托方检验合格后，方可进行涂漆、组装。合格品才能运抵施工现场。</w:t>
      </w:r>
    </w:p>
    <w:p>
      <w:pPr>
        <w:spacing w:line="360" w:lineRule="auto"/>
        <w:ind w:firstLine="480" w:firstLineChars="200"/>
        <w:rPr>
          <w:rFonts w:ascii="宋体" w:hAnsi="宋体" w:eastAsia="宋体"/>
          <w:bCs/>
          <w:sz w:val="24"/>
          <w:szCs w:val="24"/>
        </w:rPr>
      </w:pPr>
      <w:r>
        <w:rPr>
          <w:rFonts w:hint="eastAsia" w:ascii="宋体" w:hAnsi="宋体" w:eastAsia="宋体"/>
          <w:bCs/>
          <w:sz w:val="24"/>
          <w:szCs w:val="24"/>
        </w:rPr>
        <w:t>7、中标方服从招标方对现场、安全的管理。</w:t>
      </w:r>
    </w:p>
    <w:p>
      <w:pPr>
        <w:widowControl/>
        <w:spacing w:line="360" w:lineRule="auto"/>
        <w:jc w:val="left"/>
        <w:rPr>
          <w:rFonts w:ascii="宋体" w:hAnsi="宋体" w:eastAsia="宋体"/>
          <w:sz w:val="24"/>
          <w:szCs w:val="24"/>
        </w:rPr>
      </w:pPr>
    </w:p>
    <w:p>
      <w:pPr>
        <w:widowControl/>
        <w:spacing w:line="360" w:lineRule="auto"/>
        <w:jc w:val="left"/>
        <w:rPr>
          <w:rFonts w:ascii="宋体" w:hAnsi="宋体" w:eastAsia="宋体"/>
          <w:sz w:val="24"/>
          <w:szCs w:val="24"/>
        </w:rPr>
      </w:pPr>
    </w:p>
    <w:p>
      <w:pPr>
        <w:keepNext/>
        <w:keepLines/>
        <w:spacing w:before="120" w:after="120" w:line="480" w:lineRule="exact"/>
        <w:jc w:val="center"/>
        <w:outlineLvl w:val="1"/>
        <w:rPr>
          <w:rFonts w:ascii="宋体" w:hAnsi="宋体" w:eastAsia="宋体"/>
          <w:bCs/>
          <w:kern w:val="44"/>
          <w:sz w:val="28"/>
          <w:szCs w:val="28"/>
        </w:rPr>
      </w:pPr>
      <w:bookmarkStart w:id="36" w:name="_Toc169605880"/>
      <w:bookmarkStart w:id="37" w:name="_Toc169605881"/>
      <w:r>
        <w:rPr>
          <w:rFonts w:hint="eastAsia" w:ascii="宋体" w:hAnsi="宋体" w:eastAsia="宋体"/>
          <w:b/>
          <w:bCs/>
          <w:kern w:val="44"/>
          <w:sz w:val="28"/>
          <w:szCs w:val="28"/>
        </w:rPr>
        <w:t>第二章技术要求</w:t>
      </w:r>
      <w:bookmarkEnd w:id="36"/>
    </w:p>
    <w:p>
      <w:pPr>
        <w:pStyle w:val="116"/>
        <w:spacing w:line="360" w:lineRule="auto"/>
        <w:ind w:firstLine="482" w:firstLineChars="200"/>
        <w:outlineLvl w:val="2"/>
        <w:rPr>
          <w:rFonts w:eastAsia="宋体" w:cs="宋体"/>
          <w:b/>
          <w:bCs w:val="0"/>
          <w:sz w:val="24"/>
          <w:szCs w:val="24"/>
        </w:rPr>
      </w:pPr>
      <w:r>
        <w:rPr>
          <w:rFonts w:hint="eastAsia" w:eastAsia="宋体" w:cs="宋体"/>
          <w:b/>
          <w:bCs w:val="0"/>
          <w:sz w:val="24"/>
          <w:szCs w:val="24"/>
        </w:rPr>
        <w:t>一、特别提示</w:t>
      </w:r>
    </w:p>
    <w:p>
      <w:pPr>
        <w:spacing w:line="360" w:lineRule="auto"/>
        <w:rPr>
          <w:rFonts w:ascii="宋体" w:hAnsi="宋体" w:eastAsia="宋体"/>
          <w:sz w:val="24"/>
          <w:szCs w:val="24"/>
        </w:rPr>
      </w:pPr>
      <w:r>
        <w:rPr>
          <w:rFonts w:hint="eastAsia" w:ascii="宋体" w:hAnsi="宋体" w:eastAsia="宋体"/>
          <w:sz w:val="24"/>
          <w:szCs w:val="24"/>
        </w:rPr>
        <w:t xml:space="preserve">    1.本章技术要求，仅对功能、设计、结构、性能、安装和试验检验等方面，提出了最低和一般性的技术要求，并未对一切技术细节作出规定。</w:t>
      </w:r>
    </w:p>
    <w:p>
      <w:pPr>
        <w:spacing w:line="360" w:lineRule="auto"/>
        <w:rPr>
          <w:rFonts w:ascii="宋体" w:hAnsi="宋体" w:eastAsia="宋体"/>
          <w:sz w:val="24"/>
          <w:szCs w:val="24"/>
        </w:rPr>
      </w:pPr>
      <w:r>
        <w:rPr>
          <w:rFonts w:hint="eastAsia" w:ascii="宋体" w:hAnsi="宋体" w:eastAsia="宋体"/>
          <w:sz w:val="24"/>
          <w:szCs w:val="24"/>
        </w:rPr>
        <w:t xml:space="preserve">    2.本技术要求所使用的标准、规范等，如与投标人所执行的标准、规范不一致时，应按高于本技术要求所列的标准、规范执行。</w:t>
      </w:r>
    </w:p>
    <w:p>
      <w:pPr>
        <w:spacing w:line="360" w:lineRule="auto"/>
        <w:ind w:firstLine="480" w:firstLineChars="200"/>
        <w:rPr>
          <w:rFonts w:ascii="宋体" w:hAnsi="宋体" w:eastAsia="宋体"/>
          <w:sz w:val="24"/>
          <w:szCs w:val="24"/>
        </w:rPr>
      </w:pPr>
      <w:r>
        <w:rPr>
          <w:rFonts w:ascii="宋体" w:hAnsi="宋体" w:eastAsia="宋体"/>
          <w:sz w:val="24"/>
          <w:szCs w:val="24"/>
        </w:rPr>
        <w:t>3</w:t>
      </w:r>
      <w:r>
        <w:rPr>
          <w:rFonts w:hint="eastAsia" w:ascii="宋体" w:hAnsi="宋体" w:eastAsia="宋体"/>
          <w:sz w:val="24"/>
          <w:szCs w:val="24"/>
        </w:rPr>
        <w:t>.投标人认为所供货物必须由招标人配备、解决或提供的其它要求，如设备基础隔振和减振设施、软化水、洁净气源等，均应在投标文件“技术偏离”中予以充分说明。</w:t>
      </w:r>
    </w:p>
    <w:p>
      <w:pPr>
        <w:spacing w:line="360" w:lineRule="auto"/>
        <w:ind w:firstLine="480" w:firstLineChars="200"/>
        <w:rPr>
          <w:rFonts w:ascii="宋体" w:hAnsi="宋体" w:eastAsia="宋体"/>
          <w:sz w:val="24"/>
          <w:szCs w:val="24"/>
        </w:rPr>
      </w:pPr>
      <w:r>
        <w:rPr>
          <w:rFonts w:ascii="宋体" w:hAnsi="宋体" w:eastAsia="宋体"/>
          <w:bCs/>
          <w:sz w:val="24"/>
          <w:szCs w:val="24"/>
        </w:rPr>
        <w:t>4</w:t>
      </w:r>
      <w:r>
        <w:rPr>
          <w:rFonts w:hint="eastAsia" w:ascii="宋体" w:hAnsi="宋体" w:eastAsia="宋体"/>
          <w:bCs/>
          <w:sz w:val="24"/>
          <w:szCs w:val="24"/>
        </w:rPr>
        <w:t>.投标人应根据招投标货物具体要求，提出</w:t>
      </w:r>
      <w:r>
        <w:rPr>
          <w:rFonts w:hint="eastAsia" w:ascii="宋体" w:hAnsi="宋体" w:eastAsia="宋体"/>
          <w:sz w:val="24"/>
          <w:szCs w:val="24"/>
        </w:rPr>
        <w:t>对厂房、设备基础（或安装平台）、公用设施、消防、环保等超出招标文件、投标文件、答疑文件、技术交流文件、技术协议书和合同等规定的、有特殊需要的解释、说明和要求。</w:t>
      </w:r>
    </w:p>
    <w:p>
      <w:pPr>
        <w:spacing w:line="360" w:lineRule="auto"/>
        <w:rPr>
          <w:rFonts w:ascii="宋体" w:hAnsi="宋体" w:eastAsia="宋体"/>
          <w:sz w:val="24"/>
          <w:szCs w:val="24"/>
        </w:rPr>
      </w:pPr>
      <w:r>
        <w:rPr>
          <w:rFonts w:hint="eastAsia" w:ascii="宋体" w:hAnsi="宋体" w:eastAsia="宋体"/>
          <w:sz w:val="24"/>
          <w:szCs w:val="24"/>
        </w:rPr>
        <w:t xml:space="preserve">    5.无论是否有技术偏离，投标人均应在投标文件“技术偏离”中明确作出有无说明。若有异议，不管是多么微小，投标人必须予以明确和详细的说明或澄清。</w:t>
      </w:r>
    </w:p>
    <w:p>
      <w:pPr>
        <w:spacing w:line="360" w:lineRule="auto"/>
        <w:ind w:firstLine="480" w:firstLineChars="200"/>
        <w:rPr>
          <w:rFonts w:ascii="宋体" w:hAnsi="宋体" w:eastAsia="宋体"/>
          <w:sz w:val="24"/>
          <w:szCs w:val="24"/>
        </w:rPr>
      </w:pPr>
      <w:r>
        <w:rPr>
          <w:rFonts w:ascii="宋体" w:hAnsi="宋体" w:eastAsia="宋体"/>
          <w:sz w:val="24"/>
          <w:szCs w:val="24"/>
        </w:rPr>
        <w:t>6</w:t>
      </w:r>
      <w:r>
        <w:rPr>
          <w:rFonts w:hint="eastAsia" w:ascii="宋体" w:hAnsi="宋体" w:eastAsia="宋体"/>
          <w:sz w:val="24"/>
          <w:szCs w:val="24"/>
        </w:rPr>
        <w:t>.为避免投标人优势在招标评审时漏项，质保期超出本技术标书要求的，应当在投标文件“技术偏离”中特别注明。</w:t>
      </w:r>
    </w:p>
    <w:p>
      <w:pPr>
        <w:pStyle w:val="116"/>
        <w:spacing w:line="360" w:lineRule="auto"/>
        <w:ind w:firstLine="482" w:firstLineChars="200"/>
        <w:outlineLvl w:val="2"/>
        <w:rPr>
          <w:rFonts w:eastAsia="宋体" w:cs="宋体"/>
          <w:b/>
          <w:bCs w:val="0"/>
          <w:sz w:val="24"/>
          <w:szCs w:val="24"/>
        </w:rPr>
      </w:pPr>
      <w:r>
        <w:rPr>
          <w:rFonts w:hint="eastAsia" w:eastAsia="宋体" w:cs="宋体"/>
          <w:b/>
          <w:bCs w:val="0"/>
          <w:sz w:val="24"/>
          <w:szCs w:val="24"/>
        </w:rPr>
        <w:t>二、基本要求</w:t>
      </w:r>
    </w:p>
    <w:p>
      <w:pPr>
        <w:spacing w:line="360" w:lineRule="auto"/>
        <w:ind w:firstLine="480" w:firstLineChars="200"/>
        <w:rPr>
          <w:rFonts w:ascii="宋体" w:hAnsi="宋体" w:eastAsia="宋体"/>
          <w:sz w:val="24"/>
          <w:szCs w:val="24"/>
        </w:rPr>
      </w:pPr>
      <w:r>
        <w:rPr>
          <w:rFonts w:ascii="宋体" w:hAnsi="宋体" w:eastAsia="宋体"/>
          <w:sz w:val="24"/>
          <w:szCs w:val="24"/>
        </w:rPr>
        <w:t>1</w:t>
      </w:r>
      <w:r>
        <w:rPr>
          <w:rFonts w:hint="eastAsia" w:ascii="宋体" w:hAnsi="宋体" w:eastAsia="宋体"/>
          <w:sz w:val="24"/>
          <w:szCs w:val="24"/>
        </w:rPr>
        <w:t>.投标人所供的货物，必须符合中国最新版的法律、法规和相关标准、规范的要求，符合项目所在地政府有关特殊要求。</w:t>
      </w:r>
    </w:p>
    <w:p>
      <w:pPr>
        <w:spacing w:line="360" w:lineRule="auto"/>
        <w:ind w:firstLine="480" w:firstLineChars="200"/>
        <w:rPr>
          <w:rFonts w:ascii="宋体" w:hAnsi="宋体" w:eastAsia="宋体"/>
          <w:sz w:val="24"/>
          <w:szCs w:val="24"/>
        </w:rPr>
      </w:pPr>
      <w:r>
        <w:rPr>
          <w:rFonts w:ascii="宋体" w:hAnsi="宋体" w:eastAsia="宋体"/>
          <w:sz w:val="24"/>
          <w:szCs w:val="24"/>
        </w:rPr>
        <w:t>2</w:t>
      </w:r>
      <w:r>
        <w:rPr>
          <w:rFonts w:hint="eastAsia" w:ascii="宋体" w:hAnsi="宋体" w:eastAsia="宋体"/>
          <w:sz w:val="24"/>
          <w:szCs w:val="24"/>
        </w:rPr>
        <w:t>.投标人所供货物涉及的专利权技术以及知识产权保护的其它技术等，应保证招标人不因此受到任何侵权指控以及实际损失。</w:t>
      </w:r>
    </w:p>
    <w:p>
      <w:pPr>
        <w:spacing w:line="360" w:lineRule="auto"/>
        <w:ind w:firstLine="480" w:firstLineChars="200"/>
        <w:rPr>
          <w:rFonts w:ascii="宋体" w:hAnsi="宋体" w:eastAsia="宋体"/>
          <w:sz w:val="24"/>
          <w:szCs w:val="24"/>
        </w:rPr>
      </w:pPr>
      <w:r>
        <w:rPr>
          <w:rFonts w:ascii="宋体" w:hAnsi="宋体" w:eastAsia="宋体"/>
          <w:sz w:val="24"/>
          <w:szCs w:val="24"/>
        </w:rPr>
        <w:t>3</w:t>
      </w:r>
      <w:r>
        <w:rPr>
          <w:rFonts w:hint="eastAsia" w:ascii="宋体" w:hAnsi="宋体" w:eastAsia="宋体"/>
          <w:sz w:val="24"/>
          <w:szCs w:val="24"/>
        </w:rPr>
        <w:t>.投标人应保证所供货物的先进性、可靠性、经济性和实用性，并为全新货物（或设备）。</w:t>
      </w:r>
    </w:p>
    <w:p>
      <w:pPr>
        <w:spacing w:line="360" w:lineRule="auto"/>
        <w:ind w:firstLine="480" w:firstLineChars="200"/>
        <w:rPr>
          <w:rFonts w:ascii="宋体" w:hAnsi="宋体" w:eastAsia="宋体"/>
          <w:sz w:val="24"/>
          <w:szCs w:val="24"/>
        </w:rPr>
      </w:pPr>
      <w:r>
        <w:rPr>
          <w:rFonts w:ascii="宋体" w:hAnsi="宋体" w:eastAsia="宋体"/>
          <w:sz w:val="24"/>
          <w:szCs w:val="24"/>
        </w:rPr>
        <w:t>4</w:t>
      </w:r>
      <w:r>
        <w:rPr>
          <w:rFonts w:hint="eastAsia" w:ascii="宋体" w:hAnsi="宋体" w:eastAsia="宋体"/>
          <w:sz w:val="24"/>
          <w:szCs w:val="24"/>
        </w:rPr>
        <w:t>.投标人应满足招标人提出的各项技术要求，必要时应当免费提供技术承诺或担保。</w:t>
      </w:r>
    </w:p>
    <w:p>
      <w:pPr>
        <w:spacing w:line="360" w:lineRule="auto"/>
        <w:ind w:firstLine="480" w:firstLineChars="200"/>
        <w:rPr>
          <w:rFonts w:ascii="宋体" w:hAnsi="宋体" w:eastAsia="宋体"/>
          <w:sz w:val="24"/>
          <w:szCs w:val="24"/>
        </w:rPr>
      </w:pPr>
      <w:r>
        <w:rPr>
          <w:rFonts w:ascii="宋体" w:hAnsi="宋体" w:eastAsia="宋体"/>
          <w:sz w:val="24"/>
          <w:szCs w:val="24"/>
        </w:rPr>
        <w:t>5</w:t>
      </w:r>
      <w:r>
        <w:rPr>
          <w:rFonts w:hint="eastAsia" w:ascii="宋体" w:hAnsi="宋体" w:eastAsia="宋体"/>
          <w:sz w:val="24"/>
          <w:szCs w:val="24"/>
        </w:rPr>
        <w:t>.投标人应保证所供货物（或设备）为中国政府指定或规定的主管部门公布的非淘汰货物（或设备），并尽力提供中国政府指定或规定的主管部门认可的环保型和节能型货物（或设备）。</w:t>
      </w:r>
    </w:p>
    <w:p>
      <w:pPr>
        <w:spacing w:line="360" w:lineRule="auto"/>
        <w:ind w:firstLine="480" w:firstLineChars="200"/>
        <w:rPr>
          <w:rFonts w:ascii="宋体" w:hAnsi="宋体" w:eastAsia="宋体"/>
          <w:sz w:val="24"/>
          <w:szCs w:val="24"/>
        </w:rPr>
      </w:pPr>
      <w:r>
        <w:rPr>
          <w:rFonts w:ascii="宋体" w:hAnsi="宋体" w:eastAsia="宋体"/>
          <w:sz w:val="24"/>
          <w:szCs w:val="24"/>
        </w:rPr>
        <w:t>6</w:t>
      </w:r>
      <w:r>
        <w:rPr>
          <w:rFonts w:hint="eastAsia" w:ascii="宋体" w:hAnsi="宋体" w:eastAsia="宋体"/>
          <w:sz w:val="24"/>
          <w:szCs w:val="24"/>
        </w:rPr>
        <w:t>.投标人应保证所供货物的完整性和成套性，能保证货物的正常运行、使用。</w:t>
      </w:r>
    </w:p>
    <w:p>
      <w:pPr>
        <w:spacing w:line="360" w:lineRule="auto"/>
        <w:ind w:firstLine="480" w:firstLineChars="200"/>
        <w:rPr>
          <w:rFonts w:ascii="宋体" w:hAnsi="宋体" w:eastAsia="宋体"/>
          <w:sz w:val="24"/>
          <w:szCs w:val="24"/>
        </w:rPr>
      </w:pPr>
      <w:r>
        <w:rPr>
          <w:rFonts w:ascii="宋体" w:hAnsi="宋体" w:eastAsia="宋体"/>
          <w:sz w:val="24"/>
          <w:szCs w:val="24"/>
        </w:rPr>
        <w:t>7</w:t>
      </w:r>
      <w:r>
        <w:rPr>
          <w:rFonts w:hint="eastAsia" w:ascii="宋体" w:hAnsi="宋体" w:eastAsia="宋体"/>
          <w:sz w:val="24"/>
          <w:szCs w:val="24"/>
        </w:rPr>
        <w:t>.投标人应对招标人采购的货物所涉及的技术、产能等信息负有保密义务，招标人拥有追究投标人泄密责任的权利；招标人如有需要，投标人应无条件签署保密协议。</w:t>
      </w:r>
    </w:p>
    <w:p>
      <w:pPr>
        <w:spacing w:line="360" w:lineRule="auto"/>
        <w:ind w:firstLine="480" w:firstLineChars="200"/>
        <w:rPr>
          <w:rFonts w:ascii="Times New Roman" w:hAnsi="Times New Roman" w:eastAsia="宋体"/>
          <w:bCs/>
          <w:sz w:val="24"/>
          <w:szCs w:val="24"/>
        </w:rPr>
      </w:pPr>
      <w:r>
        <w:rPr>
          <w:rFonts w:ascii="Times New Roman" w:hAnsi="Times New Roman" w:eastAsia="宋体"/>
          <w:bCs/>
          <w:sz w:val="24"/>
          <w:szCs w:val="24"/>
        </w:rPr>
        <w:t>8.投标人预验收时需提供进口设备、部件的报关清关资料。</w:t>
      </w:r>
    </w:p>
    <w:p>
      <w:pPr>
        <w:spacing w:line="360" w:lineRule="auto"/>
        <w:ind w:firstLine="480" w:firstLineChars="200"/>
        <w:rPr>
          <w:rFonts w:ascii="Times New Roman" w:hAnsi="Times New Roman" w:eastAsia="宋体"/>
          <w:bCs/>
          <w:sz w:val="24"/>
          <w:szCs w:val="24"/>
        </w:rPr>
      </w:pPr>
      <w:r>
        <w:rPr>
          <w:rFonts w:ascii="Times New Roman" w:hAnsi="Times New Roman" w:eastAsia="宋体"/>
          <w:bCs/>
          <w:sz w:val="24"/>
          <w:szCs w:val="24"/>
        </w:rPr>
        <w:t>9.</w:t>
      </w:r>
      <w:r>
        <w:rPr>
          <w:rFonts w:hint="eastAsia" w:ascii="Times New Roman" w:hAnsi="Times New Roman" w:eastAsia="宋体"/>
          <w:bCs/>
          <w:sz w:val="24"/>
          <w:szCs w:val="24"/>
        </w:rPr>
        <w:t>要求投标方必须在近三年内为国内外厂家提供过同类型项目案例。投标文件中必须附有与本招标设备相同或相似技术规格、型号的设备的市场销售业绩清单。</w:t>
      </w:r>
    </w:p>
    <w:p>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10.投标方应在确保改造后的产线可以安全稳定运行，并且具备生产现有及项目内要求的新增车型的能力。</w:t>
      </w:r>
    </w:p>
    <w:p>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11.投标方积极协助和提供招标方和招标方所委托的工程设计单位有关人员与标的物有关的工程设计资料。</w:t>
      </w:r>
    </w:p>
    <w:p>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12.投标方所供的设备，必须符合中国最新版的法律、法规和相关标准、规范的要求。</w:t>
      </w:r>
    </w:p>
    <w:p>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13.投标方所供设备涉及的专利权技术以及知识产权保护其它技术等，应保证招标方不因此受到第三方侵权指控以及实际损失。</w:t>
      </w:r>
    </w:p>
    <w:p>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14.投标方应满足招标方提出的各项技术要求。</w:t>
      </w:r>
    </w:p>
    <w:p>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15.投标方应对招标方采购的设备所涉及的产品、技术、产能等信息负有保密义务。</w:t>
      </w:r>
    </w:p>
    <w:p>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16.本技术要求，仅对功能、设计、结构、性能、安装和试验等方面，提出了最低和一般性的技术要求；并未对一切技术细节做出规定，未充分引述有关标准和规范的条文。投标方应保证提供的货物是符合本技术标书和国家最新的有关标准、规范的优质产品。若有异议，应在投标文件“技术偏离”中予以详细说明。</w:t>
      </w:r>
    </w:p>
    <w:p>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17.本技术要求所使用的标准、规范等，如与投标方所执行的标准、规范不一致时，应按高于本技术要求所列的标准、规范执行，并在投标文件“技术偏离”中予以说明。</w:t>
      </w:r>
    </w:p>
    <w:p>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18.投标方认为所供货物必须由招标方配备、解决或提供的其他要求，如设备基础隔振和减振设施、洁净气源等，均应在投标文件中予以充分说明。</w:t>
      </w:r>
    </w:p>
    <w:p>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19.投标方可以根据自身经验以及对招标文件的理解，写明买方招标设备（或材料）应进行的优于招标文件要求的其它方案或建议意见；投标方的这些努力，买方表示感谢，并将有助于投标方优先胜出；即使有建议意见或建议方案，仍应依据招标文件要求，编写符合要求的投标文件。建议方案或建议意见，应以单独篇章或文件，予以说明。</w:t>
      </w:r>
    </w:p>
    <w:p>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20.投标时提供的内容必须进行详细说明。在投标时提供设备主要部件、外购件明细表、易损件备品备件清单和相应特殊维修工具明细等，要考虑这些部件在中国使用的可行性。并提供关键部件的质保周期和响应时间清单。</w:t>
      </w:r>
    </w:p>
    <w:p>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*21.在本标书中没有提及到的部分，所有供应商必须保证设备各部分功能齐全并便于使用，这部分价格应该包含在报价中，而不得另行加价。</w:t>
      </w:r>
    </w:p>
    <w:p>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 xml:space="preserve"> *22. 本项目中所有改造均不可影响卡车制造公司正常生产。</w:t>
      </w:r>
    </w:p>
    <w:p>
      <w:pPr>
        <w:spacing w:line="360" w:lineRule="auto"/>
        <w:ind w:firstLine="600" w:firstLineChars="250"/>
        <w:rPr>
          <w:rFonts w:ascii="宋体" w:hAnsi="宋体" w:eastAsia="宋体"/>
          <w:sz w:val="24"/>
          <w:szCs w:val="24"/>
        </w:rPr>
      </w:pPr>
      <w:r>
        <w:rPr>
          <w:rFonts w:hint="eastAsia" w:ascii="Times New Roman" w:hAnsi="Times New Roman" w:eastAsia="宋体"/>
          <w:bCs/>
          <w:sz w:val="24"/>
          <w:szCs w:val="24"/>
        </w:rPr>
        <w:t>23.本招标文件中所有加注“*”的条款为否决项，不允许出现偏离。</w:t>
      </w:r>
    </w:p>
    <w:p>
      <w:pPr>
        <w:pStyle w:val="116"/>
        <w:spacing w:line="360" w:lineRule="auto"/>
        <w:ind w:firstLine="482" w:firstLineChars="200"/>
        <w:outlineLvl w:val="2"/>
        <w:rPr>
          <w:rFonts w:eastAsia="宋体" w:cs="宋体"/>
          <w:b/>
          <w:bCs w:val="0"/>
          <w:sz w:val="24"/>
          <w:szCs w:val="24"/>
        </w:rPr>
      </w:pPr>
      <w:r>
        <w:rPr>
          <w:rFonts w:hint="eastAsia" w:eastAsia="宋体" w:cs="宋体"/>
          <w:b/>
          <w:bCs w:val="0"/>
          <w:sz w:val="24"/>
          <w:szCs w:val="24"/>
        </w:rPr>
        <w:t>三、技术要求</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1.法律、法规、技术标准要求</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双方签订的技术协议、双方会签的图纸、双方签订的会议纪要、安全规范和标准、防火规范和标准、环保规范和标准。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设备采用材质合格证明及分析报告</w:t>
      </w:r>
    </w:p>
    <w:p>
      <w:pPr>
        <w:numPr>
          <w:ilvl w:val="0"/>
          <w:numId w:val="14"/>
        </w:numPr>
        <w:spacing w:line="360" w:lineRule="auto"/>
        <w:rPr>
          <w:rFonts w:ascii="宋体" w:hAnsi="宋体" w:eastAsia="宋体" w:cs="宋体"/>
          <w:sz w:val="24"/>
          <w:szCs w:val="24"/>
        </w:rPr>
      </w:pPr>
      <w:r>
        <w:rPr>
          <w:rFonts w:hint="eastAsia" w:ascii="宋体" w:hAnsi="宋体" w:eastAsia="宋体" w:cs="宋体"/>
          <w:sz w:val="24"/>
          <w:szCs w:val="24"/>
        </w:rPr>
        <w:t>设计标准与规范</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GB/T3811-2008</w:t>
      </w:r>
      <w:r>
        <w:rPr>
          <w:rFonts w:hint="eastAsia" w:ascii="宋体" w:hAnsi="宋体" w:eastAsia="宋体" w:cs="宋体"/>
          <w:sz w:val="24"/>
          <w:szCs w:val="24"/>
        </w:rPr>
        <w:tab/>
      </w:r>
      <w:r>
        <w:rPr>
          <w:rFonts w:hint="eastAsia" w:ascii="宋体" w:hAnsi="宋体" w:eastAsia="宋体" w:cs="宋体"/>
          <w:sz w:val="24"/>
          <w:szCs w:val="24"/>
        </w:rPr>
        <w:t>《起重机设计规范》</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GB/T6067.1-2010 《起重机安全规程第l部分总则》</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GB/T6067.5-2014《起重机安全规程第5部分桥式和门式起重机》</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GB/T14405-2011《通用桥式起重机》</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GB/T5226.32-2017《机械电气安全 机械电气设备第32部分：起重机械技术条件》</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GB/T20303.1-2016《起重机司机室第l部分总则》</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GB/T20303.5-2006《起重机司机室第5部分桥式和门式起重机》</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22437.1-2018 《起重机 载荷与载荷组合的设计原则 第1部分：总则》</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35975-2018 《起重吊具 分类》</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34529-2017 《起重机和葫芦 钢丝绳、卷筒和滑轮的选择》</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34198-2017 《起重机用钢丝绳》</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5972-2016 《起重机 钢丝绳 保养、维护、检验和报废》</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23724.1-2016 《起重机 检查 第1部分：总则》</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20303.1-2016 《起重机械 检查与维护规程 第7部分：桅杆起重机》</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31052.10-2016 《起重机械 检查与维护规程 第10部分：轻小型起重设备》</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31052.1-2014 《起重机械 检查与维护规程 第1部分：总则》</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31051.1-2014《起重机 工作和非工作状态下的锚定装置 第1部分：总则》</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30222-2013 《起重机械用电力驱动起升机构能效测试方法》</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30223-2013 《起重机械用电力驱动运行机构能效测试方法》</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29562.3-2013 《起重机械用电动机能效测试方法 第3部分：锥形转子三相异步电动机》</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24818.1-2009 《起重机 通道及安全防护设施 第1部分：总则》</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24818.5-2009 《起重机 通道及安全防护设施 第5部分：桥式和门式起重机》</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22437.5-2008 《起重机 载荷与载荷组合的设计原则 第5部分：桥式和门式起重机》</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22416.1-2008</w:t>
      </w:r>
      <w:r>
        <w:rPr>
          <w:rFonts w:hint="eastAsia" w:ascii="宋体" w:hAnsi="宋体" w:eastAsia="宋体" w:cs="宋体"/>
          <w:sz w:val="24"/>
          <w:szCs w:val="24"/>
        </w:rPr>
        <w:tab/>
      </w:r>
      <w:r>
        <w:rPr>
          <w:rFonts w:hint="eastAsia" w:ascii="宋体" w:hAnsi="宋体" w:eastAsia="宋体" w:cs="宋体"/>
          <w:sz w:val="24"/>
          <w:szCs w:val="24"/>
        </w:rPr>
        <w:t>《起重机 维护 第1部分：总则》</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20863.1-2007</w:t>
      </w:r>
      <w:r>
        <w:rPr>
          <w:rFonts w:hint="eastAsia" w:ascii="宋体" w:hAnsi="宋体" w:eastAsia="宋体" w:cs="宋体"/>
          <w:sz w:val="24"/>
          <w:szCs w:val="24"/>
        </w:rPr>
        <w:tab/>
      </w:r>
      <w:r>
        <w:rPr>
          <w:rFonts w:hint="eastAsia" w:ascii="宋体" w:hAnsi="宋体" w:eastAsia="宋体" w:cs="宋体"/>
          <w:sz w:val="24"/>
          <w:szCs w:val="24"/>
        </w:rPr>
        <w:t>《起重机械 分级 第1部分：总则》</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20863.5-2007</w:t>
      </w:r>
      <w:r>
        <w:rPr>
          <w:rFonts w:hint="eastAsia" w:ascii="宋体" w:hAnsi="宋体" w:eastAsia="宋体" w:cs="宋体"/>
          <w:sz w:val="24"/>
          <w:szCs w:val="24"/>
        </w:rPr>
        <w:tab/>
      </w:r>
      <w:r>
        <w:rPr>
          <w:rFonts w:hint="eastAsia" w:ascii="宋体" w:hAnsi="宋体" w:eastAsia="宋体" w:cs="宋体"/>
          <w:sz w:val="24"/>
          <w:szCs w:val="24"/>
        </w:rPr>
        <w:t xml:space="preserve"> 《起重机 分级 第5部分: 桥式和门式起重机》</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10183-2005 《桥式和门式起重机 制造及轨道安装公差》</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18875-2002 《起重机 备件手册》</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18453-2001 《起重机 维护手册 第1部分:总则》</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17908-1999 《起重机和起重机械 技术性能和验收文件》</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 790-1995 《电动桥式起重机跨度和起升高度系列》</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GB/T25295-2010《电气设备安全设计导则》</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GB/T12602-2009</w:t>
      </w:r>
      <w:r>
        <w:rPr>
          <w:rFonts w:hint="eastAsia" w:ascii="宋体" w:hAnsi="宋体" w:eastAsia="宋体" w:cs="宋体"/>
          <w:sz w:val="24"/>
          <w:szCs w:val="24"/>
        </w:rPr>
        <w:tab/>
      </w:r>
      <w:r>
        <w:rPr>
          <w:rFonts w:hint="eastAsia" w:ascii="宋体" w:hAnsi="宋体" w:eastAsia="宋体" w:cs="宋体"/>
          <w:sz w:val="24"/>
          <w:szCs w:val="24"/>
        </w:rPr>
        <w:t>《起重机械超载保护装置》</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GB/T28264-2017《起重机械安全监控管理系统》</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GB986-1998《气焊、手工焊及气保焊焊缝坡口基本形式与尺寸》</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GB/T4942.1-2006 《旋转电机整体结构的防护等级》</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GB50052-2016</w:t>
      </w:r>
      <w:r>
        <w:rPr>
          <w:rFonts w:hint="eastAsia" w:ascii="宋体" w:hAnsi="宋体" w:eastAsia="宋体" w:cs="宋体"/>
          <w:sz w:val="24"/>
          <w:szCs w:val="24"/>
        </w:rPr>
        <w:tab/>
      </w:r>
      <w:r>
        <w:rPr>
          <w:rFonts w:hint="eastAsia" w:ascii="宋体" w:hAnsi="宋体" w:eastAsia="宋体" w:cs="宋体"/>
          <w:sz w:val="24"/>
          <w:szCs w:val="24"/>
        </w:rPr>
        <w:t>《供配电系统设计规范》</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GB50054-2011</w:t>
      </w:r>
      <w:r>
        <w:rPr>
          <w:rFonts w:hint="eastAsia" w:ascii="宋体" w:hAnsi="宋体" w:eastAsia="宋体" w:cs="宋体"/>
          <w:sz w:val="24"/>
          <w:szCs w:val="24"/>
        </w:rPr>
        <w:tab/>
      </w:r>
      <w:r>
        <w:rPr>
          <w:rFonts w:hint="eastAsia" w:ascii="宋体" w:hAnsi="宋体" w:eastAsia="宋体" w:cs="宋体"/>
          <w:sz w:val="24"/>
          <w:szCs w:val="24"/>
        </w:rPr>
        <w:t>《低压配电设计规范》</w:t>
      </w:r>
    </w:p>
    <w:p>
      <w:pPr>
        <w:numPr>
          <w:ilvl w:val="0"/>
          <w:numId w:val="15"/>
        </w:numPr>
        <w:spacing w:line="360" w:lineRule="auto"/>
        <w:rPr>
          <w:rFonts w:ascii="宋体" w:hAnsi="宋体" w:eastAsia="宋体" w:cs="宋体"/>
          <w:sz w:val="24"/>
          <w:szCs w:val="24"/>
        </w:rPr>
      </w:pPr>
      <w:r>
        <w:rPr>
          <w:rFonts w:hint="eastAsia" w:ascii="宋体" w:hAnsi="宋体" w:eastAsia="宋体" w:cs="宋体"/>
          <w:sz w:val="24"/>
          <w:szCs w:val="24"/>
        </w:rPr>
        <w:t>材料标准与规范</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GB699-88《优质碳素结构钢》</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GB700-88《碳素结构钢》</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JB/T6392-2008《起重机车轮》</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GB8918-2006《重要用途钢丝绳》</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GB1348-88《低合金结构钢》</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GBl1352-89《一般工程用铸造碳钢件》</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J8/T9003-2004《起重机用三合一减速器》</w:t>
      </w:r>
    </w:p>
    <w:p>
      <w:pPr>
        <w:numPr>
          <w:ilvl w:val="0"/>
          <w:numId w:val="16"/>
        </w:numPr>
        <w:spacing w:line="360" w:lineRule="auto"/>
        <w:rPr>
          <w:rFonts w:ascii="宋体" w:hAnsi="宋体" w:eastAsia="宋体" w:cs="宋体"/>
          <w:sz w:val="24"/>
          <w:szCs w:val="24"/>
        </w:rPr>
      </w:pPr>
      <w:r>
        <w:rPr>
          <w:rFonts w:hint="eastAsia" w:ascii="宋体" w:hAnsi="宋体" w:eastAsia="宋体" w:cs="宋体"/>
          <w:sz w:val="24"/>
          <w:szCs w:val="24"/>
        </w:rPr>
        <w:t>检验标准与规范</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GB5905-2011《起重机试验规范和规程》</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GB/T3323-2005《钢熔化焊对接头射线照相和质量分级》</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GBl1345- 2013《焊缝无损检测技术、检测等级和评定》</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GB/T8923.2-2008《涂覆涂料前钢材表面处理》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GB50278 -2010《起重设备安装工程施工及验收规范》</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GB50256-2014《电气装置安装工程起重机电气装置施工及验收规范》</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05G525《吊车轨道联结及车挡》</w:t>
      </w:r>
    </w:p>
    <w:p>
      <w:pPr>
        <w:numPr>
          <w:ilvl w:val="0"/>
          <w:numId w:val="16"/>
        </w:numPr>
        <w:spacing w:line="360" w:lineRule="auto"/>
        <w:rPr>
          <w:rFonts w:ascii="宋体" w:hAnsi="宋体" w:eastAsia="宋体" w:cs="宋体"/>
          <w:sz w:val="24"/>
          <w:szCs w:val="24"/>
        </w:rPr>
      </w:pPr>
      <w:r>
        <w:rPr>
          <w:rFonts w:hint="eastAsia" w:ascii="宋体" w:hAnsi="宋体" w:eastAsia="宋体" w:cs="宋体"/>
          <w:sz w:val="24"/>
          <w:szCs w:val="24"/>
        </w:rPr>
        <w:t>其它国家和行业相关的技术标准规范等。</w:t>
      </w:r>
    </w:p>
    <w:p>
      <w:pPr>
        <w:numPr>
          <w:ilvl w:val="0"/>
          <w:numId w:val="16"/>
        </w:numPr>
        <w:spacing w:line="360" w:lineRule="auto"/>
        <w:rPr>
          <w:rFonts w:ascii="宋体" w:hAnsi="宋体" w:eastAsia="宋体" w:cs="宋体"/>
          <w:sz w:val="24"/>
          <w:szCs w:val="24"/>
          <w:highlight w:val="yellow"/>
        </w:rPr>
      </w:pPr>
      <w:r>
        <w:rPr>
          <w:rFonts w:hint="eastAsia" w:ascii="宋体" w:hAnsi="宋体" w:eastAsia="宋体" w:cs="宋体"/>
          <w:sz w:val="24"/>
          <w:szCs w:val="24"/>
          <w:lang w:eastAsia="zh-CN"/>
        </w:rPr>
        <w:t>中标人</w:t>
      </w:r>
      <w:r>
        <w:rPr>
          <w:rFonts w:hint="eastAsia" w:ascii="宋体" w:hAnsi="宋体" w:eastAsia="宋体" w:cs="宋体"/>
          <w:sz w:val="24"/>
          <w:szCs w:val="24"/>
        </w:rPr>
        <w:t>企标高于上述标准时优先采用</w:t>
      </w:r>
      <w:r>
        <w:rPr>
          <w:rFonts w:hint="eastAsia" w:ascii="宋体" w:hAnsi="宋体" w:eastAsia="宋体" w:cs="宋体"/>
          <w:sz w:val="24"/>
          <w:szCs w:val="24"/>
          <w:lang w:eastAsia="zh-CN"/>
        </w:rPr>
        <w:t>中标人</w:t>
      </w:r>
      <w:r>
        <w:rPr>
          <w:rFonts w:hint="eastAsia" w:ascii="宋体" w:hAnsi="宋体" w:eastAsia="宋体" w:cs="宋体"/>
          <w:sz w:val="24"/>
          <w:szCs w:val="24"/>
        </w:rPr>
        <w:t>企标。</w:t>
      </w:r>
    </w:p>
    <w:p>
      <w:pPr>
        <w:pStyle w:val="36"/>
        <w:numPr>
          <w:ilvl w:val="0"/>
          <w:numId w:val="17"/>
        </w:numPr>
        <w:spacing w:before="156" w:after="156" w:line="320" w:lineRule="exact"/>
        <w:jc w:val="left"/>
        <w:rPr>
          <w:rFonts w:ascii="宋体" w:hAnsi="宋体" w:eastAsia="宋体" w:cs="宋体"/>
          <w:sz w:val="28"/>
          <w:szCs w:val="28"/>
          <w:highlight w:val="yellow"/>
        </w:rPr>
      </w:pPr>
      <w:r>
        <w:rPr>
          <w:rFonts w:hint="eastAsia" w:ascii="宋体" w:hAnsi="宋体" w:eastAsia="宋体" w:cs="宋体"/>
          <w:sz w:val="28"/>
          <w:szCs w:val="28"/>
          <w:highlight w:val="yellow"/>
        </w:rPr>
        <w:t>设备构成及主要技术说明</w:t>
      </w:r>
    </w:p>
    <w:tbl>
      <w:tblPr>
        <w:tblStyle w:val="39"/>
        <w:tblW w:w="88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0"/>
        <w:gridCol w:w="1719"/>
        <w:gridCol w:w="57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079" w:type="dxa"/>
            <w:gridSpan w:val="2"/>
            <w:vAlign w:val="center"/>
          </w:tcPr>
          <w:p>
            <w:pPr>
              <w:keepNext w:val="0"/>
              <w:keepLines w:val="0"/>
              <w:suppressLineNumbers w:val="0"/>
              <w:adjustRightInd w:val="0"/>
              <w:spacing w:before="0" w:beforeAutospacing="0" w:after="0" w:afterAutospacing="0" w:line="320" w:lineRule="exact"/>
              <w:ind w:left="0" w:right="0"/>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型式</w:t>
            </w:r>
          </w:p>
        </w:tc>
        <w:tc>
          <w:tcPr>
            <w:tcW w:w="5748" w:type="dxa"/>
            <w:vAlign w:val="center"/>
          </w:tcPr>
          <w:p>
            <w:pPr>
              <w:keepNext w:val="0"/>
              <w:keepLines w:val="0"/>
              <w:suppressLineNumbers w:val="0"/>
              <w:adjustRightInd w:val="0"/>
              <w:spacing w:before="0" w:beforeAutospacing="0" w:after="0" w:afterAutospacing="0" w:line="320" w:lineRule="exact"/>
              <w:ind w:left="0" w:right="0"/>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欧式电动单梁桥式起重机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079" w:type="dxa"/>
            <w:gridSpan w:val="2"/>
            <w:vAlign w:val="center"/>
          </w:tcPr>
          <w:p>
            <w:pPr>
              <w:keepNext w:val="0"/>
              <w:keepLines w:val="0"/>
              <w:suppressLineNumbers w:val="0"/>
              <w:adjustRightInd w:val="0"/>
              <w:spacing w:before="0" w:beforeAutospacing="0" w:after="0" w:afterAutospacing="0" w:line="320" w:lineRule="exact"/>
              <w:ind w:left="0" w:right="0" w:firstLine="317" w:firstLineChars="151"/>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跨度</w:t>
            </w:r>
          </w:p>
        </w:tc>
        <w:tc>
          <w:tcPr>
            <w:tcW w:w="5748" w:type="dxa"/>
            <w:vAlign w:val="center"/>
          </w:tcPr>
          <w:p>
            <w:pPr>
              <w:keepNext w:val="0"/>
              <w:keepLines w:val="0"/>
              <w:suppressLineNumbers w:val="0"/>
              <w:adjustRightInd w:val="0"/>
              <w:spacing w:before="0" w:beforeAutospacing="0" w:after="0" w:afterAutospacing="0" w:line="320" w:lineRule="exact"/>
              <w:ind w:left="0" w:right="0"/>
              <w:jc w:val="center"/>
              <w:textAlignment w:val="baseline"/>
              <w:rPr>
                <w:rFonts w:hint="default" w:ascii="宋体" w:hAnsi="宋体" w:cs="宋体"/>
                <w:kern w:val="0"/>
                <w:szCs w:val="21"/>
                <w:highlight w:val="yellow"/>
              </w:rPr>
            </w:pPr>
            <w:r>
              <w:rPr>
                <w:rFonts w:hint="eastAsia" w:ascii="宋体" w:hAnsi="宋体" w:cs="宋体"/>
                <w:kern w:val="0"/>
                <w:szCs w:val="21"/>
                <w:highlight w:val="yellow"/>
                <w:lang w:val="en-US" w:eastAsia="zh-CN"/>
              </w:rPr>
              <w:t>9.</w:t>
            </w:r>
            <w:r>
              <w:rPr>
                <w:rFonts w:hint="eastAsia" w:cs="Times New Roman"/>
                <w:szCs w:val="21"/>
                <w:highlight w:val="yellow"/>
                <w:lang w:val="en-US" w:eastAsia="zh-CN"/>
              </w:rPr>
              <w:t>4m</w:t>
            </w:r>
            <w:r>
              <w:rPr>
                <w:rFonts w:hint="eastAsia" w:cs="Times New Roman"/>
                <w:szCs w:val="21"/>
                <w:highlight w:val="yellow"/>
              </w:rPr>
              <w:t>(详细尺寸投标方现场测量）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079" w:type="dxa"/>
            <w:gridSpan w:val="2"/>
            <w:vAlign w:val="center"/>
          </w:tcPr>
          <w:p>
            <w:pPr>
              <w:keepNext w:val="0"/>
              <w:keepLines w:val="0"/>
              <w:suppressLineNumbers w:val="0"/>
              <w:adjustRightInd w:val="0"/>
              <w:spacing w:before="0" w:beforeAutospacing="0" w:after="0" w:afterAutospacing="0" w:line="320" w:lineRule="exact"/>
              <w:ind w:left="0" w:right="0" w:firstLine="317" w:firstLineChars="151"/>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主要用途</w:t>
            </w:r>
          </w:p>
        </w:tc>
        <w:tc>
          <w:tcPr>
            <w:tcW w:w="5748" w:type="dxa"/>
            <w:vAlign w:val="center"/>
          </w:tcPr>
          <w:p>
            <w:pPr>
              <w:keepNext w:val="0"/>
              <w:keepLines w:val="0"/>
              <w:suppressLineNumbers w:val="0"/>
              <w:adjustRightInd w:val="0"/>
              <w:spacing w:before="0" w:beforeAutospacing="0" w:after="0" w:afterAutospacing="0" w:line="320" w:lineRule="exact"/>
              <w:ind w:left="0" w:right="0"/>
              <w:jc w:val="center"/>
              <w:textAlignment w:val="baseline"/>
              <w:rPr>
                <w:rFonts w:hint="default" w:ascii="宋体" w:hAnsi="宋体" w:cs="宋体"/>
                <w:kern w:val="0"/>
                <w:szCs w:val="21"/>
                <w:highlight w:val="yellow"/>
              </w:rPr>
            </w:pPr>
            <w:r>
              <w:rPr>
                <w:rFonts w:hint="eastAsia"/>
                <w:szCs w:val="21"/>
                <w:highlight w:val="yellow"/>
              </w:rPr>
              <w:t>用于</w:t>
            </w:r>
            <w:r>
              <w:rPr>
                <w:rFonts w:hint="eastAsia"/>
                <w:szCs w:val="21"/>
                <w:highlight w:val="yellow"/>
                <w:lang w:val="en-US" w:eastAsia="zh-CN"/>
              </w:rPr>
              <w:t>后背电池</w:t>
            </w:r>
            <w:r>
              <w:rPr>
                <w:rFonts w:hint="eastAsia"/>
                <w:szCs w:val="21"/>
                <w:highlight w:val="yellow"/>
              </w:rPr>
              <w:t>吊运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079" w:type="dxa"/>
            <w:gridSpan w:val="2"/>
            <w:vAlign w:val="center"/>
          </w:tcPr>
          <w:p>
            <w:pPr>
              <w:keepNext w:val="0"/>
              <w:keepLines w:val="0"/>
              <w:suppressLineNumbers w:val="0"/>
              <w:adjustRightInd w:val="0"/>
              <w:spacing w:before="0" w:beforeAutospacing="0" w:after="0" w:afterAutospacing="0" w:line="320" w:lineRule="exact"/>
              <w:ind w:left="0" w:right="0" w:firstLine="317" w:firstLineChars="151"/>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起重量</w:t>
            </w:r>
          </w:p>
        </w:tc>
        <w:tc>
          <w:tcPr>
            <w:tcW w:w="5748" w:type="dxa"/>
            <w:vAlign w:val="center"/>
          </w:tcPr>
          <w:p>
            <w:pPr>
              <w:keepNext w:val="0"/>
              <w:keepLines w:val="0"/>
              <w:suppressLineNumbers w:val="0"/>
              <w:adjustRightInd w:val="0"/>
              <w:spacing w:before="0" w:beforeAutospacing="0" w:after="0" w:afterAutospacing="0" w:line="320" w:lineRule="exact"/>
              <w:ind w:left="0" w:right="0"/>
              <w:jc w:val="center"/>
              <w:textAlignment w:val="baseline"/>
              <w:rPr>
                <w:rFonts w:hint="eastAsia" w:ascii="宋体" w:hAnsi="宋体" w:eastAsia="等线" w:cs="宋体"/>
                <w:kern w:val="0"/>
                <w:szCs w:val="21"/>
                <w:highlight w:val="yellow"/>
                <w:lang w:val="en-US" w:eastAsia="zh-CN"/>
              </w:rPr>
            </w:pPr>
            <w:r>
              <w:rPr>
                <w:rFonts w:hint="default" w:ascii="宋体" w:hAnsi="宋体" w:cs="宋体"/>
                <w:kern w:val="0"/>
                <w:szCs w:val="21"/>
                <w:highlight w:val="yellow"/>
              </w:rPr>
              <w:t>10</w:t>
            </w:r>
            <w:r>
              <w:rPr>
                <w:rFonts w:hint="eastAsia" w:ascii="宋体" w:hAnsi="宋体" w:cs="宋体"/>
                <w:kern w:val="0"/>
                <w:szCs w:val="21"/>
                <w:highlight w:val="yellow"/>
                <w:lang w:val="en-US" w:eastAsia="zh-CN"/>
              </w:rPr>
              <w:t>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079" w:type="dxa"/>
            <w:gridSpan w:val="2"/>
            <w:vAlign w:val="center"/>
          </w:tcPr>
          <w:p>
            <w:pPr>
              <w:keepNext w:val="0"/>
              <w:keepLines w:val="0"/>
              <w:suppressLineNumbers w:val="0"/>
              <w:adjustRightInd w:val="0"/>
              <w:spacing w:before="0" w:beforeAutospacing="0" w:after="0" w:afterAutospacing="0" w:line="320" w:lineRule="exact"/>
              <w:ind w:left="0" w:right="0" w:firstLine="317" w:firstLineChars="151"/>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设备数量（台）</w:t>
            </w:r>
          </w:p>
        </w:tc>
        <w:tc>
          <w:tcPr>
            <w:tcW w:w="5748" w:type="dxa"/>
            <w:vAlign w:val="center"/>
          </w:tcPr>
          <w:p>
            <w:pPr>
              <w:keepNext w:val="0"/>
              <w:keepLines w:val="0"/>
              <w:suppressLineNumbers w:val="0"/>
              <w:adjustRightInd w:val="0"/>
              <w:spacing w:before="0" w:beforeAutospacing="0" w:after="0" w:afterAutospacing="0" w:line="320" w:lineRule="exact"/>
              <w:ind w:left="0" w:right="0"/>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079" w:type="dxa"/>
            <w:gridSpan w:val="2"/>
            <w:vAlign w:val="center"/>
          </w:tcPr>
          <w:p>
            <w:pPr>
              <w:keepNext w:val="0"/>
              <w:keepLines w:val="0"/>
              <w:suppressLineNumbers w:val="0"/>
              <w:adjustRightInd w:val="0"/>
              <w:spacing w:before="0" w:beforeAutospacing="0" w:after="0" w:afterAutospacing="0" w:line="320" w:lineRule="exact"/>
              <w:ind w:left="0" w:right="0" w:firstLine="317" w:firstLineChars="151"/>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工作级别</w:t>
            </w:r>
          </w:p>
        </w:tc>
        <w:tc>
          <w:tcPr>
            <w:tcW w:w="5748" w:type="dxa"/>
            <w:vAlign w:val="center"/>
          </w:tcPr>
          <w:p>
            <w:pPr>
              <w:keepNext w:val="0"/>
              <w:keepLines w:val="0"/>
              <w:suppressLineNumbers w:val="0"/>
              <w:adjustRightInd w:val="0"/>
              <w:spacing w:before="0" w:beforeAutospacing="0" w:after="0" w:afterAutospacing="0" w:line="320" w:lineRule="exact"/>
              <w:ind w:left="0" w:right="0"/>
              <w:jc w:val="center"/>
              <w:textAlignment w:val="baseline"/>
              <w:rPr>
                <w:rFonts w:hint="eastAsia" w:ascii="宋体" w:hAnsi="宋体" w:cs="宋体"/>
                <w:kern w:val="0"/>
                <w:szCs w:val="21"/>
                <w:highlight w:val="yellow"/>
              </w:rPr>
            </w:pPr>
            <w:r>
              <w:rPr>
                <w:rFonts w:hint="eastAsia" w:ascii="宋体" w:hAnsi="宋体" w:cs="宋体"/>
                <w:kern w:val="0"/>
                <w:szCs w:val="21"/>
                <w:highlight w:val="yellow"/>
              </w:rPr>
              <w:t>A5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079" w:type="dxa"/>
            <w:gridSpan w:val="2"/>
            <w:vAlign w:val="center"/>
          </w:tcPr>
          <w:p>
            <w:pPr>
              <w:keepNext w:val="0"/>
              <w:keepLines w:val="0"/>
              <w:suppressLineNumbers w:val="0"/>
              <w:adjustRightInd w:val="0"/>
              <w:spacing w:before="0" w:beforeAutospacing="0" w:after="0" w:afterAutospacing="0" w:line="320" w:lineRule="exact"/>
              <w:ind w:left="0" w:right="0" w:firstLine="317" w:firstLineChars="151"/>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最大起升高度（m）</w:t>
            </w:r>
          </w:p>
        </w:tc>
        <w:tc>
          <w:tcPr>
            <w:tcW w:w="5748" w:type="dxa"/>
            <w:vAlign w:val="center"/>
          </w:tcPr>
          <w:p>
            <w:pPr>
              <w:keepNext w:val="0"/>
              <w:keepLines w:val="0"/>
              <w:suppressLineNumbers w:val="0"/>
              <w:adjustRightInd w:val="0"/>
              <w:spacing w:before="0" w:beforeAutospacing="0" w:after="0" w:afterAutospacing="0" w:line="320" w:lineRule="exact"/>
              <w:ind w:left="0" w:right="0"/>
              <w:jc w:val="center"/>
              <w:textAlignment w:val="baseline"/>
              <w:rPr>
                <w:rFonts w:hint="default" w:ascii="宋体" w:hAnsi="宋体" w:cs="宋体"/>
                <w:kern w:val="0"/>
                <w:szCs w:val="21"/>
                <w:highlight w:val="yellow"/>
                <w:lang w:val="en-US"/>
              </w:rPr>
            </w:pPr>
            <w:r>
              <w:rPr>
                <w:rFonts w:hint="eastAsia" w:ascii="宋体" w:hAnsi="宋体" w:cs="宋体"/>
                <w:kern w:val="0"/>
                <w:szCs w:val="21"/>
                <w:highlight w:val="yellow"/>
                <w:lang w:val="en-US" w:eastAsia="zh-CN"/>
              </w:rPr>
              <w:t>≥6m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360" w:type="dxa"/>
            <w:vMerge w:val="restart"/>
            <w:vAlign w:val="center"/>
          </w:tcPr>
          <w:p>
            <w:pPr>
              <w:keepNext w:val="0"/>
              <w:keepLines w:val="0"/>
              <w:suppressLineNumbers w:val="0"/>
              <w:adjustRightInd w:val="0"/>
              <w:spacing w:before="0" w:beforeAutospacing="0" w:after="0" w:afterAutospacing="0" w:line="320" w:lineRule="exact"/>
              <w:ind w:left="0" w:right="0" w:firstLine="317" w:firstLineChars="151"/>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速度（m/min）</w:t>
            </w:r>
          </w:p>
        </w:tc>
        <w:tc>
          <w:tcPr>
            <w:tcW w:w="1719" w:type="dxa"/>
            <w:vAlign w:val="center"/>
          </w:tcPr>
          <w:p>
            <w:pPr>
              <w:keepNext w:val="0"/>
              <w:keepLines w:val="0"/>
              <w:suppressLineNumbers w:val="0"/>
              <w:adjustRightInd w:val="0"/>
              <w:spacing w:before="0" w:beforeAutospacing="0" w:after="0" w:afterAutospacing="0" w:line="320" w:lineRule="exact"/>
              <w:ind w:left="0" w:right="0"/>
              <w:textAlignment w:val="baseline"/>
              <w:rPr>
                <w:rFonts w:hint="default" w:ascii="宋体" w:hAnsi="宋体" w:cs="宋体"/>
                <w:kern w:val="0"/>
                <w:szCs w:val="21"/>
                <w:highlight w:val="yellow"/>
              </w:rPr>
            </w:pPr>
            <w:r>
              <w:rPr>
                <w:rFonts w:hint="eastAsia" w:ascii="宋体" w:hAnsi="宋体" w:cs="宋体"/>
                <w:kern w:val="0"/>
                <w:szCs w:val="21"/>
                <w:highlight w:val="yellow"/>
              </w:rPr>
              <w:t>大车运行</w:t>
            </w:r>
          </w:p>
        </w:tc>
        <w:tc>
          <w:tcPr>
            <w:tcW w:w="5748" w:type="dxa"/>
            <w:vAlign w:val="center"/>
          </w:tcPr>
          <w:p>
            <w:pPr>
              <w:keepNext w:val="0"/>
              <w:keepLines w:val="0"/>
              <w:suppressLineNumbers w:val="0"/>
              <w:adjustRightInd w:val="0"/>
              <w:spacing w:before="0" w:beforeAutospacing="0" w:after="0" w:afterAutospacing="0" w:line="320" w:lineRule="exact"/>
              <w:ind w:left="0" w:right="0"/>
              <w:jc w:val="center"/>
              <w:textAlignment w:val="baseline"/>
              <w:rPr>
                <w:rFonts w:hint="eastAsia" w:ascii="宋体" w:hAnsi="宋体" w:cs="宋体"/>
                <w:kern w:val="0"/>
                <w:szCs w:val="21"/>
                <w:highlight w:val="yellow"/>
              </w:rPr>
            </w:pPr>
            <w:r>
              <w:rPr>
                <w:rFonts w:hint="eastAsia" w:ascii="宋体" w:hAnsi="宋体" w:cs="宋体"/>
                <w:kern w:val="0"/>
                <w:szCs w:val="21"/>
                <w:highlight w:val="yellow"/>
              </w:rPr>
              <w:t>0~20m/min变频调速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360" w:type="dxa"/>
            <w:vMerge w:val="continue"/>
            <w:vAlign w:val="center"/>
          </w:tcPr>
          <w:p>
            <w:pPr>
              <w:keepNext w:val="0"/>
              <w:keepLines w:val="0"/>
              <w:suppressLineNumbers w:val="0"/>
              <w:adjustRightInd w:val="0"/>
              <w:spacing w:before="0" w:beforeAutospacing="0" w:after="0" w:afterAutospacing="0" w:line="320" w:lineRule="exact"/>
              <w:ind w:left="0" w:right="0" w:firstLine="317" w:firstLineChars="151"/>
              <w:jc w:val="center"/>
              <w:textAlignment w:val="baseline"/>
              <w:rPr>
                <w:rFonts w:hint="default" w:ascii="宋体" w:hAnsi="宋体" w:cs="宋体"/>
                <w:kern w:val="0"/>
                <w:szCs w:val="21"/>
                <w:highlight w:val="yellow"/>
              </w:rPr>
            </w:pPr>
          </w:p>
        </w:tc>
        <w:tc>
          <w:tcPr>
            <w:tcW w:w="1719" w:type="dxa"/>
            <w:vAlign w:val="center"/>
          </w:tcPr>
          <w:p>
            <w:pPr>
              <w:keepNext w:val="0"/>
              <w:keepLines w:val="0"/>
              <w:suppressLineNumbers w:val="0"/>
              <w:adjustRightInd w:val="0"/>
              <w:spacing w:before="0" w:beforeAutospacing="0" w:after="0" w:afterAutospacing="0" w:line="320" w:lineRule="exact"/>
              <w:ind w:left="0" w:right="0"/>
              <w:textAlignment w:val="baseline"/>
              <w:rPr>
                <w:rFonts w:hint="default" w:ascii="宋体" w:hAnsi="宋体" w:cs="宋体"/>
                <w:kern w:val="0"/>
                <w:szCs w:val="21"/>
                <w:highlight w:val="yellow"/>
              </w:rPr>
            </w:pPr>
            <w:r>
              <w:rPr>
                <w:rFonts w:hint="eastAsia" w:ascii="宋体" w:hAnsi="宋体" w:cs="宋体"/>
                <w:kern w:val="0"/>
                <w:szCs w:val="21"/>
                <w:highlight w:val="yellow"/>
              </w:rPr>
              <w:t>起升</w:t>
            </w:r>
          </w:p>
          <w:p>
            <w:pPr>
              <w:keepNext w:val="0"/>
              <w:keepLines w:val="0"/>
              <w:suppressLineNumbers w:val="0"/>
              <w:adjustRightInd w:val="0"/>
              <w:spacing w:before="0" w:beforeAutospacing="0" w:after="0" w:afterAutospacing="0" w:line="320" w:lineRule="exact"/>
              <w:ind w:left="0" w:right="0"/>
              <w:jc w:val="center"/>
              <w:textAlignment w:val="baseline"/>
              <w:rPr>
                <w:rFonts w:hint="default" w:ascii="宋体" w:hAnsi="宋体" w:cs="宋体"/>
                <w:kern w:val="0"/>
                <w:szCs w:val="21"/>
                <w:highlight w:val="yellow"/>
              </w:rPr>
            </w:pPr>
            <w:r>
              <w:rPr>
                <w:rFonts w:hint="default" w:ascii="宋体" w:hAnsi="宋体" w:cs="宋体"/>
                <w:kern w:val="0"/>
                <w:szCs w:val="21"/>
                <w:highlight w:val="yellow"/>
              </w:rPr>
              <w:t>主</w:t>
            </w:r>
          </w:p>
        </w:tc>
        <w:tc>
          <w:tcPr>
            <w:tcW w:w="5748" w:type="dxa"/>
            <w:vAlign w:val="center"/>
          </w:tcPr>
          <w:p>
            <w:pPr>
              <w:keepNext w:val="0"/>
              <w:keepLines w:val="0"/>
              <w:suppressLineNumbers w:val="0"/>
              <w:adjustRightInd w:val="0"/>
              <w:spacing w:before="0" w:beforeAutospacing="0" w:after="0" w:afterAutospacing="0" w:line="320" w:lineRule="exact"/>
              <w:ind w:left="0" w:right="0"/>
              <w:jc w:val="center"/>
              <w:textAlignment w:val="baseline"/>
              <w:rPr>
                <w:rFonts w:hint="eastAsia" w:ascii="宋体" w:hAnsi="宋体" w:cs="宋体"/>
                <w:kern w:val="0"/>
                <w:szCs w:val="21"/>
                <w:highlight w:val="yellow"/>
              </w:rPr>
            </w:pPr>
            <w:r>
              <w:rPr>
                <w:rFonts w:hint="eastAsia" w:ascii="宋体" w:hAnsi="宋体" w:cs="宋体"/>
                <w:kern w:val="0"/>
                <w:szCs w:val="21"/>
                <w:highlight w:val="yellow"/>
              </w:rPr>
              <w:t>0.5~5m/min变频调速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360" w:type="dxa"/>
            <w:vMerge w:val="continue"/>
            <w:vAlign w:val="center"/>
          </w:tcPr>
          <w:p>
            <w:pPr>
              <w:keepNext w:val="0"/>
              <w:keepLines w:val="0"/>
              <w:suppressLineNumbers w:val="0"/>
              <w:adjustRightInd w:val="0"/>
              <w:spacing w:before="0" w:beforeAutospacing="0" w:after="0" w:afterAutospacing="0" w:line="320" w:lineRule="exact"/>
              <w:ind w:left="0" w:right="0" w:firstLine="317" w:firstLineChars="151"/>
              <w:jc w:val="center"/>
              <w:textAlignment w:val="baseline"/>
              <w:rPr>
                <w:rFonts w:hint="default" w:ascii="宋体" w:hAnsi="宋体" w:cs="宋体"/>
                <w:kern w:val="0"/>
                <w:szCs w:val="21"/>
                <w:highlight w:val="yellow"/>
              </w:rPr>
            </w:pPr>
          </w:p>
        </w:tc>
        <w:tc>
          <w:tcPr>
            <w:tcW w:w="1719" w:type="dxa"/>
            <w:vAlign w:val="center"/>
          </w:tcPr>
          <w:p>
            <w:pPr>
              <w:keepNext w:val="0"/>
              <w:keepLines w:val="0"/>
              <w:suppressLineNumbers w:val="0"/>
              <w:adjustRightInd w:val="0"/>
              <w:spacing w:before="0" w:beforeAutospacing="0" w:after="0" w:afterAutospacing="0" w:line="320" w:lineRule="exact"/>
              <w:ind w:left="0" w:right="0"/>
              <w:textAlignment w:val="baseline"/>
              <w:rPr>
                <w:rFonts w:hint="default" w:ascii="宋体" w:hAnsi="宋体" w:cs="宋体"/>
                <w:kern w:val="0"/>
                <w:szCs w:val="21"/>
                <w:highlight w:val="yellow"/>
              </w:rPr>
            </w:pPr>
            <w:r>
              <w:rPr>
                <w:rFonts w:hint="eastAsia" w:ascii="宋体" w:hAnsi="宋体" w:cs="宋体"/>
                <w:kern w:val="0"/>
                <w:szCs w:val="21"/>
                <w:highlight w:val="yellow"/>
              </w:rPr>
              <w:t>小车运行</w:t>
            </w:r>
          </w:p>
        </w:tc>
        <w:tc>
          <w:tcPr>
            <w:tcW w:w="5748" w:type="dxa"/>
            <w:vAlign w:val="center"/>
          </w:tcPr>
          <w:p>
            <w:pPr>
              <w:keepNext w:val="0"/>
              <w:keepLines w:val="0"/>
              <w:suppressLineNumbers w:val="0"/>
              <w:adjustRightInd w:val="0"/>
              <w:spacing w:before="0" w:beforeAutospacing="0" w:after="0" w:afterAutospacing="0" w:line="320" w:lineRule="exact"/>
              <w:ind w:left="0" w:right="0"/>
              <w:jc w:val="center"/>
              <w:textAlignment w:val="baseline"/>
              <w:rPr>
                <w:rFonts w:hint="eastAsia" w:ascii="宋体" w:hAnsi="宋体" w:cs="宋体"/>
                <w:kern w:val="0"/>
                <w:szCs w:val="21"/>
                <w:highlight w:val="yellow"/>
              </w:rPr>
            </w:pPr>
            <w:r>
              <w:rPr>
                <w:rFonts w:hint="eastAsia" w:ascii="宋体" w:hAnsi="宋体" w:cs="宋体"/>
                <w:kern w:val="0"/>
                <w:szCs w:val="21"/>
                <w:highlight w:val="yellow"/>
              </w:rPr>
              <w:t>0~20m/min变频调速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079" w:type="dxa"/>
            <w:gridSpan w:val="2"/>
            <w:vAlign w:val="center"/>
          </w:tcPr>
          <w:p>
            <w:pPr>
              <w:keepNext w:val="0"/>
              <w:keepLines w:val="0"/>
              <w:suppressLineNumbers w:val="0"/>
              <w:adjustRightInd w:val="0"/>
              <w:spacing w:before="0" w:beforeAutospacing="0" w:after="0" w:afterAutospacing="0" w:line="320" w:lineRule="exact"/>
              <w:ind w:left="0" w:right="0" w:firstLine="1155" w:firstLineChars="550"/>
              <w:jc w:val="left"/>
              <w:textAlignment w:val="baseline"/>
              <w:rPr>
                <w:rFonts w:hint="default" w:ascii="宋体" w:hAnsi="宋体" w:cs="宋体"/>
                <w:kern w:val="0"/>
                <w:szCs w:val="21"/>
                <w:highlight w:val="yellow"/>
              </w:rPr>
            </w:pPr>
            <w:r>
              <w:rPr>
                <w:rFonts w:hint="eastAsia" w:ascii="宋体" w:hAnsi="宋体" w:cs="宋体"/>
                <w:kern w:val="0"/>
                <w:szCs w:val="21"/>
                <w:highlight w:val="yellow"/>
              </w:rPr>
              <w:t>荐用钢轨</w:t>
            </w:r>
          </w:p>
        </w:tc>
        <w:tc>
          <w:tcPr>
            <w:tcW w:w="5748" w:type="dxa"/>
            <w:vAlign w:val="center"/>
          </w:tcPr>
          <w:p>
            <w:pPr>
              <w:keepNext w:val="0"/>
              <w:keepLines w:val="0"/>
              <w:suppressLineNumbers w:val="0"/>
              <w:adjustRightInd w:val="0"/>
              <w:spacing w:before="0" w:beforeAutospacing="0" w:after="0" w:afterAutospacing="0" w:line="320" w:lineRule="exact"/>
              <w:ind w:left="0" w:right="0"/>
              <w:jc w:val="center"/>
              <w:textAlignment w:val="baseline"/>
              <w:rPr>
                <w:rFonts w:hint="eastAsia" w:ascii="宋体" w:hAnsi="宋体" w:cs="宋体"/>
                <w:kern w:val="0"/>
                <w:szCs w:val="21"/>
                <w:highlight w:val="yellow"/>
              </w:rPr>
            </w:pPr>
            <w:r>
              <w:rPr>
                <w:rFonts w:hint="eastAsia" w:ascii="宋体" w:hAnsi="宋体" w:cs="宋体"/>
                <w:kern w:val="0"/>
                <w:szCs w:val="21"/>
                <w:highlight w:val="yellow"/>
              </w:rPr>
              <w:t>P43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079" w:type="dxa"/>
            <w:gridSpan w:val="2"/>
            <w:vAlign w:val="center"/>
          </w:tcPr>
          <w:p>
            <w:pPr>
              <w:keepNext w:val="0"/>
              <w:keepLines w:val="0"/>
              <w:suppressLineNumbers w:val="0"/>
              <w:adjustRightInd w:val="0"/>
              <w:spacing w:before="0" w:beforeAutospacing="0" w:after="0" w:afterAutospacing="0" w:line="320" w:lineRule="exact"/>
              <w:ind w:left="0" w:right="0" w:firstLine="1155" w:firstLineChars="550"/>
              <w:jc w:val="left"/>
              <w:textAlignment w:val="baseline"/>
              <w:rPr>
                <w:rFonts w:hint="default" w:ascii="宋体" w:hAnsi="宋体" w:cs="宋体"/>
                <w:kern w:val="0"/>
                <w:szCs w:val="21"/>
                <w:highlight w:val="yellow"/>
              </w:rPr>
            </w:pPr>
            <w:r>
              <w:rPr>
                <w:rFonts w:hint="eastAsia" w:ascii="宋体" w:hAnsi="宋体" w:cs="宋体"/>
                <w:kern w:val="0"/>
                <w:szCs w:val="21"/>
                <w:highlight w:val="yellow"/>
              </w:rPr>
              <w:t>轮压</w:t>
            </w:r>
          </w:p>
        </w:tc>
        <w:tc>
          <w:tcPr>
            <w:tcW w:w="5748" w:type="dxa"/>
            <w:vAlign w:val="center"/>
          </w:tcPr>
          <w:p>
            <w:pPr>
              <w:keepNext w:val="0"/>
              <w:keepLines w:val="0"/>
              <w:suppressLineNumbers w:val="0"/>
              <w:adjustRightInd w:val="0"/>
              <w:spacing w:before="0" w:beforeAutospacing="0" w:after="0" w:afterAutospacing="0" w:line="320" w:lineRule="exact"/>
              <w:ind w:left="0" w:right="0"/>
              <w:jc w:val="center"/>
              <w:textAlignment w:val="baseline"/>
              <w:rPr>
                <w:rFonts w:hint="eastAsia" w:ascii="宋体" w:hAnsi="宋体" w:cs="宋体"/>
                <w:kern w:val="0"/>
                <w:szCs w:val="21"/>
                <w:highlight w:val="yellow"/>
              </w:rPr>
            </w:pPr>
            <w:r>
              <w:rPr>
                <w:rFonts w:hint="eastAsia" w:ascii="宋体" w:hAnsi="宋体" w:cs="宋体"/>
                <w:kern w:val="0"/>
                <w:szCs w:val="21"/>
                <w:highlight w:val="yellow"/>
              </w:rPr>
              <w:t>≤68KN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079" w:type="dxa"/>
            <w:gridSpan w:val="2"/>
            <w:vAlign w:val="center"/>
          </w:tcPr>
          <w:p>
            <w:pPr>
              <w:keepNext w:val="0"/>
              <w:keepLines w:val="0"/>
              <w:suppressLineNumbers w:val="0"/>
              <w:adjustRightInd w:val="0"/>
              <w:spacing w:before="0" w:beforeAutospacing="0" w:after="0" w:afterAutospacing="0" w:line="320" w:lineRule="exact"/>
              <w:ind w:left="0" w:right="0" w:firstLine="317" w:firstLineChars="151"/>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操作方式</w:t>
            </w:r>
          </w:p>
        </w:tc>
        <w:tc>
          <w:tcPr>
            <w:tcW w:w="5748" w:type="dxa"/>
            <w:vAlign w:val="center"/>
          </w:tcPr>
          <w:p>
            <w:pPr>
              <w:keepNext w:val="0"/>
              <w:keepLines w:val="0"/>
              <w:suppressLineNumbers w:val="0"/>
              <w:adjustRightInd w:val="0"/>
              <w:spacing w:before="0" w:beforeAutospacing="0" w:after="0" w:afterAutospacing="0" w:line="320" w:lineRule="exact"/>
              <w:ind w:left="0" w:right="0"/>
              <w:jc w:val="center"/>
              <w:textAlignment w:val="baseline"/>
              <w:rPr>
                <w:rFonts w:hint="eastAsia" w:ascii="宋体" w:hAnsi="宋体" w:cs="宋体"/>
                <w:kern w:val="0"/>
                <w:szCs w:val="21"/>
                <w:highlight w:val="yellow"/>
              </w:rPr>
            </w:pPr>
            <w:r>
              <w:rPr>
                <w:rFonts w:hint="eastAsia" w:ascii="宋体" w:hAnsi="宋体" w:cs="宋体"/>
                <w:kern w:val="0"/>
                <w:szCs w:val="21"/>
                <w:highlight w:val="yellow"/>
                <w:lang w:val="en-US" w:eastAsia="zh-CN"/>
              </w:rPr>
              <w:t>无线遥控+备用手操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079" w:type="dxa"/>
            <w:gridSpan w:val="2"/>
            <w:vAlign w:val="center"/>
          </w:tcPr>
          <w:p>
            <w:pPr>
              <w:keepNext w:val="0"/>
              <w:keepLines w:val="0"/>
              <w:suppressLineNumbers w:val="0"/>
              <w:adjustRightInd w:val="0"/>
              <w:spacing w:before="0" w:beforeAutospacing="0" w:after="0" w:afterAutospacing="0" w:line="320" w:lineRule="exact"/>
              <w:ind w:left="0" w:right="0" w:firstLine="317" w:firstLineChars="151"/>
              <w:jc w:val="center"/>
              <w:textAlignment w:val="baseline"/>
              <w:rPr>
                <w:rFonts w:hint="default" w:ascii="宋体" w:hAnsi="宋体" w:cs="宋体"/>
                <w:kern w:val="0"/>
                <w:szCs w:val="21"/>
                <w:highlight w:val="yellow"/>
              </w:rPr>
            </w:pPr>
            <w:r>
              <w:rPr>
                <w:rFonts w:hint="eastAsia" w:ascii="宋体" w:hAnsi="宋体" w:cs="宋体"/>
                <w:kern w:val="0"/>
                <w:szCs w:val="21"/>
                <w:highlight w:val="yellow"/>
              </w:rPr>
              <w:t>电源</w:t>
            </w:r>
          </w:p>
        </w:tc>
        <w:tc>
          <w:tcPr>
            <w:tcW w:w="5748" w:type="dxa"/>
            <w:vAlign w:val="center"/>
          </w:tcPr>
          <w:p>
            <w:pPr>
              <w:keepNext w:val="0"/>
              <w:keepLines w:val="0"/>
              <w:suppressLineNumbers w:val="0"/>
              <w:adjustRightInd w:val="0"/>
              <w:spacing w:before="0" w:beforeAutospacing="0" w:after="0" w:afterAutospacing="0" w:line="320" w:lineRule="exact"/>
              <w:ind w:left="0" w:right="0"/>
              <w:jc w:val="center"/>
              <w:textAlignment w:val="baseline"/>
              <w:rPr>
                <w:rFonts w:hint="eastAsia" w:ascii="宋体" w:hAnsi="宋体" w:cs="宋体"/>
                <w:kern w:val="0"/>
                <w:szCs w:val="21"/>
                <w:highlight w:val="yellow"/>
              </w:rPr>
            </w:pPr>
            <w:r>
              <w:rPr>
                <w:rFonts w:hint="eastAsia" w:ascii="宋体" w:hAnsi="宋体" w:cs="宋体"/>
                <w:kern w:val="0"/>
                <w:szCs w:val="21"/>
                <w:highlight w:val="yellow"/>
              </w:rPr>
              <w:t>三相交流 AC 50Hz 380V</w:t>
            </w:r>
          </w:p>
        </w:tc>
      </w:tr>
    </w:tbl>
    <w:p>
      <w:pPr>
        <w:rPr>
          <w:highlight w:val="yellow"/>
        </w:rPr>
      </w:pP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2.1设备性能要求</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2.1.1 起重机的设计与制造须运行安全、设计先进、结构合理、操作简单、维修方便，其总体技术水平达到当今国内外同类产品的先进水平。</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2.1.2起重机的钢结构、机械系统、电气系统和安全保护装置要符合或高于现行国家有关规范和标准。</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2.1.3起重机有足够的强度、刚度、稳定性和抗倾覆性，各机构能安全可靠地运行，震动、噪声、环保均符合现行有关标准的要求，消防和安全均符合ISO国际标准或国家标准；</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2.1.4起重机须把充分满足使用方的要求作为最重要的追求目标；</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2.1.5起重机的设计图纸和技术文件的制图方法、尺寸、公差配合、符号等都应采用公制体系，并符合ISO现行有关标准或中国现行有关国家标准的规定；</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2.1.6起重机钢结构设计合理、结构优化、符合规范和标准，满足强度、刚度和稳定性的要求，设计中应充分考虑现场的工作环境；钢结构的设计必须考虑到制造、检查、运输、安装和维护的方便与可靠性。在满足需求和有关现行规范标准条件下，通过优化设计，最大限度地降低钢结构的重量；</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所有钢结构件对接焊缝按照国家标准（钢结构超声波探伤标准GB/T3323-2005）进行探伤并且焊接后都要经过抛丸2.5Sa预处理，以达到消除焊接应力和除锈除氧化皮的目的，保证焊接质量；</w:t>
      </w:r>
    </w:p>
    <w:p>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起重机的钢结构主要由主梁、端梁等组成；主梁与端梁所有链接采用10.9级高强度镀锌螺栓连接，安全性好，强度高，确保整机精度和运行平稳。</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 结构要求</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2.2.1主梁部分</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主梁为箱型梁结构；</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主梁上拱度、水平方向的弯曲要符合国家相关标准；</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主梁由钢板焊接成型，钢板材料必须符合国家的相应规范，刚度满足国家标准要求，主要钢结构材料应具有良好的焊接工艺性，主要钢结构材料采用不低于Q235B，使用的材料具有材质报告及相应的合格证书；</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所有钢结构件在喷漆前必须经过表面抛丸Sa2.5预处理以达到消除焊接应力和除锈除氧化皮的目的；并且对接焊缝按照国家标准（钢结构超声波探伤标准GB/T3323-2005）进行探伤；</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2.2.2端梁部分</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端梁材质：中国国家标准不低于Q345B；</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端梁为矩形钢管或钢板焊接成型，成型后的端梁在数控机床一次定位加工；</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每个端梁配有双轮缘的车轮、缓冲器和防脱轨保护装置；</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2.2.3起重机机械部分</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起重机机械系统主要由起升机构、大车及小车行走机构等主要机械机构组成；起重机机械系统所用的零部件，如齿轮箱、制动器、卷筒、轮、滑轮、吊钩、轴承等都必须按起重机规范和相应标准设计制造。所有旋转轴、联节器、齿轮和其它旋转部件均须有安全防护，防护罩的设计应能使人容易接近润滑油脂加注点、油位计和其它检查点，以便操作人员能够没有危险的或者不需拆除防护体的任何部分情况下，就可进行日常观察、维修。</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起重机各部安全联锁和限位装置、缓冲器、制动器、安全护栏、吊钩防脱钩等齐全，安全可靠。</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上升极限位置限位器：起升机构设置上升极限位置限位器，保证吊具起升到极限位置时，自动切断起升装置的动力电源，通过安全报警系统发出信号；起升设置上升双限位。</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下降极限位置限位器：保证吊钩下降到极限位置时，自动切断下降装置的动力电源，使钢丝绳在卷筒上缠绕圈数不少于国家规范所规定的圈数；</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防碰撞机构：起重机设置两套限位机械限位与光电防碰撞装置，；</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2.2.4起升机构</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电动葫芦：采用国内知名品牌。</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单梁桥式起重机起升机构为欧式开放卷扬机构；</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起升机构钢丝绳应采用符合国际和中国现行有关标准的产品，所有钢丝绳采用高强度钢丝绳，要求破断力大，寿命长，自润滑，免维护性能好；</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起升电机：防护等级IP55，F级绝缘；接电持续率60%；有过热保护，风冷式；电机外壳由铝合金冲压成型或压铸成型壳体。</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减速箱：完全密封紧凑型齿轮箱，硬齿面（HRC60）、经过研磨处理；采用半油脂润滑，免维护；</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限位开关：起升机构设置双限位</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卷筒：卷筒直径和钢丝绳直径比值符合国家标准，增强钢丝绳寿命，重物放置偏移小；钢丝绳用绳夹固定，至少有3 圈钢丝绳固定安全圈。主副钩电机接电持续率60%。</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在吊钩放在最低端，至少留有2圈钢丝绳余量（不含压绳圈）；重级工作制轴承(机构工作级别大于等于M6)，轴承为国内外知名厂家产品；卷筒由无缝钢管制成，并加工出绳槽。</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吊钩：吊钩组由吊钩和滑轮等组成。采用抗磨滚子轴承，轴承为国内外知名厂家产品；吊钩可以 360°旋转，配备弹簧压紧的安全扣可以防止滑脱；依据标准 DIN17200，吊钩锻件为调质钢 34CrMoV。</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2.2.5大车、小车行走机构</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2.2.5.1驱动结构形式：三合一结构；大、小车：电机防护等级为IP55、绝缘等级为F 级。电机调速为变频器调速，变频器采用起重机专用变频器。</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2.2.5.2 减速机为硬齿面减速机，其齿轮、齿轮轴为锻制，齿面硬度55HRC左右。</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2.2.5.3 制动器为电磁盘式制动器,防尘、无石棉设计。制动器具有自动调节间隙功能，当起升刹车片厚度不够时自动报警，在断电时运行机构要确保处于制动状态要求转向操作轻便, 可靠性高。</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起升制动器：双制动</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刹车片寿命：正常使用不低于100万次，紧急制动不低于500次。</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2.2.5.4 车轮材料为球墨铸铁或锻造合金，表面硬化处理。</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2.2.5.5 在大、小车运行的终端位置设置十字限位开关，大、小车运行到此位置自动实现减速、停止。终端位置设置机械死档块，防止因电气失灵大、小车冲出轨道。</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2.2.5.6 缓冲器采用吸收能量高、缓冲性能好的缓冲器。</w:t>
      </w:r>
    </w:p>
    <w:p>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2.2.6操作方式</w:t>
      </w:r>
    </w:p>
    <w:p>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2.2.6</w:t>
      </w:r>
      <w:r>
        <w:rPr>
          <w:rFonts w:hint="eastAsia" w:ascii="宋体" w:hAnsi="宋体" w:eastAsia="宋体" w:cs="宋体"/>
          <w:sz w:val="24"/>
          <w:szCs w:val="24"/>
          <w:highlight w:val="yellow"/>
          <w:lang w:val="en-US" w:eastAsia="zh-CN"/>
        </w:rPr>
        <w:t>.1</w:t>
      </w:r>
      <w:r>
        <w:rPr>
          <w:rFonts w:hint="eastAsia" w:ascii="宋体" w:hAnsi="宋体" w:eastAsia="宋体" w:cs="宋体"/>
          <w:sz w:val="24"/>
          <w:szCs w:val="24"/>
          <w:highlight w:val="yellow"/>
        </w:rPr>
        <w:t>操作系统：采用无线遥控器和备用手操，无线遥控器推荐品牌为台湾禹鼎。需确保安全可靠，各台起重机操作频率合理分配，绝对不应相互干扰；在遥控装置故障情况下，应能通过备用手操装置安全地将正在起吊的货物放置在指定位置，并将行车移动到检修位置。备用手操设计为非跟随式扁电缆滑道手电门操纵，。</w:t>
      </w:r>
    </w:p>
    <w:p>
      <w:pPr>
        <w:spacing w:line="360" w:lineRule="auto"/>
        <w:ind w:firstLine="480" w:firstLineChars="200"/>
      </w:pPr>
      <w:r>
        <w:rPr>
          <w:rFonts w:hint="eastAsia" w:ascii="宋体" w:hAnsi="宋体" w:eastAsia="宋体" w:cs="宋体"/>
          <w:sz w:val="24"/>
          <w:szCs w:val="24"/>
          <w:highlight w:val="yellow"/>
        </w:rPr>
        <w:t>2.2.6</w:t>
      </w:r>
      <w:r>
        <w:rPr>
          <w:rFonts w:hint="eastAsia" w:ascii="宋体" w:hAnsi="宋体" w:eastAsia="宋体" w:cs="宋体"/>
          <w:sz w:val="24"/>
          <w:szCs w:val="24"/>
          <w:highlight w:val="yellow"/>
          <w:lang w:val="en-US" w:eastAsia="zh-CN"/>
        </w:rPr>
        <w:t>.2</w:t>
      </w:r>
      <w:r>
        <w:rPr>
          <w:rFonts w:hint="eastAsia" w:ascii="宋体" w:hAnsi="宋体" w:eastAsia="宋体" w:cs="宋体"/>
          <w:sz w:val="24"/>
          <w:szCs w:val="24"/>
          <w:highlight w:val="yellow"/>
        </w:rPr>
        <w:t>地操系统的防护等级不低于IP65，按钮寿命不抵于50万次。</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2.3电气及控制要求</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2.3.1起重机电气系统的设计和制造须把安全运行放在首位，所有电气设备须有必要的防护措施，防止发生意外的触电事故和碰撞事故，在所有的操作系统上都应设有应急停止专用的蘑菇头紧急停车开关；</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2.3.2起重机所采用的电气元器件和部件要充分保证系统的可靠性、稳定性、耐用性。电气元器件和部件的要保证其产品的连续性，能够保证备件10年的国内供应；</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2.3.3起重机的电气控制系统的所有控制柜和元器件都要保留足够的检测和维修空间，并且可方便地搬运和吊装，电气控制系统要方便维修、更换和拆卸部件；</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2.3.4所有起重机配置过载保护及报警功能、以及安全规范规定或相关标准规定的所有保护措施；起重机的所有电气元件选用国内外知名品牌产品；</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 xml:space="preserve">2.3.5电气柜要求：电气柜须采用标准尺寸柜体，外壳防护等级为IP54， </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2.3.6常规电气保护：过流、过压、欠压、短路、过热、接地、漏电、缺相、刹车片厚度监测、报警保护。</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2.3.7大车行走指示：大车行走时要有符合工程标准的声光警示装置；</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2.3.8起重机要尽量采用各种阻燃材料从本质上来预防火灾的发生；</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2.3.9所有正常工作条件下温度超过60℃的部分都应用隔热材料进行防护；</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2.3.10所有可能带电的部位，应进行绝缘处理或者用栅栏护围以防止危险发生；</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2.3.11起重机电气系统所使用的电线和电缆一律为各种铜芯电线和电缆，必须具有耐高温、防火、防爆、机械强度高、安全可靠的特性；</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2.3.12起重机的电源采用三相五线制(380V 50Hz)，现场每跨提供一处电源断路器，断路器出线开始由投标方负责提供，电源由大车滑触线引入起重机上的电源控制柜上。由电源控制柜引出动力、照明、控制等电源。电源总开关必须具有过电流及电磁保护功能。电网的PE 线与起重机轨道紧密相连，轨道应采用重复接地措施。滑触线需提供相间、各相对地的绝缘测试报告。</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2.4 其他要求</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2.4.1所有转动部件应有可靠的润滑系统。</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2.4.2 全部减速器采用硬齿面减速器，供方应采取措施防止减速器渗漏油。</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2.4.3起重机须具备载荷的模拟测量、报警、过载保护，以及超载次数累计、显示等功能，以便提高起重机自身保护和监控，减少不合理操作对起重机带来的损害。</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2.4.4 整车设置警示电铃，大、小车、起升等运行之前需操作电铃警示。</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2.4.5起升机构（主、副钩）设置起重量限制器，当载荷达到90%额定载荷时，发出提示性报警信号，达到100%额定载荷时，起升机构停止上升，只能下降。起重量限制器带吨位显示器，必须保证在地面上数字清晰可见，选择质量可靠的产品。重量限制器具有主、副钩总载荷叠加功能，防止主梁过载。</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2.4.6采用全新国标轨道，不允许采用翻新轨道，包括轨道、轨道压板（图集号：05G525）、螺栓、鱼尾板、调整垫板。轨道两端车档应与起重机撞块有良好的接触（大车止档招标方提供）。</w:t>
      </w:r>
    </w:p>
    <w:p>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2.4.7起重机的喷涂应按招标方要求喷涂,采用高质量防锈漆，钢结构、机械设备及零部件都要作防腐处理。制造钢结构的板材和型材要经过抛丸预处理，管材除镀锌外，要经过化学方法或机械手工除锈。</w:t>
      </w:r>
    </w:p>
    <w:p>
      <w:pPr>
        <w:spacing w:line="360" w:lineRule="auto"/>
        <w:ind w:firstLine="480" w:firstLineChars="200"/>
        <w:rPr>
          <w:rFonts w:hint="default" w:ascii="宋体" w:hAnsi="宋体" w:eastAsia="宋体" w:cs="宋体"/>
          <w:sz w:val="24"/>
          <w:szCs w:val="24"/>
          <w:highlight w:val="yellow"/>
          <w:lang w:val="en-US" w:eastAsia="zh-CN"/>
        </w:rPr>
      </w:pPr>
      <w:r>
        <w:rPr>
          <w:rFonts w:hint="eastAsia" w:ascii="宋体" w:hAnsi="宋体" w:eastAsia="宋体" w:cs="宋体"/>
          <w:sz w:val="24"/>
          <w:szCs w:val="24"/>
          <w:highlight w:val="yellow"/>
        </w:rPr>
        <w:t>2.4.</w:t>
      </w:r>
      <w:r>
        <w:rPr>
          <w:rFonts w:hint="eastAsia" w:ascii="宋体" w:hAnsi="宋体" w:eastAsia="宋体" w:cs="宋体"/>
          <w:sz w:val="24"/>
          <w:szCs w:val="24"/>
          <w:highlight w:val="yellow"/>
          <w:lang w:val="en-US" w:eastAsia="zh-CN"/>
        </w:rPr>
        <w:t>8</w:t>
      </w:r>
      <w:r>
        <w:rPr>
          <w:rFonts w:hint="eastAsia" w:ascii="宋体" w:hAnsi="宋体" w:eastAsia="宋体" w:cs="宋体"/>
          <w:sz w:val="24"/>
          <w:szCs w:val="24"/>
          <w:highlight w:val="yellow"/>
        </w:rPr>
        <w:t>起重机</w:t>
      </w:r>
      <w:r>
        <w:rPr>
          <w:rFonts w:hint="eastAsia" w:ascii="宋体" w:hAnsi="宋体" w:eastAsia="宋体" w:cs="宋体"/>
          <w:sz w:val="24"/>
          <w:szCs w:val="24"/>
          <w:highlight w:val="yellow"/>
          <w:lang w:val="en-US" w:eastAsia="zh-CN"/>
        </w:rPr>
        <w:t>承重立柱配备防撞防护，同时 具备明显的警示作用。</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2.5 标准</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2.5.1 桥式起重机的设计、制造、包装、运输、安装、验收应符合下列标准、规范和有关的中国国家标准(GB)的要求。如下列标准与企业执行标准有矛盾，按较高标准执行。从订货之日起至供方开始投料制造之前的这段时间内，如果因标准、规程发生修改或变化，需方有权提出补充要求，供方应满足并遵守这些要求。</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2.5.2 供方须执行本规范书所列标准。有矛盾时，按较高标准执行。</w:t>
      </w:r>
    </w:p>
    <w:p>
      <w:pPr>
        <w:spacing w:line="360" w:lineRule="auto"/>
        <w:ind w:firstLine="480" w:firstLineChars="200"/>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rPr>
        <w:t>2.5.3</w:t>
      </w:r>
      <w:r>
        <w:rPr>
          <w:rFonts w:hint="eastAsia" w:ascii="宋体" w:hAnsi="宋体" w:eastAsia="宋体" w:cs="宋体"/>
          <w:sz w:val="24"/>
          <w:szCs w:val="24"/>
          <w:highlight w:val="yellow"/>
          <w:lang w:val="en-US" w:eastAsia="zh-CN"/>
        </w:rPr>
        <w:t>基础与柱脚：核心要求：确保天车轨道梁及钢柱基础的承载力和稳定性。技术要求与规范：</w:t>
      </w:r>
    </w:p>
    <w:p>
      <w:pPr>
        <w:spacing w:line="360" w:lineRule="auto"/>
        <w:ind w:firstLine="480" w:firstLineChars="200"/>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 xml:space="preserve">  · 柱脚采用预埋锚栓或地脚螺栓固定。</w:t>
      </w:r>
    </w:p>
    <w:p>
      <w:pPr>
        <w:spacing w:line="360" w:lineRule="auto"/>
        <w:ind w:firstLine="480" w:firstLineChars="200"/>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 xml:space="preserve">  · 地基基础施工质量需符合 《建筑地基基础工程施工质量验收标准》GB 50202-2018 的规定。</w:t>
      </w:r>
    </w:p>
    <w:p>
      <w:pPr>
        <w:spacing w:line="360" w:lineRule="auto"/>
        <w:ind w:firstLine="480" w:firstLineChars="200"/>
        <w:rPr>
          <w:rFonts w:hint="default"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 xml:space="preserve">  · 柱脚二次灌浆需使用无收缩灌浆料（抗压强度通常不低于60MPa），以保证密实度。</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2.6涂装要求</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2.6.1起重机涂装的寿命要求不小于10年，要求采用高质量防锈漆。</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2.6.2起重机所有的钢结构、机械设备及所有零部件都要作防腐处理。制造钢结构的板材和型材都要经过Sa2.5抛丸预处理，管材除镀锌外，要经过化学方法或机械手工除锈。</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2.6.3设备的涂装要求：钢结构油漆为A80，涂层总厚度不小于120µm。主梁结构颜色：RAL1028（中黄色），零部件油漆为（包括齿轮箱、电机、吊钩、制动器及小车等）RAL5009（蓝色），电器柜内侧也要涂漆。以上所有涂装颜色需业主确认。如需变更，需要在合同生效之日起壹个月内通知卖方。</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2.6.4发运途中，所有金属表面都有防湿防潮保护；</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2.6.5外购的机电设备的颜色与周围环境相协调，提交时不能有任何损坏；</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2.6.6漆膜的外观检查为湿膜，不得缩边、缩水、起泡、发白、失光、涂料流挂。干膜不得有细微龟裂、剥膜等现象。面漆应均匀、平整、色泽一致，不得有漏漆、流漆、开裂、针孔、脱层等缺陷；</w:t>
      </w:r>
    </w:p>
    <w:p>
      <w:pPr>
        <w:spacing w:line="360" w:lineRule="auto"/>
        <w:ind w:firstLine="480" w:firstLineChars="200"/>
        <w:rPr>
          <w:highlight w:val="yellow"/>
        </w:rPr>
      </w:pPr>
      <w:r>
        <w:rPr>
          <w:rFonts w:hint="eastAsia" w:ascii="宋体" w:hAnsi="宋体" w:eastAsia="宋体" w:cs="宋体"/>
          <w:sz w:val="24"/>
          <w:szCs w:val="24"/>
          <w:highlight w:val="yellow"/>
        </w:rPr>
        <w:t>2.6.7漆膜性能检验，漆膜的干透性、粘附力参照GB9286-88规定的一级质量要求进行。漆膜的厚度检验，每10</w:t>
      </w:r>
      <w:r>
        <w:rPr>
          <w:rFonts w:hint="eastAsia" w:ascii="宋体" w:hAnsi="宋体" w:eastAsia="宋体" w:cs="宋体"/>
          <w:sz w:val="24"/>
          <w:szCs w:val="24"/>
          <w:highlight w:val="yellow"/>
          <w:lang w:val="en-US" w:eastAsia="zh-CN"/>
        </w:rPr>
        <w:t>㎡</w:t>
      </w:r>
      <w:r>
        <w:rPr>
          <w:rFonts w:hint="eastAsia" w:ascii="宋体" w:hAnsi="宋体" w:eastAsia="宋体" w:cs="宋体"/>
          <w:sz w:val="24"/>
          <w:szCs w:val="24"/>
          <w:highlight w:val="yellow"/>
        </w:rPr>
        <w:t>不少于3处，厚度误差20%。</w:t>
      </w:r>
    </w:p>
    <w:p>
      <w:pPr>
        <w:pStyle w:val="116"/>
        <w:spacing w:line="360" w:lineRule="auto"/>
        <w:ind w:firstLine="482" w:firstLineChars="200"/>
        <w:outlineLvl w:val="2"/>
        <w:rPr>
          <w:rFonts w:eastAsia="宋体" w:cs="宋体"/>
          <w:b/>
          <w:bCs w:val="0"/>
          <w:sz w:val="24"/>
          <w:szCs w:val="24"/>
        </w:rPr>
      </w:pPr>
      <w:r>
        <w:rPr>
          <w:rFonts w:hint="eastAsia" w:eastAsia="宋体" w:cs="宋体"/>
          <w:b/>
          <w:bCs w:val="0"/>
          <w:sz w:val="24"/>
          <w:szCs w:val="24"/>
        </w:rPr>
        <w:t>四、执行标准</w:t>
      </w:r>
    </w:p>
    <w:p>
      <w:pPr>
        <w:spacing w:line="360" w:lineRule="auto"/>
        <w:ind w:left="480"/>
        <w:rPr>
          <w:rFonts w:ascii="宋体" w:hAnsi="宋体" w:eastAsia="宋体" w:cs="宋体"/>
          <w:sz w:val="24"/>
          <w:szCs w:val="24"/>
        </w:rPr>
      </w:pPr>
      <w:r>
        <w:rPr>
          <w:rFonts w:hint="eastAsia" w:ascii="宋体" w:hAnsi="宋体" w:eastAsia="宋体" w:cs="宋体"/>
          <w:sz w:val="24"/>
          <w:szCs w:val="24"/>
        </w:rPr>
        <w:t>1、招标方此处所列标准仅为涉及的主要标准，而且不保证其为最新版执行标准；投标方应当在投标文件中认真予以填写、补充和修改完善。</w:t>
      </w:r>
    </w:p>
    <w:p>
      <w:pPr>
        <w:spacing w:line="360" w:lineRule="auto"/>
        <w:ind w:left="480"/>
        <w:rPr>
          <w:rFonts w:ascii="宋体" w:hAnsi="宋体" w:eastAsia="宋体" w:cs="宋体"/>
          <w:sz w:val="24"/>
          <w:szCs w:val="24"/>
        </w:rPr>
      </w:pPr>
      <w:r>
        <w:rPr>
          <w:rFonts w:hint="eastAsia" w:ascii="宋体" w:hAnsi="宋体" w:eastAsia="宋体" w:cs="宋体"/>
          <w:sz w:val="24"/>
          <w:szCs w:val="24"/>
        </w:rPr>
        <w:t>2、投标方需要执行的标准，应当采用所供货物通过买方组织的最终验收之日已经开始执行的最新标准。</w:t>
      </w:r>
    </w:p>
    <w:p>
      <w:pPr>
        <w:spacing w:line="360" w:lineRule="auto"/>
        <w:ind w:left="480"/>
        <w:rPr>
          <w:rFonts w:ascii="宋体" w:hAnsi="宋体" w:eastAsia="宋体" w:cs="宋体"/>
          <w:sz w:val="24"/>
          <w:szCs w:val="24"/>
        </w:rPr>
      </w:pPr>
      <w:r>
        <w:rPr>
          <w:rFonts w:hint="eastAsia" w:ascii="宋体" w:hAnsi="宋体" w:eastAsia="宋体" w:cs="宋体"/>
          <w:sz w:val="24"/>
          <w:szCs w:val="24"/>
        </w:rPr>
        <w:t>3、采购货物的产品质量、技术标准如在招投标文件中无相应说明，则按中华人民共和国有关部门颁发的最新的国标或专业（部）标准执行及相应的国际标准。</w:t>
      </w:r>
    </w:p>
    <w:p>
      <w:pPr>
        <w:spacing w:line="360" w:lineRule="auto"/>
        <w:ind w:left="480"/>
        <w:rPr>
          <w:rFonts w:ascii="宋体" w:hAnsi="宋体" w:eastAsia="宋体" w:cs="宋体"/>
          <w:sz w:val="24"/>
          <w:szCs w:val="24"/>
        </w:rPr>
      </w:pPr>
      <w:r>
        <w:rPr>
          <w:rFonts w:hint="eastAsia" w:ascii="宋体" w:hAnsi="宋体" w:eastAsia="宋体" w:cs="宋体"/>
          <w:sz w:val="24"/>
          <w:szCs w:val="24"/>
        </w:rPr>
        <w:t>4、采购货物没有国家或专业（部）标准的，按企业标准执行时，卖方应在合同签署之前，将所涉及的企业标准提供给买方确认。</w:t>
      </w:r>
    </w:p>
    <w:p>
      <w:pPr>
        <w:spacing w:line="360" w:lineRule="auto"/>
        <w:ind w:left="480"/>
        <w:rPr>
          <w:rFonts w:ascii="宋体" w:hAnsi="宋体" w:eastAsia="宋体" w:cs="宋体"/>
          <w:sz w:val="24"/>
          <w:szCs w:val="24"/>
        </w:rPr>
      </w:pPr>
      <w:r>
        <w:rPr>
          <w:rFonts w:hint="eastAsia" w:ascii="宋体" w:hAnsi="宋体" w:eastAsia="宋体" w:cs="宋体"/>
          <w:sz w:val="24"/>
          <w:szCs w:val="24"/>
        </w:rPr>
        <w:t>5、采购货物如果采用国际标准，其执行标准由投标方提供、招标方确认。</w:t>
      </w:r>
    </w:p>
    <w:p>
      <w:pPr>
        <w:spacing w:line="360" w:lineRule="auto"/>
        <w:ind w:left="480"/>
        <w:rPr>
          <w:rFonts w:ascii="宋体" w:hAnsi="宋体" w:eastAsia="宋体" w:cs="宋体"/>
          <w:sz w:val="24"/>
          <w:szCs w:val="24"/>
        </w:rPr>
      </w:pPr>
      <w:r>
        <w:rPr>
          <w:rFonts w:hint="eastAsia" w:ascii="宋体" w:hAnsi="宋体" w:eastAsia="宋体" w:cs="宋体"/>
          <w:sz w:val="24"/>
          <w:szCs w:val="24"/>
        </w:rPr>
        <w:t>6、采购货物所涉及的标准不统一时，原则上按照最严格标准执行。</w:t>
      </w:r>
    </w:p>
    <w:p>
      <w:pPr>
        <w:spacing w:line="360" w:lineRule="auto"/>
        <w:ind w:left="480"/>
        <w:rPr>
          <w:rFonts w:ascii="宋体" w:hAnsi="宋体" w:eastAsia="宋体" w:cs="宋体"/>
          <w:sz w:val="24"/>
          <w:szCs w:val="24"/>
        </w:rPr>
      </w:pPr>
      <w:r>
        <w:rPr>
          <w:rFonts w:hint="eastAsia" w:ascii="宋体" w:hAnsi="宋体" w:eastAsia="宋体" w:cs="宋体"/>
          <w:sz w:val="24"/>
          <w:szCs w:val="24"/>
        </w:rPr>
        <w:t xml:space="preserve">7、涉及的主要标准表  </w:t>
      </w:r>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8"/>
        <w:gridCol w:w="4110"/>
        <w:gridCol w:w="1843"/>
        <w:gridCol w:w="20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序号</w:t>
            </w:r>
          </w:p>
        </w:tc>
        <w:tc>
          <w:tcPr>
            <w:tcW w:w="4110" w:type="dxa"/>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标准名称</w:t>
            </w:r>
          </w:p>
        </w:tc>
        <w:tc>
          <w:tcPr>
            <w:tcW w:w="1843" w:type="dxa"/>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标准编号</w:t>
            </w:r>
          </w:p>
        </w:tc>
        <w:tc>
          <w:tcPr>
            <w:tcW w:w="2062" w:type="dxa"/>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1</w:t>
            </w:r>
          </w:p>
        </w:tc>
        <w:tc>
          <w:tcPr>
            <w:tcW w:w="4110" w:type="dxa"/>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买方提供企业标准</w:t>
            </w:r>
          </w:p>
        </w:tc>
        <w:tc>
          <w:tcPr>
            <w:tcW w:w="1843" w:type="dxa"/>
            <w:vAlign w:val="center"/>
          </w:tcPr>
          <w:p>
            <w:pPr>
              <w:keepNext w:val="0"/>
              <w:keepLines w:val="0"/>
              <w:suppressLineNumbers w:val="0"/>
              <w:spacing w:before="0" w:beforeAutospacing="0" w:after="0" w:afterAutospacing="0" w:line="360" w:lineRule="auto"/>
              <w:ind w:left="480" w:right="0"/>
              <w:jc w:val="center"/>
              <w:rPr>
                <w:rFonts w:hint="default" w:ascii="宋体" w:hAnsi="宋体" w:eastAsia="宋体" w:cs="宋体"/>
                <w:sz w:val="24"/>
                <w:szCs w:val="24"/>
              </w:rPr>
            </w:pPr>
          </w:p>
        </w:tc>
        <w:tc>
          <w:tcPr>
            <w:tcW w:w="2062" w:type="dxa"/>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卖方确认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2</w:t>
            </w:r>
          </w:p>
        </w:tc>
        <w:tc>
          <w:tcPr>
            <w:tcW w:w="4110" w:type="dxa"/>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买方提供与设备安全和环保相关的中国、国际通用和制造国的标准</w:t>
            </w:r>
          </w:p>
        </w:tc>
        <w:tc>
          <w:tcPr>
            <w:tcW w:w="1843" w:type="dxa"/>
            <w:vAlign w:val="center"/>
          </w:tcPr>
          <w:p>
            <w:pPr>
              <w:keepNext w:val="0"/>
              <w:keepLines w:val="0"/>
              <w:suppressLineNumbers w:val="0"/>
              <w:spacing w:before="0" w:beforeAutospacing="0" w:after="0" w:afterAutospacing="0" w:line="360" w:lineRule="auto"/>
              <w:ind w:left="480" w:right="0"/>
              <w:jc w:val="center"/>
              <w:rPr>
                <w:rFonts w:hint="default" w:ascii="宋体" w:hAnsi="宋体" w:eastAsia="宋体" w:cs="宋体"/>
                <w:sz w:val="24"/>
                <w:szCs w:val="24"/>
              </w:rPr>
            </w:pPr>
          </w:p>
        </w:tc>
        <w:tc>
          <w:tcPr>
            <w:tcW w:w="2062" w:type="dxa"/>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卖方确认</w:t>
            </w:r>
          </w:p>
        </w:tc>
      </w:tr>
    </w:tbl>
    <w:p>
      <w:pPr>
        <w:pStyle w:val="18"/>
        <w:rPr>
          <w:rFonts w:hAnsi="宋体" w:eastAsia="宋体"/>
        </w:rPr>
      </w:pPr>
    </w:p>
    <w:p>
      <w:pPr>
        <w:keepNext/>
        <w:keepLines/>
        <w:jc w:val="center"/>
        <w:outlineLvl w:val="1"/>
        <w:rPr>
          <w:rFonts w:ascii="宋体" w:hAnsi="宋体" w:eastAsia="宋体"/>
          <w:b/>
          <w:bCs/>
          <w:kern w:val="44"/>
          <w:sz w:val="28"/>
          <w:szCs w:val="28"/>
        </w:rPr>
      </w:pPr>
      <w:r>
        <w:rPr>
          <w:rFonts w:hint="eastAsia" w:ascii="宋体" w:hAnsi="宋体" w:eastAsia="宋体"/>
          <w:b/>
          <w:bCs/>
          <w:kern w:val="44"/>
          <w:sz w:val="28"/>
          <w:szCs w:val="28"/>
        </w:rPr>
        <w:t>第三章供货范围及供货方式</w:t>
      </w:r>
      <w:bookmarkEnd w:id="37"/>
    </w:p>
    <w:p>
      <w:pPr>
        <w:rPr>
          <w:rFonts w:ascii="宋体" w:hAnsi="宋体" w:eastAsia="宋体"/>
        </w:rPr>
      </w:pPr>
    </w:p>
    <w:p>
      <w:pPr>
        <w:keepNext/>
        <w:keepLines/>
        <w:spacing w:line="360" w:lineRule="auto"/>
        <w:jc w:val="center"/>
        <w:outlineLvl w:val="2"/>
      </w:pPr>
      <w:bookmarkStart w:id="38" w:name="_Toc169605882"/>
      <w:r>
        <w:rPr>
          <w:rFonts w:hint="eastAsia" w:ascii="宋体" w:hAnsi="宋体" w:eastAsia="宋体" w:cs="宋体"/>
          <w:b/>
          <w:bCs/>
          <w:sz w:val="24"/>
          <w:szCs w:val="32"/>
        </w:rPr>
        <w:t>第一节  供货范围</w:t>
      </w:r>
      <w:bookmarkEnd w:id="38"/>
    </w:p>
    <w:p>
      <w:pPr>
        <w:pStyle w:val="129"/>
        <w:spacing w:line="360" w:lineRule="auto"/>
        <w:ind w:firstLine="0" w:firstLineChars="0"/>
        <w:outlineLvl w:val="3"/>
        <w:rPr>
          <w:rFonts w:ascii="宋体" w:hAnsi="宋体" w:eastAsia="宋体" w:cs="宋体"/>
          <w:b/>
          <w:bCs/>
          <w:sz w:val="24"/>
          <w:szCs w:val="24"/>
        </w:rPr>
      </w:pPr>
      <w:r>
        <w:rPr>
          <w:rFonts w:ascii="宋体" w:hAnsi="宋体" w:eastAsia="宋体" w:cs="宋体"/>
          <w:b/>
          <w:bCs/>
          <w:sz w:val="24"/>
          <w:szCs w:val="24"/>
        </w:rPr>
        <w:t>一、</w:t>
      </w:r>
      <w:r>
        <w:rPr>
          <w:rFonts w:hint="eastAsia" w:ascii="宋体" w:hAnsi="宋体" w:eastAsia="宋体" w:cs="宋体"/>
          <w:b/>
          <w:bCs/>
          <w:sz w:val="24"/>
          <w:szCs w:val="24"/>
        </w:rPr>
        <w:t>供货范围</w:t>
      </w:r>
    </w:p>
    <w:tbl>
      <w:tblPr>
        <w:tblStyle w:val="39"/>
        <w:tblW w:w="91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3520"/>
        <w:gridCol w:w="1215"/>
        <w:gridCol w:w="793"/>
        <w:gridCol w:w="28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pPr>
              <w:keepNext w:val="0"/>
              <w:keepLines w:val="0"/>
              <w:suppressLineNumbers w:val="0"/>
              <w:spacing w:before="0" w:beforeAutospacing="0" w:after="0" w:afterAutospacing="0" w:line="360" w:lineRule="auto"/>
              <w:ind w:left="0" w:right="0"/>
              <w:jc w:val="center"/>
              <w:textAlignment w:val="center"/>
              <w:rPr>
                <w:rFonts w:hint="default" w:ascii="宋体" w:hAnsi="宋体" w:eastAsia="宋体" w:cs="宋体"/>
                <w:color w:val="FF0000"/>
                <w:sz w:val="24"/>
                <w:szCs w:val="24"/>
              </w:rPr>
            </w:pPr>
            <w:r>
              <w:rPr>
                <w:rFonts w:hint="eastAsia" w:ascii="宋体" w:hAnsi="宋体" w:eastAsia="宋体" w:cs="宋体"/>
                <w:b/>
                <w:bCs/>
                <w:color w:val="000000"/>
                <w:sz w:val="24"/>
                <w:szCs w:val="24"/>
              </w:rPr>
              <w:t>序号</w:t>
            </w:r>
          </w:p>
        </w:tc>
        <w:tc>
          <w:tcPr>
            <w:tcW w:w="3520" w:type="dxa"/>
            <w:vAlign w:val="center"/>
          </w:tcPr>
          <w:p>
            <w:pPr>
              <w:keepNext w:val="0"/>
              <w:keepLines w:val="0"/>
              <w:suppressLineNumbers w:val="0"/>
              <w:spacing w:before="0" w:beforeAutospacing="0" w:after="0" w:afterAutospacing="0" w:line="360" w:lineRule="auto"/>
              <w:ind w:left="0" w:right="0"/>
              <w:jc w:val="center"/>
              <w:textAlignment w:val="center"/>
              <w:rPr>
                <w:rFonts w:hint="default" w:ascii="宋体" w:hAnsi="宋体" w:eastAsia="宋体" w:cs="宋体"/>
                <w:color w:val="FF0000"/>
                <w:sz w:val="24"/>
                <w:szCs w:val="24"/>
              </w:rPr>
            </w:pPr>
            <w:r>
              <w:rPr>
                <w:rFonts w:hint="eastAsia" w:ascii="宋体" w:hAnsi="宋体" w:eastAsia="宋体" w:cs="宋体"/>
                <w:b/>
                <w:bCs/>
                <w:color w:val="000000"/>
                <w:sz w:val="24"/>
                <w:szCs w:val="24"/>
              </w:rPr>
              <w:t>名称</w:t>
            </w:r>
          </w:p>
        </w:tc>
        <w:tc>
          <w:tcPr>
            <w:tcW w:w="1215" w:type="dxa"/>
            <w:vAlign w:val="center"/>
          </w:tcPr>
          <w:p>
            <w:pPr>
              <w:keepNext w:val="0"/>
              <w:keepLines w:val="0"/>
              <w:suppressLineNumbers w:val="0"/>
              <w:spacing w:before="0" w:beforeAutospacing="0" w:after="0" w:afterAutospacing="0" w:line="360" w:lineRule="auto"/>
              <w:ind w:left="0" w:right="0"/>
              <w:jc w:val="center"/>
              <w:textAlignment w:val="center"/>
              <w:rPr>
                <w:rFonts w:hint="default" w:ascii="宋体" w:hAnsi="宋体" w:eastAsia="宋体" w:cs="宋体"/>
                <w:color w:val="FF0000"/>
                <w:sz w:val="24"/>
                <w:szCs w:val="24"/>
              </w:rPr>
            </w:pPr>
            <w:r>
              <w:rPr>
                <w:rFonts w:hint="eastAsia" w:ascii="宋体" w:hAnsi="宋体" w:eastAsia="宋体" w:cs="宋体"/>
                <w:b/>
                <w:bCs/>
                <w:color w:val="000000"/>
                <w:sz w:val="24"/>
                <w:szCs w:val="24"/>
              </w:rPr>
              <w:t>单位</w:t>
            </w:r>
          </w:p>
        </w:tc>
        <w:tc>
          <w:tcPr>
            <w:tcW w:w="793" w:type="dxa"/>
            <w:vAlign w:val="center"/>
          </w:tcPr>
          <w:p>
            <w:pPr>
              <w:keepNext w:val="0"/>
              <w:keepLines w:val="0"/>
              <w:suppressLineNumbers w:val="0"/>
              <w:spacing w:before="0" w:beforeAutospacing="0" w:after="0" w:afterAutospacing="0" w:line="360" w:lineRule="auto"/>
              <w:ind w:left="0" w:right="0"/>
              <w:jc w:val="center"/>
              <w:textAlignment w:val="center"/>
              <w:rPr>
                <w:rFonts w:hint="default" w:ascii="宋体" w:hAnsi="宋体" w:eastAsia="宋体" w:cs="宋体"/>
                <w:color w:val="FF0000"/>
                <w:sz w:val="24"/>
                <w:szCs w:val="24"/>
              </w:rPr>
            </w:pPr>
            <w:r>
              <w:rPr>
                <w:rFonts w:hint="eastAsia" w:ascii="宋体" w:hAnsi="宋体" w:eastAsia="宋体" w:cs="宋体"/>
                <w:b/>
                <w:bCs/>
                <w:color w:val="000000"/>
                <w:sz w:val="24"/>
                <w:szCs w:val="24"/>
              </w:rPr>
              <w:t>数量</w:t>
            </w:r>
          </w:p>
        </w:tc>
        <w:tc>
          <w:tcPr>
            <w:tcW w:w="2803" w:type="dxa"/>
            <w:vAlign w:val="center"/>
          </w:tcPr>
          <w:p>
            <w:pPr>
              <w:keepNext w:val="0"/>
              <w:keepLines w:val="0"/>
              <w:suppressLineNumbers w:val="0"/>
              <w:spacing w:before="0" w:beforeAutospacing="0" w:after="0" w:afterAutospacing="0" w:line="360" w:lineRule="auto"/>
              <w:ind w:left="0" w:right="0"/>
              <w:jc w:val="center"/>
              <w:textAlignment w:val="center"/>
              <w:rPr>
                <w:rFonts w:hint="default" w:ascii="宋体" w:hAnsi="宋体" w:eastAsia="宋体" w:cs="宋体"/>
                <w:color w:val="FF0000"/>
                <w:sz w:val="24"/>
                <w:szCs w:val="24"/>
              </w:rPr>
            </w:pPr>
            <w:r>
              <w:rPr>
                <w:rFonts w:hint="eastAsia" w:ascii="宋体" w:hAnsi="宋体" w:eastAsia="宋体" w:cs="宋体"/>
                <w:b/>
                <w:bCs/>
                <w:color w:val="00000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1</w:t>
            </w:r>
          </w:p>
        </w:tc>
        <w:tc>
          <w:tcPr>
            <w:tcW w:w="3520" w:type="dxa"/>
            <w:vAlign w:val="center"/>
          </w:tcPr>
          <w:p>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单梁行车</w:t>
            </w:r>
          </w:p>
        </w:tc>
        <w:tc>
          <w:tcPr>
            <w:tcW w:w="1215" w:type="dxa"/>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套</w:t>
            </w:r>
          </w:p>
        </w:tc>
        <w:tc>
          <w:tcPr>
            <w:tcW w:w="793" w:type="dxa"/>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1</w:t>
            </w:r>
          </w:p>
        </w:tc>
        <w:tc>
          <w:tcPr>
            <w:tcW w:w="2803" w:type="dxa"/>
            <w:vAlign w:val="center"/>
          </w:tcPr>
          <w:p>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lang w:val="en-US" w:eastAsia="zh-CN"/>
              </w:rPr>
              <w:t>含</w:t>
            </w:r>
            <w:r>
              <w:rPr>
                <w:rFonts w:hint="eastAsia" w:ascii="宋体" w:hAnsi="宋体" w:eastAsia="宋体" w:cs="宋体"/>
                <w:sz w:val="24"/>
              </w:rPr>
              <w:t>配套土建基础、行车框架、钢结构框架改造</w:t>
            </w:r>
            <w:r>
              <w:rPr>
                <w:rFonts w:hint="eastAsia" w:ascii="宋体" w:hAnsi="宋体" w:eastAsia="宋体" w:cs="宋体"/>
                <w:sz w:val="24"/>
                <w:lang w:val="en-US" w:eastAsia="zh-CN"/>
              </w:rPr>
              <w: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2</w:t>
            </w:r>
          </w:p>
        </w:tc>
        <w:tc>
          <w:tcPr>
            <w:tcW w:w="3520" w:type="dxa"/>
            <w:vAlign w:val="center"/>
          </w:tcPr>
          <w:p>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滑线、轨道、其他附件</w:t>
            </w:r>
          </w:p>
        </w:tc>
        <w:tc>
          <w:tcPr>
            <w:tcW w:w="1215" w:type="dxa"/>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套</w:t>
            </w:r>
          </w:p>
        </w:tc>
        <w:tc>
          <w:tcPr>
            <w:tcW w:w="793" w:type="dxa"/>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1</w:t>
            </w:r>
          </w:p>
        </w:tc>
        <w:tc>
          <w:tcPr>
            <w:tcW w:w="2803" w:type="dxa"/>
            <w:vAlign w:val="center"/>
          </w:tcPr>
          <w:p>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pPr>
              <w:pStyle w:val="34"/>
              <w:keepNext w:val="0"/>
              <w:keepLines w:val="0"/>
              <w:suppressLineNumbers w:val="0"/>
              <w:spacing w:before="0" w:beforeAutospacing="0" w:after="0" w:afterAutospacing="0" w:line="360" w:lineRule="auto"/>
              <w:ind w:left="0" w:right="0"/>
              <w:jc w:val="center"/>
              <w:rPr>
                <w:rFonts w:hint="default" w:ascii="宋体" w:hAnsi="宋体" w:cs="宋体"/>
                <w:szCs w:val="24"/>
              </w:rPr>
            </w:pPr>
            <w:r>
              <w:rPr>
                <w:rFonts w:hint="eastAsia" w:ascii="宋体" w:hAnsi="宋体" w:cs="宋体"/>
                <w:szCs w:val="24"/>
              </w:rPr>
              <w:t>3</w:t>
            </w:r>
          </w:p>
        </w:tc>
        <w:tc>
          <w:tcPr>
            <w:tcW w:w="3520" w:type="dxa"/>
            <w:vAlign w:val="center"/>
          </w:tcPr>
          <w:p>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设备使用说明书</w:t>
            </w:r>
          </w:p>
        </w:tc>
        <w:tc>
          <w:tcPr>
            <w:tcW w:w="1215" w:type="dxa"/>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套</w:t>
            </w:r>
          </w:p>
        </w:tc>
        <w:tc>
          <w:tcPr>
            <w:tcW w:w="793" w:type="dxa"/>
            <w:vAlign w:val="center"/>
          </w:tcPr>
          <w:p>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3</w:t>
            </w:r>
          </w:p>
        </w:tc>
        <w:tc>
          <w:tcPr>
            <w:tcW w:w="2803" w:type="dxa"/>
            <w:vAlign w:val="center"/>
          </w:tcPr>
          <w:p>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中文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pPr>
              <w:pStyle w:val="34"/>
              <w:keepNext w:val="0"/>
              <w:keepLines w:val="0"/>
              <w:suppressLineNumbers w:val="0"/>
              <w:tabs>
                <w:tab w:val="center" w:pos="375"/>
                <w:tab w:val="left" w:pos="539"/>
              </w:tabs>
              <w:spacing w:before="0" w:beforeAutospacing="0" w:after="0" w:afterAutospacing="0" w:line="360" w:lineRule="auto"/>
              <w:ind w:left="0" w:right="0"/>
              <w:jc w:val="center"/>
              <w:rPr>
                <w:rFonts w:hint="default" w:ascii="宋体" w:hAnsi="宋体" w:cs="宋体"/>
                <w:szCs w:val="24"/>
              </w:rPr>
            </w:pPr>
            <w:r>
              <w:rPr>
                <w:rFonts w:hint="eastAsia" w:ascii="宋体" w:hAnsi="宋体" w:cs="宋体"/>
                <w:szCs w:val="24"/>
              </w:rPr>
              <w:t>4</w:t>
            </w:r>
          </w:p>
        </w:tc>
        <w:tc>
          <w:tcPr>
            <w:tcW w:w="3520" w:type="dxa"/>
            <w:vAlign w:val="center"/>
          </w:tcPr>
          <w:p>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系统软硬件清单</w:t>
            </w:r>
          </w:p>
        </w:tc>
        <w:tc>
          <w:tcPr>
            <w:tcW w:w="1215" w:type="dxa"/>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套</w:t>
            </w:r>
          </w:p>
        </w:tc>
        <w:tc>
          <w:tcPr>
            <w:tcW w:w="793" w:type="dxa"/>
            <w:vAlign w:val="center"/>
          </w:tcPr>
          <w:p>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3</w:t>
            </w:r>
          </w:p>
        </w:tc>
        <w:tc>
          <w:tcPr>
            <w:tcW w:w="2803" w:type="dxa"/>
            <w:vAlign w:val="center"/>
          </w:tcPr>
          <w:p>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中文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pPr>
              <w:pStyle w:val="34"/>
              <w:keepNext w:val="0"/>
              <w:keepLines w:val="0"/>
              <w:suppressLineNumbers w:val="0"/>
              <w:spacing w:before="0" w:beforeAutospacing="0" w:after="0" w:afterAutospacing="0" w:line="360" w:lineRule="auto"/>
              <w:ind w:left="0" w:right="0"/>
              <w:jc w:val="center"/>
              <w:rPr>
                <w:rFonts w:hint="default" w:ascii="宋体" w:hAnsi="宋体" w:cs="宋体"/>
                <w:szCs w:val="24"/>
              </w:rPr>
            </w:pPr>
            <w:r>
              <w:rPr>
                <w:rFonts w:hint="eastAsia" w:ascii="宋体" w:hAnsi="宋体" w:cs="宋体"/>
                <w:szCs w:val="24"/>
              </w:rPr>
              <w:t>5</w:t>
            </w:r>
          </w:p>
        </w:tc>
        <w:tc>
          <w:tcPr>
            <w:tcW w:w="3520" w:type="dxa"/>
            <w:vAlign w:val="center"/>
          </w:tcPr>
          <w:p>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技术培训资料</w:t>
            </w:r>
          </w:p>
        </w:tc>
        <w:tc>
          <w:tcPr>
            <w:tcW w:w="1215" w:type="dxa"/>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套</w:t>
            </w:r>
          </w:p>
        </w:tc>
        <w:tc>
          <w:tcPr>
            <w:tcW w:w="793" w:type="dxa"/>
            <w:vAlign w:val="center"/>
          </w:tcPr>
          <w:p>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3</w:t>
            </w:r>
          </w:p>
        </w:tc>
        <w:tc>
          <w:tcPr>
            <w:tcW w:w="2803" w:type="dxa"/>
            <w:vAlign w:val="center"/>
          </w:tcPr>
          <w:p>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中文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pPr>
              <w:pStyle w:val="34"/>
              <w:keepNext w:val="0"/>
              <w:keepLines w:val="0"/>
              <w:suppressLineNumbers w:val="0"/>
              <w:spacing w:before="0" w:beforeAutospacing="0" w:after="0" w:afterAutospacing="0" w:line="360" w:lineRule="auto"/>
              <w:ind w:left="0" w:right="0"/>
              <w:jc w:val="center"/>
              <w:rPr>
                <w:rFonts w:hint="default" w:ascii="宋体" w:hAnsi="宋体" w:cs="宋体"/>
                <w:szCs w:val="24"/>
              </w:rPr>
            </w:pPr>
            <w:r>
              <w:rPr>
                <w:rFonts w:hint="eastAsia" w:ascii="宋体" w:hAnsi="宋体" w:cs="宋体"/>
                <w:szCs w:val="24"/>
              </w:rPr>
              <w:t>6</w:t>
            </w:r>
          </w:p>
        </w:tc>
        <w:tc>
          <w:tcPr>
            <w:tcW w:w="3520" w:type="dxa"/>
            <w:vAlign w:val="center"/>
          </w:tcPr>
          <w:p>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设备资料（序号6/7/8/9）电子版WORD或PDF版</w:t>
            </w:r>
          </w:p>
        </w:tc>
        <w:tc>
          <w:tcPr>
            <w:tcW w:w="1215" w:type="dxa"/>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24"/>
                <w:szCs w:val="24"/>
              </w:rPr>
            </w:pPr>
            <w:r>
              <w:rPr>
                <w:rFonts w:hint="eastAsia" w:ascii="宋体" w:hAnsi="宋体" w:eastAsia="宋体" w:cs="宋体"/>
                <w:sz w:val="24"/>
                <w:szCs w:val="24"/>
              </w:rPr>
              <w:t>套</w:t>
            </w:r>
          </w:p>
        </w:tc>
        <w:tc>
          <w:tcPr>
            <w:tcW w:w="793" w:type="dxa"/>
            <w:vAlign w:val="center"/>
          </w:tcPr>
          <w:p>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1</w:t>
            </w:r>
          </w:p>
        </w:tc>
        <w:tc>
          <w:tcPr>
            <w:tcW w:w="2803" w:type="dxa"/>
            <w:vAlign w:val="center"/>
          </w:tcPr>
          <w:p>
            <w:pPr>
              <w:pStyle w:val="128"/>
              <w:keepNext w:val="0"/>
              <w:keepLines w:val="0"/>
              <w:suppressLineNumbers w:val="0"/>
              <w:spacing w:before="0" w:beforeLines="0" w:beforeAutospacing="0" w:after="0" w:afterLines="0" w:afterAutospacing="0" w:line="360" w:lineRule="auto"/>
              <w:ind w:left="0" w:right="0"/>
              <w:jc w:val="center"/>
              <w:rPr>
                <w:rFonts w:hint="default" w:ascii="宋体" w:hAnsi="宋体" w:eastAsia="宋体" w:cs="宋体"/>
                <w:sz w:val="24"/>
              </w:rPr>
            </w:pPr>
            <w:r>
              <w:rPr>
                <w:rFonts w:hint="eastAsia" w:ascii="宋体" w:hAnsi="宋体" w:eastAsia="宋体" w:cs="宋体"/>
                <w:sz w:val="24"/>
              </w:rPr>
              <w:t>中文</w:t>
            </w:r>
          </w:p>
        </w:tc>
      </w:tr>
    </w:tbl>
    <w:p>
      <w:pPr>
        <w:spacing w:beforeLines="50" w:afterLines="50"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（一）一般界定</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如果终验收完成后，投标人有需要收回的配件、附件等，应当在投标文件的技术偏离条款中，予以详细说明；否则视同包括在供货范围之内。</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3.包括货物维护维修所必需的专用工具。</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（二）供货范围边界界定</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1.对于招标文件中无明确具体要求而投标方认为必须具备的其它货物，投标方必须将该部分货物单独报价（该报价含运杂费及税费等其它费用，而且不再作为其它报价涉及的其它费用的计算基数）。</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.对于招标文件中无明确具体要求而投标人认为必须具备的其它货物，投标人必须将该部分货物单独报价（该报价含运杂费及税费等其它费用，而且不再作为其它报价涉及的其它费用的计算基数）。</w:t>
      </w:r>
    </w:p>
    <w:p>
      <w:pPr>
        <w:pStyle w:val="13"/>
        <w:ind w:firstLine="420" w:firstLineChars="175"/>
        <w:rPr>
          <w:rFonts w:ascii="宋体" w:hAnsi="宋体" w:eastAsia="宋体" w:cs="宋体"/>
          <w:sz w:val="24"/>
          <w:szCs w:val="24"/>
        </w:rPr>
      </w:pPr>
      <w:r>
        <w:rPr>
          <w:rFonts w:hint="eastAsia" w:ascii="宋体" w:hAnsi="宋体" w:eastAsia="宋体" w:cs="宋体"/>
          <w:sz w:val="24"/>
          <w:szCs w:val="24"/>
        </w:rPr>
        <w:t>3.供货界面说明</w:t>
      </w:r>
    </w:p>
    <w:p>
      <w:pPr>
        <w:spacing w:line="360" w:lineRule="auto"/>
        <w:ind w:firstLine="480" w:firstLineChars="200"/>
        <w:rPr>
          <w:rFonts w:hint="eastAsia" w:ascii="宋体" w:hAnsi="宋体" w:eastAsia="宋体" w:cs="宋体"/>
          <w:sz w:val="24"/>
          <w:szCs w:val="24"/>
          <w:highlight w:val="yellow"/>
          <w:lang w:eastAsia="zh-CN"/>
        </w:rPr>
      </w:pPr>
      <w:r>
        <w:rPr>
          <w:rFonts w:hint="eastAsia" w:ascii="宋体" w:hAnsi="宋体" w:eastAsia="宋体" w:cs="宋体"/>
          <w:sz w:val="24"/>
          <w:szCs w:val="24"/>
          <w:highlight w:val="yellow"/>
        </w:rPr>
        <w:t>3.1、投标方提供每跨含适配的轨道、滑线（及运输安装）及安装附件</w:t>
      </w:r>
      <w:r>
        <w:rPr>
          <w:rFonts w:hint="eastAsia" w:ascii="宋体" w:hAnsi="宋体" w:eastAsia="宋体" w:cs="宋体"/>
          <w:sz w:val="24"/>
          <w:szCs w:val="24"/>
          <w:highlight w:val="yellow"/>
          <w:lang w:eastAsia="zh-CN"/>
        </w:rPr>
        <w:t>。</w:t>
      </w:r>
    </w:p>
    <w:p>
      <w:pPr>
        <w:spacing w:line="360" w:lineRule="auto"/>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3.2、滑触线按适配型号安装，含未来增加项。</w:t>
      </w:r>
    </w:p>
    <w:p>
      <w:pPr>
        <w:spacing w:line="360" w:lineRule="auto"/>
        <w:ind w:firstLine="480" w:firstLineChars="200"/>
        <w:rPr>
          <w:rFonts w:hint="eastAsia" w:ascii="宋体" w:hAnsi="宋体" w:eastAsia="宋体" w:cs="宋体"/>
          <w:sz w:val="24"/>
          <w:szCs w:val="24"/>
          <w:highlight w:val="yellow"/>
          <w:lang w:eastAsia="zh-CN"/>
        </w:rPr>
      </w:pPr>
      <w:r>
        <w:rPr>
          <w:rFonts w:hint="eastAsia" w:ascii="宋体" w:hAnsi="宋体" w:eastAsia="宋体" w:cs="宋体"/>
          <w:sz w:val="24"/>
          <w:szCs w:val="24"/>
          <w:highlight w:val="yellow"/>
        </w:rPr>
        <w:t>3.</w:t>
      </w:r>
      <w:r>
        <w:rPr>
          <w:rFonts w:hint="eastAsia" w:ascii="宋体" w:hAnsi="宋体" w:eastAsia="宋体" w:cs="宋体"/>
          <w:sz w:val="24"/>
          <w:szCs w:val="24"/>
          <w:highlight w:val="yellow"/>
          <w:lang w:val="en-US" w:eastAsia="zh-CN"/>
        </w:rPr>
        <w:t>3</w:t>
      </w:r>
      <w:r>
        <w:rPr>
          <w:rFonts w:hint="eastAsia" w:ascii="宋体" w:hAnsi="宋体" w:eastAsia="宋体" w:cs="宋体"/>
          <w:sz w:val="24"/>
          <w:szCs w:val="24"/>
          <w:highlight w:val="yellow"/>
        </w:rPr>
        <w:t>、投标方提供电源开关箱至行车接线端的电缆、安装及附件</w:t>
      </w:r>
      <w:r>
        <w:rPr>
          <w:rFonts w:hint="eastAsia" w:ascii="宋体" w:hAnsi="宋体" w:eastAsia="宋体" w:cs="宋体"/>
          <w:sz w:val="24"/>
          <w:szCs w:val="24"/>
          <w:highlight w:val="yellow"/>
          <w:lang w:eastAsia="zh-CN"/>
        </w:rPr>
        <w:t>。</w:t>
      </w:r>
    </w:p>
    <w:p>
      <w:pPr>
        <w:spacing w:line="360" w:lineRule="auto"/>
        <w:ind w:firstLine="480" w:firstLineChars="200"/>
        <w:rPr>
          <w:rFonts w:hint="eastAsia" w:ascii="宋体" w:hAnsi="宋体" w:eastAsia="宋体" w:cs="宋体"/>
          <w:sz w:val="24"/>
          <w:szCs w:val="24"/>
          <w:highlight w:val="yellow"/>
          <w:lang w:eastAsia="zh-CN"/>
        </w:rPr>
      </w:pPr>
      <w:r>
        <w:rPr>
          <w:rFonts w:hint="eastAsia" w:ascii="宋体" w:hAnsi="宋体" w:eastAsia="宋体" w:cs="宋体"/>
          <w:sz w:val="24"/>
          <w:szCs w:val="24"/>
          <w:highlight w:val="yellow"/>
        </w:rPr>
        <w:t>3.</w:t>
      </w:r>
      <w:r>
        <w:rPr>
          <w:rFonts w:hint="eastAsia" w:ascii="宋体" w:hAnsi="宋体" w:eastAsia="宋体" w:cs="宋体"/>
          <w:sz w:val="24"/>
          <w:szCs w:val="24"/>
          <w:highlight w:val="yellow"/>
          <w:lang w:val="en-US" w:eastAsia="zh-CN"/>
        </w:rPr>
        <w:t>4</w:t>
      </w:r>
      <w:r>
        <w:rPr>
          <w:rFonts w:hint="eastAsia" w:ascii="宋体" w:hAnsi="宋体" w:eastAsia="宋体" w:cs="宋体"/>
          <w:sz w:val="24"/>
          <w:szCs w:val="24"/>
          <w:highlight w:val="yellow"/>
        </w:rPr>
        <w:t>、压板采用焊接的形式</w:t>
      </w:r>
      <w:r>
        <w:rPr>
          <w:rFonts w:hint="eastAsia" w:ascii="宋体" w:hAnsi="宋体" w:eastAsia="宋体" w:cs="宋体"/>
          <w:sz w:val="24"/>
          <w:szCs w:val="24"/>
          <w:highlight w:val="yellow"/>
          <w:lang w:eastAsia="zh-CN"/>
        </w:rPr>
        <w:t>。</w:t>
      </w:r>
    </w:p>
    <w:p>
      <w:pPr>
        <w:spacing w:line="360" w:lineRule="auto"/>
        <w:ind w:firstLine="480" w:firstLineChars="200"/>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rPr>
        <w:t>3.</w:t>
      </w:r>
      <w:r>
        <w:rPr>
          <w:rFonts w:hint="eastAsia" w:ascii="宋体" w:hAnsi="宋体" w:eastAsia="宋体" w:cs="宋体"/>
          <w:sz w:val="24"/>
          <w:szCs w:val="24"/>
          <w:highlight w:val="yellow"/>
          <w:lang w:val="en-US" w:eastAsia="zh-CN"/>
        </w:rPr>
        <w:t>5</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val="en-US" w:eastAsia="zh-CN"/>
        </w:rPr>
        <w:t>投标方对施工区钢结构与相关电路与气路改造，满足现有的生产条件。</w:t>
      </w:r>
    </w:p>
    <w:p>
      <w:pPr>
        <w:spacing w:line="360" w:lineRule="auto"/>
        <w:ind w:firstLine="480" w:firstLineChars="200"/>
        <w:rPr>
          <w:rFonts w:hint="default"/>
          <w:lang w:val="en-US" w:eastAsia="zh-CN"/>
        </w:rPr>
      </w:pPr>
      <w:r>
        <w:rPr>
          <w:rFonts w:hint="eastAsia" w:ascii="宋体" w:hAnsi="宋体" w:eastAsia="宋体" w:cs="宋体"/>
          <w:sz w:val="24"/>
          <w:szCs w:val="24"/>
          <w:highlight w:val="yellow"/>
        </w:rPr>
        <w:t>3.</w:t>
      </w:r>
      <w:r>
        <w:rPr>
          <w:rFonts w:hint="eastAsia" w:ascii="宋体" w:hAnsi="宋体" w:eastAsia="宋体" w:cs="宋体"/>
          <w:sz w:val="24"/>
          <w:szCs w:val="24"/>
          <w:highlight w:val="yellow"/>
          <w:lang w:val="en-US" w:eastAsia="zh-CN"/>
        </w:rPr>
        <w:t>6</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val="en-US" w:eastAsia="zh-CN"/>
        </w:rPr>
        <w:t>投标方在中标后10日内提供土建基础相关图纸并提供土建基础的核算过程，由双方确认会签后进行施工。</w:t>
      </w:r>
    </w:p>
    <w:p>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二、备品备件、易损件和专用耗材供货范围</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1.招标人招标文件所指备品备件、易损件和专用耗材，是招标人为保证设备质保期之后正常运行一年所自备自用的备品备件、易损件和专用耗材；</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3投标方需提供必须的备品备件清单（备品备件明确规格、厂家、产地、价格，单独报价）；</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4易损件和专用耗材，其费用应分类单列，并计入投标总报价之内；</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5投标方应提供设备维修所必需的专用工具，并附详细清单（包括名称、型号、规格、单位、数量、生产厂家、单价、总价等条目，单独报价）。</w:t>
      </w:r>
    </w:p>
    <w:p>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三、技术资料供货范围</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技术资料供货范围包括：</w:t>
      </w:r>
    </w:p>
    <w:p>
      <w:pPr>
        <w:spacing w:line="360" w:lineRule="auto"/>
        <w:ind w:firstLine="480" w:firstLineChars="200"/>
        <w:rPr>
          <w:rFonts w:hint="eastAsia" w:ascii="宋体" w:hAnsi="宋体" w:eastAsia="宋体" w:cs="宋体"/>
          <w:bCs/>
          <w:sz w:val="24"/>
          <w:szCs w:val="24"/>
          <w:lang w:val="en-US" w:eastAsia="zh-CN"/>
        </w:rPr>
      </w:pPr>
      <w:r>
        <w:rPr>
          <w:rFonts w:hint="eastAsia" w:ascii="宋体" w:hAnsi="宋体" w:eastAsia="宋体" w:cs="宋体"/>
          <w:sz w:val="24"/>
          <w:szCs w:val="24"/>
        </w:rPr>
        <w:t>1.在</w:t>
      </w:r>
      <w:r>
        <w:rPr>
          <w:rFonts w:hint="eastAsia" w:ascii="宋体" w:hAnsi="宋体" w:eastAsia="宋体" w:cs="宋体"/>
          <w:bCs/>
          <w:sz w:val="24"/>
          <w:szCs w:val="24"/>
        </w:rPr>
        <w:t>合同签订后</w:t>
      </w:r>
      <w:r>
        <w:rPr>
          <w:rFonts w:hint="eastAsia" w:ascii="宋体" w:hAnsi="宋体" w:eastAsia="宋体" w:cs="宋体"/>
          <w:bCs/>
          <w:sz w:val="24"/>
          <w:szCs w:val="24"/>
          <w:u w:val="single"/>
          <w:shd w:val="pct10" w:color="auto" w:fill="FFFFFF"/>
        </w:rPr>
        <w:t xml:space="preserve"> 10 </w:t>
      </w:r>
      <w:r>
        <w:rPr>
          <w:rFonts w:hint="eastAsia" w:ascii="宋体" w:hAnsi="宋体" w:eastAsia="宋体" w:cs="宋体"/>
          <w:bCs/>
          <w:sz w:val="24"/>
          <w:szCs w:val="24"/>
        </w:rPr>
        <w:t>个日历日内，提供货物基础及相关的设计、制作所需的纸质及电子版资料；电子版文件应当能够使用常用版本软件可以阅读甚至使用，进口货物、设备应有中外文对照。</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2.在预验收前，提供货物各部分的功能描述文件、图片、影像等资料（进口、设备应有中外文对照）。</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3.在终验收前，提供为保证货物后续正常运行所需的具体技术要求等资料（如果供货范围包含该部分实物）。</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4.在终验收前，提供确定的维修所需要且买方可以自行采购的外购件、外协件、电气元件及主要原材料的供货厂家明细表。</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5.在终验收后的第一笔货款支付日之前，提供包括货物的备品备件、易损件和专用耗材的图纸及技术参数、技术要求等资料。</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7</w:t>
      </w:r>
      <w:r>
        <w:rPr>
          <w:rFonts w:hint="eastAsia" w:ascii="宋体" w:hAnsi="宋体" w:eastAsia="宋体" w:cs="宋体"/>
          <w:sz w:val="24"/>
          <w:szCs w:val="24"/>
        </w:rPr>
        <w:t>.本“技术资料范围”所列的技术资料、图等，投标方应各提供4套纸质资料及3套电子版资料（光盘或U盘等），每份技术文件应装有目录清单。</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8</w:t>
      </w:r>
      <w:r>
        <w:rPr>
          <w:rFonts w:hint="eastAsia" w:ascii="宋体" w:hAnsi="宋体" w:eastAsia="宋体" w:cs="宋体"/>
          <w:sz w:val="24"/>
          <w:szCs w:val="24"/>
        </w:rPr>
        <w:t>.本条款所列要求，如招标人认为投标人提供的资料不能满足要求时，有权要求投标人免费补充或增加。</w:t>
      </w:r>
    </w:p>
    <w:p>
      <w:pPr>
        <w:spacing w:line="36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9.供方必须提供设备模型（文件格式STP），模型文件应包含设备的全部信息；对设备结构及功能详细说明，包括设备工作流程描述、运行说明、工位节拍等信息。</w:t>
      </w:r>
    </w:p>
    <w:p>
      <w:pPr>
        <w:spacing w:line="36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10.</w:t>
      </w:r>
      <w:r>
        <w:rPr>
          <w:rFonts w:ascii="Times New Roman" w:hAnsi="Times New Roman" w:eastAsia="宋体"/>
          <w:sz w:val="24"/>
          <w:szCs w:val="24"/>
        </w:rPr>
        <w:t>维修和使用手册</w:t>
      </w:r>
    </w:p>
    <w:p>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在调试以前必须提供维修和使用手册四套和一套电子文件。这些手册应包括，但不限于下述内容：</w:t>
      </w:r>
    </w:p>
    <w:p>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设备描述和主要设备的分项；</w:t>
      </w:r>
    </w:p>
    <w:p>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润滑计划和润滑频次；</w:t>
      </w:r>
    </w:p>
    <w:p>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供应商的文献和详细的元件部件；</w:t>
      </w:r>
    </w:p>
    <w:p>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操作程序；</w:t>
      </w:r>
    </w:p>
    <w:p>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设备布置图；</w:t>
      </w:r>
    </w:p>
    <w:p>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详细的元件和总装图，包括分解部件总成图；</w:t>
      </w:r>
    </w:p>
    <w:p>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故障分析和解决方法；</w:t>
      </w:r>
    </w:p>
    <w:p>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维修功能——维护和维修细节，包括频次；</w:t>
      </w:r>
    </w:p>
    <w:p>
      <w:pPr>
        <w:spacing w:line="36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11.</w:t>
      </w:r>
      <w:r>
        <w:rPr>
          <w:rFonts w:ascii="Times New Roman" w:hAnsi="Times New Roman" w:eastAsia="宋体"/>
          <w:sz w:val="24"/>
          <w:szCs w:val="24"/>
        </w:rPr>
        <w:t>图纸</w:t>
      </w:r>
    </w:p>
    <w:p>
      <w:pPr>
        <w:spacing w:line="36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11</w:t>
      </w:r>
      <w:r>
        <w:rPr>
          <w:rFonts w:ascii="Times New Roman" w:hAnsi="Times New Roman" w:eastAsia="宋体"/>
          <w:sz w:val="24"/>
          <w:szCs w:val="24"/>
        </w:rPr>
        <w:t>.1提供机械AutoCAD（.dwg）格式，电气EPLANP8可编辑格式的文件和电子数据。</w:t>
      </w:r>
    </w:p>
    <w:p>
      <w:pPr>
        <w:spacing w:line="36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11</w:t>
      </w:r>
      <w:r>
        <w:rPr>
          <w:rFonts w:ascii="Times New Roman" w:hAnsi="Times New Roman" w:eastAsia="宋体"/>
          <w:sz w:val="24"/>
          <w:szCs w:val="24"/>
        </w:rPr>
        <w:t>.2提供所有设施和设备的图纸，包括总图、原理图、制造图、分解视图。</w:t>
      </w:r>
    </w:p>
    <w:p>
      <w:pPr>
        <w:spacing w:line="36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11</w:t>
      </w:r>
      <w:r>
        <w:rPr>
          <w:rFonts w:ascii="Times New Roman" w:hAnsi="Times New Roman" w:eastAsia="宋体"/>
          <w:sz w:val="24"/>
          <w:szCs w:val="24"/>
        </w:rPr>
        <w:t>.3在签订合同后立即进行设计图纸，并提供图纸，在整个阶段连续地进行。这些图纸包括，但不限于：</w:t>
      </w:r>
    </w:p>
    <w:p>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详细的零件图；</w:t>
      </w:r>
    </w:p>
    <w:p>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零件和总成图；</w:t>
      </w:r>
    </w:p>
    <w:p>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总的平面布置图和分图；</w:t>
      </w:r>
    </w:p>
    <w:p>
      <w:pPr>
        <w:spacing w:line="360" w:lineRule="auto"/>
        <w:ind w:firstLine="480" w:firstLineChars="200"/>
        <w:rPr>
          <w:rFonts w:ascii="Times New Roman" w:hAnsi="Times New Roman" w:eastAsia="宋体"/>
          <w:sz w:val="24"/>
          <w:szCs w:val="24"/>
        </w:rPr>
      </w:pPr>
      <w:r>
        <w:rPr>
          <w:rFonts w:ascii="Times New Roman" w:hAnsi="Times New Roman" w:eastAsia="宋体"/>
          <w:sz w:val="24"/>
          <w:szCs w:val="24"/>
        </w:rPr>
        <w:t>钢结构布置图和分图；</w:t>
      </w:r>
    </w:p>
    <w:p>
      <w:pPr>
        <w:spacing w:line="36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11</w:t>
      </w:r>
      <w:r>
        <w:rPr>
          <w:rFonts w:ascii="Times New Roman" w:hAnsi="Times New Roman" w:eastAsia="宋体"/>
          <w:sz w:val="24"/>
          <w:szCs w:val="24"/>
        </w:rPr>
        <w:t>.4在制作开始前必须将所有平面图和分图交给本公司会签。提供</w:t>
      </w:r>
      <w:r>
        <w:rPr>
          <w:rFonts w:hint="eastAsia" w:ascii="Times New Roman" w:hAnsi="Times New Roman" w:eastAsia="宋体"/>
          <w:sz w:val="24"/>
          <w:szCs w:val="24"/>
        </w:rPr>
        <w:t>二</w:t>
      </w:r>
      <w:r>
        <w:rPr>
          <w:rFonts w:ascii="Times New Roman" w:hAnsi="Times New Roman" w:eastAsia="宋体"/>
          <w:sz w:val="24"/>
          <w:szCs w:val="24"/>
        </w:rPr>
        <w:t>份图纸加一套电子文件。这种图纸的会签并不构成供货厂商可以不承担设计责任保证或者对设备顺利运用的责任。</w:t>
      </w:r>
    </w:p>
    <w:p>
      <w:pPr>
        <w:spacing w:line="360" w:lineRule="auto"/>
        <w:ind w:firstLine="480" w:firstLineChars="200"/>
        <w:rPr>
          <w:rFonts w:ascii="宋体" w:hAnsi="宋体" w:eastAsia="宋体" w:cs="宋体"/>
          <w:sz w:val="24"/>
          <w:szCs w:val="24"/>
        </w:rPr>
      </w:pPr>
      <w:r>
        <w:rPr>
          <w:rFonts w:hint="eastAsia" w:ascii="Times New Roman" w:hAnsi="Times New Roman" w:eastAsia="宋体"/>
          <w:sz w:val="24"/>
          <w:szCs w:val="24"/>
        </w:rPr>
        <w:t>11</w:t>
      </w:r>
      <w:r>
        <w:rPr>
          <w:rFonts w:ascii="Times New Roman" w:hAnsi="Times New Roman" w:eastAsia="宋体"/>
          <w:sz w:val="24"/>
          <w:szCs w:val="24"/>
        </w:rPr>
        <w:t>.5在完工时要提供四套图纸和机械AutoCAD（.dwg）格式，电气EPLANP8电子版本图纸。</w:t>
      </w:r>
    </w:p>
    <w:p>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四、供货范围特别提示</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如果投标人认为本节所列的供货范围难以满足，则仍需要按照本要求提供，但该部分货物应当在投标报价中单独列明货物名称及品质、货值。</w:t>
      </w:r>
      <w:bookmarkStart w:id="39" w:name="_Toc169605883"/>
    </w:p>
    <w:p>
      <w:pPr>
        <w:pStyle w:val="18"/>
        <w:spacing w:line="360" w:lineRule="auto"/>
        <w:rPr>
          <w:rFonts w:hAnsi="宋体" w:eastAsia="宋体"/>
        </w:rPr>
      </w:pPr>
    </w:p>
    <w:p>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第二节  供货方式</w:t>
      </w:r>
      <w:bookmarkEnd w:id="39"/>
    </w:p>
    <w:p>
      <w:pPr>
        <w:spacing w:line="360" w:lineRule="auto"/>
        <w:ind w:firstLine="482" w:firstLineChars="200"/>
        <w:outlineLvl w:val="3"/>
        <w:rPr>
          <w:rFonts w:ascii="宋体" w:hAnsi="宋体" w:eastAsia="宋体" w:cs="宋体"/>
          <w:sz w:val="24"/>
          <w:szCs w:val="24"/>
        </w:rPr>
      </w:pPr>
      <w:r>
        <w:rPr>
          <w:rFonts w:hint="eastAsia" w:ascii="宋体" w:hAnsi="宋体" w:eastAsia="宋体" w:cs="宋体"/>
          <w:b/>
          <w:sz w:val="24"/>
          <w:szCs w:val="24"/>
        </w:rPr>
        <w:t>一、供货方式</w:t>
      </w:r>
    </w:p>
    <w:p>
      <w:pPr>
        <w:spacing w:line="360" w:lineRule="auto"/>
        <w:ind w:firstLine="480" w:firstLineChars="200"/>
        <w:rPr>
          <w:rFonts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pPr>
        <w:spacing w:line="360" w:lineRule="auto"/>
        <w:ind w:firstLine="482" w:firstLineChars="200"/>
        <w:rPr>
          <w:rFonts w:ascii="宋体" w:hAnsi="宋体" w:eastAsia="宋体" w:cs="宋体"/>
          <w:sz w:val="24"/>
          <w:szCs w:val="24"/>
        </w:rPr>
      </w:pPr>
      <w:r>
        <w:rPr>
          <w:rFonts w:hint="eastAsia" w:ascii="宋体" w:hAnsi="宋体" w:eastAsia="宋体" w:cs="宋体"/>
          <w:b/>
          <w:bCs/>
          <w:sz w:val="24"/>
          <w:szCs w:val="24"/>
        </w:rPr>
        <w:t>二、供货地点：</w:t>
      </w:r>
      <w:r>
        <w:rPr>
          <w:rFonts w:hint="eastAsia" w:ascii="Times New Roman" w:hAnsi="Times New Roman" w:eastAsia="宋体"/>
          <w:sz w:val="24"/>
          <w:szCs w:val="24"/>
          <w:u w:val="single"/>
          <w:lang w:val="en-US" w:eastAsia="zh-CN"/>
        </w:rPr>
        <w:t>中国</w:t>
      </w:r>
      <w:r>
        <w:rPr>
          <w:rFonts w:hint="eastAsia" w:ascii="Times New Roman" w:hAnsi="Times New Roman" w:eastAsia="宋体"/>
          <w:sz w:val="24"/>
          <w:szCs w:val="24"/>
          <w:u w:val="single"/>
        </w:rPr>
        <w:t>重汽集团济南卡车制造公司莱芜工厂</w:t>
      </w:r>
    </w:p>
    <w:p>
      <w:pPr>
        <w:spacing w:line="360" w:lineRule="auto"/>
        <w:ind w:firstLine="482" w:firstLineChars="200"/>
        <w:jc w:val="left"/>
        <w:outlineLvl w:val="3"/>
        <w:rPr>
          <w:rFonts w:ascii="宋体" w:hAnsi="宋体" w:eastAsia="宋体" w:cs="宋体"/>
          <w:b/>
          <w:bCs/>
          <w:sz w:val="24"/>
          <w:szCs w:val="24"/>
        </w:rPr>
      </w:pPr>
      <w:r>
        <w:rPr>
          <w:rFonts w:hint="eastAsia" w:ascii="宋体" w:hAnsi="宋体" w:eastAsia="宋体" w:cs="宋体"/>
          <w:b/>
          <w:bCs/>
          <w:sz w:val="24"/>
          <w:szCs w:val="24"/>
        </w:rPr>
        <w:t>三、供货时间</w:t>
      </w:r>
    </w:p>
    <w:p>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1.自合同签定生效之日起，</w:t>
      </w:r>
      <w:r>
        <w:rPr>
          <w:rFonts w:hint="eastAsia" w:ascii="宋体" w:hAnsi="宋体" w:eastAsia="宋体"/>
          <w:sz w:val="24"/>
          <w:szCs w:val="24"/>
          <w:u w:val="single"/>
        </w:rPr>
        <w:t>30</w:t>
      </w:r>
      <w:r>
        <w:rPr>
          <w:rFonts w:hint="eastAsia" w:ascii="宋体" w:hAnsi="宋体" w:eastAsia="宋体"/>
          <w:sz w:val="24"/>
          <w:szCs w:val="24"/>
        </w:rPr>
        <w:t>个日历日之内交货至供货地点。</w:t>
      </w:r>
    </w:p>
    <w:p>
      <w:pPr>
        <w:spacing w:line="360" w:lineRule="auto"/>
        <w:ind w:firstLine="480" w:firstLineChars="200"/>
        <w:jc w:val="left"/>
        <w:rPr>
          <w:rFonts w:hint="default" w:ascii="宋体" w:hAnsi="宋体" w:eastAsia="宋体"/>
          <w:sz w:val="24"/>
          <w:szCs w:val="24"/>
          <w:lang w:val="en-US" w:eastAsia="zh-CN"/>
        </w:rPr>
      </w:pPr>
      <w:r>
        <w:rPr>
          <w:rFonts w:hint="eastAsia" w:ascii="宋体" w:hAnsi="宋体" w:eastAsia="宋体"/>
          <w:sz w:val="24"/>
          <w:szCs w:val="24"/>
        </w:rPr>
        <w:t>2.</w:t>
      </w:r>
      <w:r>
        <w:rPr>
          <w:rFonts w:hint="eastAsia" w:ascii="宋体" w:hAnsi="宋体" w:eastAsia="宋体"/>
          <w:sz w:val="24"/>
          <w:szCs w:val="24"/>
          <w:highlight w:val="yellow"/>
        </w:rPr>
        <w:t>接续</w:t>
      </w:r>
      <w:r>
        <w:rPr>
          <w:rFonts w:hint="eastAsia" w:ascii="宋体" w:hAnsi="宋体" w:eastAsia="宋体"/>
          <w:sz w:val="24"/>
          <w:szCs w:val="24"/>
          <w:highlight w:val="yellow"/>
          <w:u w:val="single"/>
          <w:lang w:val="en-US" w:eastAsia="zh-CN"/>
        </w:rPr>
        <w:t>15</w:t>
      </w:r>
      <w:r>
        <w:rPr>
          <w:rFonts w:hint="eastAsia" w:ascii="宋体" w:hAnsi="宋体" w:eastAsia="宋体"/>
          <w:sz w:val="24"/>
          <w:szCs w:val="24"/>
          <w:highlight w:val="yellow"/>
        </w:rPr>
        <w:t>个日历日之内安装调试完毕</w:t>
      </w:r>
      <w:r>
        <w:rPr>
          <w:rFonts w:hint="eastAsia" w:ascii="宋体" w:hAnsi="宋体" w:eastAsia="宋体"/>
          <w:sz w:val="24"/>
          <w:szCs w:val="24"/>
          <w:highlight w:val="yellow"/>
          <w:lang w:eastAsia="zh-CN"/>
        </w:rPr>
        <w:t>，</w:t>
      </w:r>
      <w:r>
        <w:rPr>
          <w:rFonts w:hint="eastAsia" w:ascii="宋体" w:hAnsi="宋体" w:eastAsia="宋体"/>
          <w:sz w:val="24"/>
          <w:szCs w:val="24"/>
          <w:highlight w:val="yellow"/>
          <w:lang w:val="en-US" w:eastAsia="zh-CN"/>
        </w:rPr>
        <w:t>施工过程进行隔离，不影响生产。安装完成后</w:t>
      </w:r>
      <w:r>
        <w:rPr>
          <w:rFonts w:hint="eastAsia" w:ascii="宋体" w:hAnsi="宋体" w:eastAsia="宋体"/>
          <w:sz w:val="24"/>
          <w:szCs w:val="24"/>
          <w:highlight w:val="yellow"/>
          <w:u w:val="single"/>
          <w:lang w:val="en-US" w:eastAsia="zh-CN"/>
        </w:rPr>
        <w:t>15</w:t>
      </w:r>
      <w:r>
        <w:rPr>
          <w:rFonts w:hint="eastAsia" w:ascii="宋体" w:hAnsi="宋体" w:eastAsia="宋体"/>
          <w:sz w:val="24"/>
          <w:szCs w:val="24"/>
          <w:highlight w:val="yellow"/>
        </w:rPr>
        <w:t>个日历日</w:t>
      </w:r>
      <w:r>
        <w:rPr>
          <w:rFonts w:hint="eastAsia" w:ascii="宋体" w:hAnsi="宋体" w:eastAsia="宋体"/>
          <w:sz w:val="24"/>
          <w:szCs w:val="24"/>
          <w:highlight w:val="yellow"/>
          <w:lang w:val="en-US" w:eastAsia="zh-CN"/>
        </w:rPr>
        <w:t>内中标方负责为招标方向当地特种设备主管部门取得验收报告，通过验收。起重机终验收在招标方所在地进行，验收按合同、技术协议、中标方提供的自检报告书以及国家相关标准进行验收。</w:t>
      </w:r>
    </w:p>
    <w:p>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安装调试时间或终验收时间超过规定时间的，投标人应当随标书提供详细的工期计划。</w:t>
      </w:r>
    </w:p>
    <w:p>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四、包装</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5.每个包装件应有装箱单，并至少标明名称、型号规格、数量、净重和毛重、投标人（或供货商）名称和制造日期等相关内容。</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8.包装箱应连续编号，不应出现重复编号。</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pPr>
        <w:adjustRightInd w:val="0"/>
        <w:snapToGrid w:val="0"/>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五、运输</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2.同批货物（或设备）应统一包装、编号运输。</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4.在每批货物（或设备）发出后，应立即通知买方；通知中应指明：合同号、货运单号、件数、重量和货物（或设备）发出日期等相关内容。</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5.货物（或设备）运抵交货地点后，应负责货物（或设备）的卸货、搬运、保管等事宜，或按照合同约定。</w:t>
      </w:r>
    </w:p>
    <w:p>
      <w:pPr>
        <w:widowControl/>
        <w:spacing w:line="360" w:lineRule="auto"/>
        <w:jc w:val="left"/>
        <w:rPr>
          <w:rFonts w:ascii="宋体" w:hAnsi="宋体" w:eastAsia="宋体"/>
          <w:szCs w:val="20"/>
        </w:rPr>
      </w:pPr>
    </w:p>
    <w:p>
      <w:pPr>
        <w:keepNext/>
        <w:keepLines/>
        <w:spacing w:line="360" w:lineRule="auto"/>
        <w:jc w:val="center"/>
        <w:outlineLvl w:val="1"/>
        <w:rPr>
          <w:rFonts w:ascii="宋体" w:hAnsi="宋体" w:eastAsia="宋体"/>
          <w:b/>
          <w:bCs/>
          <w:kern w:val="44"/>
          <w:sz w:val="28"/>
          <w:szCs w:val="28"/>
        </w:rPr>
      </w:pPr>
      <w:bookmarkStart w:id="40" w:name="_Toc169605884"/>
      <w:r>
        <w:rPr>
          <w:rFonts w:hint="eastAsia" w:ascii="宋体" w:hAnsi="宋体" w:eastAsia="宋体"/>
          <w:b/>
          <w:bCs/>
          <w:kern w:val="44"/>
          <w:sz w:val="28"/>
          <w:szCs w:val="28"/>
        </w:rPr>
        <w:t>第四章质保期及售后服务</w:t>
      </w:r>
      <w:bookmarkEnd w:id="40"/>
    </w:p>
    <w:p>
      <w:pPr>
        <w:pStyle w:val="121"/>
        <w:spacing w:line="360" w:lineRule="auto"/>
        <w:rPr>
          <w:rFonts w:ascii="宋体" w:hAnsi="宋体"/>
        </w:rPr>
      </w:pPr>
      <w:r>
        <w:rPr>
          <w:rFonts w:hint="eastAsia" w:ascii="宋体" w:hAnsi="宋体"/>
        </w:rPr>
        <w:t>一、质保期及质保要求</w:t>
      </w:r>
    </w:p>
    <w:p>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1</w:t>
      </w:r>
      <w:r>
        <w:rPr>
          <w:rFonts w:hint="eastAsia" w:ascii="宋体" w:hAnsi="宋体" w:eastAsia="宋体" w:cs="宋体"/>
          <w:sz w:val="24"/>
          <w:szCs w:val="24"/>
        </w:rPr>
        <w:t>.全部供货范围内的设备、材料、零配件和工器具等，除合同特别约定外，其质保期均自终验收签字生效之日起</w:t>
      </w:r>
      <w:r>
        <w:rPr>
          <w:rFonts w:hint="eastAsia" w:ascii="宋体" w:hAnsi="宋体" w:eastAsia="宋体" w:cs="宋体"/>
          <w:sz w:val="24"/>
          <w:szCs w:val="24"/>
          <w:u w:val="single"/>
        </w:rPr>
        <w:t>12</w:t>
      </w:r>
      <w:r>
        <w:rPr>
          <w:rFonts w:hint="eastAsia" w:ascii="宋体" w:hAnsi="宋体" w:eastAsia="宋体" w:cs="宋体"/>
          <w:sz w:val="24"/>
          <w:szCs w:val="24"/>
        </w:rPr>
        <w:t>个月。</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投标货物或涉及的关键总成和零件，如果有更长时间质保期，允许更改并说明，此将有利于投标人。</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.质保期之内，如果货物出现设备、总成、关键零部件或者多处一般零部件的二次以上的更换或维修行为，则质保期自更换或维修行为结束、货物重新正常运行使用之日起重新计算。</w:t>
      </w:r>
    </w:p>
    <w:p>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3</w:t>
      </w:r>
      <w:r>
        <w:rPr>
          <w:rFonts w:hint="eastAsia" w:ascii="宋体" w:hAnsi="宋体" w:eastAsia="宋体" w:cs="宋体"/>
          <w:sz w:val="24"/>
          <w:szCs w:val="24"/>
        </w:rPr>
        <w:t>.质保期内免费提供零部件和及时有效的服务。质保期内因货物本身缺陷造成的各种故障，卖方应负责免费维修和服务。</w:t>
      </w:r>
    </w:p>
    <w:p>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.质保期终止之日起</w:t>
      </w:r>
      <w:r>
        <w:rPr>
          <w:rFonts w:hint="eastAsia" w:ascii="宋体" w:hAnsi="宋体" w:eastAsia="宋体" w:cs="宋体"/>
          <w:sz w:val="24"/>
          <w:szCs w:val="24"/>
          <w:u w:val="single"/>
        </w:rPr>
        <w:t>一年内</w:t>
      </w:r>
      <w:r>
        <w:rPr>
          <w:rFonts w:hint="eastAsia" w:ascii="宋体" w:hAnsi="宋体" w:eastAsia="宋体" w:cs="宋体"/>
          <w:sz w:val="24"/>
          <w:szCs w:val="24"/>
        </w:rPr>
        <w:t>重复出现的质保期之内出现的故障，仍属质保范围而且应当免费。</w:t>
      </w:r>
    </w:p>
    <w:p>
      <w:pPr>
        <w:adjustRightInd w:val="0"/>
        <w:snapToGrid w:val="0"/>
        <w:spacing w:line="360" w:lineRule="auto"/>
        <w:ind w:firstLine="480" w:firstLineChars="200"/>
      </w:pPr>
      <w:r>
        <w:rPr>
          <w:rFonts w:hint="eastAsia" w:ascii="Times New Roman" w:hAnsi="Times New Roman" w:eastAsia="宋体"/>
          <w:sz w:val="24"/>
          <w:szCs w:val="24"/>
        </w:rPr>
        <w:t>5.软件要具备升级功能，在投产后十年内中标方负责为业主方免费升级。</w:t>
      </w:r>
    </w:p>
    <w:p>
      <w:pPr>
        <w:pStyle w:val="121"/>
        <w:spacing w:line="360" w:lineRule="auto"/>
        <w:rPr>
          <w:rFonts w:ascii="宋体" w:hAnsi="宋体" w:cs="宋体"/>
        </w:rPr>
      </w:pPr>
      <w:r>
        <w:rPr>
          <w:rFonts w:hint="eastAsia" w:ascii="宋体" w:hAnsi="宋体" w:cs="宋体"/>
        </w:rPr>
        <w:t>二、技术</w:t>
      </w:r>
      <w:r>
        <w:rPr>
          <w:rFonts w:hint="eastAsia" w:ascii="宋体" w:hAnsi="宋体"/>
        </w:rPr>
        <w:t>指导</w:t>
      </w:r>
      <w:r>
        <w:rPr>
          <w:rFonts w:hint="eastAsia" w:ascii="宋体" w:hAnsi="宋体" w:cs="宋体"/>
        </w:rPr>
        <w:t>及培训服务</w:t>
      </w:r>
    </w:p>
    <w:p>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1.应负责在买方货物使用现场，对技术、维修和操作人员提供免费的理论、技术和操作、维修等方面的技术指导和培训，并接受买方有关人员的技术咨询。培训工作日不少于</w:t>
      </w:r>
      <w:r>
        <w:rPr>
          <w:rFonts w:hint="eastAsia" w:ascii="宋体" w:hAnsi="宋体" w:eastAsia="宋体"/>
          <w:color w:val="000000"/>
          <w:sz w:val="24"/>
          <w:szCs w:val="24"/>
          <w:u w:val="single"/>
          <w:shd w:val="pct10" w:color="auto" w:fill="FFFFFF"/>
        </w:rPr>
        <w:t>2</w:t>
      </w:r>
      <w:r>
        <w:rPr>
          <w:rFonts w:hint="eastAsia" w:ascii="宋体" w:hAnsi="宋体" w:eastAsia="宋体"/>
          <w:color w:val="000000"/>
          <w:sz w:val="24"/>
          <w:szCs w:val="24"/>
        </w:rPr>
        <w:t>个日历日。</w:t>
      </w:r>
    </w:p>
    <w:p>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2.应免费提供一定数量的培训资料。</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3.投标方应按要求，免费积极协助和提供招标人和招标人所委托的工程设计单位有关人员所需要的、和设备（或材料）有关的工程设计资料、技术咨询等；</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若投标方提供设备（或材料）的技术质量等，与投标方外购的设备（或材料）技术质量等有较大或直接关联时，投标方应能得到其外购设备（或材料）制造厂商（或供应商）的技术支持，并免费为招标人提供技术服务（包括设计文件的审查和审定）；</w:t>
      </w:r>
    </w:p>
    <w:p>
      <w:pPr>
        <w:spacing w:line="360" w:lineRule="auto"/>
        <w:ind w:firstLine="480" w:firstLineChars="200"/>
        <w:rPr>
          <w:rFonts w:ascii="宋体" w:hAnsi="宋体" w:eastAsia="宋体"/>
          <w:sz w:val="24"/>
          <w:szCs w:val="24"/>
        </w:rPr>
      </w:pPr>
      <w:r>
        <w:rPr>
          <w:rFonts w:hint="eastAsia" w:ascii="宋体" w:hAnsi="宋体" w:eastAsia="宋体"/>
          <w:sz w:val="24"/>
          <w:szCs w:val="24"/>
        </w:rPr>
        <w:t>5.投标方负责制定对招标人人员在运行、维修和试验等方面的培训计划，并有专人负责实施培训计划，应进行相关安全环保注意事项的培训，并提供相关人员、设备安全作业资质的要求，负责指导招标人受培训人员正确理解设计和制造意图，认识设备的特点和特性，掌握在运行、维修和使用管理中应遵守的规则等方面的综合知识；</w:t>
      </w:r>
    </w:p>
    <w:p>
      <w:pPr>
        <w:pStyle w:val="8"/>
        <w:rPr>
          <w:rFonts w:ascii="宋体" w:hAnsi="宋体" w:eastAsia="宋体"/>
          <w:color w:val="000000"/>
          <w:sz w:val="24"/>
          <w:szCs w:val="24"/>
        </w:rPr>
      </w:pPr>
      <w:r>
        <w:rPr>
          <w:rFonts w:hint="eastAsia" w:ascii="宋体" w:hAnsi="宋体" w:eastAsia="宋体"/>
          <w:sz w:val="24"/>
          <w:szCs w:val="24"/>
        </w:rPr>
        <w:t>6.投标方提供的改造方式、新增设备内容，建议在试用确认无误之后，再批量生产，否则因此造成的损失，由投标方承担。</w:t>
      </w:r>
    </w:p>
    <w:p>
      <w:pPr>
        <w:pStyle w:val="121"/>
        <w:spacing w:line="360" w:lineRule="auto"/>
        <w:rPr>
          <w:rFonts w:ascii="宋体" w:hAnsi="宋体" w:cs="宋体"/>
        </w:rPr>
      </w:pPr>
      <w:r>
        <w:rPr>
          <w:rFonts w:hint="eastAsia" w:ascii="宋体" w:hAnsi="宋体" w:cs="宋体"/>
        </w:rPr>
        <w:t>三、安装调试及验收服务</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安装调试与验收期间，若投标方提供设备的技术质量等，与投标方外购的设备技术质量等有较大或直接关联时，投标方应能得到其外购设备制造厂商（或供应商）的技术支持，并免费为招标人提供安装使用现场的指导与协调；</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2投标方免费负责设备的安装、调试，并接受用户的技术咨询；</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3投标方是否提供有偿的还是免费的、指导安装调试还是负责安装调试，至少应在投标文件的服务章节中，予以明确说明；</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4卖方进入买方现场进行安装调试过程中，应进行相关安全环保注意事项的培训，并提供相关人员、设备安全作业资质的要求。</w:t>
      </w:r>
    </w:p>
    <w:p>
      <w:pPr>
        <w:spacing w:line="360" w:lineRule="auto"/>
        <w:ind w:firstLine="480" w:firstLineChars="200"/>
        <w:rPr>
          <w:rFonts w:ascii="宋体" w:hAnsi="宋体" w:eastAsia="宋体"/>
          <w:sz w:val="24"/>
          <w:szCs w:val="24"/>
        </w:rPr>
      </w:pPr>
      <w:r>
        <w:rPr>
          <w:rFonts w:hint="eastAsia" w:ascii="宋体" w:hAnsi="宋体" w:eastAsia="宋体"/>
          <w:sz w:val="24"/>
          <w:szCs w:val="24"/>
        </w:rPr>
        <w:t>5设备供方配合</w:t>
      </w:r>
      <w:r>
        <w:rPr>
          <w:rFonts w:hint="eastAsia" w:ascii="宋体" w:hAnsi="宋体" w:eastAsia="宋体"/>
          <w:sz w:val="24"/>
          <w:szCs w:val="24"/>
          <w:lang w:eastAsia="zh-CN"/>
        </w:rPr>
        <w:t>招标方</w:t>
      </w:r>
      <w:r>
        <w:rPr>
          <w:rFonts w:hint="eastAsia" w:ascii="宋体" w:hAnsi="宋体" w:eastAsia="宋体"/>
          <w:sz w:val="24"/>
          <w:szCs w:val="24"/>
        </w:rPr>
        <w:t>完成设备数据采集的调试工作，包括但不限于提供设备PLC程序（无密码），接口调试等工作。</w:t>
      </w:r>
    </w:p>
    <w:p>
      <w:pPr>
        <w:spacing w:line="360" w:lineRule="auto"/>
        <w:ind w:firstLine="480" w:firstLineChars="200"/>
        <w:rPr>
          <w:rFonts w:ascii="宋体" w:hAnsi="宋体" w:eastAsia="宋体"/>
          <w:sz w:val="24"/>
          <w:szCs w:val="24"/>
        </w:rPr>
      </w:pPr>
      <w:r>
        <w:rPr>
          <w:rFonts w:hint="eastAsia" w:ascii="宋体" w:hAnsi="宋体" w:eastAsia="宋体"/>
          <w:sz w:val="24"/>
          <w:szCs w:val="24"/>
        </w:rPr>
        <w:t>6投标人在招标人现场进行的、指导或负责的、设备（或材料）的预验收和终验收，应当是免费的，陪同生产时间不少于</w:t>
      </w:r>
      <w:r>
        <w:rPr>
          <w:rFonts w:hint="eastAsia" w:ascii="宋体" w:hAnsi="宋体" w:eastAsia="宋体"/>
          <w:sz w:val="24"/>
          <w:szCs w:val="24"/>
          <w:u w:val="single"/>
        </w:rPr>
        <w:t>15</w:t>
      </w:r>
      <w:r>
        <w:rPr>
          <w:rFonts w:hint="eastAsia" w:ascii="宋体" w:hAnsi="宋体" w:eastAsia="宋体"/>
          <w:sz w:val="24"/>
          <w:szCs w:val="24"/>
        </w:rPr>
        <w:t>天；</w:t>
      </w:r>
    </w:p>
    <w:p>
      <w:pPr>
        <w:spacing w:line="360" w:lineRule="auto"/>
        <w:ind w:firstLine="480" w:firstLineChars="200"/>
        <w:rPr>
          <w:rFonts w:ascii="宋体" w:hAnsi="宋体" w:eastAsia="宋体"/>
          <w:sz w:val="24"/>
          <w:szCs w:val="24"/>
        </w:rPr>
      </w:pPr>
      <w:r>
        <w:rPr>
          <w:rFonts w:hint="eastAsia" w:ascii="宋体" w:hAnsi="宋体" w:eastAsia="宋体"/>
          <w:sz w:val="24"/>
          <w:szCs w:val="24"/>
        </w:rPr>
        <w:t>7设备（或材料）验收时，若投标人提供设备（或材料）的技术质量等，与投标人外购的设备（或材料）技术质量等有较大或直接关联时，投标人应能得到其外购设备（或材料）制造厂商（或供应商）的技术支持，并免费提供其必要的现场指导与协调；</w:t>
      </w:r>
    </w:p>
    <w:p>
      <w:pPr>
        <w:spacing w:line="360" w:lineRule="auto"/>
        <w:ind w:firstLine="480" w:firstLineChars="200"/>
        <w:rPr>
          <w:rFonts w:ascii="宋体" w:hAnsi="宋体" w:eastAsia="宋体"/>
          <w:sz w:val="24"/>
          <w:szCs w:val="24"/>
        </w:rPr>
      </w:pPr>
      <w:r>
        <w:rPr>
          <w:rFonts w:hint="eastAsia" w:ascii="宋体" w:hAnsi="宋体" w:eastAsia="宋体"/>
          <w:sz w:val="24"/>
          <w:szCs w:val="24"/>
        </w:rPr>
        <w:t>8在投标人所提供设备需要得到招标人建设项目所在地政府或行业主管部门的查验、试验、验收时，投标人应当免费协助招标人完成所需要的工作、材料和服务等。</w:t>
      </w:r>
    </w:p>
    <w:p>
      <w:pPr>
        <w:pStyle w:val="121"/>
        <w:spacing w:line="360" w:lineRule="auto"/>
        <w:rPr>
          <w:rFonts w:ascii="宋体" w:hAnsi="宋体" w:cs="宋体"/>
        </w:rPr>
      </w:pPr>
      <w:r>
        <w:rPr>
          <w:rFonts w:hint="eastAsia" w:ascii="宋体" w:hAnsi="宋体" w:cs="宋体"/>
        </w:rPr>
        <w:t>四、售后服务</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1在质保期之内，如发现投标人所提供的设备（或材料）存在问题，需要投标人配合解决时，投标人须在接到通知后市内2小时、省内8小时、省外24小时内派有关人员到达现场，解决问题；</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2在质保期之后，如发现投标人所提供的设备（或材料）存在问题，需要投标人配合解决时，投标人须在接到通知后市内2小时、省内8小时、省外24小时内派有关人员到达现场，协助招标人解决问题；</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3所有的售后服务均由投标人受理。如果发生问题并且收到报告，应当在2小时内予以答复；</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4投标人应为招标人提供最佳的服务。</w:t>
      </w:r>
    </w:p>
    <w:p>
      <w:pPr>
        <w:spacing w:line="360" w:lineRule="auto"/>
        <w:ind w:firstLine="480" w:firstLineChars="200"/>
        <w:rPr>
          <w:rFonts w:ascii="宋体" w:hAnsi="宋体" w:eastAsia="宋体"/>
          <w:sz w:val="24"/>
          <w:szCs w:val="24"/>
        </w:rPr>
      </w:pPr>
      <w:r>
        <w:rPr>
          <w:rFonts w:hint="eastAsia" w:ascii="宋体" w:hAnsi="宋体" w:eastAsia="宋体"/>
          <w:sz w:val="24"/>
          <w:szCs w:val="24"/>
        </w:rPr>
        <w:t>5 在工具设备使用寿命内，投标人应向招标人提供充足的备品备件、易损件和专用耗材，自招标人提出采购需求至交货，周期不得长于15天，也可提供备用工具设备，提供周期不得长于3天。</w:t>
      </w:r>
    </w:p>
    <w:p>
      <w:pPr>
        <w:spacing w:line="360" w:lineRule="auto"/>
        <w:ind w:firstLine="480" w:firstLineChars="200"/>
        <w:rPr>
          <w:rFonts w:ascii="宋体" w:hAnsi="宋体" w:eastAsia="宋体"/>
          <w:sz w:val="24"/>
          <w:szCs w:val="24"/>
        </w:rPr>
      </w:pPr>
      <w:r>
        <w:rPr>
          <w:rFonts w:hint="eastAsia" w:ascii="宋体" w:hAnsi="宋体" w:eastAsia="宋体"/>
          <w:sz w:val="24"/>
          <w:szCs w:val="24"/>
        </w:rPr>
        <w:t>6 在工具设备使用寿命周期内，投标人每年至少开展1次工具及软件使用、工具设备维修保养等方面的培训工作。</w:t>
      </w:r>
    </w:p>
    <w:p>
      <w:pPr>
        <w:spacing w:line="360" w:lineRule="auto"/>
        <w:ind w:firstLine="480" w:firstLineChars="200"/>
        <w:rPr>
          <w:rFonts w:ascii="宋体" w:hAnsi="宋体" w:eastAsia="宋体"/>
          <w:sz w:val="24"/>
          <w:szCs w:val="24"/>
        </w:rPr>
      </w:pPr>
      <w:r>
        <w:rPr>
          <w:rFonts w:hint="eastAsia" w:ascii="宋体" w:hAnsi="宋体" w:eastAsia="宋体"/>
          <w:sz w:val="24"/>
          <w:szCs w:val="24"/>
        </w:rPr>
        <w:t>7</w:t>
      </w:r>
      <w:r>
        <w:rPr>
          <w:rFonts w:ascii="宋体" w:hAnsi="宋体" w:eastAsia="宋体"/>
          <w:sz w:val="24"/>
          <w:szCs w:val="24"/>
        </w:rPr>
        <w:t>.卖方派往买方使用现场的人员，应具有较高的业务素质；现场解决问题时，不得无故拖延或推迟，应为买方提供最佳的服务。</w:t>
      </w:r>
    </w:p>
    <w:p>
      <w:pPr>
        <w:pStyle w:val="121"/>
        <w:spacing w:line="360" w:lineRule="auto"/>
        <w:rPr>
          <w:rFonts w:ascii="宋体" w:hAnsi="宋体" w:cs="宋体"/>
        </w:rPr>
      </w:pPr>
      <w:r>
        <w:rPr>
          <w:rFonts w:hint="eastAsia" w:ascii="宋体" w:hAnsi="宋体" w:cs="宋体"/>
        </w:rPr>
        <w:t>五、其它服务</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1.若卖方所提供货物有需要进口的，卖方一般应自行、自费办理；必要时，买卖双方共同办理。</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2.除招标文件、投标文件、答疑文件、技术标书、合同等约定之外，卖方应免费负责必要的或强制性的货物的检验、试验、化验等直接费用。</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3.运输服务，投标方负责将设备按要求运至</w:t>
      </w:r>
      <w:r>
        <w:rPr>
          <w:rFonts w:hint="eastAsia" w:ascii="Times New Roman" w:hAnsi="Times New Roman" w:eastAsia="宋体"/>
          <w:sz w:val="24"/>
          <w:szCs w:val="24"/>
        </w:rPr>
        <w:t>济南卡车制造公司</w:t>
      </w:r>
      <w:r>
        <w:rPr>
          <w:rFonts w:ascii="Times New Roman" w:hAnsi="Times New Roman" w:eastAsia="宋体"/>
          <w:sz w:val="24"/>
          <w:szCs w:val="24"/>
        </w:rPr>
        <w:t>（章丘重汽工业园）</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4.本章节条款所列“免费”，并非指定不可收费，而是指招标文件、投标文件、答疑文件、技术交流文件、技术标书和合同等范围之外，投标人不可另行收取的费用。</w:t>
      </w:r>
    </w:p>
    <w:p>
      <w:pPr>
        <w:pStyle w:val="2"/>
      </w:pPr>
    </w:p>
    <w:p>
      <w:pPr>
        <w:keepNext/>
        <w:keepLines/>
        <w:numPr>
          <w:ilvl w:val="0"/>
          <w:numId w:val="18"/>
        </w:numPr>
        <w:spacing w:line="360" w:lineRule="auto"/>
        <w:jc w:val="center"/>
        <w:outlineLvl w:val="1"/>
        <w:rPr>
          <w:rFonts w:hint="eastAsia" w:ascii="宋体" w:hAnsi="宋体" w:eastAsia="宋体"/>
          <w:b/>
          <w:bCs/>
          <w:kern w:val="44"/>
          <w:sz w:val="28"/>
          <w:szCs w:val="28"/>
        </w:rPr>
      </w:pPr>
      <w:bookmarkStart w:id="41" w:name="_Toc465187646"/>
      <w:r>
        <w:rPr>
          <w:rFonts w:hint="eastAsia" w:ascii="宋体" w:hAnsi="宋体" w:eastAsia="宋体"/>
          <w:b/>
          <w:bCs/>
          <w:kern w:val="44"/>
          <w:sz w:val="28"/>
          <w:szCs w:val="28"/>
        </w:rPr>
        <w:t xml:space="preserve"> </w:t>
      </w:r>
      <w:r>
        <w:rPr>
          <w:rFonts w:hint="eastAsia" w:ascii="宋体" w:hAnsi="宋体" w:eastAsia="宋体"/>
          <w:b/>
          <w:bCs/>
          <w:kern w:val="44"/>
          <w:sz w:val="28"/>
          <w:szCs w:val="28"/>
          <w:lang w:val="en-US" w:eastAsia="zh-CN"/>
        </w:rPr>
        <w:t>预验收与</w:t>
      </w:r>
      <w:r>
        <w:rPr>
          <w:rFonts w:hint="eastAsia" w:ascii="宋体" w:hAnsi="宋体" w:eastAsia="宋体"/>
          <w:b/>
          <w:bCs/>
          <w:kern w:val="44"/>
          <w:sz w:val="28"/>
          <w:szCs w:val="28"/>
        </w:rPr>
        <w:t>终验收</w:t>
      </w:r>
      <w:bookmarkEnd w:id="41"/>
    </w:p>
    <w:p>
      <w:pPr>
        <w:pStyle w:val="121"/>
        <w:spacing w:line="360" w:lineRule="auto"/>
        <w:rPr>
          <w:rFonts w:hint="eastAsia" w:ascii="宋体" w:hAnsi="宋体"/>
          <w:color w:val="auto"/>
          <w:lang w:val="en-US" w:eastAsia="zh-CN"/>
        </w:rPr>
      </w:pPr>
      <w:r>
        <w:rPr>
          <w:rFonts w:hint="eastAsia" w:ascii="宋体" w:hAnsi="宋体"/>
          <w:color w:val="auto"/>
          <w:lang w:val="en-US" w:eastAsia="zh-CN"/>
        </w:rPr>
        <w:t>一、验收依据和验收标准</w:t>
      </w:r>
    </w:p>
    <w:p>
      <w:pPr>
        <w:pStyle w:val="121"/>
        <w:spacing w:line="360" w:lineRule="auto"/>
        <w:rPr>
          <w:rFonts w:hint="eastAsia"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1、验收标准一般以技术协议书和合同规定验收。无论技术协议书和合同，是否全部并准确列明验收所涉及的相关标准，均作为验收标准之一。</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2、如果验收过程中，发现招标文件、投标文件、答疑文件、技术交流文件等与技术协议书、合同存在差异，原则上以涉及条款中对买方最有利条款为验收依据。</w:t>
      </w:r>
    </w:p>
    <w:p>
      <w:pPr>
        <w:pStyle w:val="121"/>
        <w:spacing w:line="360" w:lineRule="auto"/>
        <w:rPr>
          <w:rFonts w:hint="eastAsia" w:ascii="宋体" w:hAnsi="宋体"/>
          <w:color w:val="auto"/>
          <w:lang w:val="en-US" w:eastAsia="zh-CN"/>
        </w:rPr>
      </w:pPr>
      <w:r>
        <w:rPr>
          <w:rFonts w:hint="eastAsia" w:ascii="宋体" w:hAnsi="宋体"/>
          <w:color w:val="auto"/>
          <w:lang w:val="en-US" w:eastAsia="zh-CN"/>
        </w:rPr>
        <w:t>二、检验</w:t>
      </w:r>
    </w:p>
    <w:p>
      <w:pPr>
        <w:pStyle w:val="121"/>
        <w:spacing w:line="360" w:lineRule="auto"/>
        <w:rPr>
          <w:rFonts w:hint="eastAsia"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如果采购货物涉及必要的或必需的检验，投标方应当在投标文件中明确可能涉及的检验费用，并将该费用包含在投标总报价之内；不作针对性澄清或说明的，视同包含在投标总价之内。基本约定如下：</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1、国产货物的检验一般由买卖双方共同进行或按照合同要求进行。</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2、进口货物的检验，卖方需要按照下述要求进行：</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2.1  进口货物发货前，应对货物的质量、型号、规格、性能和数量/重量作精密、全面的检验，并出具证明书，证明所供货物符合合同规定。</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2.2  应依据合同规定的要求，提供买卖双方达成一致的货物的验收标准和装箱单，作为买方检验的依据。</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2.3  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卖方提出索赔，因索赔所发生的一切费用(包括检验检疫费等)均由卖方承担。</w:t>
      </w:r>
    </w:p>
    <w:p>
      <w:pPr>
        <w:pStyle w:val="121"/>
        <w:spacing w:line="360" w:lineRule="auto"/>
        <w:rPr>
          <w:rFonts w:hint="eastAsia" w:ascii="宋体" w:hAnsi="宋体"/>
          <w:color w:val="auto"/>
          <w:lang w:val="en-US" w:eastAsia="zh-CN"/>
        </w:rPr>
      </w:pPr>
      <w:r>
        <w:rPr>
          <w:rFonts w:hint="eastAsia" w:ascii="宋体" w:hAnsi="宋体"/>
          <w:color w:val="auto"/>
          <w:lang w:val="en-US" w:eastAsia="zh-CN"/>
        </w:rPr>
        <w:t>三、验收基本条件</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买卖双方按照合同约定执行了合同，同时货物完成了试运行并经检验合格，则具备验收条件。</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1、验收一般条件</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  卖方已经按照“供货范围”要求提供了验收资料，并且资料齐全、完整和有效。</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  货物安装调试完毕，</w:t>
      </w:r>
      <w:r>
        <w:rPr>
          <w:rFonts w:hint="eastAsia" w:ascii="宋体" w:hAnsi="宋体" w:eastAsia="宋体" w:cs="宋体"/>
          <w:color w:val="000000"/>
          <w:sz w:val="24"/>
          <w:szCs w:val="24"/>
          <w:lang w:val="en-US" w:eastAsia="zh-CN"/>
        </w:rPr>
        <w:t>在正常工况下运行30日</w:t>
      </w:r>
      <w:r>
        <w:rPr>
          <w:rFonts w:hint="eastAsia" w:ascii="宋体" w:hAnsi="宋体" w:eastAsia="宋体" w:cs="宋体"/>
          <w:color w:val="000000"/>
          <w:sz w:val="24"/>
          <w:szCs w:val="24"/>
        </w:rPr>
        <w:t>。</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  货物正常运行时，噪声等环境影响因素满足国家和当地环保主管部门规定，安全措施落实、有效。</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 xml:space="preserve">  试运行期间或之后无维修、调整等行为（特殊情况除外）。</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 xml:space="preserve">  货物</w:t>
      </w:r>
      <w:r>
        <w:rPr>
          <w:rFonts w:hint="eastAsia" w:ascii="宋体" w:hAnsi="宋体" w:eastAsia="宋体" w:cs="宋体"/>
          <w:color w:val="000000"/>
          <w:sz w:val="24"/>
          <w:szCs w:val="24"/>
          <w:lang w:val="en-US" w:eastAsia="zh-CN"/>
        </w:rPr>
        <w:t>规格型号</w:t>
      </w:r>
      <w:r>
        <w:rPr>
          <w:rFonts w:hint="eastAsia" w:ascii="宋体" w:hAnsi="宋体" w:eastAsia="宋体" w:cs="宋体"/>
          <w:color w:val="000000"/>
          <w:sz w:val="24"/>
          <w:szCs w:val="24"/>
        </w:rPr>
        <w:t>、技术性能等，达到签定的技术协议书和合同规定的终验收标准。</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2、验收基本要求</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2.1  货物允许情况下，一般先进行</w:t>
      </w:r>
      <w:r>
        <w:rPr>
          <w:rFonts w:hint="eastAsia" w:ascii="宋体" w:hAnsi="宋体" w:eastAsia="宋体" w:cs="宋体"/>
          <w:color w:val="000000"/>
          <w:sz w:val="24"/>
          <w:szCs w:val="24"/>
          <w:lang w:val="en-US" w:eastAsia="zh-CN"/>
        </w:rPr>
        <w:t>行车无载荷运行3次</w:t>
      </w:r>
      <w:r>
        <w:rPr>
          <w:rFonts w:hint="eastAsia" w:ascii="宋体" w:hAnsi="宋体" w:eastAsia="宋体" w:cs="宋体"/>
          <w:color w:val="000000"/>
          <w:sz w:val="24"/>
          <w:szCs w:val="24"/>
        </w:rPr>
        <w:t>，然后再进行负荷运行</w:t>
      </w:r>
      <w:r>
        <w:rPr>
          <w:rFonts w:hint="eastAsia" w:ascii="宋体" w:hAnsi="宋体" w:eastAsia="宋体" w:cs="宋体"/>
          <w:color w:val="000000"/>
          <w:sz w:val="24"/>
          <w:szCs w:val="24"/>
          <w:lang w:val="en-US" w:eastAsia="zh-CN"/>
        </w:rPr>
        <w:t>3次，验证各个行车最大起重吨数</w:t>
      </w:r>
      <w:r>
        <w:rPr>
          <w:rFonts w:hint="eastAsia" w:ascii="宋体" w:hAnsi="宋体" w:eastAsia="宋体" w:cs="宋体"/>
          <w:color w:val="000000"/>
          <w:sz w:val="24"/>
          <w:szCs w:val="24"/>
        </w:rPr>
        <w:t>。</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2.2  出现下列问题之一，视作验收失败：</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2.2.1  在整个验收过程中发生关键零部件损坏或重大故障；</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2.2.2  一般性故障超过 2 次；</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2.2.3  所有出现的维修调整，每次时间均超过90分钟；所有维修调整时间的总和超过总运行时间的 5%；</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2.2.4  更换的零部件货值超过总货值的3%。</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2.3  累计负载运行实际性能（或生产率）达到合同规定；</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2.4  验收原则上要求一次完成。若一次验收不成功，最多允许两次；如果出现第三次验收失败，重新作价或退货；</w:t>
      </w:r>
    </w:p>
    <w:p>
      <w:pPr>
        <w:adjustRightInd w:val="0"/>
        <w:snapToGrid w:val="0"/>
        <w:spacing w:line="360" w:lineRule="auto"/>
        <w:ind w:firstLine="480" w:firstLineChars="200"/>
        <w:rPr>
          <w:rFonts w:hint="default" w:ascii="宋体" w:hAnsi="宋体" w:eastAsia="宋体" w:cs="宋体"/>
          <w:color w:val="000000"/>
          <w:sz w:val="24"/>
          <w:szCs w:val="24"/>
          <w:highlight w:val="yellow"/>
          <w:lang w:val="en-US" w:eastAsia="zh-CN"/>
        </w:rPr>
      </w:pPr>
      <w:r>
        <w:rPr>
          <w:rFonts w:hint="eastAsia" w:ascii="宋体" w:hAnsi="宋体" w:eastAsia="宋体" w:cs="宋体"/>
          <w:color w:val="000000"/>
          <w:sz w:val="24"/>
          <w:szCs w:val="24"/>
          <w:highlight w:val="yellow"/>
          <w:lang w:val="en-US" w:eastAsia="zh-CN"/>
        </w:rPr>
        <w:t>2.5 特种设备的首次注册检定由厂家完成，招标方可以协助提供相关材料，特种设备注册检定证书等相关文件作为验收的必要材料。</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 xml:space="preserve">  验收通过后买卖双方共同签署终验收报告，并移交、核对全部供货范围内物品。</w:t>
      </w:r>
    </w:p>
    <w:p>
      <w:pPr>
        <w:pStyle w:val="18"/>
        <w:outlineLvl w:val="2"/>
        <w:rPr>
          <w:rFonts w:hAnsi="宋体" w:eastAsia="宋体" w:cs="宋体"/>
          <w:b/>
          <w:bCs/>
          <w:color w:val="000000"/>
          <w:sz w:val="24"/>
          <w:szCs w:val="24"/>
        </w:rPr>
        <w:sectPr>
          <w:footerReference r:id="rId12" w:type="first"/>
          <w:footerReference r:id="rId11" w:type="default"/>
          <w:pgSz w:w="16838" w:h="11906" w:orient="landscape"/>
          <w:pgMar w:top="1417" w:right="1588" w:bottom="1417" w:left="1134" w:header="851" w:footer="992" w:gutter="0"/>
          <w:cols w:space="720" w:num="1"/>
          <w:titlePg/>
          <w:docGrid w:type="lines" w:linePitch="312" w:charSpace="0"/>
        </w:sectPr>
      </w:pPr>
    </w:p>
    <w:bookmarkEnd w:id="33"/>
    <w:p>
      <w:pPr>
        <w:pStyle w:val="18"/>
      </w:pPr>
    </w:p>
    <w:p>
      <w:pPr>
        <w:spacing w:line="360" w:lineRule="auto"/>
        <w:jc w:val="center"/>
        <w:outlineLvl w:val="0"/>
        <w:rPr>
          <w:rFonts w:ascii="宋体" w:hAnsi="Calibri" w:eastAsia="宋体" w:cs="Times New Roman"/>
          <w:b/>
          <w:sz w:val="36"/>
          <w:szCs w:val="36"/>
        </w:rPr>
      </w:pPr>
      <w:bookmarkStart w:id="42" w:name="_Toc28859"/>
      <w:r>
        <w:rPr>
          <w:rFonts w:hint="eastAsia" w:ascii="宋体" w:hAnsi="宋体" w:eastAsia="宋体" w:cs="Times New Roman"/>
          <w:b/>
          <w:sz w:val="36"/>
          <w:szCs w:val="36"/>
        </w:rPr>
        <w:t>第</w:t>
      </w:r>
      <w:r>
        <w:rPr>
          <w:rFonts w:hint="eastAsia" w:ascii="宋体" w:hAnsi="宋体" w:eastAsia="宋体" w:cs="Times New Roman"/>
          <w:b/>
          <w:sz w:val="36"/>
          <w:szCs w:val="36"/>
          <w:lang w:val="en-US" w:eastAsia="zh-CN"/>
        </w:rPr>
        <w:t>五</w:t>
      </w:r>
      <w:r>
        <w:rPr>
          <w:rFonts w:hint="eastAsia" w:ascii="宋体" w:hAnsi="宋体" w:eastAsia="宋体" w:cs="Times New Roman"/>
          <w:b/>
          <w:sz w:val="36"/>
          <w:szCs w:val="36"/>
        </w:rPr>
        <w:t>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42"/>
    </w:p>
    <w:p>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spacing w:line="360" w:lineRule="auto"/>
        <w:jc w:val="right"/>
        <w:rPr>
          <w:rFonts w:hint="default" w:ascii="方正小标宋简体" w:hAnsi="方正小标宋简体" w:eastAsia="方正小标宋简体" w:cs="方正小标宋简体"/>
          <w:b/>
          <w:bCs/>
          <w:w w:val="90"/>
          <w:sz w:val="24"/>
          <w:szCs w:val="24"/>
          <w:u w:val="single"/>
          <w:lang w:val="en-US" w:eastAsia="zh-CN"/>
        </w:rPr>
      </w:pPr>
      <w:bookmarkStart w:id="43" w:name="_Toc283814116"/>
      <w:bookmarkStart w:id="44" w:name="_Toc29691"/>
      <w:r>
        <w:rPr>
          <w:rFonts w:hint="eastAsia" w:ascii="仿宋_GB2312" w:hAnsi="仿宋_GB2312" w:eastAsia="仿宋_GB2312" w:cs="仿宋_GB2312"/>
          <w:w w:val="90"/>
          <w:sz w:val="24"/>
          <w:szCs w:val="24"/>
          <w:lang w:val="en-US" w:eastAsia="zh-CN"/>
        </w:rPr>
        <w:t xml:space="preserve"> </w:t>
      </w:r>
    </w:p>
    <w:p>
      <w:pPr>
        <w:spacing w:line="360" w:lineRule="auto"/>
        <w:jc w:val="center"/>
        <w:rPr>
          <w:rFonts w:hint="eastAsia" w:ascii="方正小标宋简体" w:hAnsi="方正小标宋简体" w:eastAsia="方正小标宋简体" w:cs="方正小标宋简体"/>
          <w:w w:val="90"/>
          <w:sz w:val="44"/>
          <w:szCs w:val="44"/>
        </w:rPr>
      </w:pPr>
    </w:p>
    <w:p>
      <w:pPr>
        <w:spacing w:line="360" w:lineRule="auto"/>
        <w:jc w:val="center"/>
        <w:rPr>
          <w:rFonts w:hint="eastAsia" w:ascii="方正小标宋简体" w:hAnsi="方正小标宋简体" w:eastAsia="方正小标宋简体" w:cs="方正小标宋简体"/>
          <w:w w:val="90"/>
          <w:sz w:val="48"/>
          <w:szCs w:val="48"/>
        </w:rPr>
      </w:pPr>
    </w:p>
    <w:p>
      <w:pPr>
        <w:spacing w:line="360" w:lineRule="auto"/>
        <w:jc w:val="center"/>
        <w:rPr>
          <w:rFonts w:hint="eastAsia" w:ascii="方正小标宋简体" w:hAnsi="方正小标宋简体" w:eastAsia="方正小标宋简体" w:cs="方正小标宋简体"/>
          <w:w w:val="90"/>
          <w:sz w:val="48"/>
          <w:szCs w:val="48"/>
        </w:rPr>
      </w:pPr>
    </w:p>
    <w:p>
      <w:pPr>
        <w:spacing w:line="360" w:lineRule="auto"/>
        <w:jc w:val="center"/>
        <w:rPr>
          <w:rFonts w:hint="eastAsia" w:ascii="方正小标宋简体" w:hAnsi="方正小标宋简体" w:eastAsia="方正小标宋简体" w:cs="方正小标宋简体"/>
          <w:w w:val="90"/>
          <w:sz w:val="48"/>
          <w:szCs w:val="48"/>
        </w:rPr>
      </w:pPr>
    </w:p>
    <w:p>
      <w:pPr>
        <w:spacing w:line="360" w:lineRule="auto"/>
        <w:jc w:val="center"/>
        <w:rPr>
          <w:rFonts w:hint="eastAsia" w:ascii="方正小标宋简体" w:hAnsi="方正小标宋简体" w:eastAsia="方正小标宋简体" w:cs="方正小标宋简体"/>
          <w:w w:val="90"/>
          <w:sz w:val="56"/>
          <w:szCs w:val="56"/>
        </w:rPr>
      </w:pPr>
      <w:r>
        <w:rPr>
          <w:rFonts w:hint="eastAsia" w:ascii="方正小标宋简体" w:hAnsi="方正小标宋简体" w:eastAsia="方正小标宋简体" w:cs="方正小标宋简体"/>
          <w:w w:val="90"/>
          <w:sz w:val="56"/>
          <w:szCs w:val="56"/>
        </w:rPr>
        <w:t>设备采购合同</w:t>
      </w:r>
    </w:p>
    <w:p>
      <w:pPr>
        <w:spacing w:line="360" w:lineRule="auto"/>
        <w:jc w:val="center"/>
        <w:rPr>
          <w:rFonts w:hint="eastAsia" w:ascii="方正小标宋简体" w:hAnsi="方正小标宋简体" w:eastAsia="方正小标宋简体" w:cs="方正小标宋简体"/>
          <w:w w:val="90"/>
          <w:sz w:val="56"/>
          <w:szCs w:val="56"/>
          <w:lang w:eastAsia="zh-CN"/>
        </w:rPr>
      </w:pPr>
    </w:p>
    <w:p>
      <w:pPr>
        <w:spacing w:line="360" w:lineRule="auto"/>
        <w:jc w:val="center"/>
        <w:rPr>
          <w:rFonts w:hint="eastAsia" w:ascii="仿宋_GB2312" w:hAnsi="仿宋_GB2312" w:eastAsia="仿宋_GB2312" w:cs="仿宋_GB2312"/>
          <w:bCs/>
          <w:sz w:val="24"/>
          <w:szCs w:val="24"/>
        </w:rPr>
      </w:pPr>
    </w:p>
    <w:p>
      <w:pPr>
        <w:spacing w:line="360" w:lineRule="auto"/>
        <w:jc w:val="center"/>
        <w:rPr>
          <w:rFonts w:hint="eastAsia" w:ascii="仿宋_GB2312" w:hAnsi="仿宋_GB2312" w:eastAsia="仿宋_GB2312" w:cs="仿宋_GB2312"/>
          <w:bCs/>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lang w:val="en-US" w:eastAsia="zh-CN"/>
        </w:rPr>
        <w:t>合同项目名称：</w:t>
      </w:r>
      <w:r>
        <w:rPr>
          <w:rFonts w:hint="eastAsia" w:ascii="仿宋_GB2312" w:hAnsi="仿宋_GB2312" w:eastAsia="仿宋_GB2312" w:cs="仿宋_GB2312"/>
          <w:bCs/>
          <w:sz w:val="24"/>
          <w:szCs w:val="24"/>
        </w:rPr>
        <w:t xml:space="preserve"> </w:t>
      </w:r>
      <w:r>
        <w:rPr>
          <w:rFonts w:hint="eastAsia" w:ascii="仿宋_GB2312" w:hAnsi="仿宋_GB2312" w:eastAsia="仿宋_GB2312" w:cs="仿宋_GB2312"/>
          <w:b/>
          <w:bCs w:val="0"/>
          <w:sz w:val="24"/>
          <w:szCs w:val="24"/>
          <w:u w:val="single"/>
        </w:rPr>
        <w:t>合同项目名称</w:t>
      </w:r>
    </w:p>
    <w:p>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default" w:ascii="仿宋_GB2312" w:hAnsi="仿宋_GB2312" w:eastAsia="仿宋_GB2312" w:cs="仿宋_GB2312"/>
          <w:bCs/>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甲方（买方）：</w:t>
      </w:r>
      <w:r>
        <w:rPr>
          <w:rFonts w:hint="eastAsia" w:ascii="仿宋_GB2312" w:hAnsi="仿宋_GB2312" w:eastAsia="仿宋_GB2312" w:cs="仿宋_GB2312"/>
          <w:b/>
          <w:sz w:val="24"/>
          <w:szCs w:val="24"/>
          <w:u w:val="single"/>
          <w:lang w:val="en-US" w:eastAsia="zh-CN"/>
        </w:rPr>
        <w:t>甲方</w:t>
      </w:r>
      <w:r>
        <w:rPr>
          <w:rFonts w:hint="eastAsia" w:ascii="仿宋_GB2312" w:hAnsi="仿宋_GB2312" w:eastAsia="仿宋_GB2312" w:cs="仿宋_GB2312"/>
          <w:b/>
          <w:sz w:val="24"/>
          <w:szCs w:val="24"/>
          <w:u w:val="single"/>
        </w:rPr>
        <w:t>单位全称</w:t>
      </w:r>
    </w:p>
    <w:p>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left"/>
        <w:textAlignment w:val="auto"/>
        <w:rPr>
          <w:rFonts w:hint="eastAsia" w:ascii="仿宋_GB2312" w:hAnsi="仿宋_GB2312" w:eastAsia="仿宋_GB2312" w:cs="仿宋_GB2312"/>
          <w:b/>
          <w:sz w:val="24"/>
          <w:szCs w:val="24"/>
          <w:u w:val="single"/>
        </w:rPr>
      </w:pPr>
    </w:p>
    <w:p>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乙方（卖方）：</w:t>
      </w:r>
      <w:r>
        <w:rPr>
          <w:rFonts w:hint="eastAsia" w:ascii="仿宋_GB2312" w:hAnsi="仿宋_GB2312" w:eastAsia="仿宋_GB2312" w:cs="仿宋_GB2312"/>
          <w:b/>
          <w:sz w:val="24"/>
          <w:szCs w:val="24"/>
          <w:u w:val="single"/>
          <w:lang w:eastAsia="zh-CN"/>
        </w:rPr>
        <w:t>乙方单位</w:t>
      </w:r>
      <w:r>
        <w:rPr>
          <w:rFonts w:hint="eastAsia" w:ascii="仿宋_GB2312" w:hAnsi="仿宋_GB2312" w:eastAsia="仿宋_GB2312" w:cs="仿宋_GB2312"/>
          <w:b/>
          <w:sz w:val="24"/>
          <w:szCs w:val="24"/>
          <w:u w:val="single"/>
        </w:rPr>
        <w:t>全称</w:t>
      </w:r>
    </w:p>
    <w:p>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bCs w:val="0"/>
          <w:sz w:val="24"/>
          <w:szCs w:val="24"/>
          <w:u w:val="single"/>
        </w:rPr>
      </w:pPr>
      <w:r>
        <w:rPr>
          <w:rFonts w:hint="eastAsia" w:ascii="仿宋_GB2312" w:hAnsi="仿宋_GB2312" w:eastAsia="仿宋_GB2312" w:cs="仿宋_GB2312"/>
          <w:bCs/>
          <w:sz w:val="24"/>
          <w:szCs w:val="24"/>
          <w:lang w:val="en-US" w:eastAsia="zh-CN"/>
        </w:rPr>
        <w:t>合同签订地点：</w:t>
      </w:r>
      <w:r>
        <w:rPr>
          <w:rFonts w:hint="eastAsia" w:ascii="仿宋_GB2312" w:hAnsi="仿宋_GB2312" w:eastAsia="仿宋_GB2312" w:cs="仿宋_GB2312"/>
          <w:b/>
          <w:bCs w:val="0"/>
          <w:sz w:val="24"/>
          <w:szCs w:val="24"/>
          <w:u w:val="single"/>
        </w:rPr>
        <w:t>填写甲方所在</w:t>
      </w:r>
      <w:r>
        <w:rPr>
          <w:rFonts w:hint="eastAsia" w:ascii="仿宋_GB2312" w:hAnsi="仿宋_GB2312" w:eastAsia="仿宋_GB2312" w:cs="仿宋_GB2312"/>
          <w:b/>
          <w:bCs w:val="0"/>
          <w:sz w:val="24"/>
          <w:szCs w:val="24"/>
          <w:u w:val="single"/>
          <w:lang w:val="en-US" w:eastAsia="zh-CN"/>
        </w:rPr>
        <w:t>县级行政区划</w:t>
      </w:r>
      <w:r>
        <w:rPr>
          <w:rFonts w:hint="eastAsia" w:ascii="仿宋_GB2312" w:hAnsi="仿宋_GB2312" w:eastAsia="仿宋_GB2312" w:cs="仿宋_GB2312"/>
          <w:b/>
          <w:bCs w:val="0"/>
          <w:sz w:val="24"/>
          <w:szCs w:val="24"/>
          <w:u w:val="single"/>
        </w:rPr>
        <w:t>，如</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山东省济南市高新区/章丘区</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等</w:t>
      </w:r>
    </w:p>
    <w:p>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p>
    <w:p>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lang w:val="en-US" w:eastAsia="zh-CN"/>
        </w:rPr>
        <w:sectPr>
          <w:headerReference r:id="rId13" w:type="default"/>
          <w:footerReference r:id="rId14" w:type="default"/>
          <w:pgSz w:w="11907" w:h="16840"/>
          <w:pgMar w:top="1304" w:right="1418" w:bottom="1304" w:left="1418" w:header="724" w:footer="851" w:gutter="0"/>
          <w:pgBorders>
            <w:top w:val="none" w:sz="0" w:space="0"/>
            <w:left w:val="none" w:sz="0" w:space="0"/>
            <w:bottom w:val="none" w:sz="0" w:space="0"/>
            <w:right w:val="none" w:sz="0" w:space="0"/>
          </w:pgBorders>
          <w:pgNumType w:fmt="decimal" w:start="1"/>
          <w:cols w:space="720" w:num="1"/>
          <w:docGrid w:linePitch="290" w:charSpace="-3931"/>
        </w:sectPr>
      </w:pPr>
      <w:r>
        <w:rPr>
          <w:rFonts w:hint="eastAsia" w:ascii="仿宋_GB2312" w:hAnsi="仿宋_GB2312" w:eastAsia="仿宋_GB2312" w:cs="仿宋_GB2312"/>
          <w:bCs/>
          <w:sz w:val="24"/>
          <w:szCs w:val="24"/>
          <w:lang w:val="en-US" w:eastAsia="zh-CN"/>
        </w:rPr>
        <w:t>合同签订时间：</w:t>
      </w:r>
      <w:r>
        <w:rPr>
          <w:rFonts w:hint="eastAsia" w:ascii="仿宋_GB2312" w:hAnsi="仿宋_GB2312" w:eastAsia="仿宋_GB2312" w:cs="仿宋_GB2312"/>
          <w:b/>
          <w:sz w:val="24"/>
          <w:szCs w:val="24"/>
          <w:u w:val="single"/>
          <w:lang w:val="en-US" w:eastAsia="zh-CN"/>
        </w:rPr>
        <w:t>按****年**月**日形式据实填写</w:t>
      </w:r>
    </w:p>
    <w:p>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专用条款</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仿宋_GB2312" w:hAnsi="仿宋_GB2312" w:eastAsia="仿宋_GB2312" w:cs="仿宋_GB2312"/>
          <w:sz w:val="24"/>
          <w:szCs w:val="24"/>
        </w:rPr>
      </w:pPr>
      <w:r>
        <w:rPr>
          <w:rFonts w:hint="eastAsia" w:ascii="仿宋_GB2312" w:hAnsi="仿宋_GB2312" w:eastAsia="仿宋_GB2312" w:cs="仿宋_GB2312"/>
          <w:sz w:val="24"/>
          <w:szCs w:val="24"/>
        </w:rPr>
        <w:t>鉴于，买方向卖方购买</w:t>
      </w:r>
      <w:r>
        <w:rPr>
          <w:rFonts w:hint="eastAsia" w:ascii="仿宋_GB2312" w:hAnsi="仿宋_GB2312" w:eastAsia="仿宋_GB2312" w:cs="仿宋_GB2312"/>
          <w:b/>
          <w:bCs/>
          <w:sz w:val="24"/>
          <w:szCs w:val="24"/>
          <w:u w:val="single"/>
        </w:rPr>
        <w:t>设备名称概括</w:t>
      </w:r>
      <w:r>
        <w:rPr>
          <w:rFonts w:hint="eastAsia" w:ascii="仿宋_GB2312" w:hAnsi="仿宋_GB2312" w:eastAsia="仿宋_GB2312" w:cs="仿宋_GB2312"/>
          <w:sz w:val="24"/>
          <w:szCs w:val="24"/>
          <w:u w:val="single"/>
        </w:rPr>
        <w:t>等</w:t>
      </w:r>
      <w:r>
        <w:rPr>
          <w:rFonts w:hint="eastAsia" w:ascii="仿宋_GB2312" w:hAnsi="仿宋_GB2312" w:eastAsia="仿宋_GB2312" w:cs="仿宋_GB2312"/>
          <w:sz w:val="24"/>
          <w:szCs w:val="24"/>
        </w:rPr>
        <w:t>，就该设备的设计、制造、运输、定点卸货、安装或指导安装、调试、验收、培训及售后服务等有关问题，在自愿协商的基础上达成本合同。</w:t>
      </w:r>
    </w:p>
    <w:p>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1.合同设备标的</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1.1合同总价：</w:t>
      </w:r>
      <w:r>
        <w:rPr>
          <w:rFonts w:hint="eastAsia" w:ascii="仿宋_GB2312" w:hAnsi="仿宋_GB2312" w:eastAsia="仿宋_GB2312" w:cs="仿宋_GB2312"/>
          <w:sz w:val="24"/>
          <w:szCs w:val="24"/>
        </w:rPr>
        <w:t>为共同完成</w:t>
      </w:r>
      <w:r>
        <w:rPr>
          <w:rFonts w:hint="eastAsia" w:ascii="仿宋_GB2312" w:hAnsi="仿宋_GB2312" w:eastAsia="仿宋_GB2312" w:cs="仿宋_GB2312"/>
          <w:b/>
          <w:bCs/>
          <w:sz w:val="24"/>
          <w:szCs w:val="24"/>
          <w:u w:val="single"/>
        </w:rPr>
        <w:t>合同项目名称</w:t>
      </w:r>
      <w:r>
        <w:rPr>
          <w:rFonts w:hint="eastAsia" w:ascii="仿宋_GB2312" w:hAnsi="仿宋_GB2312" w:eastAsia="仿宋_GB2312" w:cs="仿宋_GB2312"/>
          <w:sz w:val="24"/>
          <w:szCs w:val="24"/>
        </w:rPr>
        <w:t>，买方向卖方购买设备一宗，详见附件《设备清单明细表》，本合同不含税总价为</w:t>
      </w:r>
      <w:r>
        <w:rPr>
          <w:rFonts w:hint="eastAsia" w:ascii="仿宋_GB2312" w:hAnsi="仿宋_GB2312" w:eastAsia="仿宋_GB2312" w:cs="仿宋_GB2312"/>
          <w:b/>
          <w:bCs/>
          <w:sz w:val="24"/>
          <w:szCs w:val="24"/>
          <w:u w:val="single"/>
        </w:rPr>
        <w:t>不含税总价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元，税额</w:t>
      </w:r>
      <w:r>
        <w:rPr>
          <w:rFonts w:hint="eastAsia" w:ascii="仿宋_GB2312" w:hAnsi="仿宋_GB2312" w:eastAsia="仿宋_GB2312" w:cs="仿宋_GB2312"/>
          <w:b/>
          <w:bCs/>
          <w:sz w:val="24"/>
          <w:szCs w:val="24"/>
          <w:u w:val="single"/>
        </w:rPr>
        <w:t>合计税额</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元，含税总价</w:t>
      </w:r>
      <w:r>
        <w:rPr>
          <w:rFonts w:hint="eastAsia" w:ascii="仿宋_GB2312" w:hAnsi="仿宋_GB2312" w:eastAsia="仿宋_GB2312" w:cs="仿宋_GB2312"/>
          <w:b/>
          <w:bCs/>
          <w:sz w:val="24"/>
          <w:szCs w:val="24"/>
          <w:u w:val="single"/>
        </w:rPr>
        <w:t>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元（大写：</w:t>
      </w:r>
      <w:r>
        <w:rPr>
          <w:rFonts w:hint="eastAsia" w:ascii="仿宋_GB2312" w:hAnsi="仿宋_GB2312" w:eastAsia="仿宋_GB2312" w:cs="仿宋_GB2312"/>
          <w:b/>
          <w:bCs/>
          <w:sz w:val="24"/>
          <w:szCs w:val="24"/>
          <w:u w:val="single"/>
        </w:rPr>
        <w:t>含税总价大写</w:t>
      </w:r>
      <w:r>
        <w:rPr>
          <w:rFonts w:hint="eastAsia" w:ascii="仿宋_GB2312" w:hAnsi="仿宋_GB2312" w:eastAsia="仿宋_GB2312" w:cs="仿宋_GB2312"/>
          <w:sz w:val="24"/>
          <w:szCs w:val="24"/>
        </w:rPr>
        <w:t>）。</w:t>
      </w:r>
    </w:p>
    <w:p>
      <w:pPr>
        <w:spacing w:line="360" w:lineRule="auto"/>
        <w:ind w:firstLine="480" w:firstLineChars="200"/>
        <w:rPr>
          <w:rFonts w:hint="eastAsia" w:ascii="方正小标宋简体" w:hAnsi="宋体" w:eastAsia="仿宋_GB2312"/>
          <w:sz w:val="24"/>
          <w:szCs w:val="24"/>
          <w:u w:val="thick"/>
          <w:lang w:eastAsia="zh-CN"/>
        </w:rPr>
      </w:pPr>
      <w:r>
        <w:rPr>
          <w:rFonts w:hint="eastAsia" w:ascii="仿宋_GB2312" w:eastAsia="仿宋_GB2312" w:hAnsiTheme="minorEastAsia" w:cstheme="minorEastAsia"/>
          <w:sz w:val="24"/>
          <w:szCs w:val="24"/>
          <w:lang w:val="en-US" w:eastAsia="zh-CN"/>
        </w:rPr>
        <w:t>1.2</w:t>
      </w:r>
      <w:r>
        <w:rPr>
          <w:rFonts w:hint="eastAsia" w:ascii="仿宋_GB2312" w:eastAsia="仿宋_GB2312" w:hAnsiTheme="minorEastAsia" w:cstheme="minorEastAsia"/>
          <w:sz w:val="24"/>
          <w:szCs w:val="24"/>
        </w:rPr>
        <w:t>交货方式</w:t>
      </w:r>
      <w:r>
        <w:rPr>
          <w:rFonts w:hint="eastAsia" w:ascii="仿宋_GB2312" w:eastAsia="仿宋_GB2312" w:hAnsiTheme="minorEastAsia" w:cstheme="minorEastAsia"/>
          <w:bCs/>
          <w:sz w:val="24"/>
          <w:szCs w:val="24"/>
        </w:rPr>
        <w:t>：</w:t>
      </w:r>
      <w:r>
        <w:rPr>
          <w:rFonts w:hint="eastAsia" w:ascii="仿宋_GB2312" w:hAnsi="宋体" w:eastAsia="仿宋_GB2312"/>
          <w:b/>
          <w:bCs/>
          <w:sz w:val="24"/>
          <w:szCs w:val="24"/>
          <w:u w:val="single"/>
        </w:rPr>
        <w:t>据实选择，可填写</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交钥匙方式</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指定地点交货</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自提</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lang w:val="en-US" w:eastAsia="zh-CN"/>
        </w:rPr>
        <w:t>任一方式</w:t>
      </w:r>
      <w:r>
        <w:rPr>
          <w:rFonts w:hint="eastAsia" w:ascii="仿宋_GB2312" w:hAnsi="宋体" w:eastAsia="仿宋_GB2312"/>
          <w:b/>
          <w:bCs/>
          <w:sz w:val="24"/>
          <w:szCs w:val="24"/>
          <w:u w:val="single"/>
        </w:rPr>
        <w:t>，其他情况请据实填写</w:t>
      </w:r>
      <w:r>
        <w:rPr>
          <w:rFonts w:hint="eastAsia" w:ascii="仿宋_GB2312" w:hAnsi="宋体" w:eastAsia="仿宋_GB2312"/>
          <w:b/>
          <w:bCs/>
          <w:sz w:val="24"/>
          <w:szCs w:val="24"/>
          <w:u w:val="single"/>
          <w:lang w:eastAsia="zh-CN"/>
        </w:rPr>
        <w:t>。</w:t>
      </w:r>
    </w:p>
    <w:p>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lang w:val="en-US" w:eastAsia="zh-CN"/>
        </w:rPr>
        <w:t>1.3</w:t>
      </w:r>
      <w:r>
        <w:rPr>
          <w:rFonts w:hint="eastAsia" w:ascii="仿宋_GB2312" w:eastAsia="仿宋_GB2312" w:hAnsiTheme="minorEastAsia" w:cstheme="minorEastAsia"/>
          <w:sz w:val="24"/>
          <w:szCs w:val="24"/>
        </w:rPr>
        <w:t>交货地点：</w:t>
      </w:r>
      <w:r>
        <w:rPr>
          <w:rFonts w:hint="eastAsia" w:ascii="仿宋_GB2312" w:eastAsia="仿宋_GB2312" w:hAnsiTheme="minorEastAsia" w:cstheme="minorEastAsia"/>
          <w:b/>
          <w:bCs/>
          <w:sz w:val="24"/>
          <w:szCs w:val="24"/>
          <w:u w:val="single"/>
        </w:rPr>
        <w:t>交货详细地址信息，除列明省市县/区外，</w:t>
      </w:r>
      <w:r>
        <w:rPr>
          <w:rFonts w:hint="eastAsia" w:ascii="仿宋_GB2312" w:eastAsia="仿宋_GB2312" w:hAnsiTheme="minorEastAsia" w:cstheme="minorEastAsia"/>
          <w:b/>
          <w:bCs/>
          <w:sz w:val="24"/>
          <w:szCs w:val="24"/>
          <w:u w:val="single"/>
          <w:lang w:val="en-US" w:eastAsia="zh-CN"/>
        </w:rPr>
        <w:t>应</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val="en-US" w:eastAsia="zh-CN"/>
        </w:rPr>
        <w:t>至不致产生歧义的</w:t>
      </w:r>
      <w:r>
        <w:rPr>
          <w:rFonts w:hint="eastAsia" w:ascii="仿宋_GB2312" w:eastAsia="仿宋_GB2312" w:hAnsiTheme="minorEastAsia" w:cstheme="minorEastAsia"/>
          <w:b/>
          <w:bCs/>
          <w:sz w:val="24"/>
          <w:szCs w:val="24"/>
          <w:u w:val="single"/>
        </w:rPr>
        <w:t>具体</w:t>
      </w:r>
      <w:r>
        <w:rPr>
          <w:rFonts w:hint="eastAsia" w:ascii="仿宋_GB2312" w:eastAsia="仿宋_GB2312" w:hAnsiTheme="minorEastAsia" w:cstheme="minorEastAsia"/>
          <w:b/>
          <w:bCs/>
          <w:sz w:val="24"/>
          <w:szCs w:val="24"/>
          <w:u w:val="single"/>
          <w:lang w:val="en-US" w:eastAsia="zh-CN"/>
        </w:rPr>
        <w:t>位置指向</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sz w:val="24"/>
          <w:szCs w:val="24"/>
        </w:rPr>
        <w:t xml:space="preserve">    </w:t>
      </w:r>
    </w:p>
    <w:p>
      <w:pPr>
        <w:spacing w:line="360" w:lineRule="auto"/>
        <w:ind w:firstLine="480" w:firstLineChars="200"/>
        <w:rPr>
          <w:rFonts w:ascii="方正小标宋简体" w:hAnsi="宋体" w:eastAsia="仿宋_GB2312"/>
          <w:sz w:val="24"/>
          <w:szCs w:val="24"/>
          <w:u w:val="thick"/>
        </w:rPr>
      </w:pPr>
      <w:r>
        <w:rPr>
          <w:rFonts w:hint="eastAsia" w:ascii="仿宋_GB2312" w:eastAsia="仿宋_GB2312" w:hAnsiTheme="minorEastAsia" w:cstheme="minorEastAsia"/>
          <w:sz w:val="24"/>
          <w:szCs w:val="24"/>
          <w:lang w:val="en-US" w:eastAsia="zh-CN"/>
        </w:rPr>
        <w:t>1.4</w:t>
      </w:r>
      <w:r>
        <w:rPr>
          <w:rFonts w:hint="eastAsia" w:ascii="仿宋_GB2312" w:eastAsia="仿宋_GB2312" w:hAnsiTheme="minorEastAsia" w:cstheme="minorEastAsia"/>
          <w:sz w:val="24"/>
          <w:szCs w:val="24"/>
        </w:rPr>
        <w:t>到货时间：</w:t>
      </w:r>
      <w:r>
        <w:rPr>
          <w:rFonts w:hint="eastAsia" w:ascii="仿宋_GB2312" w:eastAsia="仿宋_GB2312" w:hAnsiTheme="minorEastAsia" w:cstheme="minorEastAsia"/>
          <w:b/>
          <w:bCs/>
          <w:sz w:val="24"/>
          <w:szCs w:val="24"/>
          <w:u w:val="single"/>
        </w:rPr>
        <w:t>填写具体年月日。存在分批次到货情形</w:t>
      </w:r>
      <w:r>
        <w:rPr>
          <w:rFonts w:hint="eastAsia" w:ascii="仿宋_GB2312" w:eastAsia="仿宋_GB2312" w:hAnsiTheme="minorEastAsia" w:cstheme="minorEastAsia"/>
          <w:b/>
          <w:bCs/>
          <w:sz w:val="24"/>
          <w:szCs w:val="24"/>
          <w:u w:val="single"/>
          <w:lang w:val="en-US" w:eastAsia="zh-CN"/>
        </w:rPr>
        <w:t>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详见特殊条款约定</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须于专用条款第4条</w:t>
      </w:r>
      <w:r>
        <w:rPr>
          <w:rFonts w:hint="eastAsia" w:ascii="仿宋_GB2312" w:eastAsia="仿宋_GB2312" w:hAnsiTheme="minorEastAsia" w:cstheme="minorEastAsia"/>
          <w:b/>
          <w:bCs/>
          <w:sz w:val="24"/>
          <w:szCs w:val="24"/>
          <w:u w:val="single"/>
        </w:rPr>
        <w:t>特殊约定条款</w:t>
      </w:r>
      <w:r>
        <w:rPr>
          <w:rFonts w:hint="eastAsia" w:ascii="仿宋_GB2312" w:eastAsia="仿宋_GB2312" w:hAnsiTheme="minorEastAsia" w:cstheme="minorEastAsia"/>
          <w:b/>
          <w:bCs/>
          <w:sz w:val="24"/>
          <w:szCs w:val="24"/>
          <w:u w:val="single"/>
          <w:lang w:val="en-US" w:eastAsia="zh-CN"/>
        </w:rPr>
        <w:t>特别约定</w:t>
      </w:r>
      <w:r>
        <w:rPr>
          <w:rFonts w:hint="eastAsia" w:ascii="仿宋_GB2312" w:eastAsia="仿宋_GB2312" w:hAnsiTheme="minorEastAsia" w:cstheme="minorEastAsia"/>
          <w:b/>
          <w:bCs/>
          <w:sz w:val="24"/>
          <w:szCs w:val="24"/>
          <w:u w:val="single"/>
          <w:lang w:eastAsia="zh-CN"/>
        </w:rPr>
        <w:t>。</w:t>
      </w:r>
    </w:p>
    <w:p>
      <w:pPr>
        <w:pStyle w:val="12"/>
        <w:spacing w:after="0" w:line="360" w:lineRule="auto"/>
        <w:ind w:firstLine="480" w:firstLineChars="200"/>
        <w:rPr>
          <w:rFonts w:ascii="仿宋_GB2312" w:eastAsia="仿宋_GB2312" w:hAnsiTheme="minorEastAsia" w:cstheme="minorEastAsia"/>
          <w:kern w:val="2"/>
          <w:sz w:val="24"/>
          <w:szCs w:val="24"/>
        </w:rPr>
      </w:pPr>
      <w:r>
        <w:rPr>
          <w:rFonts w:hint="eastAsia" w:ascii="仿宋_GB2312" w:eastAsia="仿宋_GB2312" w:hAnsiTheme="minorEastAsia" w:cstheme="minorEastAsia"/>
          <w:kern w:val="2"/>
          <w:sz w:val="24"/>
          <w:szCs w:val="24"/>
          <w:lang w:val="en-US" w:eastAsia="zh-CN"/>
        </w:rPr>
        <w:t>1.5</w:t>
      </w:r>
      <w:r>
        <w:rPr>
          <w:rFonts w:ascii="仿宋_GB2312" w:eastAsia="仿宋_GB2312" w:hAnsiTheme="minorEastAsia" w:cstheme="minorEastAsia"/>
          <w:kern w:val="2"/>
          <w:sz w:val="24"/>
          <w:szCs w:val="24"/>
        </w:rPr>
        <w:t xml:space="preserve"> </w:t>
      </w:r>
      <w:r>
        <w:rPr>
          <w:rFonts w:hint="eastAsia" w:ascii="仿宋_GB2312" w:eastAsia="仿宋_GB2312" w:hAnsiTheme="minorEastAsia" w:cstheme="minorEastAsia"/>
          <w:kern w:val="2"/>
          <w:sz w:val="24"/>
          <w:szCs w:val="24"/>
          <w:lang w:val="en-US" w:eastAsia="zh-CN"/>
        </w:rPr>
        <w:t>安装调试时长：</w:t>
      </w:r>
      <w:r>
        <w:rPr>
          <w:rFonts w:ascii="仿宋_GB2312" w:eastAsia="仿宋_GB2312" w:hAnsiTheme="minorEastAsia" w:cstheme="minorEastAsia"/>
          <w:kern w:val="2"/>
          <w:sz w:val="24"/>
          <w:szCs w:val="24"/>
        </w:rPr>
        <w:t>卖方须在到货后</w:t>
      </w:r>
      <w:r>
        <w:rPr>
          <w:rFonts w:hint="eastAsia" w:ascii="仿宋_GB2312" w:eastAsia="仿宋_GB2312" w:hAnsiTheme="minorEastAsia" w:cstheme="minorEastAsia"/>
          <w:b/>
          <w:bCs/>
          <w:sz w:val="24"/>
          <w:szCs w:val="24"/>
          <w:u w:val="single"/>
        </w:rPr>
        <w:t>填写时长，单位</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rPr>
        <w:t>日历日</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rPr>
        <w:t>。存在分批次</w:t>
      </w:r>
      <w:r>
        <w:rPr>
          <w:rFonts w:hint="eastAsia" w:ascii="仿宋_GB2312" w:eastAsia="仿宋_GB2312" w:hAnsiTheme="minorEastAsia" w:cstheme="minorEastAsia"/>
          <w:b/>
          <w:bCs/>
          <w:sz w:val="24"/>
          <w:szCs w:val="24"/>
          <w:u w:val="single"/>
          <w:lang w:val="en-US" w:eastAsia="zh-CN"/>
        </w:rPr>
        <w:t>安装调试</w:t>
      </w:r>
      <w:r>
        <w:rPr>
          <w:rFonts w:hint="eastAsia" w:ascii="仿宋_GB2312" w:eastAsia="仿宋_GB2312" w:hAnsiTheme="minorEastAsia" w:cstheme="minorEastAsia"/>
          <w:b/>
          <w:bCs/>
          <w:sz w:val="24"/>
          <w:szCs w:val="24"/>
          <w:u w:val="single"/>
        </w:rPr>
        <w:t>情形</w:t>
      </w:r>
      <w:r>
        <w:rPr>
          <w:rFonts w:hint="eastAsia" w:ascii="仿宋_GB2312" w:eastAsia="仿宋_GB2312" w:hAnsiTheme="minorEastAsia" w:cstheme="minorEastAsia"/>
          <w:b/>
          <w:bCs/>
          <w:sz w:val="24"/>
          <w:szCs w:val="24"/>
          <w:u w:val="single"/>
          <w:lang w:val="en-US" w:eastAsia="zh-CN"/>
        </w:rPr>
        <w:t>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详见特殊条款约定</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须于专用条款第4条</w:t>
      </w:r>
      <w:r>
        <w:rPr>
          <w:rFonts w:hint="eastAsia" w:ascii="仿宋_GB2312" w:eastAsia="仿宋_GB2312" w:hAnsiTheme="minorEastAsia" w:cstheme="minorEastAsia"/>
          <w:b/>
          <w:bCs/>
          <w:sz w:val="24"/>
          <w:szCs w:val="24"/>
          <w:u w:val="single"/>
        </w:rPr>
        <w:t>特殊约定条款</w:t>
      </w:r>
      <w:r>
        <w:rPr>
          <w:rFonts w:hint="eastAsia" w:ascii="仿宋_GB2312" w:eastAsia="仿宋_GB2312" w:hAnsiTheme="minorEastAsia" w:cstheme="minorEastAsia"/>
          <w:b/>
          <w:bCs/>
          <w:sz w:val="24"/>
          <w:szCs w:val="24"/>
          <w:u w:val="single"/>
          <w:lang w:val="en-US" w:eastAsia="zh-CN"/>
        </w:rPr>
        <w:t>特别约定</w:t>
      </w:r>
      <w:r>
        <w:rPr>
          <w:rFonts w:hint="eastAsia" w:ascii="仿宋_GB2312" w:eastAsia="仿宋_GB2312" w:hAnsiTheme="minorEastAsia" w:cstheme="minorEastAsia"/>
          <w:sz w:val="24"/>
          <w:szCs w:val="24"/>
        </w:rPr>
        <w:t>个日历日</w:t>
      </w:r>
      <w:r>
        <w:rPr>
          <w:rFonts w:hint="eastAsia" w:ascii="仿宋_GB2312" w:eastAsia="仿宋_GB2312" w:hAnsiTheme="minorEastAsia" w:cstheme="minorEastAsia"/>
          <w:kern w:val="2"/>
          <w:sz w:val="24"/>
          <w:szCs w:val="24"/>
        </w:rPr>
        <w:t>内安装调试完成。</w:t>
      </w:r>
    </w:p>
    <w:p>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lang w:val="en-US" w:eastAsia="zh-CN"/>
        </w:rPr>
        <w:t>1.6调试消耗产品数量：</w:t>
      </w:r>
      <w:r>
        <w:rPr>
          <w:rFonts w:ascii="仿宋_GB2312" w:eastAsia="仿宋_GB2312" w:hAnsiTheme="minorEastAsia" w:cstheme="minorEastAsia"/>
          <w:sz w:val="24"/>
          <w:szCs w:val="24"/>
        </w:rPr>
        <w:t>若设备安装、调试过程中需使用买方产品的，买方提供调试所用产品数量</w:t>
      </w:r>
      <w:r>
        <w:rPr>
          <w:rFonts w:hint="eastAsia" w:ascii="仿宋_GB2312" w:eastAsia="仿宋_GB2312" w:hAnsiTheme="minorEastAsia" w:cstheme="minorEastAsia"/>
          <w:b/>
          <w:bCs/>
          <w:sz w:val="24"/>
          <w:szCs w:val="24"/>
          <w:u w:val="single"/>
        </w:rPr>
        <w:t>甲方提供调试产品</w:t>
      </w:r>
      <w:r>
        <w:rPr>
          <w:rFonts w:hint="eastAsia" w:ascii="仿宋_GB2312" w:eastAsia="仿宋_GB2312" w:hAnsiTheme="minorEastAsia" w:cstheme="minorEastAsia"/>
          <w:b/>
          <w:bCs/>
          <w:sz w:val="24"/>
          <w:szCs w:val="24"/>
          <w:u w:val="single"/>
          <w:lang w:val="en-US" w:eastAsia="zh-CN"/>
        </w:rPr>
        <w:t>的</w:t>
      </w:r>
      <w:r>
        <w:rPr>
          <w:rFonts w:hint="eastAsia" w:ascii="仿宋_GB2312" w:eastAsia="仿宋_GB2312" w:hAnsiTheme="minorEastAsia" w:cstheme="minorEastAsia"/>
          <w:b/>
          <w:bCs/>
          <w:sz w:val="24"/>
          <w:szCs w:val="24"/>
          <w:u w:val="single"/>
        </w:rPr>
        <w:t>件数，不</w:t>
      </w:r>
      <w:r>
        <w:rPr>
          <w:rFonts w:hint="eastAsia" w:ascii="仿宋_GB2312" w:eastAsia="仿宋_GB2312" w:hAnsiTheme="minorEastAsia" w:cstheme="minorEastAsia"/>
          <w:b/>
          <w:bCs/>
          <w:sz w:val="24"/>
          <w:szCs w:val="24"/>
          <w:u w:val="single"/>
          <w:lang w:val="en-US" w:eastAsia="zh-CN"/>
        </w:rPr>
        <w:t>需要的</w:t>
      </w:r>
      <w:r>
        <w:rPr>
          <w:rFonts w:hint="eastAsia" w:ascii="仿宋_GB2312" w:eastAsia="仿宋_GB2312" w:hAnsiTheme="minorEastAsia" w:cstheme="minorEastAsia"/>
          <w:b/>
          <w:bCs/>
          <w:sz w:val="24"/>
          <w:szCs w:val="24"/>
          <w:u w:val="single"/>
        </w:rPr>
        <w:t>，</w:t>
      </w:r>
      <w:r>
        <w:rPr>
          <w:rFonts w:hint="eastAsia" w:ascii="仿宋_GB2312" w:eastAsia="仿宋_GB2312" w:hAnsiTheme="minorEastAsia" w:cstheme="minorEastAsia"/>
          <w:b/>
          <w:bCs/>
          <w:sz w:val="24"/>
          <w:szCs w:val="24"/>
          <w:u w:val="single"/>
          <w:lang w:val="en-US" w:eastAsia="zh-CN"/>
        </w:rPr>
        <w:t>此处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0</w:t>
      </w:r>
      <w:r>
        <w:rPr>
          <w:rFonts w:hint="eastAsia" w:ascii="仿宋_GB2312" w:eastAsia="仿宋_GB2312" w:hAnsiTheme="minorEastAsia" w:cstheme="minorEastAsia"/>
          <w:b/>
          <w:bCs/>
          <w:sz w:val="24"/>
          <w:szCs w:val="24"/>
          <w:u w:val="single"/>
          <w:lang w:eastAsia="zh-CN"/>
        </w:rPr>
        <w:t>”</w:t>
      </w:r>
      <w:r>
        <w:rPr>
          <w:rFonts w:ascii="仿宋_GB2312" w:eastAsia="仿宋_GB2312" w:hAnsiTheme="minorEastAsia" w:cstheme="minorEastAsia"/>
          <w:sz w:val="24"/>
          <w:szCs w:val="24"/>
        </w:rPr>
        <w:t>件，超出此数量部分由卖方提供，由此产生的相关费用由卖方承担。</w:t>
      </w:r>
    </w:p>
    <w:p>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1.7</w:t>
      </w:r>
      <w:r>
        <w:rPr>
          <w:rFonts w:hint="eastAsia" w:ascii="仿宋_GB2312" w:hAnsi="黑体" w:eastAsia="仿宋_GB2312" w:cstheme="minorEastAsia"/>
          <w:sz w:val="24"/>
          <w:szCs w:val="24"/>
        </w:rPr>
        <w:t>设备质量保证期：自最终验收报告签署之日（</w:t>
      </w:r>
      <w:r>
        <w:rPr>
          <w:rFonts w:hint="eastAsia" w:ascii="仿宋_GB2312" w:hAnsi="黑体" w:eastAsia="仿宋_GB2312" w:cstheme="minorEastAsia"/>
          <w:sz w:val="24"/>
          <w:szCs w:val="24"/>
          <w:lang w:val="en-US" w:eastAsia="zh-CN"/>
        </w:rPr>
        <w:t>存在分批次到货安装调试情形的，</w:t>
      </w:r>
      <w:r>
        <w:rPr>
          <w:rFonts w:hint="eastAsia" w:ascii="仿宋_GB2312" w:hAnsi="黑体" w:eastAsia="仿宋_GB2312" w:cstheme="minorEastAsia"/>
          <w:sz w:val="24"/>
          <w:szCs w:val="24"/>
        </w:rPr>
        <w:t>以</w:t>
      </w:r>
      <w:r>
        <w:rPr>
          <w:rFonts w:hint="eastAsia" w:ascii="仿宋_GB2312" w:hAnsi="黑体" w:eastAsia="仿宋_GB2312" w:cstheme="minorEastAsia"/>
          <w:sz w:val="24"/>
          <w:szCs w:val="24"/>
          <w:lang w:val="en-US" w:eastAsia="zh-CN"/>
        </w:rPr>
        <w:t>验收报告</w:t>
      </w:r>
      <w:r>
        <w:rPr>
          <w:rFonts w:hint="eastAsia" w:ascii="仿宋_GB2312" w:hAnsi="黑体" w:eastAsia="仿宋_GB2312" w:cstheme="minorEastAsia"/>
          <w:sz w:val="24"/>
          <w:szCs w:val="24"/>
        </w:rPr>
        <w:t>签署日期最晚者为准）起</w:t>
      </w:r>
      <w:r>
        <w:rPr>
          <w:rFonts w:hint="eastAsia" w:ascii="仿宋_GB2312" w:eastAsia="仿宋_GB2312" w:hAnsiTheme="minorEastAsia" w:cstheme="minorEastAsia"/>
          <w:b/>
          <w:bCs/>
          <w:sz w:val="24"/>
          <w:szCs w:val="24"/>
          <w:u w:val="single"/>
        </w:rPr>
        <w:t>卖方承诺的质保期月数</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rPr>
        <w:t>存在</w:t>
      </w:r>
      <w:r>
        <w:rPr>
          <w:rFonts w:hint="eastAsia" w:ascii="仿宋_GB2312" w:eastAsia="仿宋_GB2312" w:hAnsiTheme="minorEastAsia" w:cstheme="minorEastAsia"/>
          <w:b/>
          <w:bCs/>
          <w:sz w:val="24"/>
          <w:szCs w:val="24"/>
          <w:u w:val="single"/>
          <w:lang w:val="en-US" w:eastAsia="zh-CN"/>
        </w:rPr>
        <w:t>分批次设备质保期约定分批次到期情形的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详见特殊条款约定</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须于专用条款第4条</w:t>
      </w:r>
      <w:r>
        <w:rPr>
          <w:rFonts w:hint="eastAsia" w:ascii="仿宋_GB2312" w:eastAsia="仿宋_GB2312" w:hAnsiTheme="minorEastAsia" w:cstheme="minorEastAsia"/>
          <w:b/>
          <w:bCs/>
          <w:sz w:val="24"/>
          <w:szCs w:val="24"/>
          <w:u w:val="single"/>
        </w:rPr>
        <w:t>特殊约定条款</w:t>
      </w:r>
      <w:r>
        <w:rPr>
          <w:rFonts w:hint="eastAsia" w:ascii="仿宋_GB2312" w:eastAsia="仿宋_GB2312" w:hAnsiTheme="minorEastAsia" w:cstheme="minorEastAsia"/>
          <w:b/>
          <w:bCs/>
          <w:sz w:val="24"/>
          <w:szCs w:val="24"/>
          <w:u w:val="single"/>
          <w:lang w:val="en-US" w:eastAsia="zh-CN"/>
        </w:rPr>
        <w:t>特别约定</w:t>
      </w:r>
      <w:r>
        <w:rPr>
          <w:rFonts w:hint="eastAsia" w:ascii="仿宋_GB2312" w:eastAsia="仿宋_GB2312" w:hAnsiTheme="minorEastAsia" w:cstheme="minorEastAsia"/>
          <w:sz w:val="24"/>
          <w:szCs w:val="24"/>
        </w:rPr>
        <w:t>个月</w:t>
      </w:r>
      <w:r>
        <w:rPr>
          <w:rFonts w:hint="eastAsia" w:ascii="仿宋_GB2312" w:hAnsi="黑体" w:eastAsia="仿宋_GB2312" w:cstheme="minorEastAsia"/>
          <w:sz w:val="24"/>
          <w:szCs w:val="24"/>
        </w:rPr>
        <w:t>。</w:t>
      </w:r>
    </w:p>
    <w:p>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lang w:val="en-US" w:eastAsia="zh-CN"/>
        </w:rPr>
        <w:t>2</w:t>
      </w:r>
      <w:r>
        <w:rPr>
          <w:rFonts w:hint="eastAsia" w:ascii="黑体" w:hAnsi="黑体" w:eastAsia="黑体" w:cs="黑体"/>
          <w:b w:val="0"/>
          <w:sz w:val="24"/>
          <w:szCs w:val="24"/>
        </w:rPr>
        <w:t>.结算付款约定</w:t>
      </w:r>
    </w:p>
    <w:p>
      <w:pPr>
        <w:spacing w:line="360" w:lineRule="auto"/>
        <w:ind w:firstLine="480" w:firstLineChars="200"/>
        <w:rPr>
          <w:rFonts w:hint="eastAsia" w:ascii="仿宋_GB2312" w:hAnsi="黑体" w:eastAsia="仿宋_GB2312" w:cstheme="minorEastAsia"/>
          <w:b/>
          <w:bCs/>
          <w:sz w:val="24"/>
          <w:szCs w:val="24"/>
          <w:u w:val="single"/>
          <w:lang w:eastAsia="zh-CN"/>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.1结算方式：</w:t>
      </w:r>
      <w:r>
        <w:rPr>
          <w:rFonts w:hint="eastAsia" w:ascii="仿宋_GB2312" w:hAnsi="黑体" w:eastAsia="仿宋_GB2312" w:cstheme="minorEastAsia"/>
          <w:b/>
          <w:bCs/>
          <w:sz w:val="24"/>
          <w:szCs w:val="24"/>
          <w:u w:val="single"/>
        </w:rPr>
        <w:t>填写</w:t>
      </w:r>
      <w:r>
        <w:rPr>
          <w:rFonts w:hint="eastAsia" w:ascii="仿宋_GB2312" w:hAnsi="黑体" w:eastAsia="仿宋_GB2312" w:cstheme="minorEastAsia"/>
          <w:b/>
          <w:bCs/>
          <w:sz w:val="24"/>
          <w:szCs w:val="24"/>
          <w:u w:val="single"/>
          <w:lang w:eastAsia="zh-CN"/>
        </w:rPr>
        <w:t>“</w:t>
      </w:r>
      <w:r>
        <w:rPr>
          <w:rFonts w:hint="eastAsia" w:ascii="仿宋_GB2312" w:hAnsi="宋体" w:eastAsia="仿宋_GB2312"/>
          <w:b/>
          <w:bCs/>
          <w:sz w:val="24"/>
          <w:szCs w:val="24"/>
          <w:u w:val="single"/>
        </w:rPr>
        <w:t>半年期商业汇票（包括银行承兑汇票和商业承兑汇票）</w:t>
      </w:r>
      <w:r>
        <w:rPr>
          <w:rFonts w:hint="eastAsia" w:ascii="仿宋_GB2312" w:hAnsi="黑体" w:eastAsia="仿宋_GB2312" w:cstheme="minorEastAsia"/>
          <w:b/>
          <w:bCs/>
          <w:sz w:val="24"/>
          <w:szCs w:val="24"/>
          <w:u w:val="single"/>
          <w:lang w:eastAsia="zh-CN"/>
        </w:rPr>
        <w:t>”</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转账</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财司内转</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三种方式</w:t>
      </w:r>
      <w:r>
        <w:rPr>
          <w:rFonts w:hint="eastAsia" w:ascii="仿宋_GB2312" w:hAnsi="黑体" w:eastAsia="仿宋_GB2312" w:cstheme="minorEastAsia"/>
          <w:b/>
          <w:bCs/>
          <w:sz w:val="24"/>
          <w:szCs w:val="24"/>
          <w:u w:val="single"/>
        </w:rPr>
        <w:t>任一种</w:t>
      </w:r>
      <w:r>
        <w:rPr>
          <w:rFonts w:hint="eastAsia" w:ascii="仿宋_GB2312" w:hAnsi="黑体" w:eastAsia="仿宋_GB2312" w:cstheme="minorEastAsia"/>
          <w:b/>
          <w:bCs/>
          <w:sz w:val="24"/>
          <w:szCs w:val="24"/>
          <w:u w:val="single"/>
          <w:lang w:eastAsia="zh-CN"/>
        </w:rPr>
        <w:t>。</w:t>
      </w:r>
    </w:p>
    <w:p>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2.2结算币种：</w:t>
      </w:r>
      <w:r>
        <w:rPr>
          <w:rFonts w:hint="eastAsia" w:ascii="仿宋_GB2312" w:hAnsi="仿宋_GB2312" w:eastAsia="仿宋_GB2312" w:cs="仿宋_GB2312"/>
          <w:sz w:val="24"/>
          <w:szCs w:val="24"/>
        </w:rPr>
        <w:t>本合同使用</w:t>
      </w:r>
      <w:r>
        <w:rPr>
          <w:rFonts w:hint="eastAsia" w:ascii="仿宋_GB2312" w:hAnsi="仿宋_GB2312" w:eastAsia="仿宋_GB2312" w:cs="仿宋_GB2312"/>
          <w:b/>
          <w:bCs/>
          <w:sz w:val="24"/>
          <w:szCs w:val="24"/>
          <w:u w:val="single"/>
        </w:rPr>
        <w:t>币种</w:t>
      </w:r>
      <w:r>
        <w:rPr>
          <w:rFonts w:hint="eastAsia" w:ascii="仿宋_GB2312" w:hAnsi="仿宋_GB2312" w:eastAsia="仿宋_GB2312" w:cs="仿宋_GB2312"/>
          <w:sz w:val="24"/>
          <w:szCs w:val="24"/>
        </w:rPr>
        <w:t>进行结算。</w:t>
      </w:r>
    </w:p>
    <w:p>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合同价款支付：</w:t>
      </w:r>
    </w:p>
    <w:p>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.1</w:t>
      </w:r>
      <w:r>
        <w:rPr>
          <w:rFonts w:hint="eastAsia" w:ascii="仿宋_GB2312" w:hAnsi="黑体" w:eastAsia="仿宋_GB2312" w:cstheme="minorEastAsia"/>
          <w:b/>
          <w:bCs/>
          <w:sz w:val="24"/>
          <w:szCs w:val="24"/>
          <w:u w:val="single"/>
        </w:rPr>
        <w:t>填写第一笔付款的满足要件，如</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rPr>
        <w:t>设备全部到齐无质量问题</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lang w:val="en-US" w:eastAsia="zh-CN"/>
        </w:rPr>
        <w:t>若存在价款支付的收据、发票及财务审核条件与本条格式条款存有变动调整的，须在</w:t>
      </w:r>
      <w:r>
        <w:rPr>
          <w:rFonts w:hint="eastAsia" w:ascii="仿宋_GB2312" w:eastAsia="仿宋_GB2312" w:hAnsiTheme="minorEastAsia" w:cstheme="minorEastAsia"/>
          <w:b/>
          <w:bCs/>
          <w:sz w:val="24"/>
          <w:szCs w:val="24"/>
          <w:u w:val="single"/>
          <w:lang w:val="en-US" w:eastAsia="zh-CN"/>
        </w:rPr>
        <w:t>专用条款第4条</w:t>
      </w:r>
      <w:r>
        <w:rPr>
          <w:rFonts w:hint="eastAsia" w:ascii="仿宋_GB2312" w:hAnsi="黑体" w:eastAsia="仿宋_GB2312" w:cstheme="minorEastAsia"/>
          <w:b/>
          <w:bCs/>
          <w:sz w:val="24"/>
          <w:szCs w:val="24"/>
          <w:u w:val="single"/>
          <w:lang w:val="en-US" w:eastAsia="zh-CN"/>
        </w:rPr>
        <w:t>特殊约定条款中特别约定</w:t>
      </w:r>
      <w:r>
        <w:rPr>
          <w:rFonts w:hint="eastAsia" w:ascii="仿宋_GB2312" w:hAnsi="黑体" w:eastAsia="仿宋_GB2312" w:cstheme="minorEastAsia"/>
          <w:sz w:val="24"/>
          <w:szCs w:val="24"/>
        </w:rPr>
        <w:t>, 卖方提交金额为合同含税</w:t>
      </w:r>
      <w:r>
        <w:rPr>
          <w:rFonts w:hint="eastAsia" w:ascii="仿宋_GB2312" w:hAnsi="黑体" w:eastAsia="仿宋_GB2312" w:cstheme="minorEastAsia"/>
          <w:sz w:val="24"/>
          <w:szCs w:val="24"/>
          <w:lang w:val="en-US" w:eastAsia="zh-CN"/>
        </w:rPr>
        <w:t>总</w:t>
      </w:r>
      <w:r>
        <w:rPr>
          <w:rFonts w:hint="eastAsia" w:ascii="仿宋_GB2312" w:hAnsi="黑体" w:eastAsia="仿宋_GB2312" w:cstheme="minorEastAsia"/>
          <w:sz w:val="24"/>
          <w:szCs w:val="24"/>
        </w:rPr>
        <w:t>价款</w:t>
      </w:r>
      <w:r>
        <w:rPr>
          <w:rFonts w:hint="eastAsia" w:ascii="仿宋_GB2312" w:hAnsi="黑体" w:eastAsia="仿宋_GB2312" w:cstheme="minorEastAsia"/>
          <w:b/>
          <w:bCs/>
          <w:sz w:val="24"/>
          <w:szCs w:val="24"/>
          <w:u w:val="single"/>
        </w:rPr>
        <w:t>第一笔付款的比例，数值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第一笔付款金额</w:t>
      </w:r>
      <w:r>
        <w:rPr>
          <w:rFonts w:hint="eastAsia" w:ascii="仿宋_GB2312" w:hAnsi="黑体" w:eastAsia="仿宋_GB2312" w:cstheme="minorEastAsia"/>
          <w:sz w:val="24"/>
          <w:szCs w:val="24"/>
        </w:rPr>
        <w:t>元的收据</w:t>
      </w:r>
      <w:r>
        <w:rPr>
          <w:rFonts w:hint="eastAsia" w:ascii="仿宋_GB2312" w:hAnsi="黑体" w:eastAsia="仿宋_GB2312" w:cstheme="minorEastAsia"/>
          <w:sz w:val="24"/>
          <w:szCs w:val="24"/>
          <w:lang w:val="en-US" w:eastAsia="zh-CN"/>
        </w:rPr>
        <w:t>及对应金额的增值税专用发票</w:t>
      </w:r>
      <w:r>
        <w:rPr>
          <w:rFonts w:hint="eastAsia" w:ascii="仿宋_GB2312" w:hAnsi="黑体" w:eastAsia="仿宋_GB2312" w:cstheme="minorEastAsia"/>
          <w:sz w:val="24"/>
          <w:szCs w:val="24"/>
        </w:rPr>
        <w:t>，经买方财务审核无误后按照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w:t>
      </w:r>
    </w:p>
    <w:p>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.3</w:t>
      </w:r>
      <w:r>
        <w:rPr>
          <w:rFonts w:hint="eastAsia" w:ascii="仿宋_GB2312" w:hAnsi="黑体" w:eastAsia="仿宋_GB2312" w:cstheme="minorEastAsia"/>
          <w:b/>
          <w:bCs/>
          <w:sz w:val="24"/>
          <w:szCs w:val="24"/>
          <w:u w:val="single"/>
        </w:rPr>
        <w:t>填写第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笔付款的满足要件，如</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rPr>
        <w:t>设备全部到齐无质量问题，经安装、调试最终验收合格后</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lang w:val="en-US" w:eastAsia="zh-CN"/>
        </w:rPr>
        <w:t>若存在价款支付的收据、发票及财务审核条件与本条格式条款存有变动调整的，须在</w:t>
      </w:r>
      <w:r>
        <w:rPr>
          <w:rFonts w:hint="eastAsia" w:ascii="仿宋_GB2312" w:eastAsia="仿宋_GB2312" w:hAnsiTheme="minorEastAsia" w:cstheme="minorEastAsia"/>
          <w:b/>
          <w:bCs/>
          <w:sz w:val="24"/>
          <w:szCs w:val="24"/>
          <w:u w:val="single"/>
          <w:lang w:val="en-US" w:eastAsia="zh-CN"/>
        </w:rPr>
        <w:t>专用条款第4条</w:t>
      </w:r>
      <w:r>
        <w:rPr>
          <w:rFonts w:hint="eastAsia" w:ascii="仿宋_GB2312" w:hAnsi="黑体" w:eastAsia="仿宋_GB2312" w:cstheme="minorEastAsia"/>
          <w:b/>
          <w:bCs/>
          <w:sz w:val="24"/>
          <w:szCs w:val="24"/>
          <w:u w:val="single"/>
          <w:lang w:val="en-US" w:eastAsia="zh-CN"/>
        </w:rPr>
        <w:t>特殊约定条款中特别约定</w:t>
      </w:r>
      <w:r>
        <w:rPr>
          <w:rFonts w:hint="eastAsia" w:ascii="仿宋_GB2312" w:hAnsi="黑体" w:eastAsia="仿宋_GB2312" w:cstheme="minorEastAsia"/>
          <w:sz w:val="24"/>
          <w:szCs w:val="24"/>
        </w:rPr>
        <w:t>，卖方提交金额为合同含税</w:t>
      </w:r>
      <w:r>
        <w:rPr>
          <w:rFonts w:hint="eastAsia" w:ascii="仿宋_GB2312" w:hAnsi="黑体" w:eastAsia="仿宋_GB2312" w:cstheme="minorEastAsia"/>
          <w:sz w:val="24"/>
          <w:szCs w:val="24"/>
          <w:lang w:val="en-US" w:eastAsia="zh-CN"/>
        </w:rPr>
        <w:t>总</w:t>
      </w:r>
      <w:r>
        <w:rPr>
          <w:rFonts w:hint="eastAsia" w:ascii="仿宋_GB2312" w:hAnsi="黑体" w:eastAsia="仿宋_GB2312" w:cstheme="minorEastAsia"/>
          <w:sz w:val="24"/>
          <w:szCs w:val="24"/>
        </w:rPr>
        <w:t>价款</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笔付款金额</w:t>
      </w:r>
      <w:r>
        <w:rPr>
          <w:rFonts w:hint="eastAsia" w:ascii="仿宋_GB2312" w:hAnsi="黑体" w:eastAsia="仿宋_GB2312" w:cstheme="minorEastAsia"/>
          <w:sz w:val="24"/>
          <w:szCs w:val="24"/>
        </w:rPr>
        <w:t>元的收据及</w:t>
      </w:r>
      <w:r>
        <w:rPr>
          <w:rFonts w:hint="eastAsia" w:ascii="仿宋_GB2312" w:hAnsi="黑体" w:eastAsia="仿宋_GB2312" w:cstheme="minorEastAsia"/>
          <w:sz w:val="24"/>
          <w:szCs w:val="24"/>
          <w:lang w:val="en-US" w:eastAsia="zh-CN"/>
        </w:rPr>
        <w:t>合同含税总价款未付金额的</w:t>
      </w:r>
      <w:r>
        <w:rPr>
          <w:rFonts w:hint="eastAsia" w:ascii="仿宋_GB2312" w:hAnsi="黑体" w:eastAsia="仿宋_GB2312" w:cstheme="minorEastAsia"/>
          <w:sz w:val="24"/>
          <w:szCs w:val="24"/>
        </w:rPr>
        <w:t>增值税专用发票并附带合同设备最终验收报告，经买方财务审核无误后按照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w:t>
      </w:r>
    </w:p>
    <w:p>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.4合同含税总价款的</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三</w:t>
      </w:r>
      <w:r>
        <w:rPr>
          <w:rFonts w:hint="eastAsia" w:ascii="仿宋_GB2312" w:hAnsi="黑体" w:eastAsia="仿宋_GB2312" w:cstheme="minorEastAsia"/>
          <w:b/>
          <w:bCs/>
          <w:sz w:val="24"/>
          <w:szCs w:val="24"/>
          <w:u w:val="single"/>
        </w:rPr>
        <w:t>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三</w:t>
      </w:r>
      <w:r>
        <w:rPr>
          <w:rFonts w:hint="eastAsia" w:ascii="仿宋_GB2312" w:hAnsi="黑体" w:eastAsia="仿宋_GB2312" w:cstheme="minorEastAsia"/>
          <w:b/>
          <w:bCs/>
          <w:sz w:val="24"/>
          <w:szCs w:val="24"/>
          <w:u w:val="single"/>
        </w:rPr>
        <w:t>笔付款金额</w:t>
      </w:r>
      <w:r>
        <w:rPr>
          <w:rFonts w:hint="eastAsia" w:ascii="仿宋_GB2312" w:hAnsi="黑体" w:eastAsia="仿宋_GB2312" w:cstheme="minorEastAsia"/>
          <w:sz w:val="24"/>
          <w:szCs w:val="24"/>
        </w:rPr>
        <w:t>元作为本合同约定设备的质量保证金，质量保证金在质量保证期内不计利息。待合同设备质量保证期满后，卖方向买方提交</w:t>
      </w:r>
      <w:r>
        <w:rPr>
          <w:rFonts w:hint="eastAsia" w:ascii="仿宋_GB2312" w:hAnsi="黑体" w:eastAsia="仿宋_GB2312" w:cstheme="minorEastAsia"/>
          <w:sz w:val="24"/>
          <w:szCs w:val="24"/>
          <w:lang w:val="en-US" w:eastAsia="zh-CN"/>
        </w:rPr>
        <w:t>质量保证金</w:t>
      </w:r>
      <w:r>
        <w:rPr>
          <w:rFonts w:hint="eastAsia" w:ascii="仿宋_GB2312" w:hAnsi="黑体" w:eastAsia="仿宋_GB2312" w:cstheme="minorEastAsia"/>
          <w:sz w:val="24"/>
          <w:szCs w:val="24"/>
        </w:rPr>
        <w:t>收据及设备使用单位的使用情况说明，经买方财务审核无误后按照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执行。如有质量问题，质量保证金予以相应扣除。</w:t>
      </w:r>
    </w:p>
    <w:p>
      <w:pPr>
        <w:spacing w:line="360" w:lineRule="auto"/>
        <w:ind w:firstLine="432" w:firstLineChars="200"/>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lang w:val="en-US" w:eastAsia="zh-CN"/>
        </w:rPr>
        <w:t>2</w:t>
      </w:r>
      <w:r>
        <w:rPr>
          <w:rFonts w:hint="eastAsia" w:ascii="仿宋_GB2312" w:hAnsi="仿宋_GB2312" w:eastAsia="仿宋_GB2312" w:cs="仿宋_GB2312"/>
          <w:w w:val="90"/>
          <w:sz w:val="24"/>
          <w:szCs w:val="24"/>
        </w:rPr>
        <w:t>.</w:t>
      </w:r>
      <w:r>
        <w:rPr>
          <w:rFonts w:hint="eastAsia" w:ascii="仿宋_GB2312" w:hAnsi="仿宋_GB2312" w:eastAsia="仿宋_GB2312" w:cs="仿宋_GB2312"/>
          <w:w w:val="90"/>
          <w:sz w:val="24"/>
          <w:szCs w:val="24"/>
          <w:lang w:val="en-US" w:eastAsia="zh-CN"/>
        </w:rPr>
        <w:t>4甲乙双方基本</w:t>
      </w:r>
      <w:r>
        <w:rPr>
          <w:rFonts w:hint="eastAsia" w:ascii="仿宋_GB2312" w:hAnsi="仿宋_GB2312" w:eastAsia="仿宋_GB2312" w:cs="仿宋_GB2312"/>
          <w:w w:val="90"/>
          <w:sz w:val="24"/>
          <w:szCs w:val="24"/>
        </w:rPr>
        <w:t>信息</w:t>
      </w:r>
    </w:p>
    <w:tbl>
      <w:tblPr>
        <w:tblStyle w:val="4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07"/>
        <w:gridCol w:w="3690"/>
        <w:gridCol w:w="36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信息名目</w:t>
            </w:r>
          </w:p>
        </w:tc>
        <w:tc>
          <w:tcPr>
            <w:tcW w:w="3690" w:type="dxa"/>
            <w:vAlign w:val="bottom"/>
          </w:tcPr>
          <w:p>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甲方基本信息</w:t>
            </w:r>
          </w:p>
        </w:tc>
        <w:tc>
          <w:tcPr>
            <w:tcW w:w="3690" w:type="dxa"/>
            <w:vAlign w:val="bottom"/>
          </w:tcPr>
          <w:p>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乙方基本信息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企业名称</w:t>
            </w:r>
          </w:p>
        </w:tc>
        <w:tc>
          <w:tcPr>
            <w:tcW w:w="3690" w:type="dxa"/>
            <w:vAlign w:val="bottom"/>
          </w:tcPr>
          <w:p>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甲方单位全称</w:t>
            </w:r>
          </w:p>
        </w:tc>
        <w:tc>
          <w:tcPr>
            <w:tcW w:w="3690" w:type="dxa"/>
            <w:vAlign w:val="bottom"/>
          </w:tcPr>
          <w:p>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乙方单位全称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注册地址</w:t>
            </w:r>
          </w:p>
        </w:tc>
        <w:tc>
          <w:tcPr>
            <w:tcW w:w="3690" w:type="dxa"/>
            <w:vAlign w:val="bottom"/>
          </w:tcPr>
          <w:p>
            <w:pPr>
              <w:spacing w:after="200" w:line="360" w:lineRule="auto"/>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甲方注册地址，营业执照住所地</w:t>
            </w:r>
          </w:p>
        </w:tc>
        <w:tc>
          <w:tcPr>
            <w:tcW w:w="3690" w:type="dxa"/>
            <w:vAlign w:val="bottom"/>
          </w:tcPr>
          <w:p>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乙方注册地址，营业执照住所地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通讯地址</w:t>
            </w:r>
          </w:p>
        </w:tc>
        <w:tc>
          <w:tcPr>
            <w:tcW w:w="3690" w:type="dxa"/>
            <w:vAlign w:val="bottom"/>
          </w:tcPr>
          <w:p>
            <w:pPr>
              <w:spacing w:after="200" w:line="360" w:lineRule="auto"/>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甲方通讯地址，实际联系地址</w:t>
            </w:r>
          </w:p>
        </w:tc>
        <w:tc>
          <w:tcPr>
            <w:tcW w:w="3690" w:type="dxa"/>
            <w:vAlign w:val="bottom"/>
          </w:tcPr>
          <w:p>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乙方通讯地址，实际联系地址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pPr>
              <w:spacing w:after="200" w:line="360" w:lineRule="auto"/>
              <w:jc w:val="center"/>
              <w:rPr>
                <w:rFonts w:hint="eastAsia"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法定代表人</w:t>
            </w:r>
          </w:p>
        </w:tc>
        <w:tc>
          <w:tcPr>
            <w:tcW w:w="3690" w:type="dxa"/>
            <w:vAlign w:val="bottom"/>
          </w:tcPr>
          <w:p>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甲方法定代表人姓名</w:t>
            </w:r>
          </w:p>
        </w:tc>
        <w:tc>
          <w:tcPr>
            <w:tcW w:w="3690" w:type="dxa"/>
            <w:vAlign w:val="bottom"/>
          </w:tcPr>
          <w:p>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乙方法定代表人姓名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授权代表</w:t>
            </w:r>
          </w:p>
        </w:tc>
        <w:tc>
          <w:tcPr>
            <w:tcW w:w="3690" w:type="dxa"/>
            <w:vAlign w:val="bottom"/>
          </w:tcPr>
          <w:p>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甲方授权代表姓名</w:t>
            </w:r>
          </w:p>
        </w:tc>
        <w:tc>
          <w:tcPr>
            <w:tcW w:w="3690" w:type="dxa"/>
            <w:vAlign w:val="bottom"/>
          </w:tcPr>
          <w:p>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乙方授权代表姓名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联系电话</w:t>
            </w:r>
          </w:p>
        </w:tc>
        <w:tc>
          <w:tcPr>
            <w:tcW w:w="3690" w:type="dxa"/>
            <w:vAlign w:val="bottom"/>
          </w:tcPr>
          <w:p>
            <w:pPr>
              <w:spacing w:after="200" w:line="360" w:lineRule="auto"/>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甲方授权代表手机号码</w:t>
            </w:r>
          </w:p>
        </w:tc>
        <w:tc>
          <w:tcPr>
            <w:tcW w:w="3690" w:type="dxa"/>
            <w:vAlign w:val="bottom"/>
          </w:tcPr>
          <w:p>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乙方授权代表手机号码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联系邮箱</w:t>
            </w:r>
          </w:p>
        </w:tc>
        <w:tc>
          <w:tcPr>
            <w:tcW w:w="3690" w:type="dxa"/>
            <w:vAlign w:val="bottom"/>
          </w:tcPr>
          <w:p>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甲方授权代表联系邮箱（非必填）</w:t>
            </w:r>
          </w:p>
        </w:tc>
        <w:tc>
          <w:tcPr>
            <w:tcW w:w="3690" w:type="dxa"/>
            <w:vAlign w:val="bottom"/>
          </w:tcPr>
          <w:p>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乙方授权代表联系邮箱（非必填）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开户银行</w:t>
            </w:r>
          </w:p>
        </w:tc>
        <w:tc>
          <w:tcPr>
            <w:tcW w:w="3690" w:type="dxa"/>
            <w:vAlign w:val="bottom"/>
          </w:tcPr>
          <w:p>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甲方开户银行规范全称（非必填）</w:t>
            </w:r>
          </w:p>
        </w:tc>
        <w:tc>
          <w:tcPr>
            <w:tcW w:w="3690" w:type="dxa"/>
            <w:vAlign w:val="bottom"/>
          </w:tcPr>
          <w:p>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乙方开户银行规范全称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开户行联行号</w:t>
            </w:r>
          </w:p>
        </w:tc>
        <w:tc>
          <w:tcPr>
            <w:tcW w:w="3690" w:type="dxa"/>
            <w:vAlign w:val="bottom"/>
          </w:tcPr>
          <w:p>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甲方开户银行联行号（非必填）</w:t>
            </w:r>
          </w:p>
        </w:tc>
        <w:tc>
          <w:tcPr>
            <w:tcW w:w="3690" w:type="dxa"/>
            <w:vAlign w:val="bottom"/>
          </w:tcPr>
          <w:p>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乙方开户银行联行号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开户账号</w:t>
            </w:r>
          </w:p>
        </w:tc>
        <w:tc>
          <w:tcPr>
            <w:tcW w:w="3690" w:type="dxa"/>
            <w:vAlign w:val="bottom"/>
          </w:tcPr>
          <w:p>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甲方银行账号（非必填）</w:t>
            </w:r>
          </w:p>
        </w:tc>
        <w:tc>
          <w:tcPr>
            <w:tcW w:w="3690" w:type="dxa"/>
            <w:vAlign w:val="bottom"/>
          </w:tcPr>
          <w:p>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乙方银行账号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其他信息</w:t>
            </w:r>
          </w:p>
        </w:tc>
        <w:tc>
          <w:tcPr>
            <w:tcW w:w="3690" w:type="dxa"/>
            <w:vAlign w:val="bottom"/>
          </w:tcPr>
          <w:p>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甲方其他需列明企业信息（非必填）</w:t>
            </w:r>
          </w:p>
        </w:tc>
        <w:tc>
          <w:tcPr>
            <w:tcW w:w="3690" w:type="dxa"/>
            <w:vAlign w:val="bottom"/>
          </w:tcPr>
          <w:p>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乙方其他需列明企业信息（非必填）</w:t>
            </w:r>
          </w:p>
        </w:tc>
      </w:tr>
    </w:tbl>
    <w:p>
      <w:pPr>
        <w:spacing w:line="360" w:lineRule="auto"/>
        <w:ind w:firstLine="432" w:firstLineChars="200"/>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合同履行过程中，如</w:t>
      </w:r>
      <w:r>
        <w:rPr>
          <w:rFonts w:hint="eastAsia" w:ascii="仿宋_GB2312" w:hAnsi="仿宋_GB2312" w:eastAsia="仿宋_GB2312" w:cs="仿宋_GB2312"/>
          <w:w w:val="90"/>
          <w:sz w:val="24"/>
          <w:szCs w:val="24"/>
          <w:lang w:val="en-US" w:eastAsia="zh-CN"/>
        </w:rPr>
        <w:t>甲乙双方基本</w:t>
      </w:r>
      <w:r>
        <w:rPr>
          <w:rFonts w:hint="eastAsia" w:ascii="仿宋_GB2312" w:hAnsi="仿宋_GB2312" w:eastAsia="仿宋_GB2312" w:cs="仿宋_GB2312"/>
          <w:w w:val="90"/>
          <w:sz w:val="24"/>
          <w:szCs w:val="24"/>
        </w:rPr>
        <w:t>信息发生变更，应及时以书面形式告知</w:t>
      </w:r>
      <w:r>
        <w:rPr>
          <w:rFonts w:hint="eastAsia" w:ascii="仿宋_GB2312" w:hAnsi="仿宋_GB2312" w:eastAsia="仿宋_GB2312" w:cs="仿宋_GB2312"/>
          <w:w w:val="90"/>
          <w:sz w:val="24"/>
          <w:szCs w:val="24"/>
          <w:lang w:val="en-US" w:eastAsia="zh-CN"/>
        </w:rPr>
        <w:t>对方</w:t>
      </w:r>
      <w:r>
        <w:rPr>
          <w:rFonts w:hint="eastAsia" w:ascii="仿宋_GB2312" w:hAnsi="仿宋_GB2312" w:eastAsia="仿宋_GB2312" w:cs="仿宋_GB2312"/>
          <w:w w:val="90"/>
          <w:sz w:val="24"/>
          <w:szCs w:val="24"/>
        </w:rPr>
        <w:t>并就</w:t>
      </w:r>
      <w:r>
        <w:rPr>
          <w:rFonts w:hint="eastAsia" w:ascii="仿宋_GB2312" w:hAnsi="仿宋_GB2312" w:eastAsia="仿宋_GB2312" w:cs="仿宋_GB2312"/>
          <w:w w:val="90"/>
          <w:sz w:val="24"/>
          <w:szCs w:val="24"/>
          <w:lang w:val="en-US" w:eastAsia="zh-CN"/>
        </w:rPr>
        <w:t>付款</w:t>
      </w:r>
      <w:r>
        <w:rPr>
          <w:rFonts w:hint="eastAsia" w:ascii="仿宋_GB2312" w:hAnsi="仿宋_GB2312" w:eastAsia="仿宋_GB2312" w:cs="仿宋_GB2312"/>
          <w:w w:val="90"/>
          <w:sz w:val="24"/>
          <w:szCs w:val="24"/>
        </w:rPr>
        <w:t>账户信息变更签署相关补充协议。</w:t>
      </w:r>
    </w:p>
    <w:p>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lang w:val="en-US" w:eastAsia="zh-CN"/>
        </w:rPr>
        <w:t>3</w:t>
      </w:r>
      <w:r>
        <w:rPr>
          <w:rFonts w:hint="eastAsia" w:ascii="黑体" w:hAnsi="黑体" w:eastAsia="黑体" w:cs="黑体"/>
          <w:b w:val="0"/>
          <w:sz w:val="24"/>
          <w:szCs w:val="24"/>
        </w:rPr>
        <w:t>.生效条款</w:t>
      </w:r>
    </w:p>
    <w:p>
      <w:pPr>
        <w:spacing w:line="360" w:lineRule="auto"/>
        <w:ind w:firstLine="480" w:firstLineChars="200"/>
        <w:rPr>
          <w:rFonts w:hint="default" w:ascii="仿宋_GB2312" w:hAnsi="黑体" w:eastAsia="仿宋_GB2312" w:cstheme="minorEastAsia"/>
          <w:sz w:val="24"/>
          <w:szCs w:val="24"/>
          <w:u w:val="single"/>
          <w:lang w:val="en-US" w:eastAsia="zh-CN"/>
        </w:rPr>
      </w:pP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.1本合同经双方签署后生效。</w:t>
      </w:r>
    </w:p>
    <w:p>
      <w:pPr>
        <w:spacing w:line="360" w:lineRule="auto"/>
        <w:ind w:firstLine="480" w:firstLineChars="200"/>
        <w:rPr>
          <w:rFonts w:hint="default" w:ascii="仿宋_GB2312" w:hAnsi="黑体" w:eastAsia="仿宋_GB2312" w:cstheme="minorEastAsia"/>
          <w:sz w:val="24"/>
          <w:szCs w:val="24"/>
          <w:lang w:val="en-US" w:eastAsia="zh-CN"/>
        </w:rPr>
      </w:pPr>
      <w:r>
        <w:rPr>
          <w:rFonts w:hint="eastAsia" w:ascii="仿宋_GB2312" w:hAnsi="黑体" w:eastAsia="仿宋_GB2312" w:cstheme="minorEastAsia"/>
          <w:sz w:val="24"/>
          <w:szCs w:val="24"/>
          <w:lang w:val="en-US" w:eastAsia="zh-CN"/>
        </w:rPr>
        <w:t>3.2本合同一式四份，甲乙双方各执两份，具有同等法律效力。</w:t>
      </w:r>
    </w:p>
    <w:p>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4.特殊约定</w:t>
      </w:r>
    </w:p>
    <w:p>
      <w:pPr>
        <w:spacing w:line="360" w:lineRule="auto"/>
        <w:ind w:firstLine="434" w:firstLineChars="200"/>
        <w:rPr>
          <w:rFonts w:hint="default" w:ascii="仿宋_GB2312" w:hAnsi="黑体" w:eastAsia="仿宋_GB2312" w:cstheme="minorEastAsia"/>
          <w:sz w:val="24"/>
          <w:szCs w:val="24"/>
          <w:lang w:val="en-US" w:eastAsia="zh-CN"/>
        </w:rPr>
      </w:pPr>
      <w:r>
        <w:rPr>
          <w:rFonts w:hint="eastAsia" w:ascii="仿宋_GB2312" w:hAnsi="仿宋_GB2312" w:eastAsia="仿宋_GB2312" w:cs="仿宋_GB2312"/>
          <w:b/>
          <w:bCs/>
          <w:w w:val="90"/>
          <w:sz w:val="24"/>
          <w:szCs w:val="24"/>
          <w:u w:val="single"/>
        </w:rPr>
        <w:t>特殊约定事项，据实填写</w:t>
      </w:r>
      <w:r>
        <w:rPr>
          <w:rFonts w:hint="eastAsia" w:ascii="仿宋_GB2312" w:hAnsi="仿宋_GB2312" w:eastAsia="仿宋_GB2312" w:cs="仿宋_GB2312"/>
          <w:b/>
          <w:bCs/>
          <w:w w:val="90"/>
          <w:sz w:val="24"/>
          <w:szCs w:val="24"/>
          <w:u w:val="single"/>
          <w:lang w:eastAsia="zh-CN"/>
        </w:rPr>
        <w:t>：4</w:t>
      </w:r>
      <w:r>
        <w:rPr>
          <w:rFonts w:hint="eastAsia" w:ascii="仿宋_GB2312" w:hAnsi="仿宋_GB2312" w:eastAsia="仿宋_GB2312" w:cs="仿宋_GB2312"/>
          <w:b/>
          <w:bCs/>
          <w:w w:val="90"/>
          <w:sz w:val="24"/>
          <w:szCs w:val="24"/>
          <w:u w:val="single"/>
          <w:lang w:val="en-US" w:eastAsia="zh-CN"/>
        </w:rPr>
        <w:t>.1                ;4.2               ;……</w:t>
      </w:r>
      <w:r>
        <w:rPr>
          <w:rFonts w:hint="eastAsia" w:ascii="仿宋_GB2312" w:hAnsi="仿宋_GB2312" w:eastAsia="仿宋_GB2312" w:cs="仿宋_GB2312"/>
          <w:b/>
          <w:bCs/>
          <w:w w:val="90"/>
          <w:sz w:val="24"/>
          <w:szCs w:val="24"/>
          <w:u w:val="single"/>
        </w:rPr>
        <w:t>。</w:t>
      </w:r>
      <w:r>
        <w:rPr>
          <w:rFonts w:hint="eastAsia" w:ascii="仿宋_GB2312" w:hAnsi="仿宋_GB2312" w:eastAsia="仿宋_GB2312" w:cs="仿宋_GB2312"/>
          <w:b/>
          <w:bCs/>
          <w:w w:val="90"/>
          <w:sz w:val="24"/>
          <w:szCs w:val="24"/>
          <w:u w:val="single"/>
          <w:lang w:val="en-US" w:eastAsia="zh-CN"/>
        </w:rPr>
        <w:t>若无，</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无</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专用条款、通用条款中需进行修改的部分应在此处予以体现</w:t>
      </w:r>
      <w:r>
        <w:rPr>
          <w:rFonts w:hint="eastAsia" w:ascii="仿宋_GB2312" w:eastAsia="仿宋_GB2312" w:hAnsiTheme="minorEastAsia" w:cstheme="minorEastAsia"/>
          <w:b/>
          <w:bCs/>
          <w:sz w:val="24"/>
          <w:szCs w:val="24"/>
          <w:u w:val="single"/>
          <w:lang w:eastAsia="zh-CN"/>
        </w:rPr>
        <w:t>。</w:t>
      </w:r>
    </w:p>
    <w:p>
      <w:pPr>
        <w:spacing w:line="360" w:lineRule="auto"/>
        <w:rPr>
          <w:rFonts w:ascii="宋体" w:hAnsi="宋体"/>
          <w:snapToGrid w:val="0"/>
          <w:kern w:val="0"/>
          <w:sz w:val="20"/>
          <w:szCs w:val="20"/>
          <w:lang w:eastAsia="zh-Hans"/>
        </w:rPr>
      </w:pPr>
    </w:p>
    <w:p>
      <w:pPr>
        <w:spacing w:line="360" w:lineRule="auto"/>
        <w:rPr>
          <w:rFonts w:ascii="宋体" w:hAnsi="宋体"/>
          <w:snapToGrid w:val="0"/>
          <w:kern w:val="0"/>
          <w:sz w:val="20"/>
          <w:szCs w:val="20"/>
          <w:lang w:eastAsia="zh-Hans"/>
        </w:rPr>
      </w:pPr>
    </w:p>
    <w:p>
      <w:pPr>
        <w:spacing w:line="360" w:lineRule="auto"/>
        <w:rPr>
          <w:rFonts w:ascii="宋体" w:hAnsi="宋体"/>
          <w:snapToGrid w:val="0"/>
          <w:kern w:val="0"/>
          <w:sz w:val="20"/>
          <w:szCs w:val="20"/>
          <w:lang w:eastAsia="zh-Hans"/>
        </w:rPr>
      </w:pPr>
    </w:p>
    <w:p>
      <w:pPr>
        <w:widowControl/>
        <w:adjustRightInd w:val="0"/>
        <w:snapToGrid w:val="0"/>
        <w:spacing w:line="360" w:lineRule="auto"/>
        <w:ind w:firstLine="480" w:firstLineChars="200"/>
        <w:jc w:val="left"/>
        <w:rPr>
          <w:rFonts w:hint="eastAsia" w:ascii="仿宋_GB2312" w:hAnsi="宋体" w:eastAsia="仿宋_GB2312"/>
          <w:b/>
          <w:bCs/>
          <w:snapToGrid w:val="0"/>
          <w:kern w:val="0"/>
          <w:sz w:val="24"/>
          <w:szCs w:val="24"/>
          <w:u w:val="single"/>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宋体" w:eastAsia="仿宋_GB2312"/>
          <w:b/>
          <w:bCs/>
          <w:snapToGrid w:val="0"/>
          <w:kern w:val="0"/>
          <w:sz w:val="24"/>
          <w:szCs w:val="24"/>
          <w:u w:val="single"/>
          <w:lang w:eastAsia="zh-CN"/>
        </w:rPr>
        <w:t>甲方单位</w:t>
      </w:r>
      <w:r>
        <w:rPr>
          <w:rFonts w:hint="eastAsia" w:ascii="仿宋_GB2312" w:hAnsi="宋体" w:eastAsia="仿宋_GB2312"/>
          <w:b/>
          <w:bCs/>
          <w:snapToGrid w:val="0"/>
          <w:kern w:val="0"/>
          <w:sz w:val="24"/>
          <w:szCs w:val="24"/>
          <w:u w:val="single"/>
        </w:rPr>
        <w:t>全称</w:t>
      </w:r>
    </w:p>
    <w:p>
      <w:pPr>
        <w:widowControl/>
        <w:adjustRightInd w:val="0"/>
        <w:snapToGrid w:val="0"/>
        <w:spacing w:line="360" w:lineRule="auto"/>
        <w:ind w:firstLine="482" w:firstLineChars="200"/>
        <w:jc w:val="left"/>
        <w:rPr>
          <w:rFonts w:hint="eastAsia" w:ascii="仿宋_GB2312" w:hAnsi="宋体" w:eastAsia="仿宋_GB2312"/>
          <w:b/>
          <w:bCs/>
          <w:snapToGrid w:val="0"/>
          <w:kern w:val="0"/>
          <w:sz w:val="24"/>
          <w:szCs w:val="24"/>
          <w:u w:val="single"/>
        </w:rPr>
      </w:pPr>
    </w:p>
    <w:p>
      <w:pPr>
        <w:widowControl/>
        <w:adjustRightInd w:val="0"/>
        <w:snapToGrid w:val="0"/>
        <w:spacing w:line="360" w:lineRule="auto"/>
        <w:ind w:firstLine="480" w:firstLineChars="200"/>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甲方</w:t>
      </w:r>
      <w:r>
        <w:rPr>
          <w:rFonts w:hint="eastAsia" w:ascii="仿宋_GB2312" w:hAnsi="宋体" w:eastAsia="仿宋_GB2312"/>
          <w:snapToGrid w:val="0"/>
          <w:color w:val="000000"/>
          <w:kern w:val="0"/>
          <w:sz w:val="24"/>
          <w:szCs w:val="24"/>
        </w:rPr>
        <w:t>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p>
    <w:p>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p>
    <w:p>
      <w:pPr>
        <w:widowControl/>
        <w:adjustRightInd w:val="0"/>
        <w:snapToGrid w:val="0"/>
        <w:spacing w:line="360" w:lineRule="auto"/>
        <w:ind w:firstLine="480" w:firstLineChars="200"/>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pPr>
        <w:widowControl/>
        <w:adjustRightInd w:val="0"/>
        <w:snapToGrid w:val="0"/>
        <w:spacing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snapToGrid w:val="0"/>
          <w:kern w:val="0"/>
          <w:sz w:val="24"/>
          <w:szCs w:val="24"/>
        </w:rPr>
        <w:t>乙</w:t>
      </w:r>
      <w:r>
        <w:rPr>
          <w:rFonts w:hint="eastAsia" w:ascii="仿宋_GB2312" w:hAnsi="宋体" w:eastAsia="仿宋_GB2312"/>
          <w:snapToGrid w:val="0"/>
          <w:kern w:val="0"/>
          <w:sz w:val="24"/>
          <w:szCs w:val="24"/>
          <w:lang w:eastAsia="zh-Hans"/>
        </w:rPr>
        <w:t>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仿宋_GB2312" w:eastAsia="仿宋_GB2312" w:cs="仿宋_GB2312"/>
          <w:b/>
          <w:bCs/>
          <w:sz w:val="24"/>
          <w:szCs w:val="24"/>
          <w:u w:val="single"/>
          <w:lang w:eastAsia="zh-CN"/>
        </w:rPr>
        <w:t>乙方单位</w:t>
      </w:r>
      <w:r>
        <w:rPr>
          <w:rFonts w:hint="eastAsia" w:ascii="仿宋_GB2312" w:hAnsi="仿宋_GB2312" w:eastAsia="仿宋_GB2312" w:cs="仿宋_GB2312"/>
          <w:b/>
          <w:bCs/>
          <w:sz w:val="24"/>
          <w:szCs w:val="24"/>
          <w:u w:val="single"/>
        </w:rPr>
        <w:t>全称</w:t>
      </w:r>
    </w:p>
    <w:p>
      <w:pPr>
        <w:widowControl/>
        <w:adjustRightInd w:val="0"/>
        <w:snapToGrid w:val="0"/>
        <w:spacing w:line="360" w:lineRule="auto"/>
        <w:ind w:firstLine="482" w:firstLineChars="200"/>
        <w:jc w:val="left"/>
        <w:rPr>
          <w:rFonts w:hint="eastAsia" w:ascii="仿宋_GB2312" w:hAnsi="仿宋_GB2312" w:eastAsia="仿宋_GB2312" w:cs="仿宋_GB2312"/>
          <w:b/>
          <w:bCs/>
          <w:sz w:val="24"/>
          <w:szCs w:val="24"/>
          <w:u w:val="single"/>
        </w:rPr>
      </w:pP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宋体" w:eastAsia="仿宋_GB2312"/>
          <w:snapToGrid w:val="0"/>
          <w:color w:val="000000"/>
          <w:kern w:val="0"/>
          <w:sz w:val="24"/>
          <w:szCs w:val="24"/>
          <w:lang w:eastAsia="zh-Hans"/>
        </w:rPr>
        <w:sectPr>
          <w:footerReference r:id="rId15" w:type="default"/>
          <w:pgSz w:w="11907" w:h="16840"/>
          <w:pgMar w:top="1304" w:right="1418" w:bottom="1304" w:left="1418" w:header="724" w:footer="851" w:gutter="0"/>
          <w:pgBorders>
            <w:top w:val="none" w:sz="0" w:space="0"/>
            <w:left w:val="none" w:sz="0" w:space="0"/>
            <w:bottom w:val="none" w:sz="0" w:space="0"/>
            <w:right w:val="none" w:sz="0" w:space="0"/>
          </w:pgBorders>
          <w:pgNumType w:fmt="decimal"/>
          <w:cols w:space="720" w:num="1"/>
          <w:docGrid w:linePitch="290" w:charSpace="-3931"/>
        </w:sectPr>
      </w:pPr>
      <w:r>
        <w:rPr>
          <w:rFonts w:hint="eastAsia" w:ascii="仿宋_GB2312" w:hAnsi="宋体" w:eastAsia="仿宋_GB2312"/>
          <w:snapToGrid w:val="0"/>
          <w:color w:val="000000"/>
          <w:kern w:val="0"/>
          <w:sz w:val="24"/>
          <w:szCs w:val="24"/>
          <w:lang w:val="en-US" w:eastAsia="zh-CN"/>
        </w:rPr>
        <w:t>乙方代表</w:t>
      </w:r>
      <w:r>
        <w:rPr>
          <w:rFonts w:hint="eastAsia" w:ascii="仿宋_GB2312" w:hAnsi="宋体" w:eastAsia="仿宋_GB2312"/>
          <w:snapToGrid w:val="0"/>
          <w:color w:val="000000"/>
          <w:kern w:val="0"/>
          <w:sz w:val="24"/>
          <w:szCs w:val="24"/>
          <w:lang w:val="en-US" w:eastAsia="zh-Hans"/>
        </w:rPr>
        <w:t>（签字）：</w:t>
      </w:r>
      <w:r>
        <w:rPr>
          <w:rFonts w:hint="eastAsia" w:ascii="仿宋_GB2312" w:hAnsi="宋体" w:eastAsia="仿宋_GB2312"/>
          <w:snapToGrid w:val="0"/>
          <w:color w:val="000000"/>
          <w:kern w:val="0"/>
          <w:sz w:val="24"/>
          <w:szCs w:val="24"/>
          <w:lang w:eastAsia="zh-Hans"/>
        </w:rPr>
        <w:t xml:space="preserve">  </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p>
    <w:p>
      <w:pPr>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通用条款</w:t>
      </w:r>
    </w:p>
    <w:p>
      <w:pPr>
        <w:pStyle w:val="3"/>
        <w:tabs>
          <w:tab w:val="right" w:leader="dot" w:pos="9061"/>
        </w:tabs>
        <w:ind w:left="0" w:firstLine="480" w:firstLineChars="200"/>
        <w:jc w:val="both"/>
        <w:rPr>
          <w:rFonts w:ascii="黑体" w:hAnsi="黑体" w:eastAsia="黑体" w:cs="黑体"/>
          <w:b w:val="0"/>
          <w:sz w:val="24"/>
          <w:szCs w:val="24"/>
        </w:rPr>
      </w:pPr>
      <w:bookmarkStart w:id="45" w:name="_Toc16330018"/>
      <w:bookmarkStart w:id="46" w:name="_Toc11930"/>
      <w:bookmarkStart w:id="47" w:name="_Toc17619"/>
      <w:bookmarkStart w:id="48" w:name="_Toc11823"/>
      <w:r>
        <w:rPr>
          <w:rFonts w:hint="eastAsia" w:ascii="黑体" w:hAnsi="黑体" w:eastAsia="黑体" w:cs="黑体"/>
          <w:b w:val="0"/>
          <w:sz w:val="24"/>
          <w:szCs w:val="24"/>
        </w:rPr>
        <w:t>1 合同设备</w:t>
      </w:r>
      <w:bookmarkEnd w:id="45"/>
      <w:bookmarkEnd w:id="46"/>
      <w:bookmarkEnd w:id="47"/>
      <w:bookmarkEnd w:id="48"/>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w:t>
      </w:r>
      <w:bookmarkStart w:id="49" w:name="_Toc22800"/>
      <w:bookmarkStart w:id="50" w:name="_Toc32510"/>
      <w:bookmarkStart w:id="51" w:name="_Toc29026"/>
      <w:r>
        <w:rPr>
          <w:rFonts w:hint="eastAsia" w:ascii="仿宋_GB2312" w:hAnsi="仿宋_GB2312" w:eastAsia="仿宋_GB2312" w:cs="仿宋_GB2312"/>
          <w:sz w:val="24"/>
          <w:szCs w:val="24"/>
        </w:rPr>
        <w:t>本合同约定设备的技术规格详见附件二《技术协议书》。</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1.3在设备所有权转移到买方之前，有关设备的保险由卖方负责办理并承担保险费用。</w:t>
      </w:r>
    </w:p>
    <w:p>
      <w:pPr>
        <w:pStyle w:val="3"/>
        <w:tabs>
          <w:tab w:val="right" w:leader="dot" w:pos="9061"/>
        </w:tabs>
        <w:ind w:left="0" w:firstLine="480" w:firstLineChars="200"/>
        <w:jc w:val="both"/>
        <w:rPr>
          <w:rFonts w:ascii="黑体" w:hAnsi="黑体" w:eastAsia="黑体" w:cs="黑体"/>
          <w:b w:val="0"/>
          <w:sz w:val="24"/>
          <w:szCs w:val="24"/>
        </w:rPr>
      </w:pPr>
      <w:bookmarkStart w:id="52" w:name="_Toc16330019"/>
      <w:r>
        <w:rPr>
          <w:rFonts w:hint="eastAsia" w:ascii="黑体" w:hAnsi="黑体" w:eastAsia="黑体" w:cs="黑体"/>
          <w:b w:val="0"/>
          <w:sz w:val="24"/>
          <w:szCs w:val="24"/>
        </w:rPr>
        <w:t>2 包装</w:t>
      </w:r>
      <w:bookmarkEnd w:id="49"/>
      <w:bookmarkEnd w:id="50"/>
      <w:bookmarkEnd w:id="51"/>
      <w:bookmarkEnd w:id="52"/>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2.2每件包装应附有详细的装箱单和质量证书各两套，一套在包装箱里，一套在包装箱外。</w:t>
      </w:r>
    </w:p>
    <w:p>
      <w:pPr>
        <w:pStyle w:val="3"/>
        <w:tabs>
          <w:tab w:val="right" w:leader="dot" w:pos="9061"/>
        </w:tabs>
        <w:ind w:left="0" w:firstLine="480" w:firstLineChars="200"/>
        <w:jc w:val="both"/>
        <w:rPr>
          <w:rFonts w:ascii="黑体" w:hAnsi="黑体" w:eastAsia="黑体" w:cs="黑体"/>
          <w:b w:val="0"/>
          <w:sz w:val="24"/>
          <w:szCs w:val="24"/>
        </w:rPr>
      </w:pPr>
      <w:bookmarkStart w:id="53" w:name="_Toc16330020"/>
      <w:bookmarkStart w:id="54" w:name="_Toc27453"/>
      <w:bookmarkStart w:id="55" w:name="_Toc2833"/>
      <w:bookmarkStart w:id="56" w:name="_Toc27144"/>
      <w:r>
        <w:rPr>
          <w:rFonts w:hint="eastAsia" w:ascii="黑体" w:hAnsi="黑体" w:eastAsia="黑体" w:cs="黑体"/>
          <w:b w:val="0"/>
          <w:sz w:val="24"/>
          <w:szCs w:val="24"/>
        </w:rPr>
        <w:t>3 运输标记</w:t>
      </w:r>
      <w:bookmarkEnd w:id="53"/>
      <w:bookmarkEnd w:id="54"/>
      <w:bookmarkEnd w:id="55"/>
      <w:bookmarkEnd w:id="56"/>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3.1卖方应在每一包装箱邻近的四个侧面用不易褪色的油漆以醒目的中文印刷字体标明以下各项：</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3.1.1收货人</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3.1.2合同号</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3.1.3发货标记（唛头）</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3.1.4设备的名称、品目号、箱号</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3.1.5毛重/净重（公斤）</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3.1.6尺寸（长×宽×高，以厘米计）</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pStyle w:val="3"/>
        <w:tabs>
          <w:tab w:val="right" w:leader="dot" w:pos="9061"/>
        </w:tabs>
        <w:ind w:left="0" w:firstLine="480" w:firstLineChars="200"/>
        <w:jc w:val="both"/>
        <w:rPr>
          <w:rFonts w:ascii="黑体" w:hAnsi="黑体" w:eastAsia="黑体" w:cs="黑体"/>
          <w:b w:val="0"/>
          <w:sz w:val="24"/>
          <w:szCs w:val="24"/>
        </w:rPr>
      </w:pPr>
      <w:bookmarkStart w:id="57" w:name="_Toc10630"/>
      <w:bookmarkStart w:id="58" w:name="_Toc16133"/>
      <w:bookmarkStart w:id="59" w:name="_Toc16330021"/>
      <w:bookmarkStart w:id="60" w:name="_Toc7431"/>
      <w:r>
        <w:rPr>
          <w:rFonts w:hint="eastAsia" w:ascii="黑体" w:hAnsi="黑体" w:eastAsia="黑体" w:cs="黑体"/>
          <w:b w:val="0"/>
          <w:sz w:val="24"/>
          <w:szCs w:val="24"/>
        </w:rPr>
        <w:t>4 检验</w:t>
      </w:r>
      <w:bookmarkEnd w:id="57"/>
      <w:bookmarkEnd w:id="58"/>
      <w:bookmarkEnd w:id="59"/>
      <w:bookmarkEnd w:id="60"/>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4.2国家强制检验检测的设备，需要经过国家有关部门进行检验检测，卖方保证提供的设备通过其检验并承担费用。</w:t>
      </w:r>
    </w:p>
    <w:p>
      <w:pPr>
        <w:pStyle w:val="3"/>
        <w:tabs>
          <w:tab w:val="right" w:leader="dot" w:pos="9061"/>
        </w:tabs>
        <w:ind w:left="0" w:firstLine="480" w:firstLineChars="200"/>
        <w:jc w:val="both"/>
        <w:rPr>
          <w:rFonts w:ascii="黑体" w:hAnsi="黑体" w:eastAsia="黑体" w:cs="黑体"/>
          <w:b w:val="0"/>
          <w:sz w:val="24"/>
          <w:szCs w:val="24"/>
        </w:rPr>
      </w:pPr>
      <w:bookmarkStart w:id="61" w:name="_Toc24467"/>
      <w:bookmarkStart w:id="62" w:name="_Toc11217"/>
      <w:bookmarkStart w:id="63" w:name="_Toc19850"/>
      <w:bookmarkStart w:id="64" w:name="_Toc16330022"/>
      <w:r>
        <w:rPr>
          <w:rFonts w:hint="eastAsia" w:ascii="黑体" w:hAnsi="黑体" w:eastAsia="黑体" w:cs="黑体"/>
          <w:b w:val="0"/>
          <w:sz w:val="24"/>
          <w:szCs w:val="24"/>
        </w:rPr>
        <w:t>5 权利担保</w:t>
      </w:r>
      <w:bookmarkEnd w:id="61"/>
      <w:bookmarkEnd w:id="62"/>
      <w:bookmarkEnd w:id="63"/>
      <w:bookmarkEnd w:id="64"/>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5.2卖方应保证第三方对其提交的设备不得以侵权或其他类似理由提出合法要求，如侵犯知识产权等。</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5.3任何第三方如果提出侵权指控，卖方应与第三方交涉，并承担由此引起的一切法律责任和费用以及给买方所造成的损失。</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5.4买方应在已知道第三方的权利或要求后的一段合理时间内，将此权利或要求的性质通知卖方。</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pStyle w:val="3"/>
        <w:tabs>
          <w:tab w:val="right" w:leader="dot" w:pos="9061"/>
        </w:tabs>
        <w:ind w:left="0" w:firstLine="480" w:firstLineChars="200"/>
        <w:jc w:val="both"/>
        <w:rPr>
          <w:rFonts w:ascii="黑体" w:hAnsi="黑体" w:eastAsia="黑体" w:cs="黑体"/>
          <w:b w:val="0"/>
          <w:sz w:val="24"/>
          <w:szCs w:val="24"/>
        </w:rPr>
      </w:pPr>
      <w:bookmarkStart w:id="65" w:name="_Toc16330023"/>
      <w:bookmarkStart w:id="66" w:name="_Toc14809"/>
      <w:bookmarkStart w:id="67" w:name="_Toc11759"/>
      <w:bookmarkStart w:id="68" w:name="_Toc27500"/>
      <w:r>
        <w:rPr>
          <w:rFonts w:hint="eastAsia" w:ascii="黑体" w:hAnsi="黑体" w:eastAsia="黑体" w:cs="黑体"/>
          <w:b w:val="0"/>
          <w:sz w:val="24"/>
          <w:szCs w:val="24"/>
        </w:rPr>
        <w:t>6 交货</w:t>
      </w:r>
      <w:bookmarkEnd w:id="65"/>
      <w:bookmarkEnd w:id="66"/>
      <w:bookmarkEnd w:id="67"/>
      <w:bookmarkEnd w:id="68"/>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6.2卖方应在设备装运完成后当天以传真、邮件等的形式通知买方合同号、设备名称、数量、毛重、体积（立方米）、发票金额、启运日期、预计到达日期。</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6.4交货方式的释义</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6.4.1交钥匙方式：卖方负责合同设备的设计、制造、运输、定点卸货、安装、调试、培训及售后服务等所有内容，直至买方验收合格并交付使用。</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6.4.3自提：买方依照合同约定到卖方所在地提取合同设备，经买方根据合同所约定的数量、型号及配置等内容逐一确认无误后，双方完成交付手续。</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6.5到货后，买卖双方代表办理移交手续，此时的移交不代表卖方合同设备所有权的转移，合同设备的保管责任仍然由卖方承担。移交内容包括：合同设备、硬件、软件、图纸、资料、质量证明文件等。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6.6卖方在交付设备前需通知买方。</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6.7风险的转移：</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pStyle w:val="3"/>
        <w:tabs>
          <w:tab w:val="right" w:leader="dot" w:pos="9061"/>
        </w:tabs>
        <w:ind w:left="0" w:firstLine="480" w:firstLineChars="200"/>
        <w:jc w:val="both"/>
        <w:rPr>
          <w:rFonts w:ascii="黑体" w:hAnsi="黑体" w:eastAsia="黑体" w:cs="黑体"/>
          <w:b w:val="0"/>
          <w:sz w:val="24"/>
          <w:szCs w:val="24"/>
        </w:rPr>
      </w:pPr>
      <w:bookmarkStart w:id="69" w:name="_Toc8024"/>
      <w:bookmarkStart w:id="70" w:name="_Toc25510"/>
      <w:bookmarkStart w:id="71" w:name="_Toc2984"/>
      <w:bookmarkStart w:id="72" w:name="_Toc16330024"/>
      <w:r>
        <w:rPr>
          <w:rFonts w:hint="eastAsia" w:ascii="黑体" w:hAnsi="黑体" w:eastAsia="黑体" w:cs="黑体"/>
          <w:b w:val="0"/>
          <w:sz w:val="24"/>
          <w:szCs w:val="24"/>
        </w:rPr>
        <w:t>7 安装、调试</w:t>
      </w:r>
      <w:bookmarkEnd w:id="69"/>
      <w:bookmarkEnd w:id="70"/>
      <w:bookmarkEnd w:id="71"/>
      <w:bookmarkEnd w:id="72"/>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7.1 卖方应自带用以安装、调试过程中所需的各种工具、仪器、仪表及易损件。在安装、调试过程中，卖方应自负其工作人员的食宿、交通等费用。</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7.2在安装、调试过程中，安装场地及施工人员安全，由卖方负责。由于安装、调试等原因造成买方或他人人身损害或财产损失的，由卖方承担赔偿责任。</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7.3</w:t>
      </w:r>
      <w:r>
        <w:rPr>
          <w:rFonts w:hint="eastAsia" w:ascii="仿宋_GB2312" w:hAnsi="仿宋_GB2312" w:eastAsia="仿宋_GB2312" w:cs="仿宋_GB2312"/>
          <w:bCs/>
          <w:sz w:val="24"/>
          <w:szCs w:val="24"/>
        </w:rPr>
        <w:t xml:space="preserve"> </w:t>
      </w:r>
      <w:r>
        <w:rPr>
          <w:rFonts w:hint="eastAsia" w:ascii="仿宋_GB2312" w:hAnsi="仿宋_GB2312" w:eastAsia="仿宋_GB2312" w:cs="仿宋_GB2312"/>
          <w:sz w:val="24"/>
          <w:szCs w:val="24"/>
        </w:rPr>
        <w:t>卖方须对安装、调试过程中造成的买方或他人人身损害或财产损失承担赔偿责任。</w:t>
      </w:r>
    </w:p>
    <w:p>
      <w:pPr>
        <w:pStyle w:val="3"/>
        <w:tabs>
          <w:tab w:val="right" w:leader="dot" w:pos="9061"/>
        </w:tabs>
        <w:ind w:left="0" w:firstLine="480" w:firstLineChars="200"/>
        <w:jc w:val="both"/>
        <w:rPr>
          <w:rFonts w:ascii="黑体" w:hAnsi="黑体" w:eastAsia="黑体" w:cs="黑体"/>
          <w:b w:val="0"/>
          <w:sz w:val="24"/>
          <w:szCs w:val="24"/>
        </w:rPr>
      </w:pPr>
      <w:bookmarkStart w:id="73" w:name="_Toc14260"/>
      <w:bookmarkStart w:id="74" w:name="_Toc14098"/>
      <w:bookmarkStart w:id="75" w:name="_Toc16330025"/>
      <w:bookmarkStart w:id="76" w:name="_Toc6350"/>
      <w:r>
        <w:rPr>
          <w:rFonts w:hint="eastAsia" w:ascii="黑体" w:hAnsi="黑体" w:eastAsia="黑体" w:cs="黑体"/>
          <w:b w:val="0"/>
          <w:sz w:val="24"/>
          <w:szCs w:val="24"/>
        </w:rPr>
        <w:t>8 价款与支付</w:t>
      </w:r>
      <w:bookmarkEnd w:id="73"/>
      <w:bookmarkEnd w:id="74"/>
      <w:bookmarkEnd w:id="75"/>
      <w:bookmarkEnd w:id="76"/>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8.1合同价格以不含税价格为准</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若因国家税收法律法规或政策调整对本合同业务的税目、税率等产生影响，双方确定本合同约定的各项业务的不含税价格不做调整，各项业务的含税价格依法依规进行调整。</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8.2本合同约定的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8.3双方约定的付款条件执行中，满足付款条件后甲方在30日内完成付款不被视为付款延迟；若甲方在满足付款条件30日后尚未完成付款的，付款延迟违约计算从满足付款条件第31日起开始计算。</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8.4乙方结算时，必须使用合法有效并经甲方认可的增值税专用发票，否则不予结算。因发票违规给甲方造成的增值税、所得税等损失，由乙方承担相关责任，包括但不限于税款、滞纳金、罚款及其它相关损失。</w:t>
      </w:r>
    </w:p>
    <w:p>
      <w:pPr>
        <w:pStyle w:val="3"/>
        <w:tabs>
          <w:tab w:val="right" w:leader="dot" w:pos="9061"/>
        </w:tabs>
        <w:ind w:left="0" w:firstLine="480" w:firstLineChars="200"/>
        <w:jc w:val="both"/>
        <w:rPr>
          <w:rFonts w:ascii="黑体" w:hAnsi="黑体" w:eastAsia="黑体" w:cs="黑体"/>
          <w:b w:val="0"/>
          <w:sz w:val="24"/>
          <w:szCs w:val="24"/>
        </w:rPr>
      </w:pPr>
      <w:bookmarkStart w:id="77" w:name="_Toc16330026"/>
      <w:bookmarkStart w:id="78" w:name="_Toc25708"/>
      <w:bookmarkStart w:id="79" w:name="_Toc6726"/>
      <w:bookmarkStart w:id="80" w:name="_Toc24085"/>
      <w:r>
        <w:rPr>
          <w:rFonts w:hint="eastAsia" w:ascii="黑体" w:hAnsi="黑体" w:eastAsia="黑体" w:cs="黑体"/>
          <w:b w:val="0"/>
          <w:sz w:val="24"/>
          <w:szCs w:val="24"/>
        </w:rPr>
        <w:t>9 质量保证及售后服务</w:t>
      </w:r>
      <w:bookmarkEnd w:id="77"/>
      <w:bookmarkEnd w:id="78"/>
      <w:bookmarkEnd w:id="79"/>
      <w:bookmarkEnd w:id="80"/>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9.2卖方承诺其提供的设备不存在任何产品缺陷，否则因卖方提供的设备存在产品缺陷而给买方造成的一切后果和损失由卖方承担。</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9.4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9.5卖方负责在买方指定的地点免费为买方培训操作及维修人员，培训内容包括：基本原理、操作使用、安全操作注意事项以及维修保养等内容。</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9.6质量保证期满后，卖方保证向买方提供及时的、质优的、价格优惠的技术服务和备品备件供应。</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9.7质量保证期满后，如出现质量问题，卖方也应及时修复和更换，且只收取成本费，费用由买方承担，卖方对设备质量问题所负的责任直到设备使用寿命周期结束。</w:t>
      </w:r>
    </w:p>
    <w:p>
      <w:pPr>
        <w:pStyle w:val="3"/>
        <w:tabs>
          <w:tab w:val="right" w:leader="dot" w:pos="9061"/>
        </w:tabs>
        <w:ind w:left="0" w:firstLine="480" w:firstLineChars="200"/>
        <w:jc w:val="both"/>
        <w:rPr>
          <w:rFonts w:hint="default" w:ascii="黑体" w:hAnsi="黑体" w:eastAsia="黑体" w:cs="黑体"/>
          <w:b w:val="0"/>
          <w:sz w:val="24"/>
          <w:szCs w:val="24"/>
          <w:lang w:val="en-US" w:eastAsia="zh-CN"/>
        </w:rPr>
      </w:pPr>
      <w:bookmarkStart w:id="81" w:name="_Toc10359"/>
      <w:bookmarkStart w:id="82" w:name="_Toc16330027"/>
      <w:bookmarkStart w:id="83" w:name="_Toc12927"/>
      <w:bookmarkStart w:id="84" w:name="_Toc15570"/>
      <w:r>
        <w:rPr>
          <w:rFonts w:hint="eastAsia" w:ascii="黑体" w:hAnsi="黑体" w:eastAsia="黑体" w:cs="黑体"/>
          <w:b w:val="0"/>
          <w:sz w:val="24"/>
          <w:szCs w:val="24"/>
        </w:rPr>
        <w:t>10法定责任</w:t>
      </w:r>
      <w:bookmarkEnd w:id="81"/>
      <w:bookmarkEnd w:id="82"/>
      <w:bookmarkEnd w:id="83"/>
      <w:bookmarkEnd w:id="84"/>
      <w:r>
        <w:rPr>
          <w:rFonts w:hint="eastAsia" w:ascii="黑体" w:hAnsi="黑体" w:eastAsia="黑体" w:cs="黑体"/>
          <w:b w:val="0"/>
          <w:sz w:val="24"/>
          <w:szCs w:val="24"/>
          <w:lang w:val="en-US" w:eastAsia="zh-CN"/>
        </w:rPr>
        <w:t>及合规责任</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10.2除非本合同中另有规定或买方同意，卖方不得全部或部分转让本合同项下的权利义务。</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10.4除对方预先书面同意外，任何一方在本合同签订和履行期间或本合同终止后不得向第三方披露在本合同履行过程中知悉的与对方有关的任何商业秘密。</w:t>
      </w:r>
    </w:p>
    <w:p>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10.5</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保证截至本合同签署之日，</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及其子公司和关联公司未被列入任何国家或者地区的政府机构或者相关国际组织等发布的限制、制裁或反制清单，未隐瞒任何阻碍及可能阻碍此次交易的相关信息。如在本合同签署后发生上述情形，</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应当在获知被列入清单后24小时之内以书面形式通知买方。</w:t>
      </w:r>
    </w:p>
    <w:p>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10.6</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已经充分了解并确保会严格遵守开展业务所需适用国家或者地区的出口管制、经济制裁和反制裁相关法律法规（简称“出口管制与制裁法律法规”）。</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确认不存在任何因违反所需适用国家或者地区出口管制与制裁法律或其他因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原因导致本合同无法履行或者延迟履行的情形。如果</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在本合同履行过程中发生或者预见到可能发生该等情形，应当及时以书面形式告知买方。如由于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未履行前述义务或其他可归责于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的原因导致延迟履行供货或无法按照本合同约定履行供货义务，</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应承担违约责任，并承担买方因此受到的全部损失。</w:t>
      </w:r>
    </w:p>
    <w:p>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10.7</w:t>
      </w:r>
      <w:r>
        <w:rPr>
          <w:rFonts w:hint="eastAsia" w:ascii="仿宋_GB2312" w:hAnsi="仿宋_GB2312" w:eastAsia="仿宋_GB2312" w:cs="仿宋_GB2312"/>
          <w:sz w:val="24"/>
          <w:szCs w:val="24"/>
        </w:rPr>
        <w:t>如本合同项下</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所销售或者提供的任何产品、零部件、软件、技术和服务（以下统称“物项”）有可能受任何国家或者地区出口管制与制裁法律法规管辖，</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承诺遵守全部所需适用的有关规定，并确保向买方提供该等物项的合法性与合规性。对于受到出口管制管辖的物项，</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应当书面告知买方受控物项的全部管制信息，包括但不限于原产国、发运国、ECCN、USML编码等方面的特殊限制、物项管控要求等。</w:t>
      </w:r>
    </w:p>
    <w:p>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10.8</w:t>
      </w:r>
      <w:r>
        <w:rPr>
          <w:rFonts w:hint="eastAsia" w:ascii="仿宋_GB2312" w:hAnsi="仿宋_GB2312" w:eastAsia="仿宋_GB2312" w:cs="仿宋_GB2312"/>
          <w:sz w:val="24"/>
          <w:szCs w:val="24"/>
        </w:rPr>
        <w:t>如因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不遵守销售物项所需适用国家或地区的出口管制与制裁法律法规及监管政策而使买方遭受任何损失、费用、索赔、处罚、诉讼因由、损害、责任和费用（包括但不限于律师费，所有诉讼和/或和解费用以及法院费用），</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应当就此承担全部赔偿责任。买方有权视情况暂停或终止其对相关合同的履行。在该等情况下，买方不构成对相关合同的违约、且不免除</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履行合同的义务。</w:t>
      </w:r>
    </w:p>
    <w:p>
      <w:pPr>
        <w:spacing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10.9出于项目合作目的，买方已经或将要向卖方提供有关项目的保密信息。“保密信息”指买方现在或将来向卖方提供的与本协议有关的任何信息和数据，包括但不限于任何类型的经营信息、技术信息、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卖方承诺：</w:t>
      </w:r>
    </w:p>
    <w:p>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1）卖方</w:t>
      </w:r>
      <w:r>
        <w:rPr>
          <w:rFonts w:hint="default" w:ascii="仿宋_GB2312" w:hAnsi="仿宋_GB2312" w:eastAsia="仿宋_GB2312" w:cs="仿宋_GB2312"/>
          <w:sz w:val="24"/>
          <w:szCs w:val="24"/>
          <w:lang w:val="en-US" w:eastAsia="zh-CN"/>
        </w:rPr>
        <w:t>仅能将</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提供的保密信息用于本协议所约定的项目并承担保密义务。</w:t>
      </w:r>
    </w:p>
    <w:p>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2）卖方</w:t>
      </w:r>
      <w:r>
        <w:rPr>
          <w:rFonts w:hint="default" w:ascii="仿宋_GB2312" w:hAnsi="仿宋_GB2312" w:eastAsia="仿宋_GB2312" w:cs="仿宋_GB2312"/>
          <w:sz w:val="24"/>
          <w:szCs w:val="24"/>
          <w:lang w:val="en-US" w:eastAsia="zh-CN"/>
        </w:rPr>
        <w:t>将采取有效措施使用</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提供的保密信息，只将该等保密信息提供给本方负责决策或实施合作事项的具体参与人员，</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及其相关人员不得以任何方式或形式散布、披露或传播给该范围以外的人（包括</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关联机构），也不得允许任何保密信息被泄漏、被披露、被交流。</w:t>
      </w:r>
    </w:p>
    <w:p>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为项目需要，而不得不向该第三方披露保密信息，则</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应事先从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得到书面同意。</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应在披露保密信息之前，按照与本协议相同的保护程度与该第三方签署一份保密协议。若上述第三方（包括其股东、高管、雇员）发生泄密，</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应与该第三方承担连带责任。</w:t>
      </w:r>
    </w:p>
    <w:p>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4）</w:t>
      </w:r>
      <w:r>
        <w:rPr>
          <w:rFonts w:hint="default" w:ascii="仿宋_GB2312" w:hAnsi="仿宋_GB2312" w:eastAsia="仿宋_GB2312" w:cs="仿宋_GB2312"/>
          <w:sz w:val="24"/>
          <w:szCs w:val="24"/>
          <w:lang w:val="en-US" w:eastAsia="zh-CN"/>
        </w:rPr>
        <w:t>如</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得悉</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的任何保密信息遭侵犯或疑似侵权，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应立即通知</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决定就侵权行为进行起诉，或以其他方式停止或阻止该实际或可能发生的侵权行为，</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 xml:space="preserve">尽最大限度予以协助。 </w:t>
      </w:r>
    </w:p>
    <w:p>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5）卖方</w:t>
      </w:r>
      <w:r>
        <w:rPr>
          <w:rFonts w:hint="default" w:ascii="仿宋_GB2312" w:hAnsi="仿宋_GB2312" w:eastAsia="仿宋_GB2312" w:cs="仿宋_GB2312"/>
          <w:sz w:val="24"/>
          <w:szCs w:val="24"/>
          <w:lang w:val="en-US" w:eastAsia="zh-CN"/>
        </w:rPr>
        <w:t>不得在世界任何地方就保密信息进行升级、变更和/或改进，亦不得直接或间接提交或促使提交专利或著作权或其它权利的申请，也不得以其名义取得或促使以其他人名义取得任何专利或其它权利注册。</w:t>
      </w:r>
    </w:p>
    <w:p>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6）卖方</w:t>
      </w:r>
      <w:r>
        <w:rPr>
          <w:rFonts w:hint="default" w:ascii="仿宋_GB2312" w:hAnsi="仿宋_GB2312" w:eastAsia="仿宋_GB2312" w:cs="仿宋_GB2312"/>
          <w:sz w:val="24"/>
          <w:szCs w:val="24"/>
          <w:lang w:val="en-US" w:eastAsia="zh-CN"/>
        </w:rPr>
        <w:t>应遵从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不时发出的有关使用、处理和保管保密信息的任何指令或政策，并按照</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的要求将本协议项下保密信息的使用情况向</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 xml:space="preserve">汇报。 </w:t>
      </w:r>
    </w:p>
    <w:p>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7）卖方</w:t>
      </w:r>
      <w:r>
        <w:rPr>
          <w:rFonts w:hint="default" w:ascii="仿宋_GB2312" w:hAnsi="仿宋_GB2312" w:eastAsia="仿宋_GB2312" w:cs="仿宋_GB2312"/>
          <w:sz w:val="24"/>
          <w:szCs w:val="24"/>
          <w:lang w:val="en-US" w:eastAsia="zh-CN"/>
        </w:rPr>
        <w:t>不得为第三方利益使用保密信息，不得非为实现双方合作目的使用保密信息，不得对保密信息采取任何反向工程、反向编译或反向分解等行为。</w:t>
      </w:r>
    </w:p>
    <w:p>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w:t>
      </w:r>
      <w:r>
        <w:rPr>
          <w:rFonts w:hint="default" w:ascii="仿宋_GB2312" w:hAnsi="仿宋_GB2312" w:eastAsia="仿宋_GB2312" w:cs="仿宋_GB2312"/>
          <w:sz w:val="24"/>
          <w:szCs w:val="24"/>
          <w:lang w:val="en-US" w:eastAsia="zh-CN"/>
        </w:rPr>
        <w:t>双方合作期间形成的与本协议有关的任何信息和数据受本协议约束。</w:t>
      </w:r>
    </w:p>
    <w:p>
      <w:pPr>
        <w:spacing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10.10卖方在双方合作期间严格承诺遵循中国国家法律法规和政策规章的要求，确保数据合规，始终遵循数据搜集、存储、使用、处理、传输的合法性原则、正当性和必要性原则、透明度原则、安全性原则和数据主体权利保障原则，确保合同签约履约过程中所涉及到的所有个人隐私、个人信息与敏感信息、企业商业数据、大数据分析结果、公共数据等均得到尊重和保护。卖方承诺：</w:t>
      </w:r>
    </w:p>
    <w:p>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w:t>
      </w:r>
      <w:r>
        <w:rPr>
          <w:rFonts w:hint="default" w:ascii="仿宋_GB2312" w:hAnsi="仿宋_GB2312" w:eastAsia="仿宋_GB2312" w:cs="仿宋_GB2312"/>
          <w:sz w:val="24"/>
          <w:szCs w:val="24"/>
          <w:lang w:val="en-US" w:eastAsia="zh-CN"/>
        </w:rPr>
        <w:t>数据收集必须基于合法授权，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需向数据主体明确告知数据用途，并获得明确同意</w:t>
      </w:r>
      <w:r>
        <w:rPr>
          <w:rFonts w:hint="eastAsia" w:ascii="仿宋_GB2312" w:hAnsi="仿宋_GB2312" w:eastAsia="仿宋_GB2312" w:cs="仿宋_GB2312"/>
          <w:sz w:val="24"/>
          <w:szCs w:val="24"/>
          <w:lang w:val="en-US" w:eastAsia="zh-CN"/>
        </w:rPr>
        <w:t>；卖方处理数据应当符合法律、法规和强制性标准的规定，不得从事危害国家安全、公共利益的数据处理活动，不得非法收集、使用、加工、传输、买卖、提供、公开他人个人信息，不得通过误导、欺诈、胁迫等方式处理个人信息。‌</w:t>
      </w:r>
    </w:p>
    <w:p>
      <w:pPr>
        <w:spacing w:line="360" w:lineRule="auto"/>
        <w:ind w:firstLine="480" w:firstLineChars="200"/>
        <w:rPr>
          <w:rFonts w:hint="default" w:ascii="仿宋_GB2312" w:hAnsi="仿宋_GB2312" w:eastAsia="仿宋_GB2312" w:cs="仿宋_GB2312"/>
          <w:sz w:val="24"/>
          <w:szCs w:val="24"/>
          <w:lang w:val="en-US" w:eastAsia="zh-CN"/>
        </w:rPr>
      </w:pPr>
      <w:r>
        <w:rPr>
          <w:rFonts w:hint="default" w:ascii="仿宋_GB2312" w:hAnsi="仿宋_GB2312" w:eastAsia="仿宋_GB2312" w:cs="仿宋_GB2312"/>
          <w:sz w:val="24"/>
          <w:szCs w:val="24"/>
          <w:lang w:val="en-US" w:eastAsia="zh-CN"/>
        </w:rPr>
        <w:t>2）</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在存储数据时需采取严格的安全措施，</w:t>
      </w:r>
      <w:r>
        <w:rPr>
          <w:rFonts w:hint="eastAsia" w:ascii="仿宋_GB2312" w:hAnsi="仿宋_GB2312" w:eastAsia="仿宋_GB2312" w:cs="仿宋_GB2312"/>
          <w:sz w:val="24"/>
          <w:szCs w:val="24"/>
          <w:lang w:val="en-US" w:eastAsia="zh-CN"/>
        </w:rPr>
        <w:t>通过</w:t>
      </w:r>
      <w:r>
        <w:rPr>
          <w:rFonts w:hint="default" w:ascii="仿宋_GB2312" w:hAnsi="仿宋_GB2312" w:eastAsia="仿宋_GB2312" w:cs="仿宋_GB2312"/>
          <w:sz w:val="24"/>
          <w:szCs w:val="24"/>
          <w:lang w:val="en-US" w:eastAsia="zh-CN"/>
        </w:rPr>
        <w:t>加密、访问控制等措施确保数据的完整性和机密性</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在使用和传输数据时，</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需确保数据使用符合收集时的声明，不得超出必要范围</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跨境数据传输时，需符合法律规定的合规要求。</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确保数据的收集、存储、使用、传输和销毁等过程符合法律要求，防止数据泄露、滥用和侵犯个人隐私，遵守相关的法律法规、行业准则和道德规范，以保护数据主体的合法权益</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w:t>
      </w:r>
    </w:p>
    <w:p>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lang w:val="en-US" w:eastAsia="zh-CN"/>
        </w:rPr>
        <w:t>如需要</w:t>
      </w:r>
      <w:r>
        <w:rPr>
          <w:rFonts w:hint="default" w:ascii="仿宋_GB2312" w:hAnsi="仿宋_GB2312" w:eastAsia="仿宋_GB2312" w:cs="仿宋_GB2312"/>
          <w:sz w:val="24"/>
          <w:szCs w:val="24"/>
          <w:lang w:val="en-US" w:eastAsia="zh-CN"/>
        </w:rPr>
        <w:t>数据共享</w:t>
      </w:r>
      <w:r>
        <w:rPr>
          <w:rFonts w:hint="eastAsia" w:ascii="仿宋_GB2312" w:hAnsi="仿宋_GB2312" w:eastAsia="仿宋_GB2312" w:cs="仿宋_GB2312"/>
          <w:sz w:val="24"/>
          <w:szCs w:val="24"/>
          <w:lang w:val="en-US" w:eastAsia="zh-CN"/>
        </w:rPr>
        <w:t>时</w:t>
      </w:r>
      <w:r>
        <w:rPr>
          <w:rFonts w:hint="default" w:ascii="仿宋_GB2312" w:hAnsi="仿宋_GB2312" w:eastAsia="仿宋_GB2312" w:cs="仿宋_GB2312"/>
          <w:sz w:val="24"/>
          <w:szCs w:val="24"/>
          <w:lang w:val="en-US" w:eastAsia="zh-CN"/>
        </w:rPr>
        <w:t>需</w:t>
      </w:r>
      <w:r>
        <w:rPr>
          <w:rFonts w:hint="eastAsia" w:ascii="仿宋_GB2312" w:hAnsi="仿宋_GB2312" w:eastAsia="仿宋_GB2312" w:cs="仿宋_GB2312"/>
          <w:sz w:val="24"/>
          <w:szCs w:val="24"/>
          <w:lang w:val="en-US" w:eastAsia="zh-CN"/>
        </w:rPr>
        <w:t>取得买方的书面同意并</w:t>
      </w:r>
      <w:r>
        <w:rPr>
          <w:rFonts w:hint="default" w:ascii="仿宋_GB2312" w:hAnsi="仿宋_GB2312" w:eastAsia="仿宋_GB2312" w:cs="仿宋_GB2312"/>
          <w:sz w:val="24"/>
          <w:szCs w:val="24"/>
          <w:lang w:val="en-US" w:eastAsia="zh-CN"/>
        </w:rPr>
        <w:t>确保各方在使用数据时符合合规要求</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当数据不再需要时，</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采取适当的措施彻底销毁数据，防止其被恢复和滥用。</w:t>
      </w:r>
    </w:p>
    <w:p>
      <w:pPr>
        <w:pStyle w:val="3"/>
        <w:tabs>
          <w:tab w:val="right" w:leader="dot" w:pos="9061"/>
        </w:tabs>
        <w:ind w:left="0" w:firstLine="480" w:firstLineChars="200"/>
        <w:jc w:val="both"/>
        <w:rPr>
          <w:rFonts w:ascii="黑体" w:hAnsi="黑体" w:eastAsia="黑体" w:cs="黑体"/>
          <w:b w:val="0"/>
          <w:sz w:val="24"/>
          <w:szCs w:val="24"/>
        </w:rPr>
      </w:pPr>
      <w:bookmarkStart w:id="85" w:name="_Toc30381"/>
      <w:bookmarkStart w:id="86" w:name="_Toc9708"/>
      <w:bookmarkStart w:id="87" w:name="_Toc27314"/>
      <w:bookmarkStart w:id="88" w:name="_Toc16330028"/>
      <w:r>
        <w:rPr>
          <w:rFonts w:hint="eastAsia" w:ascii="黑体" w:hAnsi="黑体" w:eastAsia="黑体" w:cs="黑体"/>
          <w:b w:val="0"/>
          <w:sz w:val="24"/>
          <w:szCs w:val="24"/>
        </w:rPr>
        <w:t>11 违约责任</w:t>
      </w:r>
      <w:bookmarkEnd w:id="85"/>
      <w:bookmarkEnd w:id="86"/>
      <w:bookmarkEnd w:id="87"/>
      <w:bookmarkEnd w:id="88"/>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11.1.2根据设备的瑕疵和受损程度以及买方遭受损失的金额，经买方同意降低设备价格。</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11.2如果买方就卖方的设备质量问题提出索赔通知后10日内卖方未能予以答复，该索赔视为已被卖方接受。若卖方未能在买方提出索赔通知后10日内或买方同意的更长一些的时间内，按买方同意的上述任何一种方式处理索赔事宜，买方将从货款中扣回索赔金额，同时保留进一步要求赔偿的权利。</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11.3如果卖方未能按期到货，卖方应向买方支付违约金，违约金比率为每迟交壹日，按合同总价的10‰计算，如违约金金额超过合同总价款的20%，买方有权就卖方违约而解除本合同，且卖方仍须支付上述违约金，并赔偿由此给买方造成的一切损失。</w:t>
      </w:r>
      <w:r>
        <w:rPr>
          <w:rFonts w:hint="eastAsia" w:ascii="仿宋_GB2312" w:hAnsi="仿宋_GB2312" w:eastAsia="仿宋_GB2312" w:cs="仿宋_GB2312"/>
          <w:sz w:val="24"/>
          <w:szCs w:val="24"/>
        </w:rPr>
        <w:br w:type="textWrapping"/>
      </w:r>
      <w:r>
        <w:rPr>
          <w:rFonts w:hint="eastAsia" w:ascii="仿宋_GB2312" w:hAnsi="仿宋_GB2312" w:eastAsia="仿宋_GB2312" w:cs="仿宋_GB2312"/>
          <w:sz w:val="24"/>
          <w:szCs w:val="24"/>
        </w:rPr>
        <w:t xml:space="preserve">   11.4如卖方未按合同专用条款2.3、2.4条履行义务，从逾期之日起卖方每天按合同总价款的10‰支付给买方违约金，如违约金金额超过合同总价款的20%或者设备未能通过最终验收，买方有权就卖方违约而解除本合同，且卖方仍须支付上述违约金，并返还买方支付的设备款，并赔偿由此给买方造成的一切损失。</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11.5买方延期付款时（有正当拒付理由者除外），每日按延付金额的3‰向卖方偿付延期付款违约金，但违约金总额不超过延付金额的50‰。</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11.6如卖方违反合同通用条款9.4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11.7因发票违规给买方造成的增值税、所得税等损失，由卖方承担相关责任，包括但不限于税款、滞纳金、罚款及其它相关损失。</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11.8如果卖方违反本合同其他约定（包括本合同及所有附件）应赔偿因此给买方造成的一切损失。</w:t>
      </w:r>
    </w:p>
    <w:p>
      <w:pPr>
        <w:pStyle w:val="3"/>
        <w:tabs>
          <w:tab w:val="right" w:leader="dot" w:pos="9061"/>
        </w:tabs>
        <w:ind w:left="0" w:firstLine="480" w:firstLineChars="200"/>
        <w:jc w:val="both"/>
        <w:rPr>
          <w:rFonts w:ascii="黑体" w:hAnsi="黑体" w:eastAsia="黑体" w:cs="黑体"/>
          <w:b w:val="0"/>
          <w:sz w:val="24"/>
          <w:szCs w:val="24"/>
        </w:rPr>
      </w:pPr>
      <w:bookmarkStart w:id="89" w:name="_Toc16330029"/>
      <w:bookmarkStart w:id="90" w:name="_Toc1827"/>
      <w:bookmarkStart w:id="91" w:name="_Toc9172"/>
      <w:bookmarkStart w:id="92" w:name="_Toc31554"/>
      <w:r>
        <w:rPr>
          <w:rFonts w:hint="eastAsia" w:ascii="黑体" w:hAnsi="黑体" w:eastAsia="黑体" w:cs="黑体"/>
          <w:b w:val="0"/>
          <w:sz w:val="24"/>
          <w:szCs w:val="24"/>
        </w:rPr>
        <w:t>12 合同的终止与解除</w:t>
      </w:r>
      <w:bookmarkEnd w:id="89"/>
      <w:bookmarkEnd w:id="90"/>
      <w:bookmarkEnd w:id="91"/>
      <w:bookmarkEnd w:id="92"/>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12.1本合同订立后，卖方由于履行义务的能力或信用有严重缺陷，买方可以终止履行本合同，要求卖方返还已支付的款项并不承担违约责任。</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12.2经双方协商一致，可以解除本合同。</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12.3有下列情形之一的，买方可以解除本合同：</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12.3.1卖方明确表示或者以自己的行为表明不履行主要义务的；</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12.3.2卖方所提交的设备不符合本合同的规定；</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12.3.3卖方发生本合同约定的解除情形的；</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12.3.4卖方有其他违约行为。</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12.4卖方分批交付设备的，卖方对其中一批设备不交付或者交付不符合约定，致使该批设备不能实现本合同目的的，买方可以就该批设备解除合同。</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12.6买方如果就其中一批设备解除合同，该批设备与其他各批设备相互依存的，可以就已经交付和未交付的各批设备解除合同。</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12.7因为卖方违约导致买方解除合同的，卖方应赔偿买方因此所遭受的一切损失。</w:t>
      </w:r>
    </w:p>
    <w:p>
      <w:pPr>
        <w:pStyle w:val="3"/>
        <w:tabs>
          <w:tab w:val="right" w:leader="dot" w:pos="9061"/>
        </w:tabs>
        <w:ind w:left="0" w:firstLine="480" w:firstLineChars="200"/>
        <w:jc w:val="both"/>
        <w:rPr>
          <w:rFonts w:ascii="黑体" w:hAnsi="黑体" w:eastAsia="黑体" w:cs="黑体"/>
          <w:b w:val="0"/>
          <w:sz w:val="24"/>
          <w:szCs w:val="24"/>
        </w:rPr>
      </w:pPr>
      <w:bookmarkStart w:id="93" w:name="_Toc31945"/>
      <w:bookmarkStart w:id="94" w:name="_Toc8620"/>
      <w:bookmarkStart w:id="95" w:name="_Toc13671"/>
      <w:bookmarkStart w:id="96" w:name="_Toc16330030"/>
      <w:r>
        <w:rPr>
          <w:rFonts w:hint="eastAsia" w:ascii="黑体" w:hAnsi="黑体" w:eastAsia="黑体" w:cs="黑体"/>
          <w:b w:val="0"/>
          <w:sz w:val="24"/>
          <w:szCs w:val="24"/>
        </w:rPr>
        <w:t>13 不可抗力</w:t>
      </w:r>
      <w:bookmarkEnd w:id="93"/>
      <w:bookmarkEnd w:id="94"/>
      <w:bookmarkEnd w:id="95"/>
      <w:bookmarkEnd w:id="96"/>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13.2各方应该通过协商决定是否终止本合同，或推迟全部或部分本合同的履行或免除对方全部或部分相关履行义务。</w:t>
      </w:r>
    </w:p>
    <w:p>
      <w:pPr>
        <w:pStyle w:val="3"/>
        <w:tabs>
          <w:tab w:val="right" w:leader="dot" w:pos="9061"/>
        </w:tabs>
        <w:ind w:left="0" w:firstLine="480" w:firstLineChars="200"/>
        <w:jc w:val="both"/>
        <w:rPr>
          <w:rFonts w:ascii="黑体" w:hAnsi="黑体" w:eastAsia="黑体" w:cs="黑体"/>
          <w:b w:val="0"/>
          <w:sz w:val="24"/>
          <w:szCs w:val="24"/>
        </w:rPr>
      </w:pPr>
      <w:bookmarkStart w:id="97" w:name="_Toc637"/>
      <w:bookmarkStart w:id="98" w:name="_Toc16330031"/>
      <w:bookmarkStart w:id="99" w:name="_Toc31243"/>
      <w:bookmarkStart w:id="100" w:name="_Toc30389"/>
      <w:r>
        <w:rPr>
          <w:rFonts w:hint="eastAsia" w:ascii="黑体" w:hAnsi="黑体" w:eastAsia="黑体" w:cs="黑体"/>
          <w:b w:val="0"/>
          <w:sz w:val="24"/>
          <w:szCs w:val="24"/>
        </w:rPr>
        <w:t>14 通讯</w:t>
      </w:r>
      <w:bookmarkEnd w:id="97"/>
      <w:bookmarkEnd w:id="98"/>
      <w:bookmarkEnd w:id="99"/>
      <w:bookmarkEnd w:id="100"/>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14.1通讯地址：</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本合同下的任何通讯按照本合同双方提供的信息，以书信、传真、电子通讯方式或电话作出。</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14.2生效</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14.2.1书信。书信为送达时生效；</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14.2.2传真。发送人取得成功传输的信息时生效；</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14.2.3电子邮件。电子邮件于发送之时生效，前提是寄件者于该邮件发送后24小时内没有收到发送失败通知；</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14.2.4电话。电话于打出时生效，以电话作出的任何通讯必须以书信、传真或电子邮件确认，如果没有发送或者接收该确认不会使原有通讯失效。</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14.3书面法律证据。根据本合同以书信、传真或电子邮件方式送达任何订约方的任何通讯，将作为书面法律证据。</w:t>
      </w:r>
    </w:p>
    <w:p>
      <w:pPr>
        <w:pStyle w:val="3"/>
        <w:tabs>
          <w:tab w:val="right" w:leader="dot" w:pos="9061"/>
        </w:tabs>
        <w:ind w:left="0" w:firstLine="480" w:firstLineChars="200"/>
        <w:jc w:val="both"/>
        <w:rPr>
          <w:rFonts w:ascii="黑体" w:hAnsi="黑体" w:eastAsia="黑体" w:cs="黑体"/>
          <w:b w:val="0"/>
          <w:sz w:val="24"/>
          <w:szCs w:val="24"/>
        </w:rPr>
      </w:pPr>
      <w:bookmarkStart w:id="101" w:name="_Toc11290"/>
      <w:bookmarkStart w:id="102" w:name="_Toc16330032"/>
      <w:bookmarkStart w:id="103" w:name="_Toc12984"/>
      <w:bookmarkStart w:id="104" w:name="_Toc9915"/>
      <w:r>
        <w:rPr>
          <w:rFonts w:hint="eastAsia" w:ascii="黑体" w:hAnsi="黑体" w:eastAsia="黑体" w:cs="黑体"/>
          <w:b w:val="0"/>
          <w:sz w:val="24"/>
          <w:szCs w:val="24"/>
        </w:rPr>
        <w:t>15 适用法律及争议解决</w:t>
      </w:r>
      <w:bookmarkEnd w:id="101"/>
      <w:bookmarkEnd w:id="102"/>
      <w:bookmarkEnd w:id="103"/>
      <w:bookmarkEnd w:id="104"/>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15.1本合同条款的效力和解释适用中华人民共和国法律。</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15.2双方同意将本着诚信的态度协商解决本合同履行过程中产生的任何争议。如果争议事项不能通过双方协商解决，本合同双方同意采用向买方所在地人民法院提起诉讼的方式解决。</w:t>
      </w:r>
    </w:p>
    <w:p>
      <w:pPr>
        <w:pStyle w:val="3"/>
        <w:tabs>
          <w:tab w:val="right" w:leader="dot" w:pos="9061"/>
        </w:tabs>
        <w:ind w:left="0" w:firstLine="480" w:firstLineChars="200"/>
        <w:jc w:val="both"/>
        <w:rPr>
          <w:rFonts w:ascii="黑体" w:hAnsi="黑体" w:eastAsia="黑体" w:cs="黑体"/>
          <w:b w:val="0"/>
          <w:sz w:val="24"/>
          <w:szCs w:val="24"/>
        </w:rPr>
      </w:pPr>
      <w:bookmarkStart w:id="105" w:name="_Toc23765"/>
      <w:bookmarkStart w:id="106" w:name="_Toc23906"/>
      <w:bookmarkStart w:id="107" w:name="_Toc16330033"/>
      <w:bookmarkStart w:id="108" w:name="_Toc18207"/>
      <w:r>
        <w:rPr>
          <w:rFonts w:hint="eastAsia" w:ascii="黑体" w:hAnsi="黑体" w:eastAsia="黑体" w:cs="黑体"/>
          <w:b w:val="0"/>
          <w:sz w:val="24"/>
          <w:szCs w:val="24"/>
        </w:rPr>
        <w:t>16 附件</w:t>
      </w:r>
      <w:bookmarkEnd w:id="105"/>
      <w:bookmarkEnd w:id="106"/>
      <w:bookmarkEnd w:id="107"/>
      <w:bookmarkEnd w:id="108"/>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本合同及其附件构成双方关于本合同标的之全部协议，包括但不限于下列文件：</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16.1技术协议书；</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16.2合同设备一览表；</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16.3卖方中标的设备投标书以及一切书面承诺；</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16.4招标文件。</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上述附件内容与本合同约定有冲突的，以本合同约定为准。</w:t>
      </w:r>
    </w:p>
    <w:p>
      <w:pPr>
        <w:pStyle w:val="3"/>
        <w:tabs>
          <w:tab w:val="right" w:leader="dot" w:pos="9061"/>
        </w:tabs>
        <w:ind w:left="0" w:firstLine="480" w:firstLineChars="200"/>
        <w:jc w:val="both"/>
        <w:rPr>
          <w:rFonts w:ascii="黑体" w:hAnsi="黑体" w:eastAsia="黑体" w:cs="黑体"/>
          <w:b w:val="0"/>
          <w:sz w:val="24"/>
          <w:szCs w:val="24"/>
        </w:rPr>
      </w:pPr>
      <w:bookmarkStart w:id="109" w:name="_Toc17656"/>
      <w:bookmarkStart w:id="110" w:name="_Toc31331"/>
      <w:bookmarkStart w:id="111" w:name="_Toc16330034"/>
      <w:bookmarkStart w:id="112" w:name="_Toc27202"/>
      <w:r>
        <w:rPr>
          <w:rFonts w:hint="eastAsia" w:ascii="黑体" w:hAnsi="黑体" w:eastAsia="黑体" w:cs="黑体"/>
          <w:b w:val="0"/>
          <w:sz w:val="24"/>
          <w:szCs w:val="24"/>
        </w:rPr>
        <w:t>17 其他规定</w:t>
      </w:r>
      <w:bookmarkEnd w:id="109"/>
      <w:bookmarkEnd w:id="110"/>
      <w:bookmarkEnd w:id="111"/>
      <w:bookmarkEnd w:id="112"/>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17.1本合同及其附件构成了双方就本合同所含交易而达成的全部合同，并取代双方先前与该等交易有关的全部口头和书面合同。</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17.2如果本合同的任何条款和条件在任何时间成为非法、无效或不可强制执行的，则其他条款不应受其影响。</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80" w:firstLineChars="200"/>
        <w:rPr>
          <w:rFonts w:ascii="仿宋_GB2312" w:hAnsi="仿宋_GB2312" w:eastAsia="仿宋_GB2312" w:cs="仿宋_GB2312"/>
          <w:sz w:val="24"/>
          <w:szCs w:val="24"/>
        </w:rPr>
      </w:pPr>
      <w:bookmarkStart w:id="113" w:name="_Toc19077"/>
      <w:bookmarkStart w:id="114" w:name="_Toc17952"/>
      <w:bookmarkStart w:id="115" w:name="_Toc16330035"/>
      <w:bookmarkStart w:id="116" w:name="_Toc29136"/>
      <w:r>
        <w:rPr>
          <w:rFonts w:hint="eastAsia" w:ascii="仿宋_GB2312" w:hAnsi="仿宋_GB2312" w:eastAsia="仿宋_GB2312" w:cs="仿宋_GB2312"/>
          <w:sz w:val="24"/>
          <w:szCs w:val="24"/>
        </w:rPr>
        <w:t>17.4监造，在合同设备的制造过程中，买方有权派出代表对合同设备制造过程中的关键工序进行质量监督，卖方有配合买方监造的义务。</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18 签署事项</w:t>
      </w:r>
      <w:bookmarkEnd w:id="113"/>
      <w:bookmarkEnd w:id="114"/>
      <w:bookmarkEnd w:id="115"/>
      <w:bookmarkEnd w:id="116"/>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w:t>
      </w:r>
      <w:r>
        <w:rPr>
          <w:rFonts w:hint="eastAsia" w:ascii="仿宋_GB2312" w:hAnsi="仿宋_GB2312" w:eastAsia="仿宋_GB2312" w:cs="仿宋_GB2312"/>
          <w:sz w:val="24"/>
          <w:szCs w:val="24"/>
          <w:lang w:val="en-US" w:eastAsia="zh-CN"/>
        </w:rPr>
        <w:t>或协议</w:t>
      </w:r>
      <w:r>
        <w:rPr>
          <w:rFonts w:hint="eastAsia" w:ascii="仿宋_GB2312" w:hAnsi="仿宋_GB2312" w:eastAsia="仿宋_GB2312" w:cs="仿宋_GB2312"/>
          <w:sz w:val="24"/>
          <w:szCs w:val="24"/>
        </w:rPr>
        <w:t>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w:t>
      </w:r>
      <w:r>
        <w:rPr>
          <w:rFonts w:hint="eastAsia" w:ascii="仿宋_GB2312" w:hAnsi="仿宋_GB2312" w:eastAsia="仿宋_GB2312" w:cs="仿宋_GB2312"/>
          <w:sz w:val="24"/>
        </w:rPr>
        <w:t>所有的手写涂改、一方擅自增加、删改、篡改部分无效（电子签名除外）</w:t>
      </w:r>
      <w:r>
        <w:rPr>
          <w:rFonts w:hint="eastAsia" w:ascii="仿宋_GB2312" w:hAnsi="仿宋_GB2312" w:eastAsia="仿宋_GB2312" w:cs="仿宋_GB2312"/>
          <w:sz w:val="24"/>
          <w:szCs w:val="24"/>
        </w:rPr>
        <w:t>。</w:t>
      </w:r>
    </w:p>
    <w:p>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若一方不使用电子签约，此情形下各方认可并同意电子签章与在纸质合同上手写签名或者盖章具有同等的法律效力，一方在合同上使用电子签章，另一方将已完成电子签章的合同打印纸质合同后，再于合同签署处加盖实物印章、手写签名视为双方签署完毕。</w:t>
      </w: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pPr>
        <w:widowControl/>
        <w:adjustRightInd w:val="0"/>
        <w:snapToGrid w:val="0"/>
        <w:spacing w:line="360" w:lineRule="auto"/>
        <w:ind w:firstLine="480" w:firstLineChars="200"/>
        <w:jc w:val="left"/>
        <w:rPr>
          <w:rFonts w:hint="eastAsia" w:ascii="仿宋_GB2312" w:hAnsi="宋体" w:eastAsia="仿宋_GB2312"/>
          <w:b/>
          <w:bCs/>
          <w:snapToGrid w:val="0"/>
          <w:kern w:val="0"/>
          <w:sz w:val="24"/>
          <w:szCs w:val="24"/>
          <w:u w:val="single"/>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宋体" w:eastAsia="仿宋_GB2312"/>
          <w:b/>
          <w:bCs/>
          <w:snapToGrid w:val="0"/>
          <w:kern w:val="0"/>
          <w:sz w:val="24"/>
          <w:szCs w:val="24"/>
          <w:u w:val="single"/>
          <w:lang w:eastAsia="zh-CN"/>
        </w:rPr>
        <w:t>甲方单位</w:t>
      </w:r>
      <w:r>
        <w:rPr>
          <w:rFonts w:hint="eastAsia" w:ascii="仿宋_GB2312" w:hAnsi="宋体" w:eastAsia="仿宋_GB2312"/>
          <w:b/>
          <w:bCs/>
          <w:snapToGrid w:val="0"/>
          <w:kern w:val="0"/>
          <w:sz w:val="24"/>
          <w:szCs w:val="24"/>
          <w:u w:val="single"/>
        </w:rPr>
        <w:t>全称</w:t>
      </w:r>
    </w:p>
    <w:p>
      <w:pPr>
        <w:widowControl/>
        <w:adjustRightInd w:val="0"/>
        <w:snapToGrid w:val="0"/>
        <w:spacing w:line="360" w:lineRule="auto"/>
        <w:ind w:firstLine="482" w:firstLineChars="200"/>
        <w:jc w:val="left"/>
        <w:rPr>
          <w:rFonts w:hint="eastAsia" w:ascii="仿宋_GB2312" w:hAnsi="宋体" w:eastAsia="仿宋_GB2312"/>
          <w:b/>
          <w:bCs/>
          <w:snapToGrid w:val="0"/>
          <w:kern w:val="0"/>
          <w:sz w:val="24"/>
          <w:szCs w:val="24"/>
          <w:u w:val="single"/>
        </w:rPr>
      </w:pPr>
    </w:p>
    <w:p>
      <w:pPr>
        <w:widowControl/>
        <w:adjustRightInd w:val="0"/>
        <w:snapToGrid w:val="0"/>
        <w:spacing w:line="360" w:lineRule="auto"/>
        <w:ind w:firstLine="480" w:firstLineChars="200"/>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甲方</w:t>
      </w:r>
      <w:r>
        <w:rPr>
          <w:rFonts w:hint="eastAsia" w:ascii="仿宋_GB2312" w:hAnsi="宋体" w:eastAsia="仿宋_GB2312"/>
          <w:snapToGrid w:val="0"/>
          <w:color w:val="000000"/>
          <w:kern w:val="0"/>
          <w:sz w:val="24"/>
          <w:szCs w:val="24"/>
        </w:rPr>
        <w:t>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lang w:eastAsia="zh-Hans"/>
        </w:rPr>
      </w:pPr>
    </w:p>
    <w:p>
      <w:pPr>
        <w:widowControl/>
        <w:adjustRightInd w:val="0"/>
        <w:snapToGrid w:val="0"/>
        <w:spacing w:line="360" w:lineRule="auto"/>
        <w:ind w:firstLine="480" w:firstLineChars="200"/>
        <w:jc w:val="left"/>
        <w:rPr>
          <w:rFonts w:ascii="仿宋_GB2312" w:hAnsi="宋体" w:eastAsia="仿宋_GB2312"/>
          <w:snapToGrid w:val="0"/>
          <w:kern w:val="0"/>
          <w:sz w:val="24"/>
          <w:szCs w:val="24"/>
        </w:rPr>
      </w:pPr>
      <w:r>
        <w:rPr>
          <w:rFonts w:hint="eastAsia" w:ascii="仿宋_GB2312" w:hAnsi="宋体" w:eastAsia="仿宋_GB2312"/>
          <w:snapToGrid w:val="0"/>
          <w:kern w:val="0"/>
          <w:sz w:val="24"/>
          <w:szCs w:val="24"/>
          <w:lang w:eastAsia="zh-Hans"/>
        </w:rPr>
        <w:t xml:space="preserve">     </w:t>
      </w:r>
    </w:p>
    <w:p>
      <w:pPr>
        <w:widowControl/>
        <w:adjustRightInd w:val="0"/>
        <w:snapToGrid w:val="0"/>
        <w:spacing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snapToGrid w:val="0"/>
          <w:kern w:val="0"/>
          <w:sz w:val="24"/>
          <w:szCs w:val="24"/>
        </w:rPr>
        <w:t>乙</w:t>
      </w:r>
      <w:r>
        <w:rPr>
          <w:rFonts w:hint="eastAsia" w:ascii="仿宋_GB2312" w:hAnsi="宋体" w:eastAsia="仿宋_GB2312"/>
          <w:snapToGrid w:val="0"/>
          <w:kern w:val="0"/>
          <w:sz w:val="24"/>
          <w:szCs w:val="24"/>
          <w:lang w:eastAsia="zh-Hans"/>
        </w:rPr>
        <w:t>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仿宋_GB2312" w:eastAsia="仿宋_GB2312" w:cs="仿宋_GB2312"/>
          <w:b/>
          <w:bCs/>
          <w:sz w:val="24"/>
          <w:szCs w:val="24"/>
          <w:u w:val="single"/>
          <w:lang w:eastAsia="zh-CN"/>
        </w:rPr>
        <w:t>乙方单位</w:t>
      </w:r>
      <w:r>
        <w:rPr>
          <w:rFonts w:hint="eastAsia" w:ascii="仿宋_GB2312" w:hAnsi="仿宋_GB2312" w:eastAsia="仿宋_GB2312" w:cs="仿宋_GB2312"/>
          <w:b/>
          <w:bCs/>
          <w:sz w:val="24"/>
          <w:szCs w:val="24"/>
          <w:u w:val="single"/>
        </w:rPr>
        <w:t>全称</w:t>
      </w:r>
    </w:p>
    <w:p>
      <w:pPr>
        <w:widowControl/>
        <w:adjustRightInd w:val="0"/>
        <w:snapToGrid w:val="0"/>
        <w:spacing w:line="360" w:lineRule="auto"/>
        <w:ind w:firstLine="482" w:firstLineChars="200"/>
        <w:jc w:val="left"/>
        <w:rPr>
          <w:rFonts w:hint="eastAsia" w:ascii="仿宋_GB2312" w:hAnsi="仿宋_GB2312" w:eastAsia="仿宋_GB2312" w:cs="仿宋_GB2312"/>
          <w:b/>
          <w:bCs/>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乙方代表</w:t>
      </w:r>
      <w:r>
        <w:rPr>
          <w:rFonts w:hint="eastAsia" w:ascii="仿宋_GB2312" w:hAnsi="宋体" w:eastAsia="仿宋_GB2312"/>
          <w:snapToGrid w:val="0"/>
          <w:color w:val="000000"/>
          <w:kern w:val="0"/>
          <w:sz w:val="24"/>
          <w:szCs w:val="24"/>
          <w:lang w:val="en-US" w:eastAsia="zh-Hans"/>
        </w:rPr>
        <w:t>（签字）：</w:t>
      </w:r>
      <w:r>
        <w:rPr>
          <w:rFonts w:hint="eastAsia" w:ascii="仿宋_GB2312" w:hAnsi="宋体" w:eastAsia="仿宋_GB2312"/>
          <w:snapToGrid w:val="0"/>
          <w:color w:val="000000"/>
          <w:kern w:val="0"/>
          <w:sz w:val="24"/>
          <w:szCs w:val="24"/>
          <w:lang w:eastAsia="zh-Hans"/>
        </w:rPr>
        <w:t xml:space="preserve">   </w:t>
      </w:r>
    </w:p>
    <w:p>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p>
    <w:p>
      <w:pPr>
        <w:rPr>
          <w:rFonts w:hint="eastAsia" w:ascii="黑体" w:hAnsi="黑体" w:eastAsia="黑体" w:cstheme="minorEastAsia"/>
          <w:sz w:val="28"/>
          <w:szCs w:val="28"/>
        </w:rPr>
        <w:sectPr>
          <w:pgSz w:w="11907" w:h="16840"/>
          <w:pgMar w:top="1304" w:right="1418" w:bottom="1304" w:left="1418" w:header="724" w:footer="851" w:gutter="0"/>
          <w:pgBorders>
            <w:top w:val="none" w:sz="0" w:space="0"/>
            <w:left w:val="none" w:sz="0" w:space="0"/>
            <w:bottom w:val="none" w:sz="0" w:space="0"/>
            <w:right w:val="none" w:sz="0" w:space="0"/>
          </w:pgBorders>
          <w:pgNumType w:fmt="decimal"/>
          <w:cols w:space="720" w:num="1"/>
          <w:docGrid w:linePitch="290" w:charSpace="-3931"/>
        </w:sectPr>
      </w:pPr>
    </w:p>
    <w:p>
      <w:pPr>
        <w:rPr>
          <w:highlight w:val="yellow"/>
        </w:rPr>
      </w:pPr>
      <w:r>
        <w:rPr>
          <w:rFonts w:hint="eastAsia" w:ascii="黑体" w:hAnsi="黑体" w:eastAsia="黑体" w:cstheme="minorEastAsia"/>
          <w:sz w:val="28"/>
          <w:szCs w:val="28"/>
        </w:rPr>
        <w:t>附件一：设备清单明细表【作为附件另附】</w:t>
      </w:r>
    </w:p>
    <w:tbl>
      <w:tblPr>
        <w:tblStyle w:val="39"/>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2"/>
        <w:gridCol w:w="756"/>
        <w:gridCol w:w="790"/>
        <w:gridCol w:w="701"/>
        <w:gridCol w:w="1066"/>
        <w:gridCol w:w="1046"/>
        <w:gridCol w:w="977"/>
        <w:gridCol w:w="881"/>
        <w:gridCol w:w="997"/>
        <w:gridCol w:w="677"/>
        <w:gridCol w:w="6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712" w:type="dxa"/>
            <w:vAlign w:val="center"/>
          </w:tcPr>
          <w:p>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序号</w:t>
            </w:r>
          </w:p>
        </w:tc>
        <w:tc>
          <w:tcPr>
            <w:tcW w:w="756" w:type="dxa"/>
            <w:vAlign w:val="center"/>
          </w:tcPr>
          <w:p>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产品及部件名称</w:t>
            </w:r>
          </w:p>
        </w:tc>
        <w:tc>
          <w:tcPr>
            <w:tcW w:w="790" w:type="dxa"/>
            <w:vAlign w:val="center"/>
          </w:tcPr>
          <w:p>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规格型号及技术参数</w:t>
            </w:r>
          </w:p>
        </w:tc>
        <w:tc>
          <w:tcPr>
            <w:tcW w:w="701" w:type="dxa"/>
            <w:vAlign w:val="center"/>
          </w:tcPr>
          <w:p>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单位</w:t>
            </w:r>
          </w:p>
        </w:tc>
        <w:tc>
          <w:tcPr>
            <w:tcW w:w="1066" w:type="dxa"/>
            <w:vAlign w:val="center"/>
          </w:tcPr>
          <w:p>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数量</w:t>
            </w:r>
          </w:p>
        </w:tc>
        <w:tc>
          <w:tcPr>
            <w:tcW w:w="1046" w:type="dxa"/>
            <w:vAlign w:val="center"/>
          </w:tcPr>
          <w:p>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不含税</w:t>
            </w:r>
          </w:p>
          <w:p>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单价</w:t>
            </w:r>
          </w:p>
        </w:tc>
        <w:tc>
          <w:tcPr>
            <w:tcW w:w="977" w:type="dxa"/>
            <w:vAlign w:val="center"/>
          </w:tcPr>
          <w:p>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税率</w:t>
            </w:r>
          </w:p>
        </w:tc>
        <w:tc>
          <w:tcPr>
            <w:tcW w:w="881" w:type="dxa"/>
            <w:vAlign w:val="center"/>
          </w:tcPr>
          <w:p>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税额</w:t>
            </w:r>
          </w:p>
        </w:tc>
        <w:tc>
          <w:tcPr>
            <w:tcW w:w="997" w:type="dxa"/>
            <w:vAlign w:val="center"/>
          </w:tcPr>
          <w:p>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含税</w:t>
            </w:r>
          </w:p>
          <w:p>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单价</w:t>
            </w:r>
          </w:p>
        </w:tc>
        <w:tc>
          <w:tcPr>
            <w:tcW w:w="677" w:type="dxa"/>
            <w:vAlign w:val="center"/>
          </w:tcPr>
          <w:p>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品牌</w:t>
            </w:r>
          </w:p>
        </w:tc>
        <w:tc>
          <w:tcPr>
            <w:tcW w:w="677" w:type="dxa"/>
            <w:vAlign w:val="center"/>
          </w:tcPr>
          <w:p>
            <w:pPr>
              <w:pStyle w:val="28"/>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pPr>
              <w:pStyle w:val="28"/>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1</w:t>
            </w:r>
          </w:p>
        </w:tc>
        <w:tc>
          <w:tcPr>
            <w:tcW w:w="756"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790"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701"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1066"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1046"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977"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881"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997"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677"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677" w:type="dxa"/>
            <w:vAlign w:val="center"/>
          </w:tcPr>
          <w:p>
            <w:pPr>
              <w:pStyle w:val="28"/>
              <w:spacing w:line="360" w:lineRule="auto"/>
              <w:ind w:left="0" w:firstLine="0" w:firstLineChars="0"/>
              <w:jc w:val="center"/>
              <w:rPr>
                <w:rFonts w:ascii="仿宋_GB2312" w:eastAsia="仿宋_GB2312" w:hAnsiTheme="minorEastAsia" w:cs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pPr>
              <w:pStyle w:val="28"/>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2</w:t>
            </w:r>
          </w:p>
        </w:tc>
        <w:tc>
          <w:tcPr>
            <w:tcW w:w="756"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790"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701"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1066"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1046"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977"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881"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997"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677"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677" w:type="dxa"/>
            <w:vAlign w:val="center"/>
          </w:tcPr>
          <w:p>
            <w:pPr>
              <w:pStyle w:val="28"/>
              <w:spacing w:line="360" w:lineRule="auto"/>
              <w:ind w:left="0" w:firstLine="0" w:firstLineChars="0"/>
              <w:jc w:val="center"/>
              <w:rPr>
                <w:rFonts w:ascii="仿宋_GB2312" w:eastAsia="仿宋_GB2312" w:hAnsiTheme="minorEastAsia" w:cs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pPr>
              <w:pStyle w:val="28"/>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w:t>
            </w:r>
          </w:p>
        </w:tc>
        <w:tc>
          <w:tcPr>
            <w:tcW w:w="756"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790"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701"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1066"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1046"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977"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881"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997"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677"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677" w:type="dxa"/>
            <w:vAlign w:val="center"/>
          </w:tcPr>
          <w:p>
            <w:pPr>
              <w:pStyle w:val="28"/>
              <w:spacing w:line="360" w:lineRule="auto"/>
              <w:ind w:left="0" w:firstLine="0" w:firstLineChars="0"/>
              <w:jc w:val="center"/>
              <w:rPr>
                <w:rFonts w:ascii="仿宋_GB2312" w:eastAsia="仿宋_GB2312" w:hAnsiTheme="minorEastAsia" w:cstheme="minor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pPr>
              <w:pStyle w:val="28"/>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合计</w:t>
            </w:r>
          </w:p>
        </w:tc>
        <w:tc>
          <w:tcPr>
            <w:tcW w:w="756"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790"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701"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1066" w:type="dxa"/>
            <w:vAlign w:val="center"/>
          </w:tcPr>
          <w:p>
            <w:pPr>
              <w:pStyle w:val="28"/>
              <w:spacing w:line="360" w:lineRule="auto"/>
              <w:ind w:left="0" w:firstLine="0" w:firstLineChars="0"/>
              <w:jc w:val="center"/>
              <w:rPr>
                <w:rFonts w:ascii="仿宋_GB2312" w:eastAsia="仿宋_GB2312" w:hAnsiTheme="minorEastAsia" w:cstheme="minorEastAsia"/>
              </w:rPr>
            </w:pPr>
          </w:p>
        </w:tc>
        <w:tc>
          <w:tcPr>
            <w:tcW w:w="1046" w:type="dxa"/>
            <w:vAlign w:val="center"/>
          </w:tcPr>
          <w:p>
            <w:pPr>
              <w:spacing w:line="360" w:lineRule="auto"/>
              <w:jc w:val="center"/>
              <w:rPr>
                <w:rFonts w:ascii="仿宋_GB2312" w:eastAsia="仿宋_GB2312" w:hAnsiTheme="minorEastAsia" w:cstheme="minorEastAsia"/>
              </w:rPr>
            </w:pPr>
          </w:p>
        </w:tc>
        <w:tc>
          <w:tcPr>
            <w:tcW w:w="977" w:type="dxa"/>
            <w:vAlign w:val="center"/>
          </w:tcPr>
          <w:p>
            <w:pPr>
              <w:spacing w:line="360" w:lineRule="auto"/>
              <w:jc w:val="center"/>
              <w:rPr>
                <w:rFonts w:ascii="仿宋_GB2312" w:eastAsia="仿宋_GB2312" w:hAnsiTheme="minorEastAsia" w:cstheme="minorEastAsia"/>
              </w:rPr>
            </w:pPr>
          </w:p>
        </w:tc>
        <w:tc>
          <w:tcPr>
            <w:tcW w:w="881" w:type="dxa"/>
            <w:vAlign w:val="center"/>
          </w:tcPr>
          <w:p>
            <w:pPr>
              <w:spacing w:line="360" w:lineRule="auto"/>
              <w:jc w:val="center"/>
              <w:rPr>
                <w:rFonts w:ascii="仿宋_GB2312" w:eastAsia="仿宋_GB2312" w:hAnsiTheme="minorEastAsia" w:cstheme="minorEastAsia"/>
              </w:rPr>
            </w:pPr>
          </w:p>
        </w:tc>
        <w:tc>
          <w:tcPr>
            <w:tcW w:w="997" w:type="dxa"/>
            <w:vAlign w:val="center"/>
          </w:tcPr>
          <w:p>
            <w:pPr>
              <w:spacing w:line="360" w:lineRule="auto"/>
              <w:jc w:val="center"/>
              <w:rPr>
                <w:rFonts w:ascii="仿宋_GB2312" w:eastAsia="仿宋_GB2312" w:hAnsiTheme="minorEastAsia" w:cstheme="minorEastAsia"/>
              </w:rPr>
            </w:pPr>
          </w:p>
        </w:tc>
        <w:tc>
          <w:tcPr>
            <w:tcW w:w="677" w:type="dxa"/>
            <w:vAlign w:val="center"/>
          </w:tcPr>
          <w:p>
            <w:pPr>
              <w:spacing w:line="360" w:lineRule="auto"/>
              <w:jc w:val="center"/>
              <w:rPr>
                <w:rFonts w:ascii="仿宋_GB2312" w:eastAsia="仿宋_GB2312" w:hAnsiTheme="minorEastAsia" w:cstheme="minorEastAsia"/>
              </w:rPr>
            </w:pPr>
          </w:p>
        </w:tc>
        <w:tc>
          <w:tcPr>
            <w:tcW w:w="677" w:type="dxa"/>
            <w:vAlign w:val="center"/>
          </w:tcPr>
          <w:p>
            <w:pPr>
              <w:spacing w:line="360" w:lineRule="auto"/>
              <w:jc w:val="center"/>
              <w:rPr>
                <w:rFonts w:ascii="仿宋_GB2312" w:eastAsia="仿宋_GB2312" w:hAnsiTheme="minorEastAsia" w:cstheme="minorEastAsia"/>
              </w:rPr>
            </w:pPr>
          </w:p>
        </w:tc>
      </w:tr>
      <w:bookmarkEnd w:id="43"/>
    </w:tbl>
    <w:p>
      <w:pPr>
        <w:pStyle w:val="3"/>
        <w:tabs>
          <w:tab w:val="right" w:leader="dot" w:pos="9061"/>
        </w:tabs>
        <w:ind w:left="0"/>
        <w:jc w:val="both"/>
        <w:rPr>
          <w:rFonts w:asciiTheme="minorEastAsia" w:hAnsiTheme="minorEastAsia" w:eastAsiaTheme="minorEastAsia" w:cstheme="minorEastAsia"/>
          <w:sz w:val="20"/>
        </w:rPr>
      </w:pPr>
    </w:p>
    <w:p>
      <w:pPr>
        <w:rPr>
          <w:rFonts w:asciiTheme="minorEastAsia" w:hAnsiTheme="minorEastAsia" w:eastAsiaTheme="minorEastAsia" w:cstheme="minorEastAsia"/>
          <w:sz w:val="20"/>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lang w:eastAsia="zh-CN"/>
        </w:rPr>
        <w:t>甲方单位</w:t>
      </w:r>
      <w:r>
        <w:rPr>
          <w:rFonts w:hint="eastAsia" w:ascii="仿宋_GB2312" w:hAnsi="仿宋_GB2312" w:eastAsia="仿宋_GB2312" w:cs="仿宋_GB2312"/>
          <w:b/>
          <w:bCs/>
          <w:snapToGrid w:val="0"/>
          <w:kern w:val="0"/>
          <w:sz w:val="24"/>
          <w:szCs w:val="24"/>
          <w:u w:val="single"/>
        </w:rPr>
        <w:t>全称</w:t>
      </w:r>
    </w:p>
    <w:p>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pPr>
        <w:widowControl/>
        <w:adjustRightInd w:val="0"/>
        <w:snapToGrid w:val="0"/>
        <w:spacing w:line="360" w:lineRule="auto"/>
        <w:ind w:firstLine="480" w:firstLineChars="200"/>
        <w:jc w:val="left"/>
        <w:rPr>
          <w:rFonts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lang w:val="en-US" w:eastAsia="zh-CN"/>
        </w:rPr>
        <w:t>甲方</w:t>
      </w:r>
      <w:r>
        <w:rPr>
          <w:rFonts w:hint="eastAsia" w:ascii="仿宋_GB2312" w:hAnsi="仿宋_GB2312" w:eastAsia="仿宋_GB2312" w:cs="仿宋_GB2312"/>
          <w:snapToGrid w:val="0"/>
          <w:color w:val="000000"/>
          <w:kern w:val="0"/>
          <w:sz w:val="24"/>
          <w:szCs w:val="24"/>
        </w:rPr>
        <w:t>代表</w:t>
      </w:r>
      <w:r>
        <w:rPr>
          <w:rFonts w:hint="eastAsia" w:ascii="仿宋_GB2312" w:hAnsi="仿宋_GB2312" w:eastAsia="仿宋_GB2312" w:cs="仿宋_GB2312"/>
          <w:snapToGrid w:val="0"/>
          <w:color w:val="000000"/>
          <w:kern w:val="0"/>
          <w:sz w:val="24"/>
          <w:szCs w:val="24"/>
          <w:lang w:eastAsia="zh-Hans"/>
        </w:rPr>
        <w:t xml:space="preserve">（签字）： </w:t>
      </w: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lang w:eastAsia="zh-CN"/>
        </w:rPr>
        <w:t>乙方单位</w:t>
      </w:r>
      <w:r>
        <w:rPr>
          <w:rFonts w:hint="eastAsia" w:ascii="仿宋_GB2312" w:hAnsi="仿宋_GB2312" w:eastAsia="仿宋_GB2312" w:cs="仿宋_GB2312"/>
          <w:b/>
          <w:sz w:val="24"/>
          <w:szCs w:val="24"/>
          <w:u w:val="single"/>
        </w:rPr>
        <w:t>全称</w:t>
      </w:r>
    </w:p>
    <w:p>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r>
        <w:rPr>
          <w:rFonts w:hint="eastAsia" w:ascii="仿宋_GB2312" w:hAnsi="仿宋_GB2312" w:eastAsia="仿宋_GB2312" w:cs="仿宋_GB2312"/>
          <w:snapToGrid w:val="0"/>
          <w:color w:val="000000"/>
          <w:kern w:val="0"/>
          <w:sz w:val="24"/>
          <w:szCs w:val="24"/>
          <w:lang w:val="en-US" w:eastAsia="zh-CN"/>
        </w:rPr>
        <w:t>乙方代表</w:t>
      </w:r>
      <w:r>
        <w:rPr>
          <w:rFonts w:hint="eastAsia" w:ascii="仿宋_GB2312" w:hAnsi="仿宋_GB2312" w:eastAsia="仿宋_GB2312" w:cs="仿宋_GB2312"/>
          <w:snapToGrid w:val="0"/>
          <w:color w:val="000000"/>
          <w:kern w:val="0"/>
          <w:sz w:val="24"/>
          <w:szCs w:val="24"/>
          <w:lang w:val="en-US" w:eastAsia="zh-Hans"/>
        </w:rPr>
        <w:t xml:space="preserve">（签字）： </w:t>
      </w:r>
    </w:p>
    <w:p>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p>
    <w:p>
      <w:pPr>
        <w:widowControl/>
        <w:adjustRightInd w:val="0"/>
        <w:snapToGrid w:val="0"/>
        <w:spacing w:line="360" w:lineRule="auto"/>
        <w:jc w:val="left"/>
        <w:rPr>
          <w:rFonts w:hint="eastAsia" w:ascii="仿宋_GB2312" w:hAnsi="仿宋_GB2312" w:eastAsia="仿宋_GB2312" w:cs="仿宋_GB2312"/>
          <w:snapToGrid w:val="0"/>
          <w:color w:val="000000"/>
          <w:kern w:val="0"/>
          <w:sz w:val="24"/>
          <w:szCs w:val="24"/>
          <w:lang w:val="en-US" w:eastAsia="zh-Hans"/>
        </w:rPr>
      </w:pPr>
    </w:p>
    <w:p>
      <w:pPr>
        <w:rPr>
          <w:rFonts w:ascii="黑体" w:hAnsi="黑体" w:eastAsia="黑体" w:cstheme="minorEastAsia"/>
          <w:sz w:val="28"/>
          <w:szCs w:val="28"/>
        </w:rPr>
      </w:pPr>
      <w:r>
        <w:rPr>
          <w:rFonts w:hint="eastAsia" w:ascii="黑体" w:hAnsi="黑体" w:eastAsia="黑体" w:cstheme="minorEastAsia"/>
          <w:sz w:val="28"/>
          <w:szCs w:val="28"/>
        </w:rPr>
        <w:t>附件二 技术协议书</w:t>
      </w:r>
    </w:p>
    <w:p>
      <w:pPr>
        <w:widowControl/>
        <w:adjustRightInd w:val="0"/>
        <w:snapToGrid w:val="0"/>
        <w:spacing w:line="360" w:lineRule="auto"/>
        <w:jc w:val="left"/>
        <w:rPr>
          <w:rFonts w:hint="eastAsia" w:ascii="黑体" w:hAnsi="黑体" w:eastAsia="黑体" w:cstheme="minorEastAsia"/>
          <w:sz w:val="28"/>
          <w:szCs w:val="28"/>
          <w:lang w:val="en-US" w:eastAsia="zh-Hans"/>
        </w:rPr>
      </w:pPr>
      <w:r>
        <w:rPr>
          <w:rFonts w:hint="eastAsia" w:ascii="黑体" w:hAnsi="黑体" w:eastAsia="黑体" w:cstheme="minorEastAsia"/>
          <w:sz w:val="28"/>
          <w:szCs w:val="28"/>
        </w:rPr>
        <w:t>作为附件另附</w:t>
      </w:r>
    </w:p>
    <w:p>
      <w:pPr>
        <w:wordWrap w:val="0"/>
        <w:ind w:right="480"/>
        <w:rPr>
          <w:rFonts w:asciiTheme="minorEastAsia" w:hAnsiTheme="minorEastAsia" w:eastAsiaTheme="minorEastAsia" w:cstheme="minorEastAsia"/>
          <w:sz w:val="20"/>
          <w:szCs w:val="20"/>
        </w:rPr>
      </w:pPr>
    </w:p>
    <w:p>
      <w:pPr>
        <w:jc w:val="right"/>
        <w:rPr>
          <w:rFonts w:ascii="楷体_GB2312" w:hAnsi="宋体" w:eastAsia="楷体_GB2312"/>
          <w:sz w:val="24"/>
        </w:rPr>
      </w:pPr>
      <w:bookmarkStart w:id="117" w:name="_Toc14341849"/>
    </w:p>
    <w:p>
      <w:pPr>
        <w:ind w:right="480"/>
        <w:jc w:val="center"/>
        <w:rPr>
          <w:sz w:val="24"/>
          <w:szCs w:val="24"/>
        </w:rPr>
      </w:pPr>
      <w:r>
        <w:rPr>
          <w:rFonts w:hint="eastAsia" w:ascii="楷体_GB2312" w:hAnsi="宋体" w:eastAsia="楷体_GB2312"/>
          <w:sz w:val="24"/>
        </w:rPr>
        <w:t xml:space="preserve">                                    </w:t>
      </w:r>
    </w:p>
    <w:bookmarkEnd w:id="117"/>
    <w:p>
      <w:pPr>
        <w:rPr>
          <w:rFonts w:hint="eastAsia" w:ascii="方正小标宋简体" w:hAnsi="方正小标宋简体" w:eastAsia="方正小标宋简体" w:cs="方正小标宋简体"/>
          <w:sz w:val="40"/>
          <w:szCs w:val="21"/>
        </w:rPr>
        <w:sectPr>
          <w:footerReference r:id="rId18" w:type="first"/>
          <w:headerReference r:id="rId16" w:type="default"/>
          <w:footerReference r:id="rId17" w:type="default"/>
          <w:pgSz w:w="11906" w:h="16838"/>
          <w:pgMar w:top="1588" w:right="1418" w:bottom="1134" w:left="1418" w:header="851" w:footer="992" w:gutter="0"/>
          <w:pgNumType w:fmt="decimal"/>
          <w:cols w:space="720" w:num="1"/>
          <w:titlePg/>
          <w:docGrid w:type="lines" w:linePitch="312" w:charSpace="0"/>
        </w:sectPr>
      </w:pPr>
    </w:p>
    <w:p>
      <w:pPr>
        <w:spacing w:before="118"/>
        <w:ind w:right="2435"/>
        <w:jc w:val="center"/>
        <w:rPr>
          <w:rFonts w:ascii="楷体" w:hAnsi="楷体" w:eastAsia="楷体" w:cs="楷体"/>
          <w:sz w:val="40"/>
          <w:szCs w:val="21"/>
        </w:rPr>
      </w:pPr>
      <w:r>
        <w:rPr>
          <w:rFonts w:hint="eastAsia" w:ascii="方正小标宋简体" w:hAnsi="方正小标宋简体" w:eastAsia="方正小标宋简体" w:cs="方正小标宋简体"/>
          <w:sz w:val="40"/>
          <w:szCs w:val="21"/>
          <w:lang w:val="en-US"/>
        </w:rPr>
        <w:t xml:space="preserve">          </w:t>
      </w:r>
      <w:r>
        <w:rPr>
          <w:rFonts w:hint="eastAsia" w:ascii="方正小标宋简体" w:hAnsi="方正小标宋简体" w:eastAsia="方正小标宋简体" w:cs="方正小标宋简体"/>
          <w:sz w:val="40"/>
          <w:szCs w:val="21"/>
        </w:rPr>
        <w:t>廉洁诚信协议</w:t>
      </w:r>
    </w:p>
    <w:p>
      <w:pPr>
        <w:pStyle w:val="14"/>
        <w:spacing w:before="8"/>
        <w:ind w:left="0" w:firstLine="0"/>
        <w:rPr>
          <w:rFonts w:ascii="楷体" w:hAnsi="楷体" w:eastAsia="楷体" w:cs="楷体"/>
          <w:sz w:val="44"/>
          <w:szCs w:val="28"/>
        </w:rPr>
      </w:pPr>
    </w:p>
    <w:p>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w:t>
      </w:r>
      <w:r>
        <w:rPr>
          <w:rFonts w:hint="eastAsia" w:ascii="楷体" w:hAnsi="楷体" w:eastAsia="楷体" w:cs="楷体"/>
          <w:spacing w:val="-2"/>
          <w:sz w:val="28"/>
          <w:szCs w:val="28"/>
          <w:lang w:val="en-US"/>
        </w:rPr>
        <w:t>服务商或采购商、经销商</w:t>
      </w:r>
      <w:r>
        <w:rPr>
          <w:rFonts w:hint="eastAsia" w:ascii="楷体" w:hAnsi="楷体" w:eastAsia="楷体" w:cs="楷体"/>
          <w:spacing w:val="-2"/>
          <w:sz w:val="28"/>
          <w:szCs w:val="28"/>
        </w:rPr>
        <w:t>，甲方作为采购方</w:t>
      </w:r>
      <w:r>
        <w:rPr>
          <w:rFonts w:hint="eastAsia" w:ascii="楷体" w:hAnsi="楷体" w:eastAsia="楷体" w:cs="楷体"/>
          <w:spacing w:val="-2"/>
          <w:sz w:val="28"/>
          <w:szCs w:val="28"/>
          <w:lang w:val="en-US"/>
        </w:rPr>
        <w:t>或销售方</w:t>
      </w:r>
      <w:r>
        <w:rPr>
          <w:rFonts w:hint="eastAsia" w:ascii="楷体" w:hAnsi="楷体" w:eastAsia="楷体" w:cs="楷体"/>
          <w:spacing w:val="-2"/>
          <w:sz w:val="28"/>
          <w:szCs w:val="28"/>
        </w:rPr>
        <w:t>（包含甲方及其关联</w:t>
      </w:r>
      <w:r>
        <w:rPr>
          <w:rFonts w:hint="eastAsia" w:ascii="楷体" w:hAnsi="楷体" w:eastAsia="楷体" w:cs="楷体"/>
          <w:spacing w:val="-2"/>
          <w:sz w:val="28"/>
          <w:szCs w:val="28"/>
          <w:lang w:val="en-US"/>
        </w:rPr>
        <w:t>企业</w:t>
      </w:r>
      <w:r>
        <w:rPr>
          <w:rFonts w:hint="eastAsia" w:ascii="楷体" w:hAnsi="楷体" w:eastAsia="楷体" w:cs="楷体"/>
          <w:spacing w:val="-2"/>
          <w:sz w:val="28"/>
          <w:szCs w:val="28"/>
        </w:rPr>
        <w:t>，以下统称甲方），为保证双方长期稳定合作和健康发展，保证各</w:t>
      </w:r>
      <w:r>
        <w:rPr>
          <w:rFonts w:hint="eastAsia" w:ascii="楷体" w:hAnsi="楷体" w:eastAsia="楷体" w:cs="楷体"/>
          <w:spacing w:val="-2"/>
          <w:sz w:val="28"/>
          <w:szCs w:val="28"/>
          <w:lang w:val="en-US"/>
        </w:rPr>
        <w:t>合作主体</w:t>
      </w:r>
      <w:r>
        <w:rPr>
          <w:rFonts w:hint="eastAsia" w:ascii="楷体" w:hAnsi="楷体" w:eastAsia="楷体" w:cs="楷体"/>
          <w:spacing w:val="-2"/>
          <w:sz w:val="28"/>
          <w:szCs w:val="28"/>
        </w:rPr>
        <w:t>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lang w:val="en-US"/>
        </w:rPr>
        <w:t>违规</w:t>
      </w:r>
      <w:r>
        <w:rPr>
          <w:rFonts w:ascii="楷体" w:hAnsi="楷体" w:eastAsia="楷体" w:cs="楷体"/>
          <w:spacing w:val="-2"/>
          <w:sz w:val="28"/>
          <w:szCs w:val="28"/>
        </w:rPr>
        <w:t>发放薪酬。</w:t>
      </w:r>
      <w:r>
        <w:rPr>
          <w:rFonts w:hint="eastAsia" w:ascii="楷体" w:hAnsi="楷体" w:eastAsia="楷体" w:cs="楷体"/>
          <w:spacing w:val="-2"/>
          <w:sz w:val="28"/>
          <w:szCs w:val="28"/>
          <w:lang w:val="en-US"/>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lang w:val="en-US"/>
        </w:rPr>
        <w:t>若乙方为甲方</w:t>
      </w:r>
      <w:r>
        <w:rPr>
          <w:rFonts w:ascii="楷体" w:hAnsi="楷体" w:eastAsia="楷体" w:cs="楷体"/>
          <w:spacing w:val="-2"/>
          <w:sz w:val="28"/>
          <w:szCs w:val="28"/>
        </w:rPr>
        <w:t>新</w:t>
      </w:r>
      <w:r>
        <w:rPr>
          <w:rFonts w:hint="eastAsia" w:ascii="楷体" w:hAnsi="楷体" w:eastAsia="楷体" w:cs="楷体"/>
          <w:spacing w:val="-2"/>
          <w:sz w:val="28"/>
          <w:szCs w:val="28"/>
          <w:lang w:val="en-US"/>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lang w:val="en-US"/>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w:t>
      </w:r>
      <w:r>
        <w:rPr>
          <w:rFonts w:hint="eastAsia" w:ascii="楷体" w:hAnsi="楷体" w:eastAsia="楷体" w:cs="楷体"/>
          <w:spacing w:val="-2"/>
          <w:sz w:val="28"/>
          <w:szCs w:val="28"/>
        </w:rPr>
        <w:t>检</w:t>
      </w:r>
      <w:r>
        <w:rPr>
          <w:rFonts w:ascii="楷体" w:hAnsi="楷体" w:eastAsia="楷体" w:cs="楷体"/>
          <w:spacing w:val="-2"/>
          <w:sz w:val="28"/>
          <w:szCs w:val="28"/>
        </w:rPr>
        <w:t>监察部</w:t>
      </w:r>
      <w:r>
        <w:rPr>
          <w:rFonts w:hint="eastAsia" w:ascii="楷体" w:hAnsi="楷体" w:eastAsia="楷体" w:cs="楷体"/>
          <w:spacing w:val="-2"/>
          <w:sz w:val="28"/>
          <w:szCs w:val="28"/>
          <w:lang w:val="en-US"/>
        </w:rPr>
        <w:t>门</w:t>
      </w:r>
      <w:r>
        <w:rPr>
          <w:rFonts w:ascii="楷体" w:hAnsi="楷体" w:eastAsia="楷体" w:cs="楷体"/>
          <w:spacing w:val="-2"/>
          <w:sz w:val="28"/>
          <w:szCs w:val="28"/>
        </w:rPr>
        <w:t>备案）。</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lang w:val="en-US"/>
        </w:rPr>
        <w:t>已</w:t>
      </w:r>
      <w:r>
        <w:rPr>
          <w:rFonts w:ascii="楷体" w:hAnsi="楷体" w:eastAsia="楷体" w:cs="楷体"/>
          <w:spacing w:val="-2"/>
          <w:sz w:val="28"/>
          <w:szCs w:val="28"/>
        </w:rPr>
        <w:t>签订的</w:t>
      </w:r>
      <w:r>
        <w:rPr>
          <w:rFonts w:hint="eastAsia" w:ascii="楷体" w:hAnsi="楷体" w:eastAsia="楷体" w:cs="楷体"/>
          <w:spacing w:val="-2"/>
          <w:sz w:val="28"/>
          <w:szCs w:val="28"/>
          <w:lang w:val="en-US"/>
        </w:rPr>
        <w:t>所有合同</w:t>
      </w:r>
      <w:r>
        <w:rPr>
          <w:rFonts w:ascii="楷体" w:hAnsi="楷体" w:eastAsia="楷体" w:cs="楷体"/>
          <w:spacing w:val="-2"/>
          <w:sz w:val="28"/>
          <w:szCs w:val="28"/>
        </w:rPr>
        <w:t>协议，并要求乙方赔偿。</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w:t>
      </w:r>
      <w:r>
        <w:rPr>
          <w:rFonts w:hint="eastAsia" w:ascii="楷体" w:hAnsi="楷体" w:eastAsia="楷体" w:cs="楷体"/>
          <w:spacing w:val="-2"/>
          <w:sz w:val="28"/>
          <w:szCs w:val="28"/>
          <w:lang w:val="en-US"/>
        </w:rPr>
        <w:t>提供如下：</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a)</w:t>
      </w:r>
      <w:r>
        <w:rPr>
          <w:rFonts w:ascii="楷体" w:hAnsi="楷体" w:eastAsia="楷体" w:cs="楷体"/>
          <w:spacing w:val="-2"/>
          <w:sz w:val="28"/>
          <w:szCs w:val="28"/>
        </w:rPr>
        <w:t>赠送</w:t>
      </w:r>
      <w:r>
        <w:rPr>
          <w:rFonts w:hint="eastAsia" w:ascii="楷体" w:hAnsi="楷体" w:eastAsia="楷体" w:cs="楷体"/>
          <w:spacing w:val="-2"/>
          <w:sz w:val="28"/>
          <w:szCs w:val="28"/>
          <w:lang w:val="en-US"/>
        </w:rPr>
        <w:t>礼品、</w:t>
      </w:r>
      <w:r>
        <w:rPr>
          <w:rFonts w:ascii="楷体" w:hAnsi="楷体" w:eastAsia="楷体" w:cs="楷体"/>
          <w:spacing w:val="-2"/>
          <w:sz w:val="28"/>
          <w:szCs w:val="28"/>
        </w:rPr>
        <w:t>礼金、</w:t>
      </w:r>
      <w:r>
        <w:rPr>
          <w:rFonts w:hint="eastAsia" w:ascii="楷体" w:hAnsi="楷体" w:eastAsia="楷体" w:cs="楷体"/>
          <w:spacing w:val="-2"/>
          <w:sz w:val="28"/>
          <w:szCs w:val="28"/>
          <w:lang w:val="en-US"/>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lang w:val="en-US"/>
        </w:rPr>
        <w:t>和</w:t>
      </w:r>
      <w:r>
        <w:rPr>
          <w:rFonts w:ascii="楷体" w:hAnsi="楷体" w:eastAsia="楷体" w:cs="楷体"/>
          <w:spacing w:val="-2"/>
          <w:sz w:val="28"/>
          <w:szCs w:val="28"/>
        </w:rPr>
        <w:t>有价证券</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股权、其他金融产品等财物</w:t>
      </w:r>
      <w:r>
        <w:rPr>
          <w:rFonts w:ascii="楷体" w:hAnsi="楷体" w:eastAsia="楷体" w:cs="楷体"/>
          <w:spacing w:val="-2"/>
          <w:sz w:val="28"/>
          <w:szCs w:val="28"/>
        </w:rPr>
        <w:t>和其他贵重物品；</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b)</w:t>
      </w:r>
      <w:r>
        <w:rPr>
          <w:rFonts w:ascii="楷体" w:hAnsi="楷体" w:eastAsia="楷体" w:cs="楷体"/>
          <w:spacing w:val="-2"/>
          <w:sz w:val="28"/>
          <w:szCs w:val="28"/>
        </w:rPr>
        <w:t>报销个人费用</w:t>
      </w:r>
      <w:r>
        <w:rPr>
          <w:rFonts w:hint="eastAsia" w:ascii="楷体" w:hAnsi="楷体" w:eastAsia="楷体" w:cs="楷体"/>
          <w:spacing w:val="-2"/>
          <w:sz w:val="28"/>
          <w:szCs w:val="28"/>
          <w:lang w:val="en-US"/>
        </w:rPr>
        <w:t>或以讲课费、课题费、咨询费等名义支付费用</w:t>
      </w:r>
      <w:r>
        <w:rPr>
          <w:rFonts w:ascii="楷体" w:hAnsi="楷体" w:eastAsia="楷体" w:cs="楷体"/>
          <w:spacing w:val="-2"/>
          <w:sz w:val="28"/>
          <w:szCs w:val="28"/>
        </w:rPr>
        <w:t>；</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健身、娱乐</w:t>
      </w:r>
      <w:r>
        <w:rPr>
          <w:rFonts w:ascii="楷体" w:hAnsi="楷体" w:eastAsia="楷体" w:cs="楷体"/>
          <w:spacing w:val="-2"/>
          <w:sz w:val="28"/>
          <w:szCs w:val="28"/>
        </w:rPr>
        <w:t>和进入营业性娱乐场所；</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lang w:val="en-US"/>
        </w:rPr>
        <w:t>、钱款、住房、车辆等或提供通过民间借贷等金融助其获得大额回报</w:t>
      </w:r>
      <w:r>
        <w:rPr>
          <w:rFonts w:ascii="楷体" w:hAnsi="楷体" w:eastAsia="楷体" w:cs="楷体"/>
          <w:spacing w:val="-2"/>
          <w:sz w:val="28"/>
          <w:szCs w:val="28"/>
        </w:rPr>
        <w:t>；</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hint="eastAsia" w:ascii="楷体" w:hAnsi="楷体" w:eastAsia="楷体" w:cs="楷体"/>
          <w:spacing w:val="-2"/>
          <w:sz w:val="28"/>
          <w:szCs w:val="28"/>
          <w:lang w:val="en-US"/>
        </w:rPr>
        <w:t>f)吸收存款、推销金融产品、经营名贵特产类资源等提供帮助谋取利益；</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g)其他可能影响甲方人员公平、公正的履行职权或者履行职责的情形</w:t>
      </w:r>
      <w:r>
        <w:rPr>
          <w:rFonts w:ascii="楷体" w:hAnsi="楷体" w:eastAsia="楷体" w:cs="楷体"/>
          <w:spacing w:val="-2"/>
          <w:sz w:val="28"/>
          <w:szCs w:val="28"/>
        </w:rPr>
        <w:t>。</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lang w:val="en-US"/>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lang w:val="en-US"/>
        </w:rPr>
        <w:t>物项</w:t>
      </w:r>
      <w:r>
        <w:rPr>
          <w:rFonts w:ascii="楷体" w:hAnsi="楷体" w:eastAsia="楷体" w:cs="楷体"/>
          <w:spacing w:val="-2"/>
          <w:sz w:val="28"/>
          <w:szCs w:val="28"/>
        </w:rPr>
        <w:t>数量、价格</w:t>
      </w:r>
      <w:r>
        <w:rPr>
          <w:rFonts w:hint="eastAsia" w:ascii="楷体" w:hAnsi="楷体" w:eastAsia="楷体" w:cs="楷体"/>
          <w:spacing w:val="-2"/>
          <w:sz w:val="28"/>
          <w:szCs w:val="28"/>
          <w:lang w:val="en-US"/>
        </w:rPr>
        <w:t>条件</w:t>
      </w:r>
      <w:r>
        <w:rPr>
          <w:rFonts w:ascii="楷体" w:hAnsi="楷体" w:eastAsia="楷体" w:cs="楷体"/>
          <w:spacing w:val="-2"/>
          <w:sz w:val="28"/>
          <w:szCs w:val="28"/>
        </w:rPr>
        <w:t>、</w:t>
      </w:r>
      <w:r>
        <w:rPr>
          <w:rFonts w:hint="eastAsia" w:ascii="楷体" w:hAnsi="楷体" w:eastAsia="楷体" w:cs="楷体"/>
          <w:spacing w:val="-2"/>
          <w:sz w:val="28"/>
          <w:szCs w:val="28"/>
          <w:lang w:val="en-US"/>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lang w:val="en-US"/>
        </w:rPr>
        <w:t>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w:t>
      </w:r>
      <w:r>
        <w:rPr>
          <w:rFonts w:hint="eastAsia" w:ascii="楷体" w:hAnsi="楷体" w:eastAsia="楷体" w:cs="楷体"/>
          <w:spacing w:val="-2"/>
          <w:sz w:val="28"/>
          <w:szCs w:val="28"/>
        </w:rPr>
        <w:t>检</w:t>
      </w:r>
      <w:r>
        <w:rPr>
          <w:rFonts w:ascii="楷体" w:hAnsi="楷体" w:eastAsia="楷体" w:cs="楷体"/>
          <w:spacing w:val="-2"/>
          <w:sz w:val="28"/>
          <w:szCs w:val="28"/>
        </w:rPr>
        <w:t>监察部门举报（举报电话：0531-58062233，举报邮箱：zgzqjw@sinotruk.com）。甲方不得</w:t>
      </w:r>
      <w:r>
        <w:rPr>
          <w:rFonts w:hint="eastAsia" w:ascii="楷体" w:hAnsi="楷体" w:eastAsia="楷体" w:cs="楷体"/>
          <w:spacing w:val="-2"/>
          <w:sz w:val="28"/>
          <w:szCs w:val="28"/>
          <w:lang w:val="en-US"/>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lang w:val="en-US"/>
        </w:rPr>
        <w:t>或</w:t>
      </w:r>
      <w:r>
        <w:rPr>
          <w:rFonts w:ascii="楷体" w:hAnsi="楷体" w:eastAsia="楷体" w:cs="楷体"/>
          <w:spacing w:val="-2"/>
          <w:sz w:val="28"/>
          <w:szCs w:val="28"/>
        </w:rPr>
        <w:t>甲方</w:t>
      </w:r>
      <w:r>
        <w:rPr>
          <w:rFonts w:hint="eastAsia" w:ascii="楷体" w:hAnsi="楷体" w:eastAsia="楷体" w:cs="楷体"/>
          <w:spacing w:val="-2"/>
          <w:sz w:val="28"/>
          <w:szCs w:val="28"/>
          <w:lang w:val="en-US"/>
        </w:rPr>
        <w:t>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w:t>
      </w:r>
      <w:r>
        <w:rPr>
          <w:rFonts w:hint="eastAsia" w:ascii="楷体" w:hAnsi="楷体" w:eastAsia="楷体" w:cs="楷体"/>
          <w:spacing w:val="-2"/>
          <w:sz w:val="28"/>
          <w:szCs w:val="28"/>
        </w:rPr>
        <w:t>检</w:t>
      </w:r>
      <w:r>
        <w:rPr>
          <w:rFonts w:ascii="楷体" w:hAnsi="楷体" w:eastAsia="楷体" w:cs="楷体"/>
          <w:spacing w:val="-2"/>
          <w:sz w:val="28"/>
          <w:szCs w:val="28"/>
        </w:rPr>
        <w:t>监察部门检举并提供证据。</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w:t>
      </w:r>
      <w:r>
        <w:rPr>
          <w:rFonts w:ascii="楷体" w:hAnsi="楷体" w:eastAsia="楷体" w:cs="楷体"/>
          <w:spacing w:val="-2"/>
          <w:sz w:val="28"/>
          <w:szCs w:val="28"/>
          <w:lang w:val="en-US"/>
        </w:rPr>
        <w:t>违反协议约定事件发现的</w:t>
      </w:r>
      <w:r>
        <w:rPr>
          <w:rFonts w:ascii="楷体" w:hAnsi="楷体" w:eastAsia="楷体" w:cs="楷体"/>
          <w:spacing w:val="-2"/>
          <w:sz w:val="28"/>
          <w:szCs w:val="28"/>
        </w:rPr>
        <w:t>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lang w:val="en-US"/>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lang w:val="en-US"/>
        </w:rPr>
        <w:t>等</w:t>
      </w:r>
      <w:r>
        <w:rPr>
          <w:rFonts w:ascii="楷体" w:hAnsi="楷体" w:eastAsia="楷体" w:cs="楷体"/>
          <w:spacing w:val="-2"/>
          <w:sz w:val="28"/>
          <w:szCs w:val="28"/>
          <w:lang w:val="en-US"/>
        </w:rPr>
        <w:t>能够对其实际支配的企业或单位。</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hint="eastAsia" w:ascii="楷体" w:hAnsi="楷体" w:eastAsia="楷体" w:cs="楷体"/>
          <w:spacing w:val="-2"/>
          <w:sz w:val="28"/>
          <w:szCs w:val="28"/>
          <w:lang w:val="en-US"/>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pPr>
        <w:pStyle w:val="129"/>
        <w:tabs>
          <w:tab w:val="left" w:pos="1244"/>
        </w:tabs>
        <w:adjustRightInd w:val="0"/>
        <w:spacing w:line="305" w:lineRule="auto"/>
        <w:ind w:left="0" w:right="0" w:firstLine="552" w:firstLineChars="200"/>
        <w:rPr>
          <w:rFonts w:hint="eastAsia" w:ascii="楷体" w:hAnsi="楷体" w:eastAsia="楷体" w:cs="楷体"/>
          <w:spacing w:val="-2"/>
          <w:sz w:val="28"/>
          <w:szCs w:val="28"/>
        </w:rPr>
      </w:pPr>
      <w:r>
        <w:rPr>
          <w:rFonts w:ascii="楷体" w:hAnsi="楷体" w:eastAsia="楷体" w:cs="楷体"/>
          <w:spacing w:val="-2"/>
          <w:sz w:val="28"/>
          <w:szCs w:val="28"/>
          <w:lang w:val="en-US"/>
        </w:rPr>
        <w:t>13.</w:t>
      </w:r>
      <w:r>
        <w:rPr>
          <w:rFonts w:hint="eastAsia" w:ascii="楷体" w:hAnsi="楷体" w:eastAsia="楷体" w:cs="楷体"/>
          <w:spacing w:val="-2"/>
          <w:sz w:val="28"/>
          <w:szCs w:val="28"/>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rPr>
        <w:t>1</w:t>
      </w:r>
      <w:r>
        <w:rPr>
          <w:rFonts w:ascii="楷体" w:hAnsi="楷体" w:eastAsia="楷体" w:cs="楷体"/>
          <w:spacing w:val="-2"/>
          <w:sz w:val="28"/>
          <w:szCs w:val="28"/>
          <w:lang w:val="en-US"/>
        </w:rPr>
        <w:t>4</w:t>
      </w:r>
      <w:r>
        <w:rPr>
          <w:rFonts w:ascii="楷体" w:hAnsi="楷体" w:eastAsia="楷体" w:cs="楷体"/>
          <w:spacing w:val="-2"/>
          <w:sz w:val="28"/>
          <w:szCs w:val="28"/>
        </w:rPr>
        <w:t>.本协议作为执行</w:t>
      </w:r>
      <w:r>
        <w:rPr>
          <w:rFonts w:hint="eastAsia" w:ascii="楷体" w:hAnsi="楷体" w:eastAsia="楷体" w:cs="楷体"/>
          <w:spacing w:val="-2"/>
          <w:sz w:val="28"/>
          <w:szCs w:val="28"/>
          <w:lang w:val="en-US"/>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lang w:val="en-US"/>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lang w:val="en-US"/>
        </w:rPr>
        <w:t>甲乙</w:t>
      </w:r>
      <w:r>
        <w:rPr>
          <w:rFonts w:ascii="楷体" w:hAnsi="楷体" w:eastAsia="楷体" w:cs="楷体"/>
          <w:spacing w:val="-2"/>
          <w:sz w:val="28"/>
          <w:szCs w:val="28"/>
        </w:rPr>
        <w:t>双方</w:t>
      </w:r>
      <w:r>
        <w:rPr>
          <w:rFonts w:hint="eastAsia" w:ascii="楷体" w:hAnsi="楷体" w:eastAsia="楷体" w:cs="楷体"/>
          <w:spacing w:val="-2"/>
          <w:sz w:val="28"/>
          <w:szCs w:val="28"/>
          <w:lang w:val="en-US"/>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lang w:val="en-US"/>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pPr>
        <w:pStyle w:val="14"/>
        <w:spacing w:before="9"/>
        <w:ind w:left="0" w:firstLine="0"/>
        <w:rPr>
          <w:rFonts w:ascii="楷体" w:hAnsi="楷体" w:eastAsia="楷体" w:cs="楷体"/>
          <w:sz w:val="40"/>
          <w:szCs w:val="28"/>
        </w:rPr>
      </w:pPr>
    </w:p>
    <w:p>
      <w:pPr>
        <w:pStyle w:val="14"/>
        <w:spacing w:before="9"/>
        <w:ind w:left="0" w:firstLine="0"/>
        <w:rPr>
          <w:rFonts w:ascii="楷体" w:hAnsi="楷体" w:eastAsia="楷体" w:cs="楷体"/>
          <w:sz w:val="40"/>
          <w:szCs w:val="28"/>
        </w:rPr>
      </w:pPr>
    </w:p>
    <w:p>
      <w:pPr>
        <w:tabs>
          <w:tab w:val="left" w:pos="5457"/>
        </w:tabs>
        <w:spacing w:before="1"/>
        <w:ind w:left="117"/>
        <w:rPr>
          <w:rFonts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pPr>
        <w:pStyle w:val="14"/>
        <w:ind w:left="0" w:firstLine="0"/>
        <w:rPr>
          <w:rFonts w:ascii="楷体" w:hAnsi="楷体" w:eastAsia="楷体" w:cs="楷体"/>
          <w:b/>
          <w:sz w:val="24"/>
          <w:szCs w:val="28"/>
        </w:rPr>
      </w:pPr>
    </w:p>
    <w:p>
      <w:pPr>
        <w:pStyle w:val="14"/>
        <w:ind w:left="0" w:firstLine="0"/>
        <w:rPr>
          <w:rFonts w:ascii="楷体" w:hAnsi="楷体" w:eastAsia="楷体" w:cs="楷体"/>
          <w:b/>
          <w:sz w:val="24"/>
          <w:szCs w:val="28"/>
        </w:rPr>
      </w:pPr>
    </w:p>
    <w:p>
      <w:pPr>
        <w:pStyle w:val="14"/>
        <w:ind w:left="0" w:firstLine="0"/>
        <w:rPr>
          <w:rFonts w:ascii="楷体" w:hAnsi="楷体" w:eastAsia="楷体" w:cs="楷体"/>
          <w:b/>
          <w:sz w:val="24"/>
          <w:szCs w:val="28"/>
        </w:rPr>
      </w:pPr>
    </w:p>
    <w:p>
      <w:pPr>
        <w:pStyle w:val="14"/>
        <w:spacing w:before="1"/>
        <w:ind w:left="0" w:firstLine="0"/>
        <w:rPr>
          <w:rFonts w:ascii="楷体" w:hAnsi="楷体" w:eastAsia="楷体" w:cs="楷体"/>
          <w:b/>
          <w:sz w:val="24"/>
          <w:szCs w:val="28"/>
        </w:rPr>
      </w:pPr>
    </w:p>
    <w:p>
      <w:pPr>
        <w:tabs>
          <w:tab w:val="left" w:pos="5457"/>
        </w:tabs>
        <w:ind w:left="117"/>
        <w:rPr>
          <w:rFonts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pPr>
        <w:tabs>
          <w:tab w:val="left" w:pos="5457"/>
        </w:tabs>
        <w:ind w:left="117"/>
        <w:rPr>
          <w:rFonts w:hint="eastAsia" w:ascii="楷体" w:hAnsi="楷体" w:eastAsia="楷体" w:cs="楷体"/>
          <w:b/>
          <w:sz w:val="24"/>
          <w:szCs w:val="21"/>
        </w:rPr>
      </w:pPr>
    </w:p>
    <w:p>
      <w:pPr>
        <w:tabs>
          <w:tab w:val="left" w:pos="5457"/>
        </w:tabs>
        <w:ind w:left="117"/>
        <w:rPr>
          <w:rFonts w:hint="eastAsia" w:ascii="楷体" w:hAnsi="楷体" w:eastAsia="楷体" w:cs="楷体"/>
          <w:b/>
          <w:sz w:val="24"/>
          <w:szCs w:val="21"/>
        </w:rPr>
      </w:pPr>
    </w:p>
    <w:p>
      <w:pPr>
        <w:tabs>
          <w:tab w:val="left" w:pos="5457"/>
        </w:tabs>
        <w:ind w:left="117"/>
        <w:rPr>
          <w:rFonts w:hint="eastAsia" w:ascii="楷体" w:hAnsi="楷体" w:eastAsia="楷体" w:cs="楷体"/>
          <w:b/>
          <w:sz w:val="24"/>
          <w:szCs w:val="21"/>
        </w:rPr>
      </w:pPr>
    </w:p>
    <w:p>
      <w:pPr>
        <w:tabs>
          <w:tab w:val="left" w:pos="5457"/>
        </w:tabs>
        <w:ind w:left="117"/>
        <w:rPr>
          <w:rFonts w:hint="eastAsia" w:ascii="楷体" w:hAnsi="楷体" w:eastAsia="楷体" w:cs="楷体"/>
          <w:b/>
          <w:sz w:val="24"/>
          <w:szCs w:val="21"/>
        </w:rPr>
      </w:pPr>
    </w:p>
    <w:p>
      <w:pPr>
        <w:tabs>
          <w:tab w:val="left" w:pos="5457"/>
        </w:tabs>
        <w:ind w:left="117"/>
        <w:rPr>
          <w:rFonts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pPr>
        <w:rPr>
          <w:rFonts w:hint="eastAsia" w:ascii="Calibri" w:hAnsi="Calibri" w:eastAsia="宋体" w:cs="Times New Roman"/>
          <w:b/>
          <w:bCs/>
          <w:kern w:val="44"/>
          <w:sz w:val="36"/>
          <w:szCs w:val="44"/>
        </w:rPr>
      </w:pPr>
      <w:r>
        <w:rPr>
          <w:rFonts w:hint="eastAsia" w:ascii="Calibri" w:hAnsi="Calibri" w:eastAsia="宋体" w:cs="Times New Roman"/>
          <w:b/>
          <w:bCs/>
          <w:kern w:val="44"/>
          <w:sz w:val="36"/>
          <w:szCs w:val="44"/>
        </w:rPr>
        <w:br w:type="page"/>
      </w:r>
    </w:p>
    <w:p>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六</w:t>
      </w:r>
      <w:r>
        <w:rPr>
          <w:rFonts w:hint="eastAsia" w:ascii="Calibri" w:hAnsi="Calibri" w:eastAsia="宋体" w:cs="Times New Roman"/>
          <w:b/>
          <w:bCs/>
          <w:kern w:val="44"/>
          <w:sz w:val="36"/>
          <w:szCs w:val="44"/>
        </w:rPr>
        <w:t>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44"/>
    </w:p>
    <w:p>
      <w:pPr>
        <w:keepNext/>
        <w:keepLines/>
        <w:outlineLvl w:val="9"/>
        <w:rPr>
          <w:rFonts w:hint="eastAsia" w:ascii="Times New Roman" w:hAnsi="Times New Roman" w:eastAsia="宋体" w:cs="Times New Roman"/>
          <w:b/>
          <w:bCs/>
          <w:color w:val="000000"/>
          <w:sz w:val="24"/>
          <w:szCs w:val="24"/>
        </w:rPr>
      </w:pPr>
    </w:p>
    <w:p>
      <w:pPr>
        <w:pStyle w:val="18"/>
        <w:rPr>
          <w:rFonts w:hint="eastAsia"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w:t>
      </w:r>
      <w:r>
        <w:rPr>
          <w:rFonts w:hint="eastAsia" w:ascii="宋体" w:hAnsi="宋体" w:eastAsia="宋体" w:cs="宋体"/>
          <w:sz w:val="24"/>
          <w:szCs w:val="24"/>
        </w:rPr>
        <w:t>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所有附件文件应以中文书写，作为投标文件的组成部分。</w:t>
      </w:r>
    </w:p>
    <w:p>
      <w:pPr>
        <w:pStyle w:val="18"/>
        <w:rPr>
          <w:rFonts w:hint="eastAsia" w:ascii="Times New Roman" w:hAnsi="Times New Roman" w:eastAsia="宋体" w:cs="Times New Roman"/>
          <w:b/>
          <w:bCs/>
          <w:color w:val="000000"/>
          <w:sz w:val="24"/>
          <w:szCs w:val="24"/>
        </w:rPr>
        <w:sectPr>
          <w:footerReference r:id="rId21" w:type="first"/>
          <w:headerReference r:id="rId19" w:type="default"/>
          <w:footerReference r:id="rId20"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18" w:name="_Toc353881012"/>
      <w:bookmarkStart w:id="119" w:name="_Toc212369550"/>
      <w:bookmarkStart w:id="120" w:name="_Toc639004"/>
      <w:bookmarkStart w:id="121" w:name="_Toc25811"/>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18"/>
      <w:bookmarkEnd w:id="119"/>
      <w:bookmarkEnd w:id="120"/>
      <w:bookmarkEnd w:id="121"/>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w:t>
      </w:r>
      <w:r>
        <w:rPr>
          <w:rFonts w:hint="eastAsia" w:ascii="宋体" w:hAnsi="宋体" w:eastAsia="宋体" w:cs="Times New Roman"/>
          <w:color w:val="000000"/>
          <w:sz w:val="24"/>
          <w:szCs w:val="24"/>
          <w:lang w:eastAsia="zh-CN"/>
        </w:rPr>
        <w:t>中国重汽集团济南卡车股份有限公司</w:t>
      </w:r>
      <w:r>
        <w:rPr>
          <w:rFonts w:hint="eastAsia" w:ascii="宋体" w:hAnsi="宋体" w:eastAsia="宋体" w:cs="Times New Roman"/>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szCs w:val="24"/>
          <w:highlight w:val="none"/>
          <w:u w:val="single"/>
          <w:lang w:val="en-US" w:eastAsia="zh-CN"/>
        </w:rPr>
        <w:t>济南卡车制造公司莱芜厂区新增后背电池行车技改项目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18"/>
        <w:rPr>
          <w:rFonts w:ascii="黑体" w:hAnsi="Calibri" w:eastAsia="黑体" w:cs="Times New Roman"/>
          <w:color w:val="000000"/>
          <w:sz w:val="24"/>
          <w:szCs w:val="24"/>
        </w:rPr>
      </w:pPr>
    </w:p>
    <w:p>
      <w:pPr>
        <w:pStyle w:val="18"/>
        <w:rPr>
          <w:rFonts w:ascii="黑体" w:hAnsi="Calibri" w:eastAsia="黑体" w:cs="Times New Roman"/>
          <w:color w:val="000000"/>
          <w:sz w:val="24"/>
          <w:szCs w:val="24"/>
        </w:rPr>
      </w:pPr>
    </w:p>
    <w:p>
      <w:pPr>
        <w:pStyle w:val="18"/>
        <w:rPr>
          <w:rFonts w:ascii="黑体" w:hAnsi="Calibri" w:eastAsia="黑体" w:cs="Times New Roman"/>
          <w:color w:val="000000"/>
          <w:sz w:val="24"/>
          <w:szCs w:val="24"/>
        </w:rPr>
      </w:pPr>
    </w:p>
    <w:p>
      <w:pPr>
        <w:pStyle w:val="18"/>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szCs w:val="24"/>
          <w:highlight w:val="none"/>
          <w:u w:val="single"/>
          <w:lang w:val="en-US" w:eastAsia="zh-CN"/>
        </w:rPr>
        <w:t>济南卡车制造公司莱芜厂区新增后背电池行车技改项目</w:t>
      </w:r>
      <w:r>
        <w:rPr>
          <w:rFonts w:hint="eastAsia" w:ascii="宋体" w:hAnsi="宋体" w:eastAsia="宋体" w:cs="Times New Roman"/>
          <w:color w:val="000000"/>
          <w:sz w:val="24"/>
          <w:szCs w:val="24"/>
        </w:rPr>
        <w:t>（</w:t>
      </w:r>
      <w:r>
        <w:rPr>
          <w:rFonts w:hint="eastAsia" w:ascii="宋体" w:hAnsi="宋体" w:eastAsia="宋体" w:cs="Times New Roman"/>
          <w:color w:val="auto"/>
          <w:sz w:val="24"/>
          <w:szCs w:val="24"/>
          <w:highlight w:val="yellow"/>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9"/>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18"/>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投标人基本情况表(格式)</w:t>
      </w:r>
    </w:p>
    <w:tbl>
      <w:tblPr>
        <w:tblStyle w:val="131"/>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3"/>
              <w:spacing w:before="114"/>
              <w:ind w:left="720"/>
            </w:pPr>
            <w:r>
              <w:t xml:space="preserve">企业名称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3"/>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3"/>
              <w:spacing w:before="114"/>
              <w:ind w:left="720"/>
            </w:pPr>
            <w:r>
              <w:t xml:space="preserve">企业地址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3"/>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3"/>
              <w:spacing w:before="111"/>
              <w:ind w:left="720"/>
            </w:pPr>
            <w:r>
              <w:t xml:space="preserve">企业性质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3"/>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3"/>
              <w:spacing w:before="111"/>
              <w:ind w:left="509"/>
              <w:rPr>
                <w:highlight w:val="yellow"/>
              </w:rPr>
            </w:pPr>
            <w:r>
              <w:t xml:space="preserve">企业法人代表  </w:t>
            </w:r>
          </w:p>
        </w:tc>
        <w:tc>
          <w:tcPr>
            <w:tcW w:w="4680" w:type="dxa"/>
            <w:gridSpan w:val="4"/>
          </w:tcPr>
          <w:p>
            <w:pPr>
              <w:pStyle w:val="5"/>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pPr>
              <w:pStyle w:val="133"/>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3"/>
              <w:spacing w:before="114"/>
              <w:ind w:left="720"/>
            </w:pPr>
            <w:r>
              <w:t xml:space="preserve">品牌区分 </w:t>
            </w:r>
          </w:p>
        </w:tc>
        <w:tc>
          <w:tcPr>
            <w:tcW w:w="7500" w:type="dxa"/>
            <w:gridSpan w:val="6"/>
          </w:tcPr>
          <w:p>
            <w:pPr>
              <w:pStyle w:val="133"/>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3"/>
              <w:spacing w:before="178"/>
              <w:ind w:left="720"/>
            </w:pPr>
            <w:r>
              <w:t xml:space="preserve">品牌名称 </w:t>
            </w:r>
          </w:p>
        </w:tc>
        <w:tc>
          <w:tcPr>
            <w:tcW w:w="3583" w:type="dxa"/>
            <w:gridSpan w:val="3"/>
            <w:vAlign w:val="center"/>
          </w:tcPr>
          <w:p>
            <w:pPr>
              <w:widowControl/>
              <w:rPr>
                <w:rFonts w:ascii="宋体" w:hAnsi="宋体" w:eastAsia="仿宋_GB2312"/>
                <w:kern w:val="0"/>
                <w:szCs w:val="21"/>
                <w:lang w:bidi="ar"/>
              </w:rPr>
            </w:pPr>
          </w:p>
        </w:tc>
        <w:tc>
          <w:tcPr>
            <w:tcW w:w="1097" w:type="dxa"/>
          </w:tcPr>
          <w:p>
            <w:pPr>
              <w:pStyle w:val="133"/>
              <w:spacing w:before="15"/>
              <w:ind w:left="279"/>
            </w:pPr>
            <w:r>
              <w:rPr>
                <w:spacing w:val="-2"/>
              </w:rPr>
              <w:t>质量</w:t>
            </w:r>
            <w:r>
              <w:t xml:space="preserve"> </w:t>
            </w:r>
          </w:p>
          <w:p>
            <w:pPr>
              <w:pStyle w:val="133"/>
              <w:spacing w:before="30" w:line="277" w:lineRule="exact"/>
              <w:ind w:left="279"/>
            </w:pPr>
            <w:r>
              <w:rPr>
                <w:rFonts w:hint="eastAsia"/>
              </w:rPr>
              <w:t>体系</w:t>
            </w:r>
          </w:p>
        </w:tc>
        <w:tc>
          <w:tcPr>
            <w:tcW w:w="2820" w:type="dxa"/>
            <w:gridSpan w:val="2"/>
          </w:tcPr>
          <w:p>
            <w:pPr>
              <w:pStyle w:val="133"/>
              <w:spacing w:before="158"/>
              <w:jc w:val="center"/>
              <w:rPr>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3"/>
              <w:spacing w:before="149"/>
              <w:ind w:left="3345" w:right="3223"/>
              <w:jc w:val="cente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ascii="宋体" w:hAnsi="宋体" w:eastAsia="宋体" w:cs="宋体"/>
                <w:szCs w:val="21"/>
              </w:rPr>
            </w:pPr>
          </w:p>
        </w:tc>
        <w:tc>
          <w:tcPr>
            <w:tcW w:w="1530" w:type="dxa"/>
            <w:vAlign w:val="center"/>
          </w:tcPr>
          <w:p>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ascii="宋体" w:hAnsi="宋体" w:eastAsia="宋体" w:cs="宋体"/>
                <w:szCs w:val="21"/>
              </w:rPr>
            </w:pPr>
          </w:p>
        </w:tc>
        <w:tc>
          <w:tcPr>
            <w:tcW w:w="1097" w:type="dxa"/>
            <w:vAlign w:val="center"/>
          </w:tcPr>
          <w:p>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ascii="宋体" w:hAnsi="宋体" w:eastAsia="宋体" w:cs="宋体"/>
                <w:kern w:val="0"/>
                <w:szCs w:val="21"/>
                <w:lang w:bidi="ar"/>
              </w:rPr>
            </w:pPr>
            <w:r>
              <w:rPr>
                <w:rFonts w:ascii="宋体" w:hAnsi="宋体" w:eastAsia="宋体" w:cs="宋体"/>
                <w:spacing w:val="-4"/>
                <w:szCs w:val="21"/>
                <w:highlight w:val="none"/>
              </w:rPr>
              <w:t>对本项目在设计、制造、进度、财务等方面采取的组织措施和相</w:t>
            </w:r>
            <w:r>
              <w:rPr>
                <w:rFonts w:ascii="宋体" w:hAnsi="宋体" w:eastAsia="宋体" w:cs="宋体"/>
                <w:spacing w:val="-2"/>
                <w:szCs w:val="21"/>
                <w:highlight w:val="none"/>
              </w:rPr>
              <w:t>关</w:t>
            </w:r>
            <w:r>
              <w:rPr>
                <w:rFonts w:ascii="宋体" w:hAnsi="宋体" w:eastAsia="宋体" w:cs="宋体"/>
                <w:spacing w:val="-3"/>
                <w:szCs w:val="21"/>
                <w:highlight w:val="none"/>
              </w:rPr>
              <w:t>人</w:t>
            </w:r>
            <w:r>
              <w:rPr>
                <w:rFonts w:ascii="宋体" w:hAnsi="宋体" w:eastAsia="宋体" w:cs="宋体"/>
                <w:spacing w:val="-2"/>
                <w:szCs w:val="21"/>
                <w:highlight w:val="none"/>
              </w:rPr>
              <w:t>员简介</w:t>
            </w:r>
          </w:p>
        </w:tc>
        <w:tc>
          <w:tcPr>
            <w:tcW w:w="7500" w:type="dxa"/>
            <w:gridSpan w:val="6"/>
            <w:vAlign w:val="center"/>
          </w:tcPr>
          <w:p>
            <w:pPr>
              <w:widowControl/>
              <w:jc w:val="left"/>
              <w:rPr>
                <w:rFonts w:ascii="宋体" w:hAnsi="宋体" w:eastAsia="宋体" w:cs="宋体"/>
                <w:kern w:val="0"/>
                <w:szCs w:val="21"/>
                <w:lang w:bidi="ar"/>
              </w:rPr>
            </w:pPr>
          </w:p>
        </w:tc>
      </w:tr>
    </w:tbl>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18"/>
        <w:rPr>
          <w:rFonts w:ascii="Times New Roman" w:hAnsi="Times New Roman" w:eastAsia="宋体" w:cs="Times New Roman"/>
          <w:b/>
          <w:bCs/>
          <w:color w:val="000000"/>
          <w:sz w:val="24"/>
          <w:szCs w:val="24"/>
        </w:rPr>
      </w:pPr>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lang w:eastAsia="zh-CN"/>
              </w:rPr>
              <w:t>2022</w:t>
            </w:r>
            <w:r>
              <w:rPr>
                <w:rFonts w:hint="eastAsia" w:ascii="宋体" w:hAnsi="宋体" w:eastAsia="宋体"/>
                <w:color w:val="000000"/>
                <w:sz w:val="24"/>
                <w:szCs w:val="24"/>
              </w:rPr>
              <w:t>年</w:t>
            </w:r>
          </w:p>
        </w:tc>
        <w:tc>
          <w:tcPr>
            <w:tcW w:w="1288"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3</w:t>
            </w:r>
            <w:r>
              <w:rPr>
                <w:rFonts w:hint="eastAsia" w:ascii="宋体" w:hAnsi="宋体" w:eastAsia="宋体"/>
                <w:color w:val="000000"/>
                <w:sz w:val="24"/>
                <w:szCs w:val="24"/>
              </w:rPr>
              <w:t>年</w:t>
            </w:r>
          </w:p>
        </w:tc>
        <w:tc>
          <w:tcPr>
            <w:tcW w:w="1288"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4</w:t>
            </w:r>
            <w:r>
              <w:rPr>
                <w:rFonts w:hint="eastAsia" w:ascii="宋体" w:hAnsi="宋体" w:eastAsia="宋体"/>
                <w:color w:val="000000"/>
                <w:sz w:val="24"/>
                <w:szCs w:val="24"/>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3" w:type="first"/>
          <w:footerReference r:id="rId22"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highlight w:val="none"/>
          <w:u w:val="single"/>
          <w:lang w:val="en-US" w:eastAsia="zh-CN"/>
        </w:rPr>
        <w:t>济南卡车制造公司莱芜厂区新增后背电池行车技改项目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lang w:eastAsia="zh-CN"/>
        </w:rPr>
        <w:t>中国重汽集团济南卡车股份有限公司</w:t>
      </w:r>
      <w:r>
        <w:rPr>
          <w:rFonts w:hint="eastAsia" w:ascii="宋体" w:hAnsi="宋体" w:eastAsia="宋体" w:cs="Times New Roman"/>
          <w:b/>
          <w:bCs/>
          <w:sz w:val="24"/>
          <w:szCs w:val="20"/>
        </w:rPr>
        <w:t>：</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名称）对招标人的商业秘密作如下承诺：</w:t>
      </w:r>
    </w:p>
    <w:p>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25" w:type="first"/>
          <w:footerReference r:id="rId24"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济南卡车制造公司莱芜厂区新增后背电池行车技改项目</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bl>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rPr>
          <w:rFonts w:ascii="宋体" w:hAnsi="Calibri" w:eastAsia="宋体" w:cs="宋体"/>
          <w:b/>
          <w:bCs/>
          <w:color w:val="000000"/>
          <w:sz w:val="28"/>
          <w:szCs w:val="20"/>
        </w:rPr>
      </w:pPr>
    </w:p>
    <w:p>
      <w:pPr>
        <w:rPr>
          <w:rFonts w:ascii="宋体" w:hAnsi="Calibri" w:eastAsia="宋体" w:cs="宋体"/>
          <w:b/>
          <w:bCs/>
          <w:color w:val="000000"/>
          <w:sz w:val="28"/>
          <w:szCs w:val="20"/>
        </w:rPr>
        <w:sectPr>
          <w:footerReference r:id="rId27" w:type="first"/>
          <w:footerReference r:id="rId26"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lang w:val="en-US" w:eastAsia="zh-CN"/>
          <w14:textOutline w14:w="5791" w14:cap="flat" w14:cmpd="sng" w14:algn="ctr">
            <w14:solidFill>
              <w14:srgbClr w14:val="000000"/>
            </w14:solidFill>
            <w14:prstDash w14:val="solid"/>
            <w14:miter w14:val="0"/>
          </w14:textOutline>
        </w:rPr>
        <w:t>配置</w:t>
      </w:r>
    </w:p>
    <w:p>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lang w:val="en-US" w:eastAsia="zh-CN"/>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1"/>
        <w:tblW w:w="1202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238"/>
        <w:gridCol w:w="2239"/>
        <w:gridCol w:w="1335"/>
        <w:gridCol w:w="1824"/>
        <w:gridCol w:w="2362"/>
        <w:gridCol w:w="135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pPr>
              <w:spacing w:before="97" w:line="186" w:lineRule="auto"/>
              <w:ind w:left="304"/>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238" w:type="dxa"/>
          </w:tcPr>
          <w:p>
            <w:pPr>
              <w:spacing w:before="98" w:line="185" w:lineRule="auto"/>
              <w:ind w:left="10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239" w:type="dxa"/>
          </w:tcPr>
          <w:p>
            <w:pPr>
              <w:spacing w:before="99" w:line="183"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335" w:type="dxa"/>
          </w:tcPr>
          <w:p>
            <w:pPr>
              <w:spacing w:before="98" w:line="185" w:lineRule="auto"/>
              <w:ind w:left="51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824" w:type="dxa"/>
          </w:tcPr>
          <w:p>
            <w:pPr>
              <w:spacing w:before="100" w:line="182" w:lineRule="auto"/>
              <w:ind w:left="798"/>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2362" w:type="dxa"/>
            <w:tcBorders>
              <w:left w:val="single" w:color="000000" w:sz="4" w:space="0"/>
            </w:tcBorders>
          </w:tcPr>
          <w:p>
            <w:pPr>
              <w:spacing w:before="100" w:line="182" w:lineRule="auto"/>
              <w:ind w:left="1007"/>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355" w:type="dxa"/>
          </w:tcPr>
          <w:p>
            <w:pPr>
              <w:spacing w:before="99" w:line="183" w:lineRule="auto"/>
              <w:ind w:firstLine="420" w:firstLineChars="20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238"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239"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335"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824" w:type="dxa"/>
            <w:vAlign w:val="center"/>
          </w:tcPr>
          <w:p>
            <w:pPr>
              <w:spacing w:before="0" w:line="221" w:lineRule="auto"/>
              <w:ind w:left="0" w:right="0" w:firstLine="0"/>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2362" w:type="dxa"/>
            <w:tcBorders>
              <w:left w:val="single" w:color="000000" w:sz="4" w:space="0"/>
            </w:tcBorders>
            <w:vAlign w:val="center"/>
          </w:tcPr>
          <w:p>
            <w:pPr>
              <w:spacing w:before="0" w:line="221" w:lineRule="auto"/>
              <w:ind w:left="0" w:leftChars="0"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1355" w:type="dxa"/>
            <w:vAlign w:val="center"/>
          </w:tcPr>
          <w:p>
            <w:pPr>
              <w:spacing w:before="0" w:line="221" w:lineRule="auto"/>
              <w:ind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keepNext w:val="0"/>
              <w:keepLines w:val="0"/>
              <w:widowControl/>
              <w:suppressLineNumbers w:val="0"/>
              <w:spacing w:before="0" w:beforeAutospacing="0" w:after="0" w:afterAutospacing="0" w:line="240" w:lineRule="auto"/>
              <w:ind w:left="0" w:leftChars="0" w:right="0" w:rightChars="0"/>
              <w:jc w:val="center"/>
              <w:textAlignment w:val="center"/>
              <w:rPr>
                <w:rFonts w:ascii="宋体" w:hAnsi="宋体" w:eastAsia="宋体" w:cs="宋体"/>
                <w:sz w:val="24"/>
                <w:szCs w:val="24"/>
              </w:rPr>
            </w:pPr>
            <w:r>
              <w:rPr>
                <w:rFonts w:hint="eastAsia" w:ascii="宋体" w:hAnsi="宋体" w:eastAsia="宋体" w:cs="宋体"/>
                <w:b w:val="0"/>
                <w:bCs w:val="0"/>
                <w:i w:val="0"/>
                <w:iCs w:val="0"/>
                <w:color w:val="000000"/>
                <w:kern w:val="0"/>
                <w:sz w:val="24"/>
                <w:szCs w:val="24"/>
                <w:u w:val="none"/>
                <w:lang w:val="en-US" w:eastAsia="zh-CN" w:bidi="ar"/>
              </w:rPr>
              <w:t>1</w:t>
            </w:r>
          </w:p>
        </w:tc>
        <w:tc>
          <w:tcPr>
            <w:tcW w:w="2238" w:type="dxa"/>
            <w:vAlign w:val="center"/>
          </w:tcPr>
          <w:p>
            <w:pPr>
              <w:spacing w:beforeLines="0" w:afterLines="0" w:line="360" w:lineRule="auto"/>
              <w:jc w:val="center"/>
              <w:rPr>
                <w:rFonts w:hint="eastAsia" w:ascii="宋体" w:hAnsi="宋体" w:eastAsia="宋体" w:cstheme="minorBidi"/>
                <w:b w:val="0"/>
                <w:bCs/>
                <w:kern w:val="2"/>
                <w:sz w:val="24"/>
                <w:szCs w:val="24"/>
                <w:lang w:val="en-US" w:eastAsia="zh-CN" w:bidi="ar-SA"/>
              </w:rPr>
            </w:pPr>
            <w:r>
              <w:rPr>
                <w:rFonts w:hint="eastAsia" w:ascii="宋体" w:hAnsi="宋体" w:eastAsia="宋体" w:cs="宋体"/>
                <w:color w:val="auto"/>
                <w:sz w:val="24"/>
                <w:szCs w:val="24"/>
                <w:highlight w:val="none"/>
              </w:rPr>
              <w:t>10</w:t>
            </w:r>
            <w:r>
              <w:rPr>
                <w:rFonts w:hint="eastAsia" w:ascii="宋体" w:hAnsi="宋体" w:eastAsia="宋体" w:cs="宋体"/>
                <w:color w:val="auto"/>
                <w:sz w:val="24"/>
                <w:szCs w:val="24"/>
                <w:highlight w:val="none"/>
                <w:lang w:val="en-US" w:eastAsia="zh-CN"/>
              </w:rPr>
              <w:t>T</w:t>
            </w:r>
            <w:r>
              <w:rPr>
                <w:rFonts w:hint="eastAsia" w:ascii="宋体" w:hAnsi="宋体" w:eastAsia="宋体" w:cs="宋体"/>
                <w:color w:val="auto"/>
                <w:sz w:val="24"/>
                <w:szCs w:val="24"/>
                <w:highlight w:val="none"/>
              </w:rPr>
              <w:t>单梁欧式行车</w:t>
            </w:r>
          </w:p>
        </w:tc>
        <w:tc>
          <w:tcPr>
            <w:tcW w:w="2239" w:type="dxa"/>
            <w:vAlign w:val="center"/>
          </w:tcPr>
          <w:p>
            <w:pPr>
              <w:spacing w:beforeLines="0" w:afterLines="0" w:line="360" w:lineRule="auto"/>
              <w:jc w:val="center"/>
              <w:rPr>
                <w:rFonts w:ascii="Arial"/>
                <w:sz w:val="24"/>
                <w:szCs w:val="24"/>
              </w:rPr>
            </w:pPr>
            <w:r>
              <w:rPr>
                <w:rFonts w:hint="eastAsia" w:ascii="宋体" w:hAnsi="宋体" w:eastAsia="宋体" w:cs="宋体"/>
                <w:color w:val="auto"/>
                <w:sz w:val="24"/>
                <w:szCs w:val="24"/>
                <w:highlight w:val="none"/>
                <w:lang w:val="en-US" w:eastAsia="zh-CN"/>
              </w:rPr>
              <w:t>Gn=10t、So=9.7m、Lo=11m、A5</w:t>
            </w:r>
          </w:p>
        </w:tc>
        <w:tc>
          <w:tcPr>
            <w:tcW w:w="1335" w:type="dxa"/>
            <w:vAlign w:val="center"/>
          </w:tcPr>
          <w:p>
            <w:pPr>
              <w:spacing w:line="240" w:lineRule="auto"/>
              <w:jc w:val="center"/>
              <w:textAlignment w:val="center"/>
              <w:rPr>
                <w:rFonts w:hint="eastAsia" w:ascii="Arial" w:eastAsiaTheme="minorEastAsia"/>
                <w:sz w:val="24"/>
                <w:szCs w:val="24"/>
                <w:lang w:eastAsia="zh-CN"/>
              </w:rPr>
            </w:pPr>
            <w:r>
              <w:rPr>
                <w:rFonts w:hint="eastAsia" w:ascii="宋体" w:hAnsi="宋体" w:eastAsia="宋体" w:cs="宋体"/>
                <w:sz w:val="24"/>
                <w:szCs w:val="24"/>
                <w:highlight w:val="none"/>
                <w:lang w:val="en-US" w:eastAsia="zh-CN"/>
              </w:rPr>
              <w:t>套</w:t>
            </w:r>
          </w:p>
        </w:tc>
        <w:tc>
          <w:tcPr>
            <w:tcW w:w="1824" w:type="dxa"/>
            <w:vAlign w:val="center"/>
          </w:tcPr>
          <w:p>
            <w:pPr>
              <w:jc w:val="center"/>
              <w:rPr>
                <w:rFonts w:ascii="Arial"/>
                <w:sz w:val="24"/>
                <w:szCs w:val="24"/>
              </w:rPr>
            </w:pPr>
            <w:r>
              <w:rPr>
                <w:rFonts w:hint="eastAsia" w:ascii="宋体" w:hAnsi="宋体" w:eastAsia="宋体" w:cs="宋体"/>
                <w:kern w:val="2"/>
                <w:sz w:val="24"/>
                <w:szCs w:val="24"/>
                <w:highlight w:val="none"/>
                <w:lang w:val="en-US" w:eastAsia="zh-CN" w:bidi="ar-SA"/>
              </w:rPr>
              <w:t>1</w:t>
            </w:r>
          </w:p>
        </w:tc>
        <w:tc>
          <w:tcPr>
            <w:tcW w:w="2362" w:type="dxa"/>
            <w:tcBorders>
              <w:left w:val="single" w:color="000000" w:sz="4" w:space="0"/>
            </w:tcBorders>
            <w:vAlign w:val="center"/>
          </w:tcPr>
          <w:p>
            <w:pPr>
              <w:spacing w:line="240" w:lineRule="auto"/>
              <w:jc w:val="center"/>
              <w:rPr>
                <w:rFonts w:ascii="Arial"/>
                <w:sz w:val="24"/>
                <w:szCs w:val="24"/>
              </w:rPr>
            </w:pPr>
          </w:p>
        </w:tc>
        <w:tc>
          <w:tcPr>
            <w:tcW w:w="1355" w:type="dxa"/>
          </w:tcPr>
          <w:p>
            <w:pPr>
              <w:spacing w:line="240" w:lineRule="auto"/>
              <w:rPr>
                <w:rFonts w:ascii="Arial"/>
                <w:sz w:val="24"/>
                <w:szCs w:val="24"/>
              </w:rPr>
            </w:pPr>
            <w:r>
              <w:rPr>
                <w:rFonts w:hint="eastAsia" w:ascii="宋体" w:hAnsi="宋体" w:eastAsia="宋体"/>
                <w:b/>
              </w:rPr>
              <w:t>含滑线</w:t>
            </w:r>
            <w:r>
              <w:rPr>
                <w:rFonts w:hint="eastAsia" w:ascii="宋体" w:hAnsi="宋体" w:eastAsia="宋体"/>
                <w:b/>
                <w:lang w:val="en-US" w:eastAsia="zh-CN"/>
              </w:rPr>
              <w:t>11</w:t>
            </w:r>
            <w:r>
              <w:rPr>
                <w:rFonts w:hint="eastAsia" w:ascii="宋体" w:hAnsi="宋体" w:eastAsia="宋体"/>
                <w:b/>
                <w:lang w:eastAsia="zh-CN"/>
              </w:rPr>
              <w:t>m</w:t>
            </w:r>
            <w:r>
              <w:rPr>
                <w:rFonts w:hint="eastAsia" w:ascii="宋体" w:hAnsi="宋体" w:eastAsia="宋体"/>
                <w:b/>
              </w:rPr>
              <w:t>，轨道</w:t>
            </w:r>
            <w:r>
              <w:rPr>
                <w:rFonts w:hint="eastAsia" w:ascii="宋体" w:hAnsi="宋体" w:eastAsia="宋体"/>
                <w:b/>
                <w:lang w:val="en-US" w:eastAsia="zh-CN"/>
              </w:rPr>
              <w:t>9.4</w:t>
            </w:r>
            <w:r>
              <w:rPr>
                <w:rFonts w:hint="eastAsia" w:ascii="宋体" w:hAnsi="宋体" w:eastAsia="宋体"/>
                <w:b/>
                <w:lang w:eastAsia="zh-CN"/>
              </w:rPr>
              <w:t>m</w:t>
            </w:r>
            <w:r>
              <w:rPr>
                <w:rFonts w:hint="eastAsia" w:ascii="宋体" w:hAnsi="宋体" w:eastAsia="宋体"/>
                <w:b/>
              </w:rPr>
              <w:t>，配套土建基础、行车框架、钢结构框架改造</w:t>
            </w:r>
            <w:r>
              <w:rPr>
                <w:rFonts w:hint="eastAsia" w:ascii="宋体" w:hAnsi="宋体" w:eastAsia="宋体"/>
                <w:b/>
                <w:lang w:val="en-US" w:eastAsia="zh-CN"/>
              </w:rPr>
              <w:t>等</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vAlign w:val="center"/>
          </w:tcPr>
          <w:p>
            <w:pPr>
              <w:keepNext w:val="0"/>
              <w:keepLines w:val="0"/>
              <w:widowControl/>
              <w:suppressLineNumbers w:val="0"/>
              <w:spacing w:before="0" w:beforeAutospacing="0" w:after="0" w:afterAutospacing="0" w:line="240" w:lineRule="auto"/>
              <w:ind w:left="0" w:leftChars="0" w:right="0" w:rightChars="0"/>
              <w:jc w:val="center"/>
              <w:textAlignment w:val="center"/>
              <w:rPr>
                <w:rFonts w:ascii="宋体" w:hAnsi="宋体" w:eastAsia="宋体" w:cs="宋体"/>
                <w:sz w:val="24"/>
                <w:szCs w:val="24"/>
              </w:rPr>
            </w:pPr>
          </w:p>
        </w:tc>
        <w:tc>
          <w:tcPr>
            <w:tcW w:w="2238" w:type="dxa"/>
            <w:vAlign w:val="center"/>
          </w:tcPr>
          <w:p>
            <w:pPr>
              <w:spacing w:beforeLines="0" w:afterLines="0" w:line="360" w:lineRule="auto"/>
              <w:jc w:val="both"/>
              <w:rPr>
                <w:rFonts w:hint="eastAsia" w:ascii="宋体" w:hAnsi="宋体" w:eastAsia="宋体" w:cstheme="minorBidi"/>
                <w:b w:val="0"/>
                <w:bCs/>
                <w:kern w:val="2"/>
                <w:sz w:val="24"/>
                <w:szCs w:val="24"/>
                <w:lang w:val="en-US" w:eastAsia="zh-CN" w:bidi="ar-SA"/>
              </w:rPr>
            </w:pPr>
          </w:p>
        </w:tc>
        <w:tc>
          <w:tcPr>
            <w:tcW w:w="2239" w:type="dxa"/>
            <w:vAlign w:val="center"/>
          </w:tcPr>
          <w:p>
            <w:pPr>
              <w:spacing w:beforeLines="0" w:afterLines="0" w:line="360" w:lineRule="auto"/>
              <w:jc w:val="center"/>
              <w:rPr>
                <w:rFonts w:ascii="Arial"/>
                <w:sz w:val="24"/>
                <w:szCs w:val="24"/>
              </w:rPr>
            </w:pPr>
          </w:p>
        </w:tc>
        <w:tc>
          <w:tcPr>
            <w:tcW w:w="1335" w:type="dxa"/>
            <w:vAlign w:val="center"/>
          </w:tcPr>
          <w:p>
            <w:pPr>
              <w:spacing w:line="240" w:lineRule="auto"/>
              <w:jc w:val="center"/>
              <w:textAlignment w:val="center"/>
              <w:rPr>
                <w:rFonts w:hint="eastAsia" w:ascii="Arial" w:eastAsiaTheme="minorEastAsia"/>
                <w:sz w:val="24"/>
                <w:szCs w:val="24"/>
                <w:lang w:eastAsia="zh-CN"/>
              </w:rPr>
            </w:pPr>
          </w:p>
        </w:tc>
        <w:tc>
          <w:tcPr>
            <w:tcW w:w="1824" w:type="dxa"/>
            <w:vAlign w:val="center"/>
          </w:tcPr>
          <w:p>
            <w:pPr>
              <w:jc w:val="center"/>
              <w:rPr>
                <w:rFonts w:ascii="Arial"/>
                <w:sz w:val="24"/>
                <w:szCs w:val="24"/>
              </w:rPr>
            </w:pPr>
          </w:p>
        </w:tc>
        <w:tc>
          <w:tcPr>
            <w:tcW w:w="2362" w:type="dxa"/>
            <w:tcBorders>
              <w:left w:val="single" w:color="000000" w:sz="4" w:space="0"/>
            </w:tcBorders>
            <w:vAlign w:val="center"/>
          </w:tcPr>
          <w:p>
            <w:pPr>
              <w:spacing w:line="240" w:lineRule="auto"/>
              <w:jc w:val="center"/>
              <w:rPr>
                <w:rFonts w:ascii="Arial"/>
                <w:sz w:val="24"/>
                <w:szCs w:val="24"/>
              </w:rPr>
            </w:pPr>
          </w:p>
        </w:tc>
        <w:tc>
          <w:tcPr>
            <w:tcW w:w="1355" w:type="dxa"/>
          </w:tcPr>
          <w:p>
            <w:pPr>
              <w:spacing w:line="240" w:lineRule="auto"/>
              <w:rPr>
                <w:rFonts w:ascii="Arial"/>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79" w:line="284" w:lineRule="exact"/>
              <w:ind w:left="249"/>
              <w:rPr>
                <w:rFonts w:ascii="宋体" w:hAnsi="宋体" w:eastAsia="宋体" w:cs="宋体"/>
                <w:szCs w:val="21"/>
              </w:rPr>
            </w:pPr>
            <w:r>
              <w:rPr>
                <w:rFonts w:ascii="宋体" w:hAnsi="宋体" w:eastAsia="宋体" w:cs="宋体"/>
                <w:position w:val="1"/>
                <w:szCs w:val="21"/>
              </w:rPr>
              <w:t>…</w:t>
            </w:r>
          </w:p>
        </w:tc>
        <w:tc>
          <w:tcPr>
            <w:tcW w:w="2238" w:type="dxa"/>
          </w:tcPr>
          <w:p>
            <w:pPr>
              <w:rPr>
                <w:rFonts w:ascii="Arial"/>
              </w:rPr>
            </w:pPr>
            <w:r>
              <w:rPr>
                <w:rFonts w:hint="eastAsia" w:ascii="宋体" w:hAnsi="宋体" w:eastAsia="宋体" w:cs="宋体"/>
              </w:rPr>
              <w:t>以上投标设备不足之处请往下添加序号自行补充</w:t>
            </w:r>
          </w:p>
        </w:tc>
        <w:tc>
          <w:tcPr>
            <w:tcW w:w="2239" w:type="dxa"/>
          </w:tcPr>
          <w:p>
            <w:pPr>
              <w:rPr>
                <w:rFonts w:ascii="Arial"/>
              </w:rPr>
            </w:pPr>
          </w:p>
        </w:tc>
        <w:tc>
          <w:tcPr>
            <w:tcW w:w="1335" w:type="dxa"/>
          </w:tcPr>
          <w:p>
            <w:pPr>
              <w:rPr>
                <w:rFonts w:ascii="Arial"/>
              </w:rPr>
            </w:pPr>
          </w:p>
        </w:tc>
        <w:tc>
          <w:tcPr>
            <w:tcW w:w="1824" w:type="dxa"/>
          </w:tcPr>
          <w:p>
            <w:pPr>
              <w:rPr>
                <w:rFonts w:ascii="Arial"/>
              </w:rPr>
            </w:pPr>
          </w:p>
        </w:tc>
        <w:tc>
          <w:tcPr>
            <w:tcW w:w="2362" w:type="dxa"/>
            <w:tcBorders>
              <w:left w:val="single" w:color="000000" w:sz="4" w:space="0"/>
            </w:tcBorders>
          </w:tcPr>
          <w:p>
            <w:pPr>
              <w:rPr>
                <w:rFonts w:ascii="Arial"/>
              </w:rPr>
            </w:pPr>
          </w:p>
        </w:tc>
        <w:tc>
          <w:tcPr>
            <w:tcW w:w="1355" w:type="dxa"/>
          </w:tcPr>
          <w:p>
            <w:pPr>
              <w:rPr>
                <w:rFonts w:ascii="Arial"/>
              </w:rPr>
            </w:pPr>
          </w:p>
        </w:tc>
      </w:tr>
    </w:tbl>
    <w:p>
      <w:pPr>
        <w:spacing w:before="78" w:line="219" w:lineRule="auto"/>
        <w:ind w:left="431"/>
        <w:rPr>
          <w:rFonts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lang w:val="en-US" w:eastAsia="zh-CN"/>
        </w:rPr>
        <w:t>1</w:t>
      </w:r>
      <w:r>
        <w:rPr>
          <w:rFonts w:hint="eastAsia" w:ascii="宋体" w:hAnsi="宋体" w:eastAsia="宋体" w:cs="宋体"/>
          <w:spacing w:val="-6"/>
          <w:szCs w:val="21"/>
        </w:rPr>
        <w:t>.该明细表所有信息均为必填项，不得删减，可细化可增加。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lang w:val="en-US" w:eastAsia="zh-CN"/>
        </w:rPr>
      </w:pPr>
      <w:r>
        <w:rPr>
          <w:rFonts w:hint="eastAsia" w:ascii="宋体" w:hAnsi="宋体" w:eastAsia="宋体" w:cs="宋体"/>
          <w:b/>
          <w:bCs/>
          <w:spacing w:val="-6"/>
          <w:szCs w:val="21"/>
          <w:highlight w:val="yellow"/>
          <w:lang w:val="en-US" w:eastAsia="zh-CN"/>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lang w:val="en-US" w:eastAsia="zh-CN"/>
        </w:rPr>
      </w:pPr>
      <w:r>
        <w:rPr>
          <w:rFonts w:hint="eastAsia" w:ascii="宋体" w:hAnsi="宋体" w:eastAsia="宋体" w:cs="宋体"/>
          <w:spacing w:val="-6"/>
          <w:szCs w:val="21"/>
          <w:highlight w:val="yellow"/>
          <w:lang w:val="en-US" w:eastAsia="zh-CN"/>
        </w:rPr>
        <w:t>3.此表分项明细需要和附表9-1完全对应。</w:t>
      </w:r>
    </w:p>
    <w:p>
      <w:pPr>
        <w:spacing w:before="78" w:line="219" w:lineRule="auto"/>
        <w:ind w:left="431"/>
        <w:rPr>
          <w:rFonts w:hint="eastAsia" w:ascii="宋体" w:hAnsi="宋体" w:eastAsia="宋体" w:cs="宋体"/>
          <w:spacing w:val="-6"/>
          <w:szCs w:val="21"/>
          <w:lang w:val="en-US" w:eastAsia="zh-CN"/>
        </w:rPr>
      </w:pPr>
      <w:r>
        <w:rPr>
          <w:rFonts w:hint="eastAsia" w:ascii="宋体" w:hAnsi="宋体" w:eastAsia="宋体" w:cs="宋体"/>
          <w:spacing w:val="-6"/>
          <w:szCs w:val="21"/>
          <w:lang w:val="en-US" w:eastAsia="zh-CN"/>
        </w:rPr>
        <w:t>4.因填写不规范造成废标及终止招标的，责任由投标人自负。</w:t>
      </w:r>
    </w:p>
    <w:p>
      <w:pPr>
        <w:spacing w:before="78" w:line="219" w:lineRule="auto"/>
        <w:ind w:left="431"/>
        <w:rPr>
          <w:rFonts w:hint="eastAsia" w:ascii="宋体" w:hAnsi="宋体" w:eastAsia="宋体" w:cs="宋体"/>
          <w:b w:val="0"/>
          <w:bCs w:val="0"/>
          <w:spacing w:val="-6"/>
          <w:szCs w:val="21"/>
          <w:lang w:val="en-US" w:eastAsia="zh-CN"/>
        </w:rPr>
      </w:pPr>
    </w:p>
    <w:p>
      <w:pPr>
        <w:spacing w:line="105" w:lineRule="exact"/>
      </w:pPr>
    </w:p>
    <w:p>
      <w:pPr>
        <w:sectPr>
          <w:footerReference r:id="rId28" w:type="default"/>
          <w:pgSz w:w="16841" w:h="11907" w:orient="landscape"/>
          <w:pgMar w:top="400" w:right="1387" w:bottom="1168" w:left="1473" w:header="0" w:footer="990" w:gutter="0"/>
          <w:cols w:equalWidth="0" w:num="1">
            <w:col w:w="13980"/>
          </w:cols>
        </w:sectPr>
      </w:pPr>
    </w:p>
    <w:p>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lang w:val="en-US" w:eastAsia="zh-CN"/>
        </w:rPr>
        <w:t xml:space="preserve"> </w:t>
      </w:r>
      <w:r>
        <w:rPr>
          <w:rFonts w:hint="eastAsia" w:ascii="Times New Roman" w:hAnsi="Times New Roman" w:eastAsia="宋体" w:cs="Times New Roman"/>
          <w:b/>
          <w:bCs/>
          <w:color w:val="000000"/>
          <w:sz w:val="24"/>
          <w:szCs w:val="24"/>
        </w:rPr>
        <w:t>20</w:t>
      </w:r>
      <w:r>
        <w:rPr>
          <w:rFonts w:hint="eastAsia" w:ascii="Times New Roman" w:hAnsi="Times New Roman" w:eastAsia="宋体" w:cs="Times New Roman"/>
          <w:b/>
          <w:bCs/>
          <w:color w:val="000000"/>
          <w:sz w:val="24"/>
          <w:szCs w:val="24"/>
          <w:lang w:val="en-US" w:eastAsia="zh-CN"/>
        </w:rPr>
        <w:t>22</w:t>
      </w:r>
      <w:r>
        <w:rPr>
          <w:rFonts w:hint="eastAsia" w:ascii="Times New Roman" w:hAnsi="Times New Roman" w:eastAsia="宋体" w:cs="Times New Roman"/>
          <w:b/>
          <w:bCs/>
          <w:color w:val="000000"/>
          <w:sz w:val="24"/>
          <w:szCs w:val="24"/>
        </w:rPr>
        <w:t>年1月1日至今同类项目业绩一览表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济南卡车制造公司莱芜厂区新增后背电池行车技改项目</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ascii="宋体" w:hAnsi="宋体" w:eastAsia="宋体" w:cs="宋体"/>
                <w:sz w:val="24"/>
                <w:szCs w:val="24"/>
                <w:highlight w:val="yellow"/>
              </w:rPr>
              <w:t>20</w:t>
            </w:r>
            <w:r>
              <w:rPr>
                <w:rFonts w:hint="eastAsia" w:ascii="宋体" w:hAnsi="宋体" w:eastAsia="宋体" w:cs="宋体"/>
                <w:sz w:val="24"/>
                <w:szCs w:val="24"/>
                <w:highlight w:val="yellow"/>
                <w:lang w:val="en-US" w:eastAsia="zh-CN"/>
              </w:rPr>
              <w:t>22</w:t>
            </w:r>
            <w:r>
              <w:rPr>
                <w:rFonts w:ascii="宋体" w:hAnsi="宋体" w:eastAsia="宋体" w:cs="宋体"/>
                <w:sz w:val="24"/>
                <w:szCs w:val="24"/>
                <w:highlight w:val="yellow"/>
              </w:rPr>
              <w:t>年1月1日至今所有业绩合同总额汇总（必填）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w:t>
      </w:r>
      <w:r>
        <w:rPr>
          <w:rFonts w:hint="eastAsia" w:ascii="宋体" w:hAnsi="宋体" w:eastAsia="宋体" w:cs="宋体"/>
          <w:kern w:val="0"/>
          <w:sz w:val="24"/>
          <w:szCs w:val="20"/>
          <w:lang w:val="en-US" w:eastAsia="zh-CN"/>
        </w:rPr>
        <w:t>22</w:t>
      </w:r>
      <w:r>
        <w:rPr>
          <w:rFonts w:hint="eastAsia" w:ascii="宋体" w:hAnsi="宋体" w:eastAsia="宋体" w:cs="宋体"/>
          <w:kern w:val="0"/>
          <w:sz w:val="24"/>
          <w:szCs w:val="20"/>
        </w:rPr>
        <w:t>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ascii="宋体" w:hAnsi="宋体" w:eastAsia="宋体" w:cs="Times New Roman"/>
          <w:szCs w:val="20"/>
        </w:rPr>
      </w:pPr>
      <w:r>
        <w:rPr>
          <w:rFonts w:ascii="宋体" w:hAnsi="宋体" w:eastAsia="宋体" w:cs="Times New Roman"/>
          <w:szCs w:val="20"/>
        </w:rPr>
        <w:t xml:space="preserve">                                               </w:t>
      </w:r>
    </w:p>
    <w:p>
      <w:pPr>
        <w:spacing w:line="360" w:lineRule="auto"/>
        <w:rPr>
          <w:rFonts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szCs w:val="24"/>
          <w:highlight w:val="none"/>
          <w:u w:val="single"/>
          <w:lang w:val="en-US" w:eastAsia="zh-CN"/>
        </w:rPr>
        <w:t>济南卡车制造公司莱芜厂区新增后背电池行车技改项目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lang w:eastAsia="zh-CN"/>
        </w:rPr>
        <w:t>中国重汽集团济南卡车股份有限公司</w:t>
      </w:r>
      <w:r>
        <w:rPr>
          <w:rFonts w:hint="eastAsia" w:ascii="宋体" w:hAnsi="宋体" w:eastAsia="宋体" w:cs="Times New Roman"/>
          <w:b/>
          <w:bCs/>
          <w:sz w:val="24"/>
          <w:szCs w:val="20"/>
        </w:rPr>
        <w:t>：</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30" w:type="first"/>
          <w:footerReference r:id="rId29"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济南卡车制造公司莱芜厂区新增后背电池行车技改项目</w:t>
      </w:r>
      <w:r>
        <w:rPr>
          <w:rFonts w:ascii="宋体" w:hAnsi="宋体" w:eastAsia="宋体" w:cs="Times New Roman"/>
          <w:color w:val="000000"/>
          <w:sz w:val="24"/>
          <w:szCs w:val="24"/>
        </w:rPr>
        <w:t xml:space="preserve">                                                        </w:t>
      </w:r>
    </w:p>
    <w:tbl>
      <w:tblPr>
        <w:tblStyle w:val="39"/>
        <w:tblW w:w="94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5"/>
        <w:gridCol w:w="1581"/>
        <w:gridCol w:w="883"/>
        <w:gridCol w:w="2000"/>
        <w:gridCol w:w="1082"/>
        <w:gridCol w:w="1261"/>
        <w:gridCol w:w="974"/>
        <w:gridCol w:w="9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49" w:hRule="atLeast"/>
          <w:jc w:val="center"/>
        </w:trPr>
        <w:tc>
          <w:tcPr>
            <w:tcW w:w="705"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81"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8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0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082"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61"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974" w:type="dxa"/>
            <w:vAlign w:val="center"/>
          </w:tcPr>
          <w:p>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950" w:type="dxa"/>
            <w:vAlign w:val="center"/>
          </w:tcPr>
          <w:p>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49" w:hRule="atLeast"/>
          <w:jc w:val="center"/>
        </w:trPr>
        <w:tc>
          <w:tcPr>
            <w:tcW w:w="705"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81" w:type="dxa"/>
            <w:vAlign w:val="center"/>
          </w:tcPr>
          <w:p>
            <w:pPr>
              <w:jc w:val="center"/>
              <w:rPr>
                <w:rFonts w:ascii="Times New Roman" w:hAnsi="Times New Roman" w:eastAsia="宋体" w:cs="Times New Roman"/>
                <w:b/>
                <w:szCs w:val="20"/>
              </w:rPr>
            </w:pPr>
            <w:r>
              <w:rPr>
                <w:rFonts w:hint="eastAsia" w:ascii="宋体" w:hAnsi="宋体" w:eastAsia="宋体" w:cs="宋体"/>
                <w:sz w:val="24"/>
                <w:szCs w:val="24"/>
                <w:highlight w:val="none"/>
                <w:u w:val="single"/>
                <w:lang w:val="en-US" w:eastAsia="zh-CN"/>
              </w:rPr>
              <w:t>济南卡车制造公司莱芜厂区新增后背电池行车技改项目</w:t>
            </w:r>
          </w:p>
        </w:tc>
        <w:tc>
          <w:tcPr>
            <w:tcW w:w="883" w:type="dxa"/>
            <w:vAlign w:val="center"/>
          </w:tcPr>
          <w:p>
            <w:pPr>
              <w:jc w:val="center"/>
              <w:rPr>
                <w:rFonts w:hint="eastAsia" w:ascii="Times New Roman" w:hAnsi="Times New Roman" w:eastAsia="宋体" w:cs="Times New Roman"/>
                <w:b/>
                <w:szCs w:val="20"/>
                <w:lang w:val="en-US" w:eastAsia="zh-CN"/>
              </w:rPr>
            </w:pPr>
            <w:r>
              <w:rPr>
                <w:rFonts w:ascii="Times New Roman" w:hAnsi="Times New Roman" w:eastAsia="宋体" w:cs="Times New Roman"/>
                <w:b/>
                <w:szCs w:val="20"/>
              </w:rPr>
              <w:t>1</w:t>
            </w:r>
            <w:r>
              <w:rPr>
                <w:rFonts w:hint="eastAsia" w:ascii="Times New Roman" w:hAnsi="Times New Roman" w:eastAsia="宋体" w:cs="Times New Roman"/>
                <w:b/>
                <w:szCs w:val="20"/>
                <w:lang w:val="en-US" w:eastAsia="zh-CN"/>
              </w:rPr>
              <w:t>套</w:t>
            </w:r>
          </w:p>
        </w:tc>
        <w:tc>
          <w:tcPr>
            <w:tcW w:w="2000" w:type="dxa"/>
            <w:vAlign w:val="center"/>
          </w:tcPr>
          <w:p>
            <w:pPr>
              <w:jc w:val="center"/>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pPr>
              <w:jc w:val="center"/>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082" w:type="dxa"/>
            <w:vAlign w:val="center"/>
          </w:tcPr>
          <w:p>
            <w:pPr>
              <w:jc w:val="center"/>
              <w:rPr>
                <w:rFonts w:ascii="Times New Roman" w:hAnsi="Times New Roman" w:eastAsia="宋体" w:cs="Times New Roman"/>
                <w:b/>
                <w:szCs w:val="20"/>
              </w:rPr>
            </w:pPr>
          </w:p>
        </w:tc>
        <w:tc>
          <w:tcPr>
            <w:tcW w:w="1261" w:type="dxa"/>
            <w:vAlign w:val="center"/>
          </w:tcPr>
          <w:p>
            <w:pPr>
              <w:jc w:val="center"/>
              <w:rPr>
                <w:rFonts w:ascii="Times New Roman" w:hAnsi="Times New Roman" w:eastAsia="宋体" w:cs="Times New Roman"/>
                <w:b/>
                <w:szCs w:val="20"/>
              </w:rPr>
            </w:pPr>
          </w:p>
        </w:tc>
        <w:tc>
          <w:tcPr>
            <w:tcW w:w="974" w:type="dxa"/>
            <w:vAlign w:val="center"/>
          </w:tcPr>
          <w:p>
            <w:pPr>
              <w:jc w:val="center"/>
              <w:rPr>
                <w:rFonts w:ascii="Times New Roman" w:hAnsi="Times New Roman" w:eastAsia="宋体" w:cs="Times New Roman"/>
                <w:b/>
                <w:szCs w:val="20"/>
              </w:rPr>
            </w:pPr>
          </w:p>
        </w:tc>
        <w:tc>
          <w:tcPr>
            <w:tcW w:w="950"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ascii="宋体" w:hAnsi="宋体" w:eastAsia="宋体" w:cs="宋体"/>
          <w:b/>
          <w:szCs w:val="20"/>
        </w:rPr>
      </w:pPr>
      <w:r>
        <w:rPr>
          <w:rFonts w:hint="eastAsia" w:ascii="宋体" w:hAnsi="宋体" w:eastAsia="宋体" w:cs="宋体"/>
          <w:b/>
          <w:szCs w:val="20"/>
        </w:rPr>
        <w:t>3.需写明含税价、不含税价格、税率。</w:t>
      </w:r>
    </w:p>
    <w:p>
      <w:pPr>
        <w:pStyle w:val="18"/>
        <w:rPr>
          <w:rFonts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18"/>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5"/>
        <w:jc w:val="left"/>
        <w:rPr>
          <w:rFonts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5"/>
        <w:jc w:val="center"/>
        <w:rPr>
          <w:rFonts w:ascii="宋体" w:hAnsi="宋体" w:eastAsia="宋体" w:cs="Times New Roman"/>
          <w:b/>
          <w:bCs/>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lang w:val="en-US" w:eastAsia="zh-CN"/>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1"/>
        <w:tblW w:w="150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448"/>
        <w:gridCol w:w="1790"/>
        <w:gridCol w:w="2239"/>
        <w:gridCol w:w="1120"/>
        <w:gridCol w:w="1120"/>
        <w:gridCol w:w="1682"/>
        <w:gridCol w:w="1921"/>
        <w:gridCol w:w="2385"/>
        <w:gridCol w:w="171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vAlign w:val="top"/>
          </w:tcPr>
          <w:p>
            <w:pPr>
              <w:spacing w:before="97" w:line="186" w:lineRule="auto"/>
              <w:ind w:left="304" w:leftChars="0"/>
              <w:rPr>
                <w:rFonts w:ascii="宋体" w:hAnsi="宋体" w:eastAsia="宋体" w:cs="宋体"/>
                <w:kern w:val="2"/>
                <w:sz w:val="21"/>
                <w:szCs w:val="21"/>
                <w:lang w:val="en-US" w:eastAsia="zh-CN" w:bidi="ar-SA"/>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238" w:type="dxa"/>
            <w:gridSpan w:val="2"/>
            <w:vAlign w:val="top"/>
          </w:tcPr>
          <w:p>
            <w:pPr>
              <w:spacing w:before="98" w:line="185" w:lineRule="auto"/>
              <w:ind w:left="1071" w:leftChars="0"/>
              <w:rPr>
                <w:rFonts w:ascii="宋体" w:hAnsi="宋体" w:eastAsia="宋体" w:cs="宋体"/>
                <w:kern w:val="2"/>
                <w:sz w:val="21"/>
                <w:szCs w:val="21"/>
                <w:lang w:val="en-US" w:eastAsia="zh-CN" w:bidi="ar-SA"/>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239" w:type="dxa"/>
            <w:vAlign w:val="top"/>
          </w:tcPr>
          <w:p>
            <w:pPr>
              <w:spacing w:before="99" w:line="183" w:lineRule="auto"/>
              <w:ind w:left="1075" w:leftChars="0"/>
              <w:rPr>
                <w:rFonts w:ascii="宋体" w:hAnsi="宋体" w:eastAsia="宋体" w:cs="宋体"/>
                <w:kern w:val="2"/>
                <w:sz w:val="21"/>
                <w:szCs w:val="21"/>
                <w:lang w:val="en-US" w:eastAsia="zh-CN" w:bidi="ar-SA"/>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120" w:type="dxa"/>
            <w:vAlign w:val="top"/>
          </w:tcPr>
          <w:p>
            <w:pPr>
              <w:spacing w:before="98" w:line="185" w:lineRule="auto"/>
              <w:ind w:left="511" w:leftChars="0"/>
              <w:rPr>
                <w:rFonts w:ascii="宋体" w:hAnsi="宋体" w:eastAsia="宋体" w:cs="宋体"/>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120" w:type="dxa"/>
            <w:vAlign w:val="top"/>
          </w:tcPr>
          <w:p>
            <w:pPr>
              <w:spacing w:before="100" w:line="182" w:lineRule="auto"/>
              <w:jc w:val="center"/>
              <w:rPr>
                <w:rFonts w:ascii="宋体" w:hAnsi="宋体" w:eastAsia="宋体" w:cs="宋体"/>
                <w:kern w:val="2"/>
                <w:sz w:val="21"/>
                <w:szCs w:val="21"/>
                <w:lang w:val="en-US" w:eastAsia="zh-CN" w:bidi="ar-SA"/>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682" w:type="dxa"/>
            <w:vAlign w:val="top"/>
          </w:tcPr>
          <w:p>
            <w:pPr>
              <w:spacing w:before="98" w:line="185" w:lineRule="auto"/>
              <w:jc w:val="center"/>
              <w:rPr>
                <w:rFonts w:ascii="宋体" w:hAnsi="宋体" w:eastAsia="宋体" w:cs="宋体"/>
                <w:kern w:val="2"/>
                <w:sz w:val="21"/>
                <w:szCs w:val="21"/>
                <w:lang w:val="en-US" w:eastAsia="zh-CN" w:bidi="ar-SA"/>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921" w:type="dxa"/>
            <w:tcBorders>
              <w:right w:val="single" w:color="000000" w:sz="4" w:space="0"/>
            </w:tcBorders>
            <w:vAlign w:val="top"/>
          </w:tcPr>
          <w:p>
            <w:pPr>
              <w:spacing w:before="98" w:line="185" w:lineRule="auto"/>
              <w:jc w:val="center"/>
              <w:rPr>
                <w:rFonts w:ascii="宋体" w:hAnsi="宋体" w:eastAsia="宋体" w:cs="宋体"/>
                <w:kern w:val="2"/>
                <w:sz w:val="21"/>
                <w:szCs w:val="21"/>
                <w:lang w:val="en-US" w:eastAsia="zh-CN" w:bidi="ar-SA"/>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7</w:t>
            </w:r>
          </w:p>
        </w:tc>
        <w:tc>
          <w:tcPr>
            <w:tcW w:w="2385" w:type="dxa"/>
            <w:tcBorders>
              <w:left w:val="single" w:color="000000" w:sz="4" w:space="0"/>
            </w:tcBorders>
            <w:vAlign w:val="top"/>
          </w:tcPr>
          <w:p>
            <w:pPr>
              <w:spacing w:before="100" w:line="182" w:lineRule="auto"/>
              <w:jc w:val="center"/>
              <w:rPr>
                <w:rFonts w:ascii="宋体" w:hAnsi="宋体" w:eastAsia="宋体" w:cs="宋体"/>
                <w:kern w:val="2"/>
                <w:sz w:val="21"/>
                <w:szCs w:val="21"/>
                <w:lang w:val="en-US" w:eastAsia="zh-CN" w:bidi="ar-SA"/>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8</w:t>
            </w:r>
          </w:p>
        </w:tc>
        <w:tc>
          <w:tcPr>
            <w:tcW w:w="1717" w:type="dxa"/>
            <w:vAlign w:val="top"/>
          </w:tcPr>
          <w:p>
            <w:pPr>
              <w:spacing w:before="99" w:line="183" w:lineRule="auto"/>
              <w:ind w:firstLine="422" w:firstLineChars="200"/>
              <w:rPr>
                <w:rFonts w:ascii="宋体" w:hAnsi="宋体" w:eastAsia="宋体" w:cs="宋体"/>
                <w:kern w:val="2"/>
                <w:sz w:val="21"/>
                <w:szCs w:val="21"/>
                <w:lang w:val="en-US" w:eastAsia="zh-CN" w:bidi="ar-SA"/>
              </w:rPr>
            </w:pPr>
            <w:r>
              <w:rPr>
                <w:rFonts w:hint="eastAsia" w:ascii="宋体" w:hAnsi="宋体" w:eastAsia="宋体" w:cs="宋体"/>
                <w:b/>
                <w:bCs/>
                <w:szCs w:val="21"/>
                <w:lang w:val="en-US" w:eastAsia="zh-CN"/>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238" w:type="dxa"/>
            <w:gridSpan w:val="2"/>
            <w:vAlign w:val="center"/>
          </w:tcPr>
          <w:p>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239" w:type="dxa"/>
            <w:vAlign w:val="center"/>
          </w:tcPr>
          <w:p>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120" w:type="dxa"/>
            <w:vAlign w:val="center"/>
          </w:tcPr>
          <w:p>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单位</w:t>
            </w:r>
          </w:p>
        </w:tc>
        <w:tc>
          <w:tcPr>
            <w:tcW w:w="1120" w:type="dxa"/>
            <w:vAlign w:val="center"/>
          </w:tcPr>
          <w:p>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682" w:type="dxa"/>
            <w:vAlign w:val="center"/>
          </w:tcPr>
          <w:p>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1921" w:type="dxa"/>
            <w:tcBorders>
              <w:right w:val="single" w:color="000000" w:sz="4" w:space="0"/>
            </w:tcBorders>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385" w:type="dxa"/>
            <w:tcBorders>
              <w:left w:val="single" w:color="000000" w:sz="4" w:space="0"/>
            </w:tcBorders>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5</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7</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p>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717" w:type="dxa"/>
            <w:vAlign w:val="center"/>
          </w:tcPr>
          <w:p>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109" w:line="186" w:lineRule="auto"/>
              <w:ind w:left="304"/>
              <w:rPr>
                <w:rFonts w:ascii="宋体" w:hAnsi="宋体" w:eastAsia="宋体" w:cs="宋体"/>
                <w:szCs w:val="21"/>
              </w:rPr>
            </w:pPr>
            <w:r>
              <w:rPr>
                <w:rFonts w:ascii="宋体" w:hAnsi="宋体" w:eastAsia="宋体" w:cs="宋体"/>
                <w:szCs w:val="21"/>
              </w:rPr>
              <w:t>1</w:t>
            </w:r>
          </w:p>
        </w:tc>
        <w:tc>
          <w:tcPr>
            <w:tcW w:w="2238" w:type="dxa"/>
            <w:gridSpan w:val="2"/>
            <w:vAlign w:val="center"/>
          </w:tcPr>
          <w:p>
            <w:pPr>
              <w:spacing w:beforeLines="0" w:afterLines="0" w:line="360" w:lineRule="auto"/>
              <w:jc w:val="center"/>
              <w:rPr>
                <w:rFonts w:hint="eastAsia" w:ascii="仿宋" w:hAnsi="仿宋" w:eastAsia="仿宋"/>
                <w:sz w:val="22"/>
                <w:szCs w:val="22"/>
                <w:lang w:val="en-US" w:eastAsia="zh-CN"/>
              </w:rPr>
            </w:pPr>
            <w:r>
              <w:rPr>
                <w:rFonts w:hint="eastAsia" w:ascii="仿宋" w:hAnsi="仿宋" w:eastAsia="仿宋"/>
                <w:sz w:val="22"/>
                <w:szCs w:val="22"/>
                <w:lang w:val="en-US" w:eastAsia="zh-CN"/>
              </w:rPr>
              <w:t>10T单梁欧式行车</w:t>
            </w:r>
          </w:p>
        </w:tc>
        <w:tc>
          <w:tcPr>
            <w:tcW w:w="2239" w:type="dxa"/>
            <w:vAlign w:val="center"/>
          </w:tcPr>
          <w:p>
            <w:pPr>
              <w:spacing w:beforeLines="0" w:afterLines="0" w:line="360" w:lineRule="auto"/>
              <w:jc w:val="center"/>
              <w:rPr>
                <w:rFonts w:hint="eastAsia" w:ascii="仿宋" w:hAnsi="仿宋" w:eastAsia="仿宋"/>
                <w:sz w:val="22"/>
                <w:szCs w:val="22"/>
                <w:lang w:val="en-US" w:eastAsia="zh-CN"/>
              </w:rPr>
            </w:pPr>
            <w:r>
              <w:rPr>
                <w:rFonts w:hint="eastAsia" w:ascii="仿宋" w:hAnsi="仿宋" w:eastAsia="仿宋"/>
                <w:sz w:val="22"/>
                <w:szCs w:val="22"/>
                <w:lang w:val="en-US" w:eastAsia="zh-CN"/>
              </w:rPr>
              <w:t>Gn=10t、So=9.7m、Lo=11m、A5</w:t>
            </w:r>
          </w:p>
        </w:tc>
        <w:tc>
          <w:tcPr>
            <w:tcW w:w="1120" w:type="dxa"/>
            <w:vAlign w:val="center"/>
          </w:tcPr>
          <w:p>
            <w:pPr>
              <w:spacing w:line="240" w:lineRule="auto"/>
              <w:jc w:val="center"/>
              <w:textAlignment w:val="center"/>
              <w:rPr>
                <w:rFonts w:ascii="宋体" w:hAnsi="宋体" w:eastAsia="宋体" w:cs="宋体"/>
                <w:kern w:val="2"/>
                <w:sz w:val="24"/>
                <w:szCs w:val="24"/>
                <w:highlight w:val="yellow"/>
                <w:lang w:val="en-US" w:eastAsia="zh-CN" w:bidi="ar-SA"/>
              </w:rPr>
            </w:pPr>
            <w:r>
              <w:rPr>
                <w:rFonts w:hint="eastAsia" w:ascii="宋体" w:hAnsi="宋体" w:eastAsia="宋体" w:cs="宋体"/>
                <w:sz w:val="24"/>
                <w:szCs w:val="24"/>
                <w:highlight w:val="none"/>
                <w:lang w:val="en-US" w:eastAsia="zh-CN"/>
              </w:rPr>
              <w:t>套</w:t>
            </w:r>
          </w:p>
        </w:tc>
        <w:tc>
          <w:tcPr>
            <w:tcW w:w="1120" w:type="dxa"/>
            <w:vAlign w:val="center"/>
          </w:tcPr>
          <w:p>
            <w:pPr>
              <w:jc w:val="center"/>
              <w:rPr>
                <w:rFonts w:hint="default" w:ascii="宋体" w:hAnsi="宋体" w:eastAsia="宋体" w:cs="宋体"/>
                <w:kern w:val="2"/>
                <w:sz w:val="24"/>
                <w:szCs w:val="24"/>
                <w:highlight w:val="yellow"/>
                <w:lang w:val="en-US" w:eastAsia="zh-CN" w:bidi="ar-SA"/>
              </w:rPr>
            </w:pPr>
            <w:r>
              <w:rPr>
                <w:rFonts w:hint="eastAsia" w:ascii="宋体" w:hAnsi="宋体" w:eastAsia="宋体" w:cs="宋体"/>
                <w:kern w:val="2"/>
                <w:sz w:val="24"/>
                <w:szCs w:val="24"/>
                <w:highlight w:val="none"/>
                <w:lang w:val="en-US" w:eastAsia="zh-CN" w:bidi="ar-SA"/>
              </w:rPr>
              <w:t>1</w:t>
            </w:r>
          </w:p>
        </w:tc>
        <w:tc>
          <w:tcPr>
            <w:tcW w:w="1682" w:type="dxa"/>
          </w:tcPr>
          <w:p>
            <w:pPr>
              <w:rPr>
                <w:rFonts w:ascii="Arial"/>
              </w:rPr>
            </w:pPr>
          </w:p>
        </w:tc>
        <w:tc>
          <w:tcPr>
            <w:tcW w:w="1921" w:type="dxa"/>
            <w:tcBorders>
              <w:right w:val="single" w:color="000000" w:sz="4" w:space="0"/>
            </w:tcBorders>
          </w:tcPr>
          <w:p>
            <w:pPr>
              <w:rPr>
                <w:rFonts w:ascii="Arial"/>
              </w:rPr>
            </w:pPr>
          </w:p>
        </w:tc>
        <w:tc>
          <w:tcPr>
            <w:tcW w:w="2385" w:type="dxa"/>
            <w:tcBorders>
              <w:left w:val="single" w:color="000000" w:sz="4" w:space="0"/>
            </w:tcBorders>
          </w:tcPr>
          <w:p>
            <w:pPr>
              <w:rPr>
                <w:rFonts w:ascii="Arial"/>
              </w:rPr>
            </w:pPr>
          </w:p>
        </w:tc>
        <w:tc>
          <w:tcPr>
            <w:tcW w:w="1717" w:type="dxa"/>
          </w:tcPr>
          <w:p>
            <w:pPr>
              <w:spacing w:beforeLines="0" w:afterLines="0" w:line="360" w:lineRule="auto"/>
              <w:jc w:val="center"/>
              <w:rPr>
                <w:rFonts w:hint="eastAsia" w:ascii="仿宋" w:hAnsi="仿宋" w:eastAsia="仿宋"/>
                <w:sz w:val="22"/>
                <w:szCs w:val="22"/>
                <w:lang w:val="en-US" w:eastAsia="zh-CN"/>
              </w:rPr>
            </w:pPr>
            <w:r>
              <w:rPr>
                <w:rFonts w:hint="eastAsia" w:ascii="仿宋" w:hAnsi="仿宋" w:eastAsia="仿宋"/>
                <w:sz w:val="22"/>
                <w:szCs w:val="22"/>
                <w:lang w:val="en-US" w:eastAsia="zh-CN"/>
              </w:rPr>
              <w:t>含滑线11m，轨道9.4m，配套土建基础、行车框架、钢结构框架改造等</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79" w:line="284" w:lineRule="exact"/>
              <w:ind w:left="249"/>
              <w:rPr>
                <w:rFonts w:ascii="宋体" w:hAnsi="宋体" w:eastAsia="宋体" w:cs="宋体"/>
                <w:szCs w:val="21"/>
              </w:rPr>
            </w:pPr>
            <w:r>
              <w:rPr>
                <w:rFonts w:ascii="宋体" w:hAnsi="宋体" w:eastAsia="宋体" w:cs="宋体"/>
                <w:position w:val="1"/>
                <w:szCs w:val="21"/>
              </w:rPr>
              <w:t>…</w:t>
            </w:r>
          </w:p>
        </w:tc>
        <w:tc>
          <w:tcPr>
            <w:tcW w:w="2238" w:type="dxa"/>
            <w:gridSpan w:val="2"/>
          </w:tcPr>
          <w:p>
            <w:pPr>
              <w:rPr>
                <w:rFonts w:ascii="Arial"/>
              </w:rPr>
            </w:pPr>
            <w:r>
              <w:rPr>
                <w:rFonts w:hint="eastAsia" w:ascii="宋体" w:hAnsi="宋体" w:eastAsia="宋体" w:cs="宋体"/>
              </w:rPr>
              <w:t>以上投标设备不足之处请往下添加序号自行补充</w:t>
            </w:r>
          </w:p>
        </w:tc>
        <w:tc>
          <w:tcPr>
            <w:tcW w:w="2239" w:type="dxa"/>
          </w:tcPr>
          <w:p>
            <w:pPr>
              <w:rPr>
                <w:rFonts w:ascii="Arial"/>
              </w:rPr>
            </w:pPr>
          </w:p>
        </w:tc>
        <w:tc>
          <w:tcPr>
            <w:tcW w:w="1120" w:type="dxa"/>
          </w:tcPr>
          <w:p>
            <w:pPr>
              <w:rPr>
                <w:rFonts w:ascii="Arial"/>
              </w:rPr>
            </w:pPr>
          </w:p>
        </w:tc>
        <w:tc>
          <w:tcPr>
            <w:tcW w:w="1120" w:type="dxa"/>
          </w:tcPr>
          <w:p>
            <w:pPr>
              <w:rPr>
                <w:rFonts w:ascii="Arial"/>
              </w:rPr>
            </w:pPr>
          </w:p>
        </w:tc>
        <w:tc>
          <w:tcPr>
            <w:tcW w:w="1682" w:type="dxa"/>
          </w:tcPr>
          <w:p>
            <w:pPr>
              <w:rPr>
                <w:rFonts w:ascii="Arial"/>
              </w:rPr>
            </w:pPr>
          </w:p>
        </w:tc>
        <w:tc>
          <w:tcPr>
            <w:tcW w:w="1921" w:type="dxa"/>
            <w:tcBorders>
              <w:right w:val="single" w:color="000000" w:sz="4" w:space="0"/>
            </w:tcBorders>
          </w:tcPr>
          <w:p>
            <w:pPr>
              <w:rPr>
                <w:rFonts w:ascii="Arial"/>
              </w:rPr>
            </w:pPr>
          </w:p>
        </w:tc>
        <w:tc>
          <w:tcPr>
            <w:tcW w:w="2385" w:type="dxa"/>
            <w:tcBorders>
              <w:left w:val="single" w:color="000000" w:sz="4" w:space="0"/>
            </w:tcBorders>
          </w:tcPr>
          <w:p>
            <w:pPr>
              <w:rPr>
                <w:rFonts w:ascii="Arial"/>
              </w:rPr>
            </w:pPr>
          </w:p>
        </w:tc>
        <w:tc>
          <w:tcPr>
            <w:tcW w:w="1717"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1120" w:type="dxa"/>
            <w:gridSpan w:val="2"/>
            <w:tcBorders>
              <w:right w:val="single" w:color="000000" w:sz="4" w:space="0"/>
            </w:tcBorders>
          </w:tcPr>
          <w:p>
            <w:pPr>
              <w:jc w:val="center"/>
              <w:rPr>
                <w:rFonts w:ascii="宋体" w:hAnsi="宋体" w:eastAsia="宋体" w:cs="宋体"/>
                <w:spacing w:val="-6"/>
                <w:szCs w:val="21"/>
              </w:rPr>
            </w:pPr>
          </w:p>
        </w:tc>
        <w:tc>
          <w:tcPr>
            <w:tcW w:w="9872" w:type="dxa"/>
            <w:gridSpan w:val="6"/>
            <w:tcBorders>
              <w:right w:val="single" w:color="000000" w:sz="4" w:space="0"/>
            </w:tcBorders>
          </w:tcPr>
          <w:p>
            <w:pPr>
              <w:jc w:val="center"/>
              <w:rPr>
                <w:rFonts w:ascii="Arial"/>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2385" w:type="dxa"/>
            <w:tcBorders>
              <w:left w:val="single" w:color="000000" w:sz="4" w:space="0"/>
            </w:tcBorders>
          </w:tcPr>
          <w:p>
            <w:pPr>
              <w:rPr>
                <w:rFonts w:ascii="Arial"/>
              </w:rPr>
            </w:pPr>
          </w:p>
        </w:tc>
        <w:tc>
          <w:tcPr>
            <w:tcW w:w="1717" w:type="dxa"/>
          </w:tcPr>
          <w:p>
            <w:pPr>
              <w:rPr>
                <w:rFonts w:ascii="Arial"/>
              </w:rPr>
            </w:pPr>
          </w:p>
        </w:tc>
      </w:tr>
    </w:tbl>
    <w:p>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line="105" w:lineRule="exact"/>
      </w:pPr>
    </w:p>
    <w:p>
      <w:pPr>
        <w:sectPr>
          <w:footerReference r:id="rId31" w:type="default"/>
          <w:pgSz w:w="16841" w:h="11907" w:orient="landscape"/>
          <w:pgMar w:top="400" w:right="1387" w:bottom="1168" w:left="1473" w:header="0" w:footer="990" w:gutter="0"/>
          <w:cols w:equalWidth="0" w:num="1">
            <w:col w:w="13980"/>
          </w:cols>
        </w:sectPr>
      </w:pPr>
    </w:p>
    <w:p>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6"/>
        <w:jc w:val="left"/>
        <w:rPr>
          <w:rFonts w:hint="eastAsia" w:ascii="宋体" w:hAnsi="宋体" w:eastAsia="宋体" w:cs="宋体"/>
          <w:spacing w:val="-10"/>
          <w:sz w:val="24"/>
          <w:szCs w:val="24"/>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2</w:t>
      </w:r>
    </w:p>
    <w:p>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pPr>
    </w:p>
    <w:tbl>
      <w:tblPr>
        <w:tblStyle w:val="131"/>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ascii="Arial"/>
              </w:rPr>
            </w:pPr>
          </w:p>
          <w:p>
            <w:pPr>
              <w:spacing w:before="68" w:line="222" w:lineRule="auto"/>
              <w:ind w:left="194"/>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ascii="Arial"/>
              </w:rPr>
            </w:pPr>
          </w:p>
          <w:p>
            <w:pPr>
              <w:spacing w:before="68" w:line="221" w:lineRule="auto"/>
              <w:ind w:left="147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2596" w:type="dxa"/>
          </w:tcPr>
          <w:p>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2164" w:type="dxa"/>
          </w:tcPr>
          <w:p>
            <w:pPr>
              <w:spacing w:before="130" w:line="222" w:lineRule="auto"/>
              <w:ind w:left="77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ascii="Arial"/>
              </w:rPr>
            </w:pPr>
          </w:p>
        </w:tc>
        <w:tc>
          <w:tcPr>
            <w:tcW w:w="3530" w:type="dxa"/>
            <w:vMerge w:val="continue"/>
            <w:tcBorders>
              <w:top w:val="nil"/>
            </w:tcBorders>
          </w:tcPr>
          <w:p>
            <w:pPr>
              <w:rPr>
                <w:rFonts w:ascii="Arial"/>
              </w:rPr>
            </w:pPr>
          </w:p>
        </w:tc>
        <w:tc>
          <w:tcPr>
            <w:tcW w:w="2159" w:type="dxa"/>
          </w:tcPr>
          <w:p>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hint="eastAsia" w:ascii="宋体" w:hAnsi="宋体" w:eastAsia="宋体" w:cs="宋体"/>
                <w:szCs w:val="21"/>
                <w:lang w:eastAsia="zh-CN"/>
              </w:rPr>
            </w:pPr>
            <w:r>
              <w:rPr>
                <w:rFonts w:hint="eastAsia" w:ascii="宋体" w:hAnsi="宋体" w:eastAsia="宋体" w:cs="宋体"/>
                <w:szCs w:val="21"/>
                <w:lang w:val="en-US" w:eastAsia="zh-CN"/>
              </w:rPr>
              <w:t>1</w:t>
            </w:r>
          </w:p>
        </w:tc>
        <w:tc>
          <w:tcPr>
            <w:tcW w:w="3530" w:type="dxa"/>
          </w:tcPr>
          <w:p>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2</w:t>
            </w:r>
          </w:p>
        </w:tc>
        <w:tc>
          <w:tcPr>
            <w:tcW w:w="3530" w:type="dxa"/>
          </w:tcPr>
          <w:p>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vMerge w:val="restart"/>
            <w:tcBorders>
              <w:bottom w:val="nil"/>
            </w:tcBorders>
          </w:tcPr>
          <w:p>
            <w:pPr>
              <w:spacing w:line="295" w:lineRule="auto"/>
              <w:rPr>
                <w:rFonts w:ascii="Arial"/>
              </w:rPr>
            </w:pPr>
          </w:p>
          <w:p>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hint="eastAsia" w:ascii="宋体" w:hAnsi="宋体" w:eastAsia="宋体" w:cs="宋体"/>
                <w:szCs w:val="21"/>
                <w:lang w:eastAsia="zh-CN"/>
              </w:rPr>
            </w:pPr>
            <w:r>
              <w:rPr>
                <w:rFonts w:hint="eastAsia" w:ascii="宋体" w:hAnsi="宋体" w:eastAsia="宋体" w:cs="宋体"/>
                <w:szCs w:val="21"/>
                <w:lang w:val="en-US" w:eastAsia="zh-CN"/>
              </w:rPr>
              <w:t>3</w:t>
            </w:r>
          </w:p>
        </w:tc>
        <w:tc>
          <w:tcPr>
            <w:tcW w:w="3530" w:type="dxa"/>
          </w:tcPr>
          <w:p>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vMerge w:val="continue"/>
            <w:tcBorders>
              <w:top w:val="nil"/>
            </w:tcBorders>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4</w:t>
            </w:r>
          </w:p>
        </w:tc>
        <w:tc>
          <w:tcPr>
            <w:tcW w:w="3530" w:type="dxa"/>
          </w:tcPr>
          <w:p>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hint="eastAsia" w:ascii="宋体" w:hAnsi="宋体" w:eastAsia="宋体" w:cs="宋体"/>
                <w:szCs w:val="21"/>
                <w:lang w:eastAsia="zh-CN"/>
              </w:rPr>
            </w:pPr>
            <w:r>
              <w:rPr>
                <w:rFonts w:hint="eastAsia" w:ascii="宋体" w:hAnsi="宋体" w:eastAsia="宋体" w:cs="宋体"/>
                <w:szCs w:val="21"/>
                <w:lang w:val="en-US" w:eastAsia="zh-CN"/>
              </w:rPr>
              <w:t>5</w:t>
            </w:r>
          </w:p>
        </w:tc>
        <w:tc>
          <w:tcPr>
            <w:tcW w:w="3530" w:type="dxa"/>
          </w:tcPr>
          <w:p>
            <w:pPr>
              <w:spacing w:before="211" w:line="221" w:lineRule="auto"/>
              <w:ind w:left="1557"/>
              <w:rPr>
                <w:rFonts w:ascii="宋体" w:hAnsi="宋体" w:eastAsia="宋体" w:cs="宋体"/>
                <w:szCs w:val="21"/>
              </w:rPr>
            </w:pPr>
            <w:r>
              <w:rPr>
                <w:rFonts w:ascii="宋体" w:hAnsi="宋体" w:eastAsia="宋体" w:cs="宋体"/>
                <w:spacing w:val="-2"/>
                <w:szCs w:val="21"/>
              </w:rPr>
              <w:t>其他</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sz w:val="24"/>
          <w:szCs w:val="24"/>
        </w:rPr>
        <w:sectPr>
          <w:footerReference r:id="rId32" w:type="default"/>
          <w:pgSz w:w="16841" w:h="11907"/>
          <w:pgMar w:top="400" w:right="1699" w:bottom="1184" w:left="1481" w:header="0" w:footer="1022" w:gutter="0"/>
          <w:cols w:space="720" w:num="1"/>
        </w:sectPr>
      </w:pPr>
    </w:p>
    <w:p>
      <w:pPr>
        <w:pStyle w:val="6"/>
        <w:jc w:val="left"/>
        <w:rPr>
          <w:rFonts w:hint="eastAsia" w:ascii="宋体" w:hAnsi="宋体" w:eastAsia="宋体" w:cs="宋体"/>
          <w:spacing w:val="-10"/>
          <w:sz w:val="24"/>
          <w:szCs w:val="24"/>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3</w:t>
      </w:r>
    </w:p>
    <w:p>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
      <w:pPr>
        <w:spacing w:line="20" w:lineRule="exact"/>
      </w:pPr>
    </w:p>
    <w:tbl>
      <w:tblPr>
        <w:tblStyle w:val="131"/>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1138" w:type="dxa"/>
            <w:vAlign w:val="center"/>
          </w:tcPr>
          <w:p>
            <w:pPr>
              <w:spacing w:before="0" w:line="221" w:lineRule="auto"/>
              <w:jc w:val="center"/>
              <w:rPr>
                <w:rFonts w:hint="default"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1138" w:type="dxa"/>
            <w:vAlign w:val="center"/>
          </w:tcPr>
          <w:p>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数量</w:t>
            </w:r>
          </w:p>
        </w:tc>
        <w:tc>
          <w:tcPr>
            <w:tcW w:w="2449" w:type="dxa"/>
            <w:vAlign w:val="center"/>
          </w:tcPr>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3328" w:type="dxa"/>
            <w:vAlign w:val="center"/>
          </w:tcPr>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0" w:line="186" w:lineRule="auto"/>
              <w:jc w:val="center"/>
              <w:rPr>
                <w:rFonts w:ascii="宋体" w:hAnsi="宋体" w:eastAsia="宋体" w:cs="宋体"/>
                <w:szCs w:val="21"/>
              </w:rPr>
            </w:pPr>
            <w:r>
              <w:rPr>
                <w:rFonts w:ascii="宋体" w:hAnsi="宋体" w:eastAsia="宋体" w:cs="宋体"/>
                <w:szCs w:val="21"/>
              </w:rPr>
              <w:t>1</w:t>
            </w:r>
          </w:p>
        </w:tc>
        <w:tc>
          <w:tcPr>
            <w:tcW w:w="3625" w:type="dxa"/>
            <w:vAlign w:val="top"/>
          </w:tcPr>
          <w:p>
            <w:pPr>
              <w:spacing w:before="266" w:line="221" w:lineRule="auto"/>
              <w:jc w:val="center"/>
              <w:rPr>
                <w:rFonts w:ascii="宋体" w:hAnsi="宋体" w:eastAsia="宋体" w:cs="宋体"/>
                <w:szCs w:val="21"/>
              </w:rPr>
            </w:pPr>
            <w:r>
              <w:rPr>
                <w:rFonts w:hint="eastAsia" w:ascii="宋体" w:hAnsi="宋体" w:eastAsia="宋体" w:cs="宋体"/>
                <w:spacing w:val="-1"/>
                <w:szCs w:val="21"/>
                <w:highlight w:val="yellow"/>
                <w:lang w:val="en-US" w:eastAsia="zh-CN"/>
              </w:rPr>
              <w:t>现场安装调试费</w:t>
            </w:r>
          </w:p>
        </w:tc>
        <w:tc>
          <w:tcPr>
            <w:tcW w:w="1126" w:type="dxa"/>
            <w:vAlign w:val="top"/>
          </w:tcPr>
          <w:p>
            <w:pPr>
              <w:spacing w:before="266" w:line="221" w:lineRule="auto"/>
              <w:jc w:val="center"/>
              <w:rPr>
                <w:rFonts w:hint="eastAsia" w:ascii="宋体" w:hAnsi="宋体" w:eastAsia="宋体" w:cs="宋体"/>
                <w:spacing w:val="-2"/>
                <w:szCs w:val="21"/>
                <w:lang w:val="en-US" w:eastAsia="zh-CN"/>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2" w:line="185" w:lineRule="auto"/>
              <w:jc w:val="center"/>
              <w:rPr>
                <w:rFonts w:ascii="宋体" w:hAnsi="宋体" w:eastAsia="宋体" w:cs="宋体"/>
                <w:szCs w:val="21"/>
              </w:rPr>
            </w:pPr>
            <w:r>
              <w:rPr>
                <w:rFonts w:ascii="宋体" w:hAnsi="宋体" w:eastAsia="宋体" w:cs="宋体"/>
                <w:szCs w:val="21"/>
              </w:rPr>
              <w:t>2</w:t>
            </w:r>
          </w:p>
        </w:tc>
        <w:tc>
          <w:tcPr>
            <w:tcW w:w="3625" w:type="dxa"/>
            <w:vAlign w:val="top"/>
          </w:tcPr>
          <w:p>
            <w:pPr>
              <w:spacing w:before="266" w:line="221" w:lineRule="auto"/>
              <w:jc w:val="center"/>
              <w:rPr>
                <w:rFonts w:ascii="宋体" w:hAnsi="宋体" w:eastAsia="宋体" w:cs="宋体"/>
                <w:szCs w:val="21"/>
              </w:rPr>
            </w:pPr>
            <w:r>
              <w:rPr>
                <w:rFonts w:hint="eastAsia" w:ascii="宋体" w:hAnsi="宋体" w:eastAsia="宋体" w:cs="宋体"/>
                <w:szCs w:val="21"/>
                <w:highlight w:val="yellow"/>
                <w:lang w:val="en-US" w:eastAsia="zh-CN"/>
              </w:rPr>
              <w:t>技术培训费</w:t>
            </w:r>
          </w:p>
        </w:tc>
        <w:tc>
          <w:tcPr>
            <w:tcW w:w="1126" w:type="dxa"/>
            <w:vAlign w:val="top"/>
          </w:tcPr>
          <w:p>
            <w:pPr>
              <w:spacing w:before="266" w:line="221" w:lineRule="auto"/>
              <w:jc w:val="center"/>
              <w:rPr>
                <w:rFonts w:ascii="宋体" w:hAnsi="宋体" w:eastAsia="宋体" w:cs="宋体"/>
                <w:spacing w:val="-2"/>
                <w:szCs w:val="21"/>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6" w:line="182" w:lineRule="auto"/>
              <w:jc w:val="center"/>
              <w:rPr>
                <w:rFonts w:hint="eastAsia" w:ascii="宋体" w:hAnsi="宋体" w:eastAsia="宋体" w:cs="宋体"/>
                <w:szCs w:val="21"/>
                <w:lang w:eastAsia="zh-CN"/>
              </w:rPr>
            </w:pPr>
            <w:r>
              <w:rPr>
                <w:rFonts w:hint="eastAsia" w:ascii="宋体" w:hAnsi="宋体" w:eastAsia="宋体" w:cs="宋体"/>
                <w:szCs w:val="21"/>
                <w:lang w:val="en-US" w:eastAsia="zh-CN"/>
              </w:rPr>
              <w:t>3</w:t>
            </w:r>
          </w:p>
        </w:tc>
        <w:tc>
          <w:tcPr>
            <w:tcW w:w="3625" w:type="dxa"/>
            <w:vAlign w:val="center"/>
          </w:tcPr>
          <w:p>
            <w:pPr>
              <w:spacing w:before="268" w:line="221" w:lineRule="auto"/>
              <w:jc w:val="center"/>
              <w:rPr>
                <w:rFonts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
      <w:pPr>
        <w:pStyle w:val="18"/>
      </w:pPr>
    </w:p>
    <w:p>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ascii="宋体" w:hAnsi="宋体" w:eastAsia="宋体" w:cs="宋体"/>
          <w:spacing w:val="-1"/>
          <w:sz w:val="24"/>
          <w:szCs w:val="24"/>
        </w:rPr>
        <w:sectPr>
          <w:footerReference r:id="rId33" w:type="default"/>
          <w:pgSz w:w="16841" w:h="11907"/>
          <w:pgMar w:top="400" w:right="1699" w:bottom="1184" w:left="1481" w:header="0" w:footer="1022" w:gutter="0"/>
          <w:cols w:space="720" w:num="1"/>
        </w:sectPr>
      </w:pPr>
    </w:p>
    <w:p>
      <w:pPr>
        <w:pStyle w:val="6"/>
        <w:jc w:val="left"/>
        <w:rPr>
          <w:rFonts w:hint="eastAsia" w:ascii="宋体" w:hAnsi="宋体" w:eastAsia="宋体" w:cs="宋体"/>
          <w:sz w:val="24"/>
          <w:szCs w:val="24"/>
          <w:lang w:eastAsia="zh-CN"/>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pPr>
    </w:p>
    <w:tbl>
      <w:tblPr>
        <w:tblStyle w:val="131"/>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pPr>
              <w:spacing w:before="100" w:line="186" w:lineRule="auto"/>
              <w:ind w:left="223"/>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pPr>
              <w:spacing w:before="101" w:line="185" w:lineRule="auto"/>
              <w:ind w:left="122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pPr>
              <w:spacing w:before="102" w:line="183" w:lineRule="auto"/>
              <w:ind w:left="100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pPr>
              <w:spacing w:before="101" w:line="185" w:lineRule="auto"/>
              <w:ind w:left="3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pPr>
              <w:spacing w:before="103" w:line="182"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pPr>
              <w:spacing w:before="102" w:line="183" w:lineRule="auto"/>
              <w:ind w:left="58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pPr>
              <w:spacing w:before="103" w:line="182" w:lineRule="auto"/>
              <w:ind w:left="101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pPr>
              <w:spacing w:before="102" w:line="183" w:lineRule="auto"/>
              <w:ind w:left="5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pPr>
              <w:spacing w:before="102" w:line="183" w:lineRule="auto"/>
              <w:ind w:left="51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原产地和</w:t>
            </w:r>
          </w:p>
          <w:p>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更换</w:t>
            </w:r>
          </w:p>
          <w:p>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spacing w:before="237" w:line="186" w:lineRule="auto"/>
              <w:ind w:left="223"/>
              <w:rPr>
                <w:rFonts w:ascii="宋体" w:hAnsi="宋体" w:eastAsia="宋体" w:cs="宋体"/>
                <w:szCs w:val="21"/>
              </w:rPr>
            </w:pPr>
            <w:r>
              <w:rPr>
                <w:rFonts w:ascii="宋体" w:hAnsi="宋体" w:eastAsia="宋体" w:cs="宋体"/>
                <w:szCs w:val="21"/>
              </w:rPr>
              <w:t>1</w:t>
            </w: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pPr>
              <w:spacing w:before="239" w:line="185" w:lineRule="auto"/>
              <w:ind w:left="210"/>
              <w:rPr>
                <w:rFonts w:ascii="宋体" w:hAnsi="宋体" w:eastAsia="宋体" w:cs="宋体"/>
                <w:szCs w:val="21"/>
              </w:rPr>
            </w:pPr>
            <w:r>
              <w:rPr>
                <w:rFonts w:ascii="宋体" w:hAnsi="宋体" w:eastAsia="宋体" w:cs="宋体"/>
                <w:szCs w:val="21"/>
              </w:rPr>
              <w:t>2</w:t>
            </w: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pPr>
              <w:rPr>
                <w:rFonts w:ascii="Arial"/>
              </w:rPr>
            </w:pP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ascii="Arial"/>
              </w:rPr>
            </w:pP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ascii="Arial"/>
              </w:rPr>
            </w:pP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pPr>
              <w:spacing w:before="207"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ascii="宋体" w:hAnsi="宋体" w:eastAsia="宋体" w:cs="宋体"/>
          <w:spacing w:val="-2"/>
          <w:sz w:val="24"/>
          <w:szCs w:val="24"/>
        </w:rPr>
        <w:sectPr>
          <w:footerReference r:id="rId34" w:type="default"/>
          <w:pgSz w:w="16841" w:h="11907"/>
          <w:pgMar w:top="400" w:right="1500" w:bottom="1184" w:left="1480" w:header="0" w:footer="1022" w:gutter="0"/>
          <w:cols w:space="720" w:num="1"/>
        </w:sectPr>
      </w:pPr>
    </w:p>
    <w:p>
      <w:pPr>
        <w:pStyle w:val="6"/>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-5</w:t>
      </w:r>
    </w:p>
    <w:p>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pPr>
    </w:p>
    <w:tbl>
      <w:tblPr>
        <w:tblStyle w:val="131"/>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3"/>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含税）</w:t>
            </w:r>
          </w:p>
        </w:tc>
        <w:tc>
          <w:tcPr>
            <w:tcW w:w="3362" w:type="dxa"/>
          </w:tcPr>
          <w:p>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lang w:val="en-US" w:eastAsia="zh-CN"/>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ascii="Arial"/>
              </w:rPr>
            </w:pPr>
          </w:p>
          <w:p>
            <w:pPr>
              <w:spacing w:before="68" w:line="183" w:lineRule="auto"/>
              <w:ind w:left="497"/>
              <w:rPr>
                <w:rFonts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default"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 w:val="21"/>
                <w:szCs w:val="21"/>
                <w:lang w:eastAsia="zh-CN"/>
              </w:rPr>
              <w:t>（</w:t>
            </w:r>
            <w:r>
              <w:rPr>
                <w:rFonts w:hint="eastAsia" w:ascii="宋体" w:hAnsi="宋体" w:eastAsia="宋体" w:cs="宋体"/>
                <w:b/>
                <w:bCs/>
                <w:spacing w:val="-3"/>
                <w:sz w:val="21"/>
                <w:szCs w:val="21"/>
                <w:lang w:val="en-US" w:eastAsia="zh-CN"/>
              </w:rPr>
              <w:t>不含税</w:t>
            </w:r>
            <w:r>
              <w:rPr>
                <w:rFonts w:hint="eastAsia" w:ascii="宋体" w:hAnsi="宋体" w:eastAsia="宋体" w:cs="宋体"/>
                <w:b/>
                <w:bCs/>
                <w:spacing w:val="-3"/>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vAlign w:val="top"/>
          </w:tcPr>
          <w:p>
            <w:pPr>
              <w:spacing w:before="266" w:line="221" w:lineRule="auto"/>
              <w:jc w:val="center"/>
              <w:rPr>
                <w:rFonts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vAlign w:val="top"/>
          </w:tcPr>
          <w:p>
            <w:pPr>
              <w:spacing w:before="266" w:line="221" w:lineRule="auto"/>
              <w:jc w:val="left"/>
              <w:rPr>
                <w:rFonts w:hint="default"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 w:val="21"/>
                <w:szCs w:val="21"/>
                <w:lang w:eastAsia="zh-CN"/>
              </w:rPr>
              <w:t>（</w:t>
            </w:r>
            <w:r>
              <w:rPr>
                <w:rFonts w:hint="eastAsia" w:ascii="宋体" w:hAnsi="宋体" w:eastAsia="宋体" w:cs="宋体"/>
                <w:b/>
                <w:bCs/>
                <w:spacing w:val="-3"/>
                <w:sz w:val="21"/>
                <w:szCs w:val="21"/>
                <w:lang w:val="en-US" w:eastAsia="zh-CN"/>
              </w:rPr>
              <w:t>含税</w:t>
            </w:r>
            <w:r>
              <w:rPr>
                <w:rFonts w:hint="eastAsia" w:ascii="宋体" w:hAnsi="宋体" w:eastAsia="宋体" w:cs="宋体"/>
                <w:b/>
                <w:bCs/>
                <w:spacing w:val="-3"/>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vAlign w:val="top"/>
          </w:tcPr>
          <w:p>
            <w:pPr>
              <w:spacing w:before="266" w:line="221" w:lineRule="auto"/>
              <w:ind w:firstLine="416" w:firstLineChars="200"/>
              <w:jc w:val="left"/>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税率：</w:t>
            </w:r>
            <w:r>
              <w:rPr>
                <w:rFonts w:hint="eastAsia" w:ascii="宋体" w:hAnsi="宋体" w:eastAsia="宋体" w:cs="宋体"/>
                <w:spacing w:val="-1"/>
                <w:szCs w:val="21"/>
                <w:u w:val="single"/>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p>
        </w:tc>
      </w:tr>
    </w:tbl>
    <w:p>
      <w:pPr>
        <w:spacing w:line="291" w:lineRule="auto"/>
        <w:rPr>
          <w:rFonts w:ascii="Arial"/>
        </w:rPr>
      </w:pPr>
    </w:p>
    <w:p>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18"/>
      </w:pPr>
    </w:p>
    <w:p>
      <w:pPr>
        <w:pStyle w:val="18"/>
      </w:pPr>
    </w:p>
    <w:p>
      <w:pPr>
        <w:spacing w:before="140" w:line="220" w:lineRule="auto"/>
        <w:ind w:left="2" w:firstLine="464" w:firstLineChars="200"/>
        <w:rPr>
          <w:rFonts w:ascii="宋体" w:hAnsi="宋体" w:eastAsia="宋体" w:cs="宋体"/>
          <w:spacing w:val="-2"/>
          <w:szCs w:val="21"/>
        </w:rPr>
        <w:sectPr>
          <w:footerReference r:id="rId35"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ascii="Calibri" w:hAnsi="Calibri" w:eastAsia="宋体" w:cs="Times New Roman"/>
          <w:szCs w:val="20"/>
        </w:rPr>
      </w:pPr>
    </w:p>
    <w:tbl>
      <w:tblPr>
        <w:tblStyle w:val="39"/>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sz w:val="24"/>
                <w:szCs w:val="24"/>
                <w:highlight w:val="none"/>
                <w:u w:val="single"/>
                <w:lang w:val="en-US" w:eastAsia="zh-CN"/>
              </w:rPr>
              <w:t>济南卡车制造公司莱芜厂区新增后背电池行车技改项目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ascii="Arial"/>
        </w:rPr>
      </w:pPr>
    </w:p>
    <w:p>
      <w:pPr>
        <w:spacing w:before="75"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szCs w:val="24"/>
          <w:highlight w:val="none"/>
          <w:u w:val="single"/>
          <w:lang w:val="en-US" w:eastAsia="zh-CN"/>
        </w:rPr>
        <w:t>济南卡车制造公司莱芜厂区新增后背电池行车技改项目</w:t>
      </w:r>
    </w:p>
    <w:p>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
      <w:pPr>
        <w:spacing w:line="109" w:lineRule="exact"/>
      </w:pPr>
    </w:p>
    <w:tbl>
      <w:tblPr>
        <w:tblStyle w:val="131"/>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ascii="宋体" w:hAnsi="宋体" w:eastAsia="宋体" w:cs="宋体"/>
          <w:spacing w:val="-2"/>
          <w:sz w:val="24"/>
          <w:szCs w:val="24"/>
        </w:rPr>
      </w:pPr>
    </w:p>
    <w:p>
      <w:pPr>
        <w:spacing w:before="75" w:line="227" w:lineRule="auto"/>
        <w:ind w:left="135"/>
        <w:rPr>
          <w:rFonts w:ascii="宋体" w:hAnsi="宋体" w:eastAsia="宋体" w:cs="宋体"/>
          <w:spacing w:val="-2"/>
          <w:sz w:val="24"/>
          <w:szCs w:val="24"/>
        </w:rPr>
      </w:pPr>
    </w:p>
    <w:p>
      <w:pPr>
        <w:spacing w:before="75" w:line="227" w:lineRule="auto"/>
        <w:ind w:left="135"/>
        <w:rPr>
          <w:rFonts w:eastAsia="宋体"/>
          <w:sz w:val="24"/>
          <w:szCs w:val="24"/>
        </w:rPr>
        <w:sectPr>
          <w:footerReference r:id="rId36"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highlight w:val="none"/>
          <w:u w:val="single"/>
          <w:lang w:val="en-US" w:eastAsia="zh-CN"/>
        </w:rPr>
        <w:t>济南卡车制造公司莱芜厂区新增后背电池行车技改项目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lang w:eastAsia="zh-CN"/>
        </w:rPr>
        <w:t>中国重汽集团济南卡车股份有限公司</w:t>
      </w:r>
      <w:r>
        <w:rPr>
          <w:rFonts w:hint="eastAsia" w:ascii="宋体" w:hAnsi="宋体" w:eastAsia="宋体" w:cs="Times New Roman"/>
          <w:b/>
          <w:bCs/>
          <w:sz w:val="24"/>
          <w:szCs w:val="20"/>
        </w:rPr>
        <w:t>：</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名称）对中标合同产品的服务作如下承诺：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18"/>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9"/>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lang w:val="en-US" w:eastAsia="zh-CN"/>
              </w:rPr>
              <w:t>0</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宋体"/>
                <w:sz w:val="24"/>
                <w:szCs w:val="24"/>
                <w:highlight w:val="none"/>
                <w:u w:val="single"/>
                <w:lang w:val="en-US" w:eastAsia="zh-CN"/>
              </w:rPr>
              <w:t>济南卡车制造公司莱芜厂区新增后背电池行车技改项目</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18"/>
      </w:pPr>
    </w:p>
    <w:p>
      <w:pPr>
        <w:jc w:val="right"/>
        <w:rPr>
          <w:rFonts w:asciiTheme="minorEastAsia" w:hAnsiTheme="minorEastAsia" w:cstheme="minorEastAsia"/>
          <w:sz w:val="20"/>
          <w:szCs w:val="20"/>
        </w:rPr>
      </w:pPr>
    </w:p>
    <w:p>
      <w:pPr>
        <w:jc w:val="right"/>
        <w:rPr>
          <w:rFonts w:asciiTheme="minorEastAsia" w:hAnsiTheme="minorEastAsia" w:cstheme="minorEastAsia"/>
          <w:sz w:val="20"/>
          <w:szCs w:val="20"/>
        </w:rPr>
      </w:pPr>
    </w:p>
    <w:p>
      <w:pPr>
        <w:sectPr>
          <w:headerReference r:id="rId38" w:type="first"/>
          <w:footerReference r:id="rId40" w:type="first"/>
          <w:headerReference r:id="rId37" w:type="default"/>
          <w:footerReference r:id="rId39" w:type="default"/>
          <w:pgSz w:w="11906" w:h="16838"/>
          <w:pgMar w:top="1588" w:right="1418" w:bottom="1134" w:left="1418" w:header="851" w:footer="992" w:gutter="0"/>
          <w:cols w:space="720" w:num="1"/>
          <w:titlePg/>
          <w:docGrid w:type="lines" w:linePitch="312" w:charSpace="0"/>
        </w:sectPr>
      </w:pPr>
    </w:p>
    <w:p>
      <w:pPr>
        <w:adjustRightInd/>
        <w:snapToGrid/>
        <w:spacing w:line="240" w:lineRule="auto"/>
        <w:ind w:firstLine="0" w:firstLineChars="0"/>
        <w:outlineLvl w:val="2"/>
        <w:rPr>
          <w:rFonts w:hint="eastAsia"/>
        </w:rPr>
      </w:pPr>
      <w:r>
        <w:rPr>
          <w:rFonts w:hint="eastAsia" w:ascii="Times New Roman" w:hAnsi="Times New Roman" w:eastAsia="宋体" w:cs="Times New Roman"/>
          <w:b/>
          <w:bCs/>
          <w:color w:val="000000"/>
          <w:sz w:val="24"/>
          <w:szCs w:val="24"/>
        </w:rPr>
        <w:t>附件1</w:t>
      </w:r>
      <w:r>
        <w:rPr>
          <w:rFonts w:hint="eastAsia" w:ascii="Times New Roman" w:hAnsi="Times New Roman" w:eastAsia="宋体" w:cs="Times New Roman"/>
          <w:b/>
          <w:bCs/>
          <w:color w:val="000000"/>
          <w:sz w:val="24"/>
          <w:szCs w:val="24"/>
          <w:lang w:val="en-US" w:eastAsia="zh-CN"/>
        </w:rPr>
        <w:t>4技术标</w:t>
      </w:r>
      <w:r>
        <w:rPr>
          <w:rFonts w:hint="eastAsia" w:ascii="Times New Roman" w:hAnsi="Times New Roman" w:eastAsia="宋体" w:cs="Times New Roman"/>
          <w:b/>
          <w:bCs/>
          <w:color w:val="000000"/>
          <w:sz w:val="24"/>
          <w:szCs w:val="24"/>
        </w:rPr>
        <w:t>评分标准</w:t>
      </w:r>
    </w:p>
    <w:p>
      <w:pPr>
        <w:keepNext/>
        <w:keepLines/>
        <w:spacing w:before="156" w:beforeLines="50" w:after="156" w:afterLines="50" w:line="360" w:lineRule="auto"/>
        <w:jc w:val="center"/>
        <w:rPr>
          <w:rFonts w:hint="eastAsia" w:ascii="宋体" w:hAnsi="宋体" w:eastAsia="宋体" w:cs="宋体"/>
          <w:b/>
          <w:bCs/>
          <w:color w:val="000000"/>
          <w:sz w:val="24"/>
          <w:szCs w:val="24"/>
          <w:lang w:val="en-US" w:eastAsia="zh-CN"/>
        </w:rPr>
      </w:pPr>
      <w:r>
        <w:rPr>
          <w:rFonts w:hint="eastAsia" w:ascii="宋体" w:hAnsi="宋体" w:eastAsia="宋体" w:cs="Times New Roman"/>
          <w:b/>
          <w:bCs/>
          <w:sz w:val="24"/>
          <w:szCs w:val="24"/>
        </w:rPr>
        <w:t>技术标评审表（100分）</w:t>
      </w:r>
    </w:p>
    <w:tbl>
      <w:tblPr>
        <w:tblStyle w:val="39"/>
        <w:tblpPr w:leftFromText="180" w:rightFromText="180" w:vertAnchor="text" w:horzAnchor="page" w:tblpX="1174" w:tblpY="320"/>
        <w:tblOverlap w:val="never"/>
        <w:tblW w:w="146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0"/>
        <w:gridCol w:w="615"/>
        <w:gridCol w:w="2865"/>
        <w:gridCol w:w="885"/>
        <w:gridCol w:w="93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8" w:hRule="atLeast"/>
        </w:trPr>
        <w:tc>
          <w:tcPr>
            <w:tcW w:w="940" w:type="dxa"/>
            <w:noWrap w:val="0"/>
            <w:vAlign w:val="center"/>
          </w:tcPr>
          <w:p>
            <w:pPr>
              <w:tabs>
                <w:tab w:val="left" w:pos="13965"/>
              </w:tabs>
              <w:spacing w:line="360" w:lineRule="auto"/>
              <w:ind w:right="-6"/>
              <w:jc w:val="center"/>
              <w:rPr>
                <w:rFonts w:ascii="宋体" w:hAnsi="宋体" w:eastAsia="宋体" w:cs="宋体"/>
                <w:sz w:val="18"/>
                <w:szCs w:val="18"/>
              </w:rPr>
            </w:pPr>
            <w:r>
              <w:rPr>
                <w:rFonts w:hint="eastAsia" w:ascii="宋体" w:hAnsi="宋体" w:eastAsia="宋体" w:cs="宋体"/>
                <w:sz w:val="18"/>
                <w:szCs w:val="18"/>
              </w:rPr>
              <w:t>评价类型</w:t>
            </w:r>
          </w:p>
        </w:tc>
        <w:tc>
          <w:tcPr>
            <w:tcW w:w="615" w:type="dxa"/>
            <w:noWrap w:val="0"/>
            <w:vAlign w:val="center"/>
          </w:tcPr>
          <w:p>
            <w:pPr>
              <w:tabs>
                <w:tab w:val="left" w:pos="13965"/>
              </w:tabs>
              <w:spacing w:line="360" w:lineRule="auto"/>
              <w:ind w:right="-6"/>
              <w:jc w:val="center"/>
              <w:rPr>
                <w:rFonts w:ascii="宋体" w:hAnsi="宋体" w:eastAsia="宋体" w:cs="宋体"/>
                <w:sz w:val="18"/>
                <w:szCs w:val="18"/>
              </w:rPr>
            </w:pPr>
            <w:r>
              <w:rPr>
                <w:rFonts w:hint="eastAsia" w:ascii="宋体" w:hAnsi="宋体" w:eastAsia="宋体" w:cs="宋体"/>
                <w:sz w:val="18"/>
                <w:szCs w:val="18"/>
              </w:rPr>
              <w:t>序号</w:t>
            </w:r>
          </w:p>
        </w:tc>
        <w:tc>
          <w:tcPr>
            <w:tcW w:w="2865" w:type="dxa"/>
            <w:noWrap w:val="0"/>
            <w:vAlign w:val="center"/>
          </w:tcPr>
          <w:p>
            <w:pPr>
              <w:tabs>
                <w:tab w:val="left" w:pos="13965"/>
              </w:tabs>
              <w:spacing w:line="360" w:lineRule="auto"/>
              <w:ind w:right="-6"/>
              <w:jc w:val="center"/>
              <w:rPr>
                <w:rFonts w:ascii="宋体" w:hAnsi="宋体" w:eastAsia="宋体" w:cs="宋体"/>
                <w:sz w:val="18"/>
                <w:szCs w:val="18"/>
              </w:rPr>
            </w:pPr>
            <w:r>
              <w:rPr>
                <w:rFonts w:hint="eastAsia" w:ascii="宋体" w:hAnsi="宋体" w:eastAsia="宋体" w:cs="宋体"/>
                <w:sz w:val="18"/>
                <w:szCs w:val="18"/>
              </w:rPr>
              <w:t>内   容</w:t>
            </w:r>
          </w:p>
        </w:tc>
        <w:tc>
          <w:tcPr>
            <w:tcW w:w="885" w:type="dxa"/>
            <w:noWrap w:val="0"/>
            <w:vAlign w:val="center"/>
          </w:tcPr>
          <w:p>
            <w:pPr>
              <w:tabs>
                <w:tab w:val="left" w:pos="13965"/>
              </w:tabs>
              <w:spacing w:line="360" w:lineRule="auto"/>
              <w:ind w:right="-6"/>
              <w:jc w:val="center"/>
              <w:rPr>
                <w:rFonts w:ascii="宋体" w:hAnsi="宋体" w:eastAsia="宋体" w:cs="宋体"/>
                <w:sz w:val="18"/>
                <w:szCs w:val="18"/>
              </w:rPr>
            </w:pPr>
            <w:r>
              <w:rPr>
                <w:rFonts w:hint="eastAsia" w:ascii="宋体" w:hAnsi="宋体" w:eastAsia="宋体" w:cs="宋体"/>
                <w:sz w:val="18"/>
                <w:szCs w:val="18"/>
              </w:rPr>
              <w:t>标准分</w:t>
            </w:r>
          </w:p>
        </w:tc>
        <w:tc>
          <w:tcPr>
            <w:tcW w:w="9369" w:type="dxa"/>
            <w:noWrap w:val="0"/>
            <w:vAlign w:val="center"/>
          </w:tcPr>
          <w:p>
            <w:pPr>
              <w:tabs>
                <w:tab w:val="left" w:pos="13965"/>
              </w:tabs>
              <w:spacing w:line="360" w:lineRule="auto"/>
              <w:ind w:right="-6"/>
              <w:jc w:val="center"/>
              <w:rPr>
                <w:rFonts w:ascii="宋体" w:hAnsi="宋体" w:eastAsia="宋体" w:cs="宋体"/>
                <w:sz w:val="18"/>
                <w:szCs w:val="18"/>
              </w:rPr>
            </w:pPr>
            <w:r>
              <w:rPr>
                <w:rFonts w:hint="eastAsia" w:ascii="宋体" w:hAnsi="宋体" w:eastAsia="宋体" w:cs="宋体"/>
                <w:sz w:val="18"/>
                <w:szCs w:val="18"/>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25" w:hRule="atLeast"/>
        </w:trPr>
        <w:tc>
          <w:tcPr>
            <w:tcW w:w="940" w:type="dxa"/>
            <w:vMerge w:val="restart"/>
            <w:noWrap w:val="0"/>
            <w:vAlign w:val="center"/>
          </w:tcPr>
          <w:p>
            <w:pPr>
              <w:tabs>
                <w:tab w:val="left" w:pos="13965"/>
              </w:tabs>
              <w:spacing w:line="360" w:lineRule="auto"/>
              <w:ind w:right="-6"/>
              <w:jc w:val="center"/>
              <w:rPr>
                <w:rFonts w:ascii="宋体" w:hAnsi="宋体" w:eastAsia="宋体" w:cs="宋体"/>
                <w:sz w:val="18"/>
                <w:szCs w:val="18"/>
              </w:rPr>
            </w:pPr>
            <w:r>
              <w:rPr>
                <w:rFonts w:hint="eastAsia" w:ascii="宋体" w:hAnsi="宋体" w:eastAsia="宋体" w:cs="宋体"/>
                <w:sz w:val="18"/>
                <w:szCs w:val="18"/>
              </w:rPr>
              <w:t>技术</w:t>
            </w:r>
          </w:p>
          <w:p>
            <w:pPr>
              <w:tabs>
                <w:tab w:val="left" w:pos="13965"/>
              </w:tabs>
              <w:spacing w:line="360" w:lineRule="auto"/>
              <w:ind w:right="-6"/>
              <w:jc w:val="center"/>
              <w:rPr>
                <w:rFonts w:ascii="宋体" w:hAnsi="宋体" w:eastAsia="宋体" w:cs="宋体"/>
                <w:sz w:val="18"/>
                <w:szCs w:val="18"/>
              </w:rPr>
            </w:pPr>
            <w:r>
              <w:rPr>
                <w:rFonts w:ascii="宋体" w:hAnsi="宋体" w:eastAsia="宋体" w:cs="宋体"/>
                <w:sz w:val="18"/>
                <w:szCs w:val="18"/>
              </w:rPr>
              <w:t>10</w:t>
            </w:r>
            <w:r>
              <w:rPr>
                <w:rFonts w:hint="eastAsia" w:ascii="宋体" w:hAnsi="宋体" w:eastAsia="宋体" w:cs="宋体"/>
                <w:sz w:val="18"/>
                <w:szCs w:val="18"/>
              </w:rPr>
              <w:t>0分</w:t>
            </w:r>
          </w:p>
        </w:tc>
        <w:tc>
          <w:tcPr>
            <w:tcW w:w="615" w:type="dxa"/>
            <w:noWrap w:val="0"/>
            <w:vAlign w:val="center"/>
          </w:tcPr>
          <w:p>
            <w:pPr>
              <w:tabs>
                <w:tab w:val="left" w:pos="13965"/>
              </w:tabs>
              <w:spacing w:line="360" w:lineRule="auto"/>
              <w:ind w:right="-6"/>
              <w:jc w:val="center"/>
              <w:rPr>
                <w:rFonts w:ascii="宋体" w:hAnsi="宋体" w:eastAsia="宋体" w:cs="宋体"/>
                <w:sz w:val="18"/>
                <w:szCs w:val="18"/>
              </w:rPr>
            </w:pPr>
            <w:r>
              <w:rPr>
                <w:rFonts w:hint="eastAsia" w:ascii="宋体" w:hAnsi="宋体" w:eastAsia="宋体" w:cs="宋体"/>
                <w:sz w:val="18"/>
                <w:szCs w:val="18"/>
              </w:rPr>
              <w:t>1</w:t>
            </w:r>
          </w:p>
        </w:tc>
        <w:tc>
          <w:tcPr>
            <w:tcW w:w="2865" w:type="dxa"/>
            <w:noWrap w:val="0"/>
            <w:vAlign w:val="center"/>
          </w:tcPr>
          <w:p>
            <w:pPr>
              <w:tabs>
                <w:tab w:val="left" w:pos="13965"/>
              </w:tabs>
              <w:spacing w:line="360" w:lineRule="auto"/>
              <w:ind w:right="-6"/>
              <w:jc w:val="center"/>
              <w:rPr>
                <w:rFonts w:ascii="宋体" w:hAnsi="宋体" w:eastAsia="宋体" w:cs="宋体"/>
                <w:sz w:val="18"/>
                <w:szCs w:val="18"/>
              </w:rPr>
            </w:pPr>
            <w:r>
              <w:rPr>
                <w:rFonts w:hint="eastAsia" w:ascii="宋体" w:hAnsi="宋体" w:eastAsia="宋体" w:cs="宋体"/>
                <w:sz w:val="18"/>
                <w:szCs w:val="18"/>
              </w:rPr>
              <w:t>设备制造商同类型项目业绩</w:t>
            </w:r>
          </w:p>
        </w:tc>
        <w:tc>
          <w:tcPr>
            <w:tcW w:w="885" w:type="dxa"/>
            <w:noWrap w:val="0"/>
            <w:vAlign w:val="center"/>
          </w:tcPr>
          <w:p>
            <w:pPr>
              <w:tabs>
                <w:tab w:val="left" w:pos="13965"/>
              </w:tabs>
              <w:spacing w:line="360" w:lineRule="auto"/>
              <w:ind w:right="-6"/>
              <w:jc w:val="center"/>
              <w:rPr>
                <w:rFonts w:ascii="宋体" w:hAnsi="宋体" w:eastAsia="宋体" w:cs="宋体"/>
                <w:sz w:val="18"/>
                <w:szCs w:val="18"/>
              </w:rPr>
            </w:pPr>
            <w:r>
              <w:rPr>
                <w:rFonts w:ascii="宋体" w:hAnsi="宋体" w:eastAsia="宋体" w:cs="宋体"/>
                <w:sz w:val="18"/>
                <w:szCs w:val="18"/>
              </w:rPr>
              <w:t>4</w:t>
            </w:r>
          </w:p>
        </w:tc>
        <w:tc>
          <w:tcPr>
            <w:tcW w:w="9369" w:type="dxa"/>
            <w:noWrap w:val="0"/>
            <w:vAlign w:val="center"/>
          </w:tcPr>
          <w:p>
            <w:pPr>
              <w:tabs>
                <w:tab w:val="left" w:pos="13965"/>
              </w:tabs>
              <w:spacing w:line="420" w:lineRule="exact"/>
              <w:ind w:right="-6"/>
              <w:jc w:val="left"/>
              <w:rPr>
                <w:rFonts w:ascii="宋体" w:hAnsi="宋体" w:eastAsia="宋体" w:cs="宋体"/>
                <w:sz w:val="18"/>
                <w:szCs w:val="18"/>
              </w:rPr>
            </w:pPr>
            <w:r>
              <w:rPr>
                <w:rFonts w:hint="eastAsia" w:ascii="宋体" w:hAnsi="宋体" w:eastAsia="宋体" w:cs="宋体"/>
                <w:sz w:val="18"/>
                <w:szCs w:val="18"/>
              </w:rPr>
              <w:t>由评标委员会成员独立进行客观、公正的评价，按照业绩数量进行赋分，相同业绩每一个得1分，类似业绩,每一个得0.5分。本条款得分最高</w:t>
            </w:r>
            <w:r>
              <w:rPr>
                <w:rFonts w:ascii="宋体" w:hAnsi="宋体" w:eastAsia="宋体" w:cs="宋体"/>
                <w:sz w:val="18"/>
                <w:szCs w:val="18"/>
              </w:rPr>
              <w:t>4</w:t>
            </w:r>
            <w:r>
              <w:rPr>
                <w:rFonts w:hint="eastAsia" w:ascii="宋体" w:hAnsi="宋体" w:eastAsia="宋体" w:cs="宋体"/>
                <w:sz w:val="18"/>
                <w:szCs w:val="18"/>
              </w:rPr>
              <w:t>分。</w:t>
            </w:r>
            <w:r>
              <w:rPr>
                <w:rFonts w:hint="eastAsia" w:ascii="宋体" w:hAnsi="宋体" w:eastAsia="宋体" w:cs="宋体"/>
                <w:sz w:val="18"/>
                <w:szCs w:val="18"/>
                <w:lang w:val="en-US" w:eastAsia="zh-CN"/>
              </w:rPr>
              <w:t>同类型</w:t>
            </w:r>
            <w:r>
              <w:rPr>
                <w:rFonts w:hint="eastAsia" w:ascii="宋体" w:hAnsi="宋体" w:eastAsia="宋体" w:cs="宋体"/>
                <w:sz w:val="18"/>
                <w:szCs w:val="18"/>
              </w:rPr>
              <w:t>业绩:投标人在20</w:t>
            </w:r>
            <w:r>
              <w:rPr>
                <w:rFonts w:hint="eastAsia" w:ascii="宋体" w:hAnsi="宋体" w:eastAsia="宋体" w:cs="宋体"/>
                <w:sz w:val="18"/>
                <w:szCs w:val="18"/>
                <w:lang w:val="en-US" w:eastAsia="zh-CN"/>
              </w:rPr>
              <w:t>20</w:t>
            </w:r>
            <w:r>
              <w:rPr>
                <w:rFonts w:hint="eastAsia" w:ascii="宋体" w:hAnsi="宋体" w:eastAsia="宋体" w:cs="宋体"/>
                <w:sz w:val="18"/>
                <w:szCs w:val="18"/>
              </w:rPr>
              <w:t>年</w:t>
            </w:r>
            <w:r>
              <w:rPr>
                <w:rFonts w:hint="eastAsia" w:ascii="宋体" w:hAnsi="宋体" w:eastAsia="宋体" w:cs="宋体"/>
                <w:sz w:val="18"/>
                <w:szCs w:val="18"/>
                <w:lang w:val="en-US" w:eastAsia="zh-CN"/>
              </w:rPr>
              <w:t>5</w:t>
            </w:r>
            <w:r>
              <w:rPr>
                <w:rFonts w:hint="eastAsia" w:ascii="宋体" w:hAnsi="宋体" w:eastAsia="宋体" w:cs="宋体"/>
                <w:sz w:val="18"/>
                <w:szCs w:val="18"/>
              </w:rPr>
              <w:t>月1日（时间以签订日期为准）以来在中国与本标同类型且参数规格相符的产品,以合同复印件加盖公章为准（须有客户联系方式及联系人以供招标人核实确认）。与本标同类型但参数规格明显不同的产品,属于类似业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6" w:hRule="atLeast"/>
        </w:trPr>
        <w:tc>
          <w:tcPr>
            <w:tcW w:w="940" w:type="dxa"/>
            <w:vMerge w:val="continue"/>
            <w:noWrap w:val="0"/>
            <w:vAlign w:val="center"/>
          </w:tcPr>
          <w:p>
            <w:pPr>
              <w:spacing w:line="360" w:lineRule="auto"/>
              <w:jc w:val="center"/>
              <w:rPr>
                <w:rFonts w:ascii="宋体" w:hAnsi="宋体" w:eastAsia="宋体" w:cs="宋体"/>
                <w:sz w:val="18"/>
                <w:szCs w:val="18"/>
              </w:rPr>
            </w:pPr>
          </w:p>
        </w:tc>
        <w:tc>
          <w:tcPr>
            <w:tcW w:w="615" w:type="dxa"/>
            <w:noWrap w:val="0"/>
            <w:vAlign w:val="center"/>
          </w:tcPr>
          <w:p>
            <w:pPr>
              <w:spacing w:line="360" w:lineRule="auto"/>
              <w:jc w:val="center"/>
              <w:rPr>
                <w:rFonts w:ascii="宋体" w:hAnsi="宋体" w:eastAsia="宋体" w:cs="宋体"/>
                <w:sz w:val="18"/>
                <w:szCs w:val="18"/>
              </w:rPr>
            </w:pPr>
            <w:r>
              <w:rPr>
                <w:rFonts w:hint="eastAsia" w:ascii="宋体" w:hAnsi="宋体" w:eastAsia="宋体" w:cs="宋体"/>
                <w:sz w:val="18"/>
                <w:szCs w:val="18"/>
              </w:rPr>
              <w:t>2</w:t>
            </w:r>
          </w:p>
        </w:tc>
        <w:tc>
          <w:tcPr>
            <w:tcW w:w="2865" w:type="dxa"/>
            <w:noWrap w:val="0"/>
            <w:vAlign w:val="center"/>
          </w:tcPr>
          <w:p>
            <w:pPr>
              <w:tabs>
                <w:tab w:val="left" w:pos="13965"/>
              </w:tabs>
              <w:spacing w:line="360" w:lineRule="auto"/>
              <w:ind w:right="-6"/>
              <w:jc w:val="center"/>
              <w:rPr>
                <w:rFonts w:ascii="宋体" w:hAnsi="宋体" w:eastAsia="宋体" w:cs="宋体"/>
                <w:sz w:val="18"/>
                <w:szCs w:val="18"/>
              </w:rPr>
            </w:pPr>
            <w:r>
              <w:rPr>
                <w:rFonts w:hint="eastAsia" w:ascii="宋体" w:hAnsi="宋体" w:eastAsia="宋体" w:cs="宋体"/>
                <w:sz w:val="18"/>
                <w:szCs w:val="18"/>
              </w:rPr>
              <w:t>供货周期及工期进度计划</w:t>
            </w:r>
          </w:p>
        </w:tc>
        <w:tc>
          <w:tcPr>
            <w:tcW w:w="885" w:type="dxa"/>
            <w:noWrap w:val="0"/>
            <w:vAlign w:val="center"/>
          </w:tcPr>
          <w:p>
            <w:pPr>
              <w:tabs>
                <w:tab w:val="left" w:pos="13965"/>
              </w:tabs>
              <w:spacing w:line="360" w:lineRule="auto"/>
              <w:ind w:right="-6"/>
              <w:jc w:val="center"/>
              <w:rPr>
                <w:rFonts w:ascii="宋体" w:hAnsi="宋体" w:eastAsia="宋体" w:cs="宋体"/>
                <w:sz w:val="18"/>
                <w:szCs w:val="18"/>
              </w:rPr>
            </w:pPr>
            <w:r>
              <w:rPr>
                <w:rFonts w:ascii="宋体" w:hAnsi="宋体" w:eastAsia="宋体" w:cs="宋体"/>
                <w:sz w:val="18"/>
                <w:szCs w:val="18"/>
              </w:rPr>
              <w:t>4</w:t>
            </w:r>
          </w:p>
        </w:tc>
        <w:tc>
          <w:tcPr>
            <w:tcW w:w="9369" w:type="dxa"/>
            <w:noWrap w:val="0"/>
            <w:vAlign w:val="center"/>
          </w:tcPr>
          <w:p>
            <w:pPr>
              <w:tabs>
                <w:tab w:val="left" w:pos="13965"/>
              </w:tabs>
              <w:spacing w:line="360" w:lineRule="auto"/>
              <w:ind w:right="-6"/>
              <w:jc w:val="left"/>
              <w:rPr>
                <w:rFonts w:ascii="宋体" w:hAnsi="宋体" w:eastAsia="宋体" w:cs="宋体"/>
                <w:sz w:val="18"/>
                <w:szCs w:val="18"/>
              </w:rPr>
            </w:pPr>
            <w:r>
              <w:rPr>
                <w:rFonts w:hint="eastAsia" w:ascii="宋体" w:hAnsi="宋体" w:eastAsia="宋体" w:cs="宋体"/>
                <w:sz w:val="18"/>
                <w:szCs w:val="18"/>
              </w:rPr>
              <w:t>由评标委员会成员独立进行客观、公正的评价，按照到货周期进行赋分，到货期≤</w:t>
            </w:r>
            <w:r>
              <w:rPr>
                <w:rFonts w:hint="eastAsia" w:ascii="宋体" w:hAnsi="宋体" w:eastAsia="宋体" w:cs="宋体"/>
                <w:sz w:val="18"/>
                <w:szCs w:val="18"/>
                <w:lang w:val="en-US" w:eastAsia="zh-CN"/>
              </w:rPr>
              <w:t>2</w:t>
            </w:r>
            <w:r>
              <w:rPr>
                <w:rFonts w:hint="eastAsia" w:ascii="宋体" w:hAnsi="宋体" w:eastAsia="宋体" w:cs="宋体"/>
                <w:sz w:val="18"/>
                <w:szCs w:val="18"/>
              </w:rPr>
              <w:t>个月得</w:t>
            </w:r>
            <w:r>
              <w:rPr>
                <w:rFonts w:ascii="宋体" w:hAnsi="宋体" w:eastAsia="宋体" w:cs="宋体"/>
                <w:sz w:val="18"/>
                <w:szCs w:val="18"/>
              </w:rPr>
              <w:t>4</w:t>
            </w:r>
            <w:r>
              <w:rPr>
                <w:rFonts w:hint="eastAsia" w:ascii="宋体" w:hAnsi="宋体" w:eastAsia="宋体" w:cs="宋体"/>
                <w:sz w:val="18"/>
                <w:szCs w:val="18"/>
              </w:rPr>
              <w:t>分，</w:t>
            </w:r>
            <w:r>
              <w:rPr>
                <w:rFonts w:hint="eastAsia" w:ascii="宋体" w:hAnsi="宋体" w:eastAsia="宋体" w:cs="宋体"/>
                <w:sz w:val="18"/>
                <w:szCs w:val="18"/>
                <w:lang w:val="en-US" w:eastAsia="zh-CN"/>
              </w:rPr>
              <w:t>2</w:t>
            </w:r>
            <w:r>
              <w:rPr>
                <w:rFonts w:hint="eastAsia" w:ascii="宋体" w:hAnsi="宋体" w:eastAsia="宋体" w:cs="宋体"/>
                <w:sz w:val="18"/>
                <w:szCs w:val="18"/>
              </w:rPr>
              <w:t>＜到货期≤</w:t>
            </w:r>
            <w:r>
              <w:rPr>
                <w:rFonts w:hint="eastAsia" w:ascii="宋体" w:hAnsi="宋体" w:eastAsia="宋体" w:cs="宋体"/>
                <w:sz w:val="18"/>
                <w:szCs w:val="18"/>
                <w:lang w:val="en-US" w:eastAsia="zh-CN"/>
              </w:rPr>
              <w:t>3</w:t>
            </w:r>
            <w:r>
              <w:rPr>
                <w:rFonts w:hint="eastAsia" w:ascii="宋体" w:hAnsi="宋体" w:eastAsia="宋体" w:cs="宋体"/>
                <w:sz w:val="18"/>
                <w:szCs w:val="18"/>
              </w:rPr>
              <w:t>个月得</w:t>
            </w:r>
            <w:r>
              <w:rPr>
                <w:rFonts w:ascii="宋体" w:hAnsi="宋体" w:eastAsia="宋体" w:cs="宋体"/>
                <w:sz w:val="18"/>
                <w:szCs w:val="18"/>
              </w:rPr>
              <w:t>3</w:t>
            </w:r>
            <w:r>
              <w:rPr>
                <w:rFonts w:hint="eastAsia" w:ascii="宋体" w:hAnsi="宋体" w:eastAsia="宋体" w:cs="宋体"/>
                <w:sz w:val="18"/>
                <w:szCs w:val="18"/>
              </w:rPr>
              <w:t>分，</w:t>
            </w:r>
            <w:r>
              <w:rPr>
                <w:rFonts w:hint="eastAsia" w:ascii="宋体" w:hAnsi="宋体" w:eastAsia="宋体" w:cs="宋体"/>
                <w:sz w:val="18"/>
                <w:szCs w:val="18"/>
                <w:lang w:val="en-US" w:eastAsia="zh-CN"/>
              </w:rPr>
              <w:t>3</w:t>
            </w:r>
            <w:r>
              <w:rPr>
                <w:rFonts w:hint="eastAsia" w:ascii="宋体" w:hAnsi="宋体" w:eastAsia="宋体" w:cs="宋体"/>
                <w:sz w:val="18"/>
                <w:szCs w:val="18"/>
              </w:rPr>
              <w:t>＜到货期≤</w:t>
            </w:r>
            <w:r>
              <w:rPr>
                <w:rFonts w:hint="eastAsia" w:ascii="宋体" w:hAnsi="宋体" w:eastAsia="宋体" w:cs="宋体"/>
                <w:sz w:val="18"/>
                <w:szCs w:val="18"/>
                <w:lang w:val="en-US" w:eastAsia="zh-CN"/>
              </w:rPr>
              <w:t>4</w:t>
            </w:r>
            <w:r>
              <w:rPr>
                <w:rFonts w:hint="eastAsia" w:ascii="宋体" w:hAnsi="宋体" w:eastAsia="宋体" w:cs="宋体"/>
                <w:sz w:val="18"/>
                <w:szCs w:val="18"/>
              </w:rPr>
              <w:t>个月得</w:t>
            </w:r>
            <w:r>
              <w:rPr>
                <w:rFonts w:hint="eastAsia" w:ascii="宋体" w:hAnsi="宋体" w:eastAsia="宋体" w:cs="宋体"/>
                <w:sz w:val="18"/>
                <w:szCs w:val="18"/>
                <w:lang w:val="en-US" w:eastAsia="zh-CN"/>
              </w:rPr>
              <w:t>1</w:t>
            </w:r>
            <w:r>
              <w:rPr>
                <w:rFonts w:hint="eastAsia" w:ascii="宋体" w:hAnsi="宋体" w:eastAsia="宋体" w:cs="宋体"/>
                <w:sz w:val="18"/>
                <w:szCs w:val="18"/>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6" w:hRule="atLeast"/>
        </w:trPr>
        <w:tc>
          <w:tcPr>
            <w:tcW w:w="940" w:type="dxa"/>
            <w:vMerge w:val="continue"/>
            <w:noWrap w:val="0"/>
            <w:vAlign w:val="center"/>
          </w:tcPr>
          <w:p>
            <w:pPr>
              <w:spacing w:line="360" w:lineRule="auto"/>
              <w:jc w:val="center"/>
              <w:rPr>
                <w:rFonts w:ascii="宋体" w:hAnsi="宋体" w:eastAsia="宋体" w:cs="宋体"/>
                <w:sz w:val="18"/>
                <w:szCs w:val="18"/>
              </w:rPr>
            </w:pPr>
          </w:p>
        </w:tc>
        <w:tc>
          <w:tcPr>
            <w:tcW w:w="615" w:type="dxa"/>
            <w:noWrap w:val="0"/>
            <w:vAlign w:val="center"/>
          </w:tcPr>
          <w:p>
            <w:pPr>
              <w:spacing w:line="360" w:lineRule="auto"/>
              <w:jc w:val="center"/>
              <w:rPr>
                <w:rFonts w:ascii="宋体" w:hAnsi="宋体" w:eastAsia="宋体" w:cs="宋体"/>
                <w:sz w:val="18"/>
                <w:szCs w:val="18"/>
              </w:rPr>
            </w:pPr>
            <w:r>
              <w:rPr>
                <w:rFonts w:hint="eastAsia" w:ascii="宋体" w:hAnsi="宋体" w:eastAsia="宋体" w:cs="宋体"/>
                <w:sz w:val="18"/>
                <w:szCs w:val="18"/>
              </w:rPr>
              <w:t>3</w:t>
            </w:r>
          </w:p>
        </w:tc>
        <w:tc>
          <w:tcPr>
            <w:tcW w:w="2865" w:type="dxa"/>
            <w:noWrap w:val="0"/>
            <w:vAlign w:val="center"/>
          </w:tcPr>
          <w:p>
            <w:pPr>
              <w:tabs>
                <w:tab w:val="left" w:pos="13965"/>
              </w:tabs>
              <w:spacing w:line="360" w:lineRule="auto"/>
              <w:ind w:right="-6"/>
              <w:jc w:val="center"/>
              <w:rPr>
                <w:rFonts w:ascii="宋体" w:hAnsi="宋体" w:eastAsia="宋体" w:cs="宋体"/>
                <w:sz w:val="18"/>
                <w:szCs w:val="18"/>
              </w:rPr>
            </w:pPr>
            <w:r>
              <w:rPr>
                <w:rFonts w:hint="eastAsia" w:ascii="宋体" w:hAnsi="宋体" w:eastAsia="宋体" w:cs="宋体"/>
                <w:sz w:val="18"/>
                <w:szCs w:val="18"/>
              </w:rPr>
              <w:t>现场答疑</w:t>
            </w:r>
          </w:p>
        </w:tc>
        <w:tc>
          <w:tcPr>
            <w:tcW w:w="885" w:type="dxa"/>
            <w:noWrap w:val="0"/>
            <w:vAlign w:val="center"/>
          </w:tcPr>
          <w:p>
            <w:pPr>
              <w:tabs>
                <w:tab w:val="left" w:pos="13965"/>
              </w:tabs>
              <w:spacing w:line="360" w:lineRule="auto"/>
              <w:ind w:right="-6"/>
              <w:jc w:val="center"/>
              <w:rPr>
                <w:rFonts w:ascii="宋体" w:hAnsi="宋体" w:eastAsia="宋体" w:cs="宋体"/>
                <w:sz w:val="18"/>
                <w:szCs w:val="18"/>
              </w:rPr>
            </w:pPr>
            <w:r>
              <w:rPr>
                <w:rFonts w:ascii="宋体" w:hAnsi="宋体" w:eastAsia="宋体" w:cs="宋体"/>
                <w:sz w:val="18"/>
                <w:szCs w:val="18"/>
              </w:rPr>
              <w:t>8</w:t>
            </w:r>
          </w:p>
        </w:tc>
        <w:tc>
          <w:tcPr>
            <w:tcW w:w="9369" w:type="dxa"/>
            <w:noWrap w:val="0"/>
            <w:vAlign w:val="center"/>
          </w:tcPr>
          <w:p>
            <w:pPr>
              <w:tabs>
                <w:tab w:val="left" w:pos="13965"/>
              </w:tabs>
              <w:spacing w:line="360" w:lineRule="auto"/>
              <w:ind w:right="-6"/>
              <w:jc w:val="left"/>
              <w:rPr>
                <w:rFonts w:ascii="宋体" w:hAnsi="宋体" w:eastAsia="宋体" w:cs="宋体"/>
                <w:sz w:val="18"/>
                <w:szCs w:val="18"/>
              </w:rPr>
            </w:pPr>
            <w:r>
              <w:rPr>
                <w:rFonts w:hint="eastAsia" w:ascii="宋体" w:hAnsi="宋体" w:eastAsia="宋体" w:cs="宋体"/>
                <w:sz w:val="18"/>
                <w:szCs w:val="18"/>
              </w:rPr>
              <w:t>由评标委员会成员独立进行客观、公正的评价，针对投标人代表对方案、技术优势的讲解，以及就该项目难点对于评标专家现场提问的回答，打分1-</w:t>
            </w:r>
            <w:r>
              <w:rPr>
                <w:rFonts w:ascii="宋体" w:hAnsi="宋体" w:eastAsia="宋体" w:cs="宋体"/>
                <w:sz w:val="18"/>
                <w:szCs w:val="18"/>
              </w:rPr>
              <w:t>8</w:t>
            </w:r>
            <w:r>
              <w:rPr>
                <w:rFonts w:hint="eastAsia" w:ascii="宋体" w:hAnsi="宋体" w:eastAsia="宋体" w:cs="宋体"/>
                <w:sz w:val="18"/>
                <w:szCs w:val="18"/>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35" w:hRule="atLeast"/>
        </w:trPr>
        <w:tc>
          <w:tcPr>
            <w:tcW w:w="940" w:type="dxa"/>
            <w:vMerge w:val="continue"/>
            <w:noWrap w:val="0"/>
            <w:vAlign w:val="center"/>
          </w:tcPr>
          <w:p>
            <w:pPr>
              <w:spacing w:line="360" w:lineRule="auto"/>
              <w:jc w:val="center"/>
              <w:rPr>
                <w:rFonts w:ascii="宋体" w:hAnsi="宋体" w:eastAsia="宋体" w:cs="宋体"/>
                <w:sz w:val="18"/>
                <w:szCs w:val="18"/>
              </w:rPr>
            </w:pPr>
          </w:p>
        </w:tc>
        <w:tc>
          <w:tcPr>
            <w:tcW w:w="615" w:type="dxa"/>
            <w:noWrap w:val="0"/>
            <w:vAlign w:val="center"/>
          </w:tcPr>
          <w:p>
            <w:pPr>
              <w:spacing w:line="360" w:lineRule="auto"/>
              <w:jc w:val="center"/>
              <w:rPr>
                <w:rFonts w:ascii="宋体" w:hAnsi="宋体" w:eastAsia="宋体" w:cs="宋体"/>
                <w:sz w:val="18"/>
                <w:szCs w:val="18"/>
              </w:rPr>
            </w:pPr>
            <w:r>
              <w:rPr>
                <w:rFonts w:hint="eastAsia" w:ascii="宋体" w:hAnsi="宋体" w:eastAsia="宋体" w:cs="宋体"/>
                <w:sz w:val="18"/>
                <w:szCs w:val="18"/>
              </w:rPr>
              <w:t>4</w:t>
            </w:r>
          </w:p>
        </w:tc>
        <w:tc>
          <w:tcPr>
            <w:tcW w:w="2865" w:type="dxa"/>
            <w:noWrap w:val="0"/>
            <w:vAlign w:val="center"/>
          </w:tcPr>
          <w:p>
            <w:pPr>
              <w:tabs>
                <w:tab w:val="left" w:pos="13965"/>
              </w:tabs>
              <w:spacing w:line="360" w:lineRule="auto"/>
              <w:ind w:right="-6"/>
              <w:jc w:val="center"/>
              <w:rPr>
                <w:rFonts w:ascii="宋体" w:hAnsi="宋体" w:eastAsia="宋体" w:cs="宋体"/>
                <w:sz w:val="18"/>
                <w:szCs w:val="18"/>
              </w:rPr>
            </w:pPr>
            <w:r>
              <w:rPr>
                <w:rFonts w:hint="eastAsia" w:ascii="宋体" w:hAnsi="宋体" w:eastAsia="宋体" w:cs="宋体"/>
                <w:sz w:val="18"/>
                <w:szCs w:val="18"/>
              </w:rPr>
              <w:t>产品方案技术先进、各系统完善、性能可靠，设备主要核心部件具备自身技术优势</w:t>
            </w:r>
          </w:p>
        </w:tc>
        <w:tc>
          <w:tcPr>
            <w:tcW w:w="885" w:type="dxa"/>
            <w:noWrap w:val="0"/>
            <w:vAlign w:val="center"/>
          </w:tcPr>
          <w:p>
            <w:pPr>
              <w:tabs>
                <w:tab w:val="left" w:pos="13965"/>
              </w:tabs>
              <w:spacing w:line="360" w:lineRule="auto"/>
              <w:ind w:right="-6"/>
              <w:jc w:val="center"/>
              <w:rPr>
                <w:rFonts w:ascii="宋体" w:hAnsi="宋体" w:eastAsia="宋体" w:cs="宋体"/>
                <w:sz w:val="18"/>
                <w:szCs w:val="18"/>
              </w:rPr>
            </w:pPr>
            <w:r>
              <w:rPr>
                <w:rFonts w:ascii="宋体" w:hAnsi="宋体" w:eastAsia="宋体" w:cs="宋体"/>
                <w:sz w:val="18"/>
                <w:szCs w:val="18"/>
              </w:rPr>
              <w:t>50</w:t>
            </w:r>
          </w:p>
        </w:tc>
        <w:tc>
          <w:tcPr>
            <w:tcW w:w="9369" w:type="dxa"/>
            <w:noWrap w:val="0"/>
            <w:vAlign w:val="center"/>
          </w:tcPr>
          <w:p>
            <w:pPr>
              <w:tabs>
                <w:tab w:val="left" w:pos="13965"/>
              </w:tabs>
              <w:spacing w:line="360" w:lineRule="auto"/>
              <w:ind w:right="-6"/>
              <w:jc w:val="left"/>
              <w:rPr>
                <w:rFonts w:ascii="宋体" w:hAnsi="宋体" w:eastAsia="宋体" w:cs="宋体"/>
                <w:sz w:val="18"/>
                <w:szCs w:val="18"/>
              </w:rPr>
            </w:pP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1</w:t>
            </w:r>
            <w:r>
              <w:rPr>
                <w:rFonts w:hint="eastAsia" w:ascii="宋体" w:hAnsi="宋体" w:eastAsia="宋体" w:cs="宋体"/>
                <w:sz w:val="18"/>
                <w:szCs w:val="18"/>
                <w:lang w:eastAsia="zh-CN"/>
              </w:rPr>
              <w:t>）</w:t>
            </w:r>
            <w:r>
              <w:rPr>
                <w:rFonts w:hint="eastAsia" w:ascii="宋体" w:hAnsi="宋体" w:eastAsia="宋体" w:cs="宋体"/>
                <w:sz w:val="18"/>
                <w:szCs w:val="18"/>
              </w:rPr>
              <w:t>定制系统方案达到招标要求，设备主要部件或核心部件，具备自身技术优势，打分1-</w:t>
            </w:r>
            <w:r>
              <w:rPr>
                <w:rFonts w:ascii="宋体" w:hAnsi="宋体" w:eastAsia="宋体" w:cs="宋体"/>
                <w:sz w:val="18"/>
                <w:szCs w:val="18"/>
              </w:rPr>
              <w:t>10</w:t>
            </w:r>
            <w:r>
              <w:rPr>
                <w:rFonts w:hint="eastAsia" w:ascii="宋体" w:hAnsi="宋体" w:eastAsia="宋体" w:cs="宋体"/>
                <w:sz w:val="18"/>
                <w:szCs w:val="18"/>
              </w:rPr>
              <w:t>分。</w:t>
            </w:r>
          </w:p>
          <w:p>
            <w:pPr>
              <w:numPr>
                <w:ilvl w:val="0"/>
                <w:numId w:val="0"/>
              </w:numPr>
              <w:tabs>
                <w:tab w:val="left" w:pos="13965"/>
              </w:tabs>
              <w:spacing w:line="360" w:lineRule="auto"/>
              <w:ind w:leftChars="0" w:right="-6" w:rightChars="0"/>
              <w:jc w:val="left"/>
              <w:rPr>
                <w:rFonts w:ascii="宋体" w:hAnsi="宋体" w:eastAsia="宋体" w:cs="宋体"/>
                <w:sz w:val="18"/>
                <w:szCs w:val="18"/>
              </w:rPr>
            </w:pP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2</w:t>
            </w:r>
            <w:r>
              <w:rPr>
                <w:rFonts w:hint="eastAsia" w:ascii="宋体" w:hAnsi="宋体" w:eastAsia="宋体" w:cs="宋体"/>
                <w:sz w:val="18"/>
                <w:szCs w:val="18"/>
                <w:lang w:eastAsia="zh-CN"/>
              </w:rPr>
              <w:t>）</w:t>
            </w:r>
            <w:r>
              <w:rPr>
                <w:rFonts w:hint="eastAsia" w:ascii="宋体" w:hAnsi="宋体" w:eastAsia="宋体" w:cs="宋体"/>
                <w:sz w:val="18"/>
                <w:szCs w:val="18"/>
              </w:rPr>
              <w:t>达到招标要求的前提下，系统配置更加周全，其精度、参数、技术水平、可靠性等优势明显，打分1-</w:t>
            </w:r>
            <w:r>
              <w:rPr>
                <w:rFonts w:ascii="宋体" w:hAnsi="宋体" w:eastAsia="宋体" w:cs="宋体"/>
                <w:sz w:val="18"/>
                <w:szCs w:val="18"/>
              </w:rPr>
              <w:t>10</w:t>
            </w:r>
            <w:r>
              <w:rPr>
                <w:rFonts w:hint="eastAsia" w:ascii="宋体" w:hAnsi="宋体" w:eastAsia="宋体" w:cs="宋体"/>
                <w:sz w:val="18"/>
                <w:szCs w:val="18"/>
              </w:rPr>
              <w:t>分。</w:t>
            </w:r>
          </w:p>
          <w:p>
            <w:pPr>
              <w:numPr>
                <w:ilvl w:val="0"/>
                <w:numId w:val="0"/>
              </w:numPr>
              <w:tabs>
                <w:tab w:val="left" w:pos="13965"/>
              </w:tabs>
              <w:spacing w:line="360" w:lineRule="auto"/>
              <w:ind w:leftChars="0" w:right="-6" w:rightChars="0"/>
              <w:jc w:val="left"/>
              <w:rPr>
                <w:rFonts w:ascii="宋体" w:hAnsi="宋体" w:eastAsia="宋体" w:cs="宋体"/>
                <w:sz w:val="18"/>
                <w:szCs w:val="18"/>
              </w:rPr>
            </w:pP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3</w:t>
            </w:r>
            <w:r>
              <w:rPr>
                <w:rFonts w:hint="eastAsia" w:ascii="宋体" w:hAnsi="宋体" w:eastAsia="宋体" w:cs="宋体"/>
                <w:sz w:val="18"/>
                <w:szCs w:val="18"/>
                <w:lang w:eastAsia="zh-CN"/>
              </w:rPr>
              <w:t>）</w:t>
            </w:r>
            <w:r>
              <w:rPr>
                <w:rFonts w:hint="eastAsia" w:ascii="宋体" w:hAnsi="宋体" w:eastAsia="宋体" w:cs="宋体"/>
                <w:sz w:val="18"/>
                <w:szCs w:val="18"/>
              </w:rPr>
              <w:t>应具有专业化试验软件，数据处理有独到之处，系统开放程度高，打分1-</w:t>
            </w:r>
            <w:r>
              <w:rPr>
                <w:rFonts w:ascii="宋体" w:hAnsi="宋体" w:eastAsia="宋体" w:cs="宋体"/>
                <w:sz w:val="18"/>
                <w:szCs w:val="18"/>
              </w:rPr>
              <w:t>10</w:t>
            </w:r>
            <w:r>
              <w:rPr>
                <w:rFonts w:hint="eastAsia" w:ascii="宋体" w:hAnsi="宋体" w:eastAsia="宋体" w:cs="宋体"/>
                <w:sz w:val="18"/>
                <w:szCs w:val="18"/>
              </w:rPr>
              <w:t>分。</w:t>
            </w:r>
          </w:p>
          <w:p>
            <w:pPr>
              <w:numPr>
                <w:ilvl w:val="0"/>
                <w:numId w:val="0"/>
              </w:numPr>
              <w:tabs>
                <w:tab w:val="left" w:pos="13965"/>
              </w:tabs>
              <w:spacing w:line="360" w:lineRule="auto"/>
              <w:ind w:leftChars="0" w:right="-6" w:rightChars="0"/>
              <w:jc w:val="left"/>
              <w:rPr>
                <w:rFonts w:ascii="宋体" w:hAnsi="宋体" w:eastAsia="宋体" w:cs="宋体"/>
                <w:sz w:val="18"/>
                <w:szCs w:val="18"/>
              </w:rPr>
            </w:pP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4</w:t>
            </w:r>
            <w:r>
              <w:rPr>
                <w:rFonts w:hint="eastAsia" w:ascii="宋体" w:hAnsi="宋体" w:eastAsia="宋体" w:cs="宋体"/>
                <w:sz w:val="18"/>
                <w:szCs w:val="18"/>
                <w:lang w:eastAsia="zh-CN"/>
              </w:rPr>
              <w:t>）</w:t>
            </w:r>
            <w:r>
              <w:rPr>
                <w:rFonts w:hint="eastAsia" w:ascii="宋体" w:hAnsi="宋体" w:eastAsia="宋体" w:cs="宋体"/>
                <w:sz w:val="18"/>
                <w:szCs w:val="18"/>
              </w:rPr>
              <w:t>关键系统技术支持资料、数据处理说明、操作说明详细完整，打分1-</w:t>
            </w:r>
            <w:r>
              <w:rPr>
                <w:rFonts w:ascii="宋体" w:hAnsi="宋体" w:eastAsia="宋体" w:cs="宋体"/>
                <w:sz w:val="18"/>
                <w:szCs w:val="18"/>
              </w:rPr>
              <w:t>10</w:t>
            </w:r>
            <w:r>
              <w:rPr>
                <w:rFonts w:hint="eastAsia" w:ascii="宋体" w:hAnsi="宋体" w:eastAsia="宋体" w:cs="宋体"/>
                <w:sz w:val="18"/>
                <w:szCs w:val="18"/>
              </w:rPr>
              <w:t>分。</w:t>
            </w:r>
          </w:p>
          <w:p>
            <w:pPr>
              <w:numPr>
                <w:ilvl w:val="0"/>
                <w:numId w:val="0"/>
              </w:numPr>
              <w:tabs>
                <w:tab w:val="left" w:pos="13965"/>
              </w:tabs>
              <w:spacing w:line="360" w:lineRule="auto"/>
              <w:ind w:leftChars="0" w:right="-6" w:rightChars="0"/>
              <w:jc w:val="left"/>
              <w:rPr>
                <w:rFonts w:ascii="宋体" w:hAnsi="宋体" w:eastAsia="宋体" w:cs="宋体"/>
                <w:sz w:val="18"/>
                <w:szCs w:val="18"/>
              </w:rPr>
            </w:pP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5</w:t>
            </w:r>
            <w:r>
              <w:rPr>
                <w:rFonts w:hint="eastAsia" w:ascii="宋体" w:hAnsi="宋体" w:eastAsia="宋体" w:cs="宋体"/>
                <w:sz w:val="18"/>
                <w:szCs w:val="18"/>
                <w:lang w:eastAsia="zh-CN"/>
              </w:rPr>
              <w:t>）</w:t>
            </w:r>
            <w:r>
              <w:rPr>
                <w:rFonts w:hint="eastAsia" w:ascii="宋体" w:hAnsi="宋体" w:eastAsia="宋体" w:cs="宋体"/>
                <w:sz w:val="18"/>
                <w:szCs w:val="18"/>
              </w:rPr>
              <w:t>综合评价，打分</w:t>
            </w:r>
            <w:r>
              <w:rPr>
                <w:rFonts w:ascii="宋体" w:hAnsi="宋体" w:eastAsia="宋体" w:cs="宋体"/>
                <w:sz w:val="18"/>
                <w:szCs w:val="18"/>
              </w:rPr>
              <w:t>1</w:t>
            </w:r>
            <w:r>
              <w:rPr>
                <w:rFonts w:hint="eastAsia" w:ascii="宋体" w:hAnsi="宋体" w:eastAsia="宋体" w:cs="宋体"/>
                <w:sz w:val="18"/>
                <w:szCs w:val="18"/>
              </w:rPr>
              <w:t>-</w:t>
            </w:r>
            <w:r>
              <w:rPr>
                <w:rFonts w:ascii="宋体" w:hAnsi="宋体" w:eastAsia="宋体" w:cs="宋体"/>
                <w:sz w:val="18"/>
                <w:szCs w:val="18"/>
              </w:rPr>
              <w:t>10</w:t>
            </w:r>
            <w:r>
              <w:rPr>
                <w:rFonts w:hint="eastAsia" w:ascii="宋体" w:hAnsi="宋体" w:eastAsia="宋体" w:cs="宋体"/>
                <w:sz w:val="18"/>
                <w:szCs w:val="18"/>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1" w:hRule="atLeast"/>
        </w:trPr>
        <w:tc>
          <w:tcPr>
            <w:tcW w:w="940" w:type="dxa"/>
            <w:vMerge w:val="continue"/>
            <w:noWrap w:val="0"/>
            <w:vAlign w:val="center"/>
          </w:tcPr>
          <w:p>
            <w:pPr>
              <w:spacing w:line="360" w:lineRule="auto"/>
              <w:jc w:val="center"/>
              <w:rPr>
                <w:rFonts w:ascii="宋体" w:hAnsi="宋体" w:eastAsia="宋体" w:cs="宋体"/>
                <w:sz w:val="18"/>
                <w:szCs w:val="18"/>
              </w:rPr>
            </w:pPr>
          </w:p>
        </w:tc>
        <w:tc>
          <w:tcPr>
            <w:tcW w:w="615" w:type="dxa"/>
            <w:noWrap w:val="0"/>
            <w:vAlign w:val="center"/>
          </w:tcPr>
          <w:p>
            <w:pPr>
              <w:spacing w:line="360" w:lineRule="auto"/>
              <w:jc w:val="center"/>
              <w:rPr>
                <w:rFonts w:ascii="宋体" w:hAnsi="宋体" w:eastAsia="宋体" w:cs="宋体"/>
                <w:sz w:val="18"/>
                <w:szCs w:val="18"/>
              </w:rPr>
            </w:pPr>
            <w:r>
              <w:rPr>
                <w:rFonts w:hint="eastAsia" w:ascii="宋体" w:hAnsi="宋体" w:eastAsia="宋体" w:cs="宋体"/>
                <w:sz w:val="18"/>
                <w:szCs w:val="18"/>
              </w:rPr>
              <w:t>5</w:t>
            </w:r>
          </w:p>
        </w:tc>
        <w:tc>
          <w:tcPr>
            <w:tcW w:w="2865" w:type="dxa"/>
            <w:noWrap w:val="0"/>
            <w:vAlign w:val="center"/>
          </w:tcPr>
          <w:p>
            <w:pPr>
              <w:tabs>
                <w:tab w:val="left" w:pos="13965"/>
              </w:tabs>
              <w:spacing w:line="360" w:lineRule="auto"/>
              <w:ind w:right="-6"/>
              <w:jc w:val="center"/>
              <w:rPr>
                <w:rFonts w:ascii="宋体" w:hAnsi="宋体" w:eastAsia="宋体" w:cs="宋体"/>
                <w:sz w:val="18"/>
                <w:szCs w:val="18"/>
              </w:rPr>
            </w:pPr>
            <w:r>
              <w:rPr>
                <w:rFonts w:hint="eastAsia" w:ascii="宋体" w:hAnsi="宋体" w:eastAsia="宋体" w:cs="宋体"/>
                <w:sz w:val="18"/>
                <w:szCs w:val="18"/>
              </w:rPr>
              <w:t>技术偏离</w:t>
            </w:r>
          </w:p>
        </w:tc>
        <w:tc>
          <w:tcPr>
            <w:tcW w:w="885" w:type="dxa"/>
            <w:noWrap w:val="0"/>
            <w:vAlign w:val="center"/>
          </w:tcPr>
          <w:p>
            <w:pPr>
              <w:tabs>
                <w:tab w:val="left" w:pos="13965"/>
              </w:tabs>
              <w:spacing w:line="360" w:lineRule="auto"/>
              <w:ind w:right="-6"/>
              <w:jc w:val="center"/>
              <w:rPr>
                <w:rFonts w:ascii="宋体" w:hAnsi="宋体" w:eastAsia="宋体" w:cs="宋体"/>
                <w:sz w:val="18"/>
                <w:szCs w:val="18"/>
              </w:rPr>
            </w:pPr>
            <w:r>
              <w:rPr>
                <w:rFonts w:ascii="宋体" w:hAnsi="宋体" w:eastAsia="宋体" w:cs="宋体"/>
                <w:sz w:val="18"/>
                <w:szCs w:val="18"/>
              </w:rPr>
              <w:t>16</w:t>
            </w:r>
          </w:p>
        </w:tc>
        <w:tc>
          <w:tcPr>
            <w:tcW w:w="9369" w:type="dxa"/>
            <w:noWrap w:val="0"/>
            <w:vAlign w:val="center"/>
          </w:tcPr>
          <w:p>
            <w:pPr>
              <w:tabs>
                <w:tab w:val="left" w:pos="13965"/>
              </w:tabs>
              <w:spacing w:line="360" w:lineRule="auto"/>
              <w:ind w:right="-6"/>
              <w:jc w:val="left"/>
              <w:rPr>
                <w:rFonts w:ascii="宋体" w:hAnsi="宋体" w:eastAsia="宋体" w:cs="宋体"/>
                <w:sz w:val="18"/>
                <w:szCs w:val="18"/>
              </w:rPr>
            </w:pPr>
            <w:r>
              <w:rPr>
                <w:rFonts w:hint="eastAsia" w:ascii="宋体" w:hAnsi="宋体" w:eastAsia="宋体" w:cs="宋体"/>
                <w:sz w:val="18"/>
                <w:szCs w:val="18"/>
              </w:rPr>
              <w:t>由评标委员会成员独立进行客观、公正的评价，根据各投标单位的核心产品的配置参数、技术偏离情况，在满足我司技术基本要求的前提下偏离，无偏离得满分</w:t>
            </w:r>
            <w:r>
              <w:rPr>
                <w:rFonts w:hint="eastAsia" w:ascii="宋体" w:hAnsi="宋体" w:eastAsia="宋体" w:cs="宋体"/>
                <w:sz w:val="18"/>
                <w:szCs w:val="18"/>
                <w:lang w:val="en-US" w:eastAsia="zh-CN"/>
              </w:rPr>
              <w:t>16</w:t>
            </w:r>
            <w:r>
              <w:rPr>
                <w:rFonts w:hint="eastAsia" w:ascii="宋体" w:hAnsi="宋体" w:eastAsia="宋体" w:cs="宋体"/>
                <w:sz w:val="18"/>
                <w:szCs w:val="18"/>
              </w:rPr>
              <w:t>分，较大偏离每一项扣</w:t>
            </w:r>
            <w:r>
              <w:rPr>
                <w:rFonts w:hint="eastAsia" w:ascii="宋体" w:hAnsi="宋体" w:eastAsia="宋体" w:cs="宋体"/>
                <w:sz w:val="18"/>
                <w:szCs w:val="18"/>
                <w:lang w:val="en-US" w:eastAsia="zh-CN"/>
              </w:rPr>
              <w:t>2</w:t>
            </w:r>
            <w:r>
              <w:rPr>
                <w:rFonts w:hint="eastAsia" w:ascii="宋体" w:hAnsi="宋体" w:eastAsia="宋体" w:cs="宋体"/>
                <w:sz w:val="18"/>
                <w:szCs w:val="18"/>
              </w:rPr>
              <w:t>分，一般偏离每一项扣1分，最低0分。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9" w:hRule="atLeast"/>
        </w:trPr>
        <w:tc>
          <w:tcPr>
            <w:tcW w:w="940" w:type="dxa"/>
            <w:vMerge w:val="continue"/>
            <w:noWrap w:val="0"/>
            <w:vAlign w:val="center"/>
          </w:tcPr>
          <w:p>
            <w:pPr>
              <w:spacing w:line="360" w:lineRule="auto"/>
              <w:jc w:val="center"/>
              <w:rPr>
                <w:rFonts w:ascii="宋体" w:hAnsi="宋体" w:eastAsia="宋体" w:cs="宋体"/>
                <w:sz w:val="18"/>
                <w:szCs w:val="18"/>
              </w:rPr>
            </w:pPr>
          </w:p>
        </w:tc>
        <w:tc>
          <w:tcPr>
            <w:tcW w:w="615" w:type="dxa"/>
            <w:noWrap w:val="0"/>
            <w:vAlign w:val="center"/>
          </w:tcPr>
          <w:p>
            <w:pPr>
              <w:spacing w:line="360" w:lineRule="auto"/>
              <w:jc w:val="center"/>
              <w:rPr>
                <w:rFonts w:ascii="宋体" w:hAnsi="宋体" w:eastAsia="宋体" w:cs="宋体"/>
                <w:sz w:val="18"/>
                <w:szCs w:val="18"/>
              </w:rPr>
            </w:pPr>
            <w:r>
              <w:rPr>
                <w:rFonts w:hint="eastAsia" w:ascii="宋体" w:hAnsi="宋体" w:eastAsia="宋体" w:cs="宋体"/>
                <w:sz w:val="18"/>
                <w:szCs w:val="18"/>
              </w:rPr>
              <w:t>6</w:t>
            </w:r>
          </w:p>
        </w:tc>
        <w:tc>
          <w:tcPr>
            <w:tcW w:w="2865" w:type="dxa"/>
            <w:noWrap w:val="0"/>
            <w:vAlign w:val="center"/>
          </w:tcPr>
          <w:p>
            <w:pPr>
              <w:tabs>
                <w:tab w:val="left" w:pos="13965"/>
              </w:tabs>
              <w:spacing w:line="360" w:lineRule="auto"/>
              <w:ind w:right="-6"/>
              <w:jc w:val="center"/>
              <w:rPr>
                <w:rFonts w:ascii="宋体" w:hAnsi="宋体" w:eastAsia="宋体" w:cs="宋体"/>
                <w:sz w:val="18"/>
                <w:szCs w:val="18"/>
              </w:rPr>
            </w:pPr>
            <w:r>
              <w:rPr>
                <w:rFonts w:hint="eastAsia" w:ascii="宋体" w:hAnsi="宋体" w:eastAsia="宋体" w:cs="宋体"/>
                <w:sz w:val="18"/>
                <w:szCs w:val="18"/>
              </w:rPr>
              <w:t>对采购方人员的技术培训方案安排科学、合理、可行</w:t>
            </w:r>
          </w:p>
        </w:tc>
        <w:tc>
          <w:tcPr>
            <w:tcW w:w="885" w:type="dxa"/>
            <w:noWrap w:val="0"/>
            <w:vAlign w:val="center"/>
          </w:tcPr>
          <w:p>
            <w:pPr>
              <w:tabs>
                <w:tab w:val="left" w:pos="13965"/>
              </w:tabs>
              <w:spacing w:line="360" w:lineRule="auto"/>
              <w:ind w:right="-6"/>
              <w:jc w:val="center"/>
              <w:rPr>
                <w:rFonts w:ascii="宋体" w:hAnsi="宋体" w:eastAsia="宋体" w:cs="宋体"/>
                <w:sz w:val="18"/>
                <w:szCs w:val="18"/>
              </w:rPr>
            </w:pPr>
            <w:r>
              <w:rPr>
                <w:rFonts w:ascii="宋体" w:hAnsi="宋体" w:eastAsia="宋体" w:cs="宋体"/>
                <w:sz w:val="18"/>
                <w:szCs w:val="18"/>
              </w:rPr>
              <w:t>6</w:t>
            </w:r>
          </w:p>
        </w:tc>
        <w:tc>
          <w:tcPr>
            <w:tcW w:w="9369" w:type="dxa"/>
            <w:noWrap w:val="0"/>
            <w:vAlign w:val="center"/>
          </w:tcPr>
          <w:p>
            <w:pPr>
              <w:tabs>
                <w:tab w:val="left" w:pos="13965"/>
              </w:tabs>
              <w:spacing w:line="360" w:lineRule="auto"/>
              <w:ind w:right="-6"/>
              <w:jc w:val="left"/>
              <w:rPr>
                <w:rFonts w:ascii="宋体" w:hAnsi="宋体" w:eastAsia="宋体" w:cs="宋体"/>
                <w:sz w:val="18"/>
                <w:szCs w:val="18"/>
              </w:rPr>
            </w:pPr>
            <w:r>
              <w:rPr>
                <w:rFonts w:hint="eastAsia" w:ascii="宋体" w:hAnsi="宋体" w:eastAsia="宋体" w:cs="宋体"/>
                <w:sz w:val="18"/>
                <w:szCs w:val="18"/>
              </w:rPr>
              <w:t>由评标委员会成员独立进行客观、公正的评价，按照优、良、一般进行赋分，优得</w:t>
            </w:r>
            <w:r>
              <w:rPr>
                <w:rFonts w:ascii="宋体" w:hAnsi="宋体" w:eastAsia="宋体" w:cs="宋体"/>
                <w:sz w:val="18"/>
                <w:szCs w:val="18"/>
              </w:rPr>
              <w:t>6</w:t>
            </w:r>
            <w:r>
              <w:rPr>
                <w:rFonts w:hint="eastAsia" w:ascii="宋体" w:hAnsi="宋体" w:eastAsia="宋体" w:cs="宋体"/>
                <w:sz w:val="18"/>
                <w:szCs w:val="18"/>
              </w:rPr>
              <w:t>分，良得</w:t>
            </w:r>
            <w:r>
              <w:rPr>
                <w:rFonts w:ascii="宋体" w:hAnsi="宋体" w:eastAsia="宋体" w:cs="宋体"/>
                <w:sz w:val="18"/>
                <w:szCs w:val="18"/>
              </w:rPr>
              <w:t>4</w:t>
            </w:r>
            <w:r>
              <w:rPr>
                <w:rFonts w:hint="eastAsia" w:ascii="宋体" w:hAnsi="宋体" w:eastAsia="宋体" w:cs="宋体"/>
                <w:sz w:val="18"/>
                <w:szCs w:val="18"/>
              </w:rPr>
              <w:t>分，一般得</w:t>
            </w:r>
            <w:r>
              <w:rPr>
                <w:rFonts w:ascii="宋体" w:hAnsi="宋体" w:eastAsia="宋体" w:cs="宋体"/>
                <w:sz w:val="18"/>
                <w:szCs w:val="18"/>
              </w:rPr>
              <w:t>2</w:t>
            </w:r>
            <w:r>
              <w:rPr>
                <w:rFonts w:hint="eastAsia" w:ascii="宋体" w:hAnsi="宋体" w:eastAsia="宋体" w:cs="宋体"/>
                <w:sz w:val="18"/>
                <w:szCs w:val="18"/>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940" w:type="dxa"/>
            <w:vMerge w:val="continue"/>
            <w:noWrap w:val="0"/>
            <w:vAlign w:val="center"/>
          </w:tcPr>
          <w:p>
            <w:pPr>
              <w:spacing w:line="360" w:lineRule="auto"/>
              <w:jc w:val="center"/>
              <w:rPr>
                <w:rFonts w:ascii="宋体" w:hAnsi="宋体" w:eastAsia="宋体" w:cs="宋体"/>
                <w:sz w:val="18"/>
                <w:szCs w:val="18"/>
              </w:rPr>
            </w:pPr>
          </w:p>
        </w:tc>
        <w:tc>
          <w:tcPr>
            <w:tcW w:w="615" w:type="dxa"/>
            <w:noWrap w:val="0"/>
            <w:vAlign w:val="center"/>
          </w:tcPr>
          <w:p>
            <w:pPr>
              <w:spacing w:line="360" w:lineRule="auto"/>
              <w:jc w:val="center"/>
              <w:rPr>
                <w:rFonts w:ascii="宋体" w:hAnsi="宋体" w:eastAsia="宋体" w:cs="宋体"/>
                <w:sz w:val="18"/>
                <w:szCs w:val="18"/>
              </w:rPr>
            </w:pPr>
            <w:r>
              <w:rPr>
                <w:rFonts w:hint="eastAsia" w:ascii="宋体" w:hAnsi="宋体" w:eastAsia="宋体" w:cs="宋体"/>
                <w:sz w:val="18"/>
                <w:szCs w:val="18"/>
              </w:rPr>
              <w:t>7</w:t>
            </w:r>
          </w:p>
        </w:tc>
        <w:tc>
          <w:tcPr>
            <w:tcW w:w="2865" w:type="dxa"/>
            <w:noWrap w:val="0"/>
            <w:vAlign w:val="center"/>
          </w:tcPr>
          <w:p>
            <w:pPr>
              <w:tabs>
                <w:tab w:val="left" w:pos="13965"/>
              </w:tabs>
              <w:spacing w:line="360" w:lineRule="auto"/>
              <w:ind w:right="-6"/>
              <w:jc w:val="center"/>
              <w:rPr>
                <w:rFonts w:ascii="宋体" w:hAnsi="宋体" w:eastAsia="宋体" w:cs="宋体"/>
                <w:sz w:val="18"/>
                <w:szCs w:val="18"/>
              </w:rPr>
            </w:pPr>
            <w:r>
              <w:rPr>
                <w:rFonts w:hint="eastAsia" w:ascii="宋体" w:hAnsi="宋体" w:eastAsia="宋体" w:cs="宋体"/>
                <w:sz w:val="18"/>
                <w:szCs w:val="18"/>
              </w:rPr>
              <w:t>在中国有常驻的专业技术力量的维保机构</w:t>
            </w:r>
            <w:r>
              <w:rPr>
                <w:rFonts w:hint="eastAsia" w:ascii="宋体" w:hAnsi="宋体" w:eastAsia="宋体" w:cs="宋体"/>
                <w:sz w:val="18"/>
                <w:szCs w:val="18"/>
                <w:lang w:val="en-US" w:eastAsia="zh-CN"/>
              </w:rPr>
              <w:t>及</w:t>
            </w:r>
            <w:r>
              <w:rPr>
                <w:rFonts w:hint="eastAsia" w:ascii="宋体" w:hAnsi="宋体" w:eastAsia="宋体" w:cs="宋体"/>
                <w:sz w:val="18"/>
                <w:szCs w:val="18"/>
              </w:rPr>
              <w:t>专业技术人员</w:t>
            </w:r>
          </w:p>
        </w:tc>
        <w:tc>
          <w:tcPr>
            <w:tcW w:w="885" w:type="dxa"/>
            <w:noWrap w:val="0"/>
            <w:vAlign w:val="center"/>
          </w:tcPr>
          <w:p>
            <w:pPr>
              <w:tabs>
                <w:tab w:val="left" w:pos="13965"/>
              </w:tabs>
              <w:spacing w:line="360" w:lineRule="auto"/>
              <w:ind w:right="-6"/>
              <w:jc w:val="center"/>
              <w:rPr>
                <w:rFonts w:ascii="宋体" w:hAnsi="宋体" w:eastAsia="宋体" w:cs="宋体"/>
                <w:sz w:val="18"/>
                <w:szCs w:val="18"/>
              </w:rPr>
            </w:pPr>
            <w:r>
              <w:rPr>
                <w:rFonts w:ascii="宋体" w:hAnsi="宋体" w:eastAsia="宋体" w:cs="宋体"/>
                <w:sz w:val="18"/>
                <w:szCs w:val="18"/>
              </w:rPr>
              <w:t>6</w:t>
            </w:r>
          </w:p>
        </w:tc>
        <w:tc>
          <w:tcPr>
            <w:tcW w:w="9369" w:type="dxa"/>
            <w:noWrap w:val="0"/>
            <w:vAlign w:val="center"/>
          </w:tcPr>
          <w:p>
            <w:pPr>
              <w:tabs>
                <w:tab w:val="left" w:pos="13965"/>
              </w:tabs>
              <w:spacing w:line="360" w:lineRule="auto"/>
              <w:ind w:right="-6"/>
              <w:jc w:val="left"/>
              <w:rPr>
                <w:rFonts w:ascii="宋体" w:hAnsi="宋体" w:eastAsia="宋体" w:cs="宋体"/>
                <w:sz w:val="18"/>
                <w:szCs w:val="18"/>
              </w:rPr>
            </w:pPr>
            <w:r>
              <w:rPr>
                <w:rFonts w:hint="eastAsia" w:ascii="宋体" w:hAnsi="宋体" w:eastAsia="宋体" w:cs="宋体"/>
                <w:sz w:val="18"/>
                <w:szCs w:val="18"/>
              </w:rPr>
              <w:t>由评标委员会成员独立进行客观、公正的评价，按照优、良、一般进行赋分，优得</w:t>
            </w:r>
            <w:r>
              <w:rPr>
                <w:rFonts w:ascii="宋体" w:hAnsi="宋体" w:eastAsia="宋体" w:cs="宋体"/>
                <w:sz w:val="18"/>
                <w:szCs w:val="18"/>
              </w:rPr>
              <w:t>6</w:t>
            </w:r>
            <w:r>
              <w:rPr>
                <w:rFonts w:hint="eastAsia" w:ascii="宋体" w:hAnsi="宋体" w:eastAsia="宋体" w:cs="宋体"/>
                <w:sz w:val="18"/>
                <w:szCs w:val="18"/>
              </w:rPr>
              <w:t>分，良得</w:t>
            </w:r>
            <w:r>
              <w:rPr>
                <w:rFonts w:ascii="宋体" w:hAnsi="宋体" w:eastAsia="宋体" w:cs="宋体"/>
                <w:sz w:val="18"/>
                <w:szCs w:val="18"/>
              </w:rPr>
              <w:t>4</w:t>
            </w:r>
            <w:r>
              <w:rPr>
                <w:rFonts w:hint="eastAsia" w:ascii="宋体" w:hAnsi="宋体" w:eastAsia="宋体" w:cs="宋体"/>
                <w:sz w:val="18"/>
                <w:szCs w:val="18"/>
              </w:rPr>
              <w:t>分，一般得</w:t>
            </w:r>
            <w:r>
              <w:rPr>
                <w:rFonts w:ascii="宋体" w:hAnsi="宋体" w:eastAsia="宋体" w:cs="宋体"/>
                <w:sz w:val="18"/>
                <w:szCs w:val="18"/>
              </w:rPr>
              <w:t>2</w:t>
            </w:r>
            <w:r>
              <w:rPr>
                <w:rFonts w:hint="eastAsia" w:ascii="宋体" w:hAnsi="宋体" w:eastAsia="宋体" w:cs="宋体"/>
                <w:sz w:val="18"/>
                <w:szCs w:val="18"/>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0" w:hRule="atLeast"/>
        </w:trPr>
        <w:tc>
          <w:tcPr>
            <w:tcW w:w="940" w:type="dxa"/>
            <w:vMerge w:val="continue"/>
            <w:noWrap w:val="0"/>
            <w:vAlign w:val="center"/>
          </w:tcPr>
          <w:p>
            <w:pPr>
              <w:spacing w:line="360" w:lineRule="auto"/>
              <w:jc w:val="center"/>
              <w:rPr>
                <w:rFonts w:ascii="宋体" w:hAnsi="宋体" w:eastAsia="宋体" w:cs="宋体"/>
                <w:sz w:val="18"/>
                <w:szCs w:val="18"/>
              </w:rPr>
            </w:pPr>
          </w:p>
        </w:tc>
        <w:tc>
          <w:tcPr>
            <w:tcW w:w="615" w:type="dxa"/>
            <w:noWrap w:val="0"/>
            <w:vAlign w:val="center"/>
          </w:tcPr>
          <w:p>
            <w:pPr>
              <w:spacing w:line="360" w:lineRule="auto"/>
              <w:jc w:val="center"/>
              <w:rPr>
                <w:rFonts w:ascii="宋体" w:hAnsi="宋体" w:eastAsia="宋体" w:cs="宋体"/>
                <w:sz w:val="18"/>
                <w:szCs w:val="18"/>
              </w:rPr>
            </w:pPr>
            <w:r>
              <w:rPr>
                <w:rFonts w:hint="eastAsia" w:ascii="宋体" w:hAnsi="宋体" w:eastAsia="宋体" w:cs="宋体"/>
                <w:sz w:val="18"/>
                <w:szCs w:val="18"/>
              </w:rPr>
              <w:t>8</w:t>
            </w:r>
          </w:p>
        </w:tc>
        <w:tc>
          <w:tcPr>
            <w:tcW w:w="2865" w:type="dxa"/>
            <w:noWrap w:val="0"/>
            <w:vAlign w:val="center"/>
          </w:tcPr>
          <w:p>
            <w:pPr>
              <w:tabs>
                <w:tab w:val="left" w:pos="13965"/>
              </w:tabs>
              <w:spacing w:line="360" w:lineRule="auto"/>
              <w:ind w:right="-6"/>
              <w:jc w:val="center"/>
              <w:rPr>
                <w:rFonts w:ascii="宋体" w:hAnsi="宋体" w:eastAsia="宋体" w:cs="宋体"/>
                <w:sz w:val="18"/>
                <w:szCs w:val="18"/>
              </w:rPr>
            </w:pPr>
            <w:r>
              <w:rPr>
                <w:rFonts w:hint="eastAsia" w:ascii="宋体" w:hAnsi="宋体" w:eastAsia="宋体" w:cs="宋体"/>
                <w:sz w:val="18"/>
                <w:szCs w:val="18"/>
              </w:rPr>
              <w:t>售后服务及时周到</w:t>
            </w:r>
          </w:p>
        </w:tc>
        <w:tc>
          <w:tcPr>
            <w:tcW w:w="885" w:type="dxa"/>
            <w:noWrap w:val="0"/>
            <w:vAlign w:val="center"/>
          </w:tcPr>
          <w:p>
            <w:pPr>
              <w:tabs>
                <w:tab w:val="left" w:pos="13965"/>
              </w:tabs>
              <w:spacing w:line="360" w:lineRule="auto"/>
              <w:ind w:right="-6"/>
              <w:jc w:val="center"/>
              <w:rPr>
                <w:rFonts w:ascii="宋体" w:hAnsi="宋体" w:eastAsia="宋体" w:cs="宋体"/>
                <w:sz w:val="18"/>
                <w:szCs w:val="18"/>
              </w:rPr>
            </w:pPr>
            <w:r>
              <w:rPr>
                <w:rFonts w:ascii="宋体" w:hAnsi="宋体" w:eastAsia="宋体" w:cs="宋体"/>
                <w:sz w:val="18"/>
                <w:szCs w:val="18"/>
              </w:rPr>
              <w:t>6</w:t>
            </w:r>
          </w:p>
        </w:tc>
        <w:tc>
          <w:tcPr>
            <w:tcW w:w="9369" w:type="dxa"/>
            <w:noWrap w:val="0"/>
            <w:vAlign w:val="center"/>
          </w:tcPr>
          <w:p>
            <w:pPr>
              <w:tabs>
                <w:tab w:val="left" w:pos="13965"/>
              </w:tabs>
              <w:spacing w:line="360" w:lineRule="auto"/>
              <w:ind w:right="-6"/>
              <w:jc w:val="left"/>
              <w:rPr>
                <w:rFonts w:ascii="宋体" w:hAnsi="宋体" w:eastAsia="宋体" w:cs="宋体"/>
                <w:sz w:val="18"/>
                <w:szCs w:val="18"/>
              </w:rPr>
            </w:pPr>
            <w:r>
              <w:rPr>
                <w:rFonts w:hint="eastAsia" w:ascii="宋体" w:hAnsi="宋体" w:eastAsia="宋体" w:cs="宋体"/>
                <w:sz w:val="18"/>
                <w:szCs w:val="18"/>
              </w:rPr>
              <w:t>由评标委员会成员独立进行客观、公正的评价，按照优、良、一般进行赋分，优得</w:t>
            </w:r>
            <w:r>
              <w:rPr>
                <w:rFonts w:ascii="宋体" w:hAnsi="宋体" w:eastAsia="宋体" w:cs="宋体"/>
                <w:sz w:val="18"/>
                <w:szCs w:val="18"/>
              </w:rPr>
              <w:t>6</w:t>
            </w:r>
            <w:r>
              <w:rPr>
                <w:rFonts w:hint="eastAsia" w:ascii="宋体" w:hAnsi="宋体" w:eastAsia="宋体" w:cs="宋体"/>
                <w:sz w:val="18"/>
                <w:szCs w:val="18"/>
              </w:rPr>
              <w:t>分，良得</w:t>
            </w:r>
            <w:r>
              <w:rPr>
                <w:rFonts w:ascii="宋体" w:hAnsi="宋体" w:eastAsia="宋体" w:cs="宋体"/>
                <w:sz w:val="18"/>
                <w:szCs w:val="18"/>
              </w:rPr>
              <w:t>4</w:t>
            </w:r>
            <w:r>
              <w:rPr>
                <w:rFonts w:hint="eastAsia" w:ascii="宋体" w:hAnsi="宋体" w:eastAsia="宋体" w:cs="宋体"/>
                <w:sz w:val="18"/>
                <w:szCs w:val="18"/>
              </w:rPr>
              <w:t>分，一般得</w:t>
            </w:r>
            <w:r>
              <w:rPr>
                <w:rFonts w:ascii="宋体" w:hAnsi="宋体" w:eastAsia="宋体" w:cs="宋体"/>
                <w:sz w:val="18"/>
                <w:szCs w:val="18"/>
              </w:rPr>
              <w:t>2</w:t>
            </w:r>
            <w:r>
              <w:rPr>
                <w:rFonts w:hint="eastAsia" w:ascii="宋体" w:hAnsi="宋体" w:eastAsia="宋体" w:cs="宋体"/>
                <w:sz w:val="18"/>
                <w:szCs w:val="18"/>
              </w:rPr>
              <w:t>分。</w:t>
            </w:r>
          </w:p>
        </w:tc>
      </w:tr>
    </w:tbl>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评标方法</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a、若技术标评审出现总分并列时，比较产品技术与服务承诺部分综合得分，此分项得分高者排序在前；若产品技术与服务承诺综合得分仍相同，则由全体评委成员无记名投票，得票高者排序在前。</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b、评委打分超过得分界限或未按本方法赋分时，该评委的打分按废票处理。</w:t>
      </w:r>
    </w:p>
    <w:p>
      <w:pPr>
        <w:ind w:firstLine="480" w:firstLineChars="200"/>
        <w:rPr>
          <w:rFonts w:hint="eastAsia"/>
          <w:lang w:val="en-US" w:eastAsia="zh-CN"/>
        </w:rPr>
        <w:sectPr>
          <w:headerReference r:id="rId42" w:type="first"/>
          <w:footerReference r:id="rId44" w:type="first"/>
          <w:headerReference r:id="rId41" w:type="default"/>
          <w:footerReference r:id="rId43" w:type="default"/>
          <w:pgSz w:w="16838" w:h="11906" w:orient="landscape"/>
          <w:pgMar w:top="1418" w:right="1588" w:bottom="1418" w:left="1134" w:header="851" w:footer="992" w:gutter="0"/>
          <w:cols w:space="720" w:num="1"/>
          <w:titlePg/>
          <w:docGrid w:type="lines" w:linePitch="312" w:charSpace="0"/>
        </w:sectPr>
      </w:pPr>
      <w:r>
        <w:rPr>
          <w:rFonts w:hint="eastAsia" w:ascii="宋体" w:hAnsi="宋体" w:eastAsia="宋体" w:cs="宋体"/>
          <w:color w:val="000000"/>
          <w:sz w:val="24"/>
          <w:szCs w:val="24"/>
        </w:rPr>
        <w:t>c、评标过程中，若出现本办法以外的特殊情况时，将暂停评标，有关情况处理意见待招标工作小组确认后，再行评定</w:t>
      </w:r>
      <w:r>
        <w:rPr>
          <w:rFonts w:hint="eastAsia" w:ascii="宋体" w:hAnsi="宋体" w:eastAsia="宋体" w:cs="宋体"/>
          <w:color w:val="000000"/>
          <w:sz w:val="24"/>
          <w:szCs w:val="24"/>
          <w:lang w:eastAsia="zh-CN"/>
        </w:rPr>
        <w:t>。</w:t>
      </w:r>
    </w:p>
    <w:p>
      <w:pPr>
        <w:pStyle w:val="18"/>
        <w:outlineLvl w:val="2"/>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附件1</w:t>
      </w:r>
      <w:r>
        <w:rPr>
          <w:rFonts w:hint="eastAsia" w:hAnsi="宋体" w:eastAsia="宋体" w:cs="宋体"/>
          <w:b/>
          <w:bCs/>
          <w:color w:val="000000"/>
          <w:sz w:val="24"/>
          <w:szCs w:val="24"/>
          <w:lang w:val="en-US" w:eastAsia="zh-CN"/>
        </w:rPr>
        <w:t>5</w:t>
      </w:r>
      <w:r>
        <w:rPr>
          <w:rFonts w:hint="eastAsia" w:ascii="宋体" w:hAnsi="宋体" w:eastAsia="宋体" w:cs="宋体"/>
          <w:b/>
          <w:bCs/>
          <w:color w:val="000000"/>
          <w:sz w:val="24"/>
          <w:szCs w:val="24"/>
          <w:lang w:val="en-US" w:eastAsia="zh-CN"/>
        </w:rPr>
        <w:t xml:space="preserve"> SRM非生产供应商注册操作手册</w:t>
      </w:r>
    </w:p>
    <w:p>
      <w:pPr>
        <w:pStyle w:val="18"/>
        <w:rPr>
          <w:rFonts w:hint="eastAsia" w:eastAsia="宋体"/>
          <w:lang w:val="en-US" w:eastAsia="zh-CN"/>
        </w:rPr>
      </w:pPr>
    </w:p>
    <w:p>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浏览器中输入地址;</w:t>
      </w:r>
    </w:p>
    <w:p>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sz w:val="24"/>
          <w:szCs w:val="24"/>
        </w:rPr>
        <w:fldChar w:fldCharType="begin"/>
      </w:r>
      <w:r>
        <w:rPr>
          <w:rFonts w:ascii="宋体" w:hAnsi="宋体" w:eastAsia="宋体" w:cs="宋体"/>
          <w:sz w:val="24"/>
          <w:szCs w:val="24"/>
        </w:rPr>
        <w:instrText xml:space="preserve">HYPERLINK http://ecaitong.sinotruk.com:8012/#/login normalLink \tdkey d38o9f \tdfe -10 \tdfu http://ecaitong.sinotruk.com:8012/#/login \tdlt inline </w:instrText>
      </w:r>
      <w:r>
        <w:rPr>
          <w:rFonts w:ascii="宋体" w:hAnsi="宋体" w:eastAsia="宋体" w:cs="宋体"/>
          <w:sz w:val="24"/>
          <w:szCs w:val="24"/>
        </w:rP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1.点击立即注册</w:t>
      </w:r>
    </w:p>
    <w:p>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46"/>
                    <a:stretch>
                      <a:fillRect/>
                    </a:stretch>
                  </pic:blipFill>
                  <pic:spPr>
                    <a:xfrm>
                      <a:off x="0" y="0"/>
                      <a:ext cx="5760085" cy="2933377"/>
                    </a:xfrm>
                    <a:prstGeom prst="rect">
                      <a:avLst/>
                    </a:prstGeom>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2.</w:t>
      </w:r>
      <w:r>
        <w:rPr>
          <w:rFonts w:ascii="宋体" w:hAnsi="宋体" w:eastAsia="宋体" w:cs="宋体"/>
          <w:i w:val="0"/>
          <w:strike w:val="0"/>
          <w:color w:val="000000"/>
          <w:sz w:val="24"/>
          <w:szCs w:val="28"/>
          <w:u w:val="none"/>
        </w:rPr>
        <w:t>填写手机号码（没有注册过的）</w:t>
      </w:r>
    </w:p>
    <w:p>
      <w:pPr>
        <w:snapToGrid w:val="0"/>
        <w:spacing w:line="312" w:lineRule="auto"/>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47"/>
                    <a:stretch>
                      <a:fillRect/>
                    </a:stretch>
                  </pic:blipFill>
                  <pic:spPr>
                    <a:xfrm>
                      <a:off x="0" y="0"/>
                      <a:ext cx="5760085" cy="2766707"/>
                    </a:xfrm>
                    <a:prstGeom prst="rect">
                      <a:avLst/>
                    </a:prstGeom>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3.</w:t>
      </w:r>
      <w:r>
        <w:rPr>
          <w:rFonts w:ascii="宋体" w:hAnsi="宋体" w:eastAsia="宋体" w:cs="宋体"/>
          <w:i w:val="0"/>
          <w:strike w:val="0"/>
          <w:color w:val="000000"/>
          <w:sz w:val="24"/>
          <w:szCs w:val="28"/>
          <w:u w:val="none"/>
        </w:rPr>
        <w:t>注册成功登录这个手机号码的账号进入系统，点击供应商注册</w:t>
      </w:r>
    </w:p>
    <w:p>
      <w:pPr>
        <w:snapToGrid w:val="0"/>
        <w:spacing w:line="312" w:lineRule="auto"/>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48"/>
                    <a:stretch>
                      <a:fillRect/>
                    </a:stretch>
                  </pic:blipFill>
                  <pic:spPr>
                    <a:xfrm>
                      <a:off x="0" y="0"/>
                      <a:ext cx="5760085" cy="2870054"/>
                    </a:xfrm>
                    <a:prstGeom prst="rect">
                      <a:avLst/>
                    </a:prstGeom>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4.</w:t>
      </w:r>
      <w:r>
        <w:rPr>
          <w:rFonts w:ascii="宋体" w:hAnsi="宋体" w:eastAsia="宋体" w:cs="宋体"/>
          <w:i w:val="0"/>
          <w:strike w:val="0"/>
          <w:color w:val="000000"/>
          <w:sz w:val="24"/>
          <w:szCs w:val="28"/>
          <w:u w:val="none"/>
        </w:rPr>
        <w:t>点击新增</w:t>
      </w:r>
    </w:p>
    <w:p>
      <w:pPr>
        <w:snapToGrid w:val="0"/>
        <w:spacing w:line="312" w:lineRule="auto"/>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49"/>
                    <a:stretch>
                      <a:fillRect/>
                    </a:stretch>
                  </pic:blipFill>
                  <pic:spPr>
                    <a:xfrm>
                      <a:off x="0" y="0"/>
                      <a:ext cx="5760085" cy="2853375"/>
                    </a:xfrm>
                    <a:prstGeom prst="rect">
                      <a:avLst/>
                    </a:prstGeom>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i w:val="0"/>
          <w:strike w:val="0"/>
          <w:color w:val="000000"/>
          <w:sz w:val="24"/>
          <w:szCs w:val="28"/>
          <w:u w:val="none"/>
          <w:lang w:eastAsia="zh-CN"/>
        </w:rPr>
        <w:t>.</w:t>
      </w:r>
      <w:r>
        <w:rPr>
          <w:rFonts w:ascii="宋体" w:hAnsi="宋体" w:eastAsia="宋体" w:cs="宋体"/>
          <w:i w:val="0"/>
          <w:strike w:val="0"/>
          <w:color w:val="000000"/>
          <w:sz w:val="24"/>
          <w:szCs w:val="28"/>
          <w:u w:val="none"/>
        </w:rPr>
        <w:t>按要求填写所有信息，注意非生产类要填写合作单位，最后提交审批</w:t>
      </w:r>
    </w:p>
    <w:p>
      <w:pPr>
        <w:pStyle w:val="18"/>
        <w:rPr>
          <w:rFonts w:hint="default"/>
          <w:lang w:val="en-US" w:eastAsia="zh-CN"/>
        </w:rPr>
      </w:pPr>
    </w:p>
    <w:p>
      <w:pPr>
        <w:snapToGrid/>
        <w:spacing w:before="0" w:after="0" w:line="240" w:lineRule="auto"/>
        <w:ind w:left="0" w:right="0" w:firstLine="0"/>
        <w:jc w:val="both"/>
      </w:pPr>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50"/>
                    <a:stretch>
                      <a:fillRect/>
                    </a:stretch>
                  </pic:blipFill>
                  <pic:spPr>
                    <a:xfrm>
                      <a:off x="0" y="0"/>
                      <a:ext cx="5760085" cy="2810122"/>
                    </a:xfrm>
                    <a:prstGeom prst="rect">
                      <a:avLst/>
                    </a:prstGeom>
                  </pic:spPr>
                </pic:pic>
              </a:graphicData>
            </a:graphic>
          </wp:inline>
        </w:drawing>
      </w:r>
    </w:p>
    <w:p>
      <w:pPr>
        <w:pStyle w:val="18"/>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51"/>
                    <a:stretch>
                      <a:fillRect/>
                    </a:stretch>
                  </pic:blipFill>
                  <pic:spPr>
                    <a:xfrm>
                      <a:off x="0" y="0"/>
                      <a:ext cx="5760085" cy="2820042"/>
                    </a:xfrm>
                    <a:prstGeom prst="rect">
                      <a:avLst/>
                    </a:prstGeom>
                  </pic:spPr>
                </pic:pic>
              </a:graphicData>
            </a:graphic>
          </wp:inline>
        </w:drawing>
      </w:r>
    </w:p>
    <w:p>
      <w:pPr>
        <w:pStyle w:val="18"/>
      </w:pPr>
    </w:p>
    <w:p>
      <w:pPr>
        <w:snapToGrid/>
        <w:spacing w:before="0" w:after="0" w:line="240" w:lineRule="auto"/>
        <w:ind w:left="0" w:right="0" w:firstLine="0"/>
        <w:jc w:val="both"/>
        <w:rPr>
          <w:rFonts w:hint="eastAsia"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注：</w:t>
      </w:r>
    </w:p>
    <w:p>
      <w:pPr>
        <w:snapToGrid/>
        <w:spacing w:before="0" w:after="0" w:line="240" w:lineRule="auto"/>
        <w:ind w:left="0" w:right="0" w:firstLine="0"/>
        <w:jc w:val="both"/>
        <w:rPr>
          <w:rFonts w:hint="default"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1.“项目名称”和“采购形式编号”见投标须知前附表1.1；</w:t>
      </w:r>
    </w:p>
    <w:p>
      <w:pPr>
        <w:pStyle w:val="18"/>
        <w:rPr>
          <w:rFonts w:hint="default"/>
          <w:lang w:val="en-US" w:eastAsia="zh-CN"/>
        </w:rPr>
      </w:pPr>
      <w:r>
        <w:rPr>
          <w:rFonts w:hint="eastAsia" w:ascii="宋体" w:hAnsi="宋体" w:eastAsia="宋体" w:cs="宋体"/>
          <w:b/>
          <w:bCs/>
          <w:i w:val="0"/>
          <w:strike w:val="0"/>
          <w:color w:val="000000"/>
          <w:sz w:val="24"/>
          <w:szCs w:val="28"/>
          <w:highlight w:val="yellow"/>
          <w:u w:val="none"/>
          <w:lang w:val="en-US" w:eastAsia="zh-CN"/>
        </w:rPr>
        <w:t>2.</w:t>
      </w:r>
      <w:r>
        <w:rPr>
          <w:rFonts w:hint="eastAsia" w:hAnsi="宋体" w:eastAsia="宋体" w:cs="宋体"/>
          <w:b/>
          <w:bCs/>
          <w:i w:val="0"/>
          <w:strike w:val="0"/>
          <w:color w:val="000000"/>
          <w:sz w:val="24"/>
          <w:szCs w:val="28"/>
          <w:highlight w:val="yellow"/>
          <w:u w:val="none"/>
          <w:lang w:val="en-US" w:eastAsia="zh-CN"/>
        </w:rPr>
        <w:t>配套能力“供货类别”填“工艺设备”，</w:t>
      </w:r>
      <w:r>
        <w:rPr>
          <w:rFonts w:hint="eastAsia" w:ascii="宋体" w:hAnsi="宋体" w:eastAsia="宋体" w:cs="宋体"/>
          <w:b/>
          <w:bCs/>
          <w:i w:val="0"/>
          <w:strike w:val="0"/>
          <w:color w:val="000000"/>
          <w:sz w:val="24"/>
          <w:szCs w:val="28"/>
          <w:highlight w:val="yellow"/>
          <w:u w:val="none"/>
          <w:lang w:val="en-US" w:eastAsia="zh-CN"/>
        </w:rPr>
        <w:t>业务主管部门选择“</w:t>
      </w:r>
      <w:r>
        <w:rPr>
          <w:rFonts w:hint="eastAsia" w:hAnsi="宋体" w:eastAsia="宋体" w:cs="宋体"/>
          <w:b/>
          <w:bCs/>
          <w:i w:val="0"/>
          <w:strike w:val="0"/>
          <w:color w:val="000000"/>
          <w:sz w:val="24"/>
          <w:szCs w:val="28"/>
          <w:highlight w:val="yellow"/>
          <w:u w:val="none"/>
          <w:lang w:val="en-US" w:eastAsia="zh-CN"/>
        </w:rPr>
        <w:t>工艺工匠研究院</w:t>
      </w:r>
      <w:r>
        <w:rPr>
          <w:rFonts w:hint="eastAsia" w:ascii="宋体" w:hAnsi="宋体" w:eastAsia="宋体" w:cs="宋体"/>
          <w:b/>
          <w:bCs/>
          <w:i w:val="0"/>
          <w:strike w:val="0"/>
          <w:color w:val="000000"/>
          <w:sz w:val="24"/>
          <w:szCs w:val="28"/>
          <w:highlight w:val="yellow"/>
          <w:u w:val="none"/>
          <w:lang w:val="en-US" w:eastAsia="zh-CN"/>
        </w:rPr>
        <w:t>”</w:t>
      </w:r>
      <w:r>
        <w:rPr>
          <w:rFonts w:hint="eastAsia" w:hAnsi="宋体" w:eastAsia="宋体" w:cs="宋体"/>
          <w:b/>
          <w:bCs/>
          <w:i w:val="0"/>
          <w:strike w:val="0"/>
          <w:color w:val="000000"/>
          <w:sz w:val="24"/>
          <w:szCs w:val="28"/>
          <w:highlight w:val="yellow"/>
          <w:u w:val="none"/>
          <w:lang w:val="en-US" w:eastAsia="zh-CN"/>
        </w:rPr>
        <w:t>。</w:t>
      </w:r>
    </w:p>
    <w:p>
      <w:pPr>
        <w:pStyle w:val="18"/>
        <w:sectPr>
          <w:pgSz w:w="11906" w:h="16838"/>
          <w:pgMar w:top="1588" w:right="1418" w:bottom="1134" w:left="1418" w:header="851" w:footer="992" w:gutter="0"/>
          <w:cols w:space="720" w:num="1"/>
          <w:titlePg/>
          <w:docGrid w:type="lines" w:linePitch="312" w:charSpace="0"/>
        </w:sectPr>
      </w:pPr>
    </w:p>
    <w:p>
      <w:pPr>
        <w:pStyle w:val="18"/>
        <w:outlineLvl w:val="2"/>
        <w:rPr>
          <w:rFonts w:hint="eastAsia" w:ascii="宋体" w:hAnsi="宋体" w:eastAsia="宋体" w:cs="Times New Roman"/>
          <w:b/>
          <w:color w:val="000000"/>
          <w:sz w:val="24"/>
          <w:szCs w:val="24"/>
          <w:lang w:val="en-US" w:eastAsia="zh-CN"/>
        </w:rPr>
      </w:pPr>
      <w:r>
        <w:rPr>
          <w:rFonts w:hint="eastAsia" w:ascii="宋体" w:hAnsi="宋体" w:eastAsia="宋体" w:cs="宋体"/>
          <w:b/>
          <w:bCs/>
          <w:color w:val="000000"/>
          <w:sz w:val="24"/>
          <w:szCs w:val="24"/>
          <w:lang w:val="en-US" w:eastAsia="zh-CN"/>
        </w:rPr>
        <w:t>附件</w:t>
      </w:r>
      <w:r>
        <w:rPr>
          <w:rFonts w:hint="eastAsia" w:hAnsi="宋体" w:eastAsia="宋体" w:cs="宋体"/>
          <w:b/>
          <w:bCs/>
          <w:color w:val="000000"/>
          <w:sz w:val="24"/>
          <w:szCs w:val="24"/>
          <w:lang w:val="en-US" w:eastAsia="zh-CN"/>
        </w:rPr>
        <w:t>16</w:t>
      </w:r>
      <w:r>
        <w:rPr>
          <w:rFonts w:hint="eastAsia" w:ascii="宋体" w:hAnsi="宋体" w:eastAsia="宋体" w:cs="宋体"/>
          <w:b/>
          <w:bCs/>
          <w:color w:val="000000"/>
          <w:sz w:val="24"/>
          <w:szCs w:val="24"/>
          <w:lang w:val="en-US" w:eastAsia="zh-CN"/>
        </w:rPr>
        <w:t xml:space="preserve"> </w:t>
      </w:r>
      <w:r>
        <w:rPr>
          <w:rFonts w:hint="eastAsia" w:ascii="宋体" w:hAnsi="宋体" w:eastAsia="宋体" w:cs="Times New Roman"/>
          <w:b/>
          <w:color w:val="000000"/>
          <w:sz w:val="24"/>
          <w:szCs w:val="24"/>
          <w:lang w:val="en-US" w:eastAsia="zh-CN"/>
        </w:rPr>
        <w:t>SRM系统供应商用户手册</w:t>
      </w:r>
    </w:p>
    <w:p>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系统网址：</w:t>
      </w:r>
      <w:r>
        <w:rPr>
          <w:rStyle w:val="47"/>
          <w:rFonts w:hint="eastAsia" w:ascii="宋体" w:hAnsi="宋体" w:eastAsia="宋体" w:cs="宋体"/>
          <w:sz w:val="24"/>
          <w:szCs w:val="24"/>
        </w:rPr>
        <w:fldChar w:fldCharType="begin"/>
      </w:r>
      <w:r>
        <w:rPr>
          <w:rStyle w:val="47"/>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47"/>
          <w:rFonts w:hint="eastAsia" w:ascii="宋体" w:hAnsi="宋体" w:eastAsia="宋体" w:cs="宋体"/>
          <w:sz w:val="24"/>
          <w:szCs w:val="24"/>
        </w:rPr>
        <w:fldChar w:fldCharType="separate"/>
      </w:r>
      <w:r>
        <w:rPr>
          <w:rStyle w:val="47"/>
          <w:rFonts w:hint="eastAsia" w:ascii="宋体" w:hAnsi="宋体" w:eastAsia="宋体" w:cs="宋体"/>
          <w:sz w:val="24"/>
          <w:szCs w:val="24"/>
        </w:rPr>
        <w:t>http</w:t>
      </w:r>
      <w:r>
        <w:rPr>
          <w:rStyle w:val="47"/>
          <w:rFonts w:hint="eastAsia" w:ascii="宋体" w:hAnsi="宋体" w:eastAsia="宋体" w:cs="宋体"/>
          <w:sz w:val="24"/>
          <w:szCs w:val="24"/>
          <w:lang w:val="en-US" w:eastAsia="zh-CN"/>
        </w:rPr>
        <w:t>s</w:t>
      </w:r>
      <w:r>
        <w:rPr>
          <w:rStyle w:val="47"/>
          <w:rFonts w:hint="eastAsia" w:ascii="宋体" w:hAnsi="宋体" w:eastAsia="宋体" w:cs="宋体"/>
          <w:sz w:val="24"/>
          <w:szCs w:val="24"/>
        </w:rPr>
        <w:t>://ecaitong.sinotruk.com:8012/</w:t>
      </w:r>
      <w:r>
        <w:rPr>
          <w:rStyle w:val="47"/>
          <w:rFonts w:hint="eastAsia" w:ascii="宋体" w:hAnsi="宋体" w:eastAsia="宋体" w:cs="宋体"/>
          <w:sz w:val="24"/>
          <w:szCs w:val="24"/>
        </w:rPr>
        <w:fldChar w:fldCharType="end"/>
      </w:r>
    </w:p>
    <w:p>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用 户 名：gys+供应商代码</w:t>
      </w:r>
      <w:r>
        <w:rPr>
          <w:rFonts w:hint="eastAsia" w:ascii="宋体" w:hAnsi="宋体" w:eastAsia="宋体" w:cs="宋体"/>
          <w:i w:val="0"/>
          <w:strike w:val="0"/>
          <w:color w:val="000000"/>
          <w:sz w:val="24"/>
          <w:szCs w:val="24"/>
          <w:u w:val="none"/>
          <w:lang w:eastAsia="zh-CN"/>
        </w:rPr>
        <w:t>（</w:t>
      </w:r>
      <w:r>
        <w:rPr>
          <w:rFonts w:hint="eastAsia" w:ascii="宋体" w:hAnsi="宋体" w:eastAsia="宋体" w:cs="宋体"/>
          <w:i w:val="0"/>
          <w:strike w:val="0"/>
          <w:color w:val="FF0000"/>
          <w:sz w:val="24"/>
          <w:szCs w:val="24"/>
          <w:highlight w:val="none"/>
          <w:u w:val="none"/>
          <w:lang w:val="en-US" w:eastAsia="zh-CN"/>
        </w:rPr>
        <w:t>注意：注册完毕后，用户名不要用手机号登录</w:t>
      </w:r>
      <w:r>
        <w:rPr>
          <w:rFonts w:hint="eastAsia" w:ascii="宋体" w:hAnsi="宋体" w:eastAsia="宋体" w:cs="宋体"/>
          <w:i w:val="0"/>
          <w:strike w:val="0"/>
          <w:color w:val="000000"/>
          <w:sz w:val="24"/>
          <w:szCs w:val="24"/>
          <w:u w:val="none"/>
          <w:lang w:eastAsia="zh-CN"/>
        </w:rPr>
        <w:t>）</w:t>
      </w:r>
    </w:p>
    <w:p>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初始密码：</w:t>
      </w:r>
      <w:r>
        <w:rPr>
          <w:rFonts w:hint="eastAsia" w:ascii="宋体" w:hAnsi="宋体" w:eastAsia="宋体" w:cs="宋体"/>
          <w:i w:val="0"/>
          <w:strike w:val="0"/>
          <w:color w:val="000000"/>
          <w:sz w:val="24"/>
          <w:szCs w:val="24"/>
          <w:highlight w:val="yellow"/>
          <w:u w:val="none"/>
          <w:lang w:val="en-US" w:eastAsia="zh-CN"/>
        </w:rPr>
        <w:t>scm</w:t>
      </w:r>
      <w:r>
        <w:rPr>
          <w:rFonts w:hint="eastAsia" w:ascii="宋体" w:hAnsi="宋体" w:eastAsia="宋体" w:cs="宋体"/>
          <w:i w:val="0"/>
          <w:strike w:val="0"/>
          <w:color w:val="000000"/>
          <w:sz w:val="24"/>
          <w:szCs w:val="24"/>
          <w:highlight w:val="yellow"/>
          <w:u w:val="none"/>
        </w:rPr>
        <w:t>@202</w:t>
      </w:r>
      <w:r>
        <w:rPr>
          <w:rFonts w:hint="eastAsia" w:ascii="宋体" w:hAnsi="宋体" w:eastAsia="宋体" w:cs="宋体"/>
          <w:i w:val="0"/>
          <w:strike w:val="0"/>
          <w:color w:val="000000"/>
          <w:sz w:val="24"/>
          <w:szCs w:val="24"/>
          <w:highlight w:val="yellow"/>
          <w:u w:val="none"/>
          <w:lang w:val="en-US" w:eastAsia="zh-CN"/>
        </w:rPr>
        <w:t>2</w:t>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pPr>
        <w:snapToGrid/>
        <w:spacing w:before="0" w:after="0" w:line="240" w:lineRule="auto"/>
        <w:ind w:left="0" w:right="0"/>
        <w:jc w:val="both"/>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52"/>
                    <a:stretch>
                      <a:fillRect/>
                    </a:stretch>
                  </pic:blipFill>
                  <pic:spPr>
                    <a:xfrm>
                      <a:off x="0" y="0"/>
                      <a:ext cx="5760085" cy="2269864"/>
                    </a:xfrm>
                    <a:prstGeom prst="rect">
                      <a:avLst/>
                    </a:prstGeom>
                  </pic:spPr>
                </pic:pic>
              </a:graphicData>
            </a:graphic>
          </wp:inline>
        </w:drawing>
      </w:r>
    </w:p>
    <w:p>
      <w:pPr>
        <w:snapToGrid/>
        <w:spacing w:before="0" w:after="0" w:line="240" w:lineRule="auto"/>
        <w:ind w:left="0" w:right="0"/>
        <w:jc w:val="both"/>
      </w:pP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53"/>
                    <a:stretch>
                      <a:fillRect/>
                    </a:stretch>
                  </pic:blipFill>
                  <pic:spPr>
                    <a:xfrm>
                      <a:off x="0" y="0"/>
                      <a:ext cx="5760085" cy="2125673"/>
                    </a:xfrm>
                    <a:prstGeom prst="rect">
                      <a:avLst/>
                    </a:prstGeom>
                  </pic:spPr>
                </pic:pic>
              </a:graphicData>
            </a:graphic>
          </wp:inline>
        </w:drawing>
      </w:r>
    </w:p>
    <w:p>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pPr>
        <w:pStyle w:val="18"/>
      </w:pPr>
      <w:r>
        <w:rPr>
          <w:rFonts w:hint="eastAsia" w:ascii="宋体" w:hAnsi="宋体" w:eastAsia="宋体" w:cs="宋体"/>
          <w:i w:val="0"/>
          <w:strike w:val="0"/>
          <w:color w:val="000000"/>
          <w:sz w:val="24"/>
          <w:szCs w:val="28"/>
          <w:highlight w:val="yellow"/>
          <w:u w:val="none"/>
          <w:lang w:val="en-US" w:eastAsia="zh-CN"/>
        </w:rPr>
        <w:t>注意：系统内的投标报价单位为“万元”，如开标现场发现填错报价，即直接淘汰</w:t>
      </w:r>
      <w:r>
        <w:rPr>
          <w:rFonts w:hint="eastAsia" w:hAnsi="宋体" w:eastAsia="宋体" w:cs="宋体"/>
          <w:i w:val="0"/>
          <w:strike w:val="0"/>
          <w:color w:val="000000"/>
          <w:sz w:val="24"/>
          <w:szCs w:val="28"/>
          <w:highlight w:val="yellow"/>
          <w:u w:val="none"/>
          <w:lang w:val="en-US" w:eastAsia="zh-CN"/>
        </w:rPr>
        <w:t>。</w:t>
      </w:r>
    </w:p>
    <w:p>
      <w:pPr>
        <w:pStyle w:val="6"/>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54"/>
                    <a:stretch>
                      <a:fillRect/>
                    </a:stretch>
                  </pic:blipFill>
                  <pic:spPr>
                    <a:xfrm>
                      <a:off x="0" y="0"/>
                      <a:ext cx="5490210" cy="2669498"/>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点击编辑按钮进入系统，上传技术标澄清函。</w:t>
      </w:r>
    </w:p>
    <w:p>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55"/>
                    <a:stretch>
                      <a:fillRect/>
                    </a:stretch>
                  </pic:blipFill>
                  <pic:spPr>
                    <a:xfrm>
                      <a:off x="0" y="0"/>
                      <a:ext cx="5490210" cy="1992743"/>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pPr>
        <w:pStyle w:val="6"/>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56"/>
                    <a:stretch>
                      <a:fillRect/>
                    </a:stretch>
                  </pic:blipFill>
                  <pic:spPr>
                    <a:xfrm>
                      <a:off x="0" y="0"/>
                      <a:ext cx="5490210" cy="2544669"/>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pPr>
        <w:snapToGrid/>
        <w:spacing w:before="0" w:after="0" w:line="240" w:lineRule="auto"/>
        <w:ind w:left="0" w:right="0"/>
        <w:jc w:val="both"/>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57"/>
                    <a:stretch>
                      <a:fillRect/>
                    </a:stretch>
                  </pic:blipFill>
                  <pic:spPr>
                    <a:xfrm>
                      <a:off x="0" y="0"/>
                      <a:ext cx="5760085" cy="1956600"/>
                    </a:xfrm>
                    <a:prstGeom prst="rect">
                      <a:avLst/>
                    </a:prstGeom>
                  </pic:spPr>
                </pic:pic>
              </a:graphicData>
            </a:graphic>
          </wp:inline>
        </w:drawing>
      </w:r>
    </w:p>
    <w:p>
      <w:pPr>
        <w:pStyle w:val="18"/>
        <w:rPr>
          <w:rFonts w:hint="eastAsia" w:hAnsi="宋体" w:eastAsia="宋体" w:cs="Times New Roman"/>
          <w:b/>
          <w:color w:val="000000"/>
          <w:sz w:val="24"/>
          <w:szCs w:val="24"/>
          <w:lang w:val="en-US" w:eastAsia="zh-CN"/>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方正小标宋简体">
    <w:panose1 w:val="02000000000000000000"/>
    <w:charset w:val="86"/>
    <w:family w:val="script"/>
    <w:pitch w:val="default"/>
    <w:sig w:usb0="A00002BF" w:usb1="184F6CFA" w:usb2="00000012" w:usb3="00000000" w:csb0="00040001"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pPr>
                      <w:pStyle w:val="23"/>
                    </w:pPr>
                    <w:r>
                      <w:fldChar w:fldCharType="begin"/>
                    </w:r>
                    <w:r>
                      <w:instrText xml:space="preserve"> PAGE  \* MERGEFORMAT </w:instrText>
                    </w:r>
                    <w:r>
                      <w:fldChar w:fldCharType="separate"/>
                    </w:r>
                    <w:r>
                      <w:t>94</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pPr>
                      <w:pStyle w:val="23"/>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ascii="宋体" w:hAnsi="宋体" w:eastAsia="宋体" w:cs="宋体"/>
        <w:sz w:val="18"/>
        <w:szCs w:val="18"/>
      </w:rP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ascii="宋体" w:hAnsi="宋体" w:eastAsia="宋体" w:cs="宋体"/>
        <w:sz w:val="18"/>
        <w:szCs w:val="18"/>
      </w:rP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pStyle w:val="23"/>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3"/>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tabs>
        <w:tab w:val="clear" w:pos="4153"/>
      </w:tabs>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pPr>
                      <w:pStyle w:val="2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rPr>
        <w:rFonts w:hint="eastAsia"/>
      </w:rPr>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lB9vIzAgAAZQQAAA4AAABkcnMvZTJvRG9jLnhtbK1UzY7TMBC+I/EO&#10;lu80bYGqqp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lB9vIzAgAAZQQAAA4AAAAAAAAAAQAgAAAAHwEAAGRycy9lMm9Eb2MueG1sUEsF&#10;BgAAAAAGAAYAWQEAAMQ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v:textbox>
            </v:shape>
          </w:pict>
        </mc:Fallback>
      </mc:AlternateConten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91</w:t>
                    </w:r>
                    <w:r>
                      <w:rPr>
                        <w:rFonts w:hint="eastAsia"/>
                        <w:sz w:val="1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u1VaEzAgAAZAQAAA4AAAAAAAAAAQAgAAAAHwEAAGRycy9lMm9Eb2MueG1sUEsF&#10;BgAAAAAGAAYAWQEAAMQ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7b30zAgAAZQ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V7b30zAgAAZQQAAA4AAAAAAAAAAQAgAAAAHwEAAGRycy9lMm9Eb2MueG1sUEsF&#10;BgAAAAAGAAYAWQEAAMQ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28</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23"/>
                          </w:pPr>
                          <w:r>
                            <w:fldChar w:fldCharType="begin"/>
                          </w:r>
                          <w:r>
                            <w:instrText xml:space="preserve"> PAGE  \* MERGEFORMAT </w:instrText>
                          </w:r>
                          <w:r>
                            <w:fldChar w:fldCharType="separate"/>
                          </w:r>
                          <w:r>
                            <w:t>- 2 -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1Z10szAgAAZQQAAA4AAAAAAAAAAQAgAAAAHwEAAGRycy9lMm9Eb2MueG1sUEsF&#10;BgAAAAAGAAYAWQEAAMQFAAAAAA==&#10;">
              <v:fill on="f" focussize="0,0"/>
              <v:stroke on="f" weight="0.5pt"/>
              <v:imagedata o:title=""/>
              <o:lock v:ext="edit" aspectratio="f"/>
              <v:textbox inset="0mm,0mm,0mm,0mm" style="mso-fit-shape-to-text:t;">
                <w:txbxContent>
                  <w:p>
                    <w:pPr>
                      <w:pStyle w:val="23"/>
                    </w:pPr>
                    <w:r>
                      <w:fldChar w:fldCharType="begin"/>
                    </w:r>
                    <w:r>
                      <w:instrText xml:space="preserve"> PAGE  \* MERGEFORMAT </w:instrText>
                    </w:r>
                    <w:r>
                      <w:fldChar w:fldCharType="separate"/>
                    </w:r>
                    <w:r>
                      <w:t>- 2 -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r>
                            <w:t xml:space="preserve">第 </w:t>
                          </w:r>
                          <w:r>
                            <w:fldChar w:fldCharType="begin"/>
                          </w:r>
                          <w:r>
                            <w:instrText xml:space="preserve"> PAGE  \* MERGEFORMAT </w:instrText>
                          </w:r>
                          <w:r>
                            <w:fldChar w:fldCharType="separate"/>
                          </w:r>
                          <w:r>
                            <w:t>0</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4"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e0lRONAIAAGMEAAAOAAAAAAAAAAEAIAAAAB8BAABkcnMvZTJvRG9jLnhtbFBL&#10;BQYAAAAABgAGAFkBAADFBQAAAAA=&#10;">
              <v:fill on="f" focussize="0,0"/>
              <v:stroke on="f" weight="0.5pt"/>
              <v:imagedata o:title=""/>
              <o:lock v:ext="edit" aspectratio="f"/>
              <v:textbox inset="0mm,0mm,0mm,0mm" style="mso-fit-shape-to-text:t;">
                <w:txbxContent>
                  <w:p>
                    <w:pPr>
                      <w:pStyle w:val="23"/>
                    </w:pPr>
                    <w:r>
                      <w:t xml:space="preserve">第 </w:t>
                    </w:r>
                    <w:r>
                      <w:fldChar w:fldCharType="begin"/>
                    </w:r>
                    <w:r>
                      <w:instrText xml:space="preserve"> PAGE  \* MERGEFORMAT </w:instrText>
                    </w:r>
                    <w:r>
                      <w:fldChar w:fldCharType="separate"/>
                    </w:r>
                    <w:r>
                      <w:t>0</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v:textbox>
            </v:shape>
          </w:pict>
        </mc:Fallback>
      </mc:AlternateContent>
    </w: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4"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AwiNJaNAIAAGIEAAAOAAAAAAAAAAEAIAAAAB8BAABkcnMvZTJvRG9jLnhtbFBL&#10;BQYAAAAABgAGAFkBAADFBQAAAAA=&#10;">
              <v:fill on="f" focussize="0,0"/>
              <v:stroke on="f" weight="0.5pt"/>
              <v:imagedata o:title=""/>
              <o:lock v:ext="edit" aspectratio="f"/>
              <v:textbox inset="0mm,0mm,0mm,0mm" style="mso-fit-shape-to-text:t;">
                <w:txbxContent>
                  <w:p>
                    <w:pPr>
                      <w:pStyle w:val="23"/>
                    </w:pP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5"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l32v0sAgAAVg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Xfa/SwCAABWBAAADgAAAAAAAAABACAAAAAfAQAAZHJzL2Uyb0RvYy54bWxQSwUGAAAAAAYA&#10;BgBZAQAAvQUAAAAA&#10;">
              <v:fill on="f" focussize="0,0"/>
              <v:stroke on="f" weight="0.5pt"/>
              <v:imagedata o:title=""/>
              <o:lock v:ext="edit" aspectratio="f"/>
              <v:textbox inset="0mm,0mm,0mm,0mm" style="mso-fit-shape-to-text:t;">
                <w:txbxContent>
                  <w:p>
                    <w:pPr>
                      <w:pStyle w:val="23"/>
                    </w:pP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41" name="文本框 6"/>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6" o:spid="_x0000_s1026" o:spt="202" type="#_x0000_t202" style="position:absolute;left:0pt;margin-left:222.35pt;margin-top:0.25pt;height:18.75pt;width:59.25pt;mso-position-horizontal-relative:margin;z-index:251659264;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qfMXktYAAAAHAQAADwAAAAAAAAABACAAAAAiAAAAZHJzL2Rvd25yZXYueG1s&#10;UEsBAhQAFAAAAAgAh07iQAyD538zAgAAVgQAAA4AAAAAAAAAAQAgAAAAJQEAAGRycy9lMm9Eb2Mu&#10;eG1sUEsFBgAAAAAGAAYAWQEAAMoFAAAAAA==&#10;">
              <v:fill on="f" focussize="0,0"/>
              <v:stroke on="f" weight="0.5pt"/>
              <v:imagedata o:title=""/>
              <o:lock v:ext="edit" aspectratio="f"/>
              <v:textbox inset="0mm,0mm,0mm,0mm">
                <w:txbxContent>
                  <w:p>
                    <w:pPr>
                      <w:pStyle w:val="23"/>
                    </w:pPr>
                  </w:p>
                </w:txbxContent>
              </v:textbox>
            </v:shape>
          </w:pict>
        </mc:Fallback>
      </mc:AlternateContent>
    </w:r>
  </w:p>
  <w:p>
    <w:pPr>
      <w:pStyle w:val="23"/>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s7pEMzAgAAYg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s7pEMzAgAAYgQAAA4AAAAAAAAAAQAgAAAAHwEAAGRycy9lMm9Eb2MueG1sUEsF&#10;BgAAAAAGAAYAWQEAAMQFAAAAAA==&#10;">
              <v:fill on="f" focussize="0,0"/>
              <v:stroke on="f" weight="0.5pt"/>
              <v:imagedata o:title=""/>
              <o:lock v:ext="edit" aspectratio="f"/>
              <v:textbox inset="0mm,0mm,0mm,0mm" style="mso-fit-shape-to-text:t;">
                <w:txbxContent>
                  <w:p>
                    <w:pPr>
                      <w:pStyle w:val="23"/>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v:textbox>
            </v:shape>
          </w:pict>
        </mc:Fallback>
      </mc:AlternateContent>
    </w: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WQxBczAgAAYg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WQxBczAgAAYgQAAA4AAAAAAAAAAQAgAAAAHwEAAGRycy9lMm9Eb2MueG1sUEsF&#10;BgAAAAAGAAYAWQEAAMQFAAAAAA==&#10;">
              <v:fill on="f" focussize="0,0"/>
              <v:stroke on="f" weight="0.5pt"/>
              <v:imagedata o:title=""/>
              <o:lock v:ext="edit" aspectratio="f"/>
              <v:textbox inset="0mm,0mm,0mm,0mm" style="mso-fit-shape-to-text:t;">
                <w:txbxContent>
                  <w:p>
                    <w:pPr>
                      <w:pStyle w:val="23"/>
                    </w:pPr>
                  </w:p>
                </w:txbxContent>
              </v:textbox>
            </v:shape>
          </w:pict>
        </mc:Fallback>
      </mc:AlternateContent>
    </w: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YnLvItAgAAVgQAAA4AAAAAAAAAAQAgAAAAHwEAAGRycy9lMm9Eb2MueG1sUEsFBgAAAAAG&#10;AAYAWQEAAL4FAAAAAA==&#10;">
              <v:fill on="f" focussize="0,0"/>
              <v:stroke on="f" weight="0.5pt"/>
              <v:imagedata o:title=""/>
              <o:lock v:ext="edit" aspectratio="f"/>
              <v:textbox inset="0mm,0mm,0mm,0mm" style="mso-fit-shape-to-text:t;">
                <w:txbxContent>
                  <w:p>
                    <w:pPr>
                      <w:pStyle w:val="23"/>
                    </w:pP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45" name="文本框 7"/>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7" o:spid="_x0000_s1026" o:spt="202" type="#_x0000_t202" style="position:absolute;left:0pt;margin-left:222.35pt;margin-top:0.25pt;height:18.75pt;width:59.25pt;mso-position-horizontal-relative:margin;z-index:251662336;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qfMXktYAAAAHAQAADwAAAAAAAAABACAAAAAiAAAAZHJzL2Rvd25yZXYueG1s&#10;UEsBAhQAFAAAAAgAh07iQNGM5ZQzAgAAVgQAAA4AAAAAAAAAAQAgAAAAJQEAAGRycy9lMm9Eb2Mu&#10;eG1sUEsFBgAAAAAGAAYAWQEAAMoFAAAAAA==&#10;">
              <v:fill on="f" focussize="0,0"/>
              <v:stroke on="f" weight="0.5pt"/>
              <v:imagedata o:title=""/>
              <o:lock v:ext="edit" aspectratio="f"/>
              <v:textbox inset="0mm,0mm,0mm,0mm">
                <w:txbxContent>
                  <w:p>
                    <w:pPr>
                      <w:pStyle w:val="23"/>
                    </w:pPr>
                  </w:p>
                </w:txbxContent>
              </v:textbox>
            </v:shape>
          </w:pict>
        </mc:Fallback>
      </mc:AlternateContent>
    </w:r>
  </w:p>
  <w:p>
    <w:pPr>
      <w:pStyle w:val="2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none" w:color="auto" w:sz="0" w:space="1"/>
      </w:pBd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none" w:color="auto" w:sz="0" w:space="1"/>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none" w:color="auto" w:sz="0" w:space="1"/>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p>
  <w:p>
    <w:pPr>
      <w:pStyle w:val="24"/>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p>
  <w:p>
    <w:pPr>
      <w:pStyle w:val="2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0A14D0"/>
    <w:multiLevelType w:val="singleLevel"/>
    <w:tmpl w:val="9D0A14D0"/>
    <w:lvl w:ilvl="0" w:tentative="0">
      <w:start w:val="5"/>
      <w:numFmt w:val="chineseCounting"/>
      <w:suff w:val="space"/>
      <w:lvlText w:val="第%1章"/>
      <w:lvlJc w:val="left"/>
      <w:rPr>
        <w:rFonts w:hint="eastAsia"/>
      </w:rPr>
    </w:lvl>
  </w:abstractNum>
  <w:abstractNum w:abstractNumId="1">
    <w:nsid w:val="A53CF982"/>
    <w:multiLevelType w:val="singleLevel"/>
    <w:tmpl w:val="A53CF982"/>
    <w:lvl w:ilvl="0" w:tentative="0">
      <w:start w:val="1"/>
      <w:numFmt w:val="bullet"/>
      <w:lvlText w:val=""/>
      <w:lvlJc w:val="left"/>
      <w:pPr>
        <w:ind w:left="420" w:hanging="420"/>
      </w:pPr>
      <w:rPr>
        <w:rFonts w:hint="default" w:ascii="Wingdings" w:hAnsi="Wingdings"/>
      </w:rPr>
    </w:lvl>
  </w:abstractNum>
  <w:abstractNum w:abstractNumId="2">
    <w:nsid w:val="A6849FB6"/>
    <w:multiLevelType w:val="singleLevel"/>
    <w:tmpl w:val="A6849FB6"/>
    <w:lvl w:ilvl="0" w:tentative="0">
      <w:start w:val="2"/>
      <w:numFmt w:val="chineseCounting"/>
      <w:suff w:val="nothing"/>
      <w:lvlText w:val="%1、"/>
      <w:lvlJc w:val="left"/>
      <w:rPr>
        <w:rFonts w:hint="eastAsia"/>
      </w:rPr>
    </w:lvl>
  </w:abstractNum>
  <w:abstractNum w:abstractNumId="3">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4">
    <w:nsid w:val="00000005"/>
    <w:multiLevelType w:val="multilevel"/>
    <w:tmpl w:val="00000005"/>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pStyle w:val="135"/>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5">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6">
    <w:nsid w:val="06DF48CC"/>
    <w:multiLevelType w:val="multilevel"/>
    <w:tmpl w:val="06DF48CC"/>
    <w:lvl w:ilvl="0" w:tentative="0">
      <w:start w:val="1"/>
      <w:numFmt w:val="japaneseCounting"/>
      <w:lvlText w:val="%1、"/>
      <w:lvlJc w:val="left"/>
      <w:pPr>
        <w:ind w:left="500" w:hanging="500"/>
      </w:pPr>
      <w:rPr>
        <w:rFonts w:hint="default"/>
        <w:b/>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7">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8">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9">
    <w:nsid w:val="26728E47"/>
    <w:multiLevelType w:val="singleLevel"/>
    <w:tmpl w:val="26728E47"/>
    <w:lvl w:ilvl="0" w:tentative="0">
      <w:start w:val="1"/>
      <w:numFmt w:val="bullet"/>
      <w:lvlText w:val=""/>
      <w:lvlJc w:val="left"/>
      <w:pPr>
        <w:ind w:left="420" w:hanging="420"/>
      </w:pPr>
      <w:rPr>
        <w:rFonts w:hint="default" w:ascii="Wingdings" w:hAnsi="Wingdings"/>
      </w:rPr>
    </w:lvl>
  </w:abstractNum>
  <w:abstractNum w:abstractNumId="10">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11">
    <w:nsid w:val="32B2BE1D"/>
    <w:multiLevelType w:val="singleLevel"/>
    <w:tmpl w:val="32B2BE1D"/>
    <w:lvl w:ilvl="0" w:tentative="0">
      <w:start w:val="1"/>
      <w:numFmt w:val="bullet"/>
      <w:lvlText w:val=""/>
      <w:lvlJc w:val="left"/>
      <w:pPr>
        <w:ind w:left="420" w:hanging="420"/>
      </w:pPr>
      <w:rPr>
        <w:rFonts w:hint="default" w:ascii="Wingdings" w:hAnsi="Wingdings"/>
      </w:rPr>
    </w:lvl>
  </w:abstractNum>
  <w:abstractNum w:abstractNumId="12">
    <w:nsid w:val="39A4E181"/>
    <w:multiLevelType w:val="singleLevel"/>
    <w:tmpl w:val="39A4E181"/>
    <w:lvl w:ilvl="0" w:tentative="0">
      <w:start w:val="1"/>
      <w:numFmt w:val="bullet"/>
      <w:lvlText w:val=""/>
      <w:lvlJc w:val="left"/>
      <w:pPr>
        <w:ind w:left="420" w:hanging="420"/>
      </w:pPr>
      <w:rPr>
        <w:rFonts w:hint="default" w:ascii="Wingdings" w:hAnsi="Wingdings"/>
      </w:rPr>
    </w:lvl>
  </w:abstractNum>
  <w:abstractNum w:abstractNumId="13">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14">
    <w:nsid w:val="646260FA"/>
    <w:multiLevelType w:val="multilevel"/>
    <w:tmpl w:val="646260FA"/>
    <w:lvl w:ilvl="0" w:tentative="0">
      <w:start w:val="1"/>
      <w:numFmt w:val="decimal"/>
      <w:pStyle w:val="158"/>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5">
    <w:nsid w:val="6E8C6948"/>
    <w:multiLevelType w:val="singleLevel"/>
    <w:tmpl w:val="6E8C6948"/>
    <w:lvl w:ilvl="0" w:tentative="0">
      <w:start w:val="1"/>
      <w:numFmt w:val="chineseCounting"/>
      <w:suff w:val="space"/>
      <w:lvlText w:val="第%1部分"/>
      <w:lvlJc w:val="left"/>
      <w:rPr>
        <w:rFonts w:hint="eastAsia"/>
      </w:rPr>
    </w:lvl>
  </w:abstractNum>
  <w:abstractNum w:abstractNumId="16">
    <w:nsid w:val="78DED5D6"/>
    <w:multiLevelType w:val="singleLevel"/>
    <w:tmpl w:val="78DED5D6"/>
    <w:lvl w:ilvl="0" w:tentative="0">
      <w:start w:val="2"/>
      <w:numFmt w:val="decimal"/>
      <w:suff w:val="nothing"/>
      <w:lvlText w:val="%1、"/>
      <w:lvlJc w:val="left"/>
    </w:lvl>
  </w:abstractNum>
  <w:abstractNum w:abstractNumId="17">
    <w:nsid w:val="7A612DE2"/>
    <w:multiLevelType w:val="singleLevel"/>
    <w:tmpl w:val="7A612DE2"/>
    <w:lvl w:ilvl="0" w:tentative="0">
      <w:start w:val="2"/>
      <w:numFmt w:val="decimal"/>
      <w:lvlText w:val="%1."/>
      <w:lvlJc w:val="left"/>
      <w:pPr>
        <w:tabs>
          <w:tab w:val="left" w:pos="312"/>
        </w:tabs>
      </w:pPr>
    </w:lvl>
  </w:abstractNum>
  <w:num w:numId="1">
    <w:abstractNumId w:val="4"/>
  </w:num>
  <w:num w:numId="2">
    <w:abstractNumId w:val="14"/>
  </w:num>
  <w:num w:numId="3">
    <w:abstractNumId w:val="15"/>
  </w:num>
  <w:num w:numId="4">
    <w:abstractNumId w:val="2"/>
  </w:num>
  <w:num w:numId="5">
    <w:abstractNumId w:val="17"/>
  </w:num>
  <w:num w:numId="6">
    <w:abstractNumId w:val="8"/>
  </w:num>
  <w:num w:numId="7">
    <w:abstractNumId w:val="5"/>
  </w:num>
  <w:num w:numId="8">
    <w:abstractNumId w:val="13"/>
  </w:num>
  <w:num w:numId="9">
    <w:abstractNumId w:val="3"/>
  </w:num>
  <w:num w:numId="10">
    <w:abstractNumId w:val="10"/>
  </w:num>
  <w:num w:numId="11">
    <w:abstractNumId w:val="7"/>
  </w:num>
  <w:num w:numId="12">
    <w:abstractNumId w:val="6"/>
  </w:num>
  <w:num w:numId="13">
    <w:abstractNumId w:val="12"/>
  </w:num>
  <w:num w:numId="14">
    <w:abstractNumId w:val="9"/>
  </w:num>
  <w:num w:numId="15">
    <w:abstractNumId w:val="11"/>
  </w:num>
  <w:num w:numId="16">
    <w:abstractNumId w:val="1"/>
  </w:num>
  <w:num w:numId="17">
    <w:abstractNumId w:val="16"/>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M4YzFjOWU0Nzg0NmRkMzI1ZDk2YmYxNGU0NmE0YTUifQ=="/>
    <w:docVar w:name="KSO_WPS_MARK_KEY" w:val="288773bf-0df4-413a-9f38-c1906dd68f40"/>
  </w:docVars>
  <w:rsids>
    <w:rsidRoot w:val="0056018A"/>
    <w:rsid w:val="000139F5"/>
    <w:rsid w:val="00022B06"/>
    <w:rsid w:val="00036836"/>
    <w:rsid w:val="0005777A"/>
    <w:rsid w:val="00065382"/>
    <w:rsid w:val="00080223"/>
    <w:rsid w:val="000A5309"/>
    <w:rsid w:val="000D6A51"/>
    <w:rsid w:val="000F45A3"/>
    <w:rsid w:val="001C1EE3"/>
    <w:rsid w:val="001C713C"/>
    <w:rsid w:val="001D75B9"/>
    <w:rsid w:val="00200F05"/>
    <w:rsid w:val="00220056"/>
    <w:rsid w:val="002626ED"/>
    <w:rsid w:val="00265A40"/>
    <w:rsid w:val="00282FDE"/>
    <w:rsid w:val="0029130A"/>
    <w:rsid w:val="003A4540"/>
    <w:rsid w:val="003B4D7D"/>
    <w:rsid w:val="003E0AB3"/>
    <w:rsid w:val="00401C42"/>
    <w:rsid w:val="004076DE"/>
    <w:rsid w:val="00460AFB"/>
    <w:rsid w:val="00470130"/>
    <w:rsid w:val="00483B0A"/>
    <w:rsid w:val="004B5126"/>
    <w:rsid w:val="004F7838"/>
    <w:rsid w:val="00503391"/>
    <w:rsid w:val="00552960"/>
    <w:rsid w:val="0056018A"/>
    <w:rsid w:val="00567344"/>
    <w:rsid w:val="005829DC"/>
    <w:rsid w:val="005C0B4E"/>
    <w:rsid w:val="005C421F"/>
    <w:rsid w:val="005F16F0"/>
    <w:rsid w:val="0065185D"/>
    <w:rsid w:val="00680629"/>
    <w:rsid w:val="00686C52"/>
    <w:rsid w:val="006F1414"/>
    <w:rsid w:val="007432BF"/>
    <w:rsid w:val="007525BF"/>
    <w:rsid w:val="007800DC"/>
    <w:rsid w:val="007838AA"/>
    <w:rsid w:val="00783D5E"/>
    <w:rsid w:val="00785FD6"/>
    <w:rsid w:val="007B212D"/>
    <w:rsid w:val="00806A61"/>
    <w:rsid w:val="00824BFD"/>
    <w:rsid w:val="008453B3"/>
    <w:rsid w:val="008D3B56"/>
    <w:rsid w:val="008D5CEF"/>
    <w:rsid w:val="009360F9"/>
    <w:rsid w:val="00964F00"/>
    <w:rsid w:val="009B511E"/>
    <w:rsid w:val="009E0F5E"/>
    <w:rsid w:val="00A21EB2"/>
    <w:rsid w:val="00A31561"/>
    <w:rsid w:val="00A54E95"/>
    <w:rsid w:val="00A80564"/>
    <w:rsid w:val="00A960B2"/>
    <w:rsid w:val="00AE6633"/>
    <w:rsid w:val="00B01FF1"/>
    <w:rsid w:val="00B72516"/>
    <w:rsid w:val="00B92C97"/>
    <w:rsid w:val="00BA3C70"/>
    <w:rsid w:val="00BB4E42"/>
    <w:rsid w:val="00BF0E19"/>
    <w:rsid w:val="00C01073"/>
    <w:rsid w:val="00C855F6"/>
    <w:rsid w:val="00C92F53"/>
    <w:rsid w:val="00CD5223"/>
    <w:rsid w:val="00CE5010"/>
    <w:rsid w:val="00CE6E17"/>
    <w:rsid w:val="00D0528A"/>
    <w:rsid w:val="00D11B37"/>
    <w:rsid w:val="00D408EF"/>
    <w:rsid w:val="00D5145C"/>
    <w:rsid w:val="00D64DAE"/>
    <w:rsid w:val="00D729A1"/>
    <w:rsid w:val="00DB5225"/>
    <w:rsid w:val="00DD1E5E"/>
    <w:rsid w:val="00DE6417"/>
    <w:rsid w:val="00E16182"/>
    <w:rsid w:val="00E1627A"/>
    <w:rsid w:val="00E34C35"/>
    <w:rsid w:val="00E650A8"/>
    <w:rsid w:val="00E8160A"/>
    <w:rsid w:val="00E878B4"/>
    <w:rsid w:val="00EB3D00"/>
    <w:rsid w:val="00F71720"/>
    <w:rsid w:val="00FE040F"/>
    <w:rsid w:val="00FE42B3"/>
    <w:rsid w:val="014832F2"/>
    <w:rsid w:val="014D51C1"/>
    <w:rsid w:val="01714809"/>
    <w:rsid w:val="01C52478"/>
    <w:rsid w:val="025C7FF6"/>
    <w:rsid w:val="027408EE"/>
    <w:rsid w:val="02963F39"/>
    <w:rsid w:val="02B3095A"/>
    <w:rsid w:val="02BA7274"/>
    <w:rsid w:val="02C32E43"/>
    <w:rsid w:val="03251978"/>
    <w:rsid w:val="0325718A"/>
    <w:rsid w:val="042921B6"/>
    <w:rsid w:val="043B72BB"/>
    <w:rsid w:val="04450729"/>
    <w:rsid w:val="04461EC1"/>
    <w:rsid w:val="04504B3F"/>
    <w:rsid w:val="04AD02B8"/>
    <w:rsid w:val="04DE51C8"/>
    <w:rsid w:val="04DF17D4"/>
    <w:rsid w:val="05412745"/>
    <w:rsid w:val="05491761"/>
    <w:rsid w:val="055C1AD8"/>
    <w:rsid w:val="05A351AD"/>
    <w:rsid w:val="05F9748A"/>
    <w:rsid w:val="06266F78"/>
    <w:rsid w:val="063E7B7A"/>
    <w:rsid w:val="06582413"/>
    <w:rsid w:val="067E33B8"/>
    <w:rsid w:val="06E82FCB"/>
    <w:rsid w:val="06F34B95"/>
    <w:rsid w:val="06F91350"/>
    <w:rsid w:val="07571DAC"/>
    <w:rsid w:val="084859A3"/>
    <w:rsid w:val="08DD171B"/>
    <w:rsid w:val="08E64121"/>
    <w:rsid w:val="090D588C"/>
    <w:rsid w:val="0942017F"/>
    <w:rsid w:val="09BA1FBB"/>
    <w:rsid w:val="09CB139F"/>
    <w:rsid w:val="0A0106F5"/>
    <w:rsid w:val="0A112AB7"/>
    <w:rsid w:val="0A4E5482"/>
    <w:rsid w:val="0AAA504A"/>
    <w:rsid w:val="0AD71BC7"/>
    <w:rsid w:val="0AF420EB"/>
    <w:rsid w:val="0B2B2BF5"/>
    <w:rsid w:val="0B2F3908"/>
    <w:rsid w:val="0B3F6206"/>
    <w:rsid w:val="0B6E15DE"/>
    <w:rsid w:val="0B6E45C2"/>
    <w:rsid w:val="0BE12DB6"/>
    <w:rsid w:val="0BFC6504"/>
    <w:rsid w:val="0C345AD1"/>
    <w:rsid w:val="0C626CE4"/>
    <w:rsid w:val="0D0C2B7B"/>
    <w:rsid w:val="0D9308F8"/>
    <w:rsid w:val="0DE76C3D"/>
    <w:rsid w:val="0E1A1D85"/>
    <w:rsid w:val="0E750568"/>
    <w:rsid w:val="0E9C3C97"/>
    <w:rsid w:val="0EEA1A9A"/>
    <w:rsid w:val="0F2D7A80"/>
    <w:rsid w:val="0F4277E5"/>
    <w:rsid w:val="0F4C5227"/>
    <w:rsid w:val="0F684B57"/>
    <w:rsid w:val="0FA75561"/>
    <w:rsid w:val="0FB83603"/>
    <w:rsid w:val="0FCA77F1"/>
    <w:rsid w:val="0FCD5DCC"/>
    <w:rsid w:val="10043197"/>
    <w:rsid w:val="10270545"/>
    <w:rsid w:val="103409DF"/>
    <w:rsid w:val="10444021"/>
    <w:rsid w:val="108A1D4B"/>
    <w:rsid w:val="10A10111"/>
    <w:rsid w:val="10A17FC7"/>
    <w:rsid w:val="10BE093E"/>
    <w:rsid w:val="10E20BD8"/>
    <w:rsid w:val="111B0FE9"/>
    <w:rsid w:val="112C77F4"/>
    <w:rsid w:val="114755AB"/>
    <w:rsid w:val="115F67A8"/>
    <w:rsid w:val="119604A6"/>
    <w:rsid w:val="119A7465"/>
    <w:rsid w:val="11C07DA5"/>
    <w:rsid w:val="11C2491E"/>
    <w:rsid w:val="11F36B75"/>
    <w:rsid w:val="12491386"/>
    <w:rsid w:val="12751983"/>
    <w:rsid w:val="12887F77"/>
    <w:rsid w:val="12E60579"/>
    <w:rsid w:val="12E66E96"/>
    <w:rsid w:val="12EB0F02"/>
    <w:rsid w:val="13695B36"/>
    <w:rsid w:val="1372609F"/>
    <w:rsid w:val="13D73572"/>
    <w:rsid w:val="14504752"/>
    <w:rsid w:val="145A6A37"/>
    <w:rsid w:val="1467440F"/>
    <w:rsid w:val="153955DC"/>
    <w:rsid w:val="15400323"/>
    <w:rsid w:val="15433A9B"/>
    <w:rsid w:val="15A93017"/>
    <w:rsid w:val="15CF64A5"/>
    <w:rsid w:val="15FC2F04"/>
    <w:rsid w:val="16181FAC"/>
    <w:rsid w:val="168756A0"/>
    <w:rsid w:val="16F94849"/>
    <w:rsid w:val="17045E51"/>
    <w:rsid w:val="172011D4"/>
    <w:rsid w:val="17252C3B"/>
    <w:rsid w:val="173F0A2E"/>
    <w:rsid w:val="17770BC2"/>
    <w:rsid w:val="17860E2F"/>
    <w:rsid w:val="17A119AA"/>
    <w:rsid w:val="180100EF"/>
    <w:rsid w:val="18586F2B"/>
    <w:rsid w:val="19442DF9"/>
    <w:rsid w:val="19A766B9"/>
    <w:rsid w:val="19CE76BA"/>
    <w:rsid w:val="19F26070"/>
    <w:rsid w:val="19F97C8B"/>
    <w:rsid w:val="1A1523CE"/>
    <w:rsid w:val="1A6A6939"/>
    <w:rsid w:val="1AA730BD"/>
    <w:rsid w:val="1B333D5D"/>
    <w:rsid w:val="1B587618"/>
    <w:rsid w:val="1B5F19C7"/>
    <w:rsid w:val="1C1C709B"/>
    <w:rsid w:val="1C4F6795"/>
    <w:rsid w:val="1C9F6814"/>
    <w:rsid w:val="1CCB626F"/>
    <w:rsid w:val="1D1F0356"/>
    <w:rsid w:val="1D5C514E"/>
    <w:rsid w:val="1D865D14"/>
    <w:rsid w:val="1D8705EC"/>
    <w:rsid w:val="1D8E41CF"/>
    <w:rsid w:val="1DD872E4"/>
    <w:rsid w:val="1DEC0E7D"/>
    <w:rsid w:val="1E43150B"/>
    <w:rsid w:val="1EA93E80"/>
    <w:rsid w:val="1ED33FB6"/>
    <w:rsid w:val="1EE81332"/>
    <w:rsid w:val="1F32415A"/>
    <w:rsid w:val="1F542F9A"/>
    <w:rsid w:val="1F702632"/>
    <w:rsid w:val="1F7E2174"/>
    <w:rsid w:val="1FDC6454"/>
    <w:rsid w:val="20107567"/>
    <w:rsid w:val="20AB56C6"/>
    <w:rsid w:val="21547789"/>
    <w:rsid w:val="2176507C"/>
    <w:rsid w:val="21BE35AF"/>
    <w:rsid w:val="21C11174"/>
    <w:rsid w:val="22244B28"/>
    <w:rsid w:val="22467FD4"/>
    <w:rsid w:val="229451FD"/>
    <w:rsid w:val="22A12DB6"/>
    <w:rsid w:val="236356D1"/>
    <w:rsid w:val="23A91C83"/>
    <w:rsid w:val="23C962E8"/>
    <w:rsid w:val="247E4FED"/>
    <w:rsid w:val="24AD78E0"/>
    <w:rsid w:val="24B30BE8"/>
    <w:rsid w:val="24E34060"/>
    <w:rsid w:val="253A0491"/>
    <w:rsid w:val="253D72D8"/>
    <w:rsid w:val="254E0478"/>
    <w:rsid w:val="25E036B2"/>
    <w:rsid w:val="25E9082A"/>
    <w:rsid w:val="25F42473"/>
    <w:rsid w:val="269C17B8"/>
    <w:rsid w:val="26AF2D79"/>
    <w:rsid w:val="26B34B91"/>
    <w:rsid w:val="270D66E8"/>
    <w:rsid w:val="27514612"/>
    <w:rsid w:val="278B0DAB"/>
    <w:rsid w:val="279C6B0E"/>
    <w:rsid w:val="27A64735"/>
    <w:rsid w:val="27CC4DF2"/>
    <w:rsid w:val="281864F2"/>
    <w:rsid w:val="286903EF"/>
    <w:rsid w:val="287F5DD3"/>
    <w:rsid w:val="288047CB"/>
    <w:rsid w:val="289E62FA"/>
    <w:rsid w:val="28FD6E90"/>
    <w:rsid w:val="291E2CA6"/>
    <w:rsid w:val="29331862"/>
    <w:rsid w:val="299741EC"/>
    <w:rsid w:val="299E147F"/>
    <w:rsid w:val="29C32A87"/>
    <w:rsid w:val="29CF26DC"/>
    <w:rsid w:val="2A1C5DA0"/>
    <w:rsid w:val="2A200D39"/>
    <w:rsid w:val="2A280AB9"/>
    <w:rsid w:val="2A507EFF"/>
    <w:rsid w:val="2ADC05A4"/>
    <w:rsid w:val="2AEF2177"/>
    <w:rsid w:val="2B146D62"/>
    <w:rsid w:val="2B6F0D7F"/>
    <w:rsid w:val="2B8716BD"/>
    <w:rsid w:val="2B8B76FF"/>
    <w:rsid w:val="2BD5034F"/>
    <w:rsid w:val="2C924AE7"/>
    <w:rsid w:val="2D025012"/>
    <w:rsid w:val="2D4178F0"/>
    <w:rsid w:val="2D7711AA"/>
    <w:rsid w:val="2D7D58EB"/>
    <w:rsid w:val="2DA45D22"/>
    <w:rsid w:val="2DAE631A"/>
    <w:rsid w:val="2DD877E0"/>
    <w:rsid w:val="2DE616C9"/>
    <w:rsid w:val="2DE801DF"/>
    <w:rsid w:val="2DFC2451"/>
    <w:rsid w:val="2E3422F8"/>
    <w:rsid w:val="2E3D68D2"/>
    <w:rsid w:val="2E6E566D"/>
    <w:rsid w:val="2E7F188E"/>
    <w:rsid w:val="2EA91D49"/>
    <w:rsid w:val="2EBC0905"/>
    <w:rsid w:val="2EC73739"/>
    <w:rsid w:val="2EFB1B0E"/>
    <w:rsid w:val="2F5107A8"/>
    <w:rsid w:val="2F5C684F"/>
    <w:rsid w:val="2F63756E"/>
    <w:rsid w:val="2F922AC9"/>
    <w:rsid w:val="2FE6553A"/>
    <w:rsid w:val="307776D1"/>
    <w:rsid w:val="30862574"/>
    <w:rsid w:val="309D1AAC"/>
    <w:rsid w:val="30AD52F3"/>
    <w:rsid w:val="30B631E1"/>
    <w:rsid w:val="311933AA"/>
    <w:rsid w:val="317D15BB"/>
    <w:rsid w:val="31CC144A"/>
    <w:rsid w:val="31D07E6C"/>
    <w:rsid w:val="323F65DA"/>
    <w:rsid w:val="32412074"/>
    <w:rsid w:val="328A70AC"/>
    <w:rsid w:val="32DE0199"/>
    <w:rsid w:val="333C2963"/>
    <w:rsid w:val="335B2774"/>
    <w:rsid w:val="33A4642E"/>
    <w:rsid w:val="33D4039C"/>
    <w:rsid w:val="33D47E05"/>
    <w:rsid w:val="33DF460E"/>
    <w:rsid w:val="3413677D"/>
    <w:rsid w:val="342B544B"/>
    <w:rsid w:val="345E036E"/>
    <w:rsid w:val="34C47852"/>
    <w:rsid w:val="34DE1E4F"/>
    <w:rsid w:val="34F07DB1"/>
    <w:rsid w:val="357E6FD1"/>
    <w:rsid w:val="359009FB"/>
    <w:rsid w:val="35D354B8"/>
    <w:rsid w:val="35D4025C"/>
    <w:rsid w:val="35E84393"/>
    <w:rsid w:val="362666BC"/>
    <w:rsid w:val="363646D4"/>
    <w:rsid w:val="368A6B11"/>
    <w:rsid w:val="36F44712"/>
    <w:rsid w:val="37085B1F"/>
    <w:rsid w:val="372E04CB"/>
    <w:rsid w:val="38E070F2"/>
    <w:rsid w:val="390D33AB"/>
    <w:rsid w:val="391E6D06"/>
    <w:rsid w:val="39573D9E"/>
    <w:rsid w:val="3A074847"/>
    <w:rsid w:val="3A830B2E"/>
    <w:rsid w:val="3AA90FE6"/>
    <w:rsid w:val="3AA9318F"/>
    <w:rsid w:val="3AB62DA0"/>
    <w:rsid w:val="3B057828"/>
    <w:rsid w:val="3B69577B"/>
    <w:rsid w:val="3B702D85"/>
    <w:rsid w:val="3B7D3FD5"/>
    <w:rsid w:val="3B823DDF"/>
    <w:rsid w:val="3BD827B4"/>
    <w:rsid w:val="3C237ED3"/>
    <w:rsid w:val="3C4D2D59"/>
    <w:rsid w:val="3CAA596A"/>
    <w:rsid w:val="3CAF1D22"/>
    <w:rsid w:val="3CB1587B"/>
    <w:rsid w:val="3CB735F2"/>
    <w:rsid w:val="3CC1773F"/>
    <w:rsid w:val="3D186684"/>
    <w:rsid w:val="3D260E6E"/>
    <w:rsid w:val="3D363C36"/>
    <w:rsid w:val="3D8B2178"/>
    <w:rsid w:val="3DB34909"/>
    <w:rsid w:val="3DD115F5"/>
    <w:rsid w:val="3DE435F0"/>
    <w:rsid w:val="3DE5122C"/>
    <w:rsid w:val="3DF37E53"/>
    <w:rsid w:val="3ED26DE9"/>
    <w:rsid w:val="3EED17D0"/>
    <w:rsid w:val="3F0C0304"/>
    <w:rsid w:val="3F774839"/>
    <w:rsid w:val="3FBD02CF"/>
    <w:rsid w:val="3FEC147E"/>
    <w:rsid w:val="3FED7DE8"/>
    <w:rsid w:val="40376375"/>
    <w:rsid w:val="412732B7"/>
    <w:rsid w:val="4127791F"/>
    <w:rsid w:val="41281794"/>
    <w:rsid w:val="413C1FDF"/>
    <w:rsid w:val="41806A69"/>
    <w:rsid w:val="41B0259C"/>
    <w:rsid w:val="41B77686"/>
    <w:rsid w:val="41BC6F1C"/>
    <w:rsid w:val="41EF2363"/>
    <w:rsid w:val="41F77860"/>
    <w:rsid w:val="424A4B98"/>
    <w:rsid w:val="42581D3A"/>
    <w:rsid w:val="428E23A1"/>
    <w:rsid w:val="42ED2EA4"/>
    <w:rsid w:val="42F6649D"/>
    <w:rsid w:val="42FE0080"/>
    <w:rsid w:val="43315D2E"/>
    <w:rsid w:val="43670C99"/>
    <w:rsid w:val="43824A1C"/>
    <w:rsid w:val="43D110E1"/>
    <w:rsid w:val="43E873C9"/>
    <w:rsid w:val="44905B1F"/>
    <w:rsid w:val="45316885"/>
    <w:rsid w:val="45A95EE9"/>
    <w:rsid w:val="45FB0F21"/>
    <w:rsid w:val="46167166"/>
    <w:rsid w:val="4636719A"/>
    <w:rsid w:val="465859F2"/>
    <w:rsid w:val="47200EE3"/>
    <w:rsid w:val="47435AC2"/>
    <w:rsid w:val="47544B78"/>
    <w:rsid w:val="47587AF7"/>
    <w:rsid w:val="47745A86"/>
    <w:rsid w:val="47E239AC"/>
    <w:rsid w:val="480F4B73"/>
    <w:rsid w:val="487974BD"/>
    <w:rsid w:val="48DB38E3"/>
    <w:rsid w:val="49001B5E"/>
    <w:rsid w:val="49376DB0"/>
    <w:rsid w:val="49804BB7"/>
    <w:rsid w:val="49826DCB"/>
    <w:rsid w:val="499013E7"/>
    <w:rsid w:val="49A22843"/>
    <w:rsid w:val="49C8088A"/>
    <w:rsid w:val="4A0F6D68"/>
    <w:rsid w:val="4A233384"/>
    <w:rsid w:val="4A301C93"/>
    <w:rsid w:val="4A3302AB"/>
    <w:rsid w:val="4A572A17"/>
    <w:rsid w:val="4A6F2535"/>
    <w:rsid w:val="4AC85D49"/>
    <w:rsid w:val="4AE308A9"/>
    <w:rsid w:val="4B260F2D"/>
    <w:rsid w:val="4B9049B6"/>
    <w:rsid w:val="4B9A1456"/>
    <w:rsid w:val="4BA32C82"/>
    <w:rsid w:val="4BE70627"/>
    <w:rsid w:val="4C0A5AE1"/>
    <w:rsid w:val="4C130AB8"/>
    <w:rsid w:val="4C5A284D"/>
    <w:rsid w:val="4C5C0673"/>
    <w:rsid w:val="4CB370E9"/>
    <w:rsid w:val="4CB96B43"/>
    <w:rsid w:val="4CC75FCC"/>
    <w:rsid w:val="4CC87A5E"/>
    <w:rsid w:val="4CD63947"/>
    <w:rsid w:val="4CF957AB"/>
    <w:rsid w:val="4CFC49F4"/>
    <w:rsid w:val="4D073D73"/>
    <w:rsid w:val="4D1E27BA"/>
    <w:rsid w:val="4D23574A"/>
    <w:rsid w:val="4D270EF8"/>
    <w:rsid w:val="4D4C4DB0"/>
    <w:rsid w:val="4D7322D5"/>
    <w:rsid w:val="4DD7034C"/>
    <w:rsid w:val="4DE312CB"/>
    <w:rsid w:val="4DF5318E"/>
    <w:rsid w:val="4E1F4862"/>
    <w:rsid w:val="4E2E4393"/>
    <w:rsid w:val="4E535EF2"/>
    <w:rsid w:val="4F08773C"/>
    <w:rsid w:val="4F102B4E"/>
    <w:rsid w:val="4F31409F"/>
    <w:rsid w:val="4F5E670E"/>
    <w:rsid w:val="4F846A83"/>
    <w:rsid w:val="50070E2C"/>
    <w:rsid w:val="501112F3"/>
    <w:rsid w:val="504B57F2"/>
    <w:rsid w:val="50681F00"/>
    <w:rsid w:val="50C5433A"/>
    <w:rsid w:val="50C62BC7"/>
    <w:rsid w:val="50F72A66"/>
    <w:rsid w:val="5123368C"/>
    <w:rsid w:val="5130747C"/>
    <w:rsid w:val="515C765A"/>
    <w:rsid w:val="51905BB3"/>
    <w:rsid w:val="51946FCB"/>
    <w:rsid w:val="51DD796B"/>
    <w:rsid w:val="51DF373B"/>
    <w:rsid w:val="52EF4CB5"/>
    <w:rsid w:val="52F959F0"/>
    <w:rsid w:val="5302488E"/>
    <w:rsid w:val="53136173"/>
    <w:rsid w:val="534B12B7"/>
    <w:rsid w:val="539A4AC7"/>
    <w:rsid w:val="542631B6"/>
    <w:rsid w:val="5447483C"/>
    <w:rsid w:val="545E2895"/>
    <w:rsid w:val="54942CAE"/>
    <w:rsid w:val="54A61722"/>
    <w:rsid w:val="54B31FAF"/>
    <w:rsid w:val="54C211D8"/>
    <w:rsid w:val="54E97446"/>
    <w:rsid w:val="551F3E29"/>
    <w:rsid w:val="55326D63"/>
    <w:rsid w:val="555D1A10"/>
    <w:rsid w:val="56AC4A78"/>
    <w:rsid w:val="56DB16B9"/>
    <w:rsid w:val="577A3463"/>
    <w:rsid w:val="57F967AD"/>
    <w:rsid w:val="58052975"/>
    <w:rsid w:val="584D1A65"/>
    <w:rsid w:val="584F5C44"/>
    <w:rsid w:val="58504D6C"/>
    <w:rsid w:val="58E525CA"/>
    <w:rsid w:val="58E55347"/>
    <w:rsid w:val="58EE7372"/>
    <w:rsid w:val="593D045A"/>
    <w:rsid w:val="5960739E"/>
    <w:rsid w:val="59896D0A"/>
    <w:rsid w:val="59B72684"/>
    <w:rsid w:val="5A295A8C"/>
    <w:rsid w:val="5A9579AE"/>
    <w:rsid w:val="5AC468CD"/>
    <w:rsid w:val="5B342B9A"/>
    <w:rsid w:val="5B5953B0"/>
    <w:rsid w:val="5B630802"/>
    <w:rsid w:val="5B807F68"/>
    <w:rsid w:val="5BA72CE5"/>
    <w:rsid w:val="5C034D53"/>
    <w:rsid w:val="5CC81D66"/>
    <w:rsid w:val="5D6509CD"/>
    <w:rsid w:val="5D722852"/>
    <w:rsid w:val="5E1D6F56"/>
    <w:rsid w:val="5E52187F"/>
    <w:rsid w:val="5E6A13CD"/>
    <w:rsid w:val="5E705D15"/>
    <w:rsid w:val="5E93326C"/>
    <w:rsid w:val="5E9F1A7A"/>
    <w:rsid w:val="5EAF3818"/>
    <w:rsid w:val="5EFB4BA4"/>
    <w:rsid w:val="5EFE2597"/>
    <w:rsid w:val="5F025452"/>
    <w:rsid w:val="5F5F46B5"/>
    <w:rsid w:val="5F6762C1"/>
    <w:rsid w:val="5FB25360"/>
    <w:rsid w:val="5FBA3CC0"/>
    <w:rsid w:val="5FD90D61"/>
    <w:rsid w:val="60177697"/>
    <w:rsid w:val="602329DB"/>
    <w:rsid w:val="607777D6"/>
    <w:rsid w:val="609A56B8"/>
    <w:rsid w:val="60BC76A1"/>
    <w:rsid w:val="60F0637F"/>
    <w:rsid w:val="610B7637"/>
    <w:rsid w:val="612279BA"/>
    <w:rsid w:val="615F5624"/>
    <w:rsid w:val="61786FF4"/>
    <w:rsid w:val="61D215CF"/>
    <w:rsid w:val="62593D9F"/>
    <w:rsid w:val="625C563D"/>
    <w:rsid w:val="626A1704"/>
    <w:rsid w:val="627921C2"/>
    <w:rsid w:val="62B362C8"/>
    <w:rsid w:val="62C1330E"/>
    <w:rsid w:val="6342085E"/>
    <w:rsid w:val="636F415C"/>
    <w:rsid w:val="63D22876"/>
    <w:rsid w:val="641B511C"/>
    <w:rsid w:val="64917820"/>
    <w:rsid w:val="64AA1CC5"/>
    <w:rsid w:val="6528341F"/>
    <w:rsid w:val="656B2909"/>
    <w:rsid w:val="65A3045D"/>
    <w:rsid w:val="65D97752"/>
    <w:rsid w:val="65E25E59"/>
    <w:rsid w:val="66307F76"/>
    <w:rsid w:val="66580EAF"/>
    <w:rsid w:val="66694D0D"/>
    <w:rsid w:val="667B4472"/>
    <w:rsid w:val="66F041A8"/>
    <w:rsid w:val="6721178A"/>
    <w:rsid w:val="6739399A"/>
    <w:rsid w:val="673F39DE"/>
    <w:rsid w:val="674C5D22"/>
    <w:rsid w:val="67663AF8"/>
    <w:rsid w:val="67762CFD"/>
    <w:rsid w:val="677A678D"/>
    <w:rsid w:val="67AA2321"/>
    <w:rsid w:val="68011379"/>
    <w:rsid w:val="681E1720"/>
    <w:rsid w:val="68252C37"/>
    <w:rsid w:val="68817BAC"/>
    <w:rsid w:val="689A5E59"/>
    <w:rsid w:val="68A94E70"/>
    <w:rsid w:val="68EE72DF"/>
    <w:rsid w:val="690B4C92"/>
    <w:rsid w:val="69485FEA"/>
    <w:rsid w:val="69677DC0"/>
    <w:rsid w:val="69937EC7"/>
    <w:rsid w:val="69D64558"/>
    <w:rsid w:val="69E3623E"/>
    <w:rsid w:val="6A042548"/>
    <w:rsid w:val="6A471EFD"/>
    <w:rsid w:val="6AB57116"/>
    <w:rsid w:val="6B17424A"/>
    <w:rsid w:val="6B2218FA"/>
    <w:rsid w:val="6B686C59"/>
    <w:rsid w:val="6B691672"/>
    <w:rsid w:val="6BE97F42"/>
    <w:rsid w:val="6C2063E9"/>
    <w:rsid w:val="6C5E6A51"/>
    <w:rsid w:val="6C6513C3"/>
    <w:rsid w:val="6C744268"/>
    <w:rsid w:val="6C913746"/>
    <w:rsid w:val="6CD62D03"/>
    <w:rsid w:val="6CD97FB6"/>
    <w:rsid w:val="6D0E5050"/>
    <w:rsid w:val="6D1E3C1B"/>
    <w:rsid w:val="6D4B22B8"/>
    <w:rsid w:val="6D930013"/>
    <w:rsid w:val="6DA265FA"/>
    <w:rsid w:val="6E1A1656"/>
    <w:rsid w:val="6E231DD6"/>
    <w:rsid w:val="6E512505"/>
    <w:rsid w:val="6E5A5288"/>
    <w:rsid w:val="6EE013EE"/>
    <w:rsid w:val="6EE079F1"/>
    <w:rsid w:val="6EE42C42"/>
    <w:rsid w:val="6EF8183A"/>
    <w:rsid w:val="6F240921"/>
    <w:rsid w:val="6F7F7CB0"/>
    <w:rsid w:val="6FE0165C"/>
    <w:rsid w:val="6FE10C44"/>
    <w:rsid w:val="70222744"/>
    <w:rsid w:val="706D25DF"/>
    <w:rsid w:val="706D2B21"/>
    <w:rsid w:val="707B1384"/>
    <w:rsid w:val="70857A34"/>
    <w:rsid w:val="70985D3C"/>
    <w:rsid w:val="71047C73"/>
    <w:rsid w:val="7109004F"/>
    <w:rsid w:val="71103167"/>
    <w:rsid w:val="712E56F7"/>
    <w:rsid w:val="71691ABB"/>
    <w:rsid w:val="71AE1AEA"/>
    <w:rsid w:val="71CF3B6C"/>
    <w:rsid w:val="71F80F33"/>
    <w:rsid w:val="721056AE"/>
    <w:rsid w:val="722922C6"/>
    <w:rsid w:val="727176A7"/>
    <w:rsid w:val="72CB03A1"/>
    <w:rsid w:val="732D4B5D"/>
    <w:rsid w:val="73393C88"/>
    <w:rsid w:val="7362513F"/>
    <w:rsid w:val="73771D49"/>
    <w:rsid w:val="73A1354E"/>
    <w:rsid w:val="73E035D5"/>
    <w:rsid w:val="743D0241"/>
    <w:rsid w:val="74A11E7D"/>
    <w:rsid w:val="7550071B"/>
    <w:rsid w:val="75590B0A"/>
    <w:rsid w:val="7582279F"/>
    <w:rsid w:val="75843EB5"/>
    <w:rsid w:val="75912FA2"/>
    <w:rsid w:val="75BB71AF"/>
    <w:rsid w:val="75F01962"/>
    <w:rsid w:val="760E19DF"/>
    <w:rsid w:val="764E52E0"/>
    <w:rsid w:val="76557F3E"/>
    <w:rsid w:val="76676A53"/>
    <w:rsid w:val="76944574"/>
    <w:rsid w:val="76A3294D"/>
    <w:rsid w:val="76B620A1"/>
    <w:rsid w:val="76D61240"/>
    <w:rsid w:val="76D766A5"/>
    <w:rsid w:val="76F20814"/>
    <w:rsid w:val="76F92565"/>
    <w:rsid w:val="77462524"/>
    <w:rsid w:val="77501DCD"/>
    <w:rsid w:val="779A6594"/>
    <w:rsid w:val="77A21064"/>
    <w:rsid w:val="77E34EB2"/>
    <w:rsid w:val="781564B8"/>
    <w:rsid w:val="78224ACF"/>
    <w:rsid w:val="78CD6DCC"/>
    <w:rsid w:val="78D07CAF"/>
    <w:rsid w:val="78DE12D7"/>
    <w:rsid w:val="79210683"/>
    <w:rsid w:val="799C3465"/>
    <w:rsid w:val="79B14EC4"/>
    <w:rsid w:val="7A025270"/>
    <w:rsid w:val="7A2A6B4A"/>
    <w:rsid w:val="7A681070"/>
    <w:rsid w:val="7A860C7C"/>
    <w:rsid w:val="7AB879FE"/>
    <w:rsid w:val="7B3264DD"/>
    <w:rsid w:val="7B81188A"/>
    <w:rsid w:val="7B9E2902"/>
    <w:rsid w:val="7BC854E2"/>
    <w:rsid w:val="7C0562EC"/>
    <w:rsid w:val="7C067A45"/>
    <w:rsid w:val="7C0D2ED7"/>
    <w:rsid w:val="7C1C072C"/>
    <w:rsid w:val="7C27683F"/>
    <w:rsid w:val="7CB14B4D"/>
    <w:rsid w:val="7CF26969"/>
    <w:rsid w:val="7D25523C"/>
    <w:rsid w:val="7DB23041"/>
    <w:rsid w:val="7E5F7809"/>
    <w:rsid w:val="7ED56C53"/>
    <w:rsid w:val="7EEA1BAF"/>
    <w:rsid w:val="7F4909C9"/>
    <w:rsid w:val="7F5460D4"/>
    <w:rsid w:val="7F5528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4"/>
    <w:next w:val="1"/>
    <w:link w:val="139"/>
    <w:qFormat/>
    <w:uiPriority w:val="9"/>
    <w:pPr>
      <w:keepNext/>
      <w:keepLines/>
      <w:jc w:val="center"/>
      <w:outlineLvl w:val="0"/>
    </w:pPr>
    <w:rPr>
      <w:b/>
      <w:bCs/>
      <w:kern w:val="44"/>
      <w:sz w:val="36"/>
      <w:szCs w:val="44"/>
    </w:rPr>
  </w:style>
  <w:style w:type="paragraph" w:styleId="2">
    <w:name w:val="heading 2"/>
    <w:basedOn w:val="1"/>
    <w:next w:val="1"/>
    <w:link w:val="140"/>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14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41">
    <w:name w:val="Default Paragraph Font"/>
    <w:semiHidden/>
    <w:unhideWhenUsed/>
    <w:qFormat/>
    <w:uiPriority w:val="1"/>
  </w:style>
  <w:style w:type="table" w:default="1" w:styleId="39">
    <w:name w:val="Normal Table"/>
    <w:semiHidden/>
    <w:unhideWhenUsed/>
    <w:qFormat/>
    <w:uiPriority w:val="99"/>
    <w:tblPr>
      <w:tblCellMar>
        <w:top w:w="0" w:type="dxa"/>
        <w:left w:w="108" w:type="dxa"/>
        <w:bottom w:w="0" w:type="dxa"/>
        <w:right w:w="108" w:type="dxa"/>
      </w:tblCellMar>
    </w:tblPr>
  </w:style>
  <w:style w:type="paragraph" w:styleId="4">
    <w:name w:val="toc 3"/>
    <w:basedOn w:val="1"/>
    <w:next w:val="1"/>
    <w:qFormat/>
    <w:uiPriority w:val="39"/>
    <w:pPr>
      <w:ind w:left="480"/>
      <w:jc w:val="left"/>
    </w:pPr>
    <w:rPr>
      <w:rFonts w:ascii="Calibri" w:hAnsi="Calibri" w:eastAsia="宋体" w:cs="Times New Roman"/>
      <w:i/>
      <w:iCs/>
      <w:sz w:val="20"/>
      <w:szCs w:val="20"/>
    </w:rPr>
  </w:style>
  <w:style w:type="paragraph" w:styleId="7">
    <w:name w:val="toc 7"/>
    <w:basedOn w:val="1"/>
    <w:next w:val="1"/>
    <w:qFormat/>
    <w:uiPriority w:val="39"/>
    <w:pPr>
      <w:ind w:left="1440"/>
      <w:jc w:val="left"/>
    </w:pPr>
    <w:rPr>
      <w:rFonts w:ascii="Calibri" w:hAnsi="Calibri" w:eastAsia="宋体" w:cs="Times New Roman"/>
      <w:sz w:val="18"/>
      <w:szCs w:val="18"/>
    </w:rPr>
  </w:style>
  <w:style w:type="paragraph" w:styleId="8">
    <w:name w:val="Normal Indent"/>
    <w:basedOn w:val="1"/>
    <w:qFormat/>
    <w:uiPriority w:val="0"/>
    <w:pPr>
      <w:ind w:firstLine="420" w:firstLineChars="200"/>
    </w:pPr>
    <w:rPr>
      <w:kern w:val="0"/>
    </w:rPr>
  </w:style>
  <w:style w:type="paragraph" w:styleId="9">
    <w:name w:val="caption"/>
    <w:basedOn w:val="1"/>
    <w:next w:val="1"/>
    <w:qFormat/>
    <w:uiPriority w:val="35"/>
    <w:pPr>
      <w:spacing w:before="152" w:after="160"/>
    </w:pPr>
    <w:rPr>
      <w:rFonts w:ascii="Arial" w:hAnsi="Arial" w:eastAsia="黑体" w:cs="Arial"/>
      <w:sz w:val="20"/>
      <w:szCs w:val="20"/>
    </w:rPr>
  </w:style>
  <w:style w:type="paragraph" w:styleId="10">
    <w:name w:val="Document Map"/>
    <w:basedOn w:val="1"/>
    <w:link w:val="142"/>
    <w:qFormat/>
    <w:uiPriority w:val="0"/>
    <w:pPr>
      <w:shd w:val="clear" w:color="auto" w:fill="000080"/>
    </w:pPr>
    <w:rPr>
      <w:sz w:val="24"/>
    </w:rPr>
  </w:style>
  <w:style w:type="paragraph" w:styleId="11">
    <w:name w:val="toa heading"/>
    <w:basedOn w:val="1"/>
    <w:next w:val="1"/>
    <w:qFormat/>
    <w:uiPriority w:val="99"/>
    <w:pPr>
      <w:spacing w:before="120"/>
    </w:pPr>
    <w:rPr>
      <w:rFonts w:ascii="Arial" w:hAnsi="Arial" w:eastAsia="宋体" w:cs="Arial"/>
      <w:sz w:val="24"/>
      <w:szCs w:val="24"/>
    </w:rPr>
  </w:style>
  <w:style w:type="paragraph" w:styleId="12">
    <w:name w:val="annotation text"/>
    <w:basedOn w:val="1"/>
    <w:link w:val="143"/>
    <w:qFormat/>
    <w:uiPriority w:val="0"/>
    <w:pPr>
      <w:jc w:val="left"/>
    </w:pPr>
  </w:style>
  <w:style w:type="paragraph" w:styleId="13">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4">
    <w:name w:val="Body Text"/>
    <w:basedOn w:val="1"/>
    <w:next w:val="1"/>
    <w:link w:val="144"/>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5">
    <w:name w:val="Body Text Indent"/>
    <w:basedOn w:val="1"/>
    <w:link w:val="145"/>
    <w:qFormat/>
    <w:uiPriority w:val="99"/>
    <w:pPr>
      <w:spacing w:after="120"/>
      <w:ind w:left="420" w:leftChars="200"/>
    </w:pPr>
    <w:rPr>
      <w:rFonts w:ascii="Calibri" w:hAnsi="Calibri" w:eastAsia="宋体" w:cs="Times New Roman"/>
      <w:szCs w:val="20"/>
    </w:rPr>
  </w:style>
  <w:style w:type="paragraph" w:styleId="16">
    <w:name w:val="index 4"/>
    <w:basedOn w:val="1"/>
    <w:next w:val="1"/>
    <w:qFormat/>
    <w:uiPriority w:val="0"/>
    <w:pPr>
      <w:ind w:left="600" w:leftChars="600"/>
    </w:pPr>
  </w:style>
  <w:style w:type="paragraph" w:styleId="17">
    <w:name w:val="toc 5"/>
    <w:basedOn w:val="1"/>
    <w:next w:val="1"/>
    <w:qFormat/>
    <w:uiPriority w:val="39"/>
    <w:pPr>
      <w:ind w:left="960"/>
      <w:jc w:val="left"/>
    </w:pPr>
    <w:rPr>
      <w:rFonts w:ascii="Calibri" w:hAnsi="Calibri" w:eastAsia="宋体" w:cs="Times New Roman"/>
      <w:sz w:val="18"/>
      <w:szCs w:val="18"/>
    </w:rPr>
  </w:style>
  <w:style w:type="paragraph" w:styleId="18">
    <w:name w:val="Plain Text"/>
    <w:basedOn w:val="1"/>
    <w:link w:val="146"/>
    <w:qFormat/>
    <w:uiPriority w:val="0"/>
    <w:rPr>
      <w:rFonts w:ascii="宋体" w:hAnsi="Courier New"/>
    </w:rPr>
  </w:style>
  <w:style w:type="paragraph" w:styleId="19">
    <w:name w:val="toc 8"/>
    <w:basedOn w:val="1"/>
    <w:next w:val="1"/>
    <w:qFormat/>
    <w:uiPriority w:val="39"/>
    <w:pPr>
      <w:ind w:left="1680"/>
      <w:jc w:val="left"/>
    </w:pPr>
    <w:rPr>
      <w:rFonts w:ascii="Calibri" w:hAnsi="Calibri" w:eastAsia="宋体" w:cs="Times New Roman"/>
      <w:sz w:val="18"/>
      <w:szCs w:val="18"/>
    </w:rPr>
  </w:style>
  <w:style w:type="paragraph" w:styleId="20">
    <w:name w:val="Date"/>
    <w:basedOn w:val="1"/>
    <w:next w:val="1"/>
    <w:link w:val="147"/>
    <w:qFormat/>
    <w:uiPriority w:val="0"/>
    <w:pPr>
      <w:ind w:left="100" w:leftChars="2500"/>
    </w:pPr>
    <w:rPr>
      <w:sz w:val="24"/>
    </w:rPr>
  </w:style>
  <w:style w:type="paragraph" w:styleId="21">
    <w:name w:val="Body Text Indent 2"/>
    <w:basedOn w:val="1"/>
    <w:link w:val="148"/>
    <w:qFormat/>
    <w:uiPriority w:val="0"/>
    <w:pPr>
      <w:spacing w:after="120" w:line="480" w:lineRule="auto"/>
      <w:ind w:left="420" w:leftChars="200"/>
    </w:pPr>
  </w:style>
  <w:style w:type="paragraph" w:styleId="22">
    <w:name w:val="Balloon Text"/>
    <w:basedOn w:val="1"/>
    <w:link w:val="149"/>
    <w:qFormat/>
    <w:uiPriority w:val="0"/>
    <w:rPr>
      <w:sz w:val="18"/>
    </w:rPr>
  </w:style>
  <w:style w:type="paragraph" w:styleId="23">
    <w:name w:val="footer"/>
    <w:basedOn w:val="1"/>
    <w:link w:val="150"/>
    <w:qFormat/>
    <w:uiPriority w:val="99"/>
    <w:pPr>
      <w:tabs>
        <w:tab w:val="center" w:pos="4153"/>
        <w:tab w:val="right" w:pos="8306"/>
      </w:tabs>
      <w:snapToGrid w:val="0"/>
      <w:jc w:val="left"/>
    </w:pPr>
    <w:rPr>
      <w:sz w:val="18"/>
    </w:rPr>
  </w:style>
  <w:style w:type="paragraph" w:styleId="24">
    <w:name w:val="header"/>
    <w:basedOn w:val="1"/>
    <w:link w:val="151"/>
    <w:qFormat/>
    <w:uiPriority w:val="0"/>
    <w:pPr>
      <w:pBdr>
        <w:bottom w:val="single" w:color="auto" w:sz="6" w:space="1"/>
      </w:pBdr>
      <w:tabs>
        <w:tab w:val="center" w:pos="4153"/>
        <w:tab w:val="right" w:pos="8306"/>
      </w:tabs>
      <w:snapToGrid w:val="0"/>
      <w:jc w:val="center"/>
    </w:pPr>
    <w:rPr>
      <w:sz w:val="18"/>
    </w:rPr>
  </w:style>
  <w:style w:type="paragraph" w:styleId="25">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6">
    <w:name w:val="toc 4"/>
    <w:basedOn w:val="1"/>
    <w:next w:val="1"/>
    <w:qFormat/>
    <w:uiPriority w:val="39"/>
    <w:pPr>
      <w:ind w:left="720"/>
      <w:jc w:val="left"/>
    </w:pPr>
    <w:rPr>
      <w:rFonts w:ascii="Calibri" w:hAnsi="Calibri" w:eastAsia="宋体" w:cs="Times New Roman"/>
      <w:sz w:val="18"/>
      <w:szCs w:val="18"/>
    </w:rPr>
  </w:style>
  <w:style w:type="paragraph" w:styleId="27">
    <w:name w:val="Subtitle"/>
    <w:basedOn w:val="1"/>
    <w:next w:val="1"/>
    <w:qFormat/>
    <w:uiPriority w:val="11"/>
    <w:pPr>
      <w:spacing w:line="360" w:lineRule="auto"/>
      <w:ind w:firstLine="200" w:firstLineChars="200"/>
      <w:outlineLvl w:val="1"/>
    </w:pPr>
    <w:rPr>
      <w:rFonts w:ascii="宋体" w:eastAsia="宋体"/>
      <w:bCs/>
      <w:kern w:val="28"/>
      <w:sz w:val="24"/>
      <w:szCs w:val="32"/>
    </w:rPr>
  </w:style>
  <w:style w:type="paragraph" w:styleId="28">
    <w:name w:val="List"/>
    <w:basedOn w:val="1"/>
    <w:qFormat/>
    <w:uiPriority w:val="99"/>
    <w:pPr>
      <w:ind w:left="420" w:hanging="420"/>
    </w:pPr>
    <w:rPr>
      <w:rFonts w:ascii="Times New Roman" w:hAnsi="Times New Roman" w:eastAsia="宋体" w:cs="Times New Roman"/>
      <w:szCs w:val="20"/>
    </w:rPr>
  </w:style>
  <w:style w:type="paragraph" w:styleId="29">
    <w:name w:val="toc 6"/>
    <w:basedOn w:val="1"/>
    <w:next w:val="1"/>
    <w:qFormat/>
    <w:uiPriority w:val="39"/>
    <w:pPr>
      <w:ind w:left="1200"/>
      <w:jc w:val="left"/>
    </w:pPr>
    <w:rPr>
      <w:rFonts w:ascii="Calibri" w:hAnsi="Calibri" w:eastAsia="宋体" w:cs="Times New Roman"/>
      <w:sz w:val="18"/>
      <w:szCs w:val="18"/>
    </w:rPr>
  </w:style>
  <w:style w:type="paragraph" w:styleId="30">
    <w:name w:val="Body Text Indent 3"/>
    <w:basedOn w:val="1"/>
    <w:link w:val="152"/>
    <w:qFormat/>
    <w:uiPriority w:val="0"/>
    <w:pPr>
      <w:spacing w:after="120"/>
      <w:ind w:left="420" w:leftChars="200"/>
    </w:pPr>
    <w:rPr>
      <w:sz w:val="16"/>
    </w:rPr>
  </w:style>
  <w:style w:type="paragraph" w:styleId="31">
    <w:name w:val="index 9"/>
    <w:basedOn w:val="1"/>
    <w:next w:val="1"/>
    <w:semiHidden/>
    <w:unhideWhenUsed/>
    <w:uiPriority w:val="99"/>
    <w:pPr>
      <w:ind w:left="2520" w:hanging="280"/>
    </w:pPr>
    <w:rPr>
      <w:rFonts w:eastAsia="仿宋"/>
      <w:sz w:val="28"/>
    </w:rPr>
  </w:style>
  <w:style w:type="paragraph" w:styleId="32">
    <w:name w:val="toc 2"/>
    <w:basedOn w:val="1"/>
    <w:next w:val="1"/>
    <w:unhideWhenUsed/>
    <w:qFormat/>
    <w:uiPriority w:val="39"/>
    <w:pPr>
      <w:ind w:left="420" w:leftChars="200"/>
    </w:pPr>
    <w:rPr>
      <w:rFonts w:ascii="Calibri" w:hAnsi="Calibri" w:eastAsia="宋体" w:cs="Times New Roman"/>
      <w:szCs w:val="20"/>
    </w:rPr>
  </w:style>
  <w:style w:type="paragraph" w:styleId="33">
    <w:name w:val="toc 9"/>
    <w:basedOn w:val="1"/>
    <w:next w:val="1"/>
    <w:qFormat/>
    <w:uiPriority w:val="39"/>
    <w:pPr>
      <w:ind w:left="1920"/>
      <w:jc w:val="left"/>
    </w:pPr>
    <w:rPr>
      <w:rFonts w:ascii="Calibri" w:hAnsi="Calibri" w:eastAsia="宋体" w:cs="Times New Roman"/>
      <w:sz w:val="18"/>
      <w:szCs w:val="18"/>
    </w:rPr>
  </w:style>
  <w:style w:type="paragraph" w:styleId="34">
    <w:name w:val="Normal (Web)"/>
    <w:basedOn w:val="1"/>
    <w:qFormat/>
    <w:uiPriority w:val="99"/>
    <w:rPr>
      <w:rFonts w:ascii="Calibri" w:hAnsi="Calibri" w:eastAsia="宋体" w:cs="Times New Roman"/>
      <w:sz w:val="24"/>
      <w:szCs w:val="20"/>
    </w:rPr>
  </w:style>
  <w:style w:type="paragraph" w:styleId="35">
    <w:name w:val="index 1"/>
    <w:basedOn w:val="1"/>
    <w:next w:val="1"/>
    <w:qFormat/>
    <w:uiPriority w:val="99"/>
    <w:rPr>
      <w:rFonts w:ascii="Calibri" w:hAnsi="Calibri" w:eastAsia="宋体" w:cs="Times New Roman"/>
      <w:sz w:val="24"/>
      <w:szCs w:val="24"/>
    </w:rPr>
  </w:style>
  <w:style w:type="paragraph" w:styleId="36">
    <w:name w:val="Title"/>
    <w:basedOn w:val="1"/>
    <w:next w:val="1"/>
    <w:link w:val="153"/>
    <w:qFormat/>
    <w:uiPriority w:val="0"/>
    <w:pPr>
      <w:spacing w:before="160" w:after="40" w:line="240" w:lineRule="atLeast"/>
      <w:ind w:left="425" w:hanging="425"/>
      <w:jc w:val="center"/>
      <w:outlineLvl w:val="0"/>
    </w:pPr>
    <w:rPr>
      <w:rFonts w:ascii="Arial" w:hAnsi="Arial"/>
      <w:b/>
      <w:sz w:val="32"/>
    </w:rPr>
  </w:style>
  <w:style w:type="paragraph" w:styleId="37">
    <w:name w:val="annotation subject"/>
    <w:basedOn w:val="12"/>
    <w:next w:val="12"/>
    <w:link w:val="154"/>
    <w:qFormat/>
    <w:uiPriority w:val="0"/>
    <w:rPr>
      <w:b/>
    </w:rPr>
  </w:style>
  <w:style w:type="paragraph" w:styleId="38">
    <w:name w:val="Body Text First Indent 2"/>
    <w:basedOn w:val="15"/>
    <w:semiHidden/>
    <w:qFormat/>
    <w:uiPriority w:val="99"/>
    <w:pPr>
      <w:spacing w:line="276" w:lineRule="auto"/>
      <w:ind w:firstLine="420" w:firstLineChars="200"/>
      <w:jc w:val="left"/>
    </w:pPr>
  </w:style>
  <w:style w:type="table" w:styleId="40">
    <w:name w:val="Table Grid"/>
    <w:basedOn w:val="3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2">
    <w:name w:val="Strong"/>
    <w:basedOn w:val="41"/>
    <w:qFormat/>
    <w:uiPriority w:val="22"/>
    <w:rPr>
      <w:b/>
    </w:rPr>
  </w:style>
  <w:style w:type="character" w:styleId="43">
    <w:name w:val="page number"/>
    <w:basedOn w:val="41"/>
    <w:qFormat/>
    <w:uiPriority w:val="99"/>
    <w:rPr>
      <w:rFonts w:cs="Times New Roman"/>
    </w:rPr>
  </w:style>
  <w:style w:type="character" w:styleId="44">
    <w:name w:val="FollowedHyperlink"/>
    <w:basedOn w:val="41"/>
    <w:qFormat/>
    <w:uiPriority w:val="99"/>
    <w:rPr>
      <w:color w:val="800080"/>
      <w:u w:val="single"/>
    </w:rPr>
  </w:style>
  <w:style w:type="character" w:styleId="45">
    <w:name w:val="Emphasis"/>
    <w:qFormat/>
    <w:uiPriority w:val="99"/>
    <w:rPr>
      <w:rFonts w:cs="Times New Roman"/>
      <w:color w:val="auto"/>
    </w:rPr>
  </w:style>
  <w:style w:type="character" w:styleId="46">
    <w:name w:val="HTML Acronym"/>
    <w:basedOn w:val="41"/>
    <w:qFormat/>
    <w:uiPriority w:val="99"/>
  </w:style>
  <w:style w:type="character" w:styleId="47">
    <w:name w:val="Hyperlink"/>
    <w:basedOn w:val="41"/>
    <w:qFormat/>
    <w:uiPriority w:val="99"/>
    <w:rPr>
      <w:color w:val="1F4F88"/>
      <w:u w:val="none"/>
    </w:rPr>
  </w:style>
  <w:style w:type="character" w:styleId="48">
    <w:name w:val="annotation reference"/>
    <w:basedOn w:val="41"/>
    <w:qFormat/>
    <w:uiPriority w:val="99"/>
    <w:rPr>
      <w:sz w:val="21"/>
    </w:rPr>
  </w:style>
  <w:style w:type="character" w:customStyle="1" w:styleId="49">
    <w:name w:val="标题 1 字符"/>
    <w:basedOn w:val="41"/>
    <w:link w:val="3"/>
    <w:qFormat/>
    <w:uiPriority w:val="9"/>
    <w:rPr>
      <w:rFonts w:ascii="Calibri" w:hAnsi="Calibri" w:eastAsia="宋体" w:cs="Times New Roman"/>
      <w:b/>
      <w:bCs/>
      <w:kern w:val="44"/>
      <w:sz w:val="36"/>
      <w:szCs w:val="44"/>
    </w:rPr>
  </w:style>
  <w:style w:type="character" w:customStyle="1" w:styleId="50">
    <w:name w:val="标题 2 字符"/>
    <w:basedOn w:val="41"/>
    <w:link w:val="2"/>
    <w:qFormat/>
    <w:uiPriority w:val="9"/>
    <w:rPr>
      <w:rFonts w:ascii="Arial" w:hAnsi="Arial" w:eastAsia="宋体" w:cs="Times New Roman"/>
      <w:b/>
      <w:bCs/>
      <w:sz w:val="24"/>
      <w:szCs w:val="32"/>
    </w:rPr>
  </w:style>
  <w:style w:type="character" w:customStyle="1" w:styleId="51">
    <w:name w:val="标题 3 字符"/>
    <w:basedOn w:val="41"/>
    <w:link w:val="5"/>
    <w:semiHidden/>
    <w:qFormat/>
    <w:uiPriority w:val="9"/>
    <w:rPr>
      <w:rFonts w:ascii="Calibri" w:hAnsi="Calibri" w:eastAsia="宋体" w:cs="Times New Roman"/>
      <w:b/>
      <w:bCs/>
      <w:sz w:val="32"/>
      <w:szCs w:val="32"/>
    </w:rPr>
  </w:style>
  <w:style w:type="character" w:customStyle="1" w:styleId="52">
    <w:name w:val="Char Char3"/>
    <w:qFormat/>
    <w:uiPriority w:val="0"/>
    <w:rPr>
      <w:rFonts w:ascii="宋体" w:hAnsi="Courier New" w:eastAsia="宋体"/>
      <w:kern w:val="2"/>
      <w:sz w:val="21"/>
      <w:lang w:val="en-US" w:eastAsia="zh-CN"/>
    </w:rPr>
  </w:style>
  <w:style w:type="character" w:customStyle="1" w:styleId="53">
    <w:name w:val="正文文本缩进 2 字符"/>
    <w:link w:val="21"/>
    <w:qFormat/>
    <w:locked/>
    <w:uiPriority w:val="0"/>
  </w:style>
  <w:style w:type="character" w:customStyle="1" w:styleId="54">
    <w:name w:val="批注主题 字符"/>
    <w:link w:val="37"/>
    <w:qFormat/>
    <w:locked/>
    <w:uiPriority w:val="0"/>
    <w:rPr>
      <w:b/>
    </w:rPr>
  </w:style>
  <w:style w:type="character" w:customStyle="1" w:styleId="55">
    <w:name w:val="正文文本缩进 3 字符"/>
    <w:link w:val="30"/>
    <w:qFormat/>
    <w:locked/>
    <w:uiPriority w:val="0"/>
    <w:rPr>
      <w:sz w:val="16"/>
    </w:rPr>
  </w:style>
  <w:style w:type="character" w:customStyle="1" w:styleId="56">
    <w:name w:val="纯文本 Char"/>
    <w:qFormat/>
    <w:uiPriority w:val="0"/>
    <w:rPr>
      <w:rFonts w:ascii="宋体" w:hAnsi="Courier New" w:eastAsia="宋体"/>
      <w:kern w:val="2"/>
      <w:sz w:val="21"/>
      <w:lang w:val="en-US" w:eastAsia="zh-CN"/>
    </w:rPr>
  </w:style>
  <w:style w:type="character" w:customStyle="1" w:styleId="57">
    <w:name w:val="Char Char2"/>
    <w:qFormat/>
    <w:uiPriority w:val="0"/>
    <w:rPr>
      <w:rFonts w:ascii="宋体" w:hAnsi="Courier New"/>
      <w:kern w:val="2"/>
      <w:sz w:val="21"/>
    </w:rPr>
  </w:style>
  <w:style w:type="character" w:customStyle="1" w:styleId="58">
    <w:name w:val="列出段落 字符"/>
    <w:link w:val="59"/>
    <w:qFormat/>
    <w:locked/>
    <w:uiPriority w:val="34"/>
    <w:rPr>
      <w:sz w:val="22"/>
    </w:rPr>
  </w:style>
  <w:style w:type="paragraph" w:customStyle="1" w:styleId="59">
    <w:name w:val="列出段落1"/>
    <w:basedOn w:val="1"/>
    <w:link w:val="58"/>
    <w:qFormat/>
    <w:uiPriority w:val="34"/>
    <w:pPr>
      <w:ind w:firstLine="420" w:firstLineChars="200"/>
    </w:pPr>
    <w:rPr>
      <w:sz w:val="22"/>
    </w:rPr>
  </w:style>
  <w:style w:type="character" w:customStyle="1" w:styleId="60">
    <w:name w:val="apple-converted-space"/>
    <w:basedOn w:val="41"/>
    <w:qFormat/>
    <w:uiPriority w:val="0"/>
    <w:rPr>
      <w:rFonts w:cs="Times New Roman"/>
    </w:rPr>
  </w:style>
  <w:style w:type="character" w:customStyle="1" w:styleId="61">
    <w:name w:val="页眉 字符"/>
    <w:link w:val="24"/>
    <w:qFormat/>
    <w:locked/>
    <w:uiPriority w:val="0"/>
    <w:rPr>
      <w:sz w:val="18"/>
    </w:rPr>
  </w:style>
  <w:style w:type="character" w:customStyle="1" w:styleId="62">
    <w:name w:val="BODY TEXT Char"/>
    <w:qFormat/>
    <w:locked/>
    <w:uiPriority w:val="0"/>
    <w:rPr>
      <w:rFonts w:eastAsia="新宋体"/>
      <w:kern w:val="2"/>
      <w:sz w:val="21"/>
    </w:rPr>
  </w:style>
  <w:style w:type="character" w:customStyle="1" w:styleId="63">
    <w:name w:val="批注文字 字符"/>
    <w:link w:val="12"/>
    <w:qFormat/>
    <w:locked/>
    <w:uiPriority w:val="0"/>
  </w:style>
  <w:style w:type="character" w:customStyle="1" w:styleId="64">
    <w:name w:val="标题 字符"/>
    <w:link w:val="36"/>
    <w:qFormat/>
    <w:locked/>
    <w:uiPriority w:val="0"/>
    <w:rPr>
      <w:rFonts w:ascii="Arial" w:hAnsi="Arial"/>
      <w:b/>
      <w:sz w:val="32"/>
    </w:rPr>
  </w:style>
  <w:style w:type="character" w:customStyle="1" w:styleId="65">
    <w:name w:val="日期 字符"/>
    <w:link w:val="20"/>
    <w:qFormat/>
    <w:locked/>
    <w:uiPriority w:val="0"/>
    <w:rPr>
      <w:sz w:val="24"/>
    </w:rPr>
  </w:style>
  <w:style w:type="character" w:customStyle="1" w:styleId="66">
    <w:name w:val="ATXT_Bullets Zchn"/>
    <w:link w:val="67"/>
    <w:qFormat/>
    <w:locked/>
    <w:uiPriority w:val="99"/>
    <w:rPr>
      <w:rFonts w:ascii="Arial" w:hAnsi="Arial"/>
      <w:lang w:val="de-AT" w:eastAsia="zh-CN"/>
    </w:rPr>
  </w:style>
  <w:style w:type="paragraph" w:customStyle="1" w:styleId="67">
    <w:name w:val="ATXT_Bullets"/>
    <w:link w:val="66"/>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8">
    <w:name w:val="Char Char5"/>
    <w:qFormat/>
    <w:uiPriority w:val="0"/>
    <w:rPr>
      <w:rFonts w:ascii="宋体" w:hAnsi="Courier New" w:eastAsia="宋体"/>
      <w:kern w:val="2"/>
      <w:sz w:val="21"/>
      <w:lang w:val="en-US" w:eastAsia="zh-CN"/>
    </w:rPr>
  </w:style>
  <w:style w:type="character" w:customStyle="1" w:styleId="69">
    <w:name w:val="批注框文本 字符"/>
    <w:link w:val="22"/>
    <w:qFormat/>
    <w:locked/>
    <w:uiPriority w:val="0"/>
    <w:rPr>
      <w:sz w:val="18"/>
    </w:rPr>
  </w:style>
  <w:style w:type="character" w:customStyle="1" w:styleId="70">
    <w:name w:val="批注文字 Char"/>
    <w:qFormat/>
    <w:uiPriority w:val="0"/>
    <w:rPr>
      <w:kern w:val="2"/>
    </w:rPr>
  </w:style>
  <w:style w:type="character" w:customStyle="1" w:styleId="71">
    <w:name w:val="批注主题 Char"/>
    <w:qFormat/>
    <w:uiPriority w:val="0"/>
    <w:rPr>
      <w:b/>
      <w:kern w:val="2"/>
    </w:rPr>
  </w:style>
  <w:style w:type="character" w:customStyle="1" w:styleId="72">
    <w:name w:val="文档结构图 字符"/>
    <w:link w:val="10"/>
    <w:qFormat/>
    <w:locked/>
    <w:uiPriority w:val="0"/>
    <w:rPr>
      <w:sz w:val="24"/>
      <w:shd w:val="clear" w:color="auto" w:fill="000080"/>
    </w:rPr>
  </w:style>
  <w:style w:type="character" w:customStyle="1" w:styleId="73">
    <w:name w:val="HTML Markup"/>
    <w:qFormat/>
    <w:uiPriority w:val="0"/>
    <w:rPr>
      <w:vanish/>
      <w:color w:val="FF0000"/>
    </w:rPr>
  </w:style>
  <w:style w:type="character" w:customStyle="1" w:styleId="74">
    <w:name w:val="纯文本 字符"/>
    <w:link w:val="18"/>
    <w:qFormat/>
    <w:locked/>
    <w:uiPriority w:val="0"/>
    <w:rPr>
      <w:rFonts w:ascii="宋体" w:hAnsi="Courier New"/>
    </w:rPr>
  </w:style>
  <w:style w:type="character" w:customStyle="1" w:styleId="75">
    <w:name w:val="页脚 字符"/>
    <w:link w:val="23"/>
    <w:qFormat/>
    <w:locked/>
    <w:uiPriority w:val="99"/>
    <w:rPr>
      <w:sz w:val="18"/>
    </w:rPr>
  </w:style>
  <w:style w:type="character" w:customStyle="1" w:styleId="76">
    <w:name w:val="Default Char"/>
    <w:link w:val="77"/>
    <w:qFormat/>
    <w:locked/>
    <w:uiPriority w:val="0"/>
    <w:rPr>
      <w:rFonts w:ascii="仿宋_GB2312" w:eastAsia="仿宋_GB2312"/>
      <w:color w:val="000000"/>
      <w:sz w:val="24"/>
    </w:rPr>
  </w:style>
  <w:style w:type="paragraph" w:customStyle="1" w:styleId="77">
    <w:name w:val="Default"/>
    <w:link w:val="76"/>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8">
    <w:name w:val="页脚 Char"/>
    <w:qFormat/>
    <w:locked/>
    <w:uiPriority w:val="99"/>
    <w:rPr>
      <w:sz w:val="18"/>
    </w:rPr>
  </w:style>
  <w:style w:type="character" w:customStyle="1" w:styleId="79">
    <w:name w:val="批注文字 字符1"/>
    <w:basedOn w:val="41"/>
    <w:semiHidden/>
    <w:qFormat/>
    <w:uiPriority w:val="99"/>
  </w:style>
  <w:style w:type="character" w:customStyle="1" w:styleId="80">
    <w:name w:val="批注文字 字符11"/>
    <w:basedOn w:val="41"/>
    <w:qFormat/>
    <w:uiPriority w:val="0"/>
    <w:rPr>
      <w:rFonts w:cs="Times New Roman"/>
      <w:kern w:val="2"/>
      <w:sz w:val="21"/>
    </w:rPr>
  </w:style>
  <w:style w:type="character" w:customStyle="1" w:styleId="81">
    <w:name w:val="正文文本缩进 字符"/>
    <w:basedOn w:val="41"/>
    <w:link w:val="15"/>
    <w:qFormat/>
    <w:uiPriority w:val="99"/>
    <w:rPr>
      <w:rFonts w:ascii="Calibri" w:hAnsi="Calibri" w:eastAsia="宋体" w:cs="Times New Roman"/>
      <w:szCs w:val="20"/>
    </w:rPr>
  </w:style>
  <w:style w:type="character" w:customStyle="1" w:styleId="82">
    <w:name w:val="文档结构图 字符1"/>
    <w:basedOn w:val="41"/>
    <w:semiHidden/>
    <w:qFormat/>
    <w:uiPriority w:val="99"/>
    <w:rPr>
      <w:rFonts w:ascii="Microsoft YaHei UI" w:eastAsia="Microsoft YaHei UI"/>
      <w:sz w:val="18"/>
      <w:szCs w:val="18"/>
    </w:rPr>
  </w:style>
  <w:style w:type="character" w:customStyle="1" w:styleId="83">
    <w:name w:val="文档结构图 字符11"/>
    <w:basedOn w:val="41"/>
    <w:semiHidden/>
    <w:qFormat/>
    <w:uiPriority w:val="99"/>
    <w:rPr>
      <w:rFonts w:ascii="Microsoft YaHei UI" w:eastAsia="Microsoft YaHei UI" w:cs="Times New Roman"/>
      <w:kern w:val="2"/>
      <w:sz w:val="18"/>
      <w:szCs w:val="18"/>
    </w:rPr>
  </w:style>
  <w:style w:type="character" w:customStyle="1" w:styleId="84">
    <w:name w:val="正文文本 字符"/>
    <w:basedOn w:val="41"/>
    <w:link w:val="14"/>
    <w:qFormat/>
    <w:uiPriority w:val="99"/>
    <w:rPr>
      <w:rFonts w:ascii="Calibri" w:hAnsi="Calibri" w:eastAsia="新宋体" w:cs="Times New Roman"/>
      <w:szCs w:val="21"/>
    </w:rPr>
  </w:style>
  <w:style w:type="character" w:customStyle="1" w:styleId="85">
    <w:name w:val="纯文本 字符1"/>
    <w:basedOn w:val="41"/>
    <w:semiHidden/>
    <w:qFormat/>
    <w:uiPriority w:val="99"/>
    <w:rPr>
      <w:rFonts w:hAnsi="Courier New" w:cs="Courier New" w:asciiTheme="minorEastAsia"/>
    </w:rPr>
  </w:style>
  <w:style w:type="character" w:customStyle="1" w:styleId="86">
    <w:name w:val="纯文本 字符11"/>
    <w:basedOn w:val="41"/>
    <w:qFormat/>
    <w:uiPriority w:val="0"/>
    <w:rPr>
      <w:rFonts w:hAnsi="Courier New" w:cs="Courier New" w:asciiTheme="minorEastAsia" w:eastAsiaTheme="minorEastAsia"/>
      <w:kern w:val="2"/>
      <w:sz w:val="21"/>
    </w:rPr>
  </w:style>
  <w:style w:type="character" w:customStyle="1" w:styleId="87">
    <w:name w:val="页眉 字符1"/>
    <w:basedOn w:val="41"/>
    <w:semiHidden/>
    <w:qFormat/>
    <w:uiPriority w:val="99"/>
    <w:rPr>
      <w:sz w:val="18"/>
      <w:szCs w:val="18"/>
    </w:rPr>
  </w:style>
  <w:style w:type="character" w:customStyle="1" w:styleId="88">
    <w:name w:val="页眉 字符11"/>
    <w:basedOn w:val="41"/>
    <w:semiHidden/>
    <w:qFormat/>
    <w:uiPriority w:val="99"/>
    <w:rPr>
      <w:rFonts w:cs="Times New Roman"/>
      <w:kern w:val="2"/>
      <w:sz w:val="18"/>
      <w:szCs w:val="18"/>
    </w:rPr>
  </w:style>
  <w:style w:type="character" w:customStyle="1" w:styleId="89">
    <w:name w:val="批注框文本 字符1"/>
    <w:basedOn w:val="41"/>
    <w:semiHidden/>
    <w:qFormat/>
    <w:uiPriority w:val="99"/>
    <w:rPr>
      <w:sz w:val="18"/>
      <w:szCs w:val="18"/>
    </w:rPr>
  </w:style>
  <w:style w:type="character" w:customStyle="1" w:styleId="90">
    <w:name w:val="批注框文本 字符11"/>
    <w:basedOn w:val="41"/>
    <w:semiHidden/>
    <w:qFormat/>
    <w:uiPriority w:val="99"/>
    <w:rPr>
      <w:rFonts w:cs="Times New Roman"/>
      <w:kern w:val="2"/>
      <w:sz w:val="18"/>
      <w:szCs w:val="18"/>
    </w:rPr>
  </w:style>
  <w:style w:type="character" w:customStyle="1" w:styleId="91">
    <w:name w:val="日期 字符1"/>
    <w:basedOn w:val="41"/>
    <w:semiHidden/>
    <w:qFormat/>
    <w:uiPriority w:val="99"/>
  </w:style>
  <w:style w:type="character" w:customStyle="1" w:styleId="92">
    <w:name w:val="日期 字符11"/>
    <w:basedOn w:val="41"/>
    <w:semiHidden/>
    <w:qFormat/>
    <w:uiPriority w:val="99"/>
    <w:rPr>
      <w:rFonts w:cs="Times New Roman"/>
      <w:kern w:val="2"/>
      <w:sz w:val="21"/>
    </w:rPr>
  </w:style>
  <w:style w:type="character" w:customStyle="1" w:styleId="93">
    <w:name w:val="页脚 字符1"/>
    <w:basedOn w:val="41"/>
    <w:semiHidden/>
    <w:qFormat/>
    <w:uiPriority w:val="99"/>
    <w:rPr>
      <w:sz w:val="18"/>
      <w:szCs w:val="18"/>
    </w:rPr>
  </w:style>
  <w:style w:type="character" w:customStyle="1" w:styleId="94">
    <w:name w:val="页脚 字符11"/>
    <w:basedOn w:val="41"/>
    <w:semiHidden/>
    <w:qFormat/>
    <w:uiPriority w:val="99"/>
    <w:rPr>
      <w:rFonts w:cs="Times New Roman"/>
      <w:kern w:val="2"/>
      <w:sz w:val="18"/>
      <w:szCs w:val="18"/>
    </w:rPr>
  </w:style>
  <w:style w:type="character" w:customStyle="1" w:styleId="95">
    <w:name w:val="正文文本缩进 2 字符1"/>
    <w:basedOn w:val="41"/>
    <w:semiHidden/>
    <w:qFormat/>
    <w:uiPriority w:val="99"/>
  </w:style>
  <w:style w:type="character" w:customStyle="1" w:styleId="96">
    <w:name w:val="正文文本缩进 2 字符11"/>
    <w:basedOn w:val="41"/>
    <w:semiHidden/>
    <w:qFormat/>
    <w:uiPriority w:val="99"/>
    <w:rPr>
      <w:rFonts w:cs="Times New Roman"/>
      <w:kern w:val="2"/>
      <w:sz w:val="21"/>
    </w:rPr>
  </w:style>
  <w:style w:type="character" w:customStyle="1" w:styleId="97">
    <w:name w:val="正文文本缩进 3 字符1"/>
    <w:basedOn w:val="41"/>
    <w:semiHidden/>
    <w:qFormat/>
    <w:uiPriority w:val="99"/>
    <w:rPr>
      <w:sz w:val="16"/>
      <w:szCs w:val="16"/>
    </w:rPr>
  </w:style>
  <w:style w:type="character" w:customStyle="1" w:styleId="98">
    <w:name w:val="正文文本缩进 3 字符11"/>
    <w:basedOn w:val="41"/>
    <w:semiHidden/>
    <w:qFormat/>
    <w:uiPriority w:val="99"/>
    <w:rPr>
      <w:rFonts w:cs="Times New Roman"/>
      <w:kern w:val="2"/>
      <w:sz w:val="16"/>
      <w:szCs w:val="16"/>
    </w:rPr>
  </w:style>
  <w:style w:type="character" w:customStyle="1" w:styleId="99">
    <w:name w:val="批注主题 字符1"/>
    <w:basedOn w:val="79"/>
    <w:semiHidden/>
    <w:qFormat/>
    <w:uiPriority w:val="99"/>
    <w:rPr>
      <w:b/>
      <w:bCs/>
    </w:rPr>
  </w:style>
  <w:style w:type="character" w:customStyle="1" w:styleId="100">
    <w:name w:val="批注主题 字符11"/>
    <w:basedOn w:val="80"/>
    <w:semiHidden/>
    <w:qFormat/>
    <w:uiPriority w:val="99"/>
    <w:rPr>
      <w:rFonts w:cs="Times New Roman"/>
      <w:b/>
      <w:bCs/>
      <w:kern w:val="2"/>
      <w:sz w:val="21"/>
    </w:rPr>
  </w:style>
  <w:style w:type="character" w:customStyle="1" w:styleId="101">
    <w:name w:val="标题 字符1"/>
    <w:basedOn w:val="41"/>
    <w:qFormat/>
    <w:uiPriority w:val="10"/>
    <w:rPr>
      <w:rFonts w:asciiTheme="majorHAnsi" w:hAnsiTheme="majorHAnsi" w:eastAsiaTheme="majorEastAsia" w:cstheme="majorBidi"/>
      <w:b/>
      <w:bCs/>
      <w:sz w:val="32"/>
      <w:szCs w:val="32"/>
    </w:rPr>
  </w:style>
  <w:style w:type="character" w:customStyle="1" w:styleId="102">
    <w:name w:val="标题 字符11"/>
    <w:basedOn w:val="41"/>
    <w:qFormat/>
    <w:uiPriority w:val="10"/>
    <w:rPr>
      <w:rFonts w:cs="Times New Roman" w:asciiTheme="majorHAnsi" w:hAnsiTheme="majorHAnsi" w:eastAsiaTheme="majorEastAsia"/>
      <w:b/>
      <w:bCs/>
      <w:kern w:val="2"/>
      <w:sz w:val="32"/>
      <w:szCs w:val="32"/>
    </w:rPr>
  </w:style>
  <w:style w:type="paragraph" w:customStyle="1" w:styleId="103">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4">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5">
    <w:name w:val="二级列表 Char"/>
    <w:basedOn w:val="1"/>
    <w:qFormat/>
    <w:uiPriority w:val="0"/>
    <w:rPr>
      <w:rFonts w:ascii="Calibri" w:hAnsi="Calibri" w:eastAsia="宋体" w:cs="Times New Roman"/>
      <w:szCs w:val="20"/>
    </w:rPr>
  </w:style>
  <w:style w:type="paragraph" w:customStyle="1" w:styleId="106">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7">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8">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9">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0">
    <w:name w:val="Char Char Char Char Char Char Char"/>
    <w:basedOn w:val="1"/>
    <w:qFormat/>
    <w:uiPriority w:val="0"/>
    <w:rPr>
      <w:rFonts w:ascii="Verdana" w:hAnsi="Verdana" w:eastAsia="宋体" w:cs="Times New Roman"/>
      <w:kern w:val="0"/>
      <w:sz w:val="20"/>
      <w:szCs w:val="20"/>
      <w:lang w:eastAsia="en-US"/>
    </w:rPr>
  </w:style>
  <w:style w:type="paragraph" w:customStyle="1" w:styleId="111">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2">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3">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4">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5">
    <w:name w:val="标书正文格式"/>
    <w:basedOn w:val="18"/>
    <w:link w:val="117"/>
    <w:qFormat/>
    <w:uiPriority w:val="0"/>
    <w:pPr>
      <w:spacing w:line="360" w:lineRule="auto"/>
      <w:ind w:firstLine="200" w:firstLineChars="200"/>
    </w:pPr>
    <w:rPr>
      <w:rFonts w:hAnsi="宋体"/>
      <w:color w:val="000000"/>
      <w:sz w:val="24"/>
      <w:szCs w:val="24"/>
    </w:rPr>
  </w:style>
  <w:style w:type="paragraph" w:customStyle="1" w:styleId="116">
    <w:name w:val="标书二级标题"/>
    <w:basedOn w:val="2"/>
    <w:link w:val="119"/>
    <w:qFormat/>
    <w:uiPriority w:val="0"/>
    <w:pPr>
      <w:spacing w:line="240" w:lineRule="auto"/>
      <w:jc w:val="left"/>
    </w:pPr>
    <w:rPr>
      <w:rFonts w:ascii="宋体" w:hAnsi="宋体" w:eastAsia="黑体"/>
      <w:b w:val="0"/>
      <w:sz w:val="28"/>
      <w:szCs w:val="30"/>
    </w:rPr>
  </w:style>
  <w:style w:type="character" w:customStyle="1" w:styleId="117">
    <w:name w:val="标书正文格式 字符"/>
    <w:link w:val="115"/>
    <w:qFormat/>
    <w:locked/>
    <w:uiPriority w:val="0"/>
    <w:rPr>
      <w:rFonts w:ascii="宋体" w:hAnsi="宋体"/>
      <w:color w:val="000000"/>
      <w:sz w:val="24"/>
      <w:szCs w:val="24"/>
    </w:rPr>
  </w:style>
  <w:style w:type="paragraph" w:customStyle="1" w:styleId="118">
    <w:name w:val="标书表格"/>
    <w:basedOn w:val="1"/>
    <w:link w:val="120"/>
    <w:qFormat/>
    <w:uiPriority w:val="0"/>
    <w:pPr>
      <w:jc w:val="center"/>
    </w:pPr>
    <w:rPr>
      <w:rFonts w:ascii="Times New Roman" w:hAnsi="Times New Roman" w:eastAsia="宋体" w:cs="Times New Roman"/>
      <w:b/>
      <w:szCs w:val="20"/>
    </w:rPr>
  </w:style>
  <w:style w:type="character" w:customStyle="1" w:styleId="119">
    <w:name w:val="标书二级标题 字符"/>
    <w:link w:val="116"/>
    <w:qFormat/>
    <w:locked/>
    <w:uiPriority w:val="0"/>
    <w:rPr>
      <w:rFonts w:ascii="宋体" w:hAnsi="宋体" w:eastAsia="黑体" w:cs="Times New Roman"/>
      <w:bCs/>
      <w:sz w:val="28"/>
      <w:szCs w:val="30"/>
    </w:rPr>
  </w:style>
  <w:style w:type="character" w:customStyle="1" w:styleId="120">
    <w:name w:val="标书表格 字符"/>
    <w:link w:val="118"/>
    <w:qFormat/>
    <w:locked/>
    <w:uiPriority w:val="0"/>
    <w:rPr>
      <w:rFonts w:ascii="Times New Roman" w:hAnsi="Times New Roman" w:eastAsia="宋体" w:cs="Times New Roman"/>
      <w:b/>
      <w:szCs w:val="20"/>
    </w:rPr>
  </w:style>
  <w:style w:type="paragraph" w:customStyle="1" w:styleId="121">
    <w:name w:val="标书三级标题"/>
    <w:basedOn w:val="5"/>
    <w:next w:val="115"/>
    <w:link w:val="122"/>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2">
    <w:name w:val="标书三级标题 字符"/>
    <w:link w:val="121"/>
    <w:qFormat/>
    <w:locked/>
    <w:uiPriority w:val="0"/>
    <w:rPr>
      <w:rFonts w:ascii="Times New Roman" w:hAnsi="Times New Roman" w:eastAsia="宋体" w:cs="Times New Roman"/>
      <w:b/>
      <w:bCs/>
      <w:color w:val="000000"/>
      <w:sz w:val="24"/>
      <w:szCs w:val="24"/>
    </w:rPr>
  </w:style>
  <w:style w:type="character" w:customStyle="1" w:styleId="123">
    <w:name w:val="标三级标题 字符"/>
    <w:link w:val="124"/>
    <w:qFormat/>
    <w:locked/>
    <w:uiPriority w:val="0"/>
    <w:rPr>
      <w:b/>
      <w:color w:val="000000"/>
      <w:sz w:val="24"/>
    </w:rPr>
  </w:style>
  <w:style w:type="paragraph" w:customStyle="1" w:styleId="124">
    <w:name w:val="标三级标题"/>
    <w:basedOn w:val="121"/>
    <w:link w:val="123"/>
    <w:qFormat/>
    <w:uiPriority w:val="0"/>
    <w:rPr>
      <w:rFonts w:asciiTheme="minorHAnsi" w:hAnsiTheme="minorHAnsi" w:eastAsiaTheme="minorEastAsia" w:cstheme="minorBidi"/>
      <w:bCs w:val="0"/>
      <w:szCs w:val="22"/>
    </w:rPr>
  </w:style>
  <w:style w:type="character" w:customStyle="1" w:styleId="125">
    <w:name w:val="标正文 字符"/>
    <w:link w:val="126"/>
    <w:qFormat/>
    <w:locked/>
    <w:uiPriority w:val="0"/>
    <w:rPr>
      <w:rFonts w:ascii="宋体" w:eastAsia="宋体"/>
      <w:color w:val="000000"/>
      <w:sz w:val="24"/>
    </w:rPr>
  </w:style>
  <w:style w:type="paragraph" w:customStyle="1" w:styleId="126">
    <w:name w:val="标正文"/>
    <w:basedOn w:val="115"/>
    <w:link w:val="125"/>
    <w:qFormat/>
    <w:uiPriority w:val="0"/>
    <w:pPr>
      <w:ind w:firstLine="480"/>
    </w:pPr>
    <w:rPr>
      <w:rFonts w:eastAsia="宋体" w:hAnsiTheme="minorHAnsi"/>
      <w:szCs w:val="22"/>
    </w:rPr>
  </w:style>
  <w:style w:type="paragraph" w:customStyle="1" w:styleId="127">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8">
    <w:name w:val="HR正文表格"/>
    <w:basedOn w:val="1"/>
    <w:qFormat/>
    <w:uiPriority w:val="0"/>
    <w:pPr>
      <w:spacing w:beforeLines="25" w:afterLines="25" w:line="300" w:lineRule="auto"/>
    </w:pPr>
    <w:rPr>
      <w:szCs w:val="24"/>
    </w:rPr>
  </w:style>
  <w:style w:type="paragraph" w:styleId="129">
    <w:name w:val="List Paragraph"/>
    <w:basedOn w:val="1"/>
    <w:qFormat/>
    <w:uiPriority w:val="99"/>
    <w:pPr>
      <w:ind w:firstLine="420" w:firstLineChars="200"/>
    </w:pPr>
  </w:style>
  <w:style w:type="paragraph" w:customStyle="1" w:styleId="130">
    <w:name w:val="WPSOffice手动目录 1"/>
    <w:qFormat/>
    <w:uiPriority w:val="0"/>
    <w:rPr>
      <w:rFonts w:ascii="Times New Roman" w:hAnsi="Times New Roman" w:eastAsia="宋体" w:cs="Times New Roman"/>
      <w:lang w:val="en-US" w:eastAsia="zh-CN" w:bidi="ar-SA"/>
    </w:rPr>
  </w:style>
  <w:style w:type="table" w:customStyle="1" w:styleId="131">
    <w:name w:val="Table Normal"/>
    <w:semiHidden/>
    <w:unhideWhenUsed/>
    <w:qFormat/>
    <w:uiPriority w:val="0"/>
    <w:tblPr>
      <w:tblCellMar>
        <w:top w:w="0" w:type="dxa"/>
        <w:left w:w="0" w:type="dxa"/>
        <w:bottom w:w="0" w:type="dxa"/>
        <w:right w:w="0" w:type="dxa"/>
      </w:tblCellMar>
    </w:tblPr>
  </w:style>
  <w:style w:type="character" w:customStyle="1" w:styleId="132">
    <w:name w:val="NormalCharacter"/>
    <w:qFormat/>
    <w:uiPriority w:val="0"/>
  </w:style>
  <w:style w:type="paragraph" w:customStyle="1" w:styleId="133">
    <w:name w:val="Table Paragraph"/>
    <w:basedOn w:val="1"/>
    <w:qFormat/>
    <w:uiPriority w:val="1"/>
    <w:rPr>
      <w:rFonts w:ascii="宋体" w:hAnsi="宋体" w:eastAsia="宋体" w:cs="宋体"/>
    </w:rPr>
  </w:style>
  <w:style w:type="paragraph" w:customStyle="1" w:styleId="134">
    <w:name w:val="标书一级标题"/>
    <w:basedOn w:val="3"/>
    <w:qFormat/>
    <w:uiPriority w:val="0"/>
    <w:pPr>
      <w:spacing w:before="0" w:after="0" w:line="240" w:lineRule="auto"/>
      <w:jc w:val="center"/>
    </w:pPr>
    <w:rPr>
      <w:rFonts w:eastAsia="黑体"/>
      <w:b w:val="0"/>
      <w:color w:val="000000"/>
      <w:sz w:val="30"/>
      <w:szCs w:val="24"/>
    </w:rPr>
  </w:style>
  <w:style w:type="paragraph" w:customStyle="1" w:styleId="135">
    <w:name w:val="标题 5（有编号）（绿盟科技）"/>
    <w:basedOn w:val="1"/>
    <w:next w:val="136"/>
    <w:qFormat/>
    <w:uiPriority w:val="0"/>
    <w:pPr>
      <w:keepNext/>
      <w:keepLines/>
      <w:numPr>
        <w:ilvl w:val="4"/>
        <w:numId w:val="1"/>
      </w:numPr>
      <w:spacing w:before="280" w:after="156" w:line="377" w:lineRule="auto"/>
      <w:outlineLvl w:val="4"/>
    </w:pPr>
    <w:rPr>
      <w:rFonts w:ascii="Arial" w:hAnsi="Arial" w:eastAsia="黑体" w:cs="Times New Roman"/>
      <w:b/>
      <w:sz w:val="24"/>
      <w:szCs w:val="28"/>
    </w:rPr>
  </w:style>
  <w:style w:type="paragraph" w:customStyle="1" w:styleId="136">
    <w:name w:val="正文（绿盟科技）"/>
    <w:unhideWhenUsed/>
    <w:qFormat/>
    <w:uiPriority w:val="0"/>
    <w:pPr>
      <w:spacing w:beforeLines="0" w:afterLines="0" w:line="300" w:lineRule="auto"/>
    </w:pPr>
    <w:rPr>
      <w:rFonts w:hint="default" w:ascii="Arial" w:hAnsi="Arial" w:eastAsia="宋体" w:cs="Times New Roman"/>
      <w:sz w:val="21"/>
      <w:szCs w:val="21"/>
      <w:lang w:val="en-US" w:eastAsia="zh-CN" w:bidi="ar-SA"/>
    </w:rPr>
  </w:style>
  <w:style w:type="character" w:customStyle="1" w:styleId="137">
    <w:name w:val="font61"/>
    <w:qFormat/>
    <w:uiPriority w:val="0"/>
    <w:rPr>
      <w:rFonts w:hint="eastAsia" w:ascii="宋体" w:hAnsi="宋体" w:eastAsia="宋体" w:cs="宋体"/>
      <w:color w:val="000000"/>
      <w:sz w:val="22"/>
      <w:szCs w:val="22"/>
      <w:u w:val="none"/>
    </w:rPr>
  </w:style>
  <w:style w:type="paragraph" w:customStyle="1" w:styleId="138">
    <w:name w:val="正文内容"/>
    <w:qFormat/>
    <w:uiPriority w:val="0"/>
    <w:pPr>
      <w:widowControl w:val="0"/>
      <w:ind w:firstLine="200" w:firstLineChars="200"/>
      <w:jc w:val="both"/>
    </w:pPr>
    <w:rPr>
      <w:rFonts w:ascii="Times New Roman" w:hAnsi="Times New Roman" w:eastAsia="仿宋_GB2312" w:cs="Times New Roman"/>
      <w:bCs/>
      <w:kern w:val="2"/>
      <w:sz w:val="28"/>
      <w:szCs w:val="24"/>
      <w:lang w:val="en-US" w:eastAsia="zh-CN" w:bidi="ar-SA"/>
    </w:rPr>
  </w:style>
  <w:style w:type="character" w:customStyle="1" w:styleId="139">
    <w:name w:val="标题 1 Char"/>
    <w:basedOn w:val="41"/>
    <w:link w:val="3"/>
    <w:qFormat/>
    <w:uiPriority w:val="9"/>
    <w:rPr>
      <w:rFonts w:ascii="Calibri" w:hAnsi="Calibri" w:eastAsia="宋体" w:cs="Times New Roman"/>
      <w:b/>
      <w:bCs/>
      <w:kern w:val="44"/>
      <w:sz w:val="36"/>
      <w:szCs w:val="44"/>
    </w:rPr>
  </w:style>
  <w:style w:type="character" w:customStyle="1" w:styleId="140">
    <w:name w:val="标题 2 Char"/>
    <w:basedOn w:val="41"/>
    <w:link w:val="2"/>
    <w:qFormat/>
    <w:uiPriority w:val="9"/>
    <w:rPr>
      <w:rFonts w:ascii="Arial" w:hAnsi="Arial" w:eastAsia="宋体" w:cs="Times New Roman"/>
      <w:b/>
      <w:bCs/>
      <w:sz w:val="24"/>
      <w:szCs w:val="32"/>
    </w:rPr>
  </w:style>
  <w:style w:type="character" w:customStyle="1" w:styleId="141">
    <w:name w:val="标题 3 Char"/>
    <w:basedOn w:val="41"/>
    <w:link w:val="5"/>
    <w:semiHidden/>
    <w:qFormat/>
    <w:uiPriority w:val="9"/>
    <w:rPr>
      <w:rFonts w:ascii="Calibri" w:hAnsi="Calibri" w:eastAsia="宋体" w:cs="Times New Roman"/>
      <w:b/>
      <w:bCs/>
      <w:sz w:val="32"/>
      <w:szCs w:val="32"/>
    </w:rPr>
  </w:style>
  <w:style w:type="character" w:customStyle="1" w:styleId="142">
    <w:name w:val="文档结构图 Char"/>
    <w:link w:val="10"/>
    <w:qFormat/>
    <w:locked/>
    <w:uiPriority w:val="0"/>
    <w:rPr>
      <w:rFonts w:ascii="Times New Roman" w:hAnsi="Times New Roman" w:eastAsia="宋体" w:cs="Times New Roman"/>
      <w:sz w:val="24"/>
      <w:shd w:val="clear" w:color="auto" w:fill="000080"/>
    </w:rPr>
  </w:style>
  <w:style w:type="character" w:customStyle="1" w:styleId="143">
    <w:name w:val="批注文字 Char1"/>
    <w:link w:val="12"/>
    <w:qFormat/>
    <w:locked/>
    <w:uiPriority w:val="0"/>
    <w:rPr>
      <w:rFonts w:ascii="Times New Roman" w:hAnsi="Times New Roman" w:eastAsia="宋体" w:cs="Times New Roman"/>
    </w:rPr>
  </w:style>
  <w:style w:type="character" w:customStyle="1" w:styleId="144">
    <w:name w:val="正文文本 Char"/>
    <w:basedOn w:val="41"/>
    <w:link w:val="14"/>
    <w:qFormat/>
    <w:uiPriority w:val="99"/>
    <w:rPr>
      <w:rFonts w:ascii="Calibri" w:hAnsi="Calibri" w:eastAsia="新宋体" w:cs="Times New Roman"/>
      <w:szCs w:val="21"/>
    </w:rPr>
  </w:style>
  <w:style w:type="character" w:customStyle="1" w:styleId="145">
    <w:name w:val="正文文本缩进 Char"/>
    <w:basedOn w:val="41"/>
    <w:link w:val="15"/>
    <w:qFormat/>
    <w:uiPriority w:val="99"/>
    <w:rPr>
      <w:rFonts w:ascii="Calibri" w:hAnsi="Calibri" w:eastAsia="宋体" w:cs="Times New Roman"/>
      <w:szCs w:val="20"/>
    </w:rPr>
  </w:style>
  <w:style w:type="character" w:customStyle="1" w:styleId="146">
    <w:name w:val="纯文本 Char1"/>
    <w:link w:val="18"/>
    <w:qFormat/>
    <w:locked/>
    <w:uiPriority w:val="0"/>
    <w:rPr>
      <w:rFonts w:ascii="宋体" w:hAnsi="Courier New" w:eastAsia="宋体" w:cs="Times New Roman"/>
    </w:rPr>
  </w:style>
  <w:style w:type="character" w:customStyle="1" w:styleId="147">
    <w:name w:val="日期 Char"/>
    <w:link w:val="20"/>
    <w:qFormat/>
    <w:locked/>
    <w:uiPriority w:val="0"/>
    <w:rPr>
      <w:rFonts w:ascii="Times New Roman" w:hAnsi="Times New Roman" w:eastAsia="宋体" w:cs="Times New Roman"/>
      <w:sz w:val="24"/>
    </w:rPr>
  </w:style>
  <w:style w:type="character" w:customStyle="1" w:styleId="148">
    <w:name w:val="正文文本缩进 2 Char"/>
    <w:link w:val="21"/>
    <w:qFormat/>
    <w:locked/>
    <w:uiPriority w:val="0"/>
    <w:rPr>
      <w:rFonts w:ascii="Times New Roman" w:hAnsi="Times New Roman" w:eastAsia="宋体" w:cs="Times New Roman"/>
    </w:rPr>
  </w:style>
  <w:style w:type="character" w:customStyle="1" w:styleId="149">
    <w:name w:val="批注框文本 Char"/>
    <w:link w:val="22"/>
    <w:qFormat/>
    <w:locked/>
    <w:uiPriority w:val="0"/>
    <w:rPr>
      <w:rFonts w:ascii="Times New Roman" w:hAnsi="Times New Roman" w:eastAsia="宋体" w:cs="Times New Roman"/>
      <w:sz w:val="18"/>
    </w:rPr>
  </w:style>
  <w:style w:type="character" w:customStyle="1" w:styleId="150">
    <w:name w:val="页脚 Char1"/>
    <w:link w:val="23"/>
    <w:qFormat/>
    <w:locked/>
    <w:uiPriority w:val="99"/>
    <w:rPr>
      <w:rFonts w:ascii="Times New Roman" w:hAnsi="Times New Roman" w:eastAsia="宋体" w:cs="Times New Roman"/>
      <w:sz w:val="18"/>
    </w:rPr>
  </w:style>
  <w:style w:type="character" w:customStyle="1" w:styleId="151">
    <w:name w:val="页眉 Char"/>
    <w:link w:val="24"/>
    <w:qFormat/>
    <w:locked/>
    <w:uiPriority w:val="0"/>
    <w:rPr>
      <w:rFonts w:ascii="Times New Roman" w:hAnsi="Times New Roman" w:eastAsia="宋体" w:cs="Times New Roman"/>
      <w:sz w:val="18"/>
    </w:rPr>
  </w:style>
  <w:style w:type="character" w:customStyle="1" w:styleId="152">
    <w:name w:val="正文文本缩进 3 Char"/>
    <w:link w:val="30"/>
    <w:qFormat/>
    <w:locked/>
    <w:uiPriority w:val="0"/>
    <w:rPr>
      <w:rFonts w:ascii="Times New Roman" w:hAnsi="Times New Roman" w:eastAsia="宋体" w:cs="Times New Roman"/>
      <w:sz w:val="16"/>
    </w:rPr>
  </w:style>
  <w:style w:type="character" w:customStyle="1" w:styleId="153">
    <w:name w:val="标题 Char"/>
    <w:link w:val="36"/>
    <w:qFormat/>
    <w:locked/>
    <w:uiPriority w:val="0"/>
    <w:rPr>
      <w:rFonts w:ascii="Arial" w:hAnsi="Arial" w:eastAsia="宋体" w:cs="Times New Roman"/>
      <w:b/>
      <w:sz w:val="32"/>
    </w:rPr>
  </w:style>
  <w:style w:type="character" w:customStyle="1" w:styleId="154">
    <w:name w:val="批注主题 Char1"/>
    <w:link w:val="37"/>
    <w:qFormat/>
    <w:locked/>
    <w:uiPriority w:val="0"/>
    <w:rPr>
      <w:rFonts w:ascii="Times New Roman" w:hAnsi="Times New Roman" w:eastAsia="宋体" w:cs="Times New Roman"/>
      <w:b/>
    </w:rPr>
  </w:style>
  <w:style w:type="paragraph" w:customStyle="1" w:styleId="155">
    <w:name w:val="修订1"/>
    <w:semiHidden/>
    <w:qFormat/>
    <w:uiPriority w:val="99"/>
    <w:rPr>
      <w:rFonts w:ascii="等线" w:hAnsi="等线" w:eastAsia="等线" w:cs="Times New Roman"/>
      <w:kern w:val="2"/>
      <w:sz w:val="21"/>
      <w:szCs w:val="22"/>
      <w:lang w:val="en-US" w:eastAsia="zh-CN" w:bidi="ar-SA"/>
    </w:rPr>
  </w:style>
  <w:style w:type="paragraph" w:customStyle="1" w:styleId="156">
    <w:name w:val="K2-A4"/>
    <w:basedOn w:val="6"/>
    <w:qFormat/>
    <w:uiPriority w:val="0"/>
    <w:pPr>
      <w:spacing w:before="0" w:after="0" w:line="360" w:lineRule="auto"/>
    </w:pPr>
    <w:rPr>
      <w:rFonts w:ascii="Times New Roman" w:hAnsi="Times New Roman" w:eastAsia="宋体" w:cs="Times New Roman"/>
      <w:bCs/>
      <w:sz w:val="21"/>
      <w:szCs w:val="28"/>
    </w:rPr>
  </w:style>
  <w:style w:type="paragraph" w:customStyle="1" w:styleId="157">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58">
    <w:name w:val="正文表标题"/>
    <w:next w:val="157"/>
    <w:qFormat/>
    <w:uiPriority w:val="0"/>
    <w:pPr>
      <w:numPr>
        <w:ilvl w:val="0"/>
        <w:numId w:val="2"/>
      </w:numPr>
      <w:spacing w:beforeLines="50" w:afterLines="50"/>
      <w:jc w:val="center"/>
    </w:pPr>
    <w:rPr>
      <w:rFonts w:ascii="黑体" w:hAnsi="Times New Roman" w:eastAsia="黑体" w:cs="Times New Roman"/>
      <w:sz w:val="21"/>
      <w:lang w:val="en-US" w:eastAsia="zh-CN" w:bidi="ar-SA"/>
    </w:rPr>
  </w:style>
  <w:style w:type="paragraph" w:customStyle="1" w:styleId="159">
    <w:name w:val="p0"/>
    <w:basedOn w:val="1"/>
    <w:qFormat/>
    <w:uiPriority w:val="0"/>
    <w:pPr>
      <w:widowControl/>
      <w:spacing w:line="360" w:lineRule="auto"/>
      <w:jc w:val="left"/>
    </w:pPr>
    <w:rPr>
      <w:rFonts w:ascii="Times New Roman" w:hAnsi="Times New Roman" w:eastAsia="宋体" w:cs="Times New Roman"/>
      <w:kern w:val="0"/>
      <w:sz w:val="24"/>
      <w:szCs w:val="21"/>
    </w:rPr>
  </w:style>
  <w:style w:type="paragraph" w:customStyle="1" w:styleId="160">
    <w:name w:val="Table Text"/>
    <w:basedOn w:val="1"/>
    <w:semiHidden/>
    <w:qFormat/>
    <w:uiPriority w:val="0"/>
    <w:rPr>
      <w:rFonts w:ascii="宋体" w:hAnsi="宋体" w:eastAsia="宋体" w:cs="宋体"/>
      <w:sz w:val="24"/>
      <w:szCs w:val="24"/>
      <w:lang w:eastAsia="en-US"/>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0" Type="http://schemas.openxmlformats.org/officeDocument/2006/relationships/fontTable" Target="fontTable.xml"/><Relationship Id="rId6" Type="http://schemas.openxmlformats.org/officeDocument/2006/relationships/footer" Target="footer3.xml"/><Relationship Id="rId59" Type="http://schemas.openxmlformats.org/officeDocument/2006/relationships/numbering" Target="numbering.xml"/><Relationship Id="rId58" Type="http://schemas.openxmlformats.org/officeDocument/2006/relationships/customXml" Target="../customXml/item1.xml"/><Relationship Id="rId57" Type="http://schemas.openxmlformats.org/officeDocument/2006/relationships/image" Target="media/image12.png"/><Relationship Id="rId56" Type="http://schemas.openxmlformats.org/officeDocument/2006/relationships/image" Target="media/image11.png"/><Relationship Id="rId55" Type="http://schemas.openxmlformats.org/officeDocument/2006/relationships/image" Target="media/image10.png"/><Relationship Id="rId54" Type="http://schemas.openxmlformats.org/officeDocument/2006/relationships/image" Target="media/image9.png"/><Relationship Id="rId53" Type="http://schemas.openxmlformats.org/officeDocument/2006/relationships/image" Target="media/image8.png"/><Relationship Id="rId52" Type="http://schemas.openxmlformats.org/officeDocument/2006/relationships/image" Target="media/image7.png"/><Relationship Id="rId51" Type="http://schemas.openxmlformats.org/officeDocument/2006/relationships/image" Target="media/image6.png"/><Relationship Id="rId50" Type="http://schemas.openxmlformats.org/officeDocument/2006/relationships/image" Target="media/image5.png"/><Relationship Id="rId5" Type="http://schemas.openxmlformats.org/officeDocument/2006/relationships/header" Target="header1.xml"/><Relationship Id="rId49" Type="http://schemas.openxmlformats.org/officeDocument/2006/relationships/image" Target="media/image4.png"/><Relationship Id="rId48" Type="http://schemas.openxmlformats.org/officeDocument/2006/relationships/image" Target="media/image3.png"/><Relationship Id="rId47" Type="http://schemas.openxmlformats.org/officeDocument/2006/relationships/image" Target="media/image2.png"/><Relationship Id="rId46" Type="http://schemas.openxmlformats.org/officeDocument/2006/relationships/image" Target="media/image1.png"/><Relationship Id="rId45" Type="http://schemas.openxmlformats.org/officeDocument/2006/relationships/theme" Target="theme/theme1.xml"/><Relationship Id="rId44" Type="http://schemas.openxmlformats.org/officeDocument/2006/relationships/footer" Target="footer32.xml"/><Relationship Id="rId43" Type="http://schemas.openxmlformats.org/officeDocument/2006/relationships/footer" Target="footer31.xml"/><Relationship Id="rId42" Type="http://schemas.openxmlformats.org/officeDocument/2006/relationships/header" Target="header10.xml"/><Relationship Id="rId41" Type="http://schemas.openxmlformats.org/officeDocument/2006/relationships/header" Target="header9.xml"/><Relationship Id="rId40" Type="http://schemas.openxmlformats.org/officeDocument/2006/relationships/footer" Target="footer30.xml"/><Relationship Id="rId4" Type="http://schemas.openxmlformats.org/officeDocument/2006/relationships/footer" Target="footer2.xml"/><Relationship Id="rId39" Type="http://schemas.openxmlformats.org/officeDocument/2006/relationships/footer" Target="footer29.xml"/><Relationship Id="rId38" Type="http://schemas.openxmlformats.org/officeDocument/2006/relationships/header" Target="header8.xml"/><Relationship Id="rId37" Type="http://schemas.openxmlformats.org/officeDocument/2006/relationships/header" Target="header7.xml"/><Relationship Id="rId36" Type="http://schemas.openxmlformats.org/officeDocument/2006/relationships/footer" Target="footer28.xml"/><Relationship Id="rId35" Type="http://schemas.openxmlformats.org/officeDocument/2006/relationships/footer" Target="footer27.xml"/><Relationship Id="rId34" Type="http://schemas.openxmlformats.org/officeDocument/2006/relationships/footer" Target="footer26.xml"/><Relationship Id="rId33" Type="http://schemas.openxmlformats.org/officeDocument/2006/relationships/footer" Target="footer25.xml"/><Relationship Id="rId32" Type="http://schemas.openxmlformats.org/officeDocument/2006/relationships/footer" Target="footer24.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footer" Target="footer1.xml"/><Relationship Id="rId29" Type="http://schemas.openxmlformats.org/officeDocument/2006/relationships/footer" Target="footer21.xml"/><Relationship Id="rId28" Type="http://schemas.openxmlformats.org/officeDocument/2006/relationships/footer" Target="footer20.xml"/><Relationship Id="rId27" Type="http://schemas.openxmlformats.org/officeDocument/2006/relationships/footer" Target="footer19.xml"/><Relationship Id="rId26" Type="http://schemas.openxmlformats.org/officeDocument/2006/relationships/footer" Target="footer18.xml"/><Relationship Id="rId25" Type="http://schemas.openxmlformats.org/officeDocument/2006/relationships/footer" Target="footer17.xml"/><Relationship Id="rId24" Type="http://schemas.openxmlformats.org/officeDocument/2006/relationships/footer" Target="footer16.xml"/><Relationship Id="rId23" Type="http://schemas.openxmlformats.org/officeDocument/2006/relationships/footer" Target="footer15.xml"/><Relationship Id="rId22" Type="http://schemas.openxmlformats.org/officeDocument/2006/relationships/footer" Target="footer14.xml"/><Relationship Id="rId21" Type="http://schemas.openxmlformats.org/officeDocument/2006/relationships/footer" Target="footer13.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header" Target="header6.xml"/><Relationship Id="rId18" Type="http://schemas.openxmlformats.org/officeDocument/2006/relationships/footer" Target="footer11.xml"/><Relationship Id="rId17" Type="http://schemas.openxmlformats.org/officeDocument/2006/relationships/footer" Target="footer10.xml"/><Relationship Id="rId16" Type="http://schemas.openxmlformats.org/officeDocument/2006/relationships/header" Target="header5.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header" Target="header4.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94</Pages>
  <Words>17181</Words>
  <Characters>18370</Characters>
  <Lines>305</Lines>
  <Paragraphs>86</Paragraphs>
  <TotalTime>40</TotalTime>
  <ScaleCrop>false</ScaleCrop>
  <LinksUpToDate>false</LinksUpToDate>
  <CharactersWithSpaces>18673</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赵力</cp:lastModifiedBy>
  <cp:lastPrinted>2022-07-01T03:19:00Z</cp:lastPrinted>
  <dcterms:modified xsi:type="dcterms:W3CDTF">2025-12-24T01:56:43Z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ED02EB12B8294FE5807EAA5D2C3C24E0</vt:lpwstr>
  </property>
  <property fmtid="{D5CDD505-2E9C-101B-9397-08002B2CF9AE}" pid="4" name="KSOTemplateDocerSaveRecord">
    <vt:lpwstr>eyJoZGlkIjoiZDM3YTc5ZDhmMTYzMzFiNWJkNTU3ZWQ2NDg0Zjg2YzgiLCJ1c2VySWQiOiIxNjAxNDUxNTQ3In0=</vt:lpwstr>
  </property>
</Properties>
</file>