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中国重汽集团济南成型厂核心机房UPS设备更新项目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23462"/>
      <w:bookmarkStart w:id="4" w:name="_Toc131406235"/>
      <w:r>
        <w:rPr>
          <w:rFonts w:hint="eastAsia" w:asciiTheme="minorEastAsia" w:hAnsiTheme="minorEastAsia" w:eastAsiaTheme="minorEastAsia" w:cstheme="minorEastAsia"/>
          <w:szCs w:val="32"/>
        </w:rPr>
        <w:br w:type="page"/>
      </w:r>
    </w:p>
    <w:p w14:paraId="16B17986">
      <w:pPr>
        <w:pStyle w:val="2"/>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中国重汽集团济南成型厂核心机房UPS设备更新项目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44974482"/>
      <w:bookmarkEnd w:id="5"/>
      <w:bookmarkStart w:id="6" w:name="_Toc152045514"/>
      <w:bookmarkEnd w:id="6"/>
      <w:bookmarkStart w:id="7" w:name="_Toc179632530"/>
      <w:bookmarkEnd w:id="7"/>
      <w:bookmarkStart w:id="8" w:name="_Toc285809451"/>
      <w:bookmarkEnd w:id="8"/>
      <w:bookmarkStart w:id="9" w:name="_Toc152042290"/>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济南成型厂核心机房UPS设备更新项目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FSCZB2025120282</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none"/>
          <w:u w:val="single"/>
          <w:lang w:val="en-US" w:eastAsia="zh-CN" w:bidi="en-US"/>
        </w:rPr>
        <w:t>中国重汽集团济南成型厂；</w:t>
      </w:r>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新增一台UPS主机、40块蓄电池及安装辅材。</w:t>
      </w:r>
      <w:r>
        <w:rPr>
          <w:rFonts w:hint="eastAsia" w:ascii="宋体" w:hAnsi="宋体"/>
          <w:b w:val="0"/>
          <w:bCs w:val="0"/>
          <w:color w:val="000000"/>
          <w:sz w:val="24"/>
          <w:szCs w:val="24"/>
          <w:highlight w:val="none"/>
          <w:lang w:val="en-US" w:eastAsia="zh-CN" w:bidi="zh-CN"/>
        </w:rPr>
        <w:t>技术要求</w:t>
      </w:r>
      <w:r>
        <w:rPr>
          <w:rFonts w:hint="eastAsia" w:ascii="宋体" w:hAnsi="宋体"/>
          <w:b w:val="0"/>
          <w:bCs w:val="0"/>
          <w:color w:val="000000"/>
          <w:sz w:val="24"/>
          <w:szCs w:val="24"/>
          <w:lang w:val="en-US" w:eastAsia="zh-CN" w:bidi="zh-CN"/>
        </w:rPr>
        <w:t>详见“招标文件”</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323BFC54">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0CF6737F">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41A7BD40">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5E33597B">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705368DF">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447B3057">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w:t>
      </w:r>
      <w:r>
        <w:rPr>
          <w:rFonts w:ascii="宋体" w:hAnsi="宋体" w:eastAsia="宋体" w:cs="宋体"/>
          <w:sz w:val="24"/>
          <w:szCs w:val="24"/>
        </w:rPr>
        <w:t>近三年经第三方机构审计的财务报表（资产负债表、损益表、现金流量表）复印件，必须连续，同时填写投标人基本情况及资产情况汇总表（附件3）；若没有财务审计报告，需提供资产负债表、利润表、现金流量表（加盖公章版），且未显示异常</w:t>
      </w:r>
      <w:r>
        <w:rPr>
          <w:rFonts w:hint="eastAsia" w:hAnsi="宋体" w:eastAsia="宋体" w:cs="宋体"/>
          <w:color w:val="000000"/>
          <w:sz w:val="24"/>
          <w:szCs w:val="24"/>
          <w:highlight w:val="none"/>
        </w:rPr>
        <w:t>；</w:t>
      </w:r>
    </w:p>
    <w:p w14:paraId="646C342E">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057DA156">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19D5CBC0">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72241943">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26EC7673">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11.投标人信用证明材料(征信报告)未显示异常；</w:t>
      </w:r>
    </w:p>
    <w:p w14:paraId="7F01EE8D">
      <w:pPr>
        <w:pStyle w:val="24"/>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6BA725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应标报名截止时间：2025年12月30日17：00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564A61F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1F46878D">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65DFC697">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029EA2D9">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32A1B02">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1F34CC">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47F94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0680B4C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62DF0F1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530938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10E42FD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应标时不做要求，投标时需随文件一起提交。）</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待定，以实际通知为准）</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黄老师 17860606327</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技术联系人：彭老师</w:t>
      </w:r>
      <w:r>
        <w:rPr>
          <w:rFonts w:hint="eastAsia" w:asciiTheme="minorEastAsia" w:hAnsiTheme="minorEastAsia" w:eastAsiaTheme="minorEastAsia" w:cstheme="minorEastAsia"/>
          <w:sz w:val="24"/>
          <w:szCs w:val="24"/>
          <w:highlight w:val="none"/>
          <w:lang w:val="en-US" w:eastAsia="zh-CN"/>
        </w:rPr>
        <w:t xml:space="preserve"> 17615805321</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本项目采用合理最低价中标法，在满足招标人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最低者为本项目中标人。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A0B792F">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33A67AA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91EAC5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56C6696">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74757E">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505254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98C7C5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1950AD1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15954DFF">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28B3310B">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781799CE">
      <w:pPr>
        <w:pStyle w:val="19"/>
        <w:rPr>
          <w:rFonts w:hint="eastAsia"/>
        </w:rPr>
      </w:pP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4292306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2AA5251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rPr>
        <w:t>a)投标函</w:t>
      </w:r>
    </w:p>
    <w:p w14:paraId="6824EB3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b)开标一览表</w:t>
      </w:r>
    </w:p>
    <w:p w14:paraId="76BA86E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c)商务条款偏离表（如投标文件的商务条款响应与招标文件有偏离，需在表中注明）</w:t>
      </w:r>
    </w:p>
    <w:p w14:paraId="52E15F0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d)售后服务及相关承</w:t>
      </w:r>
      <w:bookmarkStart w:id="1165" w:name="_GoBack"/>
      <w:bookmarkEnd w:id="1165"/>
      <w:r>
        <w:rPr>
          <w:rFonts w:hint="eastAsia" w:asciiTheme="minorEastAsia" w:hAnsiTheme="minorEastAsia" w:eastAsiaTheme="minorEastAsia" w:cstheme="minorEastAsia"/>
          <w:bCs/>
          <w:sz w:val="24"/>
          <w:szCs w:val="24"/>
        </w:rPr>
        <w:t>诺类</w:t>
      </w:r>
    </w:p>
    <w:p w14:paraId="4EB14B23">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e)投标人认为需提供的其它文件和证书</w:t>
      </w:r>
    </w:p>
    <w:p w14:paraId="4F3F2DB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lang w:eastAsia="zh-CN"/>
        </w:rPr>
      </w:pPr>
      <w:r>
        <w:rPr>
          <w:rFonts w:hint="eastAsia" w:asciiTheme="minorEastAsia" w:hAnsiTheme="minorEastAsia" w:eastAsiaTheme="minorEastAsia" w:cstheme="minorEastAsia"/>
          <w:bCs/>
          <w:sz w:val="24"/>
          <w:szCs w:val="24"/>
        </w:rPr>
        <w:t>f)营业执照、提供与资质文件相同类似业绩表</w:t>
      </w:r>
      <w:r>
        <w:rPr>
          <w:rFonts w:hint="eastAsia" w:asciiTheme="minorEastAsia" w:hAnsiTheme="minorEastAsia" w:eastAsiaTheme="minorEastAsia" w:cstheme="minorEastAsia"/>
          <w:bCs/>
          <w:sz w:val="24"/>
          <w:szCs w:val="24"/>
          <w:lang w:eastAsia="zh-CN"/>
        </w:rPr>
        <w:t>。</w:t>
      </w:r>
    </w:p>
    <w:p w14:paraId="09FF611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D46A543">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lang w:val="en-US" w:eastAsia="zh-CN"/>
        </w:rPr>
        <w:t>3</w:t>
      </w:r>
      <w:r>
        <w:rPr>
          <w:rFonts w:hint="eastAsia" w:asciiTheme="minorEastAsia" w:hAnsiTheme="minorEastAsia" w:eastAsiaTheme="minorEastAsia" w:cstheme="minorEastAsia"/>
          <w:bCs/>
          <w:sz w:val="24"/>
          <w:szCs w:val="24"/>
        </w:rPr>
        <w:t>、商务文件至少应对招标设备（或材料）“商务偏离”做出有无说明，若有，应予以详细填写和说明</w:t>
      </w:r>
      <w:r>
        <w:rPr>
          <w:rFonts w:hint="eastAsia" w:asciiTheme="minorEastAsia" w:hAnsiTheme="minorEastAsia" w:eastAsiaTheme="minorEastAsia" w:cstheme="minorEastAsia"/>
          <w:bCs/>
          <w:sz w:val="24"/>
          <w:szCs w:val="24"/>
          <w:highlight w:val="none"/>
        </w:rPr>
        <w:t>。</w:t>
      </w:r>
    </w:p>
    <w:p w14:paraId="4F22B7B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highlight w:val="none"/>
          <w:lang w:val="en-US" w:eastAsia="zh-CN"/>
        </w:rPr>
        <w:t>4</w:t>
      </w:r>
      <w:r>
        <w:rPr>
          <w:rFonts w:hint="eastAsia" w:asciiTheme="minorEastAsia" w:hAnsiTheme="minorEastAsia" w:eastAsiaTheme="minorEastAsia" w:cstheme="minorEastAsia"/>
          <w:bCs/>
          <w:sz w:val="24"/>
          <w:szCs w:val="24"/>
          <w:highlight w:val="none"/>
        </w:rPr>
        <w:t>、投标文件不得涂改和增删，如有修改</w:t>
      </w:r>
      <w:r>
        <w:rPr>
          <w:rFonts w:hint="eastAsia" w:asciiTheme="minorEastAsia" w:hAnsiTheme="minorEastAsia" w:eastAsiaTheme="minorEastAsia" w:cstheme="minorEastAsia"/>
          <w:bCs/>
          <w:sz w:val="24"/>
          <w:szCs w:val="24"/>
        </w:rPr>
        <w:t>错漏的地方，必须由法人代表或授权代表签字或盖章。</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lang w:val="en-US" w:eastAsia="zh-CN"/>
        </w:rPr>
        <w:t>5</w:t>
      </w:r>
      <w:r>
        <w:rPr>
          <w:rFonts w:hint="eastAsia" w:asciiTheme="minorEastAsia" w:hAnsiTheme="minorEastAsia" w:eastAsiaTheme="minorEastAsia" w:cstheme="minorEastAsia"/>
          <w:bCs/>
          <w:sz w:val="24"/>
          <w:szCs w:val="24"/>
        </w:rPr>
        <w:t>、投标文件因字迹潦草或表达不清所引起的后果由投标人负责。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spacing w:line="360" w:lineRule="auto"/>
        <w:ind w:left="660" w:leftChars="200" w:hanging="240" w:hangingChars="1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⑴本次招标为公开招标，报价应为：</w:t>
      </w:r>
    </w:p>
    <w:p w14:paraId="191654E4">
      <w:pPr>
        <w:pStyle w:val="24"/>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经与招标人或其指派的答疑人员充分沟通确认基础上，由投标人在满足招标人所提出的、与本项目所有相关环节有关的所有费用；</w:t>
      </w:r>
    </w:p>
    <w:p w14:paraId="68D669F0">
      <w:pPr>
        <w:pStyle w:val="24"/>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⑵所有报价货币单位为：</w:t>
      </w:r>
      <w:r>
        <w:rPr>
          <w:rFonts w:hint="eastAsia" w:asciiTheme="minorEastAsia" w:hAnsiTheme="minorEastAsia" w:eastAsiaTheme="minorEastAsia" w:cstheme="minorEastAsia"/>
          <w:highlight w:val="none"/>
          <w:lang w:val="en-US" w:eastAsia="zh-CN"/>
        </w:rPr>
        <w:t>万</w:t>
      </w:r>
      <w:r>
        <w:rPr>
          <w:rFonts w:hint="eastAsia" w:asciiTheme="minorEastAsia" w:hAnsiTheme="minorEastAsia" w:eastAsiaTheme="minorEastAsia" w:cstheme="minorEastAsia"/>
          <w:highlight w:val="none"/>
        </w:rPr>
        <w:t>元（人民币），</w:t>
      </w:r>
      <w:r>
        <w:rPr>
          <w:rFonts w:hint="eastAsia" w:asciiTheme="minorEastAsia" w:hAnsiTheme="minorEastAsia" w:eastAsiaTheme="minorEastAsia" w:cstheme="minorEastAsia"/>
          <w:b/>
          <w:bCs/>
          <w:highlight w:val="none"/>
        </w:rPr>
        <w:t>含税</w:t>
      </w:r>
      <w:r>
        <w:rPr>
          <w:rFonts w:hint="eastAsia" w:asciiTheme="minorEastAsia" w:hAnsiTheme="minorEastAsia" w:eastAsiaTheme="minorEastAsia" w:cstheme="minorEastAsia"/>
          <w:highlight w:val="none"/>
        </w:rPr>
        <w:t>；</w:t>
      </w:r>
    </w:p>
    <w:p w14:paraId="5AADD0DC">
      <w:pPr>
        <w:pStyle w:val="24"/>
        <w:spacing w:line="360" w:lineRule="auto"/>
        <w:ind w:firstLine="480" w:firstLineChars="200"/>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sz w:val="24"/>
          <w:szCs w:val="24"/>
          <w:highlight w:val="none"/>
        </w:rPr>
        <w:t>⑶付款结算方式：</w:t>
      </w:r>
      <w:r>
        <w:rPr>
          <w:rFonts w:hint="eastAsia" w:asciiTheme="minorEastAsia" w:hAnsiTheme="minorEastAsia" w:eastAsiaTheme="minorEastAsia" w:cstheme="minorEastAsia"/>
          <w:b/>
          <w:bCs w:val="0"/>
          <w:kern w:val="2"/>
          <w:sz w:val="24"/>
          <w:szCs w:val="24"/>
          <w:highlight w:val="none"/>
          <w:lang w:val="en-US" w:eastAsia="zh-CN" w:bidi="ar-SA"/>
        </w:rPr>
        <w:t>半年期商业汇票（包括银行承兑汇票和商业承兑汇票）</w:t>
      </w:r>
    </w:p>
    <w:p w14:paraId="69615257">
      <w:pPr>
        <w:spacing w:line="360" w:lineRule="auto"/>
        <w:ind w:firstLine="453" w:firstLineChars="189"/>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设备全部到齐无质量问题，经安装、调试最终验收合格后，卖方提交金额为合同含税价款90 %的收据及合同全额增值税专用发票（税率为13%，正本一份，复印件二份）并附带该套合同设备最终验收报告的原件及其复印件两份，经买方依照财务制度审核无误后【30】日后支付。</w:t>
      </w:r>
    </w:p>
    <w:p w14:paraId="6D57DB7E">
      <w:pPr>
        <w:spacing w:line="360" w:lineRule="auto"/>
        <w:ind w:firstLine="453" w:firstLineChars="189"/>
        <w:rPr>
          <w:rFonts w:hint="eastAsia" w:asciiTheme="minorEastAsia" w:hAnsiTheme="minorEastAsia" w:eastAsiaTheme="minorEastAsia" w:cstheme="minorEastAsia"/>
          <w:b/>
          <w:bCs w:val="0"/>
          <w:sz w:val="24"/>
          <w:szCs w:val="24"/>
          <w:highlight w:val="green"/>
        </w:rPr>
      </w:pPr>
      <w:bookmarkStart w:id="10" w:name="_Toc14676804"/>
      <w:bookmarkStart w:id="11" w:name="_Toc14531628"/>
      <w:r>
        <w:rPr>
          <w:rFonts w:hint="eastAsia" w:asciiTheme="minorEastAsia" w:hAnsiTheme="minorEastAsia" w:eastAsiaTheme="minorEastAsia" w:cstheme="minorEastAsia"/>
          <w:bCs/>
          <w:kern w:val="2"/>
          <w:sz w:val="24"/>
          <w:szCs w:val="24"/>
          <w:highlight w:val="none"/>
          <w:lang w:val="en-US" w:eastAsia="zh-CN" w:bidi="ar-SA"/>
        </w:rPr>
        <w:t>（2）合同含税总价款的 10 %作为本合同约定设备的质量保证金，质量保证金在质量保证期内不计利息。待每套合同设备质量保证期满后，卖方向买方提交金额为合同价款10%的收据（正本一份，复印件二份），经买方依照财务制度审核无误后【30】日后支付。如有质量问题，质量保证金予以相应扣除。</w:t>
      </w:r>
      <w:bookmarkEnd w:id="10"/>
      <w:bookmarkEnd w:id="11"/>
    </w:p>
    <w:p w14:paraId="47C9794E">
      <w:pPr>
        <w:pStyle w:val="24"/>
        <w:spacing w:line="360" w:lineRule="auto"/>
        <w:ind w:firstLine="482" w:firstLineChars="200"/>
        <w:rPr>
          <w:rFonts w:hint="eastAsia" w:asciiTheme="minorEastAsia" w:hAnsiTheme="minorEastAsia" w:eastAsiaTheme="minorEastAsia" w:cstheme="minorEastAsia"/>
          <w:b/>
          <w:bCs/>
          <w:highlight w:val="none"/>
        </w:rPr>
      </w:pPr>
      <w:r>
        <w:rPr>
          <w:rFonts w:hint="eastAsia" w:asciiTheme="minorEastAsia" w:hAnsiTheme="minorEastAsia" w:eastAsiaTheme="minorEastAsia" w:cstheme="minorEastAsia"/>
          <w:b/>
          <w:bCs/>
          <w:highlight w:val="none"/>
        </w:rPr>
        <w:t>具体以双方最终签署的合同为准。</w:t>
      </w:r>
    </w:p>
    <w:p w14:paraId="128C40A5">
      <w:pPr>
        <w:pStyle w:val="24"/>
        <w:spacing w:line="360" w:lineRule="auto"/>
        <w:ind w:firstLine="480" w:firstLineChars="200"/>
        <w:rPr>
          <w:rFonts w:hint="default" w:hAnsi="宋体"/>
          <w:highlight w:val="none"/>
          <w:lang w:val="en-US" w:eastAsia="zh-CN"/>
        </w:rPr>
      </w:pPr>
      <w:r>
        <w:rPr>
          <w:rFonts w:hint="eastAsia" w:hAnsi="宋体"/>
          <w:highlight w:val="none"/>
          <w:lang w:eastAsia="zh-CN"/>
        </w:rPr>
        <w:t>（</w:t>
      </w:r>
      <w:r>
        <w:rPr>
          <w:rFonts w:hint="eastAsia" w:hAnsi="宋体"/>
          <w:highlight w:val="none"/>
          <w:lang w:val="en-US" w:eastAsia="zh-CN"/>
        </w:rPr>
        <w:t>4</w:t>
      </w:r>
      <w:r>
        <w:rPr>
          <w:rFonts w:hint="eastAsia" w:hAnsi="宋体"/>
          <w:highlight w:val="none"/>
          <w:lang w:eastAsia="zh-CN"/>
        </w:rPr>
        <w:t>）</w:t>
      </w:r>
      <w:r>
        <w:rPr>
          <w:rFonts w:hint="eastAsia" w:hAnsi="宋体"/>
          <w:highlight w:val="none"/>
          <w:lang w:val="en-US" w:eastAsia="zh-CN"/>
        </w:rPr>
        <w:t>项目限价：含税</w:t>
      </w:r>
      <w:r>
        <w:rPr>
          <w:rFonts w:hint="eastAsia" w:hAnsi="宋体"/>
          <w:b/>
          <w:bCs/>
          <w:highlight w:val="none"/>
          <w:lang w:val="en-US" w:eastAsia="zh-CN"/>
        </w:rPr>
        <w:t>5.5245</w:t>
      </w:r>
      <w:r>
        <w:rPr>
          <w:rFonts w:hint="eastAsia" w:hAnsi="宋体"/>
          <w:highlight w:val="none"/>
          <w:lang w:val="en-US" w:eastAsia="zh-CN"/>
        </w:rPr>
        <w:t>万元，超过投标限价无法投标。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1</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6FFF8A0D">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收款账户：中国重汽集团济南动力有限公司</w:t>
      </w:r>
      <w:r>
        <w:rPr>
          <w:rFonts w:hint="eastAsia" w:ascii="宋体" w:hAnsi="宋体" w:eastAsia="宋体" w:cs="宋体"/>
          <w:b/>
          <w:bCs/>
          <w:color w:val="000000"/>
          <w:kern w:val="0"/>
          <w:sz w:val="24"/>
          <w:szCs w:val="24"/>
          <w:highlight w:val="yellow"/>
        </w:rPr>
        <w:tab/>
      </w:r>
    </w:p>
    <w:p w14:paraId="00E03ABF">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收款账号：371899991010003152396</w:t>
      </w:r>
    </w:p>
    <w:p w14:paraId="61C01B25">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开户行名称：交通银行山东省分行</w:t>
      </w:r>
    </w:p>
    <w:p w14:paraId="1403AA4D">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开户行行号：301451000017</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2" w:name="OLE_LINK27"/>
      <w:bookmarkStart w:id="13" w:name="OLE_LINK29"/>
      <w:bookmarkStart w:id="14" w:name="OLE_LINK25"/>
      <w:bookmarkStart w:id="15" w:name="OLE_LINK26"/>
      <w:bookmarkStart w:id="16" w:name="OLE_LINK28"/>
      <w:r>
        <w:rPr>
          <w:rFonts w:hint="eastAsia" w:ascii="宋体" w:hAnsi="宋体" w:eastAsia="宋体" w:cs="宋体"/>
          <w:bCs/>
          <w:sz w:val="24"/>
          <w:szCs w:val="24"/>
          <w:highlight w:val="none"/>
        </w:rPr>
        <w:t>；</w:t>
      </w:r>
      <w:bookmarkEnd w:id="12"/>
      <w:bookmarkEnd w:id="13"/>
      <w:bookmarkEnd w:id="14"/>
      <w:bookmarkEnd w:id="15"/>
      <w:bookmarkEnd w:id="16"/>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752522B7">
      <w:pPr>
        <w:adjustRightInd w:val="0"/>
        <w:snapToGrid w:val="0"/>
        <w:spacing w:before="163" w:beforeLines="50" w:after="163" w:afterLines="50" w:line="360" w:lineRule="auto"/>
        <w:jc w:val="center"/>
        <w:outlineLvl w:val="0"/>
        <w:rPr>
          <w:rFonts w:ascii="仿宋" w:hAnsi="仿宋" w:eastAsia="仿宋" w:cs="仿宋"/>
          <w:b/>
          <w:bCs/>
          <w:sz w:val="28"/>
          <w:szCs w:val="28"/>
        </w:rPr>
      </w:pPr>
      <w:bookmarkStart w:id="17" w:name="_Toc2042"/>
      <w:bookmarkStart w:id="18" w:name="_Toc32410"/>
      <w:bookmarkStart w:id="19" w:name="_Toc19570"/>
      <w:bookmarkStart w:id="20" w:name="_Toc7975"/>
      <w:bookmarkStart w:id="21" w:name="_Toc19716"/>
      <w:bookmarkStart w:id="22" w:name="_Toc2174"/>
      <w:r>
        <w:rPr>
          <w:rFonts w:hint="eastAsia" w:ascii="仿宋" w:hAnsi="仿宋" w:eastAsia="仿宋" w:cs="仿宋"/>
          <w:b/>
          <w:bCs/>
          <w:sz w:val="28"/>
          <w:szCs w:val="28"/>
        </w:rPr>
        <w:t>第一章采购货物概况</w:t>
      </w:r>
      <w:bookmarkEnd w:id="17"/>
      <w:bookmarkEnd w:id="18"/>
      <w:bookmarkEnd w:id="19"/>
      <w:bookmarkEnd w:id="20"/>
      <w:bookmarkEnd w:id="21"/>
      <w:bookmarkEnd w:id="22"/>
      <w:bookmarkStart w:id="23" w:name="_Toc133783967"/>
    </w:p>
    <w:p w14:paraId="16157752">
      <w:pPr>
        <w:adjustRightInd w:val="0"/>
        <w:snapToGrid w:val="0"/>
        <w:spacing w:line="360" w:lineRule="auto"/>
        <w:jc w:val="center"/>
        <w:outlineLvl w:val="1"/>
        <w:rPr>
          <w:rFonts w:ascii="仿宋" w:hAnsi="仿宋" w:eastAsia="仿宋" w:cs="仿宋"/>
          <w:b/>
          <w:bCs/>
          <w:sz w:val="28"/>
          <w:szCs w:val="28"/>
        </w:rPr>
      </w:pPr>
      <w:bookmarkStart w:id="24" w:name="_Toc22942"/>
      <w:bookmarkStart w:id="25" w:name="_Toc16714"/>
      <w:bookmarkStart w:id="26" w:name="_Toc31000"/>
      <w:bookmarkStart w:id="27" w:name="_Toc24689"/>
      <w:bookmarkStart w:id="28" w:name="_Toc864"/>
      <w:bookmarkStart w:id="29" w:name="_Toc5420"/>
      <w:bookmarkStart w:id="30" w:name="_Toc6498"/>
      <w:bookmarkStart w:id="31" w:name="_Toc7159"/>
      <w:bookmarkStart w:id="32" w:name="_Toc2996"/>
      <w:bookmarkStart w:id="33" w:name="_Toc17474"/>
      <w:bookmarkStart w:id="34" w:name="_Toc10612"/>
      <w:bookmarkStart w:id="35" w:name="_Toc2152"/>
      <w:bookmarkStart w:id="36" w:name="_Toc29157"/>
      <w:bookmarkStart w:id="37" w:name="_Toc5826"/>
      <w:bookmarkStart w:id="38" w:name="_Toc21756"/>
      <w:bookmarkStart w:id="39" w:name="_Toc11411"/>
      <w:bookmarkStart w:id="40" w:name="_Toc29605"/>
      <w:bookmarkStart w:id="41" w:name="_Toc4004"/>
      <w:bookmarkStart w:id="42" w:name="_Toc7333"/>
      <w:bookmarkStart w:id="43" w:name="_Toc5400"/>
      <w:bookmarkStart w:id="44" w:name="_Toc22424"/>
      <w:bookmarkStart w:id="45" w:name="_Toc29927"/>
      <w:bookmarkStart w:id="46" w:name="_Toc21892"/>
      <w:bookmarkStart w:id="47" w:name="_Toc6606"/>
      <w:bookmarkStart w:id="48" w:name="_Toc25011"/>
      <w:bookmarkStart w:id="49" w:name="_Toc19070"/>
      <w:bookmarkStart w:id="50" w:name="_Toc892"/>
      <w:bookmarkStart w:id="51" w:name="_Toc30245"/>
      <w:bookmarkStart w:id="52" w:name="_Toc5172"/>
      <w:bookmarkStart w:id="53" w:name="_Toc30808"/>
      <w:bookmarkStart w:id="54" w:name="_Toc5983"/>
      <w:bookmarkStart w:id="55" w:name="_Toc8362"/>
      <w:bookmarkStart w:id="56" w:name="_Toc7515"/>
      <w:bookmarkStart w:id="57" w:name="_Toc5609"/>
      <w:bookmarkStart w:id="58" w:name="_Toc24613"/>
      <w:bookmarkStart w:id="59" w:name="_Toc30246"/>
      <w:bookmarkStart w:id="60" w:name="_Toc27214"/>
      <w:bookmarkStart w:id="61" w:name="_Toc9983"/>
      <w:bookmarkStart w:id="62" w:name="_Toc11763"/>
      <w:bookmarkStart w:id="63" w:name="_Toc28361"/>
      <w:bookmarkStart w:id="64" w:name="_Toc6436"/>
      <w:bookmarkStart w:id="65" w:name="_Toc2940"/>
      <w:r>
        <w:rPr>
          <w:rFonts w:hint="eastAsia" w:ascii="仿宋" w:hAnsi="仿宋" w:eastAsia="仿宋" w:cs="仿宋"/>
          <w:b/>
          <w:bCs/>
          <w:sz w:val="28"/>
          <w:szCs w:val="28"/>
        </w:rPr>
        <w:t>第一节使用环境</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02142753">
      <w:pPr>
        <w:pStyle w:val="27"/>
        <w:tabs>
          <w:tab w:val="left" w:pos="0"/>
        </w:tabs>
        <w:snapToGrid w:val="0"/>
        <w:spacing w:line="360" w:lineRule="auto"/>
        <w:ind w:firstLine="480" w:firstLineChars="200"/>
        <w:rPr>
          <w:rFonts w:hint="default" w:ascii="仿宋" w:hAnsi="仿宋" w:eastAsia="仿宋" w:cs="仿宋"/>
          <w:lang w:val="en-US"/>
        </w:rPr>
      </w:pPr>
      <w:r>
        <w:rPr>
          <w:rFonts w:hint="eastAsia" w:ascii="仿宋" w:hAnsi="仿宋" w:eastAsia="仿宋" w:cs="仿宋"/>
        </w:rPr>
        <w:t>1项目名称：</w:t>
      </w:r>
      <w:r>
        <w:rPr>
          <w:rFonts w:hint="eastAsia" w:ascii="仿宋_GB2312" w:hAnsi="仿宋_GB2312" w:eastAsia="仿宋_GB2312" w:cs="仿宋_GB2312"/>
          <w:spacing w:val="-1"/>
          <w:sz w:val="24"/>
          <w:szCs w:val="24"/>
        </w:rPr>
        <w:t>济南</w:t>
      </w:r>
      <w:r>
        <w:rPr>
          <w:rFonts w:hint="eastAsia" w:ascii="仿宋_GB2312" w:hAnsi="仿宋_GB2312" w:eastAsia="仿宋_GB2312" w:cs="仿宋_GB2312"/>
          <w:spacing w:val="-1"/>
          <w:sz w:val="24"/>
          <w:szCs w:val="24"/>
          <w:lang w:val="en-US" w:eastAsia="zh-CN"/>
        </w:rPr>
        <w:t>成型厂核心机房UPS设备更新</w:t>
      </w:r>
      <w:r>
        <w:rPr>
          <w:rFonts w:hint="eastAsia" w:ascii="仿宋_GB2312" w:hAnsi="仿宋_GB2312" w:eastAsia="仿宋_GB2312" w:cs="仿宋_GB2312"/>
          <w:spacing w:val="-1"/>
          <w:sz w:val="24"/>
          <w:szCs w:val="24"/>
        </w:rPr>
        <w:t>项目</w:t>
      </w:r>
    </w:p>
    <w:p w14:paraId="0C5B1447">
      <w:pPr>
        <w:pStyle w:val="27"/>
        <w:tabs>
          <w:tab w:val="left" w:pos="0"/>
        </w:tabs>
        <w:snapToGrid w:val="0"/>
        <w:spacing w:line="360" w:lineRule="auto"/>
        <w:ind w:firstLine="480" w:firstLineChars="200"/>
        <w:rPr>
          <w:rFonts w:hint="default" w:ascii="仿宋" w:hAnsi="仿宋" w:eastAsia="仿宋" w:cs="仿宋"/>
          <w:lang w:val="en-US" w:eastAsia="zh-CN"/>
        </w:rPr>
      </w:pPr>
      <w:r>
        <w:rPr>
          <w:rFonts w:hint="eastAsia" w:ascii="仿宋" w:hAnsi="仿宋" w:eastAsia="仿宋" w:cs="仿宋"/>
        </w:rPr>
        <w:t>2建设地点：中国重汽集团济南</w:t>
      </w:r>
      <w:r>
        <w:rPr>
          <w:rFonts w:hint="eastAsia" w:ascii="仿宋" w:hAnsi="仿宋" w:eastAsia="仿宋" w:cs="仿宋"/>
          <w:lang w:val="en-US" w:eastAsia="zh-CN"/>
        </w:rPr>
        <w:t>成型厂</w:t>
      </w:r>
    </w:p>
    <w:p w14:paraId="29DB974D">
      <w:pPr>
        <w:pStyle w:val="27"/>
        <w:tabs>
          <w:tab w:val="left" w:pos="0"/>
        </w:tabs>
        <w:snapToGrid w:val="0"/>
        <w:spacing w:line="360" w:lineRule="auto"/>
        <w:ind w:firstLine="480" w:firstLineChars="200"/>
        <w:rPr>
          <w:rFonts w:hint="eastAsia" w:ascii="仿宋" w:hAnsi="仿宋" w:eastAsia="仿宋" w:cs="仿宋"/>
        </w:rPr>
      </w:pPr>
      <w:r>
        <w:rPr>
          <w:rFonts w:hint="eastAsia" w:ascii="仿宋" w:hAnsi="仿宋" w:eastAsia="仿宋" w:cs="仿宋"/>
        </w:rPr>
        <w:t>3使用地点：中国重汽集团济南</w:t>
      </w:r>
      <w:r>
        <w:rPr>
          <w:rFonts w:hint="eastAsia" w:ascii="仿宋" w:hAnsi="仿宋" w:eastAsia="仿宋" w:cs="仿宋"/>
          <w:lang w:val="en-US" w:eastAsia="zh-CN"/>
        </w:rPr>
        <w:t>成型厂</w:t>
      </w:r>
    </w:p>
    <w:p w14:paraId="61B13F26">
      <w:pPr>
        <w:pStyle w:val="27"/>
        <w:tabs>
          <w:tab w:val="left" w:pos="0"/>
        </w:tabs>
        <w:snapToGrid w:val="0"/>
        <w:spacing w:line="360" w:lineRule="auto"/>
        <w:ind w:firstLine="480" w:firstLineChars="200"/>
        <w:rPr>
          <w:rFonts w:hint="default" w:ascii="仿宋" w:hAnsi="仿宋" w:eastAsia="仿宋" w:cs="仿宋"/>
          <w:lang w:val="en-US" w:eastAsia="zh-CN"/>
        </w:rPr>
      </w:pPr>
      <w:r>
        <w:rPr>
          <w:rFonts w:hint="eastAsia" w:ascii="仿宋" w:hAnsi="仿宋" w:eastAsia="仿宋" w:cs="仿宋"/>
        </w:rPr>
        <w:t>4工作制度：全年</w:t>
      </w:r>
      <w:r>
        <w:rPr>
          <w:rFonts w:hint="eastAsia" w:ascii="仿宋" w:hAnsi="仿宋" w:eastAsia="仿宋" w:cs="仿宋"/>
          <w:lang w:val="en-US" w:eastAsia="zh-CN"/>
        </w:rPr>
        <w:t>24小时不间断运行</w:t>
      </w:r>
    </w:p>
    <w:p w14:paraId="3B5D63D4">
      <w:pPr>
        <w:pStyle w:val="27"/>
        <w:snapToGrid w:val="0"/>
        <w:spacing w:line="360" w:lineRule="auto"/>
        <w:ind w:firstLine="480" w:firstLineChars="200"/>
        <w:rPr>
          <w:rFonts w:ascii="仿宋" w:hAnsi="仿宋" w:eastAsia="仿宋" w:cs="仿宋"/>
        </w:rPr>
      </w:pPr>
      <w:r>
        <w:rPr>
          <w:rFonts w:hint="eastAsia" w:ascii="仿宋" w:hAnsi="仿宋" w:eastAsia="仿宋" w:cs="仿宋"/>
        </w:rPr>
        <w:t>5使用地点区域自然环境：</w:t>
      </w:r>
    </w:p>
    <w:p w14:paraId="08CE82F2">
      <w:pPr>
        <w:pStyle w:val="27"/>
        <w:snapToGrid w:val="0"/>
        <w:spacing w:line="360" w:lineRule="auto"/>
        <w:ind w:firstLine="480" w:firstLineChars="200"/>
        <w:rPr>
          <w:rFonts w:ascii="仿宋" w:hAnsi="仿宋" w:eastAsia="仿宋" w:cs="仿宋"/>
        </w:rPr>
      </w:pPr>
      <w:r>
        <w:rPr>
          <w:rFonts w:hint="eastAsia" w:ascii="仿宋" w:hAnsi="仿宋" w:eastAsia="仿宋" w:cs="仿宋"/>
        </w:rPr>
        <w:t>5.1海拨高度：1000m以下。</w:t>
      </w:r>
    </w:p>
    <w:p w14:paraId="087E46E4">
      <w:pPr>
        <w:pStyle w:val="27"/>
        <w:snapToGrid w:val="0"/>
        <w:spacing w:line="360" w:lineRule="auto"/>
        <w:ind w:firstLine="480" w:firstLineChars="200"/>
        <w:rPr>
          <w:rFonts w:ascii="仿宋" w:hAnsi="仿宋" w:eastAsia="仿宋" w:cs="仿宋"/>
        </w:rPr>
      </w:pPr>
      <w:r>
        <w:rPr>
          <w:rFonts w:hint="eastAsia" w:ascii="仿宋" w:hAnsi="仿宋" w:eastAsia="仿宋" w:cs="仿宋"/>
        </w:rPr>
        <w:t>5.2环境温度：</w:t>
      </w:r>
      <w:r>
        <w:rPr>
          <w:rFonts w:hint="eastAsia" w:ascii="仿宋" w:hAnsi="仿宋" w:eastAsia="仿宋" w:cs="仿宋"/>
          <w:lang w:val="en-US" w:eastAsia="zh-CN"/>
        </w:rPr>
        <w:t>环境温度-10</w:t>
      </w:r>
      <w:r>
        <w:rPr>
          <w:rFonts w:hint="eastAsia" w:ascii="仿宋" w:hAnsi="仿宋" w:eastAsia="仿宋" w:cs="仿宋"/>
        </w:rPr>
        <w:t>°C 至 35°C。</w:t>
      </w:r>
    </w:p>
    <w:p w14:paraId="52FAABA8">
      <w:pPr>
        <w:pStyle w:val="27"/>
        <w:snapToGrid w:val="0"/>
        <w:spacing w:line="360" w:lineRule="auto"/>
        <w:ind w:firstLine="480" w:firstLineChars="200"/>
        <w:rPr>
          <w:rFonts w:ascii="仿宋" w:hAnsi="仿宋" w:eastAsia="仿宋" w:cs="仿宋"/>
        </w:rPr>
      </w:pPr>
      <w:r>
        <w:rPr>
          <w:rFonts w:hint="eastAsia" w:ascii="仿宋" w:hAnsi="仿宋" w:eastAsia="仿宋" w:cs="仿宋"/>
        </w:rPr>
        <w:t>5.3相对湿度：年平均59%，最大95%、最小15%。</w:t>
      </w:r>
    </w:p>
    <w:p w14:paraId="7B5E7936">
      <w:pPr>
        <w:pStyle w:val="27"/>
        <w:snapToGrid w:val="0"/>
        <w:spacing w:line="360" w:lineRule="auto"/>
        <w:ind w:firstLine="480" w:firstLineChars="200"/>
        <w:rPr>
          <w:rFonts w:ascii="仿宋" w:hAnsi="仿宋" w:eastAsia="仿宋" w:cs="仿宋"/>
        </w:rPr>
      </w:pPr>
      <w:r>
        <w:rPr>
          <w:rFonts w:hint="eastAsia" w:ascii="仿宋" w:hAnsi="仿宋" w:eastAsia="仿宋" w:cs="仿宋"/>
        </w:rPr>
        <w:t>5.4 地震裂度：七度。</w:t>
      </w:r>
    </w:p>
    <w:p w14:paraId="731E8088">
      <w:pPr>
        <w:pStyle w:val="27"/>
        <w:snapToGrid w:val="0"/>
        <w:spacing w:line="360" w:lineRule="auto"/>
        <w:ind w:firstLine="480" w:firstLineChars="200"/>
        <w:rPr>
          <w:rFonts w:ascii="仿宋" w:hAnsi="仿宋" w:eastAsia="仿宋" w:cs="仿宋"/>
        </w:rPr>
      </w:pPr>
      <w:r>
        <w:rPr>
          <w:rFonts w:hint="eastAsia" w:ascii="仿宋" w:hAnsi="仿宋" w:eastAsia="仿宋" w:cs="仿宋"/>
        </w:rPr>
        <w:t>6能源环境：</w:t>
      </w:r>
    </w:p>
    <w:p w14:paraId="4257AD40">
      <w:pPr>
        <w:pStyle w:val="27"/>
        <w:snapToGrid w:val="0"/>
        <w:spacing w:line="360" w:lineRule="auto"/>
        <w:ind w:firstLine="480" w:firstLineChars="200"/>
        <w:rPr>
          <w:rFonts w:ascii="仿宋" w:hAnsi="仿宋" w:eastAsia="仿宋" w:cs="仿宋"/>
        </w:rPr>
      </w:pPr>
      <w:r>
        <w:rPr>
          <w:rFonts w:hint="eastAsia" w:ascii="仿宋" w:hAnsi="仿宋" w:eastAsia="仿宋" w:cs="仿宋"/>
        </w:rPr>
        <w:t>6.1电力：中国制式，供电电压</w:t>
      </w:r>
      <w:r>
        <w:rPr>
          <w:rFonts w:hint="eastAsia" w:ascii="仿宋" w:hAnsi="仿宋" w:eastAsia="仿宋" w:cs="仿宋"/>
          <w:u w:val="single"/>
          <w:shd w:val="pct10" w:color="auto" w:fill="FFFFFF"/>
        </w:rPr>
        <w:t>380V±15%/220V±15%</w:t>
      </w:r>
      <w:r>
        <w:rPr>
          <w:rFonts w:hint="eastAsia" w:ascii="仿宋" w:hAnsi="仿宋" w:eastAsia="仿宋" w:cs="仿宋"/>
        </w:rPr>
        <w:t>，供电频率50Hz±2%。</w:t>
      </w:r>
    </w:p>
    <w:p w14:paraId="78A9F564">
      <w:pPr>
        <w:snapToGrid w:val="0"/>
        <w:spacing w:line="360" w:lineRule="auto"/>
        <w:ind w:firstLine="420" w:firstLineChars="200"/>
        <w:rPr>
          <w:rFonts w:ascii="仿宋" w:hAnsi="仿宋" w:eastAsia="仿宋" w:cs="仿宋"/>
        </w:rPr>
      </w:pPr>
      <w:r>
        <w:rPr>
          <w:rFonts w:hint="eastAsia" w:ascii="仿宋" w:hAnsi="仿宋" w:eastAsia="仿宋" w:cs="仿宋"/>
        </w:rPr>
        <w:t xml:space="preserve">6.2 </w:t>
      </w:r>
      <w:r>
        <w:rPr>
          <w:rFonts w:hint="eastAsia" w:ascii="仿宋" w:hAnsi="仿宋" w:eastAsia="仿宋" w:cs="仿宋"/>
          <w:kern w:val="0"/>
        </w:rPr>
        <w:t>给水：市政自来水</w:t>
      </w:r>
    </w:p>
    <w:p w14:paraId="1D06F096">
      <w:pPr>
        <w:pStyle w:val="27"/>
        <w:snapToGrid w:val="0"/>
        <w:spacing w:line="360" w:lineRule="auto"/>
        <w:ind w:firstLine="480" w:firstLineChars="200"/>
        <w:rPr>
          <w:rFonts w:ascii="仿宋" w:hAnsi="仿宋" w:eastAsia="仿宋" w:cs="仿宋"/>
        </w:rPr>
      </w:pPr>
      <w:r>
        <w:rPr>
          <w:rFonts w:hint="eastAsia" w:ascii="仿宋" w:hAnsi="仿宋" w:eastAsia="仿宋" w:cs="仿宋"/>
        </w:rPr>
        <w:t>6.3压缩空气：自备空压机自产压缩空气，压力范围</w:t>
      </w:r>
      <w:r>
        <w:rPr>
          <w:rFonts w:hint="eastAsia" w:ascii="仿宋" w:hAnsi="仿宋" w:eastAsia="仿宋" w:cs="仿宋"/>
          <w:u w:val="single"/>
          <w:shd w:val="pct10" w:color="auto" w:fill="FFFFFF"/>
        </w:rPr>
        <w:t>0.5 ±0.1MPa</w:t>
      </w:r>
      <w:r>
        <w:rPr>
          <w:rFonts w:hint="eastAsia" w:ascii="仿宋" w:hAnsi="仿宋" w:eastAsia="仿宋" w:cs="仿宋"/>
        </w:rPr>
        <w:t>。</w:t>
      </w:r>
      <w:bookmarkStart w:id="66" w:name="_Toc17682"/>
      <w:bookmarkStart w:id="67" w:name="_Toc9671"/>
      <w:bookmarkStart w:id="68" w:name="_Toc5374"/>
      <w:bookmarkStart w:id="69" w:name="_Toc27857"/>
      <w:bookmarkStart w:id="70" w:name="_Toc12401"/>
      <w:bookmarkStart w:id="71" w:name="_Toc17605"/>
      <w:bookmarkStart w:id="72" w:name="_Toc22983"/>
      <w:bookmarkStart w:id="73" w:name="_Toc31241"/>
      <w:bookmarkStart w:id="74" w:name="_Toc5282"/>
      <w:bookmarkStart w:id="75" w:name="_Toc8740"/>
      <w:bookmarkStart w:id="76" w:name="_Toc18569"/>
      <w:bookmarkStart w:id="77" w:name="_Toc13324"/>
      <w:bookmarkStart w:id="78" w:name="_Toc24481"/>
      <w:bookmarkStart w:id="79" w:name="_Toc6636"/>
      <w:bookmarkStart w:id="80" w:name="_Toc11744"/>
      <w:bookmarkStart w:id="81" w:name="_Toc9143"/>
      <w:bookmarkStart w:id="82" w:name="_Toc429"/>
      <w:bookmarkStart w:id="83" w:name="_Toc5421"/>
      <w:bookmarkStart w:id="84" w:name="_Toc9784"/>
      <w:bookmarkStart w:id="85" w:name="_Toc29019"/>
      <w:bookmarkStart w:id="86" w:name="_Toc17543"/>
      <w:bookmarkStart w:id="87" w:name="_Toc23473"/>
      <w:bookmarkStart w:id="88" w:name="_Toc30431"/>
      <w:bookmarkStart w:id="89" w:name="_Toc4175"/>
      <w:bookmarkStart w:id="90" w:name="_Toc6433"/>
      <w:bookmarkStart w:id="91" w:name="_Toc8728"/>
      <w:bookmarkStart w:id="92" w:name="_Toc29333"/>
      <w:bookmarkStart w:id="93" w:name="_Toc21616"/>
      <w:bookmarkStart w:id="94" w:name="_Toc15369"/>
      <w:bookmarkStart w:id="95" w:name="_Toc27449"/>
      <w:bookmarkStart w:id="96" w:name="_Toc24563"/>
      <w:bookmarkStart w:id="97" w:name="_Toc133783968"/>
      <w:bookmarkStart w:id="98" w:name="_Toc9561"/>
    </w:p>
    <w:p w14:paraId="73340A6D">
      <w:pPr>
        <w:adjustRightInd w:val="0"/>
        <w:snapToGrid w:val="0"/>
        <w:spacing w:line="360" w:lineRule="auto"/>
        <w:jc w:val="center"/>
        <w:outlineLvl w:val="1"/>
        <w:rPr>
          <w:rFonts w:ascii="仿宋" w:hAnsi="仿宋" w:eastAsia="仿宋" w:cs="仿宋"/>
          <w:sz w:val="28"/>
          <w:szCs w:val="28"/>
        </w:rPr>
      </w:pPr>
      <w:bookmarkStart w:id="99" w:name="_Toc7568"/>
      <w:bookmarkStart w:id="100" w:name="_Toc21302"/>
      <w:bookmarkStart w:id="101" w:name="_Toc21957"/>
      <w:bookmarkStart w:id="102" w:name="_Toc24559"/>
      <w:bookmarkStart w:id="103" w:name="_Toc32599"/>
      <w:bookmarkStart w:id="104" w:name="_Toc8560"/>
      <w:bookmarkStart w:id="105" w:name="_Toc1523"/>
      <w:bookmarkStart w:id="106" w:name="_Toc18778"/>
      <w:bookmarkStart w:id="107" w:name="_Toc1424"/>
      <w:bookmarkStart w:id="108" w:name="_Toc29190"/>
      <w:bookmarkStart w:id="109" w:name="_Toc13544"/>
      <w:bookmarkStart w:id="110" w:name="_Toc17750"/>
      <w:bookmarkStart w:id="111" w:name="_Toc18032"/>
      <w:bookmarkStart w:id="112" w:name="_Toc10013"/>
      <w:r>
        <w:rPr>
          <w:rFonts w:hint="eastAsia" w:ascii="仿宋" w:hAnsi="仿宋" w:eastAsia="仿宋" w:cs="仿宋"/>
          <w:b/>
          <w:bCs/>
          <w:sz w:val="28"/>
          <w:szCs w:val="28"/>
        </w:rPr>
        <w:t>第二节采购货物概况</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35F6172">
      <w:pPr>
        <w:pStyle w:val="27"/>
        <w:snapToGrid w:val="0"/>
        <w:spacing w:line="360" w:lineRule="auto"/>
        <w:ind w:firstLine="480" w:firstLineChars="200"/>
        <w:rPr>
          <w:rFonts w:ascii="仿宋" w:hAnsi="仿宋" w:eastAsia="仿宋" w:cs="仿宋"/>
        </w:rPr>
      </w:pPr>
      <w:r>
        <w:rPr>
          <w:rFonts w:hint="eastAsia" w:ascii="仿宋" w:hAnsi="仿宋" w:eastAsia="仿宋" w:cs="仿宋"/>
        </w:rPr>
        <w:t>1货物：</w:t>
      </w:r>
      <w:r>
        <w:rPr>
          <w:rFonts w:hint="eastAsia" w:ascii="仿宋_GB2312" w:hAnsi="仿宋_GB2312" w:eastAsia="仿宋_GB2312" w:cs="仿宋_GB2312"/>
          <w:sz w:val="24"/>
          <w:szCs w:val="24"/>
          <w:u w:val="single" w:color="auto"/>
          <w:lang w:val="en-US" w:eastAsia="zh-CN"/>
        </w:rPr>
        <w:t>1台UPS主机及40块蓄电池</w:t>
      </w:r>
      <w:r>
        <w:rPr>
          <w:rFonts w:hint="eastAsia" w:ascii="仿宋" w:hAnsi="仿宋" w:eastAsia="仿宋" w:cs="仿宋"/>
        </w:rPr>
        <w:t>（详见下表）</w:t>
      </w:r>
    </w:p>
    <w:p w14:paraId="316C7D09">
      <w:pPr>
        <w:pStyle w:val="27"/>
        <w:snapToGrid w:val="0"/>
        <w:spacing w:line="360" w:lineRule="auto"/>
        <w:ind w:firstLine="480" w:firstLineChars="200"/>
        <w:rPr>
          <w:rFonts w:ascii="仿宋" w:hAnsi="仿宋" w:eastAsia="仿宋" w:cs="仿宋"/>
        </w:rPr>
      </w:pPr>
      <w:r>
        <w:rPr>
          <w:rFonts w:hint="eastAsia" w:ascii="仿宋" w:hAnsi="仿宋" w:eastAsia="仿宋" w:cs="仿宋"/>
        </w:rPr>
        <w:t>2货物数量：（详见下表）</w:t>
      </w:r>
    </w:p>
    <w:p w14:paraId="303D3DA2">
      <w:pPr>
        <w:pStyle w:val="27"/>
        <w:snapToGrid w:val="0"/>
        <w:spacing w:line="360" w:lineRule="auto"/>
        <w:ind w:firstLine="480" w:firstLineChars="200"/>
        <w:rPr>
          <w:rFonts w:ascii="仿宋" w:hAnsi="仿宋" w:eastAsia="仿宋" w:cs="仿宋"/>
        </w:rPr>
      </w:pPr>
      <w:r>
        <w:rPr>
          <w:rFonts w:hint="eastAsia" w:ascii="仿宋" w:hAnsi="仿宋" w:eastAsia="仿宋" w:cs="仿宋"/>
        </w:rPr>
        <w:t>采购货物主要构成一览表</w:t>
      </w:r>
    </w:p>
    <w:tbl>
      <w:tblPr>
        <w:tblStyle w:val="49"/>
        <w:tblW w:w="98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
        <w:gridCol w:w="783"/>
        <w:gridCol w:w="3891"/>
        <w:gridCol w:w="750"/>
        <w:gridCol w:w="771"/>
        <w:gridCol w:w="1358"/>
        <w:gridCol w:w="851"/>
        <w:gridCol w:w="718"/>
      </w:tblGrid>
      <w:tr w14:paraId="38ECC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5F03B31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序号</w:t>
            </w:r>
          </w:p>
        </w:tc>
        <w:tc>
          <w:tcPr>
            <w:tcW w:w="783" w:type="dxa"/>
            <w:noWrap w:val="0"/>
            <w:vAlign w:val="center"/>
          </w:tcPr>
          <w:p w14:paraId="49DBF64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名称</w:t>
            </w:r>
          </w:p>
        </w:tc>
        <w:tc>
          <w:tcPr>
            <w:tcW w:w="3891" w:type="dxa"/>
            <w:noWrap w:val="0"/>
            <w:vAlign w:val="center"/>
          </w:tcPr>
          <w:p w14:paraId="76FC7E9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型号规格</w:t>
            </w:r>
          </w:p>
        </w:tc>
        <w:tc>
          <w:tcPr>
            <w:tcW w:w="750" w:type="dxa"/>
            <w:noWrap w:val="0"/>
            <w:vAlign w:val="center"/>
          </w:tcPr>
          <w:p w14:paraId="19073F4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单位</w:t>
            </w:r>
          </w:p>
        </w:tc>
        <w:tc>
          <w:tcPr>
            <w:tcW w:w="771" w:type="dxa"/>
            <w:noWrap w:val="0"/>
            <w:vAlign w:val="center"/>
          </w:tcPr>
          <w:p w14:paraId="6B12C58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数量</w:t>
            </w:r>
          </w:p>
        </w:tc>
        <w:tc>
          <w:tcPr>
            <w:tcW w:w="1358" w:type="dxa"/>
            <w:noWrap w:val="0"/>
            <w:vAlign w:val="center"/>
          </w:tcPr>
          <w:p w14:paraId="76B4045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安装地点/服务对象</w:t>
            </w:r>
          </w:p>
        </w:tc>
        <w:tc>
          <w:tcPr>
            <w:tcW w:w="851" w:type="dxa"/>
            <w:noWrap w:val="0"/>
            <w:vAlign w:val="center"/>
          </w:tcPr>
          <w:p w14:paraId="0638611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供货方式</w:t>
            </w:r>
          </w:p>
        </w:tc>
        <w:tc>
          <w:tcPr>
            <w:tcW w:w="718" w:type="dxa"/>
            <w:noWrap w:val="0"/>
            <w:vAlign w:val="center"/>
          </w:tcPr>
          <w:p w14:paraId="1294E1B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备注</w:t>
            </w:r>
          </w:p>
        </w:tc>
      </w:tr>
      <w:tr w14:paraId="0512F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01F35D2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w:t>
            </w:r>
          </w:p>
        </w:tc>
        <w:tc>
          <w:tcPr>
            <w:tcW w:w="783" w:type="dxa"/>
            <w:noWrap w:val="0"/>
            <w:vAlign w:val="center"/>
          </w:tcPr>
          <w:p w14:paraId="0F5CFC5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UPS主机</w:t>
            </w:r>
          </w:p>
        </w:tc>
        <w:tc>
          <w:tcPr>
            <w:tcW w:w="3891" w:type="dxa"/>
            <w:noWrap w:val="0"/>
            <w:vAlign w:val="center"/>
          </w:tcPr>
          <w:p w14:paraId="79242EF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1、20KVA在线式UPS主机，塔式落地安装；</w:t>
            </w:r>
          </w:p>
          <w:p w14:paraId="2B4F751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2、供电制式：支持单进单出或三进单出；</w:t>
            </w:r>
          </w:p>
          <w:p w14:paraId="63573B51">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3、输入功率因数≥0.99，输出功率因数≥0.9；</w:t>
            </w:r>
          </w:p>
          <w:p w14:paraId="554F7E9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4、支持ECO节能运行模式，效率≥95；</w:t>
            </w:r>
          </w:p>
          <w:p w14:paraId="5AB8B84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5、电池：电池本身支持节数调节（可支持20节蓄电池）；</w:t>
            </w:r>
          </w:p>
          <w:p w14:paraId="3B7F108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6、通信功能：RS232通讯口或其他；</w:t>
            </w:r>
          </w:p>
          <w:p w14:paraId="4EA1D36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7、关键器件预告警功能；</w:t>
            </w:r>
          </w:p>
          <w:p w14:paraId="3B2992B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8、UPS主机质保期≥三年，质保期内不再产生任何因产品品质故障的修复或更换费用。</w:t>
            </w:r>
          </w:p>
        </w:tc>
        <w:tc>
          <w:tcPr>
            <w:tcW w:w="750" w:type="dxa"/>
            <w:noWrap w:val="0"/>
            <w:vAlign w:val="center"/>
          </w:tcPr>
          <w:p w14:paraId="594CE0B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台</w:t>
            </w:r>
          </w:p>
        </w:tc>
        <w:tc>
          <w:tcPr>
            <w:tcW w:w="771" w:type="dxa"/>
            <w:noWrap w:val="0"/>
            <w:vAlign w:val="center"/>
          </w:tcPr>
          <w:p w14:paraId="1550979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w:t>
            </w:r>
          </w:p>
        </w:tc>
        <w:tc>
          <w:tcPr>
            <w:tcW w:w="1358" w:type="dxa"/>
            <w:noWrap w:val="0"/>
            <w:vAlign w:val="center"/>
          </w:tcPr>
          <w:p w14:paraId="3BFA443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41D3593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57920A3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5ECBA57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3A225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11250EF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w:t>
            </w:r>
          </w:p>
        </w:tc>
        <w:tc>
          <w:tcPr>
            <w:tcW w:w="783" w:type="dxa"/>
            <w:noWrap w:val="0"/>
            <w:vAlign w:val="center"/>
          </w:tcPr>
          <w:p w14:paraId="2AEDC88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蓄电池</w:t>
            </w:r>
          </w:p>
        </w:tc>
        <w:tc>
          <w:tcPr>
            <w:tcW w:w="3891" w:type="dxa"/>
            <w:noWrap w:val="0"/>
            <w:vAlign w:val="center"/>
          </w:tcPr>
          <w:p w14:paraId="12D1045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1、配置2组12V 100AH 蓄电池、每组20块；</w:t>
            </w:r>
          </w:p>
          <w:p w14:paraId="7E72FCA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2、电池质保期≥三年，质保期内不再产生任何因产品品质故障的修复或更换费用；</w:t>
            </w:r>
          </w:p>
          <w:p w14:paraId="142EA8C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3、电池各项产品及配件为原厂商生产的全新的正品并附含原厂商的相关服务，以及所有产品为出厂后未开封的原厂整机产品，并提供加盖生产厂家公章的授权书；</w:t>
            </w:r>
          </w:p>
          <w:p w14:paraId="61CCE6C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4、蓄电池具备阻燃特性。</w:t>
            </w:r>
          </w:p>
        </w:tc>
        <w:tc>
          <w:tcPr>
            <w:tcW w:w="750" w:type="dxa"/>
            <w:noWrap w:val="0"/>
            <w:vAlign w:val="center"/>
          </w:tcPr>
          <w:p w14:paraId="24B7F42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块</w:t>
            </w:r>
          </w:p>
        </w:tc>
        <w:tc>
          <w:tcPr>
            <w:tcW w:w="771" w:type="dxa"/>
            <w:noWrap w:val="0"/>
            <w:vAlign w:val="center"/>
          </w:tcPr>
          <w:p w14:paraId="30E7850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40</w:t>
            </w:r>
          </w:p>
        </w:tc>
        <w:tc>
          <w:tcPr>
            <w:tcW w:w="1358" w:type="dxa"/>
            <w:noWrap w:val="0"/>
            <w:vAlign w:val="center"/>
          </w:tcPr>
          <w:p w14:paraId="216BDE1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19CF519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77D8CA9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5794B05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505A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17B53F2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w:t>
            </w:r>
          </w:p>
        </w:tc>
        <w:tc>
          <w:tcPr>
            <w:tcW w:w="783" w:type="dxa"/>
            <w:noWrap w:val="0"/>
            <w:vAlign w:val="center"/>
          </w:tcPr>
          <w:p w14:paraId="286EC5D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电池柜</w:t>
            </w:r>
          </w:p>
        </w:tc>
        <w:tc>
          <w:tcPr>
            <w:tcW w:w="3891" w:type="dxa"/>
            <w:noWrap w:val="0"/>
            <w:vAlign w:val="center"/>
          </w:tcPr>
          <w:p w14:paraId="0EE363D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每层五节，四层结构（包含德力西2P 125A 直流开关2个）</w:t>
            </w:r>
          </w:p>
        </w:tc>
        <w:tc>
          <w:tcPr>
            <w:tcW w:w="750" w:type="dxa"/>
            <w:noWrap w:val="0"/>
            <w:vAlign w:val="center"/>
          </w:tcPr>
          <w:p w14:paraId="1091AF9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组</w:t>
            </w:r>
          </w:p>
        </w:tc>
        <w:tc>
          <w:tcPr>
            <w:tcW w:w="771" w:type="dxa"/>
            <w:noWrap w:val="0"/>
            <w:vAlign w:val="center"/>
          </w:tcPr>
          <w:p w14:paraId="65A14E2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w:t>
            </w:r>
          </w:p>
        </w:tc>
        <w:tc>
          <w:tcPr>
            <w:tcW w:w="1358" w:type="dxa"/>
            <w:noWrap w:val="0"/>
            <w:vAlign w:val="center"/>
          </w:tcPr>
          <w:p w14:paraId="5D7C2A8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383F829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2108AC6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6BDF598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3BC7E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7B031D7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w:t>
            </w:r>
          </w:p>
        </w:tc>
        <w:tc>
          <w:tcPr>
            <w:tcW w:w="783" w:type="dxa"/>
            <w:noWrap w:val="0"/>
            <w:vAlign w:val="center"/>
          </w:tcPr>
          <w:p w14:paraId="4B0EDC1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电池连接线</w:t>
            </w:r>
          </w:p>
        </w:tc>
        <w:tc>
          <w:tcPr>
            <w:tcW w:w="3891" w:type="dxa"/>
            <w:noWrap w:val="0"/>
            <w:vAlign w:val="center"/>
          </w:tcPr>
          <w:p w14:paraId="5565B24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ZR-BVR-1*16</w:t>
            </w:r>
          </w:p>
        </w:tc>
        <w:tc>
          <w:tcPr>
            <w:tcW w:w="750" w:type="dxa"/>
            <w:noWrap w:val="0"/>
            <w:vAlign w:val="center"/>
          </w:tcPr>
          <w:p w14:paraId="3B203DF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组</w:t>
            </w:r>
          </w:p>
        </w:tc>
        <w:tc>
          <w:tcPr>
            <w:tcW w:w="771" w:type="dxa"/>
            <w:noWrap w:val="0"/>
            <w:vAlign w:val="center"/>
          </w:tcPr>
          <w:p w14:paraId="398FD3C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w:t>
            </w:r>
          </w:p>
        </w:tc>
        <w:tc>
          <w:tcPr>
            <w:tcW w:w="1358" w:type="dxa"/>
            <w:noWrap w:val="0"/>
            <w:vAlign w:val="center"/>
          </w:tcPr>
          <w:p w14:paraId="38E8671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14575DD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3FE5F30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4043E71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3AB31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6994F98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w:t>
            </w:r>
          </w:p>
        </w:tc>
        <w:tc>
          <w:tcPr>
            <w:tcW w:w="783" w:type="dxa"/>
            <w:noWrap w:val="0"/>
            <w:vAlign w:val="center"/>
          </w:tcPr>
          <w:p w14:paraId="7358F0D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输入线</w:t>
            </w:r>
          </w:p>
        </w:tc>
        <w:tc>
          <w:tcPr>
            <w:tcW w:w="3891" w:type="dxa"/>
            <w:noWrap w:val="0"/>
            <w:vAlign w:val="center"/>
          </w:tcPr>
          <w:p w14:paraId="02F2519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cs="仿宋_GB2312"/>
                <w:kern w:val="2"/>
                <w:sz w:val="24"/>
                <w:szCs w:val="24"/>
                <w:lang w:val="en-US" w:eastAsia="zh-CN" w:bidi="ar-SA"/>
              </w:rPr>
            </w:pPr>
            <w:r>
              <w:rPr>
                <w:rFonts w:hint="eastAsia" w:ascii="仿宋_GB2312" w:hAnsi="仿宋_GB2312" w:cs="仿宋_GB2312"/>
                <w:kern w:val="2"/>
                <w:sz w:val="24"/>
                <w:szCs w:val="24"/>
                <w:lang w:val="en-US" w:eastAsia="zh-CN" w:bidi="ar-SA"/>
              </w:rPr>
              <w:t>ZR-YJV-4*25+1*16</w:t>
            </w:r>
          </w:p>
          <w:p w14:paraId="20A5B8C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kern w:val="2"/>
                <w:sz w:val="24"/>
                <w:szCs w:val="24"/>
                <w:lang w:val="en-US" w:eastAsia="zh-CN" w:bidi="ar-SA"/>
              </w:rPr>
              <w:t>配电柜到UPS主机输入线</w:t>
            </w:r>
          </w:p>
        </w:tc>
        <w:tc>
          <w:tcPr>
            <w:tcW w:w="750" w:type="dxa"/>
            <w:noWrap w:val="0"/>
            <w:vAlign w:val="center"/>
          </w:tcPr>
          <w:p w14:paraId="7E3B87E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771" w:type="dxa"/>
            <w:noWrap w:val="0"/>
            <w:vAlign w:val="center"/>
          </w:tcPr>
          <w:p w14:paraId="114F0B6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w:t>
            </w:r>
          </w:p>
        </w:tc>
        <w:tc>
          <w:tcPr>
            <w:tcW w:w="1358" w:type="dxa"/>
            <w:noWrap w:val="0"/>
            <w:vAlign w:val="center"/>
          </w:tcPr>
          <w:p w14:paraId="2373990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12F77FD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6D49E57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4E5D2F8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666D9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59C8602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w:t>
            </w:r>
          </w:p>
        </w:tc>
        <w:tc>
          <w:tcPr>
            <w:tcW w:w="783" w:type="dxa"/>
            <w:noWrap w:val="0"/>
            <w:vAlign w:val="center"/>
          </w:tcPr>
          <w:p w14:paraId="569DCFD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输出线</w:t>
            </w:r>
          </w:p>
        </w:tc>
        <w:tc>
          <w:tcPr>
            <w:tcW w:w="3891" w:type="dxa"/>
            <w:noWrap w:val="0"/>
            <w:vAlign w:val="center"/>
          </w:tcPr>
          <w:p w14:paraId="52BF484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ZR-YJV-3*25</w:t>
            </w:r>
          </w:p>
          <w:p w14:paraId="4E924F7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1根UPS主机到负载输出线，一根配电柜到负载输出线（外部旁路）</w:t>
            </w:r>
          </w:p>
        </w:tc>
        <w:tc>
          <w:tcPr>
            <w:tcW w:w="750" w:type="dxa"/>
            <w:noWrap w:val="0"/>
            <w:vAlign w:val="center"/>
          </w:tcPr>
          <w:p w14:paraId="7414C2F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771" w:type="dxa"/>
            <w:noWrap w:val="0"/>
            <w:vAlign w:val="center"/>
          </w:tcPr>
          <w:p w14:paraId="6263FD0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10</w:t>
            </w:r>
          </w:p>
        </w:tc>
        <w:tc>
          <w:tcPr>
            <w:tcW w:w="1358" w:type="dxa"/>
            <w:noWrap w:val="0"/>
            <w:vAlign w:val="center"/>
          </w:tcPr>
          <w:p w14:paraId="04F760F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6D694AD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090F855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4C69F48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425AA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663E755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7</w:t>
            </w:r>
          </w:p>
        </w:tc>
        <w:tc>
          <w:tcPr>
            <w:tcW w:w="783" w:type="dxa"/>
            <w:noWrap w:val="0"/>
            <w:vAlign w:val="center"/>
          </w:tcPr>
          <w:p w14:paraId="6926EA4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直流母线</w:t>
            </w:r>
          </w:p>
        </w:tc>
        <w:tc>
          <w:tcPr>
            <w:tcW w:w="3891" w:type="dxa"/>
            <w:noWrap w:val="0"/>
            <w:vAlign w:val="center"/>
          </w:tcPr>
          <w:p w14:paraId="3800E0E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ZR-BVR-1*25</w:t>
            </w:r>
          </w:p>
          <w:p w14:paraId="1ECBD3A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2根电池组到UPS直流母线，2根电池组并联线（正负极各一根1.5m)</w:t>
            </w:r>
          </w:p>
        </w:tc>
        <w:tc>
          <w:tcPr>
            <w:tcW w:w="750" w:type="dxa"/>
            <w:noWrap w:val="0"/>
            <w:vAlign w:val="center"/>
          </w:tcPr>
          <w:p w14:paraId="0D9C16E1">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771" w:type="dxa"/>
            <w:noWrap w:val="0"/>
            <w:vAlign w:val="center"/>
          </w:tcPr>
          <w:p w14:paraId="22B6D0E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w:t>
            </w:r>
          </w:p>
        </w:tc>
        <w:tc>
          <w:tcPr>
            <w:tcW w:w="1358" w:type="dxa"/>
            <w:noWrap w:val="0"/>
            <w:vAlign w:val="center"/>
          </w:tcPr>
          <w:p w14:paraId="4726CBD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0CA56AD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74365ED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58DE2BB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r w14:paraId="7284D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7" w:type="dxa"/>
            <w:noWrap w:val="0"/>
            <w:vAlign w:val="center"/>
          </w:tcPr>
          <w:p w14:paraId="2182CA8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8</w:t>
            </w:r>
          </w:p>
        </w:tc>
        <w:tc>
          <w:tcPr>
            <w:tcW w:w="783" w:type="dxa"/>
            <w:noWrap w:val="0"/>
            <w:vAlign w:val="center"/>
          </w:tcPr>
          <w:p w14:paraId="1F2A649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安装调试及旧设备搬运</w:t>
            </w:r>
          </w:p>
        </w:tc>
        <w:tc>
          <w:tcPr>
            <w:tcW w:w="3891" w:type="dxa"/>
            <w:noWrap w:val="0"/>
            <w:vAlign w:val="center"/>
          </w:tcPr>
          <w:p w14:paraId="4A3D210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1.新设备安装调试</w:t>
            </w:r>
          </w:p>
          <w:p w14:paraId="0CE5F56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2.旧设备拆除，搬运至指定地点</w:t>
            </w:r>
          </w:p>
        </w:tc>
        <w:tc>
          <w:tcPr>
            <w:tcW w:w="750" w:type="dxa"/>
            <w:noWrap w:val="0"/>
            <w:vAlign w:val="center"/>
          </w:tcPr>
          <w:p w14:paraId="24416C0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项</w:t>
            </w:r>
          </w:p>
        </w:tc>
        <w:tc>
          <w:tcPr>
            <w:tcW w:w="771" w:type="dxa"/>
            <w:noWrap w:val="0"/>
            <w:vAlign w:val="center"/>
          </w:tcPr>
          <w:p w14:paraId="4DC3E5A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w:t>
            </w:r>
          </w:p>
        </w:tc>
        <w:tc>
          <w:tcPr>
            <w:tcW w:w="1358" w:type="dxa"/>
            <w:noWrap w:val="0"/>
            <w:vAlign w:val="center"/>
          </w:tcPr>
          <w:p w14:paraId="7EFE150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w:t>
            </w:r>
          </w:p>
          <w:p w14:paraId="69824814">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成型厂</w:t>
            </w:r>
          </w:p>
        </w:tc>
        <w:tc>
          <w:tcPr>
            <w:tcW w:w="851" w:type="dxa"/>
            <w:noWrap w:val="0"/>
            <w:vAlign w:val="center"/>
          </w:tcPr>
          <w:p w14:paraId="6FB2CFB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交钥匙</w:t>
            </w:r>
          </w:p>
        </w:tc>
        <w:tc>
          <w:tcPr>
            <w:tcW w:w="718" w:type="dxa"/>
            <w:noWrap w:val="0"/>
            <w:vAlign w:val="center"/>
          </w:tcPr>
          <w:p w14:paraId="03162034">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p>
        </w:tc>
      </w:tr>
    </w:tbl>
    <w:p w14:paraId="530384A8">
      <w:pPr>
        <w:pStyle w:val="27"/>
        <w:snapToGrid w:val="0"/>
        <w:spacing w:line="360" w:lineRule="auto"/>
        <w:ind w:firstLine="480" w:firstLineChars="200"/>
        <w:rPr>
          <w:rFonts w:ascii="仿宋" w:hAnsi="仿宋" w:eastAsia="仿宋" w:cs="仿宋"/>
        </w:rPr>
      </w:pPr>
      <w:r>
        <w:rPr>
          <w:rFonts w:hint="eastAsia" w:ascii="仿宋" w:hAnsi="仿宋" w:eastAsia="仿宋" w:cs="仿宋"/>
        </w:rPr>
        <w:t>备注：</w:t>
      </w:r>
    </w:p>
    <w:p w14:paraId="05D9B0A1">
      <w:pPr>
        <w:pStyle w:val="27"/>
        <w:snapToGrid w:val="0"/>
        <w:spacing w:line="360" w:lineRule="auto"/>
        <w:ind w:firstLine="480" w:firstLineChars="200"/>
        <w:rPr>
          <w:rFonts w:ascii="仿宋" w:hAnsi="仿宋" w:eastAsia="仿宋" w:cs="仿宋"/>
        </w:rPr>
      </w:pPr>
      <w:r>
        <w:rPr>
          <w:rFonts w:hint="eastAsia" w:ascii="仿宋" w:hAnsi="仿宋" w:eastAsia="仿宋" w:cs="仿宋"/>
        </w:rPr>
        <w:t>①本表所列采购货物仅为货物的主要构成部分，应配套供货以及</w:t>
      </w:r>
      <w:r>
        <w:rPr>
          <w:rFonts w:hint="eastAsia" w:ascii="仿宋" w:hAnsi="仿宋" w:eastAsia="仿宋" w:cs="仿宋"/>
          <w:lang w:eastAsia="zh-CN"/>
        </w:rPr>
        <w:t>买方</w:t>
      </w:r>
      <w:r>
        <w:rPr>
          <w:rFonts w:hint="eastAsia" w:ascii="仿宋" w:hAnsi="仿宋" w:eastAsia="仿宋" w:cs="仿宋"/>
        </w:rPr>
        <w:t>所列其它货物（或设备）和服务，请</w:t>
      </w:r>
      <w:r>
        <w:rPr>
          <w:rFonts w:hint="eastAsia" w:ascii="仿宋" w:hAnsi="仿宋" w:eastAsia="仿宋" w:cs="仿宋"/>
          <w:lang w:eastAsia="zh-CN"/>
        </w:rPr>
        <w:t>卖方</w:t>
      </w:r>
      <w:r>
        <w:rPr>
          <w:rFonts w:hint="eastAsia" w:ascii="仿宋" w:hAnsi="仿宋" w:eastAsia="仿宋" w:cs="仿宋"/>
        </w:rPr>
        <w:t>认真阅读“供货范围”。若有异议，不管是多么微小，都应在投标文件“商务偏离”章节中予以详细说明。</w:t>
      </w:r>
    </w:p>
    <w:p w14:paraId="40AF9FB5">
      <w:pPr>
        <w:pStyle w:val="27"/>
        <w:snapToGrid w:val="0"/>
        <w:spacing w:line="360" w:lineRule="auto"/>
        <w:ind w:firstLine="480" w:firstLineChars="200"/>
        <w:rPr>
          <w:rFonts w:ascii="仿宋" w:hAnsi="仿宋" w:eastAsia="仿宋" w:cs="仿宋"/>
        </w:rPr>
      </w:pPr>
      <w:r>
        <w:rPr>
          <w:rFonts w:hint="eastAsia" w:ascii="仿宋" w:hAnsi="仿宋" w:eastAsia="仿宋" w:cs="仿宋"/>
        </w:rPr>
        <w:t>②本表“供货方式”指：交钥匙方式——包括制造、运输、定点卸货、安装、调试和验收以及培训等。</w:t>
      </w:r>
    </w:p>
    <w:p w14:paraId="4DCDD01B">
      <w:pPr>
        <w:rPr>
          <w:rFonts w:hint="eastAsia" w:ascii="仿宋" w:hAnsi="仿宋" w:eastAsia="仿宋" w:cs="仿宋"/>
          <w:b/>
          <w:bCs/>
          <w:sz w:val="24"/>
          <w:szCs w:val="24"/>
        </w:rPr>
      </w:pPr>
      <w:bookmarkStart w:id="113" w:name="_Toc32524"/>
      <w:bookmarkStart w:id="114" w:name="_Toc19793"/>
      <w:bookmarkStart w:id="115" w:name="_Toc2018"/>
      <w:bookmarkStart w:id="116" w:name="_Toc4881"/>
      <w:bookmarkStart w:id="117" w:name="_Toc4488"/>
      <w:bookmarkStart w:id="118" w:name="_Toc10580"/>
      <w:bookmarkStart w:id="119" w:name="_Toc30429"/>
      <w:bookmarkStart w:id="120" w:name="_Toc6687"/>
      <w:bookmarkStart w:id="121" w:name="_Toc32616"/>
      <w:bookmarkStart w:id="122" w:name="_Toc25811"/>
      <w:bookmarkStart w:id="123" w:name="_Toc16387"/>
      <w:bookmarkStart w:id="124" w:name="_Toc24992"/>
      <w:bookmarkStart w:id="125" w:name="_Toc20034"/>
      <w:bookmarkStart w:id="126" w:name="_Toc7813"/>
      <w:bookmarkStart w:id="127" w:name="_Toc15180"/>
      <w:bookmarkStart w:id="128" w:name="_Toc23603"/>
      <w:bookmarkStart w:id="129" w:name="_Toc13878"/>
      <w:bookmarkStart w:id="130" w:name="_Toc8565"/>
      <w:bookmarkStart w:id="131" w:name="_Toc133783969"/>
      <w:bookmarkStart w:id="132" w:name="_Toc26470"/>
      <w:bookmarkStart w:id="133" w:name="_Toc22689"/>
      <w:bookmarkStart w:id="134" w:name="_Toc11605"/>
      <w:bookmarkStart w:id="135" w:name="_Toc498"/>
      <w:bookmarkStart w:id="136" w:name="_Toc30487"/>
      <w:bookmarkStart w:id="137" w:name="_Toc26149"/>
      <w:bookmarkStart w:id="138" w:name="_Toc17465"/>
      <w:bookmarkStart w:id="139" w:name="_Toc24597"/>
      <w:bookmarkStart w:id="140" w:name="_Toc18120"/>
      <w:bookmarkStart w:id="141" w:name="_Toc7338"/>
      <w:bookmarkStart w:id="142" w:name="_Toc7739"/>
      <w:bookmarkStart w:id="143" w:name="_Toc31734"/>
      <w:bookmarkStart w:id="144" w:name="_Toc29174"/>
      <w:bookmarkStart w:id="145" w:name="_Toc7710"/>
      <w:bookmarkStart w:id="146" w:name="_Toc27638"/>
      <w:bookmarkStart w:id="147" w:name="_Toc1621"/>
      <w:bookmarkStart w:id="148" w:name="_Toc4743"/>
      <w:bookmarkStart w:id="149" w:name="_Toc12377"/>
      <w:bookmarkStart w:id="150" w:name="_Toc8780"/>
      <w:bookmarkStart w:id="151" w:name="_Toc28168"/>
      <w:bookmarkStart w:id="152" w:name="_Toc2875"/>
      <w:bookmarkStart w:id="153" w:name="_Toc22658"/>
      <w:bookmarkStart w:id="154" w:name="_Toc761"/>
      <w:bookmarkStart w:id="155" w:name="_Toc19015"/>
      <w:bookmarkStart w:id="156" w:name="_Toc10441"/>
      <w:r>
        <w:rPr>
          <w:rFonts w:hint="eastAsia" w:ascii="仿宋" w:hAnsi="仿宋" w:eastAsia="仿宋" w:cs="仿宋"/>
          <w:b/>
          <w:bCs/>
          <w:sz w:val="24"/>
          <w:szCs w:val="24"/>
        </w:rPr>
        <w:br w:type="page"/>
      </w:r>
    </w:p>
    <w:p w14:paraId="530EDB0F">
      <w:pPr>
        <w:jc w:val="center"/>
        <w:outlineLvl w:val="0"/>
        <w:rPr>
          <w:rFonts w:ascii="仿宋" w:hAnsi="仿宋" w:eastAsia="仿宋" w:cs="仿宋"/>
          <w:b/>
          <w:bCs/>
          <w:sz w:val="24"/>
          <w:szCs w:val="24"/>
        </w:rPr>
      </w:pPr>
      <w:r>
        <w:rPr>
          <w:rFonts w:hint="eastAsia" w:ascii="仿宋" w:hAnsi="仿宋" w:eastAsia="仿宋" w:cs="仿宋"/>
          <w:b/>
          <w:bCs/>
          <w:sz w:val="24"/>
          <w:szCs w:val="24"/>
        </w:rPr>
        <w:t>第二章技术要求</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6577F991">
      <w:pPr>
        <w:snapToGrid w:val="0"/>
        <w:spacing w:line="360" w:lineRule="auto"/>
        <w:ind w:firstLine="422" w:firstLineChars="200"/>
        <w:outlineLvl w:val="1"/>
        <w:rPr>
          <w:rFonts w:ascii="仿宋" w:hAnsi="仿宋" w:eastAsia="仿宋" w:cs="仿宋"/>
          <w:b/>
          <w:bCs/>
        </w:rPr>
      </w:pPr>
      <w:bookmarkStart w:id="157" w:name="_Toc9134"/>
      <w:bookmarkStart w:id="158" w:name="_Toc5450"/>
      <w:bookmarkStart w:id="159" w:name="_Toc380"/>
      <w:bookmarkStart w:id="160" w:name="_Toc15995"/>
      <w:bookmarkStart w:id="161" w:name="_Toc1111"/>
      <w:bookmarkStart w:id="162" w:name="_Toc23337"/>
      <w:bookmarkStart w:id="163" w:name="_Toc26827"/>
      <w:bookmarkStart w:id="164" w:name="_Toc23050"/>
      <w:bookmarkStart w:id="165" w:name="_Toc16063"/>
      <w:bookmarkStart w:id="166" w:name="_Toc477"/>
      <w:bookmarkStart w:id="167" w:name="_Toc5110"/>
      <w:bookmarkStart w:id="168" w:name="_Toc11056"/>
      <w:bookmarkStart w:id="169" w:name="_Toc4126"/>
      <w:bookmarkStart w:id="170" w:name="_Toc29354"/>
      <w:bookmarkStart w:id="171" w:name="_Toc13195"/>
      <w:bookmarkStart w:id="172" w:name="_Toc28751"/>
      <w:bookmarkStart w:id="173" w:name="_Toc27930"/>
      <w:bookmarkStart w:id="174" w:name="_Toc31434"/>
      <w:bookmarkStart w:id="175" w:name="_Toc25950"/>
      <w:bookmarkStart w:id="176" w:name="_Toc20792"/>
      <w:bookmarkStart w:id="177" w:name="_Toc39"/>
      <w:bookmarkStart w:id="178" w:name="_Toc18792"/>
      <w:bookmarkStart w:id="179" w:name="_Toc5876"/>
      <w:bookmarkStart w:id="180" w:name="_Toc6003"/>
      <w:bookmarkStart w:id="181" w:name="_Toc31246"/>
      <w:bookmarkStart w:id="182" w:name="_Toc21559"/>
      <w:bookmarkStart w:id="183" w:name="_Toc16822"/>
      <w:bookmarkStart w:id="184" w:name="_Toc5714"/>
      <w:bookmarkStart w:id="185" w:name="_Toc20402"/>
      <w:bookmarkStart w:id="186" w:name="_Toc29489"/>
      <w:bookmarkStart w:id="187" w:name="_Toc11621"/>
      <w:bookmarkStart w:id="188" w:name="_Toc15744"/>
      <w:bookmarkStart w:id="189" w:name="_Toc5804"/>
      <w:bookmarkStart w:id="190" w:name="_Toc15747"/>
      <w:bookmarkStart w:id="191" w:name="_Toc5430"/>
      <w:bookmarkStart w:id="192" w:name="_Toc7141"/>
      <w:bookmarkStart w:id="193" w:name="_Toc22422"/>
      <w:bookmarkStart w:id="194" w:name="_Toc27282"/>
      <w:bookmarkStart w:id="195" w:name="_Toc1968"/>
      <w:bookmarkStart w:id="196" w:name="_Toc9894"/>
      <w:bookmarkStart w:id="197" w:name="_Toc2473"/>
      <w:r>
        <w:rPr>
          <w:rFonts w:hint="eastAsia" w:ascii="仿宋" w:hAnsi="仿宋" w:eastAsia="仿宋" w:cs="仿宋"/>
          <w:b/>
          <w:bCs/>
        </w:rPr>
        <w:t>1基本要求</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0DB004D7">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1.1 </w:t>
      </w:r>
      <w:r>
        <w:rPr>
          <w:rFonts w:hint="eastAsia" w:ascii="仿宋" w:hAnsi="仿宋" w:eastAsia="仿宋" w:cs="仿宋"/>
          <w:lang w:eastAsia="zh-CN"/>
        </w:rPr>
        <w:t>卖方</w:t>
      </w:r>
      <w:r>
        <w:rPr>
          <w:rFonts w:hint="eastAsia" w:ascii="仿宋" w:hAnsi="仿宋" w:eastAsia="仿宋" w:cs="仿宋"/>
        </w:rPr>
        <w:t>所供的货物，必须符合中国最新版的法律、法规和相关标准、规范的要求，符合项目所在地政府有关特殊要求。</w:t>
      </w:r>
    </w:p>
    <w:p w14:paraId="65A2EF67">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1.2 </w:t>
      </w:r>
      <w:r>
        <w:rPr>
          <w:rFonts w:hint="eastAsia" w:ascii="仿宋" w:hAnsi="仿宋" w:eastAsia="仿宋" w:cs="仿宋"/>
          <w:lang w:eastAsia="zh-CN"/>
        </w:rPr>
        <w:t>卖方</w:t>
      </w:r>
      <w:r>
        <w:rPr>
          <w:rFonts w:hint="eastAsia" w:ascii="仿宋" w:hAnsi="仿宋" w:eastAsia="仿宋" w:cs="仿宋"/>
        </w:rPr>
        <w:t>所供货物涉及的、</w:t>
      </w:r>
      <w:r>
        <w:rPr>
          <w:rFonts w:hint="eastAsia" w:ascii="仿宋" w:hAnsi="仿宋" w:eastAsia="仿宋" w:cs="仿宋"/>
          <w:lang w:eastAsia="zh-CN"/>
        </w:rPr>
        <w:t>买方</w:t>
      </w:r>
      <w:r>
        <w:rPr>
          <w:rFonts w:hint="eastAsia" w:ascii="仿宋" w:hAnsi="仿宋" w:eastAsia="仿宋" w:cs="仿宋"/>
        </w:rPr>
        <w:t>有权使用的专利权技术以及知识产权保护的其它技术等，应保证</w:t>
      </w:r>
      <w:r>
        <w:rPr>
          <w:rFonts w:hint="eastAsia" w:ascii="仿宋" w:hAnsi="仿宋" w:eastAsia="仿宋" w:cs="仿宋"/>
          <w:lang w:eastAsia="zh-CN"/>
        </w:rPr>
        <w:t>买方</w:t>
      </w:r>
      <w:r>
        <w:rPr>
          <w:rFonts w:hint="eastAsia" w:ascii="仿宋" w:hAnsi="仿宋" w:eastAsia="仿宋" w:cs="仿宋"/>
        </w:rPr>
        <w:t>不因此受到任何侵权指控以及实际损失。</w:t>
      </w:r>
    </w:p>
    <w:p w14:paraId="171B9D7E">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1.3 </w:t>
      </w:r>
      <w:r>
        <w:rPr>
          <w:rFonts w:hint="eastAsia" w:ascii="仿宋" w:hAnsi="仿宋" w:eastAsia="仿宋" w:cs="仿宋"/>
          <w:lang w:eastAsia="zh-CN"/>
        </w:rPr>
        <w:t>卖方</w:t>
      </w:r>
      <w:r>
        <w:rPr>
          <w:rFonts w:hint="eastAsia" w:ascii="仿宋" w:hAnsi="仿宋" w:eastAsia="仿宋" w:cs="仿宋"/>
        </w:rPr>
        <w:t>应保证所供货物的先进性、可靠性、经济性和实用性，并为全新货物（或设备）,并具有该货物所有功能的永久使用权。</w:t>
      </w:r>
    </w:p>
    <w:p w14:paraId="6D41A2E6">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1.4 </w:t>
      </w:r>
      <w:r>
        <w:rPr>
          <w:rFonts w:hint="eastAsia" w:ascii="仿宋" w:hAnsi="仿宋" w:eastAsia="仿宋" w:cs="仿宋"/>
          <w:lang w:eastAsia="zh-CN"/>
        </w:rPr>
        <w:t>卖方</w:t>
      </w:r>
      <w:r>
        <w:rPr>
          <w:rFonts w:hint="eastAsia" w:ascii="仿宋" w:hAnsi="仿宋" w:eastAsia="仿宋" w:cs="仿宋"/>
        </w:rPr>
        <w:t>应满足</w:t>
      </w:r>
      <w:r>
        <w:rPr>
          <w:rFonts w:hint="eastAsia" w:ascii="仿宋" w:hAnsi="仿宋" w:eastAsia="仿宋" w:cs="仿宋"/>
          <w:lang w:eastAsia="zh-CN"/>
        </w:rPr>
        <w:t>买方</w:t>
      </w:r>
      <w:r>
        <w:rPr>
          <w:rFonts w:hint="eastAsia" w:ascii="仿宋" w:hAnsi="仿宋" w:eastAsia="仿宋" w:cs="仿宋"/>
        </w:rPr>
        <w:t>提出的各项技术要求，必要时应当免费提供技术承诺或担保。</w:t>
      </w:r>
    </w:p>
    <w:p w14:paraId="1D127027">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1.5 </w:t>
      </w:r>
      <w:r>
        <w:rPr>
          <w:rFonts w:hint="eastAsia" w:ascii="仿宋" w:hAnsi="仿宋" w:eastAsia="仿宋" w:cs="仿宋"/>
          <w:lang w:eastAsia="zh-CN"/>
        </w:rPr>
        <w:t>卖方</w:t>
      </w:r>
      <w:r>
        <w:rPr>
          <w:rFonts w:hint="eastAsia" w:ascii="仿宋" w:hAnsi="仿宋" w:eastAsia="仿宋" w:cs="仿宋"/>
        </w:rPr>
        <w:t>应保证所供货物必须符合当前国家或地方最新安全、环保、职业健康最新法律、法规及《机械制造企业安全生产标准化》各项要求。确保货物在使用管理过程中满足《职业健康安全管理体系》、《环境管理体系》等方面的国家标准、规范及地方规章要求</w:t>
      </w:r>
      <w:r>
        <w:rPr>
          <w:rFonts w:hint="eastAsia" w:ascii="仿宋" w:hAnsi="仿宋" w:eastAsia="仿宋" w:cs="仿宋"/>
          <w:color w:val="0000FF"/>
        </w:rPr>
        <w:t>。</w:t>
      </w:r>
    </w:p>
    <w:p w14:paraId="22D6B4AC">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1.6 </w:t>
      </w:r>
      <w:r>
        <w:rPr>
          <w:rFonts w:hint="eastAsia" w:ascii="仿宋" w:hAnsi="仿宋" w:eastAsia="仿宋" w:cs="仿宋"/>
          <w:lang w:eastAsia="zh-CN"/>
        </w:rPr>
        <w:t>卖方</w:t>
      </w:r>
      <w:r>
        <w:rPr>
          <w:rFonts w:hint="eastAsia" w:ascii="仿宋" w:hAnsi="仿宋" w:eastAsia="仿宋" w:cs="仿宋"/>
        </w:rPr>
        <w:t>应保证所供货物为中国公布的非淘汰货物，并为中国指定或规定的主管部门认可的环保型和节能型货物。招标的中标货物不接受试验品（提供证据），还应是原产地的货物。</w:t>
      </w:r>
    </w:p>
    <w:p w14:paraId="61CFC80A">
      <w:pPr>
        <w:pStyle w:val="27"/>
        <w:snapToGrid w:val="0"/>
        <w:spacing w:line="360" w:lineRule="auto"/>
        <w:ind w:firstLine="480" w:firstLineChars="200"/>
        <w:rPr>
          <w:rFonts w:ascii="仿宋" w:hAnsi="仿宋" w:eastAsia="仿宋" w:cs="仿宋"/>
        </w:rPr>
      </w:pPr>
      <w:r>
        <w:rPr>
          <w:rFonts w:hint="eastAsia" w:ascii="仿宋" w:hAnsi="仿宋" w:eastAsia="仿宋" w:cs="仿宋"/>
        </w:rPr>
        <w:t xml:space="preserve">1.7 </w:t>
      </w:r>
      <w:r>
        <w:rPr>
          <w:rFonts w:hint="eastAsia" w:ascii="仿宋" w:hAnsi="仿宋" w:eastAsia="仿宋" w:cs="仿宋"/>
          <w:lang w:eastAsia="zh-CN"/>
        </w:rPr>
        <w:t>卖方</w:t>
      </w:r>
      <w:r>
        <w:rPr>
          <w:rFonts w:hint="eastAsia" w:ascii="仿宋" w:hAnsi="仿宋" w:eastAsia="仿宋" w:cs="仿宋"/>
        </w:rPr>
        <w:t>应保证所供货物的完整性和成套性，能保证货物的正常运行、使用。</w:t>
      </w:r>
    </w:p>
    <w:p w14:paraId="57EE1825">
      <w:pPr>
        <w:pStyle w:val="27"/>
        <w:snapToGrid w:val="0"/>
        <w:spacing w:line="360" w:lineRule="auto"/>
        <w:ind w:firstLine="480" w:firstLineChars="200"/>
        <w:rPr>
          <w:rFonts w:ascii="仿宋" w:hAnsi="仿宋" w:eastAsia="仿宋" w:cs="仿宋"/>
        </w:rPr>
      </w:pPr>
      <w:r>
        <w:rPr>
          <w:rFonts w:hint="eastAsia" w:ascii="仿宋" w:hAnsi="仿宋" w:eastAsia="仿宋" w:cs="仿宋"/>
        </w:rPr>
        <w:t>1.8</w:t>
      </w:r>
      <w:r>
        <w:rPr>
          <w:rFonts w:hint="eastAsia" w:ascii="仿宋" w:hAnsi="仿宋" w:eastAsia="仿宋" w:cs="仿宋"/>
          <w:lang w:eastAsia="zh-CN"/>
        </w:rPr>
        <w:t>卖方</w:t>
      </w:r>
      <w:r>
        <w:rPr>
          <w:rFonts w:hint="eastAsia" w:ascii="仿宋" w:hAnsi="仿宋" w:eastAsia="仿宋" w:cs="仿宋"/>
        </w:rPr>
        <w:t>应对</w:t>
      </w:r>
      <w:r>
        <w:rPr>
          <w:rFonts w:hint="eastAsia" w:ascii="仿宋" w:hAnsi="仿宋" w:eastAsia="仿宋" w:cs="仿宋"/>
          <w:lang w:eastAsia="zh-CN"/>
        </w:rPr>
        <w:t>买方</w:t>
      </w:r>
      <w:r>
        <w:rPr>
          <w:rFonts w:hint="eastAsia" w:ascii="仿宋" w:hAnsi="仿宋" w:eastAsia="仿宋" w:cs="仿宋"/>
        </w:rPr>
        <w:t>采购的货物所涉及的技术、产能等信息负有保密义务，特殊项目应当无条件签署保密协议。</w:t>
      </w:r>
    </w:p>
    <w:p w14:paraId="69E56398">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rPr>
        <w:t>★1.9</w:t>
      </w:r>
      <w:r>
        <w:rPr>
          <w:rFonts w:hint="eastAsia" w:ascii="仿宋" w:hAnsi="仿宋" w:eastAsia="仿宋" w:cs="仿宋"/>
          <w:lang w:eastAsia="zh-CN"/>
        </w:rPr>
        <w:t>卖方</w:t>
      </w:r>
      <w:r>
        <w:rPr>
          <w:rFonts w:hint="eastAsia" w:ascii="仿宋" w:hAnsi="仿宋" w:eastAsia="仿宋" w:cs="仿宋"/>
        </w:rPr>
        <w:t>所供设备应按“</w:t>
      </w:r>
      <w:r>
        <w:rPr>
          <w:rFonts w:hint="eastAsia" w:ascii="仿宋" w:hAnsi="仿宋" w:eastAsia="仿宋" w:cs="仿宋"/>
          <w:highlight w:val="yellow"/>
        </w:rPr>
        <w:t>交钥匙工程</w:t>
      </w:r>
      <w:r>
        <w:rPr>
          <w:rFonts w:hint="eastAsia" w:ascii="仿宋" w:hAnsi="仿宋" w:eastAsia="仿宋" w:cs="仿宋"/>
        </w:rPr>
        <w:t>”要求。</w:t>
      </w:r>
    </w:p>
    <w:p w14:paraId="43906223">
      <w:pPr>
        <w:snapToGrid w:val="0"/>
        <w:spacing w:line="360" w:lineRule="auto"/>
        <w:ind w:firstLine="422" w:firstLineChars="200"/>
        <w:outlineLvl w:val="1"/>
        <w:rPr>
          <w:rFonts w:hint="eastAsia" w:ascii="仿宋" w:hAnsi="仿宋" w:eastAsia="仿宋" w:cs="仿宋"/>
          <w:b/>
          <w:bCs/>
        </w:rPr>
      </w:pPr>
      <w:r>
        <w:rPr>
          <w:rFonts w:hint="eastAsia" w:ascii="仿宋" w:hAnsi="仿宋" w:eastAsia="仿宋" w:cs="仿宋"/>
          <w:b/>
          <w:bCs/>
          <w:lang w:val="en-US" w:eastAsia="zh-CN"/>
        </w:rPr>
        <w:t>2</w:t>
      </w:r>
      <w:r>
        <w:rPr>
          <w:rFonts w:hint="eastAsia" w:ascii="仿宋" w:hAnsi="仿宋" w:eastAsia="仿宋" w:cs="仿宋"/>
          <w:b/>
          <w:bCs/>
        </w:rPr>
        <w:t>特别提示</w:t>
      </w:r>
    </w:p>
    <w:p w14:paraId="7ED41E83">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2.1</w:t>
      </w:r>
      <w:r>
        <w:rPr>
          <w:rFonts w:hint="eastAsia" w:ascii="仿宋" w:hAnsi="仿宋" w:eastAsia="仿宋" w:cs="仿宋"/>
        </w:rPr>
        <w:t>本章技术要求，仅对功能、设计、结构、性能、安装和试验检验等方面，提出了最低和一般性的技术要求，并未对一切技术细节作出规定。</w:t>
      </w:r>
    </w:p>
    <w:p w14:paraId="1C3F5856">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rPr>
        <w:t>2.</w:t>
      </w:r>
      <w:r>
        <w:rPr>
          <w:rFonts w:hint="eastAsia" w:ascii="仿宋" w:hAnsi="仿宋" w:eastAsia="仿宋" w:cs="仿宋"/>
          <w:lang w:val="en-US" w:eastAsia="zh-CN"/>
        </w:rPr>
        <w:t>2</w:t>
      </w:r>
      <w:r>
        <w:rPr>
          <w:rFonts w:hint="eastAsia" w:ascii="仿宋" w:hAnsi="仿宋" w:eastAsia="仿宋" w:cs="仿宋"/>
        </w:rPr>
        <w:t>本技术要求所使用的标准、规范等，如与投标人所执行的标准、规范不一致时，应按高于本技术要求所列的标准、规范执行。</w:t>
      </w:r>
    </w:p>
    <w:p w14:paraId="2FD87B09">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2.3</w:t>
      </w:r>
      <w:r>
        <w:rPr>
          <w:rFonts w:hint="eastAsia" w:ascii="仿宋" w:hAnsi="仿宋" w:eastAsia="仿宋" w:cs="仿宋"/>
        </w:rPr>
        <w:t>投标人认为所供货物必需由招标人配备、解决或提供的其它要求，如设备基础隔振和减振设施、软化水、洁净气源等，均应在投标文件“技术偏离”中予以充分说明。</w:t>
      </w:r>
    </w:p>
    <w:p w14:paraId="1ED01355">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2.4</w:t>
      </w:r>
      <w:r>
        <w:rPr>
          <w:rFonts w:hint="eastAsia" w:ascii="仿宋" w:hAnsi="仿宋" w:eastAsia="仿宋" w:cs="仿宋"/>
        </w:rPr>
        <w:t>投标人应根据招投标货物具体要求，提出对厂房、设备基础（或安装平台）、公用设施、消防、环保等超出招标文件、投标文件、答疑文件、技术交流文件、技术协议书和合同等规定的、有特殊需要的解释、说明和要求。</w:t>
      </w:r>
    </w:p>
    <w:p w14:paraId="71C33412">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2.5</w:t>
      </w:r>
      <w:r>
        <w:rPr>
          <w:rFonts w:hint="eastAsia" w:ascii="仿宋" w:hAnsi="仿宋" w:eastAsia="仿宋" w:cs="仿宋"/>
        </w:rPr>
        <w:t>无论是否有技术偏离，投标人均应在投标文件“技术偏离”中明确作出有无说明。若有异议，不管是多么微小，投标人必须予以明确和详细的说明或澄清。</w:t>
      </w:r>
    </w:p>
    <w:p w14:paraId="4025E5A7">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2.6</w:t>
      </w:r>
      <w:r>
        <w:rPr>
          <w:rFonts w:hint="eastAsia" w:ascii="仿宋" w:hAnsi="仿宋" w:eastAsia="仿宋" w:cs="仿宋"/>
        </w:rPr>
        <w:t>为避免投标人优势在招标评审时漏项，质保期超出本技术标书要求的，应当在投标文件“技术偏离”中特别注明。</w:t>
      </w:r>
    </w:p>
    <w:p w14:paraId="684FAD1F">
      <w:pPr>
        <w:pStyle w:val="27"/>
        <w:snapToGrid w:val="0"/>
        <w:spacing w:line="360" w:lineRule="auto"/>
        <w:ind w:firstLine="480" w:firstLineChars="200"/>
        <w:rPr>
          <w:rFonts w:hint="eastAsia" w:ascii="仿宋" w:hAnsi="仿宋" w:eastAsia="仿宋" w:cs="仿宋"/>
        </w:rPr>
      </w:pPr>
      <w:r>
        <w:rPr>
          <w:rFonts w:hint="eastAsia" w:ascii="仿宋" w:hAnsi="仿宋" w:eastAsia="仿宋" w:cs="仿宋"/>
          <w:lang w:val="en-US" w:eastAsia="zh-CN"/>
        </w:rPr>
        <w:t>2.7</w:t>
      </w:r>
      <w:r>
        <w:rPr>
          <w:rFonts w:hint="eastAsia" w:ascii="仿宋" w:hAnsi="仿宋" w:eastAsia="仿宋" w:cs="仿宋"/>
        </w:rPr>
        <w:t>本技术标书内所有带★的项目为淘汰项，其中一项不能满足将导致淘汰；其他项为普通参数，3项（含3项）以上的普通参数负偏离将导致淘汰。</w:t>
      </w:r>
    </w:p>
    <w:p w14:paraId="485F296A">
      <w:pPr>
        <w:snapToGrid w:val="0"/>
        <w:spacing w:line="360" w:lineRule="auto"/>
        <w:outlineLvl w:val="1"/>
        <w:rPr>
          <w:rFonts w:ascii="仿宋" w:hAnsi="仿宋" w:eastAsia="仿宋" w:cs="仿宋"/>
          <w:b/>
          <w:bCs/>
        </w:rPr>
      </w:pPr>
      <w:bookmarkStart w:id="198" w:name="_Toc7189"/>
      <w:r>
        <w:rPr>
          <w:rFonts w:hint="eastAsia" w:ascii="仿宋" w:hAnsi="仿宋" w:eastAsia="仿宋" w:cs="仿宋"/>
          <w:b/>
          <w:bCs/>
          <w:lang w:val="en-US" w:eastAsia="zh-CN"/>
        </w:rPr>
        <w:t>3</w:t>
      </w:r>
      <w:r>
        <w:rPr>
          <w:rFonts w:hint="eastAsia" w:ascii="仿宋" w:hAnsi="仿宋" w:eastAsia="仿宋" w:cs="仿宋"/>
          <w:b/>
          <w:bCs/>
        </w:rPr>
        <w:t>具体技术要求</w:t>
      </w:r>
      <w:bookmarkEnd w:id="198"/>
    </w:p>
    <w:p w14:paraId="13A1291F">
      <w:pPr>
        <w:spacing w:line="360" w:lineRule="auto"/>
        <w:ind w:firstLine="420" w:firstLineChars="200"/>
        <w:jc w:val="left"/>
        <w:rPr>
          <w:rFonts w:ascii="仿宋" w:hAnsi="仿宋" w:eastAsia="仿宋" w:cs="仿宋"/>
        </w:rPr>
      </w:pPr>
      <w:r>
        <w:rPr>
          <w:rFonts w:hint="eastAsia" w:ascii="仿宋" w:hAnsi="仿宋" w:eastAsia="仿宋" w:cs="仿宋"/>
        </w:rPr>
        <w:t>招标文件中所列技术要求为基本功能需求，是投标必要条件；所有技术要求皆为说明招标项目的技术标准和要求，法律含义为“参照或相当于”。其它条款若未响应或不满足，将根据招标文件要求减分。即便未被及时发现而使该投标人中标或者已经签订合同，一旦在任何时间被发现存在上述情形，则招标人均有权随时视情形决定是否取消该投标人的此前评议结果，或随时视情形决定是否对该投标予以拒绝，并有权决定采取相应的补救或纠正措施。一旦该投标人被拒绝或被取消该投标人的此前评议结果，其现有的位置将被其他投标人依序替代，相关的一切损失均由该投标人承担。</w:t>
      </w:r>
    </w:p>
    <w:p w14:paraId="02A179C9">
      <w:pPr>
        <w:spacing w:line="480" w:lineRule="exact"/>
        <w:ind w:firstLine="422" w:firstLineChars="200"/>
        <w:rPr>
          <w:rFonts w:ascii="仿宋" w:hAnsi="仿宋" w:eastAsia="仿宋"/>
          <w:b/>
          <w:bCs/>
        </w:rPr>
      </w:pPr>
      <w:r>
        <w:rPr>
          <w:rFonts w:hint="eastAsia" w:ascii="仿宋" w:hAnsi="仿宋" w:eastAsia="仿宋"/>
          <w:b/>
          <w:bCs/>
        </w:rPr>
        <w:t>项目包括以下内容：</w:t>
      </w:r>
    </w:p>
    <w:p w14:paraId="3822EFDB">
      <w:pPr>
        <w:spacing w:line="480" w:lineRule="exact"/>
        <w:ind w:firstLine="420" w:firstLineChars="200"/>
        <w:rPr>
          <w:rFonts w:ascii="仿宋" w:hAnsi="仿宋" w:eastAsia="仿宋"/>
          <w:bCs/>
          <w:color w:val="000000"/>
        </w:rPr>
      </w:pPr>
      <w:r>
        <w:rPr>
          <w:rFonts w:hint="eastAsia" w:ascii="仿宋" w:hAnsi="仿宋" w:eastAsia="仿宋"/>
          <w:bCs/>
          <w:color w:val="000000"/>
        </w:rPr>
        <w:t>适应于</w:t>
      </w:r>
      <w:r>
        <w:rPr>
          <w:rFonts w:hint="eastAsia" w:ascii="仿宋_GB2312" w:hAnsi="仿宋_GB2312" w:eastAsia="仿宋_GB2312" w:cs="仿宋_GB2312"/>
          <w:sz w:val="24"/>
          <w:szCs w:val="24"/>
          <w:u w:val="single" w:color="auto"/>
          <w:lang w:val="en-US" w:eastAsia="zh-CN"/>
        </w:rPr>
        <w:t>UPS主机及蓄电池</w:t>
      </w:r>
      <w:r>
        <w:rPr>
          <w:rFonts w:hint="eastAsia" w:ascii="仿宋" w:hAnsi="仿宋" w:eastAsia="仿宋"/>
          <w:bCs/>
          <w:color w:val="000000"/>
        </w:rPr>
        <w:t>适用性要求。</w:t>
      </w:r>
    </w:p>
    <w:p w14:paraId="3840618A">
      <w:pPr>
        <w:spacing w:line="480" w:lineRule="exact"/>
        <w:ind w:firstLine="420" w:firstLineChars="200"/>
        <w:rPr>
          <w:rFonts w:hint="eastAsia" w:ascii="仿宋" w:hAnsi="仿宋" w:eastAsia="仿宋"/>
          <w:bCs/>
          <w:highlight w:val="yellow"/>
        </w:rPr>
      </w:pPr>
      <w:r>
        <w:rPr>
          <w:rFonts w:hint="eastAsia" w:ascii="仿宋" w:hAnsi="仿宋" w:eastAsia="仿宋"/>
          <w:bCs/>
          <w:highlight w:val="yellow"/>
          <w:lang w:val="en-US" w:eastAsia="zh-CN"/>
        </w:rPr>
        <w:t>3</w:t>
      </w:r>
      <w:r>
        <w:rPr>
          <w:rFonts w:hint="eastAsia" w:ascii="仿宋" w:hAnsi="仿宋" w:eastAsia="仿宋"/>
          <w:bCs/>
          <w:highlight w:val="yellow"/>
        </w:rPr>
        <w:t>.1功能用途：</w:t>
      </w:r>
    </w:p>
    <w:p w14:paraId="1C187849">
      <w:pPr>
        <w:spacing w:line="480" w:lineRule="exact"/>
        <w:ind w:firstLine="480" w:firstLineChars="200"/>
      </w:pPr>
      <w:r>
        <w:rPr>
          <w:rFonts w:hint="eastAsia" w:ascii="仿宋_GB2312" w:hAnsi="仿宋_GB2312" w:eastAsia="仿宋_GB2312" w:cs="仿宋_GB2312"/>
          <w:snapToGrid w:val="0"/>
          <w:color w:val="000000"/>
          <w:kern w:val="0"/>
          <w:sz w:val="24"/>
          <w:szCs w:val="24"/>
          <w:lang w:val="en-US" w:eastAsia="zh-CN" w:bidi="ar"/>
        </w:rPr>
        <w:t>本次采购设备为1台UPS主机、40块蓄电池及安装辅材</w:t>
      </w:r>
      <w:r>
        <w:rPr>
          <w:rFonts w:hint="eastAsia" w:ascii="仿宋" w:hAnsi="仿宋" w:eastAsia="仿宋"/>
          <w:bCs/>
          <w:color w:val="000000"/>
          <w:lang w:val="en-US" w:eastAsia="zh-CN"/>
        </w:rPr>
        <w:t>。</w:t>
      </w:r>
    </w:p>
    <w:p w14:paraId="680E6649">
      <w:pPr>
        <w:spacing w:line="480" w:lineRule="exact"/>
        <w:ind w:firstLine="420" w:firstLineChars="200"/>
        <w:rPr>
          <w:rFonts w:ascii="仿宋" w:hAnsi="仿宋" w:eastAsia="仿宋"/>
          <w:bCs/>
        </w:rPr>
      </w:pPr>
      <w:r>
        <w:rPr>
          <w:rFonts w:hint="eastAsia" w:ascii="仿宋" w:hAnsi="仿宋" w:eastAsia="仿宋"/>
          <w:bCs/>
          <w:lang w:val="en-US" w:eastAsia="zh-CN"/>
        </w:rPr>
        <w:t>3</w:t>
      </w:r>
      <w:r>
        <w:rPr>
          <w:rFonts w:hint="eastAsia" w:ascii="仿宋" w:hAnsi="仿宋" w:eastAsia="仿宋"/>
          <w:bCs/>
        </w:rPr>
        <w:t>.2设备参数要求：</w:t>
      </w:r>
    </w:p>
    <w:tbl>
      <w:tblPr>
        <w:tblStyle w:val="48"/>
        <w:tblW w:w="0" w:type="auto"/>
        <w:jc w:val="center"/>
        <w:tblLayout w:type="autofit"/>
        <w:tblCellMar>
          <w:top w:w="0" w:type="dxa"/>
          <w:left w:w="108" w:type="dxa"/>
          <w:bottom w:w="0" w:type="dxa"/>
          <w:right w:w="108" w:type="dxa"/>
        </w:tblCellMar>
      </w:tblPr>
      <w:tblGrid>
        <w:gridCol w:w="756"/>
        <w:gridCol w:w="1235"/>
        <w:gridCol w:w="4303"/>
        <w:gridCol w:w="809"/>
        <w:gridCol w:w="1425"/>
      </w:tblGrid>
      <w:tr w14:paraId="4F59073C">
        <w:tblPrEx>
          <w:tblCellMar>
            <w:top w:w="0" w:type="dxa"/>
            <w:left w:w="108" w:type="dxa"/>
            <w:bottom w:w="0" w:type="dxa"/>
            <w:right w:w="108" w:type="dxa"/>
          </w:tblCellMar>
        </w:tblPrEx>
        <w:trPr>
          <w:trHeight w:val="355"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099055AA">
            <w:pPr>
              <w:widowControl/>
              <w:jc w:val="center"/>
              <w:rPr>
                <w:rFonts w:hint="eastAsia" w:ascii="仿宋" w:hAnsi="仿宋" w:eastAsia="仿宋" w:cs="仿宋"/>
                <w:b/>
                <w:bCs/>
                <w:kern w:val="0"/>
                <w:sz w:val="21"/>
                <w:szCs w:val="21"/>
                <w:highlight w:val="yellow"/>
              </w:rPr>
            </w:pPr>
            <w:bookmarkStart w:id="199" w:name="_Toc26601"/>
            <w:bookmarkStart w:id="200" w:name="_Toc1171"/>
            <w:bookmarkStart w:id="201" w:name="_Toc22710"/>
            <w:bookmarkStart w:id="202" w:name="_Toc19812"/>
            <w:bookmarkStart w:id="203" w:name="_Toc28398"/>
            <w:bookmarkStart w:id="204" w:name="_Toc24173"/>
            <w:bookmarkStart w:id="205" w:name="_Toc22347"/>
            <w:bookmarkStart w:id="206" w:name="_Toc19081"/>
            <w:bookmarkStart w:id="207" w:name="_Toc19022"/>
            <w:bookmarkStart w:id="208" w:name="_Toc32382"/>
            <w:bookmarkStart w:id="209" w:name="_Toc28745"/>
            <w:bookmarkStart w:id="210" w:name="_Toc14583"/>
            <w:bookmarkStart w:id="211" w:name="_Toc30892"/>
            <w:bookmarkStart w:id="212" w:name="_Toc1909"/>
            <w:bookmarkStart w:id="213" w:name="_Toc22662"/>
            <w:bookmarkStart w:id="214" w:name="_Toc22156"/>
            <w:bookmarkStart w:id="215" w:name="_Toc25915"/>
            <w:bookmarkStart w:id="216" w:name="_Toc13526"/>
            <w:bookmarkStart w:id="217" w:name="_Toc26551"/>
            <w:bookmarkStart w:id="218" w:name="_Toc6352"/>
            <w:bookmarkStart w:id="219" w:name="_Toc31816"/>
            <w:bookmarkStart w:id="220" w:name="_Toc20260"/>
            <w:bookmarkStart w:id="221" w:name="_Toc17909"/>
            <w:bookmarkStart w:id="222" w:name="_Toc10828"/>
            <w:bookmarkStart w:id="223" w:name="_Toc16352"/>
            <w:bookmarkStart w:id="224" w:name="_Toc3808"/>
            <w:bookmarkStart w:id="225" w:name="_Toc16317"/>
            <w:bookmarkStart w:id="226" w:name="_Toc20329"/>
            <w:bookmarkStart w:id="227" w:name="_Toc16316"/>
            <w:bookmarkStart w:id="228" w:name="_Toc22516"/>
            <w:bookmarkStart w:id="229" w:name="_Toc7258"/>
            <w:bookmarkStart w:id="230" w:name="_Toc11725"/>
            <w:bookmarkStart w:id="231" w:name="_Toc19805"/>
            <w:bookmarkStart w:id="232" w:name="_Toc27327"/>
            <w:bookmarkStart w:id="233" w:name="_Toc8892"/>
            <w:bookmarkStart w:id="234" w:name="_Toc21086"/>
            <w:bookmarkStart w:id="235" w:name="_Toc11390"/>
            <w:bookmarkStart w:id="236" w:name="_Toc133783970"/>
            <w:bookmarkStart w:id="237" w:name="_Toc1962"/>
            <w:bookmarkStart w:id="238" w:name="_Toc29006"/>
            <w:bookmarkStart w:id="239" w:name="_Toc20994"/>
            <w:bookmarkStart w:id="240" w:name="_Toc20841"/>
            <w:bookmarkStart w:id="241" w:name="_Toc4641"/>
            <w:r>
              <w:rPr>
                <w:rFonts w:hint="eastAsia" w:ascii="仿宋" w:hAnsi="仿宋" w:eastAsia="仿宋" w:cs="仿宋"/>
                <w:b/>
                <w:bCs/>
                <w:kern w:val="0"/>
                <w:sz w:val="21"/>
                <w:szCs w:val="21"/>
                <w:highlight w:val="yellow"/>
              </w:rPr>
              <w:t>序号</w:t>
            </w:r>
          </w:p>
        </w:tc>
        <w:tc>
          <w:tcPr>
            <w:tcW w:w="1235" w:type="dxa"/>
            <w:tcBorders>
              <w:top w:val="single" w:color="auto" w:sz="4" w:space="0"/>
              <w:left w:val="nil"/>
              <w:bottom w:val="single" w:color="auto" w:sz="4" w:space="0"/>
              <w:right w:val="single" w:color="auto" w:sz="4" w:space="0"/>
            </w:tcBorders>
            <w:noWrap w:val="0"/>
            <w:vAlign w:val="center"/>
          </w:tcPr>
          <w:p w14:paraId="7AFF8BA9">
            <w:pPr>
              <w:widowControl/>
              <w:jc w:val="center"/>
              <w:rPr>
                <w:rFonts w:hint="eastAsia" w:ascii="仿宋" w:hAnsi="仿宋" w:eastAsia="仿宋" w:cs="仿宋"/>
                <w:b/>
                <w:bCs/>
                <w:kern w:val="0"/>
                <w:sz w:val="21"/>
                <w:szCs w:val="21"/>
                <w:highlight w:val="yellow"/>
              </w:rPr>
            </w:pPr>
            <w:r>
              <w:rPr>
                <w:rFonts w:hint="eastAsia" w:ascii="仿宋" w:hAnsi="仿宋" w:eastAsia="仿宋" w:cs="仿宋"/>
                <w:b/>
                <w:bCs/>
                <w:kern w:val="0"/>
                <w:sz w:val="21"/>
                <w:szCs w:val="21"/>
                <w:highlight w:val="yellow"/>
              </w:rPr>
              <w:t>产品名称</w:t>
            </w:r>
          </w:p>
        </w:tc>
        <w:tc>
          <w:tcPr>
            <w:tcW w:w="4303" w:type="dxa"/>
            <w:tcBorders>
              <w:top w:val="single" w:color="auto" w:sz="4" w:space="0"/>
              <w:left w:val="nil"/>
              <w:bottom w:val="single" w:color="auto" w:sz="4" w:space="0"/>
              <w:right w:val="single" w:color="auto" w:sz="4" w:space="0"/>
            </w:tcBorders>
            <w:noWrap w:val="0"/>
            <w:vAlign w:val="center"/>
          </w:tcPr>
          <w:p w14:paraId="4AAA1D1B">
            <w:pPr>
              <w:widowControl/>
              <w:jc w:val="center"/>
              <w:rPr>
                <w:rFonts w:hint="eastAsia" w:ascii="仿宋" w:hAnsi="仿宋" w:eastAsia="仿宋" w:cs="仿宋"/>
                <w:b/>
                <w:bCs/>
                <w:kern w:val="0"/>
                <w:sz w:val="21"/>
                <w:szCs w:val="21"/>
                <w:highlight w:val="yellow"/>
              </w:rPr>
            </w:pPr>
            <w:r>
              <w:rPr>
                <w:rFonts w:hint="eastAsia" w:ascii="仿宋" w:hAnsi="仿宋" w:eastAsia="仿宋" w:cs="仿宋"/>
                <w:b/>
                <w:bCs/>
                <w:kern w:val="0"/>
                <w:sz w:val="21"/>
                <w:szCs w:val="21"/>
                <w:highlight w:val="yellow"/>
              </w:rPr>
              <w:t>参数要求</w:t>
            </w:r>
          </w:p>
        </w:tc>
        <w:tc>
          <w:tcPr>
            <w:tcW w:w="809" w:type="dxa"/>
            <w:tcBorders>
              <w:top w:val="single" w:color="auto" w:sz="4" w:space="0"/>
              <w:left w:val="nil"/>
              <w:bottom w:val="single" w:color="auto" w:sz="4" w:space="0"/>
              <w:right w:val="single" w:color="auto" w:sz="4" w:space="0"/>
            </w:tcBorders>
            <w:noWrap w:val="0"/>
            <w:vAlign w:val="center"/>
          </w:tcPr>
          <w:p w14:paraId="74699372">
            <w:pPr>
              <w:widowControl/>
              <w:jc w:val="center"/>
              <w:rPr>
                <w:rFonts w:hint="eastAsia" w:ascii="仿宋" w:hAnsi="仿宋" w:eastAsia="仿宋" w:cs="仿宋"/>
                <w:b/>
                <w:bCs/>
                <w:kern w:val="0"/>
                <w:sz w:val="21"/>
                <w:szCs w:val="21"/>
                <w:highlight w:val="yellow"/>
              </w:rPr>
            </w:pPr>
            <w:r>
              <w:rPr>
                <w:rFonts w:hint="eastAsia" w:ascii="仿宋" w:hAnsi="仿宋" w:eastAsia="仿宋" w:cs="仿宋"/>
                <w:b/>
                <w:bCs/>
                <w:kern w:val="0"/>
                <w:sz w:val="21"/>
                <w:szCs w:val="21"/>
                <w:highlight w:val="yellow"/>
              </w:rPr>
              <w:t>数量</w:t>
            </w:r>
          </w:p>
        </w:tc>
        <w:tc>
          <w:tcPr>
            <w:tcW w:w="1425" w:type="dxa"/>
            <w:tcBorders>
              <w:top w:val="single" w:color="auto" w:sz="4" w:space="0"/>
              <w:left w:val="nil"/>
              <w:bottom w:val="single" w:color="auto" w:sz="4" w:space="0"/>
              <w:right w:val="single" w:color="auto" w:sz="4" w:space="0"/>
            </w:tcBorders>
            <w:noWrap w:val="0"/>
            <w:vAlign w:val="center"/>
          </w:tcPr>
          <w:p w14:paraId="272B8113">
            <w:pPr>
              <w:widowControl/>
              <w:jc w:val="center"/>
              <w:rPr>
                <w:rFonts w:hint="eastAsia" w:ascii="仿宋" w:hAnsi="仿宋" w:eastAsia="仿宋" w:cs="仿宋"/>
                <w:b/>
                <w:bCs/>
                <w:kern w:val="0"/>
                <w:sz w:val="21"/>
                <w:szCs w:val="21"/>
                <w:highlight w:val="yellow"/>
              </w:rPr>
            </w:pPr>
            <w:r>
              <w:rPr>
                <w:rFonts w:hint="eastAsia" w:ascii="仿宋" w:hAnsi="仿宋" w:eastAsia="仿宋" w:cs="仿宋"/>
                <w:b/>
                <w:bCs/>
                <w:kern w:val="0"/>
                <w:sz w:val="21"/>
                <w:szCs w:val="21"/>
                <w:highlight w:val="yellow"/>
              </w:rPr>
              <w:t>单位</w:t>
            </w:r>
          </w:p>
        </w:tc>
      </w:tr>
      <w:tr w14:paraId="7547BDC3">
        <w:tblPrEx>
          <w:tblCellMar>
            <w:top w:w="0" w:type="dxa"/>
            <w:left w:w="108" w:type="dxa"/>
            <w:bottom w:w="0" w:type="dxa"/>
            <w:right w:w="108" w:type="dxa"/>
          </w:tblCellMar>
        </w:tblPrEx>
        <w:trPr>
          <w:trHeight w:val="5238"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27619CC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w:t>
            </w:r>
          </w:p>
        </w:tc>
        <w:tc>
          <w:tcPr>
            <w:tcW w:w="1235" w:type="dxa"/>
            <w:tcBorders>
              <w:top w:val="single" w:color="auto" w:sz="4" w:space="0"/>
              <w:left w:val="nil"/>
              <w:bottom w:val="single" w:color="auto" w:sz="4" w:space="0"/>
              <w:right w:val="single" w:color="auto" w:sz="4" w:space="0"/>
            </w:tcBorders>
            <w:noWrap w:val="0"/>
            <w:vAlign w:val="center"/>
          </w:tcPr>
          <w:p w14:paraId="63E6ED3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snapToGrid w:val="0"/>
                <w:color w:val="000000"/>
                <w:kern w:val="0"/>
                <w:sz w:val="24"/>
                <w:szCs w:val="24"/>
                <w:lang w:val="en-US" w:eastAsia="zh-CN" w:bidi="ar"/>
              </w:rPr>
              <w:t>UPS主机</w:t>
            </w:r>
          </w:p>
        </w:tc>
        <w:tc>
          <w:tcPr>
            <w:tcW w:w="4303" w:type="dxa"/>
            <w:tcBorders>
              <w:top w:val="single" w:color="auto" w:sz="4" w:space="0"/>
              <w:left w:val="nil"/>
              <w:bottom w:val="single" w:color="auto" w:sz="4" w:space="0"/>
              <w:right w:val="single" w:color="auto" w:sz="4" w:space="0"/>
            </w:tcBorders>
            <w:noWrap w:val="0"/>
            <w:vAlign w:val="center"/>
          </w:tcPr>
          <w:p w14:paraId="73A1CB9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1、20KVA在线式UPS主机，塔式落地安装；</w:t>
            </w:r>
          </w:p>
          <w:p w14:paraId="7DCC3CC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2、供电制式：支持单进单出或三进单出；</w:t>
            </w:r>
          </w:p>
          <w:p w14:paraId="2680DB2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3、输入功率因数≥0.99，输出功率因数≥0.9；</w:t>
            </w:r>
          </w:p>
          <w:p w14:paraId="39F55A2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4、支持ECO节能运行模式，效率≥95；</w:t>
            </w:r>
          </w:p>
          <w:p w14:paraId="7199F9E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5、电池：电池本身支持节数调节（可支持20节蓄电池）；</w:t>
            </w:r>
          </w:p>
          <w:p w14:paraId="3932B65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6、通信功能：RS232通讯口或其他；</w:t>
            </w:r>
          </w:p>
          <w:p w14:paraId="07EBE87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7、关键器件预告警功能；</w:t>
            </w:r>
          </w:p>
          <w:p w14:paraId="0496D46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8、UPS主机质保期≥三年，质保期内不再产生任何因产品品质故障的修复或更换费用。</w:t>
            </w:r>
          </w:p>
        </w:tc>
        <w:tc>
          <w:tcPr>
            <w:tcW w:w="809" w:type="dxa"/>
            <w:tcBorders>
              <w:top w:val="single" w:color="auto" w:sz="4" w:space="0"/>
              <w:left w:val="nil"/>
              <w:bottom w:val="single" w:color="auto" w:sz="4" w:space="0"/>
              <w:right w:val="single" w:color="auto" w:sz="4" w:space="0"/>
            </w:tcBorders>
            <w:noWrap w:val="0"/>
            <w:vAlign w:val="center"/>
          </w:tcPr>
          <w:p w14:paraId="6BEA822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1台</w:t>
            </w:r>
          </w:p>
        </w:tc>
        <w:tc>
          <w:tcPr>
            <w:tcW w:w="1425" w:type="dxa"/>
            <w:tcBorders>
              <w:top w:val="single" w:color="auto" w:sz="4" w:space="0"/>
              <w:left w:val="nil"/>
              <w:bottom w:val="single" w:color="auto" w:sz="4" w:space="0"/>
              <w:right w:val="single" w:color="auto" w:sz="4" w:space="0"/>
            </w:tcBorders>
            <w:noWrap w:val="0"/>
            <w:vAlign w:val="center"/>
          </w:tcPr>
          <w:p w14:paraId="69596E01">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5F189C47">
        <w:tblPrEx>
          <w:tblCellMar>
            <w:top w:w="0" w:type="dxa"/>
            <w:left w:w="108" w:type="dxa"/>
            <w:bottom w:w="0" w:type="dxa"/>
            <w:right w:w="108" w:type="dxa"/>
          </w:tblCellMar>
        </w:tblPrEx>
        <w:trPr>
          <w:trHeight w:val="3848"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79C7854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bookmarkStart w:id="242" w:name="_Toc30238"/>
            <w:r>
              <w:rPr>
                <w:rFonts w:hint="eastAsia" w:ascii="仿宋_GB2312" w:hAnsi="仿宋_GB2312" w:eastAsia="仿宋_GB2312" w:cs="仿宋_GB2312"/>
                <w:b w:val="0"/>
                <w:bCs/>
                <w:snapToGrid w:val="0"/>
                <w:color w:val="000000"/>
                <w:kern w:val="0"/>
                <w:sz w:val="24"/>
                <w:szCs w:val="24"/>
                <w:lang w:val="en-US" w:eastAsia="zh-CN" w:bidi="ar"/>
              </w:rPr>
              <w:t>2</w:t>
            </w:r>
          </w:p>
        </w:tc>
        <w:tc>
          <w:tcPr>
            <w:tcW w:w="1235" w:type="dxa"/>
            <w:tcBorders>
              <w:top w:val="single" w:color="auto" w:sz="4" w:space="0"/>
              <w:left w:val="nil"/>
              <w:bottom w:val="single" w:color="auto" w:sz="4" w:space="0"/>
              <w:right w:val="single" w:color="auto" w:sz="4" w:space="0"/>
            </w:tcBorders>
            <w:noWrap w:val="0"/>
            <w:vAlign w:val="center"/>
          </w:tcPr>
          <w:p w14:paraId="28FBDCF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snapToGrid w:val="0"/>
                <w:color w:val="000000"/>
                <w:kern w:val="0"/>
                <w:sz w:val="24"/>
                <w:szCs w:val="24"/>
                <w:lang w:val="en-US" w:eastAsia="zh-CN" w:bidi="ar"/>
              </w:rPr>
              <w:t>蓄电池</w:t>
            </w:r>
          </w:p>
        </w:tc>
        <w:tc>
          <w:tcPr>
            <w:tcW w:w="4303" w:type="dxa"/>
            <w:tcBorders>
              <w:top w:val="single" w:color="auto" w:sz="4" w:space="0"/>
              <w:left w:val="nil"/>
              <w:bottom w:val="single" w:color="auto" w:sz="4" w:space="0"/>
              <w:right w:val="single" w:color="auto" w:sz="4" w:space="0"/>
            </w:tcBorders>
            <w:noWrap w:val="0"/>
            <w:vAlign w:val="center"/>
          </w:tcPr>
          <w:p w14:paraId="32D4899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1、配置2组12V 100AH 蓄电池、每组20块；</w:t>
            </w:r>
          </w:p>
          <w:p w14:paraId="7E154C7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2、电池质保期≥三年，质保期内不再产生任何因产品品质故障的修复或更换费用；</w:t>
            </w:r>
          </w:p>
          <w:p w14:paraId="144A22D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3、电池各项产品及配件为原厂商生产的全新的正品并附含原厂商的相关服务，以及所有产品为出厂后未开封的原厂整机产品，并提供加盖生产厂家公章的授权书；</w:t>
            </w:r>
          </w:p>
          <w:p w14:paraId="7EE8A22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left"/>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4、蓄电池具备阻燃特性。</w:t>
            </w:r>
          </w:p>
        </w:tc>
        <w:tc>
          <w:tcPr>
            <w:tcW w:w="809" w:type="dxa"/>
            <w:tcBorders>
              <w:top w:val="single" w:color="auto" w:sz="4" w:space="0"/>
              <w:left w:val="nil"/>
              <w:bottom w:val="single" w:color="auto" w:sz="4" w:space="0"/>
              <w:right w:val="single" w:color="auto" w:sz="4" w:space="0"/>
            </w:tcBorders>
            <w:noWrap w:val="0"/>
            <w:vAlign w:val="center"/>
          </w:tcPr>
          <w:p w14:paraId="68A1AEE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40块</w:t>
            </w:r>
          </w:p>
        </w:tc>
        <w:tc>
          <w:tcPr>
            <w:tcW w:w="1425" w:type="dxa"/>
            <w:tcBorders>
              <w:top w:val="single" w:color="auto" w:sz="4" w:space="0"/>
              <w:left w:val="nil"/>
              <w:bottom w:val="single" w:color="auto" w:sz="4" w:space="0"/>
              <w:right w:val="single" w:color="auto" w:sz="4" w:space="0"/>
            </w:tcBorders>
            <w:noWrap w:val="0"/>
            <w:vAlign w:val="center"/>
          </w:tcPr>
          <w:p w14:paraId="2D64105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61DE8A06">
        <w:tblPrEx>
          <w:tblCellMar>
            <w:top w:w="0" w:type="dxa"/>
            <w:left w:w="108" w:type="dxa"/>
            <w:bottom w:w="0" w:type="dxa"/>
            <w:right w:w="108" w:type="dxa"/>
          </w:tblCellMar>
        </w:tblPrEx>
        <w:trPr>
          <w:trHeight w:val="740"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242C6B8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3</w:t>
            </w:r>
          </w:p>
        </w:tc>
        <w:tc>
          <w:tcPr>
            <w:tcW w:w="1235" w:type="dxa"/>
            <w:tcBorders>
              <w:top w:val="single" w:color="auto" w:sz="4" w:space="0"/>
              <w:left w:val="nil"/>
              <w:bottom w:val="single" w:color="auto" w:sz="4" w:space="0"/>
              <w:right w:val="single" w:color="auto" w:sz="4" w:space="0"/>
            </w:tcBorders>
            <w:noWrap w:val="0"/>
            <w:vAlign w:val="center"/>
          </w:tcPr>
          <w:p w14:paraId="76070D6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电池柜</w:t>
            </w:r>
          </w:p>
        </w:tc>
        <w:tc>
          <w:tcPr>
            <w:tcW w:w="4303" w:type="dxa"/>
            <w:tcBorders>
              <w:top w:val="single" w:color="auto" w:sz="4" w:space="0"/>
              <w:left w:val="nil"/>
              <w:bottom w:val="single" w:color="auto" w:sz="4" w:space="0"/>
              <w:right w:val="single" w:color="auto" w:sz="4" w:space="0"/>
            </w:tcBorders>
            <w:noWrap w:val="0"/>
            <w:vAlign w:val="center"/>
          </w:tcPr>
          <w:p w14:paraId="38D3474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每层五节，四层结构（包含德力西2P 125A 直流开关2个）</w:t>
            </w:r>
          </w:p>
        </w:tc>
        <w:tc>
          <w:tcPr>
            <w:tcW w:w="809" w:type="dxa"/>
            <w:tcBorders>
              <w:top w:val="single" w:color="auto" w:sz="4" w:space="0"/>
              <w:left w:val="nil"/>
              <w:bottom w:val="single" w:color="auto" w:sz="4" w:space="0"/>
              <w:right w:val="single" w:color="auto" w:sz="4" w:space="0"/>
            </w:tcBorders>
            <w:noWrap w:val="0"/>
            <w:vAlign w:val="center"/>
          </w:tcPr>
          <w:p w14:paraId="0493D834">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2组</w:t>
            </w:r>
          </w:p>
        </w:tc>
        <w:tc>
          <w:tcPr>
            <w:tcW w:w="1425" w:type="dxa"/>
            <w:tcBorders>
              <w:top w:val="single" w:color="auto" w:sz="4" w:space="0"/>
              <w:left w:val="nil"/>
              <w:bottom w:val="single" w:color="auto" w:sz="4" w:space="0"/>
              <w:right w:val="single" w:color="auto" w:sz="4" w:space="0"/>
            </w:tcBorders>
            <w:noWrap w:val="0"/>
            <w:vAlign w:val="center"/>
          </w:tcPr>
          <w:p w14:paraId="31EB6124">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0135EEFE">
        <w:tblPrEx>
          <w:tblCellMar>
            <w:top w:w="0" w:type="dxa"/>
            <w:left w:w="108" w:type="dxa"/>
            <w:bottom w:w="0" w:type="dxa"/>
            <w:right w:w="108" w:type="dxa"/>
          </w:tblCellMar>
        </w:tblPrEx>
        <w:trPr>
          <w:trHeight w:val="740"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6D4A5A1C">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4</w:t>
            </w:r>
          </w:p>
        </w:tc>
        <w:tc>
          <w:tcPr>
            <w:tcW w:w="1235" w:type="dxa"/>
            <w:tcBorders>
              <w:top w:val="single" w:color="auto" w:sz="4" w:space="0"/>
              <w:left w:val="nil"/>
              <w:bottom w:val="single" w:color="auto" w:sz="4" w:space="0"/>
              <w:right w:val="single" w:color="auto" w:sz="4" w:space="0"/>
            </w:tcBorders>
            <w:noWrap w:val="0"/>
            <w:vAlign w:val="center"/>
          </w:tcPr>
          <w:p w14:paraId="5EC4499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电池连接线</w:t>
            </w:r>
          </w:p>
        </w:tc>
        <w:tc>
          <w:tcPr>
            <w:tcW w:w="4303" w:type="dxa"/>
            <w:tcBorders>
              <w:top w:val="single" w:color="auto" w:sz="4" w:space="0"/>
              <w:left w:val="nil"/>
              <w:bottom w:val="single" w:color="auto" w:sz="4" w:space="0"/>
              <w:right w:val="single" w:color="auto" w:sz="4" w:space="0"/>
            </w:tcBorders>
            <w:noWrap w:val="0"/>
            <w:vAlign w:val="center"/>
          </w:tcPr>
          <w:p w14:paraId="221FE05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ZR-BVR-1*16</w:t>
            </w:r>
          </w:p>
        </w:tc>
        <w:tc>
          <w:tcPr>
            <w:tcW w:w="809" w:type="dxa"/>
            <w:tcBorders>
              <w:top w:val="single" w:color="auto" w:sz="4" w:space="0"/>
              <w:left w:val="nil"/>
              <w:bottom w:val="single" w:color="auto" w:sz="4" w:space="0"/>
              <w:right w:val="single" w:color="auto" w:sz="4" w:space="0"/>
            </w:tcBorders>
            <w:noWrap w:val="0"/>
            <w:vAlign w:val="center"/>
          </w:tcPr>
          <w:p w14:paraId="4768D74F">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2组</w:t>
            </w:r>
          </w:p>
        </w:tc>
        <w:tc>
          <w:tcPr>
            <w:tcW w:w="1425" w:type="dxa"/>
            <w:tcBorders>
              <w:top w:val="single" w:color="auto" w:sz="4" w:space="0"/>
              <w:left w:val="nil"/>
              <w:bottom w:val="single" w:color="auto" w:sz="4" w:space="0"/>
              <w:right w:val="single" w:color="auto" w:sz="4" w:space="0"/>
            </w:tcBorders>
            <w:noWrap w:val="0"/>
            <w:vAlign w:val="center"/>
          </w:tcPr>
          <w:p w14:paraId="63B79F76">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74C5A6DE">
        <w:tblPrEx>
          <w:tblCellMar>
            <w:top w:w="0" w:type="dxa"/>
            <w:left w:w="108" w:type="dxa"/>
            <w:bottom w:w="0" w:type="dxa"/>
            <w:right w:w="108" w:type="dxa"/>
          </w:tblCellMar>
        </w:tblPrEx>
        <w:trPr>
          <w:trHeight w:val="858"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25D24C6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w:t>
            </w:r>
          </w:p>
        </w:tc>
        <w:tc>
          <w:tcPr>
            <w:tcW w:w="1235" w:type="dxa"/>
            <w:tcBorders>
              <w:top w:val="single" w:color="auto" w:sz="4" w:space="0"/>
              <w:left w:val="nil"/>
              <w:bottom w:val="single" w:color="auto" w:sz="4" w:space="0"/>
              <w:right w:val="single" w:color="auto" w:sz="4" w:space="0"/>
            </w:tcBorders>
            <w:noWrap w:val="0"/>
            <w:vAlign w:val="center"/>
          </w:tcPr>
          <w:p w14:paraId="41DDE1E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输入线</w:t>
            </w:r>
          </w:p>
        </w:tc>
        <w:tc>
          <w:tcPr>
            <w:tcW w:w="4303" w:type="dxa"/>
            <w:tcBorders>
              <w:top w:val="single" w:color="auto" w:sz="4" w:space="0"/>
              <w:left w:val="nil"/>
              <w:bottom w:val="single" w:color="auto" w:sz="4" w:space="0"/>
              <w:right w:val="single" w:color="auto" w:sz="4" w:space="0"/>
            </w:tcBorders>
            <w:noWrap w:val="0"/>
            <w:vAlign w:val="center"/>
          </w:tcPr>
          <w:p w14:paraId="73D1865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cs="仿宋_GB2312"/>
                <w:kern w:val="2"/>
                <w:sz w:val="24"/>
                <w:szCs w:val="24"/>
                <w:lang w:val="en-US" w:eastAsia="zh-CN" w:bidi="ar-SA"/>
              </w:rPr>
            </w:pPr>
            <w:r>
              <w:rPr>
                <w:rFonts w:hint="eastAsia" w:ascii="仿宋_GB2312" w:hAnsi="仿宋_GB2312" w:cs="仿宋_GB2312"/>
                <w:kern w:val="2"/>
                <w:sz w:val="24"/>
                <w:szCs w:val="24"/>
                <w:lang w:val="en-US" w:eastAsia="zh-CN" w:bidi="ar-SA"/>
              </w:rPr>
              <w:t>ZR-YJV-4*25+1*16</w:t>
            </w:r>
          </w:p>
          <w:p w14:paraId="7FB4140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kern w:val="2"/>
                <w:sz w:val="24"/>
                <w:szCs w:val="24"/>
                <w:lang w:val="en-US" w:eastAsia="zh-CN" w:bidi="ar-SA"/>
              </w:rPr>
              <w:t>配电柜到UPS主机输入线</w:t>
            </w:r>
          </w:p>
        </w:tc>
        <w:tc>
          <w:tcPr>
            <w:tcW w:w="809" w:type="dxa"/>
            <w:tcBorders>
              <w:top w:val="single" w:color="auto" w:sz="4" w:space="0"/>
              <w:left w:val="nil"/>
              <w:bottom w:val="single" w:color="auto" w:sz="4" w:space="0"/>
              <w:right w:val="single" w:color="auto" w:sz="4" w:space="0"/>
            </w:tcBorders>
            <w:noWrap w:val="0"/>
            <w:vAlign w:val="center"/>
          </w:tcPr>
          <w:p w14:paraId="4B2F96D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5米</w:t>
            </w:r>
          </w:p>
        </w:tc>
        <w:tc>
          <w:tcPr>
            <w:tcW w:w="1425" w:type="dxa"/>
            <w:tcBorders>
              <w:top w:val="single" w:color="auto" w:sz="4" w:space="0"/>
              <w:left w:val="nil"/>
              <w:bottom w:val="single" w:color="auto" w:sz="4" w:space="0"/>
              <w:right w:val="single" w:color="auto" w:sz="4" w:space="0"/>
            </w:tcBorders>
            <w:noWrap w:val="0"/>
            <w:vAlign w:val="center"/>
          </w:tcPr>
          <w:p w14:paraId="339AF5F1">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2304067E">
        <w:tblPrEx>
          <w:tblCellMar>
            <w:top w:w="0" w:type="dxa"/>
            <w:left w:w="108" w:type="dxa"/>
            <w:bottom w:w="0" w:type="dxa"/>
            <w:right w:w="108" w:type="dxa"/>
          </w:tblCellMar>
        </w:tblPrEx>
        <w:trPr>
          <w:trHeight w:val="1164"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6D261798">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w:t>
            </w:r>
          </w:p>
        </w:tc>
        <w:tc>
          <w:tcPr>
            <w:tcW w:w="1235" w:type="dxa"/>
            <w:tcBorders>
              <w:top w:val="single" w:color="auto" w:sz="4" w:space="0"/>
              <w:left w:val="nil"/>
              <w:bottom w:val="single" w:color="auto" w:sz="4" w:space="0"/>
              <w:right w:val="single" w:color="auto" w:sz="4" w:space="0"/>
            </w:tcBorders>
            <w:noWrap w:val="0"/>
            <w:vAlign w:val="center"/>
          </w:tcPr>
          <w:p w14:paraId="76632EB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输出线</w:t>
            </w:r>
          </w:p>
        </w:tc>
        <w:tc>
          <w:tcPr>
            <w:tcW w:w="4303" w:type="dxa"/>
            <w:tcBorders>
              <w:top w:val="single" w:color="auto" w:sz="4" w:space="0"/>
              <w:left w:val="nil"/>
              <w:bottom w:val="single" w:color="auto" w:sz="4" w:space="0"/>
              <w:right w:val="single" w:color="auto" w:sz="4" w:space="0"/>
            </w:tcBorders>
            <w:noWrap w:val="0"/>
            <w:vAlign w:val="center"/>
          </w:tcPr>
          <w:p w14:paraId="0D68F223">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ZR-YJV-3*25</w:t>
            </w:r>
          </w:p>
          <w:p w14:paraId="750FD70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1根UPS主机到负载输出线，一根配电柜到负载输出线（外部旁路）</w:t>
            </w:r>
          </w:p>
        </w:tc>
        <w:tc>
          <w:tcPr>
            <w:tcW w:w="809" w:type="dxa"/>
            <w:tcBorders>
              <w:top w:val="single" w:color="auto" w:sz="4" w:space="0"/>
              <w:left w:val="nil"/>
              <w:bottom w:val="single" w:color="auto" w:sz="4" w:space="0"/>
              <w:right w:val="single" w:color="auto" w:sz="4" w:space="0"/>
            </w:tcBorders>
            <w:noWrap w:val="0"/>
            <w:vAlign w:val="center"/>
          </w:tcPr>
          <w:p w14:paraId="50E89CDB">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10米</w:t>
            </w:r>
          </w:p>
        </w:tc>
        <w:tc>
          <w:tcPr>
            <w:tcW w:w="1425" w:type="dxa"/>
            <w:tcBorders>
              <w:top w:val="single" w:color="auto" w:sz="4" w:space="0"/>
              <w:left w:val="nil"/>
              <w:bottom w:val="single" w:color="auto" w:sz="4" w:space="0"/>
              <w:right w:val="single" w:color="auto" w:sz="4" w:space="0"/>
            </w:tcBorders>
            <w:noWrap w:val="0"/>
            <w:vAlign w:val="center"/>
          </w:tcPr>
          <w:p w14:paraId="64C9F7AD">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7A9D23AF">
        <w:tblPrEx>
          <w:tblCellMar>
            <w:top w:w="0" w:type="dxa"/>
            <w:left w:w="108" w:type="dxa"/>
            <w:bottom w:w="0" w:type="dxa"/>
            <w:right w:w="108" w:type="dxa"/>
          </w:tblCellMar>
        </w:tblPrEx>
        <w:trPr>
          <w:trHeight w:val="1164"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0CCD46C9">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7</w:t>
            </w:r>
          </w:p>
        </w:tc>
        <w:tc>
          <w:tcPr>
            <w:tcW w:w="1235" w:type="dxa"/>
            <w:tcBorders>
              <w:top w:val="single" w:color="auto" w:sz="4" w:space="0"/>
              <w:left w:val="nil"/>
              <w:bottom w:val="single" w:color="auto" w:sz="4" w:space="0"/>
              <w:right w:val="single" w:color="auto" w:sz="4" w:space="0"/>
            </w:tcBorders>
            <w:noWrap w:val="0"/>
            <w:vAlign w:val="center"/>
          </w:tcPr>
          <w:p w14:paraId="1D197DB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直流母线</w:t>
            </w:r>
          </w:p>
        </w:tc>
        <w:tc>
          <w:tcPr>
            <w:tcW w:w="4303" w:type="dxa"/>
            <w:tcBorders>
              <w:top w:val="single" w:color="auto" w:sz="4" w:space="0"/>
              <w:left w:val="nil"/>
              <w:bottom w:val="single" w:color="auto" w:sz="4" w:space="0"/>
              <w:right w:val="single" w:color="auto" w:sz="4" w:space="0"/>
            </w:tcBorders>
            <w:noWrap w:val="0"/>
            <w:vAlign w:val="center"/>
          </w:tcPr>
          <w:p w14:paraId="7D893EA4">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ZR-BVR-1*25</w:t>
            </w:r>
          </w:p>
          <w:p w14:paraId="14DDAE0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2根电池组到UPS直流母线，2根电池组并联线（正负极各一根1.5m)</w:t>
            </w:r>
          </w:p>
        </w:tc>
        <w:tc>
          <w:tcPr>
            <w:tcW w:w="809" w:type="dxa"/>
            <w:tcBorders>
              <w:top w:val="single" w:color="auto" w:sz="4" w:space="0"/>
              <w:left w:val="nil"/>
              <w:bottom w:val="single" w:color="auto" w:sz="4" w:space="0"/>
              <w:right w:val="single" w:color="auto" w:sz="4" w:space="0"/>
            </w:tcBorders>
            <w:noWrap w:val="0"/>
            <w:vAlign w:val="center"/>
          </w:tcPr>
          <w:p w14:paraId="771F954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6米</w:t>
            </w:r>
          </w:p>
        </w:tc>
        <w:tc>
          <w:tcPr>
            <w:tcW w:w="1425" w:type="dxa"/>
            <w:tcBorders>
              <w:top w:val="single" w:color="auto" w:sz="4" w:space="0"/>
              <w:left w:val="nil"/>
              <w:bottom w:val="single" w:color="auto" w:sz="4" w:space="0"/>
              <w:right w:val="single" w:color="auto" w:sz="4" w:space="0"/>
            </w:tcBorders>
            <w:noWrap w:val="0"/>
            <w:vAlign w:val="center"/>
          </w:tcPr>
          <w:p w14:paraId="7FBA6C7C">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r w14:paraId="5205B09D">
        <w:tblPrEx>
          <w:tblCellMar>
            <w:top w:w="0" w:type="dxa"/>
            <w:left w:w="108" w:type="dxa"/>
            <w:bottom w:w="0" w:type="dxa"/>
            <w:right w:w="108" w:type="dxa"/>
          </w:tblCellMar>
        </w:tblPrEx>
        <w:trPr>
          <w:trHeight w:val="1055"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center"/>
          </w:tcPr>
          <w:p w14:paraId="7BC2611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8</w:t>
            </w:r>
          </w:p>
        </w:tc>
        <w:tc>
          <w:tcPr>
            <w:tcW w:w="1235" w:type="dxa"/>
            <w:tcBorders>
              <w:top w:val="single" w:color="auto" w:sz="4" w:space="0"/>
              <w:left w:val="nil"/>
              <w:bottom w:val="single" w:color="auto" w:sz="4" w:space="0"/>
              <w:right w:val="single" w:color="auto" w:sz="4" w:space="0"/>
            </w:tcBorders>
            <w:noWrap w:val="0"/>
            <w:vAlign w:val="center"/>
          </w:tcPr>
          <w:p w14:paraId="66ED0D10">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安装调试及旧设备搬运</w:t>
            </w:r>
          </w:p>
        </w:tc>
        <w:tc>
          <w:tcPr>
            <w:tcW w:w="4303" w:type="dxa"/>
            <w:tcBorders>
              <w:top w:val="single" w:color="auto" w:sz="4" w:space="0"/>
              <w:left w:val="nil"/>
              <w:bottom w:val="single" w:color="auto" w:sz="4" w:space="0"/>
              <w:right w:val="single" w:color="auto" w:sz="4" w:space="0"/>
            </w:tcBorders>
            <w:noWrap w:val="0"/>
            <w:vAlign w:val="center"/>
          </w:tcPr>
          <w:p w14:paraId="0D0352C5">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1.新设备安装调试</w:t>
            </w:r>
          </w:p>
          <w:p w14:paraId="7A3B5D4E">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2.旧设备拆除，搬运至指定地点</w:t>
            </w:r>
          </w:p>
        </w:tc>
        <w:tc>
          <w:tcPr>
            <w:tcW w:w="809" w:type="dxa"/>
            <w:tcBorders>
              <w:top w:val="single" w:color="auto" w:sz="4" w:space="0"/>
              <w:left w:val="nil"/>
              <w:bottom w:val="single" w:color="auto" w:sz="4" w:space="0"/>
              <w:right w:val="single" w:color="auto" w:sz="4" w:space="0"/>
            </w:tcBorders>
            <w:noWrap w:val="0"/>
            <w:vAlign w:val="center"/>
          </w:tcPr>
          <w:p w14:paraId="6403169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1项</w:t>
            </w:r>
          </w:p>
        </w:tc>
        <w:tc>
          <w:tcPr>
            <w:tcW w:w="1425" w:type="dxa"/>
            <w:tcBorders>
              <w:top w:val="single" w:color="auto" w:sz="4" w:space="0"/>
              <w:left w:val="nil"/>
              <w:bottom w:val="single" w:color="auto" w:sz="4" w:space="0"/>
              <w:right w:val="single" w:color="auto" w:sz="4" w:space="0"/>
            </w:tcBorders>
            <w:noWrap w:val="0"/>
            <w:vAlign w:val="center"/>
          </w:tcPr>
          <w:p w14:paraId="7F8DE593">
            <w:pPr>
              <w:keepNext w:val="0"/>
              <w:keepLines w:val="0"/>
              <w:pageBreakBefore w:val="0"/>
              <w:widowControl/>
              <w:kinsoku/>
              <w:wordWrap/>
              <w:overflowPunct/>
              <w:topLinePunct w:val="0"/>
              <w:autoSpaceDE w:val="0"/>
              <w:autoSpaceDN w:val="0"/>
              <w:bidi w:val="0"/>
              <w:adjustRightInd w:val="0"/>
              <w:snapToGrid w:val="0"/>
              <w:spacing w:line="240" w:lineRule="auto"/>
              <w:ind w:right="0"/>
              <w:jc w:val="center"/>
              <w:textAlignment w:val="baseline"/>
              <w:rPr>
                <w:rFonts w:hint="eastAsia" w:ascii="仿宋_GB2312" w:hAnsi="仿宋_GB2312" w:eastAsia="仿宋_GB2312" w:cs="仿宋_GB2312"/>
                <w:b w:val="0"/>
                <w:bCs/>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济南成型厂</w:t>
            </w:r>
          </w:p>
        </w:tc>
      </w:tr>
    </w:tbl>
    <w:p w14:paraId="016A43E3">
      <w:pPr>
        <w:adjustRightInd w:val="0"/>
        <w:snapToGrid w:val="0"/>
        <w:spacing w:before="163" w:beforeLines="50" w:after="163" w:afterLines="50" w:line="360" w:lineRule="auto"/>
        <w:jc w:val="both"/>
        <w:outlineLvl w:val="0"/>
        <w:rPr>
          <w:rFonts w:hint="eastAsia" w:ascii="仿宋" w:hAnsi="仿宋" w:eastAsia="仿宋" w:cs="仿宋"/>
          <w:b/>
          <w:bCs/>
        </w:rPr>
      </w:pPr>
    </w:p>
    <w:p w14:paraId="4B909F93">
      <w:pPr>
        <w:rPr>
          <w:rFonts w:hint="eastAsia" w:ascii="仿宋" w:hAnsi="仿宋" w:eastAsia="仿宋" w:cs="仿宋"/>
          <w:b/>
          <w:bCs/>
        </w:rPr>
      </w:pPr>
      <w:r>
        <w:rPr>
          <w:rFonts w:hint="eastAsia" w:ascii="仿宋" w:hAnsi="仿宋" w:eastAsia="仿宋" w:cs="仿宋"/>
          <w:b/>
          <w:bCs/>
        </w:rPr>
        <w:br w:type="page"/>
      </w:r>
    </w:p>
    <w:p w14:paraId="69E7A8D2">
      <w:pPr>
        <w:adjustRightInd w:val="0"/>
        <w:snapToGrid w:val="0"/>
        <w:spacing w:before="163" w:beforeLines="50" w:after="163" w:afterLines="50" w:line="360" w:lineRule="auto"/>
        <w:jc w:val="center"/>
        <w:outlineLvl w:val="0"/>
        <w:rPr>
          <w:rFonts w:ascii="仿宋" w:hAnsi="仿宋" w:eastAsia="仿宋" w:cs="仿宋"/>
          <w:b/>
          <w:bCs/>
          <w:sz w:val="24"/>
          <w:szCs w:val="24"/>
        </w:rPr>
      </w:pPr>
      <w:r>
        <w:rPr>
          <w:rFonts w:hint="eastAsia" w:ascii="仿宋" w:hAnsi="仿宋" w:eastAsia="仿宋" w:cs="仿宋"/>
          <w:b/>
          <w:bCs/>
          <w:sz w:val="24"/>
          <w:szCs w:val="24"/>
        </w:rPr>
        <w:t>第三章供货范围及供货方式</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1E41DA2A">
      <w:pPr>
        <w:pStyle w:val="2"/>
        <w:snapToGrid w:val="0"/>
        <w:spacing w:before="0" w:after="0" w:line="360" w:lineRule="auto"/>
        <w:jc w:val="center"/>
        <w:rPr>
          <w:rFonts w:hint="eastAsia" w:ascii="仿宋" w:hAnsi="仿宋" w:eastAsia="仿宋" w:cs="仿宋"/>
          <w:kern w:val="2"/>
          <w:sz w:val="24"/>
          <w:szCs w:val="24"/>
        </w:rPr>
      </w:pPr>
      <w:bookmarkStart w:id="243" w:name="_Toc32716"/>
      <w:bookmarkStart w:id="244" w:name="_Toc11979"/>
      <w:bookmarkStart w:id="245" w:name="_Toc11227"/>
      <w:bookmarkStart w:id="246" w:name="_Toc20802"/>
      <w:bookmarkStart w:id="247" w:name="_Toc18238"/>
      <w:bookmarkStart w:id="248" w:name="_Toc133783971"/>
      <w:bookmarkStart w:id="249" w:name="_Toc9571"/>
      <w:bookmarkStart w:id="250" w:name="_Toc20301"/>
      <w:bookmarkStart w:id="251" w:name="_Toc19908"/>
      <w:bookmarkStart w:id="252" w:name="_Toc19155"/>
      <w:bookmarkStart w:id="253" w:name="_Toc28344"/>
      <w:bookmarkStart w:id="254" w:name="_Toc19860"/>
      <w:bookmarkStart w:id="255" w:name="_Toc32750"/>
      <w:bookmarkStart w:id="256" w:name="_Toc3358"/>
      <w:bookmarkStart w:id="257" w:name="_Toc8238"/>
      <w:bookmarkStart w:id="258" w:name="_Toc3639"/>
      <w:bookmarkStart w:id="259" w:name="_Toc10323"/>
      <w:bookmarkStart w:id="260" w:name="_Toc27567"/>
      <w:bookmarkStart w:id="261" w:name="_Toc16027"/>
      <w:bookmarkStart w:id="262" w:name="_Toc32286"/>
      <w:bookmarkStart w:id="263" w:name="_Toc9994"/>
      <w:bookmarkStart w:id="264" w:name="_Toc9580"/>
      <w:bookmarkStart w:id="265" w:name="_Toc5131"/>
      <w:bookmarkStart w:id="266" w:name="_Toc31722"/>
      <w:bookmarkStart w:id="267" w:name="_Toc2127"/>
      <w:bookmarkStart w:id="268" w:name="_Toc20721"/>
      <w:bookmarkStart w:id="269" w:name="_Toc2288"/>
      <w:bookmarkStart w:id="270" w:name="_Toc19111"/>
      <w:bookmarkStart w:id="271" w:name="_Toc6864"/>
      <w:bookmarkStart w:id="272" w:name="_Toc680"/>
      <w:bookmarkStart w:id="273" w:name="_Toc4896"/>
      <w:bookmarkStart w:id="274" w:name="_Toc12581"/>
      <w:bookmarkStart w:id="275" w:name="_Toc29751"/>
      <w:bookmarkStart w:id="276" w:name="_Toc4032"/>
      <w:bookmarkStart w:id="277" w:name="_Toc27831"/>
      <w:bookmarkStart w:id="278" w:name="_Toc6219"/>
      <w:bookmarkStart w:id="279" w:name="_Toc5052"/>
      <w:bookmarkStart w:id="280" w:name="_Toc5032"/>
      <w:bookmarkStart w:id="281" w:name="_Toc32741"/>
      <w:bookmarkStart w:id="282" w:name="_Toc17404"/>
      <w:bookmarkStart w:id="283" w:name="_Toc32542"/>
      <w:bookmarkStart w:id="284" w:name="_Toc14383"/>
      <w:bookmarkStart w:id="285" w:name="_Toc13578"/>
      <w:bookmarkStart w:id="286" w:name="_Toc25354"/>
      <w:bookmarkStart w:id="287" w:name="_Toc8963"/>
      <w:bookmarkStart w:id="288" w:name="_Toc20066"/>
      <w:bookmarkStart w:id="289" w:name="_Toc969"/>
      <w:r>
        <w:rPr>
          <w:rFonts w:hint="eastAsia" w:ascii="仿宋" w:hAnsi="仿宋" w:eastAsia="仿宋" w:cs="仿宋"/>
          <w:kern w:val="2"/>
          <w:sz w:val="24"/>
          <w:szCs w:val="24"/>
        </w:rPr>
        <w:t>第一节供货范围</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4F517882">
      <w:pPr>
        <w:snapToGrid w:val="0"/>
        <w:spacing w:line="360" w:lineRule="auto"/>
        <w:ind w:left="480"/>
        <w:outlineLvl w:val="2"/>
        <w:rPr>
          <w:rFonts w:hint="default" w:ascii="仿宋" w:hAnsi="仿宋" w:eastAsia="仿宋" w:cs="仿宋"/>
          <w:b/>
          <w:bCs/>
          <w:lang w:val="en-US" w:eastAsia="zh-CN"/>
        </w:rPr>
      </w:pPr>
      <w:r>
        <w:rPr>
          <w:rFonts w:hint="eastAsia" w:ascii="仿宋" w:hAnsi="仿宋" w:eastAsia="仿宋" w:cs="仿宋"/>
          <w:b/>
          <w:bCs/>
          <w:lang w:val="en-US" w:eastAsia="zh-CN"/>
        </w:rPr>
        <w:t>1供货范围</w:t>
      </w:r>
    </w:p>
    <w:tbl>
      <w:tblPr>
        <w:tblStyle w:val="48"/>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5375"/>
        <w:gridCol w:w="950"/>
        <w:gridCol w:w="1156"/>
        <w:gridCol w:w="827"/>
      </w:tblGrid>
      <w:tr w14:paraId="061FA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0AAB9789">
            <w:pPr>
              <w:jc w:val="center"/>
              <w:textAlignment w:val="center"/>
              <w:rPr>
                <w:rFonts w:hint="eastAsia" w:ascii="仿宋" w:hAnsi="仿宋" w:eastAsia="仿宋" w:cs="仿宋"/>
                <w:sz w:val="21"/>
                <w:szCs w:val="21"/>
              </w:rPr>
            </w:pPr>
            <w:r>
              <w:rPr>
                <w:rFonts w:hint="eastAsia" w:ascii="仿宋" w:hAnsi="仿宋" w:eastAsia="仿宋" w:cs="仿宋"/>
                <w:sz w:val="21"/>
                <w:szCs w:val="21"/>
              </w:rPr>
              <w:t>序号</w:t>
            </w:r>
          </w:p>
        </w:tc>
        <w:tc>
          <w:tcPr>
            <w:tcW w:w="5375" w:type="dxa"/>
            <w:noWrap w:val="0"/>
            <w:vAlign w:val="center"/>
          </w:tcPr>
          <w:p w14:paraId="10ACBC5D">
            <w:pPr>
              <w:jc w:val="center"/>
              <w:textAlignment w:val="center"/>
              <w:rPr>
                <w:rFonts w:hint="eastAsia" w:ascii="仿宋" w:hAnsi="仿宋" w:eastAsia="仿宋" w:cs="仿宋"/>
                <w:sz w:val="21"/>
                <w:szCs w:val="21"/>
              </w:rPr>
            </w:pPr>
            <w:r>
              <w:rPr>
                <w:rFonts w:hint="eastAsia" w:ascii="仿宋" w:hAnsi="仿宋" w:eastAsia="仿宋" w:cs="仿宋"/>
                <w:sz w:val="21"/>
                <w:szCs w:val="21"/>
              </w:rPr>
              <w:t>名称</w:t>
            </w:r>
          </w:p>
        </w:tc>
        <w:tc>
          <w:tcPr>
            <w:tcW w:w="950" w:type="dxa"/>
            <w:noWrap w:val="0"/>
            <w:vAlign w:val="center"/>
          </w:tcPr>
          <w:p w14:paraId="5F896557">
            <w:pPr>
              <w:jc w:val="center"/>
              <w:textAlignment w:val="center"/>
              <w:rPr>
                <w:rFonts w:hint="eastAsia" w:ascii="仿宋" w:hAnsi="仿宋" w:eastAsia="仿宋" w:cs="仿宋"/>
                <w:sz w:val="21"/>
                <w:szCs w:val="21"/>
              </w:rPr>
            </w:pPr>
            <w:r>
              <w:rPr>
                <w:rFonts w:hint="eastAsia" w:ascii="仿宋" w:hAnsi="仿宋" w:eastAsia="仿宋" w:cs="仿宋"/>
                <w:sz w:val="21"/>
                <w:szCs w:val="21"/>
              </w:rPr>
              <w:t>单位</w:t>
            </w:r>
          </w:p>
        </w:tc>
        <w:tc>
          <w:tcPr>
            <w:tcW w:w="1156" w:type="dxa"/>
            <w:noWrap w:val="0"/>
            <w:vAlign w:val="center"/>
          </w:tcPr>
          <w:p w14:paraId="16DDE112">
            <w:pPr>
              <w:jc w:val="center"/>
              <w:textAlignment w:val="center"/>
              <w:rPr>
                <w:rFonts w:hint="eastAsia" w:ascii="仿宋" w:hAnsi="仿宋" w:eastAsia="仿宋" w:cs="仿宋"/>
                <w:sz w:val="21"/>
                <w:szCs w:val="21"/>
              </w:rPr>
            </w:pPr>
            <w:r>
              <w:rPr>
                <w:rFonts w:hint="eastAsia" w:ascii="仿宋" w:hAnsi="仿宋" w:eastAsia="仿宋" w:cs="仿宋"/>
                <w:sz w:val="21"/>
                <w:szCs w:val="21"/>
              </w:rPr>
              <w:t>数量</w:t>
            </w:r>
          </w:p>
        </w:tc>
        <w:tc>
          <w:tcPr>
            <w:tcW w:w="827" w:type="dxa"/>
            <w:noWrap w:val="0"/>
            <w:vAlign w:val="center"/>
          </w:tcPr>
          <w:p w14:paraId="0758C33E">
            <w:pPr>
              <w:jc w:val="center"/>
              <w:textAlignment w:val="center"/>
              <w:rPr>
                <w:rFonts w:hint="eastAsia" w:ascii="仿宋" w:hAnsi="仿宋" w:eastAsia="仿宋" w:cs="仿宋"/>
                <w:sz w:val="21"/>
                <w:szCs w:val="21"/>
              </w:rPr>
            </w:pPr>
            <w:r>
              <w:rPr>
                <w:rFonts w:hint="eastAsia" w:ascii="仿宋" w:hAnsi="仿宋" w:eastAsia="仿宋" w:cs="仿宋"/>
                <w:sz w:val="21"/>
                <w:szCs w:val="21"/>
              </w:rPr>
              <w:t>备注</w:t>
            </w:r>
          </w:p>
        </w:tc>
      </w:tr>
      <w:tr w14:paraId="67825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759" w:type="dxa"/>
            <w:noWrap w:val="0"/>
            <w:vAlign w:val="center"/>
          </w:tcPr>
          <w:p w14:paraId="2D9E7251">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1</w:t>
            </w:r>
          </w:p>
        </w:tc>
        <w:tc>
          <w:tcPr>
            <w:tcW w:w="5375" w:type="dxa"/>
            <w:noWrap w:val="0"/>
            <w:vAlign w:val="center"/>
          </w:tcPr>
          <w:p w14:paraId="34B923BF">
            <w:pPr>
              <w:pStyle w:val="233"/>
              <w:spacing w:before="60" w:after="60"/>
              <w:jc w:val="left"/>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UPS主机</w:t>
            </w:r>
          </w:p>
        </w:tc>
        <w:tc>
          <w:tcPr>
            <w:tcW w:w="950" w:type="dxa"/>
            <w:noWrap w:val="0"/>
            <w:vAlign w:val="center"/>
          </w:tcPr>
          <w:p w14:paraId="375F0E78">
            <w:pPr>
              <w:spacing w:line="360" w:lineRule="auto"/>
              <w:jc w:val="center"/>
              <w:textAlignment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台</w:t>
            </w:r>
          </w:p>
        </w:tc>
        <w:tc>
          <w:tcPr>
            <w:tcW w:w="1156" w:type="dxa"/>
            <w:noWrap w:val="0"/>
            <w:vAlign w:val="center"/>
          </w:tcPr>
          <w:p w14:paraId="0571B2A1">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827" w:type="dxa"/>
            <w:noWrap w:val="0"/>
            <w:vAlign w:val="center"/>
          </w:tcPr>
          <w:p w14:paraId="419E6AA6">
            <w:pPr>
              <w:spacing w:line="360" w:lineRule="auto"/>
              <w:jc w:val="center"/>
              <w:textAlignment w:val="center"/>
              <w:rPr>
                <w:rFonts w:hint="eastAsia" w:ascii="仿宋" w:hAnsi="仿宋" w:eastAsia="仿宋" w:cs="仿宋"/>
                <w:sz w:val="21"/>
                <w:szCs w:val="21"/>
              </w:rPr>
            </w:pPr>
          </w:p>
        </w:tc>
      </w:tr>
      <w:tr w14:paraId="691A3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5ECC68A2">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2</w:t>
            </w:r>
          </w:p>
        </w:tc>
        <w:tc>
          <w:tcPr>
            <w:tcW w:w="5375" w:type="dxa"/>
            <w:noWrap w:val="0"/>
            <w:vAlign w:val="center"/>
          </w:tcPr>
          <w:p w14:paraId="0B9A07A0">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蓄电池</w:t>
            </w:r>
          </w:p>
        </w:tc>
        <w:tc>
          <w:tcPr>
            <w:tcW w:w="950" w:type="dxa"/>
            <w:noWrap w:val="0"/>
            <w:vAlign w:val="center"/>
          </w:tcPr>
          <w:p w14:paraId="3D1A4C1C">
            <w:pPr>
              <w:spacing w:line="360" w:lineRule="auto"/>
              <w:jc w:val="center"/>
              <w:textAlignment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块</w:t>
            </w:r>
          </w:p>
        </w:tc>
        <w:tc>
          <w:tcPr>
            <w:tcW w:w="1156" w:type="dxa"/>
            <w:noWrap w:val="0"/>
            <w:vAlign w:val="center"/>
          </w:tcPr>
          <w:p w14:paraId="4DB1980D">
            <w:pPr>
              <w:spacing w:line="360" w:lineRule="auto"/>
              <w:jc w:val="center"/>
              <w:textAlignment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40</w:t>
            </w:r>
          </w:p>
        </w:tc>
        <w:tc>
          <w:tcPr>
            <w:tcW w:w="827" w:type="dxa"/>
            <w:noWrap w:val="0"/>
            <w:vAlign w:val="center"/>
          </w:tcPr>
          <w:p w14:paraId="78A8FBE3">
            <w:pPr>
              <w:spacing w:line="360" w:lineRule="auto"/>
              <w:jc w:val="center"/>
              <w:textAlignment w:val="center"/>
              <w:rPr>
                <w:rFonts w:hint="eastAsia" w:ascii="仿宋" w:hAnsi="仿宋" w:eastAsia="仿宋" w:cs="仿宋"/>
                <w:sz w:val="21"/>
                <w:szCs w:val="21"/>
              </w:rPr>
            </w:pPr>
          </w:p>
        </w:tc>
      </w:tr>
      <w:tr w14:paraId="10292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76AE7028">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3</w:t>
            </w:r>
          </w:p>
        </w:tc>
        <w:tc>
          <w:tcPr>
            <w:tcW w:w="5375" w:type="dxa"/>
            <w:noWrap w:val="0"/>
            <w:vAlign w:val="center"/>
          </w:tcPr>
          <w:p w14:paraId="779433DC">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电池柜</w:t>
            </w:r>
          </w:p>
        </w:tc>
        <w:tc>
          <w:tcPr>
            <w:tcW w:w="950" w:type="dxa"/>
            <w:noWrap w:val="0"/>
            <w:vAlign w:val="center"/>
          </w:tcPr>
          <w:p w14:paraId="63496EC7">
            <w:pPr>
              <w:spacing w:line="360" w:lineRule="auto"/>
              <w:jc w:val="center"/>
              <w:textAlignment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组</w:t>
            </w:r>
          </w:p>
        </w:tc>
        <w:tc>
          <w:tcPr>
            <w:tcW w:w="1156" w:type="dxa"/>
            <w:noWrap w:val="0"/>
            <w:vAlign w:val="center"/>
          </w:tcPr>
          <w:p w14:paraId="329D07CC">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827" w:type="dxa"/>
            <w:noWrap w:val="0"/>
            <w:vAlign w:val="center"/>
          </w:tcPr>
          <w:p w14:paraId="3283AC60">
            <w:pPr>
              <w:spacing w:line="360" w:lineRule="auto"/>
              <w:jc w:val="center"/>
              <w:textAlignment w:val="center"/>
              <w:rPr>
                <w:rFonts w:hint="eastAsia" w:ascii="仿宋" w:hAnsi="仿宋" w:eastAsia="仿宋" w:cs="仿宋"/>
                <w:sz w:val="21"/>
                <w:szCs w:val="21"/>
              </w:rPr>
            </w:pPr>
          </w:p>
        </w:tc>
      </w:tr>
      <w:tr w14:paraId="3F064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1E2E7CD4">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4</w:t>
            </w:r>
          </w:p>
        </w:tc>
        <w:tc>
          <w:tcPr>
            <w:tcW w:w="5375" w:type="dxa"/>
            <w:noWrap w:val="0"/>
            <w:vAlign w:val="center"/>
          </w:tcPr>
          <w:p w14:paraId="58B4C695">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电池连接线</w:t>
            </w:r>
          </w:p>
        </w:tc>
        <w:tc>
          <w:tcPr>
            <w:tcW w:w="950" w:type="dxa"/>
            <w:noWrap w:val="0"/>
            <w:vAlign w:val="center"/>
          </w:tcPr>
          <w:p w14:paraId="62287905">
            <w:pPr>
              <w:spacing w:line="360" w:lineRule="auto"/>
              <w:jc w:val="center"/>
              <w:textAlignment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组</w:t>
            </w:r>
          </w:p>
        </w:tc>
        <w:tc>
          <w:tcPr>
            <w:tcW w:w="1156" w:type="dxa"/>
            <w:noWrap w:val="0"/>
            <w:vAlign w:val="center"/>
          </w:tcPr>
          <w:p w14:paraId="2BE51DBF">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827" w:type="dxa"/>
            <w:noWrap w:val="0"/>
            <w:vAlign w:val="center"/>
          </w:tcPr>
          <w:p w14:paraId="77297580">
            <w:pPr>
              <w:spacing w:line="360" w:lineRule="auto"/>
              <w:jc w:val="center"/>
              <w:textAlignment w:val="center"/>
              <w:rPr>
                <w:rFonts w:hint="eastAsia" w:ascii="仿宋" w:hAnsi="仿宋" w:eastAsia="仿宋" w:cs="仿宋"/>
                <w:sz w:val="21"/>
                <w:szCs w:val="21"/>
              </w:rPr>
            </w:pPr>
          </w:p>
        </w:tc>
      </w:tr>
      <w:tr w14:paraId="64FA4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59" w:type="dxa"/>
            <w:noWrap w:val="0"/>
            <w:vAlign w:val="center"/>
          </w:tcPr>
          <w:p w14:paraId="2E1A5341">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5</w:t>
            </w:r>
          </w:p>
        </w:tc>
        <w:tc>
          <w:tcPr>
            <w:tcW w:w="5375" w:type="dxa"/>
            <w:noWrap w:val="0"/>
            <w:vAlign w:val="center"/>
          </w:tcPr>
          <w:p w14:paraId="42BA643D">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输入线</w:t>
            </w:r>
          </w:p>
        </w:tc>
        <w:tc>
          <w:tcPr>
            <w:tcW w:w="950" w:type="dxa"/>
            <w:noWrap w:val="0"/>
            <w:vAlign w:val="center"/>
          </w:tcPr>
          <w:p w14:paraId="033F3F8B">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米</w:t>
            </w:r>
          </w:p>
        </w:tc>
        <w:tc>
          <w:tcPr>
            <w:tcW w:w="1156" w:type="dxa"/>
            <w:noWrap w:val="0"/>
            <w:vAlign w:val="center"/>
          </w:tcPr>
          <w:p w14:paraId="7D9848FD">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827" w:type="dxa"/>
            <w:noWrap w:val="0"/>
            <w:vAlign w:val="center"/>
          </w:tcPr>
          <w:p w14:paraId="7CB2CCAF">
            <w:pPr>
              <w:spacing w:line="360" w:lineRule="auto"/>
              <w:jc w:val="center"/>
              <w:textAlignment w:val="center"/>
              <w:rPr>
                <w:rFonts w:hint="eastAsia" w:ascii="仿宋" w:hAnsi="仿宋" w:eastAsia="仿宋" w:cs="仿宋"/>
                <w:sz w:val="21"/>
                <w:szCs w:val="21"/>
              </w:rPr>
            </w:pPr>
          </w:p>
        </w:tc>
      </w:tr>
      <w:tr w14:paraId="655A4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04E17AD2">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6</w:t>
            </w:r>
          </w:p>
        </w:tc>
        <w:tc>
          <w:tcPr>
            <w:tcW w:w="5375" w:type="dxa"/>
            <w:noWrap w:val="0"/>
            <w:vAlign w:val="center"/>
          </w:tcPr>
          <w:p w14:paraId="2000D813">
            <w:pPr>
              <w:pStyle w:val="233"/>
              <w:spacing w:before="60" w:after="60"/>
              <w:jc w:val="left"/>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输出线</w:t>
            </w:r>
          </w:p>
        </w:tc>
        <w:tc>
          <w:tcPr>
            <w:tcW w:w="950" w:type="dxa"/>
            <w:noWrap w:val="0"/>
            <w:vAlign w:val="center"/>
          </w:tcPr>
          <w:p w14:paraId="1A8AD8B6">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米</w:t>
            </w:r>
          </w:p>
        </w:tc>
        <w:tc>
          <w:tcPr>
            <w:tcW w:w="1156" w:type="dxa"/>
            <w:noWrap w:val="0"/>
            <w:vAlign w:val="center"/>
          </w:tcPr>
          <w:p w14:paraId="50F8885D">
            <w:pPr>
              <w:spacing w:line="360" w:lineRule="auto"/>
              <w:jc w:val="center"/>
              <w:textAlignment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10</w:t>
            </w:r>
          </w:p>
        </w:tc>
        <w:tc>
          <w:tcPr>
            <w:tcW w:w="827" w:type="dxa"/>
            <w:noWrap w:val="0"/>
            <w:vAlign w:val="center"/>
          </w:tcPr>
          <w:p w14:paraId="16A85B2C">
            <w:pPr>
              <w:spacing w:line="360" w:lineRule="auto"/>
              <w:jc w:val="center"/>
              <w:textAlignment w:val="center"/>
              <w:rPr>
                <w:rFonts w:hint="eastAsia" w:ascii="仿宋" w:hAnsi="仿宋" w:eastAsia="仿宋" w:cs="仿宋"/>
                <w:sz w:val="21"/>
                <w:szCs w:val="21"/>
              </w:rPr>
            </w:pPr>
          </w:p>
        </w:tc>
      </w:tr>
      <w:tr w14:paraId="202E8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759" w:type="dxa"/>
            <w:noWrap w:val="0"/>
            <w:vAlign w:val="center"/>
          </w:tcPr>
          <w:p w14:paraId="56151BFE">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7</w:t>
            </w:r>
          </w:p>
        </w:tc>
        <w:tc>
          <w:tcPr>
            <w:tcW w:w="5375" w:type="dxa"/>
            <w:noWrap w:val="0"/>
            <w:vAlign w:val="center"/>
          </w:tcPr>
          <w:p w14:paraId="65E625C3">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直流母线</w:t>
            </w:r>
          </w:p>
        </w:tc>
        <w:tc>
          <w:tcPr>
            <w:tcW w:w="950" w:type="dxa"/>
            <w:noWrap w:val="0"/>
            <w:vAlign w:val="center"/>
          </w:tcPr>
          <w:p w14:paraId="3F5CB452">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米</w:t>
            </w:r>
          </w:p>
        </w:tc>
        <w:tc>
          <w:tcPr>
            <w:tcW w:w="1156" w:type="dxa"/>
            <w:noWrap w:val="0"/>
            <w:vAlign w:val="center"/>
          </w:tcPr>
          <w:p w14:paraId="1BBF9A1E">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827" w:type="dxa"/>
            <w:noWrap w:val="0"/>
            <w:vAlign w:val="center"/>
          </w:tcPr>
          <w:p w14:paraId="494FBE6C">
            <w:pPr>
              <w:spacing w:line="360" w:lineRule="auto"/>
              <w:jc w:val="center"/>
              <w:textAlignment w:val="center"/>
              <w:rPr>
                <w:rFonts w:hint="eastAsia" w:ascii="仿宋" w:hAnsi="仿宋" w:eastAsia="仿宋" w:cs="仿宋"/>
                <w:sz w:val="21"/>
                <w:szCs w:val="21"/>
              </w:rPr>
            </w:pPr>
          </w:p>
        </w:tc>
      </w:tr>
      <w:tr w14:paraId="36E1C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76E79466">
            <w:pPr>
              <w:pStyle w:val="233"/>
              <w:spacing w:before="60" w:after="60"/>
              <w:jc w:val="center"/>
              <w:rPr>
                <w:rFonts w:hint="eastAsia" w:ascii="仿宋" w:hAnsi="仿宋" w:eastAsia="仿宋" w:cs="仿宋"/>
                <w:sz w:val="21"/>
                <w:szCs w:val="21"/>
              </w:rPr>
            </w:pPr>
            <w:r>
              <w:rPr>
                <w:rFonts w:hint="eastAsia" w:ascii="仿宋" w:hAnsi="仿宋" w:eastAsia="仿宋" w:cs="仿宋"/>
                <w:sz w:val="21"/>
                <w:szCs w:val="21"/>
              </w:rPr>
              <w:t>8</w:t>
            </w:r>
          </w:p>
        </w:tc>
        <w:tc>
          <w:tcPr>
            <w:tcW w:w="5375" w:type="dxa"/>
            <w:noWrap w:val="0"/>
            <w:vAlign w:val="center"/>
          </w:tcPr>
          <w:p w14:paraId="5F75C620">
            <w:pPr>
              <w:pStyle w:val="233"/>
              <w:spacing w:before="60" w:after="60"/>
              <w:jc w:val="left"/>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安装调试及旧设备搬运</w:t>
            </w:r>
          </w:p>
        </w:tc>
        <w:tc>
          <w:tcPr>
            <w:tcW w:w="950" w:type="dxa"/>
            <w:noWrap w:val="0"/>
            <w:vAlign w:val="center"/>
          </w:tcPr>
          <w:p w14:paraId="6A555956">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项</w:t>
            </w:r>
          </w:p>
        </w:tc>
        <w:tc>
          <w:tcPr>
            <w:tcW w:w="1156" w:type="dxa"/>
            <w:noWrap w:val="0"/>
            <w:vAlign w:val="center"/>
          </w:tcPr>
          <w:p w14:paraId="26DE3136">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827" w:type="dxa"/>
            <w:noWrap w:val="0"/>
            <w:vAlign w:val="center"/>
          </w:tcPr>
          <w:p w14:paraId="0DBE0DFB">
            <w:pPr>
              <w:spacing w:line="360" w:lineRule="auto"/>
              <w:jc w:val="center"/>
              <w:textAlignment w:val="center"/>
              <w:rPr>
                <w:rFonts w:hint="eastAsia" w:ascii="仿宋" w:hAnsi="仿宋" w:eastAsia="仿宋" w:cs="仿宋"/>
                <w:sz w:val="21"/>
                <w:szCs w:val="21"/>
              </w:rPr>
            </w:pPr>
          </w:p>
        </w:tc>
      </w:tr>
      <w:tr w14:paraId="7E0C7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50B468E2">
            <w:pPr>
              <w:pStyle w:val="233"/>
              <w:spacing w:before="60" w:after="6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5375" w:type="dxa"/>
            <w:noWrap w:val="0"/>
            <w:vAlign w:val="center"/>
          </w:tcPr>
          <w:p w14:paraId="2677A2E6">
            <w:pPr>
              <w:pStyle w:val="233"/>
              <w:spacing w:before="60" w:after="60"/>
              <w:jc w:val="left"/>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设备使用培训</w:t>
            </w:r>
          </w:p>
        </w:tc>
        <w:tc>
          <w:tcPr>
            <w:tcW w:w="950" w:type="dxa"/>
            <w:noWrap w:val="0"/>
            <w:vAlign w:val="center"/>
          </w:tcPr>
          <w:p w14:paraId="365637E1">
            <w:pPr>
              <w:spacing w:line="360" w:lineRule="auto"/>
              <w:jc w:val="center"/>
              <w:textAlignment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日</w:t>
            </w:r>
          </w:p>
        </w:tc>
        <w:tc>
          <w:tcPr>
            <w:tcW w:w="1156" w:type="dxa"/>
            <w:noWrap w:val="0"/>
            <w:vAlign w:val="center"/>
          </w:tcPr>
          <w:p w14:paraId="0F9FE50E">
            <w:pPr>
              <w:spacing w:line="360" w:lineRule="auto"/>
              <w:jc w:val="center"/>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827" w:type="dxa"/>
            <w:noWrap w:val="0"/>
            <w:vAlign w:val="center"/>
          </w:tcPr>
          <w:p w14:paraId="45E8D9BB">
            <w:pPr>
              <w:spacing w:line="360" w:lineRule="auto"/>
              <w:jc w:val="center"/>
              <w:textAlignment w:val="center"/>
              <w:rPr>
                <w:rFonts w:hint="eastAsia" w:ascii="仿宋" w:hAnsi="仿宋" w:eastAsia="仿宋" w:cs="仿宋"/>
                <w:sz w:val="21"/>
                <w:szCs w:val="21"/>
              </w:rPr>
            </w:pPr>
          </w:p>
        </w:tc>
      </w:tr>
    </w:tbl>
    <w:p w14:paraId="6C35A93A"/>
    <w:p w14:paraId="77CC476B">
      <w:pPr>
        <w:snapToGrid w:val="0"/>
        <w:spacing w:line="360" w:lineRule="auto"/>
        <w:ind w:left="480"/>
        <w:outlineLvl w:val="2"/>
        <w:rPr>
          <w:rFonts w:ascii="仿宋" w:hAnsi="仿宋" w:eastAsia="仿宋" w:cs="仿宋"/>
          <w:b/>
          <w:bCs/>
        </w:rPr>
      </w:pPr>
      <w:bookmarkStart w:id="290" w:name="_Toc8330"/>
      <w:bookmarkStart w:id="291" w:name="_Toc11531"/>
      <w:bookmarkStart w:id="292" w:name="_Toc3726"/>
      <w:bookmarkStart w:id="293" w:name="_Toc30087"/>
      <w:bookmarkStart w:id="294" w:name="_Toc10027"/>
      <w:bookmarkStart w:id="295" w:name="_Toc434"/>
      <w:bookmarkStart w:id="296" w:name="_Toc31074"/>
      <w:bookmarkStart w:id="297" w:name="_Toc5521"/>
      <w:bookmarkStart w:id="298" w:name="_Toc6916"/>
      <w:bookmarkStart w:id="299" w:name="_Toc24079"/>
      <w:bookmarkStart w:id="300" w:name="_Toc30004"/>
      <w:bookmarkStart w:id="301" w:name="_Toc20059"/>
      <w:bookmarkStart w:id="302" w:name="_Toc29389"/>
      <w:bookmarkStart w:id="303" w:name="_Toc2744"/>
      <w:bookmarkStart w:id="304" w:name="_Toc31723"/>
      <w:bookmarkStart w:id="305" w:name="_Toc10211"/>
      <w:bookmarkStart w:id="306" w:name="_Toc18018"/>
      <w:bookmarkStart w:id="307" w:name="_Toc31685"/>
      <w:bookmarkStart w:id="308" w:name="_Toc25570"/>
      <w:bookmarkStart w:id="309" w:name="_Toc73112406"/>
      <w:bookmarkStart w:id="310" w:name="_Toc19187"/>
      <w:r>
        <w:rPr>
          <w:rFonts w:hint="eastAsia" w:ascii="仿宋" w:hAnsi="仿宋" w:eastAsia="仿宋" w:cs="仿宋"/>
          <w:b/>
          <w:bCs/>
          <w:lang w:val="en-US" w:eastAsia="zh-CN"/>
        </w:rPr>
        <w:t>2</w:t>
      </w:r>
      <w:r>
        <w:rPr>
          <w:rFonts w:hint="eastAsia" w:ascii="仿宋" w:hAnsi="仿宋" w:eastAsia="仿宋" w:cs="仿宋"/>
          <w:b/>
          <w:bCs/>
        </w:rPr>
        <w:t>备品备件、易损件和专用耗材供货范围</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631065CA">
      <w:pPr>
        <w:pStyle w:val="27"/>
        <w:snapToGrid w:val="0"/>
        <w:spacing w:line="360" w:lineRule="auto"/>
        <w:ind w:left="6" w:firstLine="474" w:firstLineChars="0"/>
        <w:rPr>
          <w:rFonts w:ascii="仿宋" w:hAnsi="仿宋" w:eastAsia="仿宋" w:cs="仿宋"/>
        </w:rPr>
      </w:pPr>
      <w:r>
        <w:rPr>
          <w:rFonts w:hint="eastAsia" w:ascii="仿宋" w:hAnsi="仿宋" w:eastAsia="仿宋" w:cs="仿宋"/>
          <w:lang w:val="en-US" w:eastAsia="zh-CN"/>
        </w:rPr>
        <w:t>2</w:t>
      </w:r>
      <w:r>
        <w:rPr>
          <w:rFonts w:hint="eastAsia" w:ascii="仿宋" w:hAnsi="仿宋" w:eastAsia="仿宋" w:cs="仿宋"/>
        </w:rPr>
        <w:t>.1</w:t>
      </w:r>
      <w:r>
        <w:rPr>
          <w:rFonts w:hint="eastAsia" w:ascii="仿宋" w:hAnsi="仿宋" w:eastAsia="仿宋" w:cs="仿宋"/>
          <w:lang w:eastAsia="zh-CN"/>
        </w:rPr>
        <w:t>买方</w:t>
      </w:r>
      <w:r>
        <w:rPr>
          <w:rFonts w:hint="eastAsia" w:ascii="仿宋" w:hAnsi="仿宋" w:eastAsia="仿宋" w:cs="仿宋"/>
        </w:rPr>
        <w:t>招标文件所指备品备件、易损件是</w:t>
      </w:r>
      <w:r>
        <w:rPr>
          <w:rFonts w:hint="eastAsia" w:ascii="仿宋" w:hAnsi="仿宋" w:eastAsia="仿宋" w:cs="仿宋"/>
          <w:lang w:eastAsia="zh-CN"/>
        </w:rPr>
        <w:t>买方</w:t>
      </w:r>
      <w:r>
        <w:rPr>
          <w:rFonts w:hint="eastAsia" w:ascii="仿宋" w:hAnsi="仿宋" w:eastAsia="仿宋" w:cs="仿宋"/>
        </w:rPr>
        <w:t>为保证货物质保期之后正常运行</w:t>
      </w:r>
      <w:r>
        <w:rPr>
          <w:rFonts w:hint="eastAsia" w:ascii="仿宋" w:hAnsi="仿宋" w:eastAsia="仿宋" w:cs="仿宋"/>
          <w:highlight w:val="yellow"/>
        </w:rPr>
        <w:t>一年</w:t>
      </w:r>
      <w:r>
        <w:rPr>
          <w:rFonts w:hint="eastAsia" w:ascii="仿宋" w:hAnsi="仿宋" w:eastAsia="仿宋" w:cs="仿宋"/>
        </w:rPr>
        <w:t>所自备自用的备品备件、易损件。</w:t>
      </w:r>
    </w:p>
    <w:p w14:paraId="62AE4482">
      <w:pPr>
        <w:pStyle w:val="27"/>
        <w:snapToGrid w:val="0"/>
        <w:spacing w:line="360" w:lineRule="auto"/>
        <w:ind w:left="6" w:firstLine="474" w:firstLineChars="0"/>
        <w:rPr>
          <w:rFonts w:ascii="仿宋" w:hAnsi="仿宋" w:eastAsia="仿宋" w:cs="仿宋"/>
        </w:rPr>
      </w:pPr>
      <w:r>
        <w:rPr>
          <w:rFonts w:hint="eastAsia" w:ascii="仿宋" w:hAnsi="仿宋" w:eastAsia="仿宋" w:cs="仿宋"/>
          <w:lang w:val="en-US" w:eastAsia="zh-CN"/>
        </w:rPr>
        <w:t>2</w:t>
      </w:r>
      <w:r>
        <w:rPr>
          <w:rFonts w:hint="eastAsia" w:ascii="仿宋" w:hAnsi="仿宋" w:eastAsia="仿宋" w:cs="仿宋"/>
        </w:rPr>
        <w:t>.2</w:t>
      </w:r>
      <w:r>
        <w:rPr>
          <w:rFonts w:hint="eastAsia" w:ascii="仿宋" w:hAnsi="仿宋" w:eastAsia="仿宋" w:cs="仿宋"/>
          <w:lang w:eastAsia="zh-CN"/>
        </w:rPr>
        <w:t>卖方</w:t>
      </w:r>
      <w:r>
        <w:rPr>
          <w:rFonts w:hint="eastAsia" w:ascii="仿宋" w:hAnsi="仿宋" w:eastAsia="仿宋" w:cs="仿宋"/>
        </w:rPr>
        <w:t>按照招标文件要求提供、或</w:t>
      </w:r>
      <w:r>
        <w:rPr>
          <w:rFonts w:hint="eastAsia" w:ascii="仿宋" w:hAnsi="仿宋" w:eastAsia="仿宋" w:cs="仿宋"/>
          <w:lang w:eastAsia="zh-CN"/>
        </w:rPr>
        <w:t>卖方</w:t>
      </w:r>
      <w:r>
        <w:rPr>
          <w:rFonts w:hint="eastAsia" w:ascii="仿宋" w:hAnsi="仿宋" w:eastAsia="仿宋" w:cs="仿宋"/>
        </w:rPr>
        <w:t>认为</w:t>
      </w:r>
      <w:r>
        <w:rPr>
          <w:rFonts w:hint="eastAsia" w:ascii="仿宋" w:hAnsi="仿宋" w:eastAsia="仿宋" w:cs="仿宋"/>
          <w:lang w:eastAsia="zh-CN"/>
        </w:rPr>
        <w:t>买方</w:t>
      </w:r>
      <w:r>
        <w:rPr>
          <w:rFonts w:hint="eastAsia" w:ascii="仿宋" w:hAnsi="仿宋" w:eastAsia="仿宋" w:cs="仿宋"/>
        </w:rPr>
        <w:t>应当储备的备品备件、易损件，</w:t>
      </w:r>
      <w:r>
        <w:rPr>
          <w:rFonts w:hint="eastAsia" w:ascii="仿宋" w:hAnsi="仿宋" w:eastAsia="仿宋" w:cs="仿宋"/>
          <w:lang w:eastAsia="zh-CN"/>
        </w:rPr>
        <w:t>卖方</w:t>
      </w:r>
      <w:r>
        <w:rPr>
          <w:rFonts w:hint="eastAsia" w:ascii="仿宋" w:hAnsi="仿宋" w:eastAsia="仿宋" w:cs="仿宋"/>
        </w:rPr>
        <w:t>应当在投标报价部分分别说明所列备品备件、易损件的使用时间。</w:t>
      </w:r>
    </w:p>
    <w:p w14:paraId="460E350F">
      <w:pPr>
        <w:pStyle w:val="27"/>
        <w:snapToGrid w:val="0"/>
        <w:spacing w:line="360" w:lineRule="auto"/>
        <w:ind w:left="6" w:firstLine="474" w:firstLineChars="0"/>
        <w:rPr>
          <w:rFonts w:ascii="仿宋" w:hAnsi="仿宋" w:eastAsia="仿宋" w:cs="仿宋"/>
        </w:rPr>
      </w:pPr>
      <w:r>
        <w:rPr>
          <w:rFonts w:hint="eastAsia" w:ascii="仿宋" w:hAnsi="仿宋" w:eastAsia="仿宋" w:cs="仿宋"/>
          <w:lang w:val="en-US" w:eastAsia="zh-CN"/>
        </w:rPr>
        <w:t>2</w:t>
      </w:r>
      <w:r>
        <w:rPr>
          <w:rFonts w:hint="eastAsia" w:ascii="仿宋" w:hAnsi="仿宋" w:eastAsia="仿宋" w:cs="仿宋"/>
        </w:rPr>
        <w:t>.3投标文件中，应当有备品备件、易损件的详细清单（内容包括名称、型号、规格、单位、数量、生产厂家、单价、总价等）。</w:t>
      </w:r>
    </w:p>
    <w:p w14:paraId="11F8DDE2">
      <w:pPr>
        <w:pStyle w:val="27"/>
        <w:snapToGrid w:val="0"/>
        <w:spacing w:line="360" w:lineRule="auto"/>
        <w:ind w:left="6" w:firstLine="474" w:firstLineChars="0"/>
        <w:rPr>
          <w:rFonts w:ascii="仿宋" w:hAnsi="仿宋" w:eastAsia="仿宋" w:cs="仿宋"/>
        </w:rPr>
      </w:pPr>
      <w:r>
        <w:rPr>
          <w:rFonts w:hint="eastAsia" w:ascii="仿宋" w:hAnsi="仿宋" w:eastAsia="仿宋" w:cs="仿宋"/>
          <w:lang w:val="en-US" w:eastAsia="zh-CN"/>
        </w:rPr>
        <w:t>2</w:t>
      </w:r>
      <w:r>
        <w:rPr>
          <w:rFonts w:hint="eastAsia" w:ascii="仿宋" w:hAnsi="仿宋" w:eastAsia="仿宋" w:cs="仿宋"/>
        </w:rPr>
        <w:t>.</w:t>
      </w:r>
      <w:r>
        <w:rPr>
          <w:rFonts w:hint="eastAsia" w:ascii="仿宋" w:hAnsi="仿宋" w:eastAsia="仿宋" w:cs="仿宋"/>
          <w:lang w:val="en-US" w:eastAsia="zh-CN"/>
        </w:rPr>
        <w:t>4</w:t>
      </w:r>
      <w:r>
        <w:rPr>
          <w:rFonts w:hint="eastAsia" w:ascii="仿宋" w:hAnsi="仿宋" w:eastAsia="仿宋" w:cs="仿宋"/>
        </w:rPr>
        <w:t>备品备件、易损件的费用应分类单列，并计入投标总报价之内。</w:t>
      </w:r>
    </w:p>
    <w:p w14:paraId="68E54838">
      <w:pPr>
        <w:jc w:val="center"/>
        <w:rPr>
          <w:rFonts w:ascii="仿宋" w:hAnsi="仿宋" w:eastAsia="仿宋" w:cs="仿宋"/>
          <w:b/>
          <w:bCs/>
          <w:sz w:val="24"/>
          <w:szCs w:val="24"/>
        </w:rPr>
      </w:pPr>
      <w:bookmarkStart w:id="311" w:name="_Toc16163"/>
      <w:bookmarkStart w:id="312" w:name="_Toc25983"/>
      <w:bookmarkStart w:id="313" w:name="_Toc18492"/>
      <w:bookmarkStart w:id="314" w:name="_Toc15620"/>
      <w:bookmarkStart w:id="315" w:name="_Toc27960"/>
      <w:bookmarkStart w:id="316" w:name="_Toc24898"/>
      <w:bookmarkStart w:id="317" w:name="_Toc16689"/>
      <w:bookmarkStart w:id="318" w:name="_Toc15671"/>
      <w:bookmarkStart w:id="319" w:name="_Toc17613"/>
      <w:bookmarkStart w:id="320" w:name="_Toc13201"/>
      <w:bookmarkStart w:id="321" w:name="_Toc5634"/>
      <w:bookmarkStart w:id="322" w:name="_Toc133783972"/>
      <w:bookmarkStart w:id="323" w:name="_Toc11851"/>
      <w:bookmarkStart w:id="324" w:name="_Toc3580"/>
      <w:bookmarkStart w:id="325" w:name="_Toc3548"/>
      <w:bookmarkStart w:id="326" w:name="_Toc12288"/>
      <w:bookmarkStart w:id="327" w:name="_Toc19194"/>
      <w:bookmarkStart w:id="328" w:name="_Toc4601"/>
      <w:bookmarkStart w:id="329" w:name="_Toc4268"/>
      <w:bookmarkStart w:id="330" w:name="_Toc18839"/>
      <w:bookmarkStart w:id="331" w:name="_Toc20754"/>
      <w:bookmarkStart w:id="332" w:name="_Toc6313"/>
      <w:bookmarkStart w:id="333" w:name="_Toc27636"/>
      <w:bookmarkStart w:id="334" w:name="_Toc603"/>
      <w:bookmarkStart w:id="335" w:name="_Toc4183"/>
      <w:bookmarkStart w:id="336" w:name="_Toc1998"/>
      <w:bookmarkStart w:id="337" w:name="_Toc11837"/>
      <w:bookmarkStart w:id="338" w:name="_Toc22358"/>
      <w:bookmarkStart w:id="339" w:name="_Toc17572"/>
      <w:bookmarkStart w:id="340" w:name="_Toc4381"/>
      <w:bookmarkStart w:id="341" w:name="_Toc81"/>
      <w:bookmarkStart w:id="342" w:name="_Toc29107"/>
      <w:bookmarkStart w:id="343" w:name="_Toc21360"/>
      <w:bookmarkStart w:id="344" w:name="_Toc17660"/>
      <w:bookmarkStart w:id="345" w:name="_Toc29792"/>
      <w:bookmarkStart w:id="346" w:name="_Toc23025"/>
      <w:bookmarkStart w:id="347" w:name="_Toc8309"/>
      <w:bookmarkStart w:id="348" w:name="_Toc23856"/>
      <w:bookmarkStart w:id="349" w:name="_Toc10692"/>
      <w:bookmarkStart w:id="350" w:name="_Toc4676"/>
      <w:bookmarkStart w:id="351" w:name="_Toc1897"/>
      <w:bookmarkStart w:id="352" w:name="_Toc30635"/>
      <w:bookmarkStart w:id="353" w:name="_Toc18118"/>
      <w:r>
        <w:rPr>
          <w:rFonts w:hint="eastAsia" w:ascii="仿宋" w:hAnsi="仿宋" w:eastAsia="仿宋" w:cs="仿宋"/>
          <w:b/>
          <w:bCs/>
          <w:sz w:val="24"/>
          <w:szCs w:val="24"/>
        </w:rPr>
        <w:t>第二节供货方式</w:t>
      </w:r>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14:paraId="472932FE">
      <w:pPr>
        <w:snapToGrid w:val="0"/>
        <w:spacing w:line="360" w:lineRule="auto"/>
        <w:ind w:left="480"/>
        <w:outlineLvl w:val="2"/>
        <w:rPr>
          <w:rFonts w:ascii="仿宋" w:hAnsi="仿宋" w:eastAsia="仿宋" w:cs="仿宋"/>
          <w:b/>
          <w:bCs/>
        </w:rPr>
      </w:pPr>
      <w:bookmarkStart w:id="354" w:name="_Toc14135"/>
      <w:bookmarkStart w:id="355" w:name="_Toc32491"/>
      <w:bookmarkStart w:id="356" w:name="_Toc24179"/>
      <w:bookmarkStart w:id="357" w:name="_Toc19237"/>
      <w:bookmarkStart w:id="358" w:name="_Toc4344"/>
      <w:bookmarkStart w:id="359" w:name="_Toc28962"/>
      <w:bookmarkStart w:id="360" w:name="_Toc28222"/>
      <w:bookmarkStart w:id="361" w:name="_Toc22679"/>
      <w:bookmarkStart w:id="362" w:name="_Toc3032"/>
      <w:bookmarkStart w:id="363" w:name="_Toc28759"/>
      <w:bookmarkStart w:id="364" w:name="_Toc27005"/>
      <w:bookmarkStart w:id="365" w:name="_Toc73112409"/>
      <w:bookmarkStart w:id="366" w:name="_Toc1116"/>
      <w:bookmarkStart w:id="367" w:name="_Toc18282"/>
      <w:bookmarkStart w:id="368" w:name="_Toc28360"/>
      <w:bookmarkStart w:id="369" w:name="_Toc1474"/>
      <w:bookmarkStart w:id="370" w:name="_Toc11533"/>
      <w:bookmarkStart w:id="371" w:name="_Toc28534"/>
      <w:bookmarkStart w:id="372" w:name="_Toc10286"/>
      <w:bookmarkStart w:id="373" w:name="_Toc20263"/>
      <w:bookmarkStart w:id="374" w:name="_Toc4791"/>
      <w:r>
        <w:rPr>
          <w:rFonts w:hint="eastAsia" w:ascii="仿宋" w:hAnsi="仿宋" w:eastAsia="仿宋" w:cs="仿宋"/>
          <w:b/>
          <w:bCs/>
        </w:rPr>
        <w:t>1供货地点</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0323677A">
      <w:pPr>
        <w:pStyle w:val="27"/>
        <w:snapToGrid w:val="0"/>
        <w:spacing w:line="360" w:lineRule="auto"/>
        <w:ind w:firstLine="480" w:firstLineChars="200"/>
        <w:rPr>
          <w:rFonts w:ascii="仿宋" w:hAnsi="仿宋" w:eastAsia="仿宋" w:cs="仿宋"/>
          <w:highlight w:val="yellow"/>
        </w:rPr>
      </w:pPr>
      <w:r>
        <w:rPr>
          <w:rFonts w:hint="eastAsia" w:ascii="仿宋_GB2312" w:hAnsi="仿宋_GB2312" w:eastAsia="仿宋_GB2312" w:cs="仿宋_GB2312"/>
          <w:b w:val="0"/>
          <w:bCs/>
          <w:snapToGrid w:val="0"/>
          <w:color w:val="000000"/>
          <w:kern w:val="0"/>
          <w:sz w:val="24"/>
          <w:szCs w:val="24"/>
          <w:lang w:val="en-US" w:eastAsia="zh-CN" w:bidi="ar"/>
        </w:rPr>
        <w:t>济南成型厂。</w:t>
      </w:r>
    </w:p>
    <w:p w14:paraId="0699631F">
      <w:pPr>
        <w:snapToGrid w:val="0"/>
        <w:spacing w:line="360" w:lineRule="auto"/>
        <w:ind w:left="480"/>
        <w:outlineLvl w:val="2"/>
        <w:rPr>
          <w:rFonts w:ascii="仿宋" w:hAnsi="仿宋" w:eastAsia="仿宋" w:cs="仿宋"/>
          <w:b/>
          <w:bCs/>
        </w:rPr>
      </w:pPr>
      <w:bookmarkStart w:id="375" w:name="_Toc8043"/>
      <w:bookmarkStart w:id="376" w:name="_Toc531"/>
      <w:bookmarkStart w:id="377" w:name="_Toc27558"/>
      <w:bookmarkStart w:id="378" w:name="_Toc30858"/>
      <w:bookmarkStart w:id="379" w:name="_Toc26178"/>
      <w:bookmarkStart w:id="380" w:name="_Toc2280"/>
      <w:bookmarkStart w:id="381" w:name="_Toc5862"/>
      <w:bookmarkStart w:id="382" w:name="_Toc6963"/>
      <w:bookmarkStart w:id="383" w:name="_Toc4215"/>
      <w:bookmarkStart w:id="384" w:name="_Toc73112410"/>
      <w:bookmarkStart w:id="385" w:name="_Toc9856"/>
      <w:bookmarkStart w:id="386" w:name="_Toc21521"/>
      <w:bookmarkStart w:id="387" w:name="_Toc20257"/>
      <w:bookmarkStart w:id="388" w:name="_Toc22977"/>
      <w:bookmarkStart w:id="389" w:name="_Toc31657"/>
      <w:bookmarkStart w:id="390" w:name="_Toc6707"/>
      <w:bookmarkStart w:id="391" w:name="_Toc22044"/>
      <w:bookmarkStart w:id="392" w:name="_Toc27724"/>
      <w:bookmarkStart w:id="393" w:name="_Toc11152"/>
      <w:bookmarkStart w:id="394" w:name="_Toc26611"/>
      <w:bookmarkStart w:id="395" w:name="_Toc11086"/>
      <w:r>
        <w:rPr>
          <w:rFonts w:hint="eastAsia" w:ascii="仿宋" w:hAnsi="仿宋" w:eastAsia="仿宋" w:cs="仿宋"/>
          <w:b/>
          <w:bCs/>
        </w:rPr>
        <w:t>2供货时间</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0FAA2823">
      <w:pPr>
        <w:snapToGrid w:val="0"/>
        <w:spacing w:line="360" w:lineRule="auto"/>
        <w:ind w:firstLine="420" w:firstLineChars="200"/>
        <w:jc w:val="left"/>
        <w:rPr>
          <w:rFonts w:ascii="仿宋" w:hAnsi="仿宋" w:eastAsia="仿宋" w:cs="仿宋"/>
          <w:strike/>
          <w:highlight w:val="yellow"/>
        </w:rPr>
      </w:pPr>
      <w:r>
        <w:rPr>
          <w:rFonts w:hint="eastAsia" w:ascii="仿宋" w:hAnsi="仿宋" w:eastAsia="仿宋" w:cs="仿宋"/>
          <w:highlight w:val="yellow"/>
        </w:rPr>
        <w:t>2.1</w:t>
      </w:r>
      <w:r>
        <w:rPr>
          <w:rFonts w:hint="eastAsia" w:ascii="仿宋" w:hAnsi="仿宋" w:eastAsia="仿宋" w:cs="仿宋"/>
          <w:highlight w:val="yellow"/>
          <w:lang w:eastAsia="zh-CN"/>
        </w:rPr>
        <w:t>卖方</w:t>
      </w:r>
      <w:r>
        <w:rPr>
          <w:rFonts w:hint="eastAsia" w:ascii="仿宋" w:hAnsi="仿宋" w:eastAsia="仿宋" w:cs="仿宋"/>
          <w:highlight w:val="yellow"/>
        </w:rPr>
        <w:t>应自</w:t>
      </w:r>
      <w:r>
        <w:rPr>
          <w:rFonts w:hint="eastAsia" w:ascii="仿宋" w:hAnsi="仿宋" w:eastAsia="仿宋" w:cs="仿宋"/>
          <w:highlight w:val="yellow"/>
          <w:lang w:val="en-US" w:eastAsia="zh-CN"/>
        </w:rPr>
        <w:t>合同签订后</w:t>
      </w:r>
      <w:r>
        <w:rPr>
          <w:rFonts w:hint="eastAsia" w:ascii="仿宋" w:hAnsi="仿宋" w:eastAsia="仿宋" w:cs="仿宋"/>
          <w:highlight w:val="yellow"/>
        </w:rPr>
        <w:t>，</w:t>
      </w:r>
      <w:r>
        <w:rPr>
          <w:rFonts w:hint="eastAsia" w:ascii="仿宋" w:hAnsi="仿宋" w:eastAsia="仿宋" w:cs="仿宋"/>
          <w:highlight w:val="yellow"/>
          <w:u w:val="single"/>
          <w:shd w:val="pct10" w:color="auto" w:fill="FFFFFF"/>
          <w:lang w:val="en-US" w:eastAsia="zh-CN"/>
        </w:rPr>
        <w:t>15</w:t>
      </w:r>
      <w:r>
        <w:rPr>
          <w:rFonts w:hint="eastAsia" w:ascii="仿宋" w:hAnsi="仿宋" w:eastAsia="仿宋" w:cs="仿宋"/>
          <w:highlight w:val="yellow"/>
        </w:rPr>
        <w:t>日历日之内交货至供货地点。</w:t>
      </w:r>
    </w:p>
    <w:p w14:paraId="1CF7D7A3">
      <w:pPr>
        <w:snapToGrid w:val="0"/>
        <w:spacing w:line="360" w:lineRule="auto"/>
        <w:ind w:firstLine="420" w:firstLineChars="200"/>
        <w:jc w:val="left"/>
        <w:rPr>
          <w:rFonts w:ascii="仿宋" w:hAnsi="仿宋" w:eastAsia="仿宋" w:cs="仿宋"/>
          <w:highlight w:val="yellow"/>
        </w:rPr>
      </w:pPr>
      <w:r>
        <w:rPr>
          <w:rFonts w:hint="eastAsia" w:ascii="仿宋" w:hAnsi="仿宋" w:eastAsia="仿宋" w:cs="仿宋"/>
          <w:highlight w:val="yellow"/>
        </w:rPr>
        <w:t>2.2连续</w:t>
      </w:r>
      <w:r>
        <w:rPr>
          <w:rFonts w:hint="eastAsia" w:ascii="仿宋" w:hAnsi="仿宋" w:eastAsia="仿宋" w:cs="仿宋"/>
          <w:highlight w:val="yellow"/>
          <w:u w:val="single"/>
          <w:lang w:val="en-US" w:eastAsia="zh-CN"/>
        </w:rPr>
        <w:t>15</w:t>
      </w:r>
      <w:r>
        <w:rPr>
          <w:rFonts w:hint="eastAsia" w:ascii="仿宋" w:hAnsi="仿宋" w:eastAsia="仿宋" w:cs="仿宋"/>
          <w:highlight w:val="yellow"/>
        </w:rPr>
        <w:t>个日历日之内安装调试完毕；</w:t>
      </w:r>
    </w:p>
    <w:p w14:paraId="4815E903">
      <w:pPr>
        <w:snapToGrid w:val="0"/>
        <w:spacing w:line="360" w:lineRule="auto"/>
        <w:ind w:firstLine="420" w:firstLineChars="200"/>
        <w:jc w:val="left"/>
        <w:rPr>
          <w:rFonts w:ascii="仿宋" w:hAnsi="仿宋" w:eastAsia="仿宋" w:cs="仿宋"/>
          <w:highlight w:val="yellow"/>
        </w:rPr>
      </w:pPr>
      <w:r>
        <w:rPr>
          <w:rFonts w:hint="eastAsia" w:ascii="仿宋" w:hAnsi="仿宋" w:eastAsia="仿宋" w:cs="仿宋"/>
          <w:highlight w:val="yellow"/>
        </w:rPr>
        <w:t>2.</w:t>
      </w:r>
      <w:r>
        <w:rPr>
          <w:rFonts w:hint="eastAsia" w:ascii="仿宋" w:hAnsi="仿宋" w:eastAsia="仿宋" w:cs="仿宋"/>
          <w:highlight w:val="yellow"/>
          <w:lang w:val="en-US" w:eastAsia="zh-CN"/>
        </w:rPr>
        <w:t>3</w:t>
      </w:r>
      <w:r>
        <w:rPr>
          <w:rFonts w:hint="eastAsia" w:ascii="仿宋" w:hAnsi="仿宋" w:eastAsia="仿宋" w:cs="仿宋"/>
          <w:highlight w:val="yellow"/>
        </w:rPr>
        <w:t>必要时，</w:t>
      </w:r>
      <w:r>
        <w:rPr>
          <w:rFonts w:hint="eastAsia" w:ascii="仿宋" w:hAnsi="仿宋" w:eastAsia="仿宋" w:cs="仿宋"/>
          <w:highlight w:val="yellow"/>
          <w:lang w:eastAsia="zh-CN"/>
        </w:rPr>
        <w:t>卖方</w:t>
      </w:r>
      <w:r>
        <w:rPr>
          <w:rFonts w:hint="eastAsia" w:ascii="仿宋" w:hAnsi="仿宋" w:eastAsia="仿宋" w:cs="仿宋"/>
          <w:highlight w:val="yellow"/>
        </w:rPr>
        <w:t>应当提供详细的工期计划。</w:t>
      </w:r>
    </w:p>
    <w:p w14:paraId="7E22DC1A">
      <w:pPr>
        <w:snapToGrid w:val="0"/>
        <w:spacing w:line="360" w:lineRule="auto"/>
        <w:ind w:left="480"/>
        <w:outlineLvl w:val="2"/>
        <w:rPr>
          <w:rFonts w:ascii="仿宋" w:hAnsi="仿宋" w:eastAsia="仿宋" w:cs="仿宋"/>
          <w:b/>
          <w:bCs/>
        </w:rPr>
      </w:pPr>
      <w:bookmarkStart w:id="396" w:name="_Toc22617"/>
      <w:bookmarkStart w:id="397" w:name="_Toc5288"/>
      <w:bookmarkStart w:id="398" w:name="_Toc22394"/>
      <w:bookmarkStart w:id="399" w:name="_Toc9507"/>
      <w:bookmarkStart w:id="400" w:name="_Toc16960"/>
      <w:bookmarkStart w:id="401" w:name="_Toc30983"/>
      <w:bookmarkStart w:id="402" w:name="_Toc29786"/>
      <w:bookmarkStart w:id="403" w:name="_Toc4431"/>
      <w:bookmarkStart w:id="404" w:name="_Toc17489"/>
      <w:bookmarkStart w:id="405" w:name="_Toc23122"/>
      <w:bookmarkStart w:id="406" w:name="_Toc4612"/>
      <w:bookmarkStart w:id="407" w:name="_Toc18153"/>
      <w:bookmarkStart w:id="408" w:name="_Toc73112411"/>
      <w:bookmarkStart w:id="409" w:name="_Toc31485"/>
      <w:bookmarkStart w:id="410" w:name="_Toc8193"/>
      <w:bookmarkStart w:id="411" w:name="_Toc22968"/>
      <w:bookmarkStart w:id="412" w:name="_Toc17351"/>
      <w:bookmarkStart w:id="413" w:name="_Toc8419"/>
      <w:bookmarkStart w:id="414" w:name="_Toc24587"/>
      <w:bookmarkStart w:id="415" w:name="_Toc11749"/>
      <w:bookmarkStart w:id="416" w:name="_Toc18845"/>
      <w:r>
        <w:rPr>
          <w:rFonts w:hint="eastAsia" w:ascii="仿宋" w:hAnsi="仿宋" w:eastAsia="仿宋" w:cs="仿宋"/>
          <w:b/>
          <w:bCs/>
        </w:rPr>
        <w:t>3质保期</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24CB73DB">
      <w:pPr>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3.1</w:t>
      </w:r>
      <w:r>
        <w:rPr>
          <w:rFonts w:hint="eastAsia" w:ascii="仿宋" w:hAnsi="仿宋" w:eastAsia="仿宋" w:cs="仿宋"/>
          <w:highlight w:val="yellow"/>
          <w:lang w:eastAsia="zh-CN"/>
        </w:rPr>
        <w:t>卖方</w:t>
      </w:r>
      <w:r>
        <w:rPr>
          <w:rFonts w:hint="eastAsia" w:ascii="仿宋" w:hAnsi="仿宋" w:eastAsia="仿宋" w:cs="仿宋"/>
          <w:highlight w:val="yellow"/>
        </w:rPr>
        <w:t>所提供货物涉及的全部供货范围内的设备、材料、零配件和工器具等，除合同特别约定外，其质保期均自终验收签字生效之日起</w:t>
      </w:r>
      <w:r>
        <w:rPr>
          <w:rFonts w:hint="eastAsia" w:ascii="仿宋" w:hAnsi="仿宋" w:eastAsia="仿宋" w:cs="仿宋"/>
          <w:highlight w:val="yellow"/>
          <w:u w:val="single"/>
          <w:lang w:val="en-US" w:eastAsia="zh-CN"/>
        </w:rPr>
        <w:t>36</w:t>
      </w:r>
      <w:r>
        <w:rPr>
          <w:rFonts w:hint="eastAsia" w:ascii="仿宋" w:hAnsi="仿宋" w:eastAsia="仿宋" w:cs="仿宋"/>
          <w:highlight w:val="yellow"/>
        </w:rPr>
        <w:t>个月。</w:t>
      </w:r>
    </w:p>
    <w:p w14:paraId="4298F6E6">
      <w:pPr>
        <w:snapToGrid w:val="0"/>
        <w:spacing w:line="360" w:lineRule="auto"/>
        <w:ind w:firstLine="420" w:firstLineChars="200"/>
        <w:jc w:val="left"/>
        <w:rPr>
          <w:rFonts w:ascii="仿宋" w:hAnsi="仿宋" w:eastAsia="仿宋" w:cs="仿宋"/>
          <w:highlight w:val="yellow"/>
        </w:rPr>
      </w:pPr>
      <w:r>
        <w:rPr>
          <w:rFonts w:hint="eastAsia" w:ascii="仿宋" w:hAnsi="仿宋" w:eastAsia="仿宋" w:cs="仿宋"/>
          <w:highlight w:val="yellow"/>
        </w:rPr>
        <w:t>3.2质保期之内，如果货物出现关键设备、总成、零部件或者多处一般设备、总成、零部件的更换或维修行为，则质保期自更换或维修行为结束、货物能够正常运行使用之日起重新计算。</w:t>
      </w:r>
    </w:p>
    <w:p w14:paraId="77554A81">
      <w:pPr>
        <w:snapToGrid w:val="0"/>
        <w:spacing w:line="360" w:lineRule="auto"/>
        <w:ind w:left="480"/>
        <w:outlineLvl w:val="2"/>
        <w:rPr>
          <w:rFonts w:ascii="仿宋" w:hAnsi="仿宋" w:eastAsia="仿宋" w:cs="仿宋"/>
          <w:b/>
          <w:bCs/>
        </w:rPr>
      </w:pPr>
      <w:bookmarkStart w:id="417" w:name="_Toc12791"/>
      <w:bookmarkStart w:id="418" w:name="_Toc426"/>
      <w:bookmarkStart w:id="419" w:name="_Toc26040"/>
      <w:bookmarkStart w:id="420" w:name="_Toc27080"/>
      <w:bookmarkStart w:id="421" w:name="_Toc20248"/>
      <w:bookmarkStart w:id="422" w:name="_Toc17320"/>
      <w:bookmarkStart w:id="423" w:name="_Toc14622"/>
      <w:bookmarkStart w:id="424" w:name="_Toc5126"/>
      <w:bookmarkStart w:id="425" w:name="_Toc27729"/>
      <w:bookmarkStart w:id="426" w:name="_Toc21924"/>
      <w:bookmarkStart w:id="427" w:name="_Toc73112412"/>
      <w:bookmarkStart w:id="428" w:name="_Toc20400"/>
      <w:bookmarkStart w:id="429" w:name="_Toc19011"/>
      <w:bookmarkStart w:id="430" w:name="_Toc28907"/>
      <w:bookmarkStart w:id="431" w:name="_Toc10272"/>
      <w:bookmarkStart w:id="432" w:name="_Toc16381"/>
      <w:bookmarkStart w:id="433" w:name="_Toc22951"/>
      <w:bookmarkStart w:id="434" w:name="_Toc21555"/>
      <w:bookmarkStart w:id="435" w:name="_Toc27377"/>
      <w:bookmarkStart w:id="436" w:name="_Toc29090"/>
      <w:bookmarkStart w:id="437" w:name="_Toc16664"/>
      <w:r>
        <w:rPr>
          <w:rFonts w:hint="eastAsia" w:ascii="仿宋" w:hAnsi="仿宋" w:eastAsia="仿宋" w:cs="仿宋"/>
          <w:b/>
          <w:bCs/>
        </w:rPr>
        <w:t>4包装</w:t>
      </w:r>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6A1A7368">
      <w:pPr>
        <w:pStyle w:val="27"/>
        <w:snapToGrid w:val="0"/>
        <w:spacing w:line="360" w:lineRule="auto"/>
        <w:ind w:firstLine="480" w:firstLineChars="200"/>
        <w:rPr>
          <w:rFonts w:ascii="仿宋" w:hAnsi="仿宋" w:eastAsia="仿宋" w:cs="仿宋"/>
        </w:rPr>
      </w:pPr>
      <w:r>
        <w:rPr>
          <w:rFonts w:hint="eastAsia" w:ascii="仿宋" w:hAnsi="仿宋" w:eastAsia="仿宋" w:cs="仿宋"/>
        </w:rPr>
        <w:t>4.1</w:t>
      </w:r>
      <w:r>
        <w:rPr>
          <w:rFonts w:hint="eastAsia" w:ascii="仿宋" w:hAnsi="仿宋" w:eastAsia="仿宋" w:cs="仿宋"/>
          <w:lang w:eastAsia="zh-CN"/>
        </w:rPr>
        <w:t>卖方</w:t>
      </w:r>
      <w:r>
        <w:rPr>
          <w:rFonts w:hint="eastAsia" w:ascii="仿宋" w:hAnsi="仿宋" w:eastAsia="仿宋" w:cs="仿宋"/>
        </w:rPr>
        <w:t>所提供货物（或设备）的包装，应遵照国家标准和有关包装、包皮的技术条件，或按照最好的商业惯例进行包装。</w:t>
      </w:r>
    </w:p>
    <w:p w14:paraId="2B5A24BA">
      <w:pPr>
        <w:pStyle w:val="27"/>
        <w:snapToGrid w:val="0"/>
        <w:spacing w:line="360" w:lineRule="auto"/>
        <w:ind w:firstLine="480" w:firstLineChars="200"/>
        <w:rPr>
          <w:rFonts w:ascii="仿宋" w:hAnsi="仿宋" w:eastAsia="仿宋" w:cs="仿宋"/>
        </w:rPr>
      </w:pPr>
      <w:r>
        <w:rPr>
          <w:rFonts w:hint="eastAsia" w:ascii="仿宋" w:hAnsi="仿宋" w:eastAsia="仿宋" w:cs="仿宋"/>
        </w:rPr>
        <w:t>4.2包装应能满足所需要采取的运输方式应能防止雨淋、受潮、生锈、腐蚀、受振、受磁以及机械和化学因素等引起的损坏。</w:t>
      </w:r>
    </w:p>
    <w:p w14:paraId="2563547A">
      <w:pPr>
        <w:pStyle w:val="27"/>
        <w:snapToGrid w:val="0"/>
        <w:spacing w:line="360" w:lineRule="auto"/>
        <w:ind w:firstLine="480" w:firstLineChars="200"/>
        <w:rPr>
          <w:rFonts w:ascii="仿宋" w:hAnsi="仿宋" w:eastAsia="仿宋" w:cs="仿宋"/>
        </w:rPr>
      </w:pPr>
      <w:r>
        <w:rPr>
          <w:rFonts w:hint="eastAsia" w:ascii="仿宋" w:hAnsi="仿宋" w:eastAsia="仿宋" w:cs="仿宋"/>
        </w:rPr>
        <w:t>4.3</w:t>
      </w:r>
      <w:r>
        <w:rPr>
          <w:rFonts w:hint="eastAsia" w:ascii="仿宋" w:hAnsi="仿宋" w:eastAsia="仿宋" w:cs="仿宋"/>
          <w:lang w:eastAsia="zh-CN"/>
        </w:rPr>
        <w:t>卖方</w:t>
      </w:r>
      <w:r>
        <w:rPr>
          <w:rFonts w:hint="eastAsia" w:ascii="仿宋" w:hAnsi="仿宋" w:eastAsia="仿宋" w:cs="仿宋"/>
        </w:rPr>
        <w:t>所提供货物（或设备）的包装，应能防止其一般性被窃或受外力破坏。</w:t>
      </w:r>
      <w:r>
        <w:rPr>
          <w:rFonts w:ascii="仿宋" w:hAnsi="仿宋" w:eastAsia="仿宋" w:cs="仿宋"/>
        </w:rPr>
        <w:t xml:space="preserve"> </w:t>
      </w:r>
    </w:p>
    <w:p w14:paraId="3FAB5673">
      <w:pPr>
        <w:pStyle w:val="27"/>
        <w:snapToGrid w:val="0"/>
        <w:spacing w:line="360" w:lineRule="auto"/>
        <w:ind w:firstLine="480" w:firstLineChars="200"/>
        <w:rPr>
          <w:rFonts w:ascii="仿宋" w:hAnsi="仿宋" w:eastAsia="仿宋" w:cs="仿宋"/>
        </w:rPr>
      </w:pPr>
      <w:r>
        <w:rPr>
          <w:rFonts w:hint="eastAsia" w:ascii="仿宋" w:hAnsi="仿宋" w:eastAsia="仿宋" w:cs="仿宋"/>
        </w:rPr>
        <w:t>4.4</w:t>
      </w:r>
      <w:r>
        <w:rPr>
          <w:rFonts w:hint="eastAsia" w:ascii="仿宋" w:hAnsi="仿宋" w:eastAsia="仿宋" w:cs="仿宋"/>
          <w:lang w:eastAsia="zh-CN"/>
        </w:rPr>
        <w:t>卖方</w:t>
      </w:r>
      <w:r>
        <w:rPr>
          <w:rFonts w:hint="eastAsia" w:ascii="仿宋" w:hAnsi="仿宋" w:eastAsia="仿宋" w:cs="仿宋"/>
        </w:rPr>
        <w:t>应对包装件做必要的加固和固定等防护措施，以防止运输可能造成的损坏。</w:t>
      </w:r>
    </w:p>
    <w:p w14:paraId="6E92560A">
      <w:pPr>
        <w:pStyle w:val="27"/>
        <w:snapToGrid w:val="0"/>
        <w:spacing w:line="360" w:lineRule="auto"/>
        <w:ind w:firstLine="480" w:firstLineChars="200"/>
        <w:rPr>
          <w:rFonts w:ascii="仿宋" w:hAnsi="仿宋" w:eastAsia="仿宋" w:cs="仿宋"/>
        </w:rPr>
      </w:pPr>
      <w:r>
        <w:rPr>
          <w:rFonts w:hint="eastAsia" w:ascii="仿宋" w:hAnsi="仿宋" w:eastAsia="仿宋" w:cs="仿宋"/>
        </w:rPr>
        <w:t>4.5每个包装件应有装箱单，并至少标明名称、型号规格、数量、净重和毛重、</w:t>
      </w:r>
      <w:r>
        <w:rPr>
          <w:rFonts w:hint="eastAsia" w:ascii="仿宋" w:hAnsi="仿宋" w:eastAsia="仿宋" w:cs="仿宋"/>
          <w:lang w:eastAsia="zh-CN"/>
        </w:rPr>
        <w:t>卖方</w:t>
      </w:r>
      <w:r>
        <w:rPr>
          <w:rFonts w:hint="eastAsia" w:ascii="仿宋" w:hAnsi="仿宋" w:eastAsia="仿宋" w:cs="仿宋"/>
        </w:rPr>
        <w:t>（或供货商）名称和制造日期等相关内容。</w:t>
      </w:r>
    </w:p>
    <w:p w14:paraId="067AD8F1">
      <w:pPr>
        <w:pStyle w:val="27"/>
        <w:snapToGrid w:val="0"/>
        <w:spacing w:line="360" w:lineRule="auto"/>
        <w:ind w:firstLine="480" w:firstLineChars="200"/>
        <w:rPr>
          <w:rFonts w:ascii="仿宋" w:hAnsi="仿宋" w:eastAsia="仿宋" w:cs="仿宋"/>
        </w:rPr>
      </w:pPr>
      <w:r>
        <w:rPr>
          <w:rFonts w:hint="eastAsia" w:ascii="仿宋" w:hAnsi="仿宋" w:eastAsia="仿宋" w:cs="仿宋"/>
        </w:rPr>
        <w:t>4.6每个包装箱应有明显标志，并具有中文书写的合同号、装运标志、发货和到货地点名称、发货人和收货人名称、货物名称和项目号、箱号和外型尺寸等内容。</w:t>
      </w:r>
    </w:p>
    <w:p w14:paraId="30B6B1C0">
      <w:pPr>
        <w:pStyle w:val="27"/>
        <w:snapToGrid w:val="0"/>
        <w:spacing w:line="360" w:lineRule="auto"/>
        <w:ind w:firstLine="480" w:firstLineChars="200"/>
        <w:rPr>
          <w:rFonts w:ascii="仿宋" w:hAnsi="仿宋" w:eastAsia="仿宋" w:cs="仿宋"/>
        </w:rPr>
      </w:pPr>
      <w:r>
        <w:rPr>
          <w:rFonts w:hint="eastAsia" w:ascii="仿宋" w:hAnsi="仿宋" w:eastAsia="仿宋" w:cs="仿宋"/>
        </w:rPr>
        <w:t>4.7</w:t>
      </w:r>
      <w:r>
        <w:rPr>
          <w:rFonts w:hint="eastAsia" w:ascii="仿宋" w:hAnsi="仿宋" w:eastAsia="仿宋" w:cs="仿宋"/>
          <w:lang w:eastAsia="zh-CN"/>
        </w:rPr>
        <w:t>卖方</w:t>
      </w:r>
      <w:r>
        <w:rPr>
          <w:rFonts w:hint="eastAsia" w:ascii="仿宋" w:hAnsi="仿宋" w:eastAsia="仿宋" w:cs="仿宋"/>
        </w:rPr>
        <w:t>还应按照不同的装运要求在包装箱上标明“小心轻放”、“箭头向上”、“防潮”、“防磁”、“不准平放”等标志，以及其它适用的国标通用标志。</w:t>
      </w:r>
    </w:p>
    <w:p w14:paraId="779F1E98">
      <w:pPr>
        <w:pStyle w:val="27"/>
        <w:snapToGrid w:val="0"/>
        <w:spacing w:line="360" w:lineRule="auto"/>
        <w:ind w:firstLine="480" w:firstLineChars="200"/>
        <w:rPr>
          <w:rFonts w:ascii="仿宋" w:hAnsi="仿宋" w:eastAsia="仿宋" w:cs="仿宋"/>
        </w:rPr>
      </w:pPr>
      <w:r>
        <w:rPr>
          <w:rFonts w:hint="eastAsia" w:ascii="仿宋" w:hAnsi="仿宋" w:eastAsia="仿宋" w:cs="仿宋"/>
        </w:rPr>
        <w:t>4.8包装箱应连续编号，不应出现重复编号。</w:t>
      </w:r>
    </w:p>
    <w:p w14:paraId="7F3F0991">
      <w:pPr>
        <w:pStyle w:val="27"/>
        <w:snapToGrid w:val="0"/>
        <w:spacing w:line="360" w:lineRule="auto"/>
        <w:ind w:firstLine="480" w:firstLineChars="200"/>
        <w:rPr>
          <w:rFonts w:ascii="仿宋" w:hAnsi="仿宋" w:eastAsia="仿宋" w:cs="仿宋"/>
        </w:rPr>
      </w:pPr>
      <w:r>
        <w:rPr>
          <w:rFonts w:hint="eastAsia" w:ascii="仿宋" w:hAnsi="仿宋" w:eastAsia="仿宋" w:cs="仿宋"/>
        </w:rPr>
        <w:t>4.9在不受到外界破坏情况下，包装应保证自交货日起一年内货物（或设备）完好无损。</w:t>
      </w:r>
    </w:p>
    <w:p w14:paraId="428F6E98">
      <w:pPr>
        <w:snapToGrid w:val="0"/>
        <w:spacing w:line="360" w:lineRule="auto"/>
        <w:ind w:left="480"/>
        <w:outlineLvl w:val="2"/>
        <w:rPr>
          <w:rFonts w:ascii="仿宋" w:hAnsi="仿宋" w:eastAsia="仿宋" w:cs="仿宋"/>
          <w:b/>
          <w:bCs/>
        </w:rPr>
      </w:pPr>
      <w:bookmarkStart w:id="438" w:name="_Toc22792"/>
      <w:bookmarkStart w:id="439" w:name="_Toc73112413"/>
      <w:bookmarkStart w:id="440" w:name="_Toc8"/>
      <w:bookmarkStart w:id="441" w:name="_Toc21308"/>
      <w:bookmarkStart w:id="442" w:name="_Toc24996"/>
      <w:bookmarkStart w:id="443" w:name="_Toc22992"/>
      <w:bookmarkStart w:id="444" w:name="_Toc25305"/>
      <w:bookmarkStart w:id="445" w:name="_Toc7889"/>
      <w:bookmarkStart w:id="446" w:name="_Toc5373"/>
      <w:bookmarkStart w:id="447" w:name="_Toc22949"/>
      <w:bookmarkStart w:id="448" w:name="_Toc17881"/>
      <w:bookmarkStart w:id="449" w:name="_Toc4346"/>
      <w:bookmarkStart w:id="450" w:name="_Toc31538"/>
      <w:bookmarkStart w:id="451" w:name="_Toc7046"/>
      <w:bookmarkStart w:id="452" w:name="_Toc21886"/>
      <w:bookmarkStart w:id="453" w:name="_Toc26302"/>
      <w:bookmarkStart w:id="454" w:name="_Toc23221"/>
      <w:bookmarkStart w:id="455" w:name="_Toc17990"/>
      <w:bookmarkStart w:id="456" w:name="_Toc20536"/>
      <w:bookmarkStart w:id="457" w:name="_Toc1857"/>
      <w:bookmarkStart w:id="458" w:name="_Toc32266"/>
      <w:r>
        <w:rPr>
          <w:rFonts w:hint="eastAsia" w:ascii="仿宋" w:hAnsi="仿宋" w:eastAsia="仿宋" w:cs="仿宋"/>
          <w:b/>
          <w:bCs/>
        </w:rPr>
        <w:t>5运输</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29A8D0E8">
      <w:pPr>
        <w:pStyle w:val="27"/>
        <w:snapToGrid w:val="0"/>
        <w:spacing w:line="360" w:lineRule="auto"/>
        <w:ind w:firstLine="480" w:firstLineChars="200"/>
        <w:rPr>
          <w:rFonts w:ascii="仿宋" w:hAnsi="仿宋" w:eastAsia="仿宋" w:cs="仿宋"/>
        </w:rPr>
      </w:pPr>
      <w:r>
        <w:rPr>
          <w:rFonts w:hint="eastAsia" w:ascii="仿宋" w:hAnsi="仿宋" w:eastAsia="仿宋" w:cs="仿宋"/>
        </w:rPr>
        <w:t>5.1</w:t>
      </w:r>
      <w:r>
        <w:rPr>
          <w:rFonts w:hint="eastAsia" w:ascii="仿宋" w:hAnsi="仿宋" w:eastAsia="仿宋" w:cs="仿宋"/>
          <w:lang w:eastAsia="zh-CN"/>
        </w:rPr>
        <w:t>卖方</w:t>
      </w:r>
      <w:r>
        <w:rPr>
          <w:rFonts w:hint="eastAsia" w:ascii="仿宋" w:hAnsi="仿宋" w:eastAsia="仿宋" w:cs="仿宋"/>
        </w:rPr>
        <w:t>应负责将货物（或设备）运到目的地，并必须做到货物（或设备）在任何运输过程中不受损坏和遗失</w:t>
      </w:r>
    </w:p>
    <w:p w14:paraId="6FD27963">
      <w:pPr>
        <w:pStyle w:val="27"/>
        <w:snapToGrid w:val="0"/>
        <w:spacing w:line="360" w:lineRule="auto"/>
        <w:ind w:firstLine="480" w:firstLineChars="200"/>
        <w:rPr>
          <w:rFonts w:ascii="仿宋" w:hAnsi="仿宋" w:eastAsia="仿宋" w:cs="仿宋"/>
        </w:rPr>
      </w:pPr>
      <w:r>
        <w:rPr>
          <w:rFonts w:hint="eastAsia" w:ascii="仿宋" w:hAnsi="仿宋" w:eastAsia="仿宋" w:cs="仿宋"/>
        </w:rPr>
        <w:t>5.2同批货物（或设备）应统一包装、编号运输。</w:t>
      </w:r>
    </w:p>
    <w:p w14:paraId="3DE8EA5A">
      <w:pPr>
        <w:pStyle w:val="27"/>
        <w:snapToGrid w:val="0"/>
        <w:spacing w:line="360" w:lineRule="auto"/>
        <w:ind w:firstLine="480" w:firstLineChars="200"/>
        <w:rPr>
          <w:rFonts w:ascii="仿宋" w:hAnsi="仿宋" w:eastAsia="仿宋" w:cs="仿宋"/>
        </w:rPr>
      </w:pPr>
      <w:r>
        <w:rPr>
          <w:rFonts w:hint="eastAsia" w:ascii="仿宋" w:hAnsi="仿宋" w:eastAsia="仿宋" w:cs="仿宋"/>
        </w:rPr>
        <w:t>5.3一般情况下，经由铁路、公路运输的包装件尺寸和重量不应超过国家所规定的尺寸限制。特殊情况应予以说明。</w:t>
      </w:r>
    </w:p>
    <w:p w14:paraId="1133A8D2">
      <w:pPr>
        <w:pStyle w:val="27"/>
        <w:snapToGrid w:val="0"/>
        <w:spacing w:line="360" w:lineRule="auto"/>
        <w:ind w:firstLine="480" w:firstLineChars="200"/>
        <w:rPr>
          <w:rFonts w:ascii="仿宋" w:hAnsi="仿宋" w:eastAsia="仿宋" w:cs="仿宋"/>
        </w:rPr>
      </w:pPr>
      <w:r>
        <w:rPr>
          <w:rFonts w:hint="eastAsia" w:ascii="仿宋" w:hAnsi="仿宋" w:eastAsia="仿宋" w:cs="仿宋"/>
        </w:rPr>
        <w:t>5.4在每批货物（或设备）发出后，</w:t>
      </w:r>
      <w:r>
        <w:rPr>
          <w:rFonts w:hint="eastAsia" w:ascii="仿宋" w:hAnsi="仿宋" w:eastAsia="仿宋" w:cs="仿宋"/>
          <w:lang w:eastAsia="zh-CN"/>
        </w:rPr>
        <w:t>卖方</w:t>
      </w:r>
      <w:r>
        <w:rPr>
          <w:rFonts w:hint="eastAsia" w:ascii="仿宋" w:hAnsi="仿宋" w:eastAsia="仿宋" w:cs="仿宋"/>
        </w:rPr>
        <w:t>应立即通知</w:t>
      </w:r>
      <w:r>
        <w:rPr>
          <w:rFonts w:hint="eastAsia" w:ascii="仿宋" w:hAnsi="仿宋" w:eastAsia="仿宋" w:cs="仿宋"/>
          <w:lang w:eastAsia="zh-CN"/>
        </w:rPr>
        <w:t>买方</w:t>
      </w:r>
      <w:r>
        <w:rPr>
          <w:rFonts w:hint="eastAsia" w:ascii="仿宋" w:hAnsi="仿宋" w:eastAsia="仿宋" w:cs="仿宋"/>
        </w:rPr>
        <w:t>；通知中应指明：合同号、货运单号、件数、重量和货物（或设备）发出日期等相关内容。</w:t>
      </w:r>
    </w:p>
    <w:p w14:paraId="798FF9D6">
      <w:pPr>
        <w:pStyle w:val="27"/>
        <w:snapToGrid w:val="0"/>
        <w:spacing w:line="360" w:lineRule="auto"/>
        <w:ind w:firstLine="480" w:firstLineChars="200"/>
        <w:rPr>
          <w:rFonts w:ascii="仿宋" w:hAnsi="仿宋" w:eastAsia="仿宋" w:cs="仿宋"/>
        </w:rPr>
      </w:pPr>
      <w:r>
        <w:rPr>
          <w:rFonts w:hint="eastAsia" w:ascii="仿宋" w:hAnsi="仿宋" w:eastAsia="仿宋" w:cs="仿宋"/>
        </w:rPr>
        <w:t>5.5货物（或设备）运抵</w:t>
      </w:r>
      <w:r>
        <w:rPr>
          <w:rFonts w:hint="eastAsia" w:ascii="仿宋" w:hAnsi="仿宋" w:eastAsia="仿宋" w:cs="仿宋"/>
          <w:lang w:eastAsia="zh-CN"/>
        </w:rPr>
        <w:t>买方</w:t>
      </w:r>
      <w:r>
        <w:rPr>
          <w:rFonts w:hint="eastAsia" w:ascii="仿宋" w:hAnsi="仿宋" w:eastAsia="仿宋" w:cs="仿宋"/>
        </w:rPr>
        <w:t>现场后，</w:t>
      </w:r>
      <w:r>
        <w:rPr>
          <w:rFonts w:hint="eastAsia" w:ascii="仿宋" w:hAnsi="仿宋" w:eastAsia="仿宋" w:cs="仿宋"/>
          <w:lang w:eastAsia="zh-CN"/>
        </w:rPr>
        <w:t>卖方</w:t>
      </w:r>
      <w:r>
        <w:rPr>
          <w:rFonts w:hint="eastAsia" w:ascii="仿宋" w:hAnsi="仿宋" w:eastAsia="仿宋" w:cs="仿宋"/>
        </w:rPr>
        <w:t>应负责货物（或设备）的卸货、搬运、保管等事宜；或按照合同约定。</w:t>
      </w:r>
      <w:bookmarkStart w:id="459" w:name="_Toc133783973"/>
    </w:p>
    <w:p w14:paraId="52C9CBA9">
      <w:pPr>
        <w:rPr>
          <w:rFonts w:hint="eastAsia" w:ascii="仿宋" w:hAnsi="仿宋" w:eastAsia="仿宋" w:cs="仿宋"/>
          <w:b/>
          <w:bCs/>
          <w:sz w:val="24"/>
          <w:szCs w:val="24"/>
        </w:rPr>
      </w:pPr>
      <w:bookmarkStart w:id="460" w:name="_Toc32280"/>
      <w:bookmarkStart w:id="461" w:name="_Toc29063"/>
      <w:bookmarkStart w:id="462" w:name="_Toc14916"/>
      <w:bookmarkStart w:id="463" w:name="_Toc10894"/>
      <w:bookmarkStart w:id="464" w:name="_Toc25292"/>
      <w:bookmarkStart w:id="465" w:name="_Toc23255"/>
      <w:bookmarkStart w:id="466" w:name="_Toc11027"/>
      <w:bookmarkStart w:id="467" w:name="_Toc22680"/>
      <w:bookmarkStart w:id="468" w:name="_Toc24978"/>
      <w:bookmarkStart w:id="469" w:name="_Toc24415"/>
      <w:bookmarkStart w:id="470" w:name="_Toc23663"/>
      <w:bookmarkStart w:id="471" w:name="_Toc7672"/>
      <w:bookmarkStart w:id="472" w:name="_Toc3739"/>
      <w:bookmarkStart w:id="473" w:name="_Toc31301"/>
      <w:bookmarkStart w:id="474" w:name="_Toc12021"/>
      <w:bookmarkStart w:id="475" w:name="_Toc12478"/>
      <w:bookmarkStart w:id="476" w:name="_Toc7501"/>
      <w:bookmarkStart w:id="477" w:name="_Toc28211"/>
      <w:bookmarkStart w:id="478" w:name="_Toc8515"/>
      <w:bookmarkStart w:id="479" w:name="_Toc9059"/>
      <w:bookmarkStart w:id="480" w:name="_Toc25780"/>
      <w:bookmarkStart w:id="481" w:name="_Toc26671"/>
      <w:bookmarkStart w:id="482" w:name="_Toc19986"/>
      <w:bookmarkStart w:id="483" w:name="_Toc19133"/>
      <w:bookmarkStart w:id="484" w:name="_Toc16036"/>
      <w:bookmarkStart w:id="485" w:name="_Toc18423"/>
      <w:bookmarkStart w:id="486" w:name="_Toc27169"/>
      <w:bookmarkStart w:id="487" w:name="_Toc15153"/>
      <w:bookmarkStart w:id="488" w:name="_Toc27085"/>
      <w:bookmarkStart w:id="489" w:name="_Toc10676"/>
      <w:bookmarkStart w:id="490" w:name="_Toc1740"/>
      <w:bookmarkStart w:id="491" w:name="_Toc14414"/>
      <w:bookmarkStart w:id="492" w:name="_Toc13927"/>
      <w:bookmarkStart w:id="493" w:name="_Toc14023"/>
      <w:bookmarkStart w:id="494" w:name="_Toc25044"/>
      <w:bookmarkStart w:id="495" w:name="_Toc2668"/>
      <w:bookmarkStart w:id="496" w:name="_Toc24397"/>
      <w:bookmarkStart w:id="497" w:name="_Toc14171"/>
      <w:bookmarkStart w:id="498" w:name="_Toc28164"/>
      <w:bookmarkStart w:id="499" w:name="_Toc14862"/>
      <w:bookmarkStart w:id="500" w:name="_Toc14229"/>
      <w:bookmarkStart w:id="501" w:name="_Toc10275"/>
      <w:bookmarkStart w:id="502" w:name="_Toc26651"/>
      <w:r>
        <w:rPr>
          <w:rFonts w:hint="eastAsia" w:ascii="仿宋" w:hAnsi="仿宋" w:eastAsia="仿宋" w:cs="仿宋"/>
          <w:b/>
          <w:bCs/>
          <w:sz w:val="24"/>
          <w:szCs w:val="24"/>
        </w:rPr>
        <w:br w:type="page"/>
      </w:r>
    </w:p>
    <w:p w14:paraId="12A58629">
      <w:pPr>
        <w:adjustRightInd w:val="0"/>
        <w:snapToGrid w:val="0"/>
        <w:spacing w:before="163" w:beforeLines="50" w:after="163" w:afterLines="50" w:line="360" w:lineRule="auto"/>
        <w:jc w:val="center"/>
        <w:outlineLvl w:val="0"/>
        <w:rPr>
          <w:rFonts w:ascii="仿宋" w:hAnsi="仿宋" w:eastAsia="仿宋" w:cs="仿宋"/>
          <w:b/>
          <w:bCs/>
        </w:rPr>
      </w:pPr>
      <w:r>
        <w:rPr>
          <w:rFonts w:hint="eastAsia" w:ascii="仿宋" w:hAnsi="仿宋" w:eastAsia="仿宋" w:cs="仿宋"/>
          <w:b/>
          <w:bCs/>
          <w:sz w:val="24"/>
          <w:szCs w:val="24"/>
        </w:rPr>
        <w:t>第四章售中售后服务</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39E9AF9">
      <w:pPr>
        <w:snapToGrid w:val="0"/>
        <w:spacing w:line="360" w:lineRule="auto"/>
        <w:ind w:left="480"/>
        <w:outlineLvl w:val="1"/>
        <w:rPr>
          <w:rFonts w:ascii="仿宋" w:hAnsi="仿宋" w:eastAsia="仿宋" w:cs="仿宋"/>
          <w:b/>
          <w:bCs/>
          <w:highlight w:val="yellow"/>
        </w:rPr>
      </w:pPr>
      <w:bookmarkStart w:id="503" w:name="_Toc4682"/>
      <w:bookmarkStart w:id="504" w:name="_Toc10791"/>
      <w:bookmarkStart w:id="505" w:name="_Toc25979"/>
      <w:bookmarkStart w:id="506" w:name="_Toc8465"/>
      <w:bookmarkStart w:id="507" w:name="_Toc10787"/>
      <w:bookmarkStart w:id="508" w:name="_Toc2661"/>
      <w:bookmarkStart w:id="509" w:name="_Toc217"/>
      <w:bookmarkStart w:id="510" w:name="_Toc12793"/>
      <w:bookmarkStart w:id="511" w:name="_Toc414"/>
      <w:bookmarkStart w:id="512" w:name="_Toc18522"/>
      <w:bookmarkStart w:id="513" w:name="_Toc20514"/>
      <w:bookmarkStart w:id="514" w:name="_Toc29321"/>
      <w:bookmarkStart w:id="515" w:name="_Toc23493"/>
      <w:bookmarkStart w:id="516" w:name="_Toc19735"/>
      <w:bookmarkStart w:id="517" w:name="_Toc2564"/>
      <w:bookmarkStart w:id="518" w:name="_Toc3722"/>
      <w:bookmarkStart w:id="519" w:name="_Toc8910"/>
      <w:bookmarkStart w:id="520" w:name="_Toc14199"/>
      <w:bookmarkStart w:id="521" w:name="_Toc9919"/>
      <w:bookmarkStart w:id="522" w:name="_Toc29262"/>
      <w:bookmarkStart w:id="523" w:name="_Toc28487"/>
      <w:bookmarkStart w:id="524" w:name="_Toc13551"/>
      <w:bookmarkStart w:id="525" w:name="_Toc3697"/>
      <w:bookmarkStart w:id="526" w:name="_Toc4952"/>
      <w:bookmarkStart w:id="527" w:name="_Toc4180"/>
      <w:bookmarkStart w:id="528" w:name="_Toc20772"/>
      <w:bookmarkStart w:id="529" w:name="_Toc788"/>
      <w:bookmarkStart w:id="530" w:name="_Toc344"/>
      <w:bookmarkStart w:id="531" w:name="_Toc17832"/>
      <w:bookmarkStart w:id="532" w:name="_Toc17645"/>
      <w:bookmarkStart w:id="533" w:name="_Toc24654"/>
      <w:bookmarkStart w:id="534" w:name="_Toc23541"/>
      <w:bookmarkStart w:id="535" w:name="_Toc9079"/>
      <w:bookmarkStart w:id="536" w:name="_Toc7723"/>
      <w:bookmarkStart w:id="537" w:name="_Toc25505"/>
      <w:bookmarkStart w:id="538" w:name="_Toc7036"/>
      <w:bookmarkStart w:id="539" w:name="_Toc27811"/>
      <w:bookmarkStart w:id="540" w:name="_Toc23892"/>
      <w:bookmarkStart w:id="541" w:name="_Toc24344"/>
      <w:bookmarkStart w:id="542" w:name="_Toc16066"/>
      <w:bookmarkStart w:id="543" w:name="_Toc13786"/>
      <w:bookmarkStart w:id="544" w:name="_Toc19576"/>
      <w:r>
        <w:rPr>
          <w:rFonts w:hint="eastAsia" w:ascii="仿宋" w:hAnsi="仿宋" w:eastAsia="仿宋" w:cs="仿宋"/>
          <w:b/>
          <w:bCs/>
          <w:highlight w:val="yellow"/>
        </w:rPr>
        <w:t>1技术及培训服务</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0D74AE76">
      <w:pPr>
        <w:pStyle w:val="27"/>
        <w:snapToGrid w:val="0"/>
        <w:spacing w:line="360" w:lineRule="auto"/>
        <w:ind w:firstLine="480" w:firstLineChars="200"/>
        <w:rPr>
          <w:rFonts w:ascii="仿宋" w:hAnsi="仿宋" w:eastAsia="仿宋" w:cs="仿宋"/>
        </w:rPr>
      </w:pPr>
      <w:r>
        <w:rPr>
          <w:rFonts w:hint="eastAsia" w:ascii="仿宋" w:hAnsi="仿宋" w:eastAsia="仿宋" w:cs="仿宋"/>
        </w:rPr>
        <w:t>1.1</w:t>
      </w:r>
      <w:r>
        <w:rPr>
          <w:rFonts w:hint="eastAsia" w:ascii="仿宋" w:hAnsi="仿宋" w:eastAsia="仿宋" w:cs="仿宋"/>
          <w:lang w:eastAsia="zh-CN"/>
        </w:rPr>
        <w:t>卖方</w:t>
      </w:r>
      <w:r>
        <w:rPr>
          <w:rFonts w:hint="eastAsia" w:ascii="仿宋" w:hAnsi="仿宋" w:eastAsia="仿宋" w:cs="仿宋"/>
        </w:rPr>
        <w:t>应负责对</w:t>
      </w:r>
      <w:r>
        <w:rPr>
          <w:rFonts w:hint="eastAsia" w:ascii="仿宋" w:hAnsi="仿宋" w:eastAsia="仿宋" w:cs="仿宋"/>
          <w:lang w:eastAsia="zh-CN"/>
        </w:rPr>
        <w:t>买方</w:t>
      </w:r>
      <w:r>
        <w:rPr>
          <w:rFonts w:hint="eastAsia" w:ascii="仿宋" w:hAnsi="仿宋" w:eastAsia="仿宋" w:cs="仿宋"/>
          <w:u w:val="single"/>
          <w:lang w:val="en-US" w:eastAsia="zh-CN"/>
        </w:rPr>
        <w:t>1</w:t>
      </w:r>
      <w:r>
        <w:rPr>
          <w:rFonts w:hint="eastAsia" w:ascii="仿宋" w:hAnsi="仿宋" w:eastAsia="仿宋" w:cs="仿宋"/>
        </w:rPr>
        <w:t>名工程技术人员、维修人员和操作人员提供不少于</w:t>
      </w:r>
      <w:r>
        <w:rPr>
          <w:rFonts w:hint="eastAsia" w:ascii="仿宋" w:hAnsi="仿宋" w:eastAsia="仿宋" w:cs="仿宋"/>
          <w:lang w:val="en-US" w:eastAsia="zh-CN"/>
        </w:rPr>
        <w:t>3</w:t>
      </w:r>
      <w:r>
        <w:rPr>
          <w:rFonts w:hint="eastAsia" w:ascii="仿宋" w:hAnsi="仿宋" w:eastAsia="仿宋" w:cs="仿宋"/>
        </w:rPr>
        <w:t>个日历日的免费的、生产制造现场的理论、技术和操作、维修、安全等方面的指导和培训。</w:t>
      </w:r>
      <w:r>
        <w:rPr>
          <w:rFonts w:ascii="仿宋" w:hAnsi="仿宋" w:eastAsia="仿宋" w:cs="仿宋"/>
        </w:rPr>
        <w:t xml:space="preserve"> </w:t>
      </w:r>
    </w:p>
    <w:p w14:paraId="2B7A7ABB">
      <w:pPr>
        <w:pStyle w:val="27"/>
        <w:snapToGrid w:val="0"/>
        <w:spacing w:line="360" w:lineRule="auto"/>
        <w:ind w:firstLine="480" w:firstLineChars="200"/>
        <w:rPr>
          <w:rFonts w:ascii="仿宋" w:hAnsi="仿宋" w:eastAsia="仿宋" w:cs="仿宋"/>
        </w:rPr>
      </w:pPr>
      <w:r>
        <w:rPr>
          <w:rFonts w:hint="eastAsia" w:ascii="仿宋" w:hAnsi="仿宋" w:eastAsia="仿宋" w:cs="仿宋"/>
        </w:rPr>
        <w:t>1.2</w:t>
      </w:r>
      <w:r>
        <w:rPr>
          <w:rFonts w:hint="eastAsia" w:ascii="仿宋" w:hAnsi="仿宋" w:eastAsia="仿宋" w:cs="仿宋"/>
          <w:lang w:eastAsia="zh-CN"/>
        </w:rPr>
        <w:t>卖方</w:t>
      </w:r>
      <w:r>
        <w:rPr>
          <w:rFonts w:hint="eastAsia" w:ascii="仿宋" w:hAnsi="仿宋" w:eastAsia="仿宋" w:cs="仿宋"/>
        </w:rPr>
        <w:t>应负责在</w:t>
      </w:r>
      <w:r>
        <w:rPr>
          <w:rFonts w:hint="eastAsia" w:ascii="仿宋" w:hAnsi="仿宋" w:eastAsia="仿宋" w:cs="仿宋"/>
          <w:lang w:eastAsia="zh-CN"/>
        </w:rPr>
        <w:t>买方</w:t>
      </w:r>
      <w:r>
        <w:rPr>
          <w:rFonts w:hint="eastAsia" w:ascii="仿宋" w:hAnsi="仿宋" w:eastAsia="仿宋" w:cs="仿宋"/>
        </w:rPr>
        <w:t>货物使用现场，进行</w:t>
      </w:r>
      <w:r>
        <w:rPr>
          <w:rFonts w:hint="eastAsia" w:ascii="仿宋" w:hAnsi="仿宋" w:eastAsia="仿宋" w:cs="仿宋"/>
          <w:shd w:val="pct10" w:color="auto" w:fill="FFFFFF"/>
        </w:rPr>
        <w:t>2～3</w:t>
      </w:r>
      <w:r>
        <w:rPr>
          <w:rFonts w:hint="eastAsia" w:ascii="仿宋" w:hAnsi="仿宋" w:eastAsia="仿宋" w:cs="仿宋"/>
        </w:rPr>
        <w:t>次免费的技术指导和培训，并接受</w:t>
      </w:r>
      <w:r>
        <w:rPr>
          <w:rFonts w:hint="eastAsia" w:ascii="仿宋" w:hAnsi="仿宋" w:eastAsia="仿宋" w:cs="仿宋"/>
          <w:lang w:eastAsia="zh-CN"/>
        </w:rPr>
        <w:t>买方</w:t>
      </w:r>
      <w:r>
        <w:rPr>
          <w:rFonts w:hint="eastAsia" w:ascii="仿宋" w:hAnsi="仿宋" w:eastAsia="仿宋" w:cs="仿宋"/>
        </w:rPr>
        <w:t>有关人员的技术咨询。</w:t>
      </w:r>
    </w:p>
    <w:p w14:paraId="3FC727EB">
      <w:pPr>
        <w:pStyle w:val="27"/>
        <w:snapToGrid w:val="0"/>
        <w:spacing w:line="360" w:lineRule="auto"/>
        <w:ind w:firstLine="480" w:firstLineChars="200"/>
        <w:rPr>
          <w:rFonts w:ascii="仿宋" w:hAnsi="仿宋" w:eastAsia="仿宋" w:cs="仿宋"/>
        </w:rPr>
      </w:pPr>
      <w:r>
        <w:rPr>
          <w:rFonts w:hint="eastAsia" w:ascii="仿宋" w:hAnsi="仿宋" w:eastAsia="仿宋" w:cs="仿宋"/>
        </w:rPr>
        <w:t>1.3</w:t>
      </w:r>
      <w:r>
        <w:rPr>
          <w:rFonts w:hint="eastAsia" w:ascii="仿宋" w:hAnsi="仿宋" w:eastAsia="仿宋" w:cs="仿宋"/>
          <w:lang w:eastAsia="zh-CN"/>
        </w:rPr>
        <w:t>卖方</w:t>
      </w:r>
      <w:r>
        <w:rPr>
          <w:rFonts w:hint="eastAsia" w:ascii="仿宋" w:hAnsi="仿宋" w:eastAsia="仿宋" w:cs="仿宋"/>
        </w:rPr>
        <w:t>应免费提供全套培训资料。所有设备均需要配备产品说明书，包括设备的内部结构、组成及保养、维护、调试等相关内容，便于生产人员及维修人员查阅。</w:t>
      </w:r>
    </w:p>
    <w:p w14:paraId="50410F57">
      <w:pPr>
        <w:pStyle w:val="27"/>
        <w:snapToGrid w:val="0"/>
        <w:spacing w:line="360" w:lineRule="auto"/>
        <w:ind w:firstLine="480" w:firstLineChars="200"/>
        <w:rPr>
          <w:rFonts w:ascii="仿宋" w:hAnsi="仿宋" w:eastAsia="仿宋" w:cs="仿宋"/>
        </w:rPr>
      </w:pPr>
      <w:r>
        <w:rPr>
          <w:rFonts w:hint="eastAsia" w:ascii="仿宋" w:hAnsi="仿宋" w:eastAsia="仿宋" w:cs="仿宋"/>
        </w:rPr>
        <w:t>1.4</w:t>
      </w:r>
      <w:r>
        <w:rPr>
          <w:rFonts w:hint="eastAsia" w:ascii="仿宋" w:hAnsi="仿宋" w:eastAsia="仿宋" w:cs="仿宋"/>
          <w:lang w:eastAsia="zh-CN"/>
        </w:rPr>
        <w:t>卖方</w:t>
      </w:r>
      <w:r>
        <w:rPr>
          <w:rFonts w:hint="eastAsia" w:ascii="仿宋" w:hAnsi="仿宋" w:eastAsia="仿宋" w:cs="仿宋"/>
        </w:rPr>
        <w:t>应按要求，免费积极协助和提供</w:t>
      </w:r>
      <w:r>
        <w:rPr>
          <w:rFonts w:hint="eastAsia" w:ascii="仿宋" w:hAnsi="仿宋" w:eastAsia="仿宋" w:cs="仿宋"/>
          <w:lang w:eastAsia="zh-CN"/>
        </w:rPr>
        <w:t>买方</w:t>
      </w:r>
      <w:r>
        <w:rPr>
          <w:rFonts w:hint="eastAsia" w:ascii="仿宋" w:hAnsi="仿宋" w:eastAsia="仿宋" w:cs="仿宋"/>
        </w:rPr>
        <w:t>以及</w:t>
      </w:r>
      <w:r>
        <w:rPr>
          <w:rFonts w:hint="eastAsia" w:ascii="仿宋" w:hAnsi="仿宋" w:eastAsia="仿宋" w:cs="仿宋"/>
          <w:lang w:eastAsia="zh-CN"/>
        </w:rPr>
        <w:t>买方</w:t>
      </w:r>
      <w:r>
        <w:rPr>
          <w:rFonts w:hint="eastAsia" w:ascii="仿宋" w:hAnsi="仿宋" w:eastAsia="仿宋" w:cs="仿宋"/>
        </w:rPr>
        <w:t>所委托的工程设计单位有关人员所需要的、与货物有关的设计资料、技术咨询等。</w:t>
      </w:r>
    </w:p>
    <w:p w14:paraId="3BEC0933">
      <w:pPr>
        <w:pStyle w:val="27"/>
        <w:snapToGrid w:val="0"/>
        <w:spacing w:line="360" w:lineRule="auto"/>
        <w:ind w:firstLine="480" w:firstLineChars="200"/>
        <w:rPr>
          <w:rFonts w:ascii="仿宋" w:hAnsi="仿宋" w:eastAsia="仿宋" w:cs="仿宋"/>
        </w:rPr>
      </w:pPr>
      <w:r>
        <w:rPr>
          <w:rFonts w:hint="eastAsia" w:ascii="仿宋" w:hAnsi="仿宋" w:eastAsia="仿宋" w:cs="仿宋"/>
        </w:rPr>
        <w:t>1.5若</w:t>
      </w:r>
      <w:r>
        <w:rPr>
          <w:rFonts w:hint="eastAsia" w:ascii="仿宋" w:hAnsi="仿宋" w:eastAsia="仿宋" w:cs="仿宋"/>
          <w:lang w:eastAsia="zh-CN"/>
        </w:rPr>
        <w:t>卖方</w:t>
      </w:r>
      <w:r>
        <w:rPr>
          <w:rFonts w:hint="eastAsia" w:ascii="仿宋" w:hAnsi="仿宋" w:eastAsia="仿宋" w:cs="仿宋"/>
        </w:rPr>
        <w:t>提供的货物涉及到外购外协货物、而且该货物的技术质量等较为关键、功能实现或操作较为困难，凡</w:t>
      </w:r>
      <w:r>
        <w:rPr>
          <w:rFonts w:hint="eastAsia" w:ascii="仿宋" w:hAnsi="仿宋" w:eastAsia="仿宋" w:cs="仿宋"/>
          <w:lang w:eastAsia="zh-CN"/>
        </w:rPr>
        <w:t>买方</w:t>
      </w:r>
      <w:r>
        <w:rPr>
          <w:rFonts w:hint="eastAsia" w:ascii="仿宋" w:hAnsi="仿宋" w:eastAsia="仿宋" w:cs="仿宋"/>
        </w:rPr>
        <w:t>提出需求的，</w:t>
      </w:r>
      <w:r>
        <w:rPr>
          <w:rFonts w:hint="eastAsia" w:ascii="仿宋" w:hAnsi="仿宋" w:eastAsia="仿宋" w:cs="仿宋"/>
          <w:lang w:eastAsia="zh-CN"/>
        </w:rPr>
        <w:t>卖方</w:t>
      </w:r>
      <w:r>
        <w:rPr>
          <w:rFonts w:hint="eastAsia" w:ascii="仿宋" w:hAnsi="仿宋" w:eastAsia="仿宋" w:cs="仿宋"/>
        </w:rPr>
        <w:t>应能得到配套厂家的技术支持，并免费为</w:t>
      </w:r>
      <w:r>
        <w:rPr>
          <w:rFonts w:hint="eastAsia" w:ascii="仿宋" w:hAnsi="仿宋" w:eastAsia="仿宋" w:cs="仿宋"/>
          <w:lang w:eastAsia="zh-CN"/>
        </w:rPr>
        <w:t>买方</w:t>
      </w:r>
      <w:r>
        <w:rPr>
          <w:rFonts w:hint="eastAsia" w:ascii="仿宋" w:hAnsi="仿宋" w:eastAsia="仿宋" w:cs="仿宋"/>
        </w:rPr>
        <w:t>提供技术服务及培训。</w:t>
      </w:r>
    </w:p>
    <w:p w14:paraId="07BD8AAD">
      <w:pPr>
        <w:snapToGrid w:val="0"/>
        <w:spacing w:line="360" w:lineRule="auto"/>
        <w:ind w:left="480"/>
        <w:outlineLvl w:val="1"/>
        <w:rPr>
          <w:rFonts w:ascii="仿宋" w:hAnsi="仿宋" w:eastAsia="仿宋" w:cs="仿宋"/>
          <w:b/>
          <w:bCs/>
        </w:rPr>
      </w:pPr>
      <w:bookmarkStart w:id="545" w:name="_Toc13864"/>
      <w:bookmarkStart w:id="546" w:name="_Toc16259"/>
      <w:bookmarkStart w:id="547" w:name="_Toc11516"/>
      <w:bookmarkStart w:id="548" w:name="_Toc13235"/>
      <w:bookmarkStart w:id="549" w:name="_Toc26430"/>
      <w:bookmarkStart w:id="550" w:name="_Toc1420"/>
      <w:bookmarkStart w:id="551" w:name="_Toc25721"/>
      <w:bookmarkStart w:id="552" w:name="_Toc9824"/>
      <w:bookmarkStart w:id="553" w:name="_Toc32690"/>
      <w:bookmarkStart w:id="554" w:name="_Toc3976"/>
      <w:bookmarkStart w:id="555" w:name="_Toc14504"/>
      <w:bookmarkStart w:id="556" w:name="_Toc2300"/>
      <w:bookmarkStart w:id="557" w:name="_Toc22880"/>
      <w:bookmarkStart w:id="558" w:name="_Toc3892"/>
      <w:bookmarkStart w:id="559" w:name="_Toc3907"/>
      <w:bookmarkStart w:id="560" w:name="_Toc13970"/>
      <w:bookmarkStart w:id="561" w:name="_Toc17849"/>
      <w:bookmarkStart w:id="562" w:name="_Toc5703"/>
      <w:bookmarkStart w:id="563" w:name="_Toc19800"/>
      <w:bookmarkStart w:id="564" w:name="_Toc16493"/>
      <w:bookmarkStart w:id="565" w:name="_Toc25347"/>
      <w:bookmarkStart w:id="566" w:name="_Toc15028"/>
      <w:bookmarkStart w:id="567" w:name="_Toc6394"/>
      <w:bookmarkStart w:id="568" w:name="_Toc3042"/>
      <w:bookmarkStart w:id="569" w:name="_Toc19866"/>
      <w:bookmarkStart w:id="570" w:name="_Toc29413"/>
      <w:bookmarkStart w:id="571" w:name="_Toc1176"/>
      <w:bookmarkStart w:id="572" w:name="_Toc30271"/>
      <w:bookmarkStart w:id="573" w:name="_Toc29981"/>
      <w:bookmarkStart w:id="574" w:name="_Toc10782"/>
      <w:bookmarkStart w:id="575" w:name="_Toc21693"/>
      <w:bookmarkStart w:id="576" w:name="_Toc11060"/>
      <w:bookmarkStart w:id="577" w:name="_Toc17865"/>
      <w:bookmarkStart w:id="578" w:name="_Toc26880"/>
      <w:bookmarkStart w:id="579" w:name="_Toc16867"/>
      <w:bookmarkStart w:id="580" w:name="_Toc17516"/>
      <w:bookmarkStart w:id="581" w:name="_Toc16207"/>
      <w:bookmarkStart w:id="582" w:name="_Toc31039"/>
      <w:bookmarkStart w:id="583" w:name="_Toc29691"/>
      <w:bookmarkStart w:id="584" w:name="_Toc22693"/>
      <w:bookmarkStart w:id="585" w:name="_Toc15460"/>
      <w:bookmarkStart w:id="586" w:name="_Toc22719"/>
      <w:r>
        <w:rPr>
          <w:rFonts w:hint="eastAsia" w:ascii="仿宋" w:hAnsi="仿宋" w:eastAsia="仿宋" w:cs="仿宋"/>
          <w:b/>
          <w:bCs/>
        </w:rPr>
        <w:t>2安装调试服务</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23E94379">
      <w:pPr>
        <w:pStyle w:val="27"/>
        <w:snapToGrid w:val="0"/>
        <w:spacing w:line="360" w:lineRule="auto"/>
        <w:ind w:firstLine="480" w:firstLineChars="200"/>
        <w:rPr>
          <w:rFonts w:ascii="仿宋" w:hAnsi="仿宋" w:eastAsia="仿宋" w:cs="仿宋"/>
        </w:rPr>
      </w:pPr>
      <w:r>
        <w:rPr>
          <w:rFonts w:hint="eastAsia" w:ascii="仿宋" w:hAnsi="仿宋" w:eastAsia="仿宋" w:cs="仿宋"/>
        </w:rPr>
        <w:t>2.1根据货物的要求，调试阶段</w:t>
      </w:r>
      <w:r>
        <w:rPr>
          <w:rFonts w:hint="eastAsia" w:ascii="仿宋" w:hAnsi="仿宋" w:eastAsia="仿宋" w:cs="仿宋"/>
          <w:lang w:eastAsia="zh-CN"/>
        </w:rPr>
        <w:t>买方</w:t>
      </w:r>
      <w:r>
        <w:rPr>
          <w:rFonts w:hint="eastAsia" w:ascii="仿宋" w:hAnsi="仿宋" w:eastAsia="仿宋" w:cs="仿宋"/>
        </w:rPr>
        <w:t>将予以积极配合，协助</w:t>
      </w:r>
      <w:r>
        <w:rPr>
          <w:rFonts w:hint="eastAsia" w:ascii="仿宋" w:hAnsi="仿宋" w:eastAsia="仿宋" w:cs="仿宋"/>
          <w:lang w:eastAsia="zh-CN"/>
        </w:rPr>
        <w:t>卖方</w:t>
      </w:r>
      <w:r>
        <w:rPr>
          <w:rFonts w:hint="eastAsia" w:ascii="仿宋" w:hAnsi="仿宋" w:eastAsia="仿宋" w:cs="仿宋"/>
        </w:rPr>
        <w:t>达到货物的各项技术指标和性能要求。</w:t>
      </w:r>
    </w:p>
    <w:p w14:paraId="41141B9E">
      <w:pPr>
        <w:pStyle w:val="27"/>
        <w:snapToGrid w:val="0"/>
        <w:spacing w:line="360" w:lineRule="auto"/>
        <w:ind w:firstLine="480" w:firstLineChars="200"/>
        <w:rPr>
          <w:rFonts w:ascii="仿宋" w:hAnsi="仿宋" w:eastAsia="仿宋" w:cs="仿宋"/>
        </w:rPr>
      </w:pPr>
      <w:r>
        <w:rPr>
          <w:rFonts w:hint="eastAsia" w:ascii="仿宋" w:hAnsi="仿宋" w:eastAsia="仿宋" w:cs="仿宋"/>
        </w:rPr>
        <w:t>2.2安装调试与验收期间，若</w:t>
      </w:r>
      <w:r>
        <w:rPr>
          <w:rFonts w:hint="eastAsia" w:ascii="仿宋" w:hAnsi="仿宋" w:eastAsia="仿宋" w:cs="仿宋"/>
          <w:lang w:eastAsia="zh-CN"/>
        </w:rPr>
        <w:t>卖方</w:t>
      </w:r>
      <w:r>
        <w:rPr>
          <w:rFonts w:hint="eastAsia" w:ascii="仿宋" w:hAnsi="仿宋" w:eastAsia="仿宋" w:cs="仿宋"/>
        </w:rPr>
        <w:t>提供的货物涉及到外购外协货物、而且该货物的技术质量等较为关键、功能实现或操作较为困难时，凡</w:t>
      </w:r>
      <w:r>
        <w:rPr>
          <w:rFonts w:hint="eastAsia" w:ascii="仿宋" w:hAnsi="仿宋" w:eastAsia="仿宋" w:cs="仿宋"/>
          <w:lang w:eastAsia="zh-CN"/>
        </w:rPr>
        <w:t>买方</w:t>
      </w:r>
      <w:r>
        <w:rPr>
          <w:rFonts w:hint="eastAsia" w:ascii="仿宋" w:hAnsi="仿宋" w:eastAsia="仿宋" w:cs="仿宋"/>
        </w:rPr>
        <w:t>提出需求的，</w:t>
      </w:r>
      <w:r>
        <w:rPr>
          <w:rFonts w:hint="eastAsia" w:ascii="仿宋" w:hAnsi="仿宋" w:eastAsia="仿宋" w:cs="仿宋"/>
          <w:lang w:eastAsia="zh-CN"/>
        </w:rPr>
        <w:t>卖方</w:t>
      </w:r>
      <w:r>
        <w:rPr>
          <w:rFonts w:hint="eastAsia" w:ascii="仿宋" w:hAnsi="仿宋" w:eastAsia="仿宋" w:cs="仿宋"/>
        </w:rPr>
        <w:t>应能得到配套厂家的技术支持，并免费为</w:t>
      </w:r>
      <w:r>
        <w:rPr>
          <w:rFonts w:hint="eastAsia" w:ascii="仿宋" w:hAnsi="仿宋" w:eastAsia="仿宋" w:cs="仿宋"/>
          <w:lang w:eastAsia="zh-CN"/>
        </w:rPr>
        <w:t>买方</w:t>
      </w:r>
      <w:r>
        <w:rPr>
          <w:rFonts w:hint="eastAsia" w:ascii="仿宋" w:hAnsi="仿宋" w:eastAsia="仿宋" w:cs="仿宋"/>
        </w:rPr>
        <w:t>提供安装使用现场的指导与协调。</w:t>
      </w:r>
    </w:p>
    <w:p w14:paraId="560D9E9A">
      <w:pPr>
        <w:pStyle w:val="27"/>
        <w:snapToGrid w:val="0"/>
        <w:spacing w:line="360" w:lineRule="auto"/>
        <w:ind w:firstLine="480" w:firstLineChars="200"/>
        <w:rPr>
          <w:rFonts w:ascii="仿宋" w:hAnsi="仿宋" w:eastAsia="仿宋" w:cs="仿宋"/>
        </w:rPr>
      </w:pPr>
      <w:r>
        <w:rPr>
          <w:rFonts w:hint="eastAsia" w:ascii="仿宋" w:hAnsi="仿宋" w:eastAsia="仿宋" w:cs="仿宋"/>
        </w:rPr>
        <w:t>2.3</w:t>
      </w:r>
      <w:r>
        <w:rPr>
          <w:rFonts w:hint="eastAsia" w:ascii="仿宋" w:hAnsi="仿宋" w:eastAsia="仿宋" w:cs="仿宋"/>
          <w:lang w:eastAsia="zh-CN"/>
        </w:rPr>
        <w:t>卖方</w:t>
      </w:r>
      <w:r>
        <w:rPr>
          <w:rFonts w:hint="eastAsia" w:ascii="仿宋" w:hAnsi="仿宋" w:eastAsia="仿宋" w:cs="仿宋"/>
        </w:rPr>
        <w:t>提供收费的或免费的、指导安装调试或负责安装调试，至少应在投标文件的报价章节中，予以明确说明。</w:t>
      </w:r>
    </w:p>
    <w:p w14:paraId="3953B39F">
      <w:pPr>
        <w:snapToGrid w:val="0"/>
        <w:spacing w:line="360" w:lineRule="auto"/>
        <w:ind w:left="480"/>
        <w:outlineLvl w:val="1"/>
        <w:rPr>
          <w:rFonts w:ascii="仿宋" w:hAnsi="仿宋" w:eastAsia="仿宋" w:cs="仿宋"/>
          <w:b/>
          <w:bCs/>
        </w:rPr>
      </w:pPr>
      <w:bookmarkStart w:id="587" w:name="_Toc1585"/>
      <w:bookmarkStart w:id="588" w:name="_Toc25079"/>
      <w:bookmarkStart w:id="589" w:name="_Toc4076"/>
      <w:bookmarkStart w:id="590" w:name="_Toc2657"/>
      <w:bookmarkStart w:id="591" w:name="_Toc17427"/>
      <w:bookmarkStart w:id="592" w:name="_Toc11229"/>
      <w:bookmarkStart w:id="593" w:name="_Toc16435"/>
      <w:bookmarkStart w:id="594" w:name="_Toc30193"/>
      <w:bookmarkStart w:id="595" w:name="_Toc2097"/>
      <w:bookmarkStart w:id="596" w:name="_Toc29126"/>
      <w:bookmarkStart w:id="597" w:name="_Toc24615"/>
      <w:bookmarkStart w:id="598" w:name="_Toc12739"/>
      <w:bookmarkStart w:id="599" w:name="_Toc22871"/>
      <w:bookmarkStart w:id="600" w:name="_Toc17284"/>
      <w:bookmarkStart w:id="601" w:name="_Toc8632"/>
      <w:bookmarkStart w:id="602" w:name="_Toc32442"/>
      <w:bookmarkStart w:id="603" w:name="_Toc19674"/>
      <w:bookmarkStart w:id="604" w:name="_Toc628"/>
      <w:bookmarkStart w:id="605" w:name="_Toc7783"/>
      <w:bookmarkStart w:id="606" w:name="_Toc16337"/>
      <w:bookmarkStart w:id="607" w:name="_Toc18269"/>
      <w:bookmarkStart w:id="608" w:name="_Toc29125"/>
      <w:bookmarkStart w:id="609" w:name="_Toc218"/>
      <w:bookmarkStart w:id="610" w:name="_Toc9269"/>
      <w:bookmarkStart w:id="611" w:name="_Toc16373"/>
      <w:bookmarkStart w:id="612" w:name="_Toc2510"/>
      <w:bookmarkStart w:id="613" w:name="_Toc30398"/>
      <w:bookmarkStart w:id="614" w:name="_Toc32488"/>
      <w:bookmarkStart w:id="615" w:name="_Toc29245"/>
      <w:bookmarkStart w:id="616" w:name="_Toc16706"/>
      <w:bookmarkStart w:id="617" w:name="_Toc13443"/>
      <w:bookmarkStart w:id="618" w:name="_Toc7956"/>
      <w:bookmarkStart w:id="619" w:name="_Toc4751"/>
      <w:bookmarkStart w:id="620" w:name="_Toc1565"/>
      <w:bookmarkStart w:id="621" w:name="_Toc19810"/>
      <w:bookmarkStart w:id="622" w:name="_Toc3170"/>
      <w:bookmarkStart w:id="623" w:name="_Toc9878"/>
      <w:bookmarkStart w:id="624" w:name="_Toc10635"/>
      <w:bookmarkStart w:id="625" w:name="_Toc13921"/>
      <w:bookmarkStart w:id="626" w:name="_Toc8975"/>
      <w:bookmarkStart w:id="627" w:name="_Toc9329"/>
      <w:bookmarkStart w:id="628" w:name="_Toc16916"/>
      <w:r>
        <w:rPr>
          <w:rFonts w:hint="eastAsia" w:ascii="仿宋" w:hAnsi="仿宋" w:eastAsia="仿宋" w:cs="仿宋"/>
          <w:b/>
          <w:bCs/>
        </w:rPr>
        <w:t>3验收服务</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4CB63F3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w:t>
      </w:r>
      <w:r>
        <w:rPr>
          <w:rFonts w:hint="eastAsia" w:ascii="仿宋" w:hAnsi="仿宋" w:eastAsia="仿宋" w:cs="仿宋"/>
          <w:lang w:eastAsia="zh-CN"/>
        </w:rPr>
        <w:t>卖方</w:t>
      </w:r>
      <w:r>
        <w:rPr>
          <w:rFonts w:hint="eastAsia" w:ascii="仿宋" w:hAnsi="仿宋" w:eastAsia="仿宋" w:cs="仿宋"/>
        </w:rPr>
        <w:t>在</w:t>
      </w:r>
      <w:r>
        <w:rPr>
          <w:rFonts w:hint="eastAsia" w:ascii="仿宋" w:hAnsi="仿宋" w:eastAsia="仿宋" w:cs="仿宋"/>
          <w:lang w:eastAsia="zh-CN"/>
        </w:rPr>
        <w:t>买方</w:t>
      </w:r>
      <w:r>
        <w:rPr>
          <w:rFonts w:hint="eastAsia" w:ascii="仿宋" w:hAnsi="仿宋" w:eastAsia="仿宋" w:cs="仿宋"/>
        </w:rPr>
        <w:t>现场进行的货物的预验收和终验收配合或指导，应当是免费的。</w:t>
      </w:r>
    </w:p>
    <w:p w14:paraId="7F67B22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3.2货物验收时，若</w:t>
      </w:r>
      <w:r>
        <w:rPr>
          <w:rFonts w:hint="eastAsia" w:ascii="仿宋" w:hAnsi="仿宋" w:eastAsia="仿宋" w:cs="仿宋"/>
          <w:lang w:eastAsia="zh-CN"/>
        </w:rPr>
        <w:t>卖方</w:t>
      </w:r>
      <w:r>
        <w:rPr>
          <w:rFonts w:hint="eastAsia" w:ascii="仿宋" w:hAnsi="仿宋" w:eastAsia="仿宋" w:cs="仿宋"/>
        </w:rPr>
        <w:t>提供的货物涉及到外购外协货物、而且该货物的技术质量等较为关键、功能实现或操作较为困难时，凡</w:t>
      </w:r>
      <w:r>
        <w:rPr>
          <w:rFonts w:hint="eastAsia" w:ascii="仿宋" w:hAnsi="仿宋" w:eastAsia="仿宋" w:cs="仿宋"/>
          <w:lang w:eastAsia="zh-CN"/>
        </w:rPr>
        <w:t>买方</w:t>
      </w:r>
      <w:r>
        <w:rPr>
          <w:rFonts w:hint="eastAsia" w:ascii="仿宋" w:hAnsi="仿宋" w:eastAsia="仿宋" w:cs="仿宋"/>
        </w:rPr>
        <w:t>提出需求的，</w:t>
      </w:r>
      <w:r>
        <w:rPr>
          <w:rFonts w:hint="eastAsia" w:ascii="仿宋" w:hAnsi="仿宋" w:eastAsia="仿宋" w:cs="仿宋"/>
          <w:lang w:eastAsia="zh-CN"/>
        </w:rPr>
        <w:t>卖方</w:t>
      </w:r>
      <w:r>
        <w:rPr>
          <w:rFonts w:hint="eastAsia" w:ascii="仿宋" w:hAnsi="仿宋" w:eastAsia="仿宋" w:cs="仿宋"/>
        </w:rPr>
        <w:t>应能得到配套厂家的技术支持，并免费为</w:t>
      </w:r>
      <w:r>
        <w:rPr>
          <w:rFonts w:hint="eastAsia" w:ascii="仿宋" w:hAnsi="仿宋" w:eastAsia="仿宋" w:cs="仿宋"/>
          <w:lang w:eastAsia="zh-CN"/>
        </w:rPr>
        <w:t>买方</w:t>
      </w:r>
      <w:r>
        <w:rPr>
          <w:rFonts w:hint="eastAsia" w:ascii="仿宋" w:hAnsi="仿宋" w:eastAsia="仿宋" w:cs="仿宋"/>
        </w:rPr>
        <w:t>提供使用现场验收的配合或指导。</w:t>
      </w:r>
    </w:p>
    <w:p w14:paraId="77271DDA">
      <w:pPr>
        <w:snapToGrid w:val="0"/>
        <w:spacing w:line="360" w:lineRule="auto"/>
        <w:ind w:firstLine="420" w:firstLineChars="200"/>
        <w:rPr>
          <w:rFonts w:ascii="仿宋" w:hAnsi="仿宋" w:eastAsia="仿宋" w:cs="仿宋"/>
        </w:rPr>
      </w:pPr>
      <w:r>
        <w:rPr>
          <w:rFonts w:hint="eastAsia" w:ascii="仿宋" w:hAnsi="仿宋" w:eastAsia="仿宋" w:cs="仿宋"/>
        </w:rPr>
        <w:t>3.3合格验收时，</w:t>
      </w:r>
      <w:r>
        <w:rPr>
          <w:rFonts w:hint="eastAsia" w:ascii="仿宋" w:hAnsi="仿宋" w:eastAsia="仿宋" w:cs="仿宋"/>
          <w:lang w:eastAsia="zh-CN"/>
        </w:rPr>
        <w:t>卖方</w:t>
      </w:r>
      <w:r>
        <w:rPr>
          <w:rFonts w:hint="eastAsia" w:ascii="仿宋" w:hAnsi="仿宋" w:eastAsia="仿宋" w:cs="仿宋"/>
        </w:rPr>
        <w:t>提供资质合格证书，</w:t>
      </w:r>
      <w:r>
        <w:rPr>
          <w:rFonts w:hint="eastAsia" w:ascii="仿宋" w:hAnsi="仿宋" w:eastAsia="仿宋" w:cs="仿宋"/>
          <w:lang w:eastAsia="zh-CN"/>
        </w:rPr>
        <w:t>买方</w:t>
      </w:r>
      <w:r>
        <w:rPr>
          <w:rFonts w:hint="eastAsia" w:ascii="仿宋" w:hAnsi="仿宋" w:eastAsia="仿宋" w:cs="仿宋"/>
        </w:rPr>
        <w:t>根据实际情况进行相关复检，复检合格视为合格。</w:t>
      </w:r>
    </w:p>
    <w:p w14:paraId="1CC347A9">
      <w:pPr>
        <w:snapToGrid w:val="0"/>
        <w:spacing w:line="360" w:lineRule="auto"/>
        <w:ind w:left="480"/>
        <w:outlineLvl w:val="1"/>
        <w:rPr>
          <w:rFonts w:ascii="仿宋" w:hAnsi="仿宋" w:eastAsia="仿宋" w:cs="仿宋"/>
          <w:b/>
          <w:bCs/>
        </w:rPr>
      </w:pPr>
      <w:bookmarkStart w:id="629" w:name="_Toc17056"/>
      <w:bookmarkStart w:id="630" w:name="_Toc10014"/>
      <w:bookmarkStart w:id="631" w:name="_Toc20081"/>
      <w:bookmarkStart w:id="632" w:name="_Toc29300"/>
      <w:bookmarkStart w:id="633" w:name="_Toc8078"/>
      <w:bookmarkStart w:id="634" w:name="_Toc7782"/>
      <w:bookmarkStart w:id="635" w:name="_Toc10808"/>
      <w:bookmarkStart w:id="636" w:name="_Toc22965"/>
      <w:bookmarkStart w:id="637" w:name="_Toc18836"/>
      <w:bookmarkStart w:id="638" w:name="_Toc9592"/>
      <w:bookmarkStart w:id="639" w:name="_Toc7478"/>
      <w:bookmarkStart w:id="640" w:name="_Toc20426"/>
      <w:bookmarkStart w:id="641" w:name="_Toc32079"/>
      <w:bookmarkStart w:id="642" w:name="_Toc30412"/>
      <w:bookmarkStart w:id="643" w:name="_Toc19441"/>
      <w:bookmarkStart w:id="644" w:name="_Toc18968"/>
      <w:bookmarkStart w:id="645" w:name="_Toc4417"/>
      <w:bookmarkStart w:id="646" w:name="_Toc22392"/>
      <w:bookmarkStart w:id="647" w:name="_Toc542"/>
      <w:bookmarkStart w:id="648" w:name="_Toc1454"/>
      <w:bookmarkStart w:id="649" w:name="_Toc21987"/>
      <w:bookmarkStart w:id="650" w:name="_Toc32682"/>
      <w:bookmarkStart w:id="651" w:name="_Toc20916"/>
      <w:bookmarkStart w:id="652" w:name="_Toc2093"/>
      <w:bookmarkStart w:id="653" w:name="_Toc19397"/>
      <w:bookmarkStart w:id="654" w:name="_Toc28635"/>
      <w:bookmarkStart w:id="655" w:name="_Toc29778"/>
      <w:bookmarkStart w:id="656" w:name="_Toc26773"/>
      <w:bookmarkStart w:id="657" w:name="_Toc1199"/>
      <w:bookmarkStart w:id="658" w:name="_Toc29633"/>
      <w:bookmarkStart w:id="659" w:name="_Toc3798"/>
      <w:bookmarkStart w:id="660" w:name="_Toc26554"/>
      <w:bookmarkStart w:id="661" w:name="_Toc20538"/>
      <w:bookmarkStart w:id="662" w:name="_Toc6232"/>
      <w:bookmarkStart w:id="663" w:name="_Toc6099"/>
      <w:bookmarkStart w:id="664" w:name="_Toc27224"/>
      <w:bookmarkStart w:id="665" w:name="_Toc11213"/>
      <w:bookmarkStart w:id="666" w:name="_Toc11699"/>
      <w:bookmarkStart w:id="667" w:name="_Toc1311"/>
      <w:bookmarkStart w:id="668" w:name="_Toc20717"/>
      <w:bookmarkStart w:id="669" w:name="_Toc14739"/>
      <w:bookmarkStart w:id="670" w:name="_Toc17895"/>
      <w:r>
        <w:rPr>
          <w:rFonts w:hint="eastAsia" w:ascii="仿宋" w:hAnsi="仿宋" w:eastAsia="仿宋" w:cs="仿宋"/>
          <w:b/>
          <w:bCs/>
        </w:rPr>
        <w:t>4售后服务</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p>
    <w:p w14:paraId="569DFF6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4.1所有的售后服务均由</w:t>
      </w:r>
      <w:r>
        <w:rPr>
          <w:rFonts w:hint="eastAsia" w:ascii="仿宋" w:hAnsi="仿宋" w:eastAsia="仿宋" w:cs="仿宋"/>
          <w:lang w:eastAsia="zh-CN"/>
        </w:rPr>
        <w:t>卖方</w:t>
      </w:r>
      <w:r>
        <w:rPr>
          <w:rFonts w:hint="eastAsia" w:ascii="仿宋" w:hAnsi="仿宋" w:eastAsia="仿宋" w:cs="仿宋"/>
        </w:rPr>
        <w:t>受理。如果发生问题并且收到报告，</w:t>
      </w:r>
      <w:r>
        <w:rPr>
          <w:rFonts w:hint="eastAsia" w:ascii="仿宋" w:hAnsi="仿宋" w:eastAsia="仿宋" w:cs="仿宋"/>
          <w:lang w:eastAsia="zh-CN"/>
        </w:rPr>
        <w:t>卖方</w:t>
      </w:r>
      <w:r>
        <w:rPr>
          <w:rFonts w:hint="eastAsia" w:ascii="仿宋" w:hAnsi="仿宋" w:eastAsia="仿宋" w:cs="仿宋"/>
        </w:rPr>
        <w:t>应当在2小时内予以答复。</w:t>
      </w:r>
    </w:p>
    <w:p w14:paraId="56287D4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4.2如发现所提供的货物存在问题，需要</w:t>
      </w:r>
      <w:r>
        <w:rPr>
          <w:rFonts w:hint="eastAsia" w:ascii="仿宋" w:hAnsi="仿宋" w:eastAsia="仿宋" w:cs="仿宋"/>
          <w:lang w:eastAsia="zh-CN"/>
        </w:rPr>
        <w:t>卖方</w:t>
      </w:r>
      <w:r>
        <w:rPr>
          <w:rFonts w:hint="eastAsia" w:ascii="仿宋" w:hAnsi="仿宋" w:eastAsia="仿宋" w:cs="仿宋"/>
        </w:rPr>
        <w:t>解决或配合解决时：在质保期之内，应在接到通知后</w:t>
      </w:r>
      <w:r>
        <w:rPr>
          <w:rFonts w:hint="eastAsia" w:ascii="仿宋" w:hAnsi="仿宋" w:eastAsia="仿宋" w:cs="仿宋"/>
          <w:u w:val="single"/>
        </w:rPr>
        <w:t xml:space="preserve"> </w:t>
      </w:r>
      <w:r>
        <w:rPr>
          <w:rFonts w:hint="eastAsia" w:ascii="仿宋" w:hAnsi="仿宋" w:eastAsia="仿宋" w:cs="仿宋"/>
          <w:u w:val="single"/>
          <w:lang w:val="en-US" w:eastAsia="zh-CN"/>
        </w:rPr>
        <w:t>1</w:t>
      </w:r>
      <w:r>
        <w:rPr>
          <w:rFonts w:hint="eastAsia" w:ascii="仿宋" w:hAnsi="仿宋" w:eastAsia="仿宋" w:cs="仿宋"/>
        </w:rPr>
        <w:t>小时内派有关人员到达现场；在质保期之外，应在接到通知后</w:t>
      </w:r>
      <w:r>
        <w:rPr>
          <w:rFonts w:hint="eastAsia" w:ascii="仿宋" w:hAnsi="仿宋" w:eastAsia="仿宋" w:cs="仿宋"/>
          <w:u w:val="single"/>
          <w:shd w:val="pct10" w:color="auto" w:fill="FFFFFF"/>
          <w:lang w:val="en-US" w:eastAsia="zh-CN"/>
        </w:rPr>
        <w:t xml:space="preserve"> 3</w:t>
      </w:r>
      <w:r>
        <w:rPr>
          <w:rFonts w:hint="eastAsia" w:ascii="仿宋" w:hAnsi="仿宋" w:eastAsia="仿宋" w:cs="仿宋"/>
          <w:u w:val="single"/>
        </w:rPr>
        <w:t xml:space="preserve"> </w:t>
      </w:r>
      <w:r>
        <w:rPr>
          <w:rFonts w:hint="eastAsia" w:ascii="仿宋" w:hAnsi="仿宋" w:eastAsia="仿宋" w:cs="仿宋"/>
        </w:rPr>
        <w:t>小时内派有关人员到达现场。</w:t>
      </w:r>
    </w:p>
    <w:p w14:paraId="09E9F8F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4.3</w:t>
      </w:r>
      <w:r>
        <w:rPr>
          <w:rFonts w:hint="eastAsia" w:ascii="仿宋" w:hAnsi="仿宋" w:eastAsia="仿宋" w:cs="仿宋"/>
          <w:lang w:eastAsia="zh-CN"/>
        </w:rPr>
        <w:t>卖方</w:t>
      </w:r>
      <w:r>
        <w:rPr>
          <w:rFonts w:hint="eastAsia" w:ascii="仿宋" w:hAnsi="仿宋" w:eastAsia="仿宋" w:cs="仿宋"/>
        </w:rPr>
        <w:t>派往</w:t>
      </w:r>
      <w:r>
        <w:rPr>
          <w:rFonts w:hint="eastAsia" w:ascii="仿宋" w:hAnsi="仿宋" w:eastAsia="仿宋" w:cs="仿宋"/>
          <w:lang w:eastAsia="zh-CN"/>
        </w:rPr>
        <w:t>买方</w:t>
      </w:r>
      <w:r>
        <w:rPr>
          <w:rFonts w:hint="eastAsia" w:ascii="仿宋" w:hAnsi="仿宋" w:eastAsia="仿宋" w:cs="仿宋"/>
        </w:rPr>
        <w:t>使用现场的人员，应具有较高的业务素质；现场解决问题时，不得无故拖延或推迟，应为</w:t>
      </w:r>
      <w:r>
        <w:rPr>
          <w:rFonts w:hint="eastAsia" w:ascii="仿宋" w:hAnsi="仿宋" w:eastAsia="仿宋" w:cs="仿宋"/>
          <w:lang w:eastAsia="zh-CN"/>
        </w:rPr>
        <w:t>买方</w:t>
      </w:r>
      <w:r>
        <w:rPr>
          <w:rFonts w:hint="eastAsia" w:ascii="仿宋" w:hAnsi="仿宋" w:eastAsia="仿宋" w:cs="仿宋"/>
        </w:rPr>
        <w:t>提供最佳的服务。</w:t>
      </w:r>
    </w:p>
    <w:p w14:paraId="19108F29">
      <w:pPr>
        <w:snapToGrid w:val="0"/>
        <w:spacing w:line="360" w:lineRule="auto"/>
        <w:ind w:left="480"/>
        <w:outlineLvl w:val="1"/>
        <w:rPr>
          <w:rFonts w:ascii="仿宋" w:hAnsi="仿宋" w:eastAsia="仿宋" w:cs="仿宋"/>
          <w:b/>
          <w:bCs/>
        </w:rPr>
      </w:pPr>
      <w:bookmarkStart w:id="671" w:name="_Toc4928"/>
      <w:bookmarkStart w:id="672" w:name="_Toc25994"/>
      <w:bookmarkStart w:id="673" w:name="_Toc27285"/>
      <w:bookmarkStart w:id="674" w:name="_Toc14349"/>
      <w:bookmarkStart w:id="675" w:name="_Toc19301"/>
      <w:bookmarkStart w:id="676" w:name="_Toc32502"/>
      <w:bookmarkStart w:id="677" w:name="_Toc30999"/>
      <w:bookmarkStart w:id="678" w:name="_Toc26287"/>
      <w:bookmarkStart w:id="679" w:name="_Toc7130"/>
      <w:bookmarkStart w:id="680" w:name="_Toc1118"/>
      <w:bookmarkStart w:id="681" w:name="_Toc3819"/>
      <w:bookmarkStart w:id="682" w:name="_Toc26976"/>
      <w:bookmarkStart w:id="683" w:name="_Toc9982"/>
      <w:bookmarkStart w:id="684" w:name="_Toc22732"/>
      <w:bookmarkStart w:id="685" w:name="_Toc913"/>
      <w:bookmarkStart w:id="686" w:name="_Toc32366"/>
      <w:bookmarkStart w:id="687" w:name="_Toc16849"/>
      <w:bookmarkStart w:id="688" w:name="_Toc10752"/>
      <w:bookmarkStart w:id="689" w:name="_Toc21895"/>
      <w:bookmarkStart w:id="690" w:name="_Toc17891"/>
      <w:bookmarkStart w:id="691" w:name="_Toc9688"/>
      <w:bookmarkStart w:id="692" w:name="_Toc13974"/>
      <w:bookmarkStart w:id="693" w:name="_Toc1573"/>
      <w:bookmarkStart w:id="694" w:name="_Toc20936"/>
      <w:bookmarkStart w:id="695" w:name="_Toc30887"/>
      <w:bookmarkStart w:id="696" w:name="_Toc18148"/>
      <w:bookmarkStart w:id="697" w:name="_Toc26623"/>
      <w:bookmarkStart w:id="698" w:name="_Toc6730"/>
      <w:bookmarkStart w:id="699" w:name="_Toc28927"/>
      <w:bookmarkStart w:id="700" w:name="_Toc31498"/>
      <w:bookmarkStart w:id="701" w:name="_Toc6107"/>
      <w:bookmarkStart w:id="702" w:name="_Toc25693"/>
      <w:bookmarkStart w:id="703" w:name="_Toc115"/>
      <w:bookmarkStart w:id="704" w:name="_Toc6984"/>
      <w:bookmarkStart w:id="705" w:name="_Toc20327"/>
      <w:bookmarkStart w:id="706" w:name="_Toc27505"/>
      <w:bookmarkStart w:id="707" w:name="_Toc25242"/>
      <w:bookmarkStart w:id="708" w:name="_Toc12294"/>
      <w:bookmarkStart w:id="709" w:name="_Toc27733"/>
      <w:bookmarkStart w:id="710" w:name="_Toc6354"/>
      <w:bookmarkStart w:id="711" w:name="_Toc4793"/>
      <w:bookmarkStart w:id="712" w:name="_Toc22593"/>
      <w:r>
        <w:rPr>
          <w:rFonts w:hint="eastAsia" w:ascii="仿宋" w:hAnsi="仿宋" w:eastAsia="仿宋" w:cs="仿宋"/>
          <w:b/>
          <w:bCs/>
        </w:rPr>
        <w:t>5其它服务</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4250769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5.1若</w:t>
      </w:r>
      <w:r>
        <w:rPr>
          <w:rFonts w:hint="eastAsia" w:ascii="仿宋" w:hAnsi="仿宋" w:eastAsia="仿宋" w:cs="仿宋"/>
          <w:lang w:eastAsia="zh-CN"/>
        </w:rPr>
        <w:t>卖方</w:t>
      </w:r>
      <w:r>
        <w:rPr>
          <w:rFonts w:hint="eastAsia" w:ascii="仿宋" w:hAnsi="仿宋" w:eastAsia="仿宋" w:cs="仿宋"/>
        </w:rPr>
        <w:t>所提供货物有需要进口的，</w:t>
      </w:r>
      <w:r>
        <w:rPr>
          <w:rFonts w:hint="eastAsia" w:ascii="仿宋" w:hAnsi="仿宋" w:eastAsia="仿宋" w:cs="仿宋"/>
          <w:lang w:eastAsia="zh-CN"/>
        </w:rPr>
        <w:t>卖方</w:t>
      </w:r>
      <w:r>
        <w:rPr>
          <w:rFonts w:hint="eastAsia" w:ascii="仿宋" w:hAnsi="仿宋" w:eastAsia="仿宋" w:cs="仿宋"/>
        </w:rPr>
        <w:t>一般应自行、自费办理；必要时，</w:t>
      </w:r>
      <w:r>
        <w:rPr>
          <w:rFonts w:hint="eastAsia" w:ascii="仿宋" w:hAnsi="仿宋" w:eastAsia="仿宋" w:cs="仿宋"/>
          <w:lang w:eastAsia="zh-CN"/>
        </w:rPr>
        <w:t>买方</w:t>
      </w:r>
      <w:r>
        <w:rPr>
          <w:rFonts w:hint="eastAsia" w:ascii="仿宋" w:hAnsi="仿宋" w:eastAsia="仿宋" w:cs="仿宋"/>
        </w:rPr>
        <w:t>和</w:t>
      </w:r>
      <w:r>
        <w:rPr>
          <w:rFonts w:hint="eastAsia" w:ascii="仿宋" w:hAnsi="仿宋" w:eastAsia="仿宋" w:cs="仿宋"/>
          <w:lang w:eastAsia="zh-CN"/>
        </w:rPr>
        <w:t>卖方</w:t>
      </w:r>
      <w:r>
        <w:rPr>
          <w:rFonts w:hint="eastAsia" w:ascii="仿宋" w:hAnsi="仿宋" w:eastAsia="仿宋" w:cs="仿宋"/>
        </w:rPr>
        <w:t>共同办理。</w:t>
      </w:r>
    </w:p>
    <w:p w14:paraId="71C110C9">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5.2除招标文件、投标文件、答疑文件、技术协议、合同等约定之外，</w:t>
      </w:r>
      <w:r>
        <w:rPr>
          <w:rFonts w:hint="eastAsia" w:ascii="仿宋" w:hAnsi="仿宋" w:eastAsia="仿宋" w:cs="仿宋"/>
          <w:lang w:eastAsia="zh-CN"/>
        </w:rPr>
        <w:t>卖方</w:t>
      </w:r>
      <w:r>
        <w:rPr>
          <w:rFonts w:hint="eastAsia" w:ascii="仿宋" w:hAnsi="仿宋" w:eastAsia="仿宋" w:cs="仿宋"/>
        </w:rPr>
        <w:t>应免费负责必要的或强制性的货物的检验、试验、化验等直接费用。</w:t>
      </w:r>
      <w:bookmarkStart w:id="713" w:name="_Toc133783974"/>
    </w:p>
    <w:p w14:paraId="2A137695">
      <w:pPr>
        <w:adjustRightInd w:val="0"/>
        <w:snapToGrid w:val="0"/>
        <w:spacing w:line="360" w:lineRule="auto"/>
        <w:ind w:firstLine="420" w:firstLineChars="200"/>
        <w:rPr>
          <w:rFonts w:hint="eastAsia" w:ascii="仿宋" w:hAnsi="仿宋" w:eastAsia="仿宋" w:cs="仿宋"/>
          <w:lang w:val="en-GB"/>
        </w:rPr>
      </w:pPr>
      <w:bookmarkStart w:id="714" w:name="_Toc499550430"/>
      <w:r>
        <w:rPr>
          <w:rFonts w:hint="eastAsia" w:ascii="仿宋" w:hAnsi="仿宋" w:eastAsia="仿宋" w:cs="仿宋"/>
          <w:lang w:val="en-US" w:eastAsia="zh-CN"/>
        </w:rPr>
        <w:t>5</w:t>
      </w:r>
      <w:r>
        <w:rPr>
          <w:rFonts w:hint="eastAsia" w:ascii="仿宋" w:hAnsi="仿宋" w:eastAsia="仿宋" w:cs="仿宋"/>
          <w:lang w:val="en-GB"/>
        </w:rPr>
        <w:t>.</w:t>
      </w:r>
      <w:r>
        <w:rPr>
          <w:rFonts w:hint="eastAsia" w:ascii="仿宋" w:hAnsi="仿宋" w:eastAsia="仿宋" w:cs="仿宋"/>
          <w:lang w:val="en-US" w:eastAsia="zh-CN"/>
        </w:rPr>
        <w:t>3</w:t>
      </w:r>
      <w:r>
        <w:rPr>
          <w:rFonts w:hint="eastAsia" w:ascii="仿宋" w:hAnsi="仿宋" w:eastAsia="仿宋" w:cs="仿宋"/>
          <w:lang w:val="en-GB"/>
        </w:rPr>
        <w:t xml:space="preserve"> 保障服务目标</w:t>
      </w:r>
      <w:bookmarkEnd w:id="714"/>
    </w:p>
    <w:p w14:paraId="381606C1">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lang w:val="en-GB"/>
        </w:rPr>
        <w:t>（1）</w:t>
      </w:r>
      <w:r>
        <w:rPr>
          <w:rFonts w:hint="eastAsia" w:ascii="仿宋" w:hAnsi="仿宋" w:eastAsia="仿宋" w:cs="仿宋"/>
          <w:lang w:eastAsia="zh-CN"/>
        </w:rPr>
        <w:t>卖方</w:t>
      </w:r>
      <w:r>
        <w:rPr>
          <w:rFonts w:hint="eastAsia" w:ascii="仿宋" w:hAnsi="仿宋" w:eastAsia="仿宋" w:cs="仿宋"/>
        </w:rPr>
        <w:t>保证其提供的合同设备是经生产厂家正式授权销售且经合法销售渠道获得的产品，是全新的、未使用的、未经改装的、包装完好的、原厂正品，采用最佳材料和一流工艺的，并在各个方面符合本合同规定的质量、规格和性能要求。</w:t>
      </w:r>
      <w:r>
        <w:rPr>
          <w:rFonts w:hint="eastAsia" w:ascii="仿宋" w:hAnsi="仿宋" w:eastAsia="仿宋" w:cs="仿宋"/>
          <w:lang w:eastAsia="zh-CN"/>
        </w:rPr>
        <w:t>卖方</w:t>
      </w:r>
      <w:r>
        <w:rPr>
          <w:rFonts w:hint="eastAsia" w:ascii="仿宋" w:hAnsi="仿宋" w:eastAsia="仿宋" w:cs="仿宋"/>
        </w:rPr>
        <w:t>保证其合同设备经过正确安装、合理操作和维护保养，在合同设备寿命期内运转良好。</w:t>
      </w:r>
    </w:p>
    <w:p w14:paraId="2FFD3E5C">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（2）</w:t>
      </w:r>
      <w:r>
        <w:rPr>
          <w:rFonts w:hint="eastAsia" w:ascii="仿宋" w:hAnsi="仿宋" w:eastAsia="仿宋" w:cs="仿宋"/>
          <w:lang w:eastAsia="zh-CN"/>
        </w:rPr>
        <w:t>卖方</w:t>
      </w:r>
      <w:r>
        <w:rPr>
          <w:rFonts w:hint="eastAsia" w:ascii="仿宋" w:hAnsi="仿宋" w:eastAsia="仿宋" w:cs="仿宋"/>
        </w:rPr>
        <w:t>承诺其提供的设备不存在任何产品缺陷，否则因</w:t>
      </w:r>
      <w:r>
        <w:rPr>
          <w:rFonts w:hint="eastAsia" w:ascii="仿宋" w:hAnsi="仿宋" w:eastAsia="仿宋" w:cs="仿宋"/>
          <w:lang w:eastAsia="zh-CN"/>
        </w:rPr>
        <w:t>卖方</w:t>
      </w:r>
      <w:r>
        <w:rPr>
          <w:rFonts w:hint="eastAsia" w:ascii="仿宋" w:hAnsi="仿宋" w:eastAsia="仿宋" w:cs="仿宋"/>
        </w:rPr>
        <w:t>提供的设备存在产品缺陷而给</w:t>
      </w:r>
      <w:r>
        <w:rPr>
          <w:rFonts w:hint="eastAsia" w:ascii="仿宋" w:hAnsi="仿宋" w:eastAsia="仿宋" w:cs="仿宋"/>
          <w:lang w:eastAsia="zh-CN"/>
        </w:rPr>
        <w:t>买方</w:t>
      </w:r>
      <w:r>
        <w:rPr>
          <w:rFonts w:hint="eastAsia" w:ascii="仿宋" w:hAnsi="仿宋" w:eastAsia="仿宋" w:cs="仿宋"/>
        </w:rPr>
        <w:t>造成的一切后果和损失由</w:t>
      </w:r>
      <w:r>
        <w:rPr>
          <w:rFonts w:hint="eastAsia" w:ascii="仿宋" w:hAnsi="仿宋" w:eastAsia="仿宋" w:cs="仿宋"/>
          <w:lang w:eastAsia="zh-CN"/>
        </w:rPr>
        <w:t>卖方</w:t>
      </w:r>
      <w:r>
        <w:rPr>
          <w:rFonts w:hint="eastAsia" w:ascii="仿宋" w:hAnsi="仿宋" w:eastAsia="仿宋" w:cs="仿宋"/>
        </w:rPr>
        <w:t>承担。</w:t>
      </w:r>
    </w:p>
    <w:p w14:paraId="056F7CDD">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（3）</w:t>
      </w:r>
      <w:r>
        <w:rPr>
          <w:rFonts w:hint="eastAsia" w:ascii="仿宋" w:hAnsi="仿宋" w:eastAsia="仿宋" w:cs="仿宋"/>
          <w:lang w:eastAsia="zh-CN"/>
        </w:rPr>
        <w:t>卖方</w:t>
      </w:r>
      <w:r>
        <w:rPr>
          <w:rFonts w:hint="eastAsia" w:ascii="仿宋" w:hAnsi="仿宋" w:eastAsia="仿宋" w:cs="仿宋"/>
        </w:rPr>
        <w:t>承诺因其提供的设备存在瑕疵或产品缺陷而导致第三方向</w:t>
      </w:r>
      <w:r>
        <w:rPr>
          <w:rFonts w:hint="eastAsia" w:ascii="仿宋" w:hAnsi="仿宋" w:eastAsia="仿宋" w:cs="仿宋"/>
          <w:lang w:eastAsia="zh-CN"/>
        </w:rPr>
        <w:t>买方</w:t>
      </w:r>
      <w:r>
        <w:rPr>
          <w:rFonts w:hint="eastAsia" w:ascii="仿宋" w:hAnsi="仿宋" w:eastAsia="仿宋" w:cs="仿宋"/>
        </w:rPr>
        <w:t>主张权利或提起诉讼的，</w:t>
      </w:r>
      <w:r>
        <w:rPr>
          <w:rFonts w:hint="eastAsia" w:ascii="仿宋" w:hAnsi="仿宋" w:eastAsia="仿宋" w:cs="仿宋"/>
          <w:lang w:eastAsia="zh-CN"/>
        </w:rPr>
        <w:t>卖方</w:t>
      </w:r>
      <w:r>
        <w:rPr>
          <w:rFonts w:hint="eastAsia" w:ascii="仿宋" w:hAnsi="仿宋" w:eastAsia="仿宋" w:cs="仿宋"/>
        </w:rPr>
        <w:t>应积极配合</w:t>
      </w:r>
      <w:r>
        <w:rPr>
          <w:rFonts w:hint="eastAsia" w:ascii="仿宋" w:hAnsi="仿宋" w:eastAsia="仿宋" w:cs="仿宋"/>
          <w:lang w:eastAsia="zh-CN"/>
        </w:rPr>
        <w:t>买方</w:t>
      </w:r>
      <w:r>
        <w:rPr>
          <w:rFonts w:hint="eastAsia" w:ascii="仿宋" w:hAnsi="仿宋" w:eastAsia="仿宋" w:cs="仿宋"/>
        </w:rPr>
        <w:t>进行解决或应诉，因此而发生的一切费用（包括但不限于诉讼费、仲裁费、律师费、交通费、通讯费、住宿费、餐饮费、调查取证费等）由</w:t>
      </w:r>
      <w:r>
        <w:rPr>
          <w:rFonts w:hint="eastAsia" w:ascii="仿宋" w:hAnsi="仿宋" w:eastAsia="仿宋" w:cs="仿宋"/>
          <w:lang w:eastAsia="zh-CN"/>
        </w:rPr>
        <w:t>卖方</w:t>
      </w:r>
      <w:r>
        <w:rPr>
          <w:rFonts w:hint="eastAsia" w:ascii="仿宋" w:hAnsi="仿宋" w:eastAsia="仿宋" w:cs="仿宋"/>
        </w:rPr>
        <w:t>承担。</w:t>
      </w:r>
    </w:p>
    <w:p w14:paraId="0D6BE189">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4）设备所安装的操作系统及软件均为正版，已获知识产权所有权人或合法使用权人的正式授权，且对该系统软件拥有合法的知识产权或具有合法的来源，在有关知识产权中不存在任何侵犯第三方的权益，否则由</w:t>
      </w:r>
      <w:r>
        <w:rPr>
          <w:rFonts w:hint="eastAsia" w:ascii="仿宋" w:hAnsi="仿宋" w:eastAsia="仿宋" w:cs="仿宋"/>
          <w:lang w:eastAsia="zh-CN"/>
        </w:rPr>
        <w:t>卖方</w:t>
      </w:r>
      <w:r>
        <w:rPr>
          <w:rFonts w:hint="eastAsia" w:ascii="仿宋" w:hAnsi="仿宋" w:eastAsia="仿宋" w:cs="仿宋"/>
        </w:rPr>
        <w:t>承担一切责任。</w:t>
      </w:r>
    </w:p>
    <w:p w14:paraId="37B9D144">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（5）合同约定的设备在质量保证期届满前，如有质量问题，</w:t>
      </w:r>
      <w:r>
        <w:rPr>
          <w:rFonts w:hint="eastAsia" w:ascii="仿宋" w:hAnsi="仿宋" w:eastAsia="仿宋" w:cs="仿宋"/>
          <w:lang w:eastAsia="zh-CN"/>
        </w:rPr>
        <w:t>卖方</w:t>
      </w:r>
      <w:r>
        <w:rPr>
          <w:rFonts w:hint="eastAsia" w:ascii="仿宋" w:hAnsi="仿宋" w:eastAsia="仿宋" w:cs="仿宋"/>
        </w:rPr>
        <w:t>应在收到</w:t>
      </w:r>
      <w:r>
        <w:rPr>
          <w:rFonts w:hint="eastAsia" w:ascii="仿宋" w:hAnsi="仿宋" w:eastAsia="仿宋" w:cs="仿宋"/>
          <w:lang w:eastAsia="zh-CN"/>
        </w:rPr>
        <w:t>买方</w:t>
      </w:r>
      <w:r>
        <w:rPr>
          <w:rFonts w:hint="eastAsia" w:ascii="仿宋" w:hAnsi="仿宋" w:eastAsia="仿宋" w:cs="仿宋"/>
        </w:rPr>
        <w:t>或设备使用单位通知后6小时内做出回复，如需到现场解决问题，</w:t>
      </w:r>
      <w:r>
        <w:rPr>
          <w:rFonts w:hint="eastAsia" w:ascii="仿宋" w:hAnsi="仿宋" w:eastAsia="仿宋" w:cs="仿宋"/>
          <w:lang w:eastAsia="zh-CN"/>
        </w:rPr>
        <w:t>卖方</w:t>
      </w:r>
      <w:r>
        <w:rPr>
          <w:rFonts w:hint="eastAsia" w:ascii="仿宋" w:hAnsi="仿宋" w:eastAsia="仿宋" w:cs="仿宋"/>
        </w:rPr>
        <w:t>应派工作人员在2小时内到达设备使用现场，1个工作日内排除故障，并按</w:t>
      </w:r>
      <w:r>
        <w:rPr>
          <w:rFonts w:hint="eastAsia" w:ascii="仿宋" w:hAnsi="仿宋" w:eastAsia="仿宋" w:cs="仿宋"/>
          <w:lang w:eastAsia="zh-CN"/>
        </w:rPr>
        <w:t>买方</w:t>
      </w:r>
      <w:r>
        <w:rPr>
          <w:rFonts w:hint="eastAsia" w:ascii="仿宋" w:hAnsi="仿宋" w:eastAsia="仿宋" w:cs="仿宋"/>
        </w:rPr>
        <w:t>要求的时间免费修复、更换相关部件，将设备修复完成。</w:t>
      </w:r>
    </w:p>
    <w:p w14:paraId="108695FB">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（6）</w:t>
      </w:r>
      <w:r>
        <w:rPr>
          <w:rFonts w:hint="eastAsia" w:ascii="仿宋" w:hAnsi="仿宋" w:eastAsia="仿宋" w:cs="仿宋"/>
          <w:lang w:eastAsia="zh-CN"/>
        </w:rPr>
        <w:t>卖方</w:t>
      </w:r>
      <w:r>
        <w:rPr>
          <w:rFonts w:hint="eastAsia" w:ascii="仿宋" w:hAnsi="仿宋" w:eastAsia="仿宋" w:cs="仿宋"/>
        </w:rPr>
        <w:t>负责在</w:t>
      </w:r>
      <w:r>
        <w:rPr>
          <w:rFonts w:hint="eastAsia" w:ascii="仿宋" w:hAnsi="仿宋" w:eastAsia="仿宋" w:cs="仿宋"/>
          <w:lang w:eastAsia="zh-CN"/>
        </w:rPr>
        <w:t>买方</w:t>
      </w:r>
      <w:r>
        <w:rPr>
          <w:rFonts w:hint="eastAsia" w:ascii="仿宋" w:hAnsi="仿宋" w:eastAsia="仿宋" w:cs="仿宋"/>
        </w:rPr>
        <w:t>指定的地点免费为</w:t>
      </w:r>
      <w:r>
        <w:rPr>
          <w:rFonts w:hint="eastAsia" w:ascii="仿宋" w:hAnsi="仿宋" w:eastAsia="仿宋" w:cs="仿宋"/>
          <w:lang w:eastAsia="zh-CN"/>
        </w:rPr>
        <w:t>买方</w:t>
      </w:r>
      <w:r>
        <w:rPr>
          <w:rFonts w:hint="eastAsia" w:ascii="仿宋" w:hAnsi="仿宋" w:eastAsia="仿宋" w:cs="仿宋"/>
        </w:rPr>
        <w:t>培训操作及维修人员，培训内容包括：基本原理、操作使用和维修保养等。</w:t>
      </w:r>
    </w:p>
    <w:p w14:paraId="29444347">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（7）质量保证期满后，</w:t>
      </w:r>
      <w:r>
        <w:rPr>
          <w:rFonts w:hint="eastAsia" w:ascii="仿宋" w:hAnsi="仿宋" w:eastAsia="仿宋" w:cs="仿宋"/>
          <w:lang w:eastAsia="zh-CN"/>
        </w:rPr>
        <w:t>卖方</w:t>
      </w:r>
      <w:r>
        <w:rPr>
          <w:rFonts w:hint="eastAsia" w:ascii="仿宋" w:hAnsi="仿宋" w:eastAsia="仿宋" w:cs="仿宋"/>
        </w:rPr>
        <w:t>保证向</w:t>
      </w:r>
      <w:r>
        <w:rPr>
          <w:rFonts w:hint="eastAsia" w:ascii="仿宋" w:hAnsi="仿宋" w:eastAsia="仿宋" w:cs="仿宋"/>
          <w:lang w:eastAsia="zh-CN"/>
        </w:rPr>
        <w:t>买方</w:t>
      </w:r>
      <w:r>
        <w:rPr>
          <w:rFonts w:hint="eastAsia" w:ascii="仿宋" w:hAnsi="仿宋" w:eastAsia="仿宋" w:cs="仿宋"/>
        </w:rPr>
        <w:t>提供及时的、质优的、价格优惠的技术服务和备品备件供应。</w:t>
      </w:r>
    </w:p>
    <w:p w14:paraId="5DDAFFFF">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（8）质量保证期满后，如出现质量问题，</w:t>
      </w:r>
      <w:r>
        <w:rPr>
          <w:rFonts w:hint="eastAsia" w:ascii="仿宋" w:hAnsi="仿宋" w:eastAsia="仿宋" w:cs="仿宋"/>
          <w:lang w:eastAsia="zh-CN"/>
        </w:rPr>
        <w:t>卖方</w:t>
      </w:r>
      <w:r>
        <w:rPr>
          <w:rFonts w:hint="eastAsia" w:ascii="仿宋" w:hAnsi="仿宋" w:eastAsia="仿宋" w:cs="仿宋"/>
        </w:rPr>
        <w:t>也应及时修复和更换，且只收取成本费，费用由</w:t>
      </w:r>
      <w:r>
        <w:rPr>
          <w:rFonts w:hint="eastAsia" w:ascii="仿宋" w:hAnsi="仿宋" w:eastAsia="仿宋" w:cs="仿宋"/>
          <w:lang w:eastAsia="zh-CN"/>
        </w:rPr>
        <w:t>买方</w:t>
      </w:r>
      <w:r>
        <w:rPr>
          <w:rFonts w:hint="eastAsia" w:ascii="仿宋" w:hAnsi="仿宋" w:eastAsia="仿宋" w:cs="仿宋"/>
        </w:rPr>
        <w:t>承担，</w:t>
      </w:r>
      <w:r>
        <w:rPr>
          <w:rFonts w:hint="eastAsia" w:ascii="仿宋" w:hAnsi="仿宋" w:eastAsia="仿宋" w:cs="仿宋"/>
          <w:lang w:eastAsia="zh-CN"/>
        </w:rPr>
        <w:t>卖方</w:t>
      </w:r>
      <w:r>
        <w:rPr>
          <w:rFonts w:hint="eastAsia" w:ascii="仿宋" w:hAnsi="仿宋" w:eastAsia="仿宋" w:cs="仿宋"/>
        </w:rPr>
        <w:t>对设备质量问题所负的责任直到设备使用寿命周期结束。</w:t>
      </w:r>
    </w:p>
    <w:p w14:paraId="5D530B64">
      <w:pPr>
        <w:adjustRightInd w:val="0"/>
        <w:snapToGrid w:val="0"/>
        <w:spacing w:line="360" w:lineRule="auto"/>
        <w:ind w:firstLine="420" w:firstLineChars="200"/>
        <w:rPr>
          <w:rFonts w:hint="eastAsia" w:ascii="仿宋" w:hAnsi="仿宋" w:eastAsia="仿宋" w:cs="仿宋"/>
          <w:lang w:val="en-GB"/>
        </w:rPr>
      </w:pPr>
      <w:r>
        <w:rPr>
          <w:rFonts w:hint="eastAsia" w:ascii="仿宋" w:hAnsi="仿宋" w:eastAsia="仿宋" w:cs="仿宋"/>
          <w:lang w:val="en-US" w:eastAsia="zh-CN"/>
        </w:rPr>
        <w:t>5.4</w:t>
      </w:r>
      <w:r>
        <w:rPr>
          <w:rFonts w:hint="eastAsia" w:ascii="仿宋" w:hAnsi="仿宋" w:eastAsia="仿宋" w:cs="仿宋"/>
          <w:lang w:val="en-GB"/>
        </w:rPr>
        <w:t>增值服务目标</w:t>
      </w:r>
    </w:p>
    <w:p w14:paraId="13F533FB">
      <w:pPr>
        <w:adjustRightInd w:val="0"/>
        <w:snapToGrid w:val="0"/>
        <w:spacing w:line="360" w:lineRule="auto"/>
        <w:ind w:firstLine="420" w:firstLineChars="200"/>
      </w:pPr>
      <w:r>
        <w:rPr>
          <w:rFonts w:hint="eastAsia" w:ascii="仿宋" w:hAnsi="仿宋" w:eastAsia="仿宋" w:cs="仿宋"/>
          <w:lang w:val="en-GB"/>
        </w:rPr>
        <w:t>（1）提供一年的系统7×24维护</w:t>
      </w:r>
    </w:p>
    <w:p w14:paraId="31E05C78">
      <w:pPr>
        <w:rPr>
          <w:rFonts w:hint="eastAsia" w:ascii="仿宋" w:hAnsi="仿宋" w:eastAsia="仿宋" w:cs="仿宋"/>
          <w:b/>
          <w:bCs/>
          <w:sz w:val="24"/>
          <w:szCs w:val="24"/>
        </w:rPr>
      </w:pPr>
      <w:bookmarkStart w:id="715" w:name="_Toc14411"/>
      <w:bookmarkStart w:id="716" w:name="_Toc12454"/>
      <w:bookmarkStart w:id="717" w:name="_Toc10873"/>
      <w:bookmarkStart w:id="718" w:name="_Toc24752"/>
      <w:bookmarkStart w:id="719" w:name="_Toc32483"/>
      <w:bookmarkStart w:id="720" w:name="_Toc25825"/>
      <w:bookmarkStart w:id="721" w:name="_Toc23730"/>
      <w:bookmarkStart w:id="722" w:name="_Toc10438"/>
      <w:bookmarkStart w:id="723" w:name="_Toc5013"/>
      <w:bookmarkStart w:id="724" w:name="_Toc30293"/>
      <w:bookmarkStart w:id="725" w:name="_Toc19017"/>
      <w:bookmarkStart w:id="726" w:name="_Toc9482"/>
      <w:bookmarkStart w:id="727" w:name="_Toc32409"/>
      <w:bookmarkStart w:id="728" w:name="_Toc18621"/>
      <w:bookmarkStart w:id="729" w:name="_Toc8076"/>
      <w:bookmarkStart w:id="730" w:name="_Toc2140"/>
      <w:bookmarkStart w:id="731" w:name="_Toc11150"/>
      <w:bookmarkStart w:id="732" w:name="_Toc29777"/>
      <w:bookmarkStart w:id="733" w:name="_Toc7461"/>
      <w:bookmarkStart w:id="734" w:name="_Toc8547"/>
      <w:bookmarkStart w:id="735" w:name="_Toc19208"/>
      <w:bookmarkStart w:id="736" w:name="_Toc10492"/>
      <w:bookmarkStart w:id="737" w:name="_Toc27484"/>
      <w:bookmarkStart w:id="738" w:name="_Toc2800"/>
      <w:bookmarkStart w:id="739" w:name="_Toc13895"/>
      <w:bookmarkStart w:id="740" w:name="_Toc9498"/>
      <w:bookmarkStart w:id="741" w:name="_Toc4011"/>
      <w:bookmarkStart w:id="742" w:name="_Toc6228"/>
      <w:bookmarkStart w:id="743" w:name="_Toc16312"/>
      <w:bookmarkStart w:id="744" w:name="_Toc15356"/>
      <w:bookmarkStart w:id="745" w:name="_Toc25057"/>
      <w:bookmarkStart w:id="746" w:name="_Toc12013"/>
      <w:bookmarkStart w:id="747" w:name="_Toc18030"/>
      <w:bookmarkStart w:id="748" w:name="_Toc29817"/>
      <w:bookmarkStart w:id="749" w:name="_Toc26489"/>
      <w:bookmarkStart w:id="750" w:name="_Toc21122"/>
      <w:bookmarkStart w:id="751" w:name="_Toc9121"/>
      <w:bookmarkStart w:id="752" w:name="_Toc13250"/>
      <w:bookmarkStart w:id="753" w:name="_Toc16355"/>
      <w:bookmarkStart w:id="754" w:name="_Toc29269"/>
      <w:bookmarkStart w:id="755" w:name="_Toc5996"/>
      <w:bookmarkStart w:id="756" w:name="_Toc22725"/>
      <w:bookmarkStart w:id="757" w:name="_Toc19942"/>
      <w:r>
        <w:rPr>
          <w:rFonts w:hint="eastAsia" w:ascii="仿宋" w:hAnsi="仿宋" w:eastAsia="仿宋" w:cs="仿宋"/>
          <w:b/>
          <w:bCs/>
          <w:sz w:val="24"/>
          <w:szCs w:val="24"/>
        </w:rPr>
        <w:br w:type="page"/>
      </w:r>
    </w:p>
    <w:p w14:paraId="400992BF">
      <w:pPr>
        <w:adjustRightInd w:val="0"/>
        <w:snapToGrid w:val="0"/>
        <w:spacing w:before="163" w:beforeLines="50" w:after="163" w:afterLines="50" w:line="360" w:lineRule="auto"/>
        <w:jc w:val="center"/>
        <w:outlineLvl w:val="0"/>
        <w:rPr>
          <w:rFonts w:hint="default" w:ascii="仿宋" w:hAnsi="仿宋" w:eastAsia="仿宋" w:cs="仿宋"/>
          <w:b/>
          <w:bCs/>
          <w:lang w:val="en-US" w:eastAsia="zh-CN"/>
        </w:rPr>
      </w:pPr>
      <w:r>
        <w:rPr>
          <w:rFonts w:hint="eastAsia" w:ascii="仿宋" w:hAnsi="仿宋" w:eastAsia="仿宋" w:cs="仿宋"/>
          <w:b/>
          <w:bCs/>
          <w:sz w:val="24"/>
          <w:szCs w:val="24"/>
        </w:rPr>
        <w:t>第五章预验收和终验收</w:t>
      </w:r>
      <w:bookmarkEnd w:id="713"/>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r>
        <w:rPr>
          <w:rFonts w:hint="eastAsia" w:ascii="仿宋" w:hAnsi="仿宋" w:eastAsia="仿宋" w:cs="仿宋"/>
          <w:b/>
          <w:bCs/>
          <w:sz w:val="24"/>
          <w:szCs w:val="24"/>
          <w:highlight w:val="yellow"/>
          <w:lang w:eastAsia="zh-CN"/>
        </w:rPr>
        <w:t>（</w:t>
      </w:r>
      <w:r>
        <w:rPr>
          <w:rFonts w:hint="eastAsia" w:ascii="仿宋" w:hAnsi="仿宋" w:eastAsia="仿宋" w:cs="仿宋"/>
          <w:b/>
          <w:bCs/>
          <w:sz w:val="24"/>
          <w:szCs w:val="24"/>
          <w:highlight w:val="yellow"/>
          <w:lang w:val="en-US" w:eastAsia="zh-CN"/>
        </w:rPr>
        <w:t>本项目无预验收）</w:t>
      </w:r>
    </w:p>
    <w:p w14:paraId="6373966B">
      <w:pPr>
        <w:snapToGrid w:val="0"/>
        <w:spacing w:line="360" w:lineRule="auto"/>
        <w:ind w:left="482"/>
        <w:outlineLvl w:val="1"/>
        <w:rPr>
          <w:rFonts w:ascii="仿宋" w:hAnsi="仿宋" w:eastAsia="仿宋" w:cs="仿宋"/>
          <w:b/>
          <w:bCs/>
        </w:rPr>
      </w:pPr>
      <w:bookmarkStart w:id="758" w:name="_Toc2326"/>
      <w:bookmarkStart w:id="759" w:name="_Toc4070"/>
      <w:bookmarkStart w:id="760" w:name="_Toc17620"/>
      <w:bookmarkStart w:id="761" w:name="_Toc31478"/>
      <w:bookmarkStart w:id="762" w:name="_Toc1286"/>
      <w:bookmarkStart w:id="763" w:name="_Toc14965"/>
      <w:bookmarkStart w:id="764" w:name="_Toc29287"/>
      <w:bookmarkStart w:id="765" w:name="_Toc11331"/>
      <w:bookmarkStart w:id="766" w:name="_Toc12676"/>
      <w:bookmarkStart w:id="767" w:name="_Toc27448"/>
      <w:bookmarkStart w:id="768" w:name="_Toc29611"/>
      <w:bookmarkStart w:id="769" w:name="_Toc5401"/>
      <w:bookmarkStart w:id="770" w:name="_Toc12239"/>
      <w:bookmarkStart w:id="771" w:name="_Toc6378"/>
      <w:bookmarkStart w:id="772" w:name="_Toc29608"/>
      <w:bookmarkStart w:id="773" w:name="_Toc27225"/>
      <w:bookmarkStart w:id="774" w:name="_Toc23191"/>
      <w:bookmarkStart w:id="775" w:name="_Toc242"/>
      <w:bookmarkStart w:id="776" w:name="_Toc22140"/>
      <w:bookmarkStart w:id="777" w:name="_Toc28506"/>
      <w:bookmarkStart w:id="778" w:name="_Toc24517"/>
      <w:bookmarkStart w:id="779" w:name="_Toc9902"/>
      <w:bookmarkStart w:id="780" w:name="_Toc28073"/>
      <w:bookmarkStart w:id="781" w:name="_Toc7191"/>
      <w:bookmarkStart w:id="782" w:name="_Toc14541"/>
      <w:bookmarkStart w:id="783" w:name="_Toc23231"/>
      <w:bookmarkStart w:id="784" w:name="_Toc22207"/>
      <w:bookmarkStart w:id="785" w:name="_Toc10033"/>
      <w:bookmarkStart w:id="786" w:name="_Toc29964"/>
      <w:bookmarkStart w:id="787" w:name="_Toc25574"/>
      <w:bookmarkStart w:id="788" w:name="_Toc21206"/>
      <w:bookmarkStart w:id="789" w:name="_Toc7184"/>
      <w:bookmarkStart w:id="790" w:name="_Toc27951"/>
      <w:bookmarkStart w:id="791" w:name="_Toc3676"/>
      <w:bookmarkStart w:id="792" w:name="_Toc20512"/>
      <w:bookmarkStart w:id="793" w:name="_Toc13718"/>
      <w:bookmarkStart w:id="794" w:name="_Toc22981"/>
      <w:bookmarkStart w:id="795" w:name="_Toc7463"/>
      <w:bookmarkStart w:id="796" w:name="_Toc21557"/>
      <w:bookmarkStart w:id="797" w:name="_Toc24809"/>
      <w:bookmarkStart w:id="798" w:name="_Toc15025"/>
      <w:bookmarkStart w:id="799" w:name="_Toc6924"/>
      <w:r>
        <w:rPr>
          <w:rFonts w:hint="eastAsia" w:ascii="仿宋" w:hAnsi="仿宋" w:eastAsia="仿宋" w:cs="仿宋"/>
          <w:b/>
          <w:bCs/>
        </w:rPr>
        <w:t>1验收的一般约定</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02E3E13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1.1验收标准一般以技术协议书和合同规定验收。</w:t>
      </w:r>
    </w:p>
    <w:p w14:paraId="66C9528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1.2如果验收过程中，发现招标文件、投标文件、答疑文件、技术交流文件等与技术协议书、合同存在差异，原则上以涉及条款中对买方最有利条款为验收依据。</w:t>
      </w:r>
    </w:p>
    <w:p w14:paraId="5F9E32B8">
      <w:pPr>
        <w:snapToGrid w:val="0"/>
        <w:spacing w:line="360" w:lineRule="auto"/>
        <w:ind w:left="482"/>
        <w:outlineLvl w:val="1"/>
        <w:rPr>
          <w:rFonts w:ascii="仿宋" w:hAnsi="仿宋" w:eastAsia="仿宋" w:cs="仿宋"/>
          <w:b/>
          <w:bCs/>
        </w:rPr>
      </w:pPr>
      <w:bookmarkStart w:id="800" w:name="_Toc27467"/>
      <w:bookmarkStart w:id="801" w:name="_Toc22158"/>
      <w:bookmarkStart w:id="802" w:name="_Toc32581"/>
      <w:bookmarkStart w:id="803" w:name="_Toc21414"/>
      <w:bookmarkStart w:id="804" w:name="_Toc1155"/>
      <w:bookmarkStart w:id="805" w:name="_Toc6471"/>
      <w:bookmarkStart w:id="806" w:name="_Toc11248"/>
      <w:bookmarkStart w:id="807" w:name="_Toc1187"/>
      <w:bookmarkStart w:id="808" w:name="_Toc13736"/>
      <w:bookmarkStart w:id="809" w:name="_Toc7457"/>
      <w:bookmarkStart w:id="810" w:name="_Toc31116"/>
      <w:bookmarkStart w:id="811" w:name="_Toc10568"/>
      <w:bookmarkStart w:id="812" w:name="_Toc8338"/>
      <w:bookmarkStart w:id="813" w:name="_Toc28873"/>
      <w:bookmarkStart w:id="814" w:name="_Toc22558"/>
      <w:bookmarkStart w:id="815" w:name="_Toc9729"/>
      <w:bookmarkStart w:id="816" w:name="_Toc11335"/>
      <w:bookmarkStart w:id="817" w:name="_Toc21568"/>
      <w:bookmarkStart w:id="818" w:name="_Toc2310"/>
      <w:bookmarkStart w:id="819" w:name="_Toc8742"/>
      <w:bookmarkStart w:id="820" w:name="_Toc17720"/>
      <w:bookmarkStart w:id="821" w:name="_Toc21722"/>
      <w:bookmarkStart w:id="822" w:name="_Toc25951"/>
      <w:bookmarkStart w:id="823" w:name="_Toc28925"/>
      <w:bookmarkStart w:id="824" w:name="_Toc16943"/>
      <w:bookmarkStart w:id="825" w:name="_Toc23133"/>
      <w:bookmarkStart w:id="826" w:name="_Toc8093"/>
      <w:bookmarkStart w:id="827" w:name="_Toc20876"/>
      <w:bookmarkStart w:id="828" w:name="_Toc17335"/>
      <w:bookmarkStart w:id="829" w:name="_Toc8916"/>
      <w:bookmarkStart w:id="830" w:name="_Toc7863"/>
      <w:bookmarkStart w:id="831" w:name="_Toc18517"/>
      <w:bookmarkStart w:id="832" w:name="_Toc15379"/>
      <w:bookmarkStart w:id="833" w:name="_Toc27120"/>
      <w:bookmarkStart w:id="834" w:name="_Toc13173"/>
      <w:bookmarkStart w:id="835" w:name="_Toc30274"/>
      <w:bookmarkStart w:id="836" w:name="_Toc513"/>
      <w:bookmarkStart w:id="837" w:name="_Toc23919"/>
      <w:bookmarkStart w:id="838" w:name="_Toc19505"/>
      <w:bookmarkStart w:id="839" w:name="_Toc29669"/>
      <w:bookmarkStart w:id="840" w:name="_Toc10200"/>
      <w:bookmarkStart w:id="841" w:name="_Toc6206"/>
      <w:r>
        <w:rPr>
          <w:rFonts w:hint="eastAsia" w:ascii="仿宋" w:hAnsi="仿宋" w:eastAsia="仿宋" w:cs="仿宋"/>
          <w:b/>
          <w:bCs/>
        </w:rPr>
        <w:t>2检验</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6810CB4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2.1国产货物的检验由卖买双方按照合同要求或在制造现场进行。</w:t>
      </w:r>
    </w:p>
    <w:p w14:paraId="1F3B5342">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2.2进口货物的检验按照下述要求进行：</w:t>
      </w:r>
    </w:p>
    <w:p w14:paraId="73D4048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2.1.1进口货物发货前，卖方应对货物的质量、型号、规格、性能和数量/重量作精密、全面的检验，并出具证明书，证明所供货物符合合同规定。</w:t>
      </w:r>
    </w:p>
    <w:p w14:paraId="024414A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2.1.2卖方应依据合同规定的要求，提供买卖双方达成一致的货物的验收标准和装箱单，作为买方检验的依据。</w:t>
      </w:r>
    </w:p>
    <w:p w14:paraId="31F785E3">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2.1.3进口货物到达目的地后，买方有权申请中国商品检验检疫局进行检验，如发现货物的品质及规格与合同或发票不符，除买方的责任外，买方有权在货物到达卸货目的地后</w:t>
      </w:r>
      <w:r>
        <w:rPr>
          <w:rFonts w:hint="eastAsia" w:ascii="仿宋" w:hAnsi="仿宋" w:eastAsia="仿宋" w:cs="仿宋"/>
          <w:shd w:val="pct10" w:color="auto" w:fill="FFFFFF"/>
        </w:rPr>
        <w:t>180</w:t>
      </w:r>
      <w:r>
        <w:rPr>
          <w:rFonts w:hint="eastAsia" w:ascii="仿宋" w:hAnsi="仿宋" w:eastAsia="仿宋" w:cs="仿宋"/>
        </w:rPr>
        <w:t>个日历日内，根据中国商品检验检疫局出具的证明书向卖方提出索赔，因索赔所发生的一切费用(包括检验检疫费等)均由卖方承担。</w:t>
      </w:r>
    </w:p>
    <w:p w14:paraId="2E368DBC">
      <w:pPr>
        <w:snapToGrid w:val="0"/>
        <w:spacing w:line="360" w:lineRule="auto"/>
        <w:ind w:left="482"/>
        <w:outlineLvl w:val="1"/>
        <w:rPr>
          <w:rFonts w:ascii="仿宋" w:hAnsi="仿宋" w:eastAsia="仿宋" w:cs="仿宋"/>
          <w:b/>
          <w:bCs/>
        </w:rPr>
      </w:pPr>
      <w:bookmarkStart w:id="842" w:name="_Toc14844"/>
      <w:bookmarkStart w:id="843" w:name="_Toc19311"/>
      <w:bookmarkStart w:id="844" w:name="_Toc18595"/>
      <w:bookmarkStart w:id="845" w:name="_Toc32111"/>
      <w:bookmarkStart w:id="846" w:name="_Toc1461"/>
      <w:bookmarkStart w:id="847" w:name="_Toc27310"/>
      <w:bookmarkStart w:id="848" w:name="_Toc27145"/>
      <w:bookmarkStart w:id="849" w:name="_Toc6506"/>
      <w:bookmarkStart w:id="850" w:name="_Toc31780"/>
      <w:bookmarkStart w:id="851" w:name="_Toc16878"/>
      <w:bookmarkStart w:id="852" w:name="_Toc8664"/>
      <w:bookmarkStart w:id="853" w:name="_Toc28225"/>
      <w:bookmarkStart w:id="854" w:name="_Toc29497"/>
      <w:bookmarkStart w:id="855" w:name="_Toc25654"/>
      <w:bookmarkStart w:id="856" w:name="_Toc21487"/>
      <w:bookmarkStart w:id="857" w:name="_Toc14993"/>
      <w:bookmarkStart w:id="858" w:name="_Toc27538"/>
      <w:bookmarkStart w:id="859" w:name="_Toc14904"/>
      <w:bookmarkStart w:id="860" w:name="_Toc21757"/>
      <w:bookmarkStart w:id="861" w:name="_Toc23250"/>
      <w:bookmarkStart w:id="862" w:name="_Toc5604"/>
      <w:bookmarkStart w:id="863" w:name="_Toc1969"/>
      <w:bookmarkStart w:id="864" w:name="_Toc17499"/>
      <w:bookmarkStart w:id="865" w:name="_Toc5653"/>
      <w:bookmarkStart w:id="866" w:name="_Toc23252"/>
      <w:bookmarkStart w:id="867" w:name="_Toc228"/>
      <w:bookmarkStart w:id="868" w:name="_Toc30797"/>
      <w:bookmarkStart w:id="869" w:name="_Toc1041"/>
      <w:bookmarkStart w:id="870" w:name="_Toc15488"/>
      <w:bookmarkStart w:id="871" w:name="_Toc8128"/>
      <w:bookmarkStart w:id="872" w:name="_Toc27594"/>
      <w:bookmarkStart w:id="873" w:name="_Toc16665"/>
      <w:bookmarkStart w:id="874" w:name="_Toc8477"/>
      <w:bookmarkStart w:id="875" w:name="_Toc99"/>
      <w:bookmarkStart w:id="876" w:name="_Toc8214"/>
      <w:bookmarkStart w:id="877" w:name="_Toc11780"/>
      <w:bookmarkStart w:id="878" w:name="_Toc14587"/>
      <w:bookmarkStart w:id="879" w:name="_Toc27629"/>
      <w:bookmarkStart w:id="880" w:name="_Toc18036"/>
      <w:bookmarkStart w:id="881" w:name="_Toc10879"/>
      <w:bookmarkStart w:id="882" w:name="_Toc22379"/>
      <w:bookmarkStart w:id="883" w:name="_Toc11846"/>
      <w:r>
        <w:rPr>
          <w:rFonts w:hint="eastAsia" w:ascii="仿宋" w:hAnsi="仿宋" w:eastAsia="仿宋" w:cs="仿宋"/>
          <w:b/>
          <w:bCs/>
        </w:rPr>
        <w:t>3验收条件</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p>
    <w:p w14:paraId="3267C0C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3C11EF3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买卖双方按照合同约定执行了合同，同时货物完成了试运行并经检验合格，则具备验收条件。</w:t>
      </w:r>
    </w:p>
    <w:p w14:paraId="582BB1AC">
      <w:pPr>
        <w:adjustRightInd w:val="0"/>
        <w:snapToGrid w:val="0"/>
        <w:spacing w:line="360" w:lineRule="auto"/>
        <w:ind w:firstLine="420" w:firstLineChars="200"/>
        <w:rPr>
          <w:rFonts w:ascii="仿宋" w:hAnsi="仿宋" w:eastAsia="仿宋" w:cs="仿宋"/>
        </w:rPr>
      </w:pPr>
      <w:bookmarkStart w:id="884" w:name="_Toc23548"/>
      <w:bookmarkStart w:id="885" w:name="_Toc16974"/>
      <w:bookmarkStart w:id="886" w:name="_Toc10586"/>
      <w:bookmarkStart w:id="887" w:name="_Toc4157"/>
      <w:bookmarkStart w:id="888" w:name="_Toc5473"/>
      <w:bookmarkStart w:id="889" w:name="_Toc6977"/>
      <w:bookmarkStart w:id="890" w:name="_Toc18963"/>
      <w:bookmarkStart w:id="891" w:name="_Toc24921"/>
      <w:bookmarkStart w:id="892" w:name="_Toc16622"/>
      <w:bookmarkStart w:id="893" w:name="_Toc18487"/>
      <w:bookmarkStart w:id="894" w:name="_Toc25547"/>
      <w:bookmarkStart w:id="895" w:name="_Toc771"/>
      <w:bookmarkStart w:id="896" w:name="_Toc19344"/>
      <w:bookmarkStart w:id="897" w:name="_Toc3034"/>
      <w:bookmarkStart w:id="898" w:name="_Toc31328"/>
      <w:bookmarkStart w:id="899" w:name="_Toc6731"/>
      <w:bookmarkStart w:id="900" w:name="_Toc10389"/>
      <w:bookmarkStart w:id="901" w:name="_Toc31639"/>
      <w:bookmarkStart w:id="902" w:name="_Toc18903"/>
      <w:bookmarkStart w:id="903" w:name="_Toc1849"/>
      <w:bookmarkStart w:id="904" w:name="_Toc32498"/>
      <w:bookmarkStart w:id="905" w:name="_Toc22247"/>
      <w:bookmarkStart w:id="906" w:name="_Toc24814"/>
      <w:bookmarkStart w:id="907" w:name="_Toc10052"/>
      <w:bookmarkStart w:id="908" w:name="_Toc362"/>
      <w:bookmarkStart w:id="909" w:name="_Toc7303"/>
      <w:bookmarkStart w:id="910" w:name="_Toc24377"/>
      <w:bookmarkStart w:id="911" w:name="_Toc11234"/>
      <w:bookmarkStart w:id="912" w:name="_Toc27856"/>
      <w:bookmarkStart w:id="913" w:name="_Toc17709"/>
      <w:bookmarkStart w:id="914" w:name="_Toc20504"/>
      <w:bookmarkStart w:id="915" w:name="_Toc4741"/>
      <w:bookmarkStart w:id="916" w:name="_Toc27848"/>
      <w:bookmarkStart w:id="917" w:name="_Toc20087"/>
      <w:bookmarkStart w:id="918" w:name="_Toc11412"/>
      <w:bookmarkStart w:id="919" w:name="_Toc11902"/>
      <w:bookmarkStart w:id="920" w:name="_Toc9015"/>
      <w:bookmarkStart w:id="921" w:name="_Toc30563"/>
      <w:bookmarkStart w:id="922" w:name="_Toc23170"/>
      <w:bookmarkStart w:id="923" w:name="_Toc5952"/>
      <w:bookmarkStart w:id="924" w:name="_Toc21811"/>
      <w:r>
        <w:rPr>
          <w:rFonts w:hint="eastAsia" w:ascii="仿宋" w:hAnsi="仿宋" w:eastAsia="仿宋" w:cs="仿宋"/>
        </w:rPr>
        <w:t>3.1预验收一般条件</w:t>
      </w:r>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p>
    <w:p w14:paraId="2A35B489">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3.1.1卖方已经按照“供货范围”要求提供了预验收资料，并且资料齐全、完整和有效。</w:t>
      </w:r>
    </w:p>
    <w:p w14:paraId="17738F4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3.1.2货物应运行稳定、可靠、安全，无非正常变形，非正常振动，无异常声音。</w:t>
      </w:r>
    </w:p>
    <w:p w14:paraId="390EB3D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3.1.3货物应完整且所有的零部件应该安装安全、牢固，外观无损伤。</w:t>
      </w:r>
    </w:p>
    <w:p w14:paraId="0E532C8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w:t>
      </w:r>
      <w:r>
        <w:rPr>
          <w:rFonts w:ascii="仿宋" w:hAnsi="仿宋" w:eastAsia="仿宋" w:cs="仿宋"/>
        </w:rPr>
        <w:t>4</w:t>
      </w:r>
      <w:r>
        <w:rPr>
          <w:rFonts w:hint="eastAsia" w:ascii="仿宋" w:hAnsi="仿宋" w:eastAsia="仿宋" w:cs="仿宋"/>
        </w:rPr>
        <w:t>货物标牌完整、清晰、明确。</w:t>
      </w:r>
    </w:p>
    <w:p w14:paraId="6B069601">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3.1.</w:t>
      </w:r>
      <w:r>
        <w:rPr>
          <w:rFonts w:ascii="仿宋" w:hAnsi="仿宋" w:eastAsia="仿宋" w:cs="仿宋"/>
        </w:rPr>
        <w:t>5</w:t>
      </w:r>
      <w:r>
        <w:rPr>
          <w:rFonts w:hint="eastAsia" w:ascii="仿宋" w:hAnsi="仿宋" w:eastAsia="仿宋" w:cs="仿宋"/>
        </w:rPr>
        <w:t>货物的安全要求符合中国最新的相关法律、法规、标准和规范以及合同要求。</w:t>
      </w:r>
    </w:p>
    <w:p w14:paraId="5839B4D7">
      <w:pPr>
        <w:adjustRightInd w:val="0"/>
        <w:snapToGrid w:val="0"/>
        <w:spacing w:line="360" w:lineRule="auto"/>
        <w:ind w:firstLine="420" w:firstLineChars="200"/>
        <w:rPr>
          <w:rFonts w:ascii="仿宋" w:hAnsi="仿宋" w:eastAsia="仿宋" w:cs="仿宋"/>
        </w:rPr>
      </w:pPr>
      <w:bookmarkStart w:id="925" w:name="_Toc17523"/>
      <w:bookmarkStart w:id="926" w:name="_Toc4643"/>
      <w:bookmarkStart w:id="927" w:name="_Toc8879"/>
      <w:bookmarkStart w:id="928" w:name="_Toc7060"/>
      <w:bookmarkStart w:id="929" w:name="_Toc29661"/>
      <w:bookmarkStart w:id="930" w:name="_Toc26496"/>
      <w:bookmarkStart w:id="931" w:name="_Toc21953"/>
      <w:bookmarkStart w:id="932" w:name="_Toc12987"/>
      <w:bookmarkStart w:id="933" w:name="_Toc12439"/>
      <w:bookmarkStart w:id="934" w:name="_Toc24950"/>
      <w:bookmarkStart w:id="935" w:name="_Toc3329"/>
      <w:bookmarkStart w:id="936" w:name="_Toc30498"/>
      <w:bookmarkStart w:id="937" w:name="_Toc14552"/>
      <w:bookmarkStart w:id="938" w:name="_Toc19887"/>
      <w:bookmarkStart w:id="939" w:name="_Toc2134"/>
      <w:bookmarkStart w:id="940" w:name="_Toc17924"/>
      <w:bookmarkStart w:id="941" w:name="_Toc8938"/>
      <w:bookmarkStart w:id="942" w:name="_Toc9105"/>
      <w:bookmarkStart w:id="943" w:name="_Toc23596"/>
      <w:bookmarkStart w:id="944" w:name="_Toc4066"/>
      <w:bookmarkStart w:id="945" w:name="_Toc8320"/>
      <w:bookmarkStart w:id="946" w:name="_Toc11537"/>
      <w:bookmarkStart w:id="947" w:name="_Toc6062"/>
      <w:bookmarkStart w:id="948" w:name="_Toc2362"/>
      <w:bookmarkStart w:id="949" w:name="_Toc27491"/>
      <w:bookmarkStart w:id="950" w:name="_Toc16821"/>
      <w:bookmarkStart w:id="951" w:name="_Toc29327"/>
      <w:bookmarkStart w:id="952" w:name="_Toc21629"/>
      <w:bookmarkStart w:id="953" w:name="_Toc1293"/>
      <w:bookmarkStart w:id="954" w:name="_Toc18823"/>
      <w:bookmarkStart w:id="955" w:name="_Toc19728"/>
      <w:bookmarkStart w:id="956" w:name="_Toc4108"/>
      <w:bookmarkStart w:id="957" w:name="_Toc931"/>
      <w:bookmarkStart w:id="958" w:name="_Toc17491"/>
      <w:bookmarkStart w:id="959" w:name="_Toc22891"/>
      <w:bookmarkStart w:id="960" w:name="_Toc20374"/>
      <w:bookmarkStart w:id="961" w:name="_Toc28390"/>
      <w:bookmarkStart w:id="962" w:name="_Toc15751"/>
      <w:bookmarkStart w:id="963" w:name="_Toc24874"/>
      <w:bookmarkStart w:id="964" w:name="_Toc21671"/>
      <w:bookmarkStart w:id="965" w:name="_Toc5422"/>
      <w:r>
        <w:rPr>
          <w:rFonts w:hint="eastAsia" w:ascii="仿宋" w:hAnsi="仿宋" w:eastAsia="仿宋" w:cs="仿宋"/>
        </w:rPr>
        <w:t>3.2终验收一般条件</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p>
    <w:p w14:paraId="07A6289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3.2.1经过预验收而且没有出现新的质量问题，或者满足预验收条款。</w:t>
      </w:r>
    </w:p>
    <w:p w14:paraId="52797CB7">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3.2.2货物安装调试完毕，并至少经过了验收要求的试运行。</w:t>
      </w:r>
    </w:p>
    <w:p w14:paraId="67DEA67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3.2.3试运行期间或之后无维修、调整等行为（特殊情况除外）。</w:t>
      </w:r>
    </w:p>
    <w:p w14:paraId="4386F36D">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3.2.4货物质量、技术性能等，达到签定的技术协议书和合同规定的终验收标准。</w:t>
      </w:r>
    </w:p>
    <w:p w14:paraId="74E1CCE1">
      <w:pPr>
        <w:snapToGrid w:val="0"/>
        <w:spacing w:line="360" w:lineRule="auto"/>
        <w:ind w:left="482"/>
        <w:outlineLvl w:val="1"/>
        <w:rPr>
          <w:rFonts w:ascii="仿宋" w:hAnsi="仿宋" w:eastAsia="仿宋" w:cs="仿宋"/>
          <w:b/>
          <w:bCs/>
        </w:rPr>
      </w:pPr>
      <w:bookmarkStart w:id="966" w:name="_Toc17223"/>
      <w:bookmarkStart w:id="967" w:name="_Toc6573"/>
      <w:bookmarkStart w:id="968" w:name="_Toc1961"/>
      <w:bookmarkStart w:id="969" w:name="_Toc12859"/>
      <w:bookmarkStart w:id="970" w:name="_Toc7243"/>
      <w:bookmarkStart w:id="971" w:name="_Toc20983"/>
      <w:bookmarkStart w:id="972" w:name="_Toc11114"/>
      <w:bookmarkStart w:id="973" w:name="_Toc32661"/>
      <w:bookmarkStart w:id="974" w:name="_Toc9027"/>
      <w:bookmarkStart w:id="975" w:name="_Toc26083"/>
      <w:bookmarkStart w:id="976" w:name="_Toc21504"/>
      <w:bookmarkStart w:id="977" w:name="_Toc1885"/>
      <w:bookmarkStart w:id="978" w:name="_Toc1804"/>
      <w:bookmarkStart w:id="979" w:name="_Toc1761"/>
      <w:bookmarkStart w:id="980" w:name="_Toc21291"/>
      <w:bookmarkStart w:id="981" w:name="_Toc22500"/>
      <w:bookmarkStart w:id="982" w:name="_Toc25411"/>
      <w:bookmarkStart w:id="983" w:name="_Toc17549"/>
      <w:bookmarkStart w:id="984" w:name="_Toc1469"/>
      <w:bookmarkStart w:id="985" w:name="_Toc193"/>
      <w:bookmarkStart w:id="986" w:name="_Toc10673"/>
      <w:r>
        <w:rPr>
          <w:rFonts w:hint="eastAsia" w:ascii="仿宋" w:hAnsi="仿宋" w:eastAsia="仿宋" w:cs="仿宋"/>
          <w:b/>
          <w:bCs/>
        </w:rPr>
        <w:t>4终验收基本要求</w:t>
      </w:r>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p>
    <w:p w14:paraId="1FD47649">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4.1负荷运行时，货物应连续运行</w:t>
      </w:r>
      <w:r>
        <w:rPr>
          <w:rFonts w:hint="eastAsia" w:ascii="仿宋" w:hAnsi="仿宋" w:eastAsia="仿宋" w:cs="仿宋"/>
          <w:highlight w:val="yellow"/>
          <w:u w:val="single"/>
        </w:rPr>
        <w:t xml:space="preserve"> </w:t>
      </w:r>
      <w:r>
        <w:rPr>
          <w:rFonts w:hint="eastAsia" w:ascii="仿宋" w:hAnsi="仿宋" w:eastAsia="仿宋" w:cs="仿宋"/>
          <w:highlight w:val="yellow"/>
          <w:u w:val="single"/>
          <w:lang w:val="en-US" w:eastAsia="zh-CN"/>
        </w:rPr>
        <w:t>1</w:t>
      </w:r>
      <w:r>
        <w:rPr>
          <w:rFonts w:hint="eastAsia" w:ascii="仿宋" w:hAnsi="仿宋" w:eastAsia="仿宋" w:cs="仿宋"/>
          <w:highlight w:val="yellow"/>
          <w:u w:val="single"/>
          <w:shd w:val="pct10" w:color="auto" w:fill="FFFFFF"/>
        </w:rPr>
        <w:t xml:space="preserve">5 </w:t>
      </w:r>
      <w:r>
        <w:rPr>
          <w:rFonts w:hint="eastAsia" w:ascii="仿宋" w:hAnsi="仿宋" w:eastAsia="仿宋" w:cs="仿宋"/>
          <w:highlight w:val="yellow"/>
        </w:rPr>
        <w:t>天，每天连续</w:t>
      </w:r>
      <w:r>
        <w:rPr>
          <w:rFonts w:hint="eastAsia" w:ascii="仿宋" w:hAnsi="仿宋" w:eastAsia="仿宋" w:cs="仿宋"/>
          <w:highlight w:val="yellow"/>
          <w:u w:val="single"/>
        </w:rPr>
        <w:t xml:space="preserve"> </w:t>
      </w:r>
      <w:r>
        <w:rPr>
          <w:rFonts w:hint="eastAsia" w:ascii="仿宋" w:hAnsi="仿宋" w:eastAsia="仿宋" w:cs="仿宋"/>
          <w:highlight w:val="yellow"/>
          <w:u w:val="single"/>
          <w:shd w:val="pct10" w:color="auto" w:fill="FFFFFF"/>
          <w:lang w:val="en-US" w:eastAsia="zh-CN"/>
        </w:rPr>
        <w:t>24</w:t>
      </w:r>
      <w:r>
        <w:rPr>
          <w:rFonts w:hint="eastAsia" w:ascii="仿宋" w:hAnsi="仿宋" w:eastAsia="仿宋" w:cs="仿宋"/>
          <w:highlight w:val="yellow"/>
        </w:rPr>
        <w:t>小时，除用户方面因素外，必须达到以下要求：</w:t>
      </w:r>
    </w:p>
    <w:p w14:paraId="7633C707">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4.2.1在整个验收过程中没有维修、更换零部件或元件行为；</w:t>
      </w:r>
    </w:p>
    <w:p w14:paraId="3998F95B">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4.2.2所有出现的调整，每次调整时间均不超过</w:t>
      </w:r>
      <w:r>
        <w:rPr>
          <w:rFonts w:hint="eastAsia" w:ascii="仿宋" w:hAnsi="仿宋" w:eastAsia="仿宋" w:cs="仿宋"/>
          <w:highlight w:val="yellow"/>
          <w:u w:val="single"/>
          <w:shd w:val="pct10" w:color="auto" w:fill="FFFFFF"/>
        </w:rPr>
        <w:t>60</w:t>
      </w:r>
      <w:r>
        <w:rPr>
          <w:rFonts w:hint="eastAsia" w:ascii="仿宋" w:hAnsi="仿宋" w:eastAsia="仿宋" w:cs="仿宋"/>
          <w:highlight w:val="yellow"/>
        </w:rPr>
        <w:t>分钟；</w:t>
      </w:r>
    </w:p>
    <w:p w14:paraId="4B8BA037">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4.2.3所有调整时间的总和不超过总运行时间的</w:t>
      </w:r>
      <w:r>
        <w:rPr>
          <w:rFonts w:hint="eastAsia" w:ascii="仿宋" w:hAnsi="仿宋" w:eastAsia="仿宋" w:cs="仿宋"/>
          <w:highlight w:val="yellow"/>
          <w:u w:val="single"/>
          <w:shd w:val="pct10" w:color="auto" w:fill="FFFFFF"/>
        </w:rPr>
        <w:t>10</w:t>
      </w:r>
      <w:r>
        <w:rPr>
          <w:rFonts w:hint="eastAsia" w:ascii="仿宋" w:hAnsi="仿宋" w:eastAsia="仿宋" w:cs="仿宋"/>
          <w:highlight w:val="yellow"/>
        </w:rPr>
        <w:t>%；</w:t>
      </w:r>
    </w:p>
    <w:p w14:paraId="6307D267">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4.2.4累计运行实际性能（或生产率）达到合同规定；</w:t>
      </w:r>
    </w:p>
    <w:p w14:paraId="649BDCAB">
      <w:pPr>
        <w:adjustRightInd w:val="0"/>
        <w:snapToGrid w:val="0"/>
        <w:spacing w:line="360" w:lineRule="auto"/>
        <w:ind w:firstLine="420" w:firstLineChars="200"/>
        <w:rPr>
          <w:rFonts w:ascii="仿宋" w:hAnsi="仿宋" w:eastAsia="仿宋" w:cs="仿宋"/>
          <w:highlight w:val="yellow"/>
        </w:rPr>
      </w:pPr>
      <w:r>
        <w:rPr>
          <w:rFonts w:hint="eastAsia" w:ascii="仿宋" w:hAnsi="仿宋" w:eastAsia="仿宋" w:cs="仿宋"/>
          <w:highlight w:val="yellow"/>
        </w:rPr>
        <w:t>4.2.5终验收原则上要求一次完成。若一次验收不成功，最多允许两次；</w:t>
      </w:r>
    </w:p>
    <w:p w14:paraId="2A00F822">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4.2.6终验收通过后签署终验收报告（终验收报告以买方提供的签署完毕并盖章的《新增设备安装竣工验收转资单》为准），并移交、核对全部供货范围内物品。</w:t>
      </w:r>
      <w:bookmarkStart w:id="987" w:name="_Toc133783975"/>
    </w:p>
    <w:p w14:paraId="510BEEC0">
      <w:pPr>
        <w:snapToGrid w:val="0"/>
        <w:spacing w:line="360" w:lineRule="auto"/>
        <w:ind w:left="482"/>
        <w:outlineLvl w:val="1"/>
        <w:rPr>
          <w:rFonts w:hint="eastAsia" w:ascii="仿宋" w:hAnsi="仿宋" w:eastAsia="仿宋" w:cs="仿宋"/>
          <w:b/>
          <w:bCs/>
        </w:rPr>
      </w:pPr>
      <w:r>
        <w:rPr>
          <w:rFonts w:hint="eastAsia" w:ascii="仿宋" w:hAnsi="仿宋" w:eastAsia="仿宋" w:cs="仿宋"/>
          <w:b/>
          <w:bCs/>
          <w:lang w:val="en-US" w:eastAsia="zh-CN"/>
        </w:rPr>
        <w:t>5</w:t>
      </w:r>
      <w:r>
        <w:rPr>
          <w:rFonts w:hint="eastAsia" w:ascii="仿宋" w:hAnsi="仿宋" w:eastAsia="仿宋" w:cs="仿宋"/>
          <w:b/>
          <w:bCs/>
        </w:rPr>
        <w:t>验收资料</w:t>
      </w:r>
    </w:p>
    <w:p w14:paraId="3390F224">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签订本合同后，</w:t>
      </w:r>
      <w:r>
        <w:rPr>
          <w:rFonts w:hint="eastAsia" w:ascii="仿宋" w:hAnsi="仿宋" w:eastAsia="仿宋" w:cs="仿宋"/>
          <w:lang w:eastAsia="zh-CN"/>
        </w:rPr>
        <w:t>卖方</w:t>
      </w:r>
      <w:r>
        <w:rPr>
          <w:rFonts w:hint="eastAsia" w:ascii="仿宋" w:hAnsi="仿宋" w:eastAsia="仿宋" w:cs="仿宋"/>
        </w:rPr>
        <w:t>应按</w:t>
      </w:r>
      <w:r>
        <w:rPr>
          <w:rFonts w:hint="eastAsia" w:ascii="仿宋" w:hAnsi="仿宋" w:eastAsia="仿宋" w:cs="仿宋"/>
          <w:lang w:eastAsia="zh-CN"/>
        </w:rPr>
        <w:t>买方</w:t>
      </w:r>
      <w:r>
        <w:rPr>
          <w:rFonts w:hint="eastAsia" w:ascii="仿宋" w:hAnsi="仿宋" w:eastAsia="仿宋" w:cs="仿宋"/>
        </w:rPr>
        <w:t>要求免费提供给</w:t>
      </w:r>
      <w:r>
        <w:rPr>
          <w:rFonts w:hint="eastAsia" w:ascii="仿宋" w:hAnsi="仿宋" w:eastAsia="仿宋" w:cs="仿宋"/>
          <w:lang w:eastAsia="zh-CN"/>
        </w:rPr>
        <w:t>买方</w:t>
      </w:r>
      <w:r>
        <w:rPr>
          <w:rFonts w:hint="eastAsia" w:ascii="仿宋" w:hAnsi="仿宋" w:eastAsia="仿宋" w:cs="仿宋"/>
        </w:rPr>
        <w:t>包括但不限于：设备总装图、安装尺寸图、设备基础图、操作手册、使用说明、维修指南、服务手册等</w:t>
      </w:r>
      <w:r>
        <w:rPr>
          <w:rFonts w:hint="eastAsia" w:ascii="仿宋" w:hAnsi="仿宋" w:eastAsia="仿宋" w:cs="仿宋"/>
          <w:lang w:eastAsia="zh-CN"/>
        </w:rPr>
        <w:t>买方</w:t>
      </w:r>
      <w:r>
        <w:rPr>
          <w:rFonts w:hint="eastAsia" w:ascii="仿宋" w:hAnsi="仿宋" w:eastAsia="仿宋" w:cs="仿宋"/>
        </w:rPr>
        <w:t>所需要的、与执行本合同有关的各类资料。如上述资料未按</w:t>
      </w:r>
      <w:r>
        <w:rPr>
          <w:rFonts w:hint="eastAsia" w:ascii="仿宋" w:hAnsi="仿宋" w:eastAsia="仿宋" w:cs="仿宋"/>
          <w:lang w:eastAsia="zh-CN"/>
        </w:rPr>
        <w:t>买方</w:t>
      </w:r>
      <w:r>
        <w:rPr>
          <w:rFonts w:hint="eastAsia" w:ascii="仿宋" w:hAnsi="仿宋" w:eastAsia="仿宋" w:cs="仿宋"/>
        </w:rPr>
        <w:t>要求交付的，</w:t>
      </w:r>
      <w:r>
        <w:rPr>
          <w:rFonts w:hint="eastAsia" w:ascii="仿宋" w:hAnsi="仿宋" w:eastAsia="仿宋" w:cs="仿宋"/>
          <w:lang w:eastAsia="zh-CN"/>
        </w:rPr>
        <w:t>买方</w:t>
      </w:r>
      <w:r>
        <w:rPr>
          <w:rFonts w:hint="eastAsia" w:ascii="仿宋" w:hAnsi="仿宋" w:eastAsia="仿宋" w:cs="仿宋"/>
        </w:rPr>
        <w:t>有权拒绝对合同设备验收（包括预验收和最终验收），并且</w:t>
      </w:r>
      <w:r>
        <w:rPr>
          <w:rFonts w:hint="eastAsia" w:ascii="仿宋" w:hAnsi="仿宋" w:eastAsia="仿宋" w:cs="仿宋"/>
          <w:lang w:eastAsia="zh-CN"/>
        </w:rPr>
        <w:t>卖方</w:t>
      </w:r>
      <w:r>
        <w:rPr>
          <w:rFonts w:hint="eastAsia" w:ascii="仿宋" w:hAnsi="仿宋" w:eastAsia="仿宋" w:cs="仿宋"/>
        </w:rPr>
        <w:t>应赔偿因此给</w:t>
      </w:r>
      <w:r>
        <w:rPr>
          <w:rFonts w:hint="eastAsia" w:ascii="仿宋" w:hAnsi="仿宋" w:eastAsia="仿宋" w:cs="仿宋"/>
          <w:lang w:eastAsia="zh-CN"/>
        </w:rPr>
        <w:t>买方</w:t>
      </w:r>
      <w:r>
        <w:rPr>
          <w:rFonts w:hint="eastAsia" w:ascii="仿宋" w:hAnsi="仿宋" w:eastAsia="仿宋" w:cs="仿宋"/>
        </w:rPr>
        <w:t>造成的一切损失。</w:t>
      </w:r>
    </w:p>
    <w:p w14:paraId="123EC93D">
      <w:pPr>
        <w:pStyle w:val="24"/>
      </w:pPr>
    </w:p>
    <w:p w14:paraId="658E67D8">
      <w:pPr>
        <w:rPr>
          <w:rFonts w:hint="eastAsia" w:ascii="仿宋" w:hAnsi="仿宋" w:eastAsia="仿宋" w:cs="仿宋"/>
          <w:b/>
          <w:bCs/>
        </w:rPr>
      </w:pPr>
      <w:bookmarkStart w:id="988" w:name="_Toc22488"/>
      <w:bookmarkStart w:id="989" w:name="_Toc18146"/>
      <w:bookmarkStart w:id="990" w:name="_Toc4953"/>
      <w:bookmarkStart w:id="991" w:name="_Toc10830"/>
      <w:bookmarkStart w:id="992" w:name="_Toc14133"/>
      <w:bookmarkStart w:id="993" w:name="_Toc29322"/>
      <w:bookmarkStart w:id="994" w:name="_Toc25401"/>
      <w:bookmarkStart w:id="995" w:name="_Toc8435"/>
      <w:bookmarkStart w:id="996" w:name="_Toc2612"/>
      <w:bookmarkStart w:id="997" w:name="_Toc1228"/>
      <w:bookmarkStart w:id="998" w:name="_Toc1705"/>
      <w:bookmarkStart w:id="999" w:name="_Toc30187"/>
      <w:bookmarkStart w:id="1000" w:name="_Toc32074"/>
      <w:bookmarkStart w:id="1001" w:name="_Toc663"/>
      <w:bookmarkStart w:id="1002" w:name="_Toc1683"/>
      <w:bookmarkStart w:id="1003" w:name="_Toc2249"/>
      <w:bookmarkStart w:id="1004" w:name="_Toc14217"/>
      <w:bookmarkStart w:id="1005" w:name="_Toc1195"/>
      <w:bookmarkStart w:id="1006" w:name="_Toc7458"/>
      <w:bookmarkStart w:id="1007" w:name="_Toc27346"/>
      <w:bookmarkStart w:id="1008" w:name="_Toc25348"/>
      <w:bookmarkStart w:id="1009" w:name="_Toc6807"/>
      <w:bookmarkStart w:id="1010" w:name="_Toc17110"/>
      <w:bookmarkStart w:id="1011" w:name="_Toc20836"/>
      <w:bookmarkStart w:id="1012" w:name="_Toc2957"/>
      <w:bookmarkStart w:id="1013" w:name="_Toc1673"/>
      <w:bookmarkStart w:id="1014" w:name="_Toc30219"/>
      <w:bookmarkStart w:id="1015" w:name="_Toc27525"/>
      <w:bookmarkStart w:id="1016" w:name="_Toc30125"/>
      <w:bookmarkStart w:id="1017" w:name="_Toc24925"/>
      <w:bookmarkStart w:id="1018" w:name="_Toc23616"/>
      <w:bookmarkStart w:id="1019" w:name="_Toc12636"/>
      <w:bookmarkStart w:id="1020" w:name="_Toc28594"/>
      <w:bookmarkStart w:id="1021" w:name="_Toc15351"/>
      <w:bookmarkStart w:id="1022" w:name="_Toc15914"/>
      <w:bookmarkStart w:id="1023" w:name="_Toc18510"/>
      <w:bookmarkStart w:id="1024" w:name="_Toc19911"/>
      <w:bookmarkStart w:id="1025" w:name="_Toc22179"/>
      <w:bookmarkStart w:id="1026" w:name="_Toc8015"/>
      <w:bookmarkStart w:id="1027" w:name="_Toc23397"/>
      <w:bookmarkStart w:id="1028" w:name="_Toc28136"/>
      <w:bookmarkStart w:id="1029" w:name="_Toc26248"/>
      <w:bookmarkStart w:id="1030" w:name="_Toc23268"/>
      <w:r>
        <w:rPr>
          <w:rFonts w:hint="eastAsia" w:ascii="仿宋" w:hAnsi="仿宋" w:eastAsia="仿宋" w:cs="仿宋"/>
          <w:b/>
          <w:bCs/>
        </w:rPr>
        <w:br w:type="page"/>
      </w:r>
    </w:p>
    <w:p w14:paraId="09E5A331">
      <w:pPr>
        <w:adjustRightInd w:val="0"/>
        <w:snapToGrid w:val="0"/>
        <w:spacing w:before="163" w:beforeLines="50" w:after="163" w:afterLines="50" w:line="360" w:lineRule="auto"/>
        <w:jc w:val="center"/>
        <w:outlineLvl w:val="0"/>
        <w:rPr>
          <w:rFonts w:ascii="仿宋" w:hAnsi="仿宋" w:eastAsia="仿宋" w:cs="仿宋"/>
          <w:b/>
          <w:bCs/>
          <w:sz w:val="24"/>
          <w:szCs w:val="24"/>
        </w:rPr>
      </w:pPr>
      <w:r>
        <w:rPr>
          <w:rFonts w:hint="eastAsia" w:ascii="仿宋" w:hAnsi="仿宋" w:eastAsia="仿宋" w:cs="仿宋"/>
          <w:b/>
          <w:bCs/>
          <w:sz w:val="24"/>
          <w:szCs w:val="24"/>
        </w:rPr>
        <w:t>第六章投标技术文件一般要求</w:t>
      </w:r>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3E9D1A79">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w:t>
      </w:r>
      <w:r>
        <w:rPr>
          <w:rFonts w:hint="eastAsia" w:ascii="仿宋" w:hAnsi="仿宋" w:eastAsia="仿宋" w:cs="仿宋"/>
          <w:lang w:eastAsia="zh-CN"/>
        </w:rPr>
        <w:t>卖方</w:t>
      </w:r>
      <w:r>
        <w:rPr>
          <w:rFonts w:hint="eastAsia" w:ascii="仿宋" w:hAnsi="仿宋" w:eastAsia="仿宋" w:cs="仿宋"/>
        </w:rPr>
        <w:t>应认真阅读招标文件和本技术标书，并按要求编写投标技术文件。</w:t>
      </w:r>
    </w:p>
    <w:p w14:paraId="757DA13F">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2投标技术文件至少应对投标货物的“技术偏离”、“商务偏离”作出有无说明；若有，应予以详细填写和说明。</w:t>
      </w:r>
    </w:p>
    <w:p w14:paraId="315C153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3投标技术文件至少应对投标货物的功能用途、技术性能、质量标准、技术参数等作出详细说明。</w:t>
      </w:r>
    </w:p>
    <w:p w14:paraId="26813A86">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4投标技术文件至少应根据投标货物的关键设备、总成、零部件或系统作出优越性说明。</w:t>
      </w:r>
    </w:p>
    <w:p w14:paraId="7C4E0AEC">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5投标技术文件至少应根据投标货物的配置，按照备品备件、易损件和专用耗材明细表要求以及投标货物主要配置一览表要求（见下表），认真全面填写。</w:t>
      </w:r>
    </w:p>
    <w:p w14:paraId="6878D4DE">
      <w:pPr>
        <w:adjustRightInd w:val="0"/>
        <w:snapToGrid w:val="0"/>
        <w:spacing w:line="360" w:lineRule="auto"/>
        <w:ind w:firstLine="420" w:firstLineChars="200"/>
        <w:jc w:val="center"/>
        <w:rPr>
          <w:rFonts w:ascii="仿宋" w:hAnsi="仿宋" w:eastAsia="仿宋" w:cs="仿宋"/>
        </w:rPr>
      </w:pPr>
      <w:r>
        <w:rPr>
          <w:rFonts w:hint="eastAsia" w:ascii="仿宋" w:hAnsi="仿宋" w:eastAsia="仿宋" w:cs="仿宋"/>
        </w:rPr>
        <w:t>投标货物主要配置一览表单位：元</w:t>
      </w:r>
    </w:p>
    <w:tbl>
      <w:tblPr>
        <w:tblStyle w:val="48"/>
        <w:tblpPr w:leftFromText="180" w:rightFromText="180" w:vertAnchor="text" w:tblpXSpec="center" w:tblpY="1"/>
        <w:tblOverlap w:val="never"/>
        <w:tblW w:w="7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2"/>
        <w:gridCol w:w="2308"/>
        <w:gridCol w:w="829"/>
        <w:gridCol w:w="829"/>
        <w:gridCol w:w="1981"/>
      </w:tblGrid>
      <w:tr w14:paraId="3FA92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top"/>
          </w:tcPr>
          <w:p w14:paraId="56439139">
            <w:pPr>
              <w:adjustRightInd w:val="0"/>
              <w:snapToGrid w:val="0"/>
              <w:spacing w:line="360" w:lineRule="auto"/>
              <w:jc w:val="center"/>
              <w:rPr>
                <w:rFonts w:ascii="仿宋" w:hAnsi="仿宋" w:eastAsia="仿宋" w:cs="仿宋"/>
                <w:highlight w:val="yellow"/>
              </w:rPr>
            </w:pPr>
            <w:r>
              <w:rPr>
                <w:rFonts w:hint="eastAsia" w:ascii="仿宋" w:hAnsi="仿宋" w:eastAsia="仿宋" w:cs="仿宋"/>
                <w:highlight w:val="yellow"/>
              </w:rPr>
              <w:t>名称</w:t>
            </w:r>
          </w:p>
        </w:tc>
        <w:tc>
          <w:tcPr>
            <w:tcW w:w="2308" w:type="dxa"/>
            <w:noWrap w:val="0"/>
            <w:vAlign w:val="top"/>
          </w:tcPr>
          <w:p w14:paraId="467938F5">
            <w:pPr>
              <w:adjustRightInd w:val="0"/>
              <w:snapToGrid w:val="0"/>
              <w:spacing w:line="360" w:lineRule="auto"/>
              <w:jc w:val="center"/>
              <w:rPr>
                <w:rFonts w:ascii="仿宋" w:hAnsi="仿宋" w:eastAsia="仿宋" w:cs="仿宋"/>
                <w:highlight w:val="yellow"/>
              </w:rPr>
            </w:pPr>
            <w:r>
              <w:rPr>
                <w:rFonts w:hint="eastAsia" w:ascii="仿宋" w:hAnsi="仿宋" w:eastAsia="仿宋" w:cs="仿宋"/>
                <w:highlight w:val="yellow"/>
              </w:rPr>
              <w:t>型号规格</w:t>
            </w:r>
          </w:p>
        </w:tc>
        <w:tc>
          <w:tcPr>
            <w:tcW w:w="829" w:type="dxa"/>
            <w:noWrap w:val="0"/>
            <w:vAlign w:val="top"/>
          </w:tcPr>
          <w:p w14:paraId="0BB0DA30">
            <w:pPr>
              <w:adjustRightInd w:val="0"/>
              <w:snapToGrid w:val="0"/>
              <w:spacing w:line="360" w:lineRule="auto"/>
              <w:jc w:val="center"/>
              <w:rPr>
                <w:rFonts w:ascii="仿宋" w:hAnsi="仿宋" w:eastAsia="仿宋" w:cs="仿宋"/>
                <w:highlight w:val="yellow"/>
              </w:rPr>
            </w:pPr>
            <w:r>
              <w:rPr>
                <w:rFonts w:hint="eastAsia" w:ascii="仿宋" w:hAnsi="仿宋" w:eastAsia="仿宋" w:cs="仿宋"/>
                <w:highlight w:val="yellow"/>
              </w:rPr>
              <w:t>单位</w:t>
            </w:r>
          </w:p>
        </w:tc>
        <w:tc>
          <w:tcPr>
            <w:tcW w:w="829" w:type="dxa"/>
            <w:noWrap w:val="0"/>
            <w:vAlign w:val="top"/>
          </w:tcPr>
          <w:p w14:paraId="66A9EC63">
            <w:pPr>
              <w:adjustRightInd w:val="0"/>
              <w:snapToGrid w:val="0"/>
              <w:spacing w:line="360" w:lineRule="auto"/>
              <w:jc w:val="center"/>
              <w:rPr>
                <w:rFonts w:ascii="仿宋" w:hAnsi="仿宋" w:eastAsia="仿宋" w:cs="仿宋"/>
                <w:highlight w:val="yellow"/>
              </w:rPr>
            </w:pPr>
            <w:r>
              <w:rPr>
                <w:rFonts w:hint="eastAsia" w:ascii="仿宋" w:hAnsi="仿宋" w:eastAsia="仿宋" w:cs="仿宋"/>
                <w:highlight w:val="yellow"/>
              </w:rPr>
              <w:t>数量</w:t>
            </w:r>
          </w:p>
        </w:tc>
        <w:tc>
          <w:tcPr>
            <w:tcW w:w="1981" w:type="dxa"/>
            <w:noWrap w:val="0"/>
            <w:vAlign w:val="top"/>
          </w:tcPr>
          <w:p w14:paraId="47050108">
            <w:pPr>
              <w:adjustRightInd w:val="0"/>
              <w:snapToGrid w:val="0"/>
              <w:spacing w:line="360" w:lineRule="auto"/>
              <w:jc w:val="center"/>
              <w:rPr>
                <w:rFonts w:ascii="仿宋" w:hAnsi="仿宋" w:eastAsia="仿宋" w:cs="仿宋"/>
                <w:highlight w:val="yellow"/>
              </w:rPr>
            </w:pPr>
            <w:r>
              <w:rPr>
                <w:rFonts w:hint="eastAsia" w:ascii="仿宋" w:hAnsi="仿宋" w:eastAsia="仿宋" w:cs="仿宋"/>
                <w:highlight w:val="yellow"/>
              </w:rPr>
              <w:t>制造商</w:t>
            </w:r>
          </w:p>
        </w:tc>
      </w:tr>
      <w:tr w14:paraId="3984C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0F21F53C">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r>
              <w:rPr>
                <w:rFonts w:hint="eastAsia" w:ascii="仿宋_GB2312" w:hAnsi="仿宋_GB2312" w:eastAsia="仿宋_GB2312" w:cs="仿宋_GB2312"/>
                <w:snapToGrid w:val="0"/>
                <w:color w:val="000000"/>
                <w:kern w:val="0"/>
                <w:sz w:val="24"/>
                <w:szCs w:val="24"/>
                <w:lang w:val="en-US" w:eastAsia="zh-CN" w:bidi="ar"/>
              </w:rPr>
              <w:t>UPS主机</w:t>
            </w:r>
          </w:p>
        </w:tc>
        <w:tc>
          <w:tcPr>
            <w:tcW w:w="2308" w:type="dxa"/>
            <w:noWrap w:val="0"/>
            <w:vAlign w:val="center"/>
          </w:tcPr>
          <w:p w14:paraId="34386001">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69540A0D">
            <w:pPr>
              <w:pStyle w:val="27"/>
              <w:snapToGrid w:val="0"/>
              <w:spacing w:line="360" w:lineRule="auto"/>
              <w:ind w:firstLine="0" w:firstLineChars="0"/>
              <w:jc w:val="center"/>
              <w:rPr>
                <w:rFonts w:hint="eastAsia" w:ascii="仿宋" w:hAnsi="仿宋" w:eastAsia="仿宋" w:cs="仿宋"/>
                <w:kern w:val="2"/>
                <w:sz w:val="24"/>
                <w:szCs w:val="24"/>
                <w:highlight w:val="none"/>
                <w:lang w:val="en-US" w:eastAsia="zh-CN" w:bidi="ar-SA"/>
              </w:rPr>
            </w:pPr>
            <w:r>
              <w:rPr>
                <w:rFonts w:ascii="仿宋" w:hAnsi="仿宋" w:eastAsia="仿宋" w:cs="仿宋"/>
                <w:kern w:val="2"/>
                <w:highlight w:val="none"/>
              </w:rPr>
              <w:t>台</w:t>
            </w:r>
          </w:p>
        </w:tc>
        <w:tc>
          <w:tcPr>
            <w:tcW w:w="829" w:type="dxa"/>
            <w:noWrap w:val="0"/>
            <w:vAlign w:val="center"/>
          </w:tcPr>
          <w:p w14:paraId="7EC415DF">
            <w:pPr>
              <w:pStyle w:val="27"/>
              <w:snapToGrid w:val="0"/>
              <w:spacing w:line="360" w:lineRule="auto"/>
              <w:ind w:firstLine="0" w:firstLineChars="0"/>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highlight w:val="none"/>
                <w:lang w:val="en-US" w:eastAsia="zh-CN"/>
              </w:rPr>
              <w:t>1</w:t>
            </w:r>
          </w:p>
        </w:tc>
        <w:tc>
          <w:tcPr>
            <w:tcW w:w="1981" w:type="dxa"/>
            <w:noWrap w:val="0"/>
            <w:vAlign w:val="center"/>
          </w:tcPr>
          <w:p w14:paraId="11179E80">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2B24C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08AE6B9C">
            <w:pPr>
              <w:pStyle w:val="27"/>
              <w:snapToGrid w:val="0"/>
              <w:spacing w:line="360" w:lineRule="auto"/>
              <w:ind w:firstLine="0" w:firstLineChars="0"/>
              <w:jc w:val="center"/>
              <w:rPr>
                <w:rFonts w:hint="default"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snapToGrid w:val="0"/>
                <w:color w:val="000000"/>
                <w:kern w:val="0"/>
                <w:sz w:val="24"/>
                <w:szCs w:val="24"/>
                <w:lang w:val="en-US" w:eastAsia="zh-CN" w:bidi="ar"/>
              </w:rPr>
              <w:t>蓄电池</w:t>
            </w:r>
          </w:p>
        </w:tc>
        <w:tc>
          <w:tcPr>
            <w:tcW w:w="2308" w:type="dxa"/>
            <w:noWrap w:val="0"/>
            <w:vAlign w:val="center"/>
          </w:tcPr>
          <w:p w14:paraId="1FE443A0">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2255CB27">
            <w:pPr>
              <w:pStyle w:val="27"/>
              <w:snapToGrid w:val="0"/>
              <w:spacing w:line="360" w:lineRule="auto"/>
              <w:ind w:firstLine="0" w:firstLineChars="0"/>
              <w:jc w:val="center"/>
              <w:rPr>
                <w:rFonts w:hint="eastAsia" w:ascii="仿宋" w:hAnsi="仿宋" w:eastAsia="仿宋" w:cs="仿宋"/>
                <w:kern w:val="2"/>
                <w:highlight w:val="none"/>
                <w:lang w:val="en-US" w:eastAsia="zh-CN"/>
              </w:rPr>
            </w:pPr>
            <w:r>
              <w:rPr>
                <w:rFonts w:hint="eastAsia" w:ascii="仿宋" w:hAnsi="仿宋" w:eastAsia="仿宋" w:cs="仿宋"/>
                <w:kern w:val="2"/>
                <w:highlight w:val="none"/>
                <w:lang w:val="en-US" w:eastAsia="zh-CN"/>
              </w:rPr>
              <w:t>块</w:t>
            </w:r>
          </w:p>
        </w:tc>
        <w:tc>
          <w:tcPr>
            <w:tcW w:w="829" w:type="dxa"/>
            <w:noWrap w:val="0"/>
            <w:vAlign w:val="center"/>
          </w:tcPr>
          <w:p w14:paraId="32C5FAC9">
            <w:pPr>
              <w:pStyle w:val="27"/>
              <w:snapToGrid w:val="0"/>
              <w:spacing w:line="360" w:lineRule="auto"/>
              <w:ind w:firstLine="0" w:firstLineChars="0"/>
              <w:jc w:val="center"/>
              <w:rPr>
                <w:rFonts w:hint="default" w:ascii="仿宋" w:hAnsi="仿宋" w:eastAsia="仿宋" w:cs="仿宋"/>
                <w:kern w:val="2"/>
                <w:highlight w:val="none"/>
                <w:lang w:val="en-US" w:eastAsia="zh-CN"/>
              </w:rPr>
            </w:pPr>
            <w:r>
              <w:rPr>
                <w:rFonts w:hint="eastAsia" w:ascii="仿宋" w:hAnsi="仿宋" w:eastAsia="仿宋" w:cs="仿宋"/>
                <w:kern w:val="2"/>
                <w:highlight w:val="none"/>
                <w:lang w:val="en-US" w:eastAsia="zh-CN"/>
              </w:rPr>
              <w:t>40</w:t>
            </w:r>
          </w:p>
        </w:tc>
        <w:tc>
          <w:tcPr>
            <w:tcW w:w="1981" w:type="dxa"/>
            <w:noWrap w:val="0"/>
            <w:vAlign w:val="center"/>
          </w:tcPr>
          <w:p w14:paraId="05CF4E79">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22A32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275C8B0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电池柜</w:t>
            </w:r>
          </w:p>
        </w:tc>
        <w:tc>
          <w:tcPr>
            <w:tcW w:w="2308" w:type="dxa"/>
            <w:noWrap w:val="0"/>
            <w:vAlign w:val="center"/>
          </w:tcPr>
          <w:p w14:paraId="63EF667E">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68EA786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组</w:t>
            </w:r>
          </w:p>
        </w:tc>
        <w:tc>
          <w:tcPr>
            <w:tcW w:w="829" w:type="dxa"/>
            <w:noWrap w:val="0"/>
            <w:vAlign w:val="center"/>
          </w:tcPr>
          <w:p w14:paraId="4636FAC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2</w:t>
            </w:r>
          </w:p>
        </w:tc>
        <w:tc>
          <w:tcPr>
            <w:tcW w:w="1981" w:type="dxa"/>
            <w:noWrap w:val="0"/>
            <w:vAlign w:val="center"/>
          </w:tcPr>
          <w:p w14:paraId="6A07F854">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754B1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2317ACDD">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电池连接线</w:t>
            </w:r>
          </w:p>
        </w:tc>
        <w:tc>
          <w:tcPr>
            <w:tcW w:w="2308" w:type="dxa"/>
            <w:noWrap w:val="0"/>
            <w:vAlign w:val="center"/>
          </w:tcPr>
          <w:p w14:paraId="379F31CB">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26A47812">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组</w:t>
            </w:r>
          </w:p>
        </w:tc>
        <w:tc>
          <w:tcPr>
            <w:tcW w:w="829" w:type="dxa"/>
            <w:noWrap w:val="0"/>
            <w:vAlign w:val="center"/>
          </w:tcPr>
          <w:p w14:paraId="091FF70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2</w:t>
            </w:r>
          </w:p>
        </w:tc>
        <w:tc>
          <w:tcPr>
            <w:tcW w:w="1981" w:type="dxa"/>
            <w:noWrap w:val="0"/>
            <w:vAlign w:val="center"/>
          </w:tcPr>
          <w:p w14:paraId="1F711925">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59EE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4EED7BE4">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输入线</w:t>
            </w:r>
          </w:p>
        </w:tc>
        <w:tc>
          <w:tcPr>
            <w:tcW w:w="2308" w:type="dxa"/>
            <w:noWrap w:val="0"/>
            <w:vAlign w:val="center"/>
          </w:tcPr>
          <w:p w14:paraId="4AFD889A">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2F35039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829" w:type="dxa"/>
            <w:noWrap w:val="0"/>
            <w:vAlign w:val="center"/>
          </w:tcPr>
          <w:p w14:paraId="5B439F11">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5</w:t>
            </w:r>
          </w:p>
        </w:tc>
        <w:tc>
          <w:tcPr>
            <w:tcW w:w="1981" w:type="dxa"/>
            <w:noWrap w:val="0"/>
            <w:vAlign w:val="center"/>
          </w:tcPr>
          <w:p w14:paraId="618962E4">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4EE8B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2298580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输出线</w:t>
            </w:r>
          </w:p>
        </w:tc>
        <w:tc>
          <w:tcPr>
            <w:tcW w:w="2308" w:type="dxa"/>
            <w:noWrap w:val="0"/>
            <w:vAlign w:val="center"/>
          </w:tcPr>
          <w:p w14:paraId="71C19A09">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567E191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829" w:type="dxa"/>
            <w:noWrap w:val="0"/>
            <w:vAlign w:val="center"/>
          </w:tcPr>
          <w:p w14:paraId="48F6E2AA">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10</w:t>
            </w:r>
          </w:p>
        </w:tc>
        <w:tc>
          <w:tcPr>
            <w:tcW w:w="1981" w:type="dxa"/>
            <w:noWrap w:val="0"/>
            <w:vAlign w:val="center"/>
          </w:tcPr>
          <w:p w14:paraId="18D97208">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r w14:paraId="0796B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032" w:type="dxa"/>
            <w:noWrap w:val="0"/>
            <w:vAlign w:val="center"/>
          </w:tcPr>
          <w:p w14:paraId="55987C1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_GB2312" w:hAnsi="仿宋_GB2312" w:eastAsia="仿宋_GB2312" w:cs="仿宋_GB2312"/>
                <w:snapToGrid w:val="0"/>
                <w:color w:val="000000"/>
                <w:kern w:val="0"/>
                <w:sz w:val="24"/>
                <w:szCs w:val="24"/>
                <w:lang w:val="en-US" w:eastAsia="zh-CN" w:bidi="ar"/>
              </w:rPr>
            </w:pPr>
            <w:r>
              <w:rPr>
                <w:rFonts w:hint="eastAsia" w:ascii="仿宋_GB2312" w:hAnsi="仿宋_GB2312" w:eastAsia="仿宋_GB2312" w:cs="仿宋_GB2312"/>
                <w:b w:val="0"/>
                <w:bCs/>
                <w:snapToGrid w:val="0"/>
                <w:color w:val="000000"/>
                <w:kern w:val="0"/>
                <w:sz w:val="24"/>
                <w:szCs w:val="24"/>
                <w:lang w:val="en-US" w:eastAsia="zh-CN" w:bidi="ar"/>
              </w:rPr>
              <w:t>直流母线</w:t>
            </w:r>
          </w:p>
        </w:tc>
        <w:tc>
          <w:tcPr>
            <w:tcW w:w="2308" w:type="dxa"/>
            <w:noWrap w:val="0"/>
            <w:vAlign w:val="center"/>
          </w:tcPr>
          <w:p w14:paraId="735774C2">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c>
          <w:tcPr>
            <w:tcW w:w="829" w:type="dxa"/>
            <w:noWrap w:val="0"/>
            <w:vAlign w:val="center"/>
          </w:tcPr>
          <w:p w14:paraId="46FCBBC7">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米</w:t>
            </w:r>
          </w:p>
        </w:tc>
        <w:tc>
          <w:tcPr>
            <w:tcW w:w="829" w:type="dxa"/>
            <w:noWrap w:val="0"/>
            <w:vAlign w:val="center"/>
          </w:tcPr>
          <w:p w14:paraId="4AB5FF96">
            <w:pPr>
              <w:pStyle w:val="19"/>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仿宋" w:hAnsi="仿宋" w:eastAsia="仿宋" w:cs="仿宋"/>
                <w:kern w:val="2"/>
                <w:highlight w:val="none"/>
                <w:lang w:val="en-US" w:eastAsia="zh-CN"/>
              </w:rPr>
            </w:pPr>
            <w:r>
              <w:rPr>
                <w:rFonts w:hint="eastAsia" w:ascii="仿宋_GB2312" w:hAnsi="仿宋_GB2312" w:eastAsia="仿宋_GB2312" w:cs="仿宋_GB2312"/>
                <w:b w:val="0"/>
                <w:bCs/>
                <w:snapToGrid w:val="0"/>
                <w:color w:val="000000"/>
                <w:kern w:val="0"/>
                <w:sz w:val="24"/>
                <w:szCs w:val="24"/>
                <w:lang w:val="en-US" w:eastAsia="zh-CN" w:bidi="ar"/>
              </w:rPr>
              <w:t>6</w:t>
            </w:r>
          </w:p>
        </w:tc>
        <w:tc>
          <w:tcPr>
            <w:tcW w:w="1981" w:type="dxa"/>
            <w:noWrap w:val="0"/>
            <w:vAlign w:val="center"/>
          </w:tcPr>
          <w:p w14:paraId="48EC6768">
            <w:pPr>
              <w:pStyle w:val="27"/>
              <w:snapToGrid w:val="0"/>
              <w:spacing w:line="360" w:lineRule="auto"/>
              <w:ind w:firstLine="0" w:firstLineChars="0"/>
              <w:jc w:val="center"/>
              <w:rPr>
                <w:rFonts w:hint="default" w:ascii="仿宋" w:hAnsi="仿宋" w:eastAsia="仿宋" w:cs="仿宋"/>
                <w:kern w:val="2"/>
                <w:sz w:val="24"/>
                <w:szCs w:val="24"/>
                <w:highlight w:val="yellow"/>
                <w:lang w:val="en-US" w:eastAsia="zh-CN" w:bidi="ar-SA"/>
              </w:rPr>
            </w:pPr>
          </w:p>
        </w:tc>
      </w:tr>
    </w:tbl>
    <w:p w14:paraId="3429A226">
      <w:pPr>
        <w:adjustRightInd w:val="0"/>
        <w:snapToGrid w:val="0"/>
        <w:spacing w:line="360" w:lineRule="auto"/>
        <w:ind w:firstLine="420" w:firstLineChars="200"/>
        <w:rPr>
          <w:rFonts w:hint="eastAsia" w:ascii="仿宋" w:hAnsi="仿宋" w:eastAsia="仿宋" w:cs="仿宋"/>
        </w:rPr>
      </w:pPr>
      <w:r>
        <w:rPr>
          <w:rFonts w:hint="eastAsia" w:ascii="仿宋" w:hAnsi="仿宋" w:eastAsia="仿宋" w:cs="仿宋"/>
        </w:rPr>
        <w:t>备注：本表作为</w:t>
      </w:r>
      <w:r>
        <w:rPr>
          <w:rFonts w:hint="eastAsia" w:ascii="仿宋" w:hAnsi="仿宋" w:eastAsia="仿宋" w:cs="仿宋"/>
          <w:lang w:eastAsia="zh-CN"/>
        </w:rPr>
        <w:t>卖方</w:t>
      </w:r>
      <w:r>
        <w:rPr>
          <w:rFonts w:hint="eastAsia" w:ascii="仿宋" w:hAnsi="仿宋" w:eastAsia="仿宋" w:cs="仿宋"/>
        </w:rPr>
        <w:t>编制投标技术文件的一般格式。表中应当尽可能将配置列全、列细，这将有助于</w:t>
      </w:r>
      <w:r>
        <w:rPr>
          <w:rFonts w:hint="eastAsia" w:ascii="仿宋" w:hAnsi="仿宋" w:eastAsia="仿宋" w:cs="仿宋"/>
          <w:lang w:eastAsia="zh-CN"/>
        </w:rPr>
        <w:t>卖方</w:t>
      </w:r>
      <w:r>
        <w:rPr>
          <w:rFonts w:hint="eastAsia" w:ascii="仿宋" w:hAnsi="仿宋" w:eastAsia="仿宋" w:cs="仿宋"/>
        </w:rPr>
        <w:t>胜出。</w:t>
      </w:r>
    </w:p>
    <w:p w14:paraId="5E13EA8A">
      <w:pPr>
        <w:adjustRightInd w:val="0"/>
        <w:snapToGrid w:val="0"/>
        <w:spacing w:line="420" w:lineRule="exact"/>
        <w:ind w:firstLine="1890" w:firstLineChars="900"/>
        <w:rPr>
          <w:rFonts w:hint="eastAsia" w:ascii="仿宋" w:hAnsi="仿宋" w:eastAsia="仿宋" w:cs="仿宋"/>
        </w:rPr>
      </w:pPr>
      <w:r>
        <w:rPr>
          <w:rFonts w:hint="eastAsia" w:ascii="仿宋" w:hAnsi="仿宋" w:eastAsia="仿宋" w:cs="仿宋"/>
        </w:rPr>
        <w:t>备品备件、易损件和专用耗材明细表            单位：元</w:t>
      </w:r>
    </w:p>
    <w:tbl>
      <w:tblPr>
        <w:tblStyle w:val="48"/>
        <w:tblpPr w:leftFromText="180" w:rightFromText="180" w:vertAnchor="text" w:horzAnchor="page" w:tblpXSpec="center" w:tblpY="423"/>
        <w:tblOverlap w:val="never"/>
        <w:tblW w:w="9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CA8E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366C04A4">
            <w:pPr>
              <w:adjustRightInd w:val="0"/>
              <w:snapToGrid w:val="0"/>
              <w:spacing w:line="360" w:lineRule="exact"/>
              <w:jc w:val="center"/>
              <w:rPr>
                <w:rFonts w:hint="eastAsia" w:ascii="仿宋" w:hAnsi="仿宋" w:eastAsia="仿宋" w:cs="仿宋"/>
              </w:rPr>
            </w:pPr>
            <w:r>
              <w:rPr>
                <w:rFonts w:hint="eastAsia" w:ascii="仿宋" w:hAnsi="仿宋" w:eastAsia="仿宋" w:cs="仿宋"/>
              </w:rPr>
              <w:t>序号</w:t>
            </w:r>
          </w:p>
        </w:tc>
        <w:tc>
          <w:tcPr>
            <w:tcW w:w="1924" w:type="dxa"/>
            <w:noWrap w:val="0"/>
            <w:vAlign w:val="top"/>
          </w:tcPr>
          <w:p w14:paraId="0BAAD901">
            <w:pPr>
              <w:adjustRightInd w:val="0"/>
              <w:snapToGrid w:val="0"/>
              <w:spacing w:line="360" w:lineRule="exact"/>
              <w:jc w:val="center"/>
              <w:rPr>
                <w:rFonts w:hint="eastAsia" w:ascii="仿宋" w:hAnsi="仿宋" w:eastAsia="仿宋" w:cs="仿宋"/>
              </w:rPr>
            </w:pPr>
            <w:r>
              <w:rPr>
                <w:rFonts w:hint="eastAsia" w:ascii="仿宋" w:hAnsi="仿宋" w:eastAsia="仿宋" w:cs="仿宋"/>
              </w:rPr>
              <w:t>名称</w:t>
            </w:r>
          </w:p>
        </w:tc>
        <w:tc>
          <w:tcPr>
            <w:tcW w:w="1236" w:type="dxa"/>
            <w:noWrap w:val="0"/>
            <w:vAlign w:val="top"/>
          </w:tcPr>
          <w:p w14:paraId="477A3B59">
            <w:pPr>
              <w:adjustRightInd w:val="0"/>
              <w:snapToGrid w:val="0"/>
              <w:spacing w:line="360" w:lineRule="exact"/>
              <w:jc w:val="center"/>
              <w:rPr>
                <w:rFonts w:hint="eastAsia" w:ascii="仿宋" w:hAnsi="仿宋" w:eastAsia="仿宋" w:cs="仿宋"/>
              </w:rPr>
            </w:pPr>
            <w:r>
              <w:rPr>
                <w:rFonts w:hint="eastAsia" w:ascii="仿宋" w:hAnsi="仿宋" w:eastAsia="仿宋" w:cs="仿宋"/>
              </w:rPr>
              <w:t>型号规格</w:t>
            </w:r>
          </w:p>
        </w:tc>
        <w:tc>
          <w:tcPr>
            <w:tcW w:w="720" w:type="dxa"/>
            <w:noWrap w:val="0"/>
            <w:vAlign w:val="top"/>
          </w:tcPr>
          <w:p w14:paraId="209F95F3">
            <w:pPr>
              <w:adjustRightInd w:val="0"/>
              <w:snapToGrid w:val="0"/>
              <w:spacing w:line="360" w:lineRule="exact"/>
              <w:jc w:val="center"/>
              <w:rPr>
                <w:rFonts w:hint="eastAsia" w:ascii="仿宋" w:hAnsi="仿宋" w:eastAsia="仿宋" w:cs="仿宋"/>
              </w:rPr>
            </w:pPr>
            <w:r>
              <w:rPr>
                <w:rFonts w:hint="eastAsia" w:ascii="仿宋" w:hAnsi="仿宋" w:eastAsia="仿宋" w:cs="仿宋"/>
              </w:rPr>
              <w:t>单位</w:t>
            </w:r>
          </w:p>
        </w:tc>
        <w:tc>
          <w:tcPr>
            <w:tcW w:w="720" w:type="dxa"/>
            <w:noWrap w:val="0"/>
            <w:vAlign w:val="top"/>
          </w:tcPr>
          <w:p w14:paraId="593CB332">
            <w:pPr>
              <w:adjustRightInd w:val="0"/>
              <w:snapToGrid w:val="0"/>
              <w:spacing w:line="360" w:lineRule="exact"/>
              <w:jc w:val="center"/>
              <w:rPr>
                <w:rFonts w:hint="eastAsia" w:ascii="仿宋" w:hAnsi="仿宋" w:eastAsia="仿宋" w:cs="仿宋"/>
              </w:rPr>
            </w:pPr>
            <w:r>
              <w:rPr>
                <w:rFonts w:hint="eastAsia" w:ascii="仿宋" w:hAnsi="仿宋" w:eastAsia="仿宋" w:cs="仿宋"/>
              </w:rPr>
              <w:t>数量</w:t>
            </w:r>
          </w:p>
        </w:tc>
        <w:tc>
          <w:tcPr>
            <w:tcW w:w="720" w:type="dxa"/>
            <w:noWrap w:val="0"/>
            <w:vAlign w:val="top"/>
          </w:tcPr>
          <w:p w14:paraId="211A2186">
            <w:pPr>
              <w:adjustRightInd w:val="0"/>
              <w:snapToGrid w:val="0"/>
              <w:spacing w:line="360" w:lineRule="exact"/>
              <w:jc w:val="center"/>
              <w:rPr>
                <w:rFonts w:hint="eastAsia" w:ascii="仿宋" w:hAnsi="仿宋" w:eastAsia="仿宋" w:cs="仿宋"/>
              </w:rPr>
            </w:pPr>
            <w:r>
              <w:rPr>
                <w:rFonts w:hint="eastAsia" w:ascii="仿宋" w:hAnsi="仿宋" w:eastAsia="仿宋" w:cs="仿宋"/>
              </w:rPr>
              <w:t>单价</w:t>
            </w:r>
          </w:p>
        </w:tc>
        <w:tc>
          <w:tcPr>
            <w:tcW w:w="720" w:type="dxa"/>
            <w:noWrap w:val="0"/>
            <w:vAlign w:val="top"/>
          </w:tcPr>
          <w:p w14:paraId="4FEC6D1B">
            <w:pPr>
              <w:adjustRightInd w:val="0"/>
              <w:snapToGrid w:val="0"/>
              <w:spacing w:line="360" w:lineRule="exact"/>
              <w:jc w:val="center"/>
              <w:rPr>
                <w:rFonts w:hint="eastAsia" w:ascii="仿宋" w:hAnsi="仿宋" w:eastAsia="仿宋" w:cs="仿宋"/>
              </w:rPr>
            </w:pPr>
            <w:r>
              <w:rPr>
                <w:rFonts w:hint="eastAsia" w:ascii="仿宋" w:hAnsi="仿宋" w:eastAsia="仿宋" w:cs="仿宋"/>
              </w:rPr>
              <w:t>总价</w:t>
            </w:r>
          </w:p>
        </w:tc>
        <w:tc>
          <w:tcPr>
            <w:tcW w:w="2235" w:type="dxa"/>
            <w:noWrap w:val="0"/>
            <w:vAlign w:val="top"/>
          </w:tcPr>
          <w:p w14:paraId="60CEC62F">
            <w:pPr>
              <w:adjustRightInd w:val="0"/>
              <w:snapToGrid w:val="0"/>
              <w:spacing w:line="360" w:lineRule="exact"/>
              <w:jc w:val="center"/>
              <w:rPr>
                <w:rFonts w:hint="eastAsia" w:ascii="仿宋" w:hAnsi="仿宋" w:eastAsia="仿宋" w:cs="仿宋"/>
              </w:rPr>
            </w:pPr>
            <w:r>
              <w:rPr>
                <w:rFonts w:hint="eastAsia" w:ascii="仿宋" w:hAnsi="仿宋" w:eastAsia="仿宋" w:cs="仿宋"/>
              </w:rPr>
              <w:t>制造商</w:t>
            </w:r>
          </w:p>
        </w:tc>
      </w:tr>
      <w:tr w14:paraId="2C091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49092B83">
            <w:pPr>
              <w:adjustRightInd w:val="0"/>
              <w:snapToGrid w:val="0"/>
              <w:spacing w:line="360" w:lineRule="exact"/>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1924" w:type="dxa"/>
            <w:noWrap w:val="0"/>
            <w:vAlign w:val="top"/>
          </w:tcPr>
          <w:p w14:paraId="19F4A96C">
            <w:pPr>
              <w:adjustRightInd w:val="0"/>
              <w:snapToGrid w:val="0"/>
              <w:spacing w:line="360" w:lineRule="exact"/>
              <w:rPr>
                <w:rFonts w:hint="eastAsia" w:ascii="仿宋" w:hAnsi="仿宋" w:eastAsia="仿宋" w:cs="仿宋"/>
              </w:rPr>
            </w:pPr>
          </w:p>
        </w:tc>
        <w:tc>
          <w:tcPr>
            <w:tcW w:w="1236" w:type="dxa"/>
            <w:noWrap w:val="0"/>
            <w:vAlign w:val="top"/>
          </w:tcPr>
          <w:p w14:paraId="45E4C81F">
            <w:pPr>
              <w:adjustRightInd w:val="0"/>
              <w:snapToGrid w:val="0"/>
              <w:spacing w:line="360" w:lineRule="exact"/>
              <w:rPr>
                <w:rFonts w:hint="eastAsia" w:ascii="仿宋" w:hAnsi="仿宋" w:eastAsia="仿宋" w:cs="仿宋"/>
                <w:lang w:val="en-US" w:eastAsia="zh-CN"/>
              </w:rPr>
            </w:pPr>
          </w:p>
        </w:tc>
        <w:tc>
          <w:tcPr>
            <w:tcW w:w="720" w:type="dxa"/>
            <w:noWrap w:val="0"/>
            <w:vAlign w:val="top"/>
          </w:tcPr>
          <w:p w14:paraId="233E19F0">
            <w:pPr>
              <w:adjustRightInd w:val="0"/>
              <w:snapToGrid w:val="0"/>
              <w:spacing w:line="360" w:lineRule="exact"/>
              <w:jc w:val="center"/>
              <w:rPr>
                <w:rFonts w:hint="eastAsia" w:ascii="仿宋" w:hAnsi="仿宋" w:eastAsia="仿宋" w:cs="仿宋"/>
              </w:rPr>
            </w:pPr>
          </w:p>
        </w:tc>
        <w:tc>
          <w:tcPr>
            <w:tcW w:w="720" w:type="dxa"/>
            <w:noWrap w:val="0"/>
            <w:vAlign w:val="top"/>
          </w:tcPr>
          <w:p w14:paraId="5EECF352">
            <w:pPr>
              <w:adjustRightInd w:val="0"/>
              <w:snapToGrid w:val="0"/>
              <w:spacing w:line="360" w:lineRule="exact"/>
              <w:jc w:val="center"/>
              <w:rPr>
                <w:rFonts w:hint="eastAsia" w:ascii="仿宋" w:hAnsi="仿宋" w:eastAsia="仿宋" w:cs="仿宋"/>
              </w:rPr>
            </w:pPr>
          </w:p>
        </w:tc>
        <w:tc>
          <w:tcPr>
            <w:tcW w:w="720" w:type="dxa"/>
            <w:noWrap w:val="0"/>
            <w:vAlign w:val="top"/>
          </w:tcPr>
          <w:p w14:paraId="7CA39AB2">
            <w:pPr>
              <w:adjustRightInd w:val="0"/>
              <w:snapToGrid w:val="0"/>
              <w:spacing w:line="360" w:lineRule="exact"/>
              <w:jc w:val="center"/>
              <w:rPr>
                <w:rFonts w:hint="eastAsia" w:ascii="仿宋" w:hAnsi="仿宋" w:eastAsia="仿宋" w:cs="仿宋"/>
              </w:rPr>
            </w:pPr>
          </w:p>
        </w:tc>
        <w:tc>
          <w:tcPr>
            <w:tcW w:w="720" w:type="dxa"/>
            <w:noWrap w:val="0"/>
            <w:vAlign w:val="top"/>
          </w:tcPr>
          <w:p w14:paraId="75CD3ADB">
            <w:pPr>
              <w:adjustRightInd w:val="0"/>
              <w:snapToGrid w:val="0"/>
              <w:spacing w:line="360" w:lineRule="exact"/>
              <w:jc w:val="center"/>
              <w:rPr>
                <w:rFonts w:hint="eastAsia" w:ascii="仿宋" w:hAnsi="仿宋" w:eastAsia="仿宋" w:cs="仿宋"/>
              </w:rPr>
            </w:pPr>
          </w:p>
        </w:tc>
        <w:tc>
          <w:tcPr>
            <w:tcW w:w="2235" w:type="dxa"/>
            <w:noWrap w:val="0"/>
            <w:vAlign w:val="top"/>
          </w:tcPr>
          <w:p w14:paraId="439A3F10">
            <w:pPr>
              <w:adjustRightInd w:val="0"/>
              <w:snapToGrid w:val="0"/>
              <w:spacing w:line="360" w:lineRule="exact"/>
              <w:rPr>
                <w:rFonts w:hint="eastAsia" w:ascii="仿宋" w:hAnsi="仿宋" w:eastAsia="仿宋" w:cs="仿宋"/>
              </w:rPr>
            </w:pPr>
          </w:p>
        </w:tc>
      </w:tr>
      <w:tr w14:paraId="72870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15F3218F">
            <w:pPr>
              <w:adjustRightInd w:val="0"/>
              <w:snapToGrid w:val="0"/>
              <w:spacing w:line="360" w:lineRule="exact"/>
              <w:jc w:val="center"/>
              <w:rPr>
                <w:rFonts w:hint="eastAsia" w:ascii="仿宋" w:hAnsi="仿宋" w:eastAsia="仿宋" w:cs="仿宋"/>
                <w:lang w:val="en-US" w:eastAsia="zh-CN"/>
              </w:rPr>
            </w:pPr>
            <w:r>
              <w:rPr>
                <w:rFonts w:hint="eastAsia" w:ascii="仿宋" w:hAnsi="仿宋" w:eastAsia="仿宋" w:cs="仿宋"/>
                <w:lang w:val="en-US" w:eastAsia="zh-CN"/>
              </w:rPr>
              <w:t>2</w:t>
            </w:r>
          </w:p>
        </w:tc>
        <w:tc>
          <w:tcPr>
            <w:tcW w:w="1924" w:type="dxa"/>
            <w:noWrap w:val="0"/>
            <w:vAlign w:val="top"/>
          </w:tcPr>
          <w:p w14:paraId="418F318A">
            <w:pPr>
              <w:adjustRightInd w:val="0"/>
              <w:snapToGrid w:val="0"/>
              <w:spacing w:line="360" w:lineRule="exact"/>
              <w:rPr>
                <w:rFonts w:hint="eastAsia" w:ascii="仿宋" w:hAnsi="仿宋" w:eastAsia="仿宋" w:cs="仿宋"/>
              </w:rPr>
            </w:pPr>
          </w:p>
        </w:tc>
        <w:tc>
          <w:tcPr>
            <w:tcW w:w="1236" w:type="dxa"/>
            <w:noWrap w:val="0"/>
            <w:vAlign w:val="top"/>
          </w:tcPr>
          <w:p w14:paraId="1953C98D">
            <w:pPr>
              <w:adjustRightInd w:val="0"/>
              <w:snapToGrid w:val="0"/>
              <w:spacing w:line="360" w:lineRule="exact"/>
              <w:rPr>
                <w:rFonts w:hint="eastAsia" w:ascii="仿宋" w:hAnsi="仿宋" w:eastAsia="仿宋" w:cs="仿宋"/>
                <w:lang w:val="en-US" w:eastAsia="zh-CN"/>
              </w:rPr>
            </w:pPr>
          </w:p>
        </w:tc>
        <w:tc>
          <w:tcPr>
            <w:tcW w:w="720" w:type="dxa"/>
            <w:noWrap w:val="0"/>
            <w:vAlign w:val="top"/>
          </w:tcPr>
          <w:p w14:paraId="00C3B9EF">
            <w:pPr>
              <w:adjustRightInd w:val="0"/>
              <w:snapToGrid w:val="0"/>
              <w:spacing w:line="360" w:lineRule="exact"/>
              <w:jc w:val="center"/>
              <w:rPr>
                <w:rFonts w:hint="eastAsia" w:ascii="仿宋" w:hAnsi="仿宋" w:eastAsia="仿宋" w:cs="仿宋"/>
              </w:rPr>
            </w:pPr>
          </w:p>
        </w:tc>
        <w:tc>
          <w:tcPr>
            <w:tcW w:w="720" w:type="dxa"/>
            <w:noWrap w:val="0"/>
            <w:vAlign w:val="top"/>
          </w:tcPr>
          <w:p w14:paraId="235DBB43">
            <w:pPr>
              <w:adjustRightInd w:val="0"/>
              <w:snapToGrid w:val="0"/>
              <w:spacing w:line="360" w:lineRule="exact"/>
              <w:jc w:val="center"/>
              <w:rPr>
                <w:rFonts w:hint="eastAsia" w:ascii="仿宋" w:hAnsi="仿宋" w:eastAsia="仿宋" w:cs="仿宋"/>
              </w:rPr>
            </w:pPr>
          </w:p>
        </w:tc>
        <w:tc>
          <w:tcPr>
            <w:tcW w:w="720" w:type="dxa"/>
            <w:noWrap w:val="0"/>
            <w:vAlign w:val="top"/>
          </w:tcPr>
          <w:p w14:paraId="6A606F05">
            <w:pPr>
              <w:adjustRightInd w:val="0"/>
              <w:snapToGrid w:val="0"/>
              <w:spacing w:line="360" w:lineRule="exact"/>
              <w:jc w:val="center"/>
              <w:rPr>
                <w:rFonts w:hint="eastAsia" w:ascii="仿宋" w:hAnsi="仿宋" w:eastAsia="仿宋" w:cs="仿宋"/>
              </w:rPr>
            </w:pPr>
          </w:p>
        </w:tc>
        <w:tc>
          <w:tcPr>
            <w:tcW w:w="720" w:type="dxa"/>
            <w:noWrap w:val="0"/>
            <w:vAlign w:val="top"/>
          </w:tcPr>
          <w:p w14:paraId="73AD22AA">
            <w:pPr>
              <w:adjustRightInd w:val="0"/>
              <w:snapToGrid w:val="0"/>
              <w:spacing w:line="360" w:lineRule="exact"/>
              <w:jc w:val="center"/>
              <w:rPr>
                <w:rFonts w:hint="eastAsia" w:ascii="仿宋" w:hAnsi="仿宋" w:eastAsia="仿宋" w:cs="仿宋"/>
              </w:rPr>
            </w:pPr>
          </w:p>
        </w:tc>
        <w:tc>
          <w:tcPr>
            <w:tcW w:w="2235" w:type="dxa"/>
            <w:noWrap w:val="0"/>
            <w:vAlign w:val="top"/>
          </w:tcPr>
          <w:p w14:paraId="5679949E">
            <w:pPr>
              <w:adjustRightInd w:val="0"/>
              <w:snapToGrid w:val="0"/>
              <w:spacing w:line="360" w:lineRule="exact"/>
              <w:rPr>
                <w:rFonts w:hint="eastAsia" w:ascii="仿宋" w:hAnsi="仿宋" w:eastAsia="仿宋" w:cs="仿宋"/>
              </w:rPr>
            </w:pPr>
          </w:p>
        </w:tc>
      </w:tr>
      <w:tr w14:paraId="3B404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6BCA37C9">
            <w:pPr>
              <w:adjustRightInd w:val="0"/>
              <w:snapToGrid w:val="0"/>
              <w:spacing w:line="360" w:lineRule="exact"/>
              <w:jc w:val="center"/>
              <w:rPr>
                <w:rFonts w:hint="eastAsia" w:ascii="仿宋" w:hAnsi="仿宋" w:eastAsia="仿宋" w:cs="仿宋"/>
                <w:lang w:val="en-US" w:eastAsia="zh-CN"/>
              </w:rPr>
            </w:pPr>
            <w:r>
              <w:rPr>
                <w:rFonts w:hint="eastAsia" w:ascii="仿宋" w:hAnsi="仿宋" w:eastAsia="仿宋" w:cs="仿宋"/>
                <w:lang w:val="en-US" w:eastAsia="zh-CN"/>
              </w:rPr>
              <w:t>3</w:t>
            </w:r>
          </w:p>
        </w:tc>
        <w:tc>
          <w:tcPr>
            <w:tcW w:w="1924" w:type="dxa"/>
            <w:noWrap w:val="0"/>
            <w:vAlign w:val="top"/>
          </w:tcPr>
          <w:p w14:paraId="22DFF408">
            <w:pPr>
              <w:adjustRightInd w:val="0"/>
              <w:snapToGrid w:val="0"/>
              <w:spacing w:line="360" w:lineRule="exact"/>
              <w:rPr>
                <w:rFonts w:hint="eastAsia" w:ascii="仿宋" w:hAnsi="仿宋" w:eastAsia="仿宋" w:cs="仿宋"/>
              </w:rPr>
            </w:pPr>
          </w:p>
        </w:tc>
        <w:tc>
          <w:tcPr>
            <w:tcW w:w="1236" w:type="dxa"/>
            <w:noWrap w:val="0"/>
            <w:vAlign w:val="top"/>
          </w:tcPr>
          <w:p w14:paraId="52405F94">
            <w:pPr>
              <w:adjustRightInd w:val="0"/>
              <w:snapToGrid w:val="0"/>
              <w:spacing w:line="360" w:lineRule="exact"/>
              <w:rPr>
                <w:rFonts w:hint="eastAsia" w:ascii="仿宋" w:hAnsi="仿宋" w:eastAsia="仿宋" w:cs="仿宋"/>
                <w:lang w:val="en-US" w:eastAsia="zh-CN"/>
              </w:rPr>
            </w:pPr>
          </w:p>
        </w:tc>
        <w:tc>
          <w:tcPr>
            <w:tcW w:w="720" w:type="dxa"/>
            <w:noWrap w:val="0"/>
            <w:vAlign w:val="top"/>
          </w:tcPr>
          <w:p w14:paraId="784000D6">
            <w:pPr>
              <w:adjustRightInd w:val="0"/>
              <w:snapToGrid w:val="0"/>
              <w:spacing w:line="360" w:lineRule="exact"/>
              <w:jc w:val="center"/>
              <w:rPr>
                <w:rFonts w:hint="eastAsia" w:ascii="仿宋" w:hAnsi="仿宋" w:eastAsia="仿宋" w:cs="仿宋"/>
              </w:rPr>
            </w:pPr>
          </w:p>
        </w:tc>
        <w:tc>
          <w:tcPr>
            <w:tcW w:w="720" w:type="dxa"/>
            <w:noWrap w:val="0"/>
            <w:vAlign w:val="top"/>
          </w:tcPr>
          <w:p w14:paraId="036F6706">
            <w:pPr>
              <w:adjustRightInd w:val="0"/>
              <w:snapToGrid w:val="0"/>
              <w:spacing w:line="360" w:lineRule="exact"/>
              <w:jc w:val="center"/>
              <w:rPr>
                <w:rFonts w:hint="eastAsia" w:ascii="仿宋" w:hAnsi="仿宋" w:eastAsia="仿宋" w:cs="仿宋"/>
              </w:rPr>
            </w:pPr>
          </w:p>
        </w:tc>
        <w:tc>
          <w:tcPr>
            <w:tcW w:w="720" w:type="dxa"/>
            <w:noWrap w:val="0"/>
            <w:vAlign w:val="top"/>
          </w:tcPr>
          <w:p w14:paraId="4AADF83B">
            <w:pPr>
              <w:adjustRightInd w:val="0"/>
              <w:snapToGrid w:val="0"/>
              <w:spacing w:line="360" w:lineRule="exact"/>
              <w:jc w:val="center"/>
              <w:rPr>
                <w:rFonts w:hint="eastAsia" w:ascii="仿宋" w:hAnsi="仿宋" w:eastAsia="仿宋" w:cs="仿宋"/>
              </w:rPr>
            </w:pPr>
          </w:p>
        </w:tc>
        <w:tc>
          <w:tcPr>
            <w:tcW w:w="720" w:type="dxa"/>
            <w:noWrap w:val="0"/>
            <w:vAlign w:val="top"/>
          </w:tcPr>
          <w:p w14:paraId="0051063A">
            <w:pPr>
              <w:adjustRightInd w:val="0"/>
              <w:snapToGrid w:val="0"/>
              <w:spacing w:line="360" w:lineRule="exact"/>
              <w:jc w:val="center"/>
              <w:rPr>
                <w:rFonts w:hint="eastAsia" w:ascii="仿宋" w:hAnsi="仿宋" w:eastAsia="仿宋" w:cs="仿宋"/>
              </w:rPr>
            </w:pPr>
          </w:p>
        </w:tc>
        <w:tc>
          <w:tcPr>
            <w:tcW w:w="2235" w:type="dxa"/>
            <w:noWrap w:val="0"/>
            <w:vAlign w:val="top"/>
          </w:tcPr>
          <w:p w14:paraId="72A33161">
            <w:pPr>
              <w:adjustRightInd w:val="0"/>
              <w:snapToGrid w:val="0"/>
              <w:spacing w:line="360" w:lineRule="exact"/>
              <w:rPr>
                <w:rFonts w:hint="eastAsia" w:ascii="仿宋" w:hAnsi="仿宋" w:eastAsia="仿宋" w:cs="仿宋"/>
              </w:rPr>
            </w:pPr>
          </w:p>
        </w:tc>
      </w:tr>
      <w:tr w14:paraId="5292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04B9ACC2">
            <w:pPr>
              <w:adjustRightInd w:val="0"/>
              <w:snapToGrid w:val="0"/>
              <w:spacing w:line="360" w:lineRule="exact"/>
              <w:jc w:val="center"/>
              <w:rPr>
                <w:rFonts w:hint="eastAsia" w:ascii="仿宋" w:hAnsi="仿宋" w:eastAsia="仿宋" w:cs="仿宋"/>
                <w:lang w:val="en-US" w:eastAsia="zh-CN"/>
              </w:rPr>
            </w:pPr>
            <w:r>
              <w:rPr>
                <w:rFonts w:hint="eastAsia" w:ascii="仿宋" w:hAnsi="仿宋" w:eastAsia="仿宋" w:cs="仿宋"/>
                <w:lang w:val="en-US" w:eastAsia="zh-CN"/>
              </w:rPr>
              <w:t>4</w:t>
            </w:r>
          </w:p>
        </w:tc>
        <w:tc>
          <w:tcPr>
            <w:tcW w:w="1924" w:type="dxa"/>
            <w:noWrap w:val="0"/>
            <w:vAlign w:val="top"/>
          </w:tcPr>
          <w:p w14:paraId="1407916D">
            <w:pPr>
              <w:adjustRightInd w:val="0"/>
              <w:snapToGrid w:val="0"/>
              <w:spacing w:line="360" w:lineRule="exact"/>
              <w:rPr>
                <w:rFonts w:hint="eastAsia" w:ascii="仿宋" w:hAnsi="仿宋" w:eastAsia="仿宋" w:cs="仿宋"/>
              </w:rPr>
            </w:pPr>
          </w:p>
        </w:tc>
        <w:tc>
          <w:tcPr>
            <w:tcW w:w="1236" w:type="dxa"/>
            <w:noWrap w:val="0"/>
            <w:vAlign w:val="top"/>
          </w:tcPr>
          <w:p w14:paraId="42B3B497">
            <w:pPr>
              <w:adjustRightInd w:val="0"/>
              <w:snapToGrid w:val="0"/>
              <w:spacing w:line="360" w:lineRule="exact"/>
              <w:rPr>
                <w:rFonts w:hint="eastAsia" w:ascii="仿宋" w:hAnsi="仿宋" w:eastAsia="仿宋" w:cs="仿宋"/>
                <w:lang w:val="en-US" w:eastAsia="zh-CN"/>
              </w:rPr>
            </w:pPr>
          </w:p>
        </w:tc>
        <w:tc>
          <w:tcPr>
            <w:tcW w:w="720" w:type="dxa"/>
            <w:noWrap w:val="0"/>
            <w:vAlign w:val="top"/>
          </w:tcPr>
          <w:p w14:paraId="204C6790">
            <w:pPr>
              <w:adjustRightInd w:val="0"/>
              <w:snapToGrid w:val="0"/>
              <w:spacing w:line="360" w:lineRule="exact"/>
              <w:jc w:val="center"/>
              <w:rPr>
                <w:rFonts w:hint="eastAsia" w:ascii="仿宋" w:hAnsi="仿宋" w:eastAsia="仿宋" w:cs="仿宋"/>
              </w:rPr>
            </w:pPr>
          </w:p>
        </w:tc>
        <w:tc>
          <w:tcPr>
            <w:tcW w:w="720" w:type="dxa"/>
            <w:noWrap w:val="0"/>
            <w:vAlign w:val="top"/>
          </w:tcPr>
          <w:p w14:paraId="36D13F57">
            <w:pPr>
              <w:adjustRightInd w:val="0"/>
              <w:snapToGrid w:val="0"/>
              <w:spacing w:line="360" w:lineRule="exact"/>
              <w:jc w:val="center"/>
              <w:rPr>
                <w:rFonts w:hint="eastAsia" w:ascii="仿宋" w:hAnsi="仿宋" w:eastAsia="仿宋" w:cs="仿宋"/>
              </w:rPr>
            </w:pPr>
          </w:p>
        </w:tc>
        <w:tc>
          <w:tcPr>
            <w:tcW w:w="720" w:type="dxa"/>
            <w:noWrap w:val="0"/>
            <w:vAlign w:val="top"/>
          </w:tcPr>
          <w:p w14:paraId="2AE561E4">
            <w:pPr>
              <w:adjustRightInd w:val="0"/>
              <w:snapToGrid w:val="0"/>
              <w:spacing w:line="360" w:lineRule="exact"/>
              <w:jc w:val="center"/>
              <w:rPr>
                <w:rFonts w:hint="eastAsia" w:ascii="仿宋" w:hAnsi="仿宋" w:eastAsia="仿宋" w:cs="仿宋"/>
              </w:rPr>
            </w:pPr>
          </w:p>
        </w:tc>
        <w:tc>
          <w:tcPr>
            <w:tcW w:w="720" w:type="dxa"/>
            <w:noWrap w:val="0"/>
            <w:vAlign w:val="top"/>
          </w:tcPr>
          <w:p w14:paraId="363B76EF">
            <w:pPr>
              <w:adjustRightInd w:val="0"/>
              <w:snapToGrid w:val="0"/>
              <w:spacing w:line="360" w:lineRule="exact"/>
              <w:jc w:val="center"/>
              <w:rPr>
                <w:rFonts w:hint="eastAsia" w:ascii="仿宋" w:hAnsi="仿宋" w:eastAsia="仿宋" w:cs="仿宋"/>
              </w:rPr>
            </w:pPr>
          </w:p>
        </w:tc>
        <w:tc>
          <w:tcPr>
            <w:tcW w:w="2235" w:type="dxa"/>
            <w:noWrap w:val="0"/>
            <w:vAlign w:val="top"/>
          </w:tcPr>
          <w:p w14:paraId="33912DFC">
            <w:pPr>
              <w:adjustRightInd w:val="0"/>
              <w:snapToGrid w:val="0"/>
              <w:spacing w:line="360" w:lineRule="exact"/>
              <w:rPr>
                <w:rFonts w:hint="eastAsia" w:ascii="仿宋" w:hAnsi="仿宋" w:eastAsia="仿宋" w:cs="仿宋"/>
              </w:rPr>
            </w:pPr>
          </w:p>
        </w:tc>
      </w:tr>
      <w:tr w14:paraId="01570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47354536">
            <w:pPr>
              <w:adjustRightInd w:val="0"/>
              <w:snapToGrid w:val="0"/>
              <w:spacing w:line="360" w:lineRule="exact"/>
              <w:jc w:val="center"/>
              <w:rPr>
                <w:rFonts w:hint="eastAsia" w:ascii="仿宋" w:hAnsi="仿宋" w:eastAsia="仿宋" w:cs="仿宋"/>
                <w:lang w:val="en-US" w:eastAsia="zh-CN"/>
              </w:rPr>
            </w:pPr>
            <w:r>
              <w:rPr>
                <w:rFonts w:hint="eastAsia" w:ascii="仿宋" w:hAnsi="仿宋" w:eastAsia="仿宋" w:cs="仿宋"/>
                <w:lang w:val="en-US" w:eastAsia="zh-CN"/>
              </w:rPr>
              <w:t>5</w:t>
            </w:r>
          </w:p>
        </w:tc>
        <w:tc>
          <w:tcPr>
            <w:tcW w:w="1924" w:type="dxa"/>
            <w:noWrap w:val="0"/>
            <w:vAlign w:val="top"/>
          </w:tcPr>
          <w:p w14:paraId="774BACCB">
            <w:pPr>
              <w:adjustRightInd w:val="0"/>
              <w:snapToGrid w:val="0"/>
              <w:spacing w:line="360" w:lineRule="exact"/>
              <w:rPr>
                <w:rFonts w:hint="eastAsia" w:ascii="仿宋" w:hAnsi="仿宋" w:eastAsia="仿宋" w:cs="仿宋"/>
              </w:rPr>
            </w:pPr>
          </w:p>
        </w:tc>
        <w:tc>
          <w:tcPr>
            <w:tcW w:w="1236" w:type="dxa"/>
            <w:noWrap w:val="0"/>
            <w:vAlign w:val="top"/>
          </w:tcPr>
          <w:p w14:paraId="2A60FD8D">
            <w:pPr>
              <w:adjustRightInd w:val="0"/>
              <w:snapToGrid w:val="0"/>
              <w:spacing w:line="360" w:lineRule="exact"/>
              <w:rPr>
                <w:rFonts w:hint="eastAsia" w:ascii="仿宋" w:hAnsi="仿宋" w:eastAsia="仿宋" w:cs="仿宋"/>
                <w:lang w:val="en-US" w:eastAsia="zh-CN"/>
              </w:rPr>
            </w:pPr>
          </w:p>
        </w:tc>
        <w:tc>
          <w:tcPr>
            <w:tcW w:w="720" w:type="dxa"/>
            <w:noWrap w:val="0"/>
            <w:vAlign w:val="top"/>
          </w:tcPr>
          <w:p w14:paraId="469DA35F">
            <w:pPr>
              <w:adjustRightInd w:val="0"/>
              <w:snapToGrid w:val="0"/>
              <w:spacing w:line="360" w:lineRule="exact"/>
              <w:jc w:val="center"/>
              <w:rPr>
                <w:rFonts w:hint="eastAsia" w:ascii="仿宋" w:hAnsi="仿宋" w:eastAsia="仿宋" w:cs="仿宋"/>
              </w:rPr>
            </w:pPr>
          </w:p>
        </w:tc>
        <w:tc>
          <w:tcPr>
            <w:tcW w:w="720" w:type="dxa"/>
            <w:noWrap w:val="0"/>
            <w:vAlign w:val="top"/>
          </w:tcPr>
          <w:p w14:paraId="1F0C7A03">
            <w:pPr>
              <w:adjustRightInd w:val="0"/>
              <w:snapToGrid w:val="0"/>
              <w:spacing w:line="360" w:lineRule="exact"/>
              <w:jc w:val="center"/>
              <w:rPr>
                <w:rFonts w:hint="eastAsia" w:ascii="仿宋" w:hAnsi="仿宋" w:eastAsia="仿宋" w:cs="仿宋"/>
              </w:rPr>
            </w:pPr>
          </w:p>
        </w:tc>
        <w:tc>
          <w:tcPr>
            <w:tcW w:w="720" w:type="dxa"/>
            <w:noWrap w:val="0"/>
            <w:vAlign w:val="top"/>
          </w:tcPr>
          <w:p w14:paraId="3D540EEA">
            <w:pPr>
              <w:adjustRightInd w:val="0"/>
              <w:snapToGrid w:val="0"/>
              <w:spacing w:line="360" w:lineRule="exact"/>
              <w:jc w:val="center"/>
              <w:rPr>
                <w:rFonts w:hint="eastAsia" w:ascii="仿宋" w:hAnsi="仿宋" w:eastAsia="仿宋" w:cs="仿宋"/>
              </w:rPr>
            </w:pPr>
          </w:p>
        </w:tc>
        <w:tc>
          <w:tcPr>
            <w:tcW w:w="720" w:type="dxa"/>
            <w:noWrap w:val="0"/>
            <w:vAlign w:val="top"/>
          </w:tcPr>
          <w:p w14:paraId="56DBF195">
            <w:pPr>
              <w:adjustRightInd w:val="0"/>
              <w:snapToGrid w:val="0"/>
              <w:spacing w:line="360" w:lineRule="exact"/>
              <w:jc w:val="center"/>
              <w:rPr>
                <w:rFonts w:hint="eastAsia" w:ascii="仿宋" w:hAnsi="仿宋" w:eastAsia="仿宋" w:cs="仿宋"/>
              </w:rPr>
            </w:pPr>
          </w:p>
        </w:tc>
        <w:tc>
          <w:tcPr>
            <w:tcW w:w="2235" w:type="dxa"/>
            <w:noWrap w:val="0"/>
            <w:vAlign w:val="top"/>
          </w:tcPr>
          <w:p w14:paraId="7550CC34">
            <w:pPr>
              <w:adjustRightInd w:val="0"/>
              <w:snapToGrid w:val="0"/>
              <w:spacing w:line="360" w:lineRule="exact"/>
              <w:rPr>
                <w:rFonts w:hint="eastAsia" w:ascii="仿宋" w:hAnsi="仿宋" w:eastAsia="仿宋" w:cs="仿宋"/>
              </w:rPr>
            </w:pPr>
          </w:p>
        </w:tc>
      </w:tr>
      <w:tr w14:paraId="0B0DE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5FC01774">
            <w:pPr>
              <w:adjustRightInd w:val="0"/>
              <w:snapToGrid w:val="0"/>
              <w:spacing w:line="360" w:lineRule="exact"/>
              <w:jc w:val="center"/>
              <w:rPr>
                <w:rFonts w:hint="eastAsia" w:ascii="仿宋" w:hAnsi="仿宋" w:eastAsia="仿宋" w:cs="仿宋"/>
              </w:rPr>
            </w:pPr>
          </w:p>
        </w:tc>
        <w:tc>
          <w:tcPr>
            <w:tcW w:w="1924" w:type="dxa"/>
            <w:noWrap w:val="0"/>
            <w:vAlign w:val="top"/>
          </w:tcPr>
          <w:p w14:paraId="58B2726F">
            <w:pPr>
              <w:adjustRightInd w:val="0"/>
              <w:snapToGrid w:val="0"/>
              <w:spacing w:line="360" w:lineRule="exact"/>
              <w:rPr>
                <w:rFonts w:hint="eastAsia" w:ascii="仿宋" w:hAnsi="仿宋" w:eastAsia="仿宋" w:cs="仿宋"/>
              </w:rPr>
            </w:pPr>
          </w:p>
        </w:tc>
        <w:tc>
          <w:tcPr>
            <w:tcW w:w="1236" w:type="dxa"/>
            <w:noWrap w:val="0"/>
            <w:vAlign w:val="top"/>
          </w:tcPr>
          <w:p w14:paraId="1FEA8C7F">
            <w:pPr>
              <w:adjustRightInd w:val="0"/>
              <w:snapToGrid w:val="0"/>
              <w:spacing w:line="360" w:lineRule="exact"/>
              <w:rPr>
                <w:rFonts w:hint="eastAsia" w:ascii="仿宋" w:hAnsi="仿宋" w:eastAsia="仿宋" w:cs="仿宋"/>
              </w:rPr>
            </w:pPr>
          </w:p>
        </w:tc>
        <w:tc>
          <w:tcPr>
            <w:tcW w:w="720" w:type="dxa"/>
            <w:noWrap w:val="0"/>
            <w:vAlign w:val="top"/>
          </w:tcPr>
          <w:p w14:paraId="3F134A6A">
            <w:pPr>
              <w:adjustRightInd w:val="0"/>
              <w:snapToGrid w:val="0"/>
              <w:spacing w:line="360" w:lineRule="exact"/>
              <w:jc w:val="center"/>
              <w:rPr>
                <w:rFonts w:hint="eastAsia" w:ascii="仿宋" w:hAnsi="仿宋" w:eastAsia="仿宋" w:cs="仿宋"/>
              </w:rPr>
            </w:pPr>
          </w:p>
        </w:tc>
        <w:tc>
          <w:tcPr>
            <w:tcW w:w="720" w:type="dxa"/>
            <w:noWrap w:val="0"/>
            <w:vAlign w:val="top"/>
          </w:tcPr>
          <w:p w14:paraId="088B0669">
            <w:pPr>
              <w:adjustRightInd w:val="0"/>
              <w:snapToGrid w:val="0"/>
              <w:spacing w:line="360" w:lineRule="exact"/>
              <w:jc w:val="center"/>
              <w:rPr>
                <w:rFonts w:hint="eastAsia" w:ascii="仿宋" w:hAnsi="仿宋" w:eastAsia="仿宋" w:cs="仿宋"/>
              </w:rPr>
            </w:pPr>
          </w:p>
        </w:tc>
        <w:tc>
          <w:tcPr>
            <w:tcW w:w="720" w:type="dxa"/>
            <w:noWrap w:val="0"/>
            <w:vAlign w:val="top"/>
          </w:tcPr>
          <w:p w14:paraId="11631CB4">
            <w:pPr>
              <w:adjustRightInd w:val="0"/>
              <w:snapToGrid w:val="0"/>
              <w:spacing w:line="360" w:lineRule="exact"/>
              <w:jc w:val="center"/>
              <w:rPr>
                <w:rFonts w:hint="eastAsia" w:ascii="仿宋" w:hAnsi="仿宋" w:eastAsia="仿宋" w:cs="仿宋"/>
              </w:rPr>
            </w:pPr>
          </w:p>
        </w:tc>
        <w:tc>
          <w:tcPr>
            <w:tcW w:w="720" w:type="dxa"/>
            <w:noWrap w:val="0"/>
            <w:vAlign w:val="top"/>
          </w:tcPr>
          <w:p w14:paraId="2ABD4F0D">
            <w:pPr>
              <w:adjustRightInd w:val="0"/>
              <w:snapToGrid w:val="0"/>
              <w:spacing w:line="360" w:lineRule="exact"/>
              <w:jc w:val="center"/>
              <w:rPr>
                <w:rFonts w:hint="eastAsia" w:ascii="仿宋" w:hAnsi="仿宋" w:eastAsia="仿宋" w:cs="仿宋"/>
              </w:rPr>
            </w:pPr>
          </w:p>
        </w:tc>
        <w:tc>
          <w:tcPr>
            <w:tcW w:w="2235" w:type="dxa"/>
            <w:noWrap w:val="0"/>
            <w:vAlign w:val="top"/>
          </w:tcPr>
          <w:p w14:paraId="293A76BC">
            <w:pPr>
              <w:adjustRightInd w:val="0"/>
              <w:snapToGrid w:val="0"/>
              <w:spacing w:line="360" w:lineRule="exact"/>
              <w:rPr>
                <w:rFonts w:hint="eastAsia" w:ascii="仿宋" w:hAnsi="仿宋" w:eastAsia="仿宋" w:cs="仿宋"/>
              </w:rPr>
            </w:pPr>
          </w:p>
        </w:tc>
      </w:tr>
    </w:tbl>
    <w:p w14:paraId="58B289D8">
      <w:pPr>
        <w:pStyle w:val="24"/>
      </w:pPr>
    </w:p>
    <w:p w14:paraId="4F4AB4FE">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6投标技术文件至少应对招标文件和本技术标书所提出的要求，将</w:t>
      </w:r>
      <w:r>
        <w:rPr>
          <w:rFonts w:hint="eastAsia" w:ascii="仿宋" w:hAnsi="仿宋" w:eastAsia="仿宋" w:cs="仿宋"/>
          <w:lang w:eastAsia="zh-CN"/>
        </w:rPr>
        <w:t>卖方</w:t>
      </w:r>
      <w:r>
        <w:rPr>
          <w:rFonts w:hint="eastAsia" w:ascii="仿宋" w:hAnsi="仿宋" w:eastAsia="仿宋" w:cs="仿宋"/>
        </w:rPr>
        <w:t>认为难以满足的条款和要求，予以明确和详细的说明或澄清。</w:t>
      </w:r>
    </w:p>
    <w:p w14:paraId="030F0474">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7投标技术文件中，如未按照要求编写而存在漏项或缺项，将有可能造成对</w:t>
      </w:r>
      <w:r>
        <w:rPr>
          <w:rFonts w:hint="eastAsia" w:ascii="仿宋" w:hAnsi="仿宋" w:eastAsia="仿宋" w:cs="仿宋"/>
          <w:lang w:eastAsia="zh-CN"/>
        </w:rPr>
        <w:t>卖方</w:t>
      </w:r>
      <w:r>
        <w:rPr>
          <w:rFonts w:hint="eastAsia" w:ascii="仿宋" w:hAnsi="仿宋" w:eastAsia="仿宋" w:cs="仿宋"/>
        </w:rPr>
        <w:t>不必要的误解；必要时，漏项或缺项涉及的费用，将有可能以其它</w:t>
      </w:r>
      <w:r>
        <w:rPr>
          <w:rFonts w:hint="eastAsia" w:ascii="仿宋" w:hAnsi="仿宋" w:eastAsia="仿宋" w:cs="仿宋"/>
          <w:lang w:eastAsia="zh-CN"/>
        </w:rPr>
        <w:t>卖方</w:t>
      </w:r>
      <w:r>
        <w:rPr>
          <w:rFonts w:hint="eastAsia" w:ascii="仿宋" w:hAnsi="仿宋" w:eastAsia="仿宋" w:cs="仿宋"/>
        </w:rPr>
        <w:t>中，相同或相似项目的最高价，计入</w:t>
      </w:r>
      <w:r>
        <w:rPr>
          <w:rFonts w:hint="eastAsia" w:ascii="仿宋" w:hAnsi="仿宋" w:eastAsia="仿宋" w:cs="仿宋"/>
          <w:lang w:eastAsia="zh-CN"/>
        </w:rPr>
        <w:t>卖方</w:t>
      </w:r>
      <w:r>
        <w:rPr>
          <w:rFonts w:hint="eastAsia" w:ascii="仿宋" w:hAnsi="仿宋" w:eastAsia="仿宋" w:cs="仿宋"/>
        </w:rPr>
        <w:t>的投标总报价之内，作为评标的依据之一。</w:t>
      </w:r>
    </w:p>
    <w:p w14:paraId="1650F5D5">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8供货范围内的物品或服务，应当尽可能详细且分类填入配置表，其费用应当计入投标总报价之内。如果出现不一致的报价，将有可能导致废标。</w:t>
      </w:r>
    </w:p>
    <w:p w14:paraId="7903F56B">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9除招标文件明确的验收标准或内容之外，</w:t>
      </w:r>
      <w:r>
        <w:rPr>
          <w:rFonts w:hint="eastAsia" w:ascii="仿宋" w:hAnsi="仿宋" w:eastAsia="仿宋" w:cs="仿宋"/>
          <w:lang w:eastAsia="zh-CN"/>
        </w:rPr>
        <w:t>卖方</w:t>
      </w:r>
      <w:r>
        <w:rPr>
          <w:rFonts w:hint="eastAsia" w:ascii="仿宋" w:hAnsi="仿宋" w:eastAsia="仿宋" w:cs="仿宋"/>
        </w:rPr>
        <w:t>应当在投标文件中提供预验收（必要时）和终验收的标准以及规程，在合同签定之前，经</w:t>
      </w:r>
      <w:r>
        <w:rPr>
          <w:rFonts w:hint="eastAsia" w:ascii="仿宋" w:hAnsi="仿宋" w:eastAsia="仿宋" w:cs="仿宋"/>
          <w:lang w:eastAsia="zh-CN"/>
        </w:rPr>
        <w:t>卖方</w:t>
      </w:r>
      <w:r>
        <w:rPr>
          <w:rFonts w:hint="eastAsia" w:ascii="仿宋" w:hAnsi="仿宋" w:eastAsia="仿宋" w:cs="仿宋"/>
        </w:rPr>
        <w:t>和</w:t>
      </w:r>
      <w:r>
        <w:rPr>
          <w:rFonts w:hint="eastAsia" w:ascii="仿宋" w:hAnsi="仿宋" w:eastAsia="仿宋" w:cs="仿宋"/>
          <w:lang w:eastAsia="zh-CN"/>
        </w:rPr>
        <w:t>买方</w:t>
      </w:r>
      <w:r>
        <w:rPr>
          <w:rFonts w:hint="eastAsia" w:ascii="仿宋" w:hAnsi="仿宋" w:eastAsia="仿宋" w:cs="仿宋"/>
        </w:rPr>
        <w:t>双方洽谈确认并签署，以作为验收标准执行。</w:t>
      </w:r>
    </w:p>
    <w:p w14:paraId="2E527898">
      <w:pPr>
        <w:adjustRightInd w:val="0"/>
        <w:snapToGrid w:val="0"/>
        <w:spacing w:line="360" w:lineRule="auto"/>
        <w:ind w:firstLine="420" w:firstLineChars="200"/>
        <w:rPr>
          <w:rFonts w:ascii="仿宋" w:hAnsi="仿宋" w:eastAsia="仿宋" w:cs="仿宋"/>
        </w:rPr>
      </w:pPr>
      <w:r>
        <w:rPr>
          <w:rFonts w:hint="eastAsia" w:ascii="仿宋" w:hAnsi="仿宋" w:eastAsia="仿宋" w:cs="仿宋"/>
        </w:rPr>
        <w:t>10带 ★ 号条款为否定项条款。</w:t>
      </w:r>
      <w:bookmarkStart w:id="1031" w:name="_Toc133783976"/>
    </w:p>
    <w:bookmarkEnd w:id="1031"/>
    <w:p w14:paraId="6F25E07A">
      <w:pPr>
        <w:rPr>
          <w:rFonts w:hint="eastAsia" w:ascii="仿宋" w:hAnsi="仿宋" w:eastAsia="仿宋" w:cs="仿宋"/>
          <w:b/>
          <w:bCs/>
          <w:sz w:val="24"/>
          <w:szCs w:val="24"/>
        </w:rPr>
      </w:pPr>
      <w:bookmarkStart w:id="1032" w:name="_Toc15684"/>
      <w:bookmarkStart w:id="1033" w:name="_Toc1126"/>
      <w:bookmarkStart w:id="1034" w:name="_Toc19444"/>
      <w:bookmarkStart w:id="1035" w:name="_Toc26559"/>
      <w:bookmarkStart w:id="1036" w:name="_Toc3256"/>
      <w:bookmarkStart w:id="1037" w:name="_Toc19821"/>
      <w:bookmarkStart w:id="1038" w:name="_Toc29369"/>
      <w:bookmarkStart w:id="1039" w:name="_Toc3744"/>
      <w:bookmarkStart w:id="1040" w:name="_Toc7541"/>
      <w:bookmarkStart w:id="1041" w:name="_Toc671"/>
      <w:bookmarkStart w:id="1042" w:name="_Toc24651"/>
      <w:bookmarkStart w:id="1043" w:name="_Toc16301"/>
      <w:bookmarkStart w:id="1044" w:name="_Toc25823"/>
      <w:bookmarkStart w:id="1045" w:name="_Toc32403"/>
      <w:bookmarkStart w:id="1046" w:name="_Toc15645"/>
      <w:bookmarkStart w:id="1047" w:name="_Toc9954"/>
      <w:bookmarkStart w:id="1048" w:name="_Toc2783"/>
      <w:bookmarkStart w:id="1049" w:name="_Toc5153"/>
      <w:bookmarkStart w:id="1050" w:name="_Toc5380"/>
      <w:bookmarkStart w:id="1051" w:name="_Toc17174"/>
      <w:bookmarkStart w:id="1052" w:name="_Toc23538"/>
      <w:bookmarkStart w:id="1053" w:name="_Toc22743"/>
      <w:bookmarkStart w:id="1054" w:name="_Toc17463"/>
      <w:bookmarkStart w:id="1055" w:name="_Toc13666"/>
      <w:bookmarkStart w:id="1056" w:name="_Toc7423"/>
      <w:bookmarkStart w:id="1057" w:name="_Toc10484"/>
      <w:bookmarkStart w:id="1058" w:name="_Toc19119"/>
      <w:bookmarkStart w:id="1059" w:name="_Toc2341"/>
      <w:bookmarkStart w:id="1060" w:name="_Toc623"/>
      <w:bookmarkStart w:id="1061" w:name="_Toc13350"/>
      <w:bookmarkStart w:id="1062" w:name="_Toc10081"/>
      <w:bookmarkStart w:id="1063" w:name="_Toc73112426"/>
      <w:bookmarkStart w:id="1064" w:name="_Toc147"/>
      <w:bookmarkStart w:id="1065" w:name="_Toc2177"/>
      <w:bookmarkStart w:id="1066" w:name="_Toc29655"/>
      <w:bookmarkStart w:id="1067" w:name="_Toc2151"/>
      <w:bookmarkStart w:id="1068" w:name="_Toc4563"/>
      <w:bookmarkStart w:id="1069" w:name="_Toc11416"/>
      <w:bookmarkStart w:id="1070" w:name="_Toc24401"/>
      <w:bookmarkStart w:id="1071" w:name="_Toc11155"/>
      <w:bookmarkStart w:id="1072" w:name="_Toc919"/>
      <w:bookmarkStart w:id="1073" w:name="_Toc31830"/>
      <w:bookmarkStart w:id="1074" w:name="_Toc17045"/>
      <w:bookmarkStart w:id="1075" w:name="_Toc26481"/>
      <w:r>
        <w:rPr>
          <w:rFonts w:hint="eastAsia" w:ascii="仿宋" w:hAnsi="仿宋" w:eastAsia="仿宋" w:cs="仿宋"/>
          <w:b/>
          <w:bCs/>
          <w:sz w:val="24"/>
          <w:szCs w:val="24"/>
        </w:rPr>
        <w:br w:type="page"/>
      </w:r>
    </w:p>
    <w:p w14:paraId="3C96B135">
      <w:pPr>
        <w:adjustRightInd w:val="0"/>
        <w:snapToGrid w:val="0"/>
        <w:spacing w:before="163" w:beforeLines="50" w:after="163" w:afterLines="50" w:line="360" w:lineRule="auto"/>
        <w:jc w:val="center"/>
        <w:outlineLvl w:val="0"/>
        <w:rPr>
          <w:rFonts w:ascii="仿宋" w:hAnsi="仿宋" w:eastAsia="仿宋" w:cs="仿宋"/>
          <w:b/>
          <w:bCs/>
        </w:rPr>
      </w:pPr>
      <w:r>
        <w:rPr>
          <w:rFonts w:hint="eastAsia" w:ascii="仿宋" w:hAnsi="仿宋" w:eastAsia="仿宋" w:cs="仿宋"/>
          <w:b/>
          <w:bCs/>
          <w:sz w:val="24"/>
          <w:szCs w:val="24"/>
        </w:rPr>
        <w:t>第七章其它要求</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p>
    <w:p w14:paraId="7A4BCDF4">
      <w:pPr>
        <w:snapToGrid w:val="0"/>
        <w:spacing w:line="360" w:lineRule="auto"/>
        <w:ind w:left="480"/>
        <w:outlineLvl w:val="1"/>
        <w:rPr>
          <w:rFonts w:ascii="仿宋" w:hAnsi="仿宋" w:eastAsia="仿宋" w:cs="仿宋"/>
          <w:b/>
          <w:bCs/>
        </w:rPr>
      </w:pPr>
      <w:bookmarkStart w:id="1076" w:name="_Toc14484"/>
      <w:bookmarkStart w:id="1077" w:name="_Toc32544"/>
      <w:bookmarkStart w:id="1078" w:name="_Toc73112427"/>
      <w:bookmarkStart w:id="1079" w:name="_Toc11058"/>
      <w:bookmarkStart w:id="1080" w:name="_Toc26831"/>
      <w:bookmarkStart w:id="1081" w:name="_Toc27020"/>
      <w:bookmarkStart w:id="1082" w:name="_Toc30535"/>
      <w:bookmarkStart w:id="1083" w:name="_Toc17702"/>
      <w:bookmarkStart w:id="1084" w:name="_Toc22010"/>
      <w:bookmarkStart w:id="1085" w:name="_Toc27273"/>
      <w:bookmarkStart w:id="1086" w:name="_Toc12406"/>
      <w:bookmarkStart w:id="1087" w:name="_Toc32525"/>
      <w:bookmarkStart w:id="1088" w:name="_Toc29015"/>
      <w:bookmarkStart w:id="1089" w:name="_Toc15256"/>
      <w:bookmarkStart w:id="1090" w:name="_Toc29679"/>
      <w:bookmarkStart w:id="1091" w:name="_Toc18469"/>
      <w:bookmarkStart w:id="1092" w:name="_Toc16829"/>
      <w:bookmarkStart w:id="1093" w:name="_Toc13820"/>
      <w:bookmarkStart w:id="1094" w:name="_Toc28364"/>
      <w:bookmarkStart w:id="1095" w:name="_Toc32470"/>
      <w:bookmarkStart w:id="1096" w:name="_Toc15205"/>
      <w:bookmarkStart w:id="1097" w:name="_Toc12542"/>
      <w:bookmarkStart w:id="1098" w:name="_Toc16802"/>
      <w:bookmarkStart w:id="1099" w:name="_Toc14684"/>
      <w:bookmarkStart w:id="1100" w:name="_Toc4997"/>
      <w:bookmarkStart w:id="1101" w:name="_Toc11901"/>
      <w:bookmarkStart w:id="1102" w:name="_Toc24782"/>
      <w:bookmarkStart w:id="1103" w:name="_Toc24680"/>
      <w:bookmarkStart w:id="1104" w:name="_Toc20262"/>
      <w:bookmarkStart w:id="1105" w:name="_Toc2497"/>
      <w:bookmarkStart w:id="1106" w:name="_Toc15541"/>
      <w:bookmarkStart w:id="1107" w:name="_Toc31105"/>
      <w:bookmarkStart w:id="1108" w:name="_Toc25903"/>
      <w:bookmarkStart w:id="1109" w:name="_Toc22430"/>
      <w:bookmarkStart w:id="1110" w:name="_Toc16614"/>
      <w:bookmarkStart w:id="1111" w:name="_Toc17727"/>
      <w:bookmarkStart w:id="1112" w:name="_Toc17435"/>
      <w:bookmarkStart w:id="1113" w:name="_Toc32012"/>
      <w:bookmarkStart w:id="1114" w:name="_Toc24669"/>
      <w:bookmarkStart w:id="1115" w:name="_Toc21465"/>
      <w:bookmarkStart w:id="1116" w:name="_Toc17357"/>
      <w:bookmarkStart w:id="1117" w:name="_Toc5514"/>
      <w:bookmarkStart w:id="1118" w:name="_Toc24181"/>
      <w:r>
        <w:rPr>
          <w:rFonts w:hint="eastAsia" w:ascii="仿宋" w:hAnsi="仿宋" w:eastAsia="仿宋" w:cs="仿宋"/>
          <w:b/>
          <w:bCs/>
        </w:rPr>
        <w:t>1特殊要求</w:t>
      </w:r>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14:paraId="1B87AE25">
      <w:pPr>
        <w:pStyle w:val="27"/>
        <w:snapToGrid w:val="0"/>
        <w:spacing w:line="360" w:lineRule="auto"/>
        <w:ind w:firstLine="480" w:firstLineChars="200"/>
        <w:rPr>
          <w:rFonts w:ascii="仿宋" w:hAnsi="仿宋" w:eastAsia="仿宋" w:cs="仿宋"/>
        </w:rPr>
      </w:pPr>
      <w:r>
        <w:rPr>
          <w:rFonts w:hint="eastAsia" w:ascii="仿宋" w:hAnsi="仿宋" w:eastAsia="仿宋" w:cs="仿宋"/>
        </w:rPr>
        <w:t>为保证本技术标书所列采购货物的质量以及先进性、可靠性、经济性和实用性，要求</w:t>
      </w:r>
      <w:r>
        <w:rPr>
          <w:rFonts w:hint="eastAsia" w:ascii="仿宋" w:hAnsi="仿宋" w:eastAsia="仿宋" w:cs="仿宋"/>
          <w:lang w:eastAsia="zh-CN"/>
        </w:rPr>
        <w:t>卖方</w:t>
      </w:r>
      <w:r>
        <w:rPr>
          <w:rFonts w:hint="eastAsia" w:ascii="仿宋" w:hAnsi="仿宋" w:eastAsia="仿宋" w:cs="仿宋"/>
        </w:rPr>
        <w:t>在投标文件中，至少应具备以下资格证明文件或资料：</w:t>
      </w:r>
    </w:p>
    <w:p w14:paraId="4847A784">
      <w:pPr>
        <w:snapToGrid w:val="0"/>
        <w:spacing w:line="360" w:lineRule="auto"/>
        <w:ind w:firstLine="420" w:firstLineChars="200"/>
        <w:rPr>
          <w:rFonts w:ascii="仿宋" w:hAnsi="仿宋" w:eastAsia="仿宋" w:cs="仿宋"/>
        </w:rPr>
      </w:pPr>
      <w:r>
        <w:rPr>
          <w:rFonts w:hint="eastAsia" w:ascii="仿宋" w:hAnsi="仿宋" w:eastAsia="仿宋" w:cs="仿宋"/>
        </w:rPr>
        <w:t>1.1</w:t>
      </w:r>
      <w:r>
        <w:rPr>
          <w:rFonts w:hint="eastAsia" w:ascii="仿宋" w:hAnsi="仿宋" w:eastAsia="仿宋" w:cs="仿宋"/>
          <w:lang w:eastAsia="zh-CN"/>
        </w:rPr>
        <w:t>卖方</w:t>
      </w:r>
      <w:r>
        <w:rPr>
          <w:rFonts w:hint="eastAsia" w:ascii="仿宋" w:hAnsi="仿宋" w:eastAsia="仿宋" w:cs="仿宋"/>
        </w:rPr>
        <w:t>应是通过有关资格认证的单位，因此应附有有效期内的资格认证证书，如：ISO9001、VDA6.1、QS9000等。</w:t>
      </w:r>
    </w:p>
    <w:p w14:paraId="06EE5598">
      <w:pPr>
        <w:snapToGrid w:val="0"/>
        <w:spacing w:line="360" w:lineRule="auto"/>
        <w:ind w:firstLine="420" w:firstLineChars="200"/>
        <w:rPr>
          <w:rFonts w:ascii="仿宋" w:hAnsi="仿宋" w:eastAsia="仿宋" w:cs="仿宋"/>
        </w:rPr>
      </w:pPr>
      <w:r>
        <w:rPr>
          <w:rFonts w:hint="eastAsia" w:ascii="仿宋" w:hAnsi="仿宋" w:eastAsia="仿宋" w:cs="仿宋"/>
        </w:rPr>
        <w:t>1.2国产设备应附有采购货物（或设备）涉及的由“中国质量认证中心”颁发的《中国国家强制性产品认证证书》（CCC证书）。</w:t>
      </w:r>
    </w:p>
    <w:p w14:paraId="7DD885C7">
      <w:pPr>
        <w:snapToGrid w:val="0"/>
        <w:spacing w:line="360" w:lineRule="auto"/>
        <w:ind w:firstLine="420" w:firstLineChars="200"/>
        <w:rPr>
          <w:rFonts w:ascii="仿宋" w:hAnsi="仿宋" w:eastAsia="仿宋" w:cs="仿宋"/>
        </w:rPr>
      </w:pPr>
      <w:r>
        <w:rPr>
          <w:rFonts w:hint="eastAsia" w:ascii="仿宋" w:hAnsi="仿宋" w:eastAsia="仿宋" w:cs="仿宋"/>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w:t>
      </w:r>
      <w:r>
        <w:rPr>
          <w:rFonts w:hint="eastAsia" w:ascii="仿宋" w:hAnsi="仿宋" w:eastAsia="仿宋" w:cs="仿宋"/>
          <w:lang w:eastAsia="zh-CN"/>
        </w:rPr>
        <w:t>卖方</w:t>
      </w:r>
      <w:r>
        <w:rPr>
          <w:rFonts w:hint="eastAsia" w:ascii="仿宋" w:hAnsi="仿宋" w:eastAsia="仿宋" w:cs="仿宋"/>
        </w:rPr>
        <w:t>应当保证其业绩的真实性，否则将影响投标或中标资格。</w:t>
      </w:r>
    </w:p>
    <w:p w14:paraId="40DC53A9">
      <w:pPr>
        <w:snapToGrid w:val="0"/>
        <w:spacing w:line="360" w:lineRule="auto"/>
        <w:ind w:firstLine="420" w:firstLineChars="200"/>
        <w:rPr>
          <w:rFonts w:ascii="仿宋" w:hAnsi="仿宋" w:eastAsia="仿宋" w:cs="仿宋"/>
        </w:rPr>
      </w:pPr>
      <w:r>
        <w:rPr>
          <w:rFonts w:hint="eastAsia" w:ascii="仿宋" w:hAnsi="仿宋" w:eastAsia="仿宋" w:cs="仿宋"/>
        </w:rPr>
        <w:t>1.4应附有其它与投标单位、采购货物有关的荣誉证书或资料。</w:t>
      </w:r>
    </w:p>
    <w:p w14:paraId="7642FFED">
      <w:pPr>
        <w:snapToGrid w:val="0"/>
        <w:spacing w:line="360" w:lineRule="auto"/>
        <w:ind w:firstLine="420" w:firstLineChars="200"/>
        <w:rPr>
          <w:rFonts w:ascii="仿宋" w:hAnsi="仿宋" w:eastAsia="仿宋" w:cs="仿宋"/>
        </w:rPr>
      </w:pPr>
      <w:r>
        <w:rPr>
          <w:rFonts w:hint="eastAsia" w:ascii="仿宋" w:hAnsi="仿宋" w:eastAsia="仿宋" w:cs="仿宋"/>
        </w:rPr>
        <w:t>1.5应附有中国相关国家部委颁发的有效期之内所必需的《生产许可证》。</w:t>
      </w:r>
    </w:p>
    <w:p w14:paraId="1BE9C113">
      <w:pPr>
        <w:snapToGrid w:val="0"/>
        <w:spacing w:line="360" w:lineRule="auto"/>
        <w:ind w:firstLine="420" w:firstLineChars="200"/>
        <w:rPr>
          <w:rFonts w:ascii="仿宋" w:hAnsi="仿宋" w:eastAsia="仿宋" w:cs="仿宋"/>
        </w:rPr>
      </w:pPr>
      <w:r>
        <w:rPr>
          <w:rFonts w:hint="eastAsia" w:ascii="仿宋" w:hAnsi="仿宋" w:eastAsia="仿宋" w:cs="仿宋"/>
        </w:rPr>
        <w:t>1.6应附有必要的采购货物（或设备）的相关检验、试验报告，如：《型式试验的检验报告》、《产品鉴定证书》、《新技术成果证书》等。</w:t>
      </w:r>
    </w:p>
    <w:p w14:paraId="6A531134">
      <w:pPr>
        <w:snapToGrid w:val="0"/>
        <w:spacing w:line="360" w:lineRule="auto"/>
        <w:ind w:firstLine="420" w:firstLineChars="200"/>
        <w:rPr>
          <w:rFonts w:ascii="仿宋" w:hAnsi="仿宋" w:eastAsia="仿宋" w:cs="仿宋"/>
        </w:rPr>
      </w:pPr>
      <w:r>
        <w:rPr>
          <w:rFonts w:hint="eastAsia" w:ascii="仿宋" w:hAnsi="仿宋" w:eastAsia="仿宋" w:cs="仿宋"/>
        </w:rPr>
        <w:t>1.7</w:t>
      </w:r>
      <w:r>
        <w:rPr>
          <w:rFonts w:hint="eastAsia" w:ascii="仿宋" w:hAnsi="仿宋" w:eastAsia="仿宋" w:cs="仿宋"/>
          <w:lang w:eastAsia="zh-CN"/>
        </w:rPr>
        <w:t>卖方</w:t>
      </w:r>
      <w:r>
        <w:rPr>
          <w:rFonts w:hint="eastAsia" w:ascii="仿宋" w:hAnsi="仿宋" w:eastAsia="仿宋" w:cs="仿宋"/>
        </w:rPr>
        <w:t>必须附有采购货物（或设备）涉及国家规定必须进行的检验、试验报告等。</w:t>
      </w:r>
    </w:p>
    <w:p w14:paraId="738912B0">
      <w:pPr>
        <w:snapToGrid w:val="0"/>
        <w:spacing w:line="360" w:lineRule="auto"/>
        <w:ind w:firstLine="420" w:firstLineChars="200"/>
        <w:rPr>
          <w:rFonts w:ascii="仿宋" w:hAnsi="仿宋" w:eastAsia="仿宋" w:cs="仿宋"/>
        </w:rPr>
      </w:pPr>
      <w:r>
        <w:rPr>
          <w:rFonts w:hint="eastAsia" w:ascii="仿宋" w:hAnsi="仿宋" w:eastAsia="仿宋" w:cs="仿宋"/>
        </w:rPr>
        <w:t>1.8可附有</w:t>
      </w:r>
      <w:r>
        <w:rPr>
          <w:rFonts w:hint="eastAsia" w:ascii="仿宋" w:hAnsi="仿宋" w:eastAsia="仿宋" w:cs="仿宋"/>
          <w:lang w:eastAsia="zh-CN"/>
        </w:rPr>
        <w:t>卖方</w:t>
      </w:r>
      <w:r>
        <w:rPr>
          <w:rFonts w:hint="eastAsia" w:ascii="仿宋" w:hAnsi="仿宋" w:eastAsia="仿宋" w:cs="仿宋"/>
        </w:rPr>
        <w:t>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0D72F19C">
      <w:pPr>
        <w:snapToGrid w:val="0"/>
        <w:spacing w:line="360" w:lineRule="auto"/>
        <w:ind w:left="480"/>
        <w:outlineLvl w:val="1"/>
        <w:rPr>
          <w:rFonts w:ascii="仿宋" w:hAnsi="仿宋" w:eastAsia="仿宋" w:cs="仿宋"/>
          <w:b/>
          <w:bCs/>
        </w:rPr>
      </w:pPr>
      <w:bookmarkStart w:id="1119" w:name="_Toc3658"/>
      <w:bookmarkStart w:id="1120" w:name="_Toc73112429"/>
      <w:bookmarkStart w:id="1121" w:name="_Toc335"/>
      <w:bookmarkStart w:id="1122" w:name="_Toc3821"/>
      <w:bookmarkStart w:id="1123" w:name="_Toc28700"/>
      <w:bookmarkStart w:id="1124" w:name="_Toc26307"/>
      <w:bookmarkStart w:id="1125" w:name="_Toc3323"/>
      <w:bookmarkStart w:id="1126" w:name="_Toc1823"/>
      <w:bookmarkStart w:id="1127" w:name="_Toc28559"/>
      <w:bookmarkStart w:id="1128" w:name="_Toc27164"/>
      <w:bookmarkStart w:id="1129" w:name="_Toc29233"/>
      <w:bookmarkStart w:id="1130" w:name="_Toc13497"/>
      <w:bookmarkStart w:id="1131" w:name="_Toc26626"/>
      <w:bookmarkStart w:id="1132" w:name="_Toc29954"/>
      <w:bookmarkStart w:id="1133" w:name="_Toc8864"/>
      <w:bookmarkStart w:id="1134" w:name="_Toc22763"/>
      <w:bookmarkStart w:id="1135" w:name="_Toc28380"/>
      <w:bookmarkStart w:id="1136" w:name="_Toc4278"/>
      <w:bookmarkStart w:id="1137" w:name="_Toc24176"/>
      <w:bookmarkStart w:id="1138" w:name="_Toc26724"/>
      <w:bookmarkStart w:id="1139" w:name="_Toc22893"/>
      <w:bookmarkStart w:id="1140" w:name="_Toc5504"/>
      <w:bookmarkStart w:id="1141" w:name="_Toc13528"/>
      <w:bookmarkStart w:id="1142" w:name="_Toc20370"/>
      <w:bookmarkStart w:id="1143" w:name="_Toc20830"/>
      <w:bookmarkStart w:id="1144" w:name="_Toc31389"/>
      <w:bookmarkStart w:id="1145" w:name="_Toc11707"/>
      <w:bookmarkStart w:id="1146" w:name="_Toc18370"/>
      <w:bookmarkStart w:id="1147" w:name="_Toc11255"/>
      <w:bookmarkStart w:id="1148" w:name="_Toc25498"/>
      <w:bookmarkStart w:id="1149" w:name="_Toc25028"/>
      <w:bookmarkStart w:id="1150" w:name="_Toc16457"/>
      <w:bookmarkStart w:id="1151" w:name="_Toc21942"/>
      <w:bookmarkStart w:id="1152" w:name="_Toc19315"/>
      <w:bookmarkStart w:id="1153" w:name="_Toc28267"/>
      <w:bookmarkStart w:id="1154" w:name="_Toc18745"/>
      <w:bookmarkStart w:id="1155" w:name="_Toc14956"/>
      <w:bookmarkStart w:id="1156" w:name="_Toc14052"/>
      <w:bookmarkStart w:id="1157" w:name="_Toc18674"/>
      <w:bookmarkStart w:id="1158" w:name="_Toc28718"/>
      <w:bookmarkStart w:id="1159" w:name="_Toc24482"/>
      <w:bookmarkStart w:id="1160" w:name="_Toc27894"/>
      <w:bookmarkStart w:id="1161" w:name="_Toc4243"/>
      <w:r>
        <w:rPr>
          <w:rFonts w:hint="eastAsia" w:ascii="仿宋" w:hAnsi="仿宋" w:eastAsia="仿宋" w:cs="仿宋"/>
          <w:b/>
          <w:bCs/>
        </w:rPr>
        <w:t>2说明</w:t>
      </w:r>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p>
    <w:p w14:paraId="743495A4">
      <w:pPr>
        <w:snapToGrid w:val="0"/>
        <w:spacing w:line="360" w:lineRule="auto"/>
        <w:ind w:firstLine="420" w:firstLineChars="200"/>
        <w:rPr>
          <w:rFonts w:ascii="仿宋" w:hAnsi="仿宋" w:eastAsia="仿宋" w:cs="仿宋"/>
        </w:rPr>
      </w:pPr>
      <w:r>
        <w:rPr>
          <w:rFonts w:hint="eastAsia" w:ascii="仿宋" w:hAnsi="仿宋" w:eastAsia="仿宋" w:cs="仿宋"/>
        </w:rPr>
        <w:t>2.1</w:t>
      </w:r>
      <w:r>
        <w:rPr>
          <w:rFonts w:hint="eastAsia" w:ascii="仿宋" w:hAnsi="仿宋" w:eastAsia="仿宋" w:cs="仿宋"/>
          <w:lang w:eastAsia="zh-CN"/>
        </w:rPr>
        <w:t>卖方</w:t>
      </w:r>
      <w:r>
        <w:rPr>
          <w:rFonts w:hint="eastAsia" w:ascii="仿宋" w:hAnsi="仿宋" w:eastAsia="仿宋" w:cs="仿宋"/>
        </w:rPr>
        <w:t>可以根据自身的技术、经验等优势以及对招标文件和本技术标书的理解，写明对</w:t>
      </w:r>
      <w:r>
        <w:rPr>
          <w:rFonts w:hint="eastAsia" w:ascii="仿宋" w:hAnsi="仿宋" w:eastAsia="仿宋" w:cs="仿宋"/>
          <w:lang w:eastAsia="zh-CN"/>
        </w:rPr>
        <w:t>买方</w:t>
      </w:r>
      <w:r>
        <w:rPr>
          <w:rFonts w:hint="eastAsia" w:ascii="仿宋" w:hAnsi="仿宋" w:eastAsia="仿宋" w:cs="仿宋"/>
        </w:rPr>
        <w:t>所采购货物的优化方案或建议意见。</w:t>
      </w:r>
      <w:r>
        <w:rPr>
          <w:rFonts w:hint="eastAsia" w:ascii="仿宋" w:hAnsi="仿宋" w:eastAsia="仿宋" w:cs="仿宋"/>
          <w:lang w:eastAsia="zh-CN"/>
        </w:rPr>
        <w:t>卖方</w:t>
      </w:r>
      <w:r>
        <w:rPr>
          <w:rFonts w:hint="eastAsia" w:ascii="仿宋" w:hAnsi="仿宋" w:eastAsia="仿宋" w:cs="仿宋"/>
        </w:rPr>
        <w:t>的这些努力，</w:t>
      </w:r>
      <w:r>
        <w:rPr>
          <w:rFonts w:hint="eastAsia" w:ascii="仿宋" w:hAnsi="仿宋" w:eastAsia="仿宋" w:cs="仿宋"/>
          <w:lang w:eastAsia="zh-CN"/>
        </w:rPr>
        <w:t>买方</w:t>
      </w:r>
      <w:r>
        <w:rPr>
          <w:rFonts w:hint="eastAsia" w:ascii="仿宋" w:hAnsi="仿宋" w:eastAsia="仿宋" w:cs="仿宋"/>
        </w:rPr>
        <w:t>表示感谢，并将有助于</w:t>
      </w:r>
      <w:r>
        <w:rPr>
          <w:rFonts w:hint="eastAsia" w:ascii="仿宋" w:hAnsi="仿宋" w:eastAsia="仿宋" w:cs="仿宋"/>
          <w:lang w:eastAsia="zh-CN"/>
        </w:rPr>
        <w:t>卖方</w:t>
      </w:r>
      <w:r>
        <w:rPr>
          <w:rFonts w:hint="eastAsia" w:ascii="仿宋" w:hAnsi="仿宋" w:eastAsia="仿宋" w:cs="仿宋"/>
        </w:rPr>
        <w:t>优先胜出。</w:t>
      </w:r>
    </w:p>
    <w:p w14:paraId="25BC3DA2">
      <w:pPr>
        <w:snapToGrid w:val="0"/>
        <w:spacing w:line="360" w:lineRule="auto"/>
        <w:ind w:firstLine="420" w:firstLineChars="200"/>
        <w:rPr>
          <w:rFonts w:ascii="仿宋" w:hAnsi="仿宋" w:eastAsia="仿宋" w:cs="仿宋"/>
        </w:rPr>
      </w:pPr>
      <w:r>
        <w:rPr>
          <w:rFonts w:hint="eastAsia" w:ascii="仿宋" w:hAnsi="仿宋" w:eastAsia="仿宋" w:cs="仿宋"/>
        </w:rPr>
        <w:t>2.2即使有建议意见或建议方案，仍应依据招标文件和本技术标书要求，编写符合要求的投标文件。建议方案或建议意见，应以单独篇章或文件，予以说明。</w:t>
      </w:r>
    </w:p>
    <w:p w14:paraId="178E9646">
      <w:pPr>
        <w:snapToGrid w:val="0"/>
        <w:spacing w:line="360" w:lineRule="auto"/>
        <w:ind w:firstLine="420" w:firstLineChars="200"/>
        <w:rPr>
          <w:rFonts w:ascii="仿宋" w:hAnsi="仿宋" w:eastAsia="仿宋" w:cs="仿宋"/>
        </w:rPr>
      </w:pPr>
      <w:r>
        <w:rPr>
          <w:rFonts w:hint="eastAsia" w:ascii="仿宋" w:hAnsi="仿宋" w:eastAsia="仿宋" w:cs="仿宋"/>
        </w:rPr>
        <w:t>2.3请</w:t>
      </w:r>
      <w:r>
        <w:rPr>
          <w:rFonts w:hint="eastAsia" w:ascii="仿宋" w:hAnsi="仿宋" w:eastAsia="仿宋" w:cs="仿宋"/>
          <w:lang w:eastAsia="zh-CN"/>
        </w:rPr>
        <w:t>卖方</w:t>
      </w:r>
      <w:r>
        <w:rPr>
          <w:rFonts w:hint="eastAsia" w:ascii="仿宋" w:hAnsi="仿宋" w:eastAsia="仿宋" w:cs="仿宋"/>
        </w:rPr>
        <w:t>仔细阅读“采购货物概况”章节内说明，针对允许分投分中的货物，</w:t>
      </w:r>
      <w:r>
        <w:rPr>
          <w:rFonts w:hint="eastAsia" w:ascii="仿宋" w:hAnsi="仿宋" w:eastAsia="仿宋" w:cs="仿宋"/>
          <w:lang w:eastAsia="zh-CN"/>
        </w:rPr>
        <w:t>买方</w:t>
      </w:r>
      <w:r>
        <w:rPr>
          <w:rFonts w:hint="eastAsia" w:ascii="仿宋" w:hAnsi="仿宋" w:eastAsia="仿宋" w:cs="仿宋"/>
        </w:rPr>
        <w:t>有权利选择其中优秀设备或服务，作为</w:t>
      </w:r>
      <w:r>
        <w:rPr>
          <w:rFonts w:hint="eastAsia" w:ascii="仿宋" w:hAnsi="仿宋" w:eastAsia="仿宋" w:cs="仿宋"/>
          <w:lang w:eastAsia="zh-CN"/>
        </w:rPr>
        <w:t>卖方</w:t>
      </w:r>
      <w:r>
        <w:rPr>
          <w:rFonts w:hint="eastAsia" w:ascii="仿宋" w:hAnsi="仿宋" w:eastAsia="仿宋" w:cs="仿宋"/>
        </w:rPr>
        <w:t>合同供货范围中的指定选用设备或服务（替代</w:t>
      </w:r>
      <w:r>
        <w:rPr>
          <w:rFonts w:hint="eastAsia" w:ascii="仿宋" w:hAnsi="仿宋" w:eastAsia="仿宋" w:cs="仿宋"/>
          <w:lang w:eastAsia="zh-CN"/>
        </w:rPr>
        <w:t>卖方</w:t>
      </w:r>
      <w:r>
        <w:rPr>
          <w:rFonts w:hint="eastAsia" w:ascii="仿宋" w:hAnsi="仿宋" w:eastAsia="仿宋" w:cs="仿宋"/>
        </w:rPr>
        <w:t>分投而未中标部分）。</w:t>
      </w:r>
    </w:p>
    <w:p w14:paraId="640FEF42">
      <w:pPr>
        <w:snapToGrid w:val="0"/>
        <w:spacing w:line="360" w:lineRule="auto"/>
        <w:ind w:firstLine="420" w:firstLineChars="200"/>
        <w:rPr>
          <w:rFonts w:ascii="仿宋" w:hAnsi="仿宋" w:eastAsia="仿宋" w:cs="仿宋"/>
        </w:rPr>
      </w:pPr>
      <w:r>
        <w:rPr>
          <w:rFonts w:hint="eastAsia" w:ascii="仿宋" w:hAnsi="仿宋" w:eastAsia="仿宋" w:cs="仿宋"/>
        </w:rPr>
        <w:t>2.4招标文件、投标文件、答疑文件、技术交流文件、技术协议书等，在招标过程全部为有效文件，如有差异，以对</w:t>
      </w:r>
      <w:r>
        <w:rPr>
          <w:rFonts w:hint="eastAsia" w:ascii="仿宋" w:hAnsi="仿宋" w:eastAsia="仿宋" w:cs="仿宋"/>
          <w:lang w:eastAsia="zh-CN"/>
        </w:rPr>
        <w:t>买方</w:t>
      </w:r>
      <w:r>
        <w:rPr>
          <w:rFonts w:hint="eastAsia" w:ascii="仿宋" w:hAnsi="仿宋" w:eastAsia="仿宋" w:cs="仿宋"/>
        </w:rPr>
        <w:t>或买方最有利的条款为准。</w:t>
      </w:r>
    </w:p>
    <w:p w14:paraId="43B3AC23">
      <w:pPr>
        <w:snapToGrid w:val="0"/>
        <w:spacing w:line="360" w:lineRule="auto"/>
        <w:ind w:firstLine="420" w:firstLineChars="200"/>
        <w:rPr>
          <w:rFonts w:ascii="仿宋" w:hAnsi="仿宋" w:eastAsia="仿宋" w:cs="仿宋"/>
          <w:b/>
          <w:bCs/>
        </w:rPr>
      </w:pPr>
      <w:r>
        <w:rPr>
          <w:rFonts w:hint="eastAsia" w:ascii="仿宋" w:hAnsi="仿宋" w:eastAsia="仿宋" w:cs="仿宋"/>
        </w:rPr>
        <w:t>2.5本技术标书在“预验收和终验收”章节所列的</w:t>
      </w:r>
      <w:r>
        <w:rPr>
          <w:rFonts w:hint="eastAsia" w:ascii="仿宋" w:hAnsi="仿宋" w:eastAsia="仿宋" w:cs="仿宋"/>
          <w:lang w:eastAsia="zh-CN"/>
        </w:rPr>
        <w:t>买方</w:t>
      </w:r>
      <w:r>
        <w:rPr>
          <w:rFonts w:hint="eastAsia" w:ascii="仿宋" w:hAnsi="仿宋" w:eastAsia="仿宋" w:cs="仿宋"/>
        </w:rPr>
        <w:t>在合同签署后将成为买方，中标的</w:t>
      </w:r>
      <w:r>
        <w:rPr>
          <w:rFonts w:hint="eastAsia" w:ascii="仿宋" w:hAnsi="仿宋" w:eastAsia="仿宋" w:cs="仿宋"/>
          <w:lang w:eastAsia="zh-CN"/>
        </w:rPr>
        <w:t>卖方</w:t>
      </w:r>
      <w:r>
        <w:rPr>
          <w:rFonts w:hint="eastAsia" w:ascii="仿宋" w:hAnsi="仿宋" w:eastAsia="仿宋" w:cs="仿宋"/>
        </w:rPr>
        <w:t>将成为卖方；为避免歧异，本技术标书在“预验收和终验收”之外的其它章节，均将潜在的卖方称为</w:t>
      </w:r>
      <w:r>
        <w:rPr>
          <w:rFonts w:hint="eastAsia" w:ascii="仿宋" w:hAnsi="仿宋" w:eastAsia="仿宋" w:cs="仿宋"/>
          <w:lang w:eastAsia="zh-CN"/>
        </w:rPr>
        <w:t>卖方</w:t>
      </w:r>
      <w:r>
        <w:rPr>
          <w:rFonts w:hint="eastAsia" w:ascii="仿宋" w:hAnsi="仿宋" w:eastAsia="仿宋" w:cs="仿宋"/>
        </w:rPr>
        <w:t>、将买方称为</w:t>
      </w:r>
      <w:r>
        <w:rPr>
          <w:rFonts w:hint="eastAsia" w:ascii="仿宋" w:hAnsi="仿宋" w:eastAsia="仿宋" w:cs="仿宋"/>
          <w:lang w:eastAsia="zh-CN"/>
        </w:rPr>
        <w:t>买方</w:t>
      </w:r>
      <w:r>
        <w:rPr>
          <w:rFonts w:hint="eastAsia" w:ascii="仿宋" w:hAnsi="仿宋" w:eastAsia="仿宋" w:cs="仿宋"/>
        </w:rPr>
        <w:t>。</w:t>
      </w: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4"/>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1162" w:name="_Toc353881012"/>
      <w:bookmarkStart w:id="1163" w:name="_Toc212369550"/>
      <w:bookmarkStart w:id="1164" w:name="_Toc639004"/>
      <w:r>
        <w:rPr>
          <w:rFonts w:hint="default" w:ascii="Times New Roman" w:hAnsi="Times New Roman" w:eastAsia="宋体" w:cs="Times New Roman"/>
          <w:b/>
          <w:bCs/>
          <w:color w:val="000000"/>
          <w:sz w:val="24"/>
          <w:szCs w:val="24"/>
        </w:rPr>
        <w:t xml:space="preserve"> 投标函</w:t>
      </w:r>
      <w:bookmarkEnd w:id="1162"/>
      <w:bookmarkEnd w:id="1163"/>
      <w:bookmarkEnd w:id="1164"/>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中国重汽集团济南动力有限公司</w:t>
      </w:r>
      <w:r>
        <w:rPr>
          <w:rFonts w:hint="default" w:ascii="Times New Roman" w:hAnsi="Times New Roman" w:eastAsia="宋体" w:cs="Times New Roman"/>
          <w:color w:val="000000"/>
          <w:sz w:val="24"/>
          <w:szCs w:val="24"/>
        </w:rPr>
        <w:t>：</w:t>
      </w:r>
    </w:p>
    <w:p w14:paraId="3FCE183F">
      <w:pPr>
        <w:pStyle w:val="19"/>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cs="Times New Roman"/>
          <w:b/>
          <w:bCs/>
          <w:color w:val="000000"/>
          <w:sz w:val="24"/>
          <w:szCs w:val="24"/>
          <w:u w:val="single"/>
          <w:lang w:val="en-US" w:eastAsia="zh-CN"/>
        </w:rPr>
        <w:t>济南成型厂核心机房UPS设备更新项目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24"/>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1"/>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1"/>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1"/>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1"/>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1"/>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1"/>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1"/>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1"/>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1"/>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1"/>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1"/>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1"/>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1"/>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24"/>
        <w:rPr>
          <w:rFonts w:hint="default" w:ascii="Times New Roman" w:hAnsi="Times New Roman" w:eastAsia="宋体" w:cs="Times New Roman"/>
          <w:b/>
          <w:bCs/>
          <w:color w:val="000000"/>
          <w:sz w:val="24"/>
          <w:szCs w:val="24"/>
        </w:rPr>
      </w:pPr>
    </w:p>
    <w:p w14:paraId="4E360575">
      <w:pPr>
        <w:pStyle w:val="24"/>
        <w:rPr>
          <w:rFonts w:hint="default" w:ascii="Times New Roman" w:hAnsi="Times New Roman" w:eastAsia="宋体" w:cs="Times New Roman"/>
          <w:b/>
          <w:bCs/>
          <w:color w:val="000000"/>
          <w:sz w:val="24"/>
          <w:szCs w:val="24"/>
        </w:rPr>
      </w:pPr>
    </w:p>
    <w:p w14:paraId="18B28C34">
      <w:pPr>
        <w:pStyle w:val="24"/>
        <w:rPr>
          <w:rFonts w:hint="default" w:ascii="Times New Roman" w:hAnsi="Times New Roman" w:eastAsia="宋体" w:cs="Times New Roman"/>
          <w:b/>
          <w:bCs/>
          <w:color w:val="000000"/>
          <w:sz w:val="24"/>
          <w:szCs w:val="24"/>
        </w:rPr>
      </w:pPr>
    </w:p>
    <w:p w14:paraId="59B9FA63">
      <w:pPr>
        <w:pStyle w:val="24"/>
        <w:rPr>
          <w:rFonts w:hint="default" w:ascii="Times New Roman" w:hAnsi="Times New Roman" w:eastAsia="宋体" w:cs="Times New Roman"/>
          <w:b/>
          <w:bCs/>
          <w:color w:val="000000"/>
          <w:sz w:val="24"/>
          <w:szCs w:val="24"/>
        </w:rPr>
      </w:pPr>
    </w:p>
    <w:p w14:paraId="70E33259">
      <w:pPr>
        <w:pStyle w:val="24"/>
        <w:rPr>
          <w:rFonts w:hint="default" w:ascii="Times New Roman" w:hAnsi="Times New Roman" w:eastAsia="宋体" w:cs="Times New Roman"/>
          <w:b/>
          <w:bCs/>
          <w:color w:val="000000"/>
          <w:sz w:val="24"/>
          <w:szCs w:val="24"/>
        </w:rPr>
      </w:pPr>
    </w:p>
    <w:p w14:paraId="37B23B42">
      <w:pPr>
        <w:pStyle w:val="24"/>
        <w:rPr>
          <w:rFonts w:hint="default" w:ascii="Times New Roman" w:hAnsi="Times New Roman" w:eastAsia="宋体" w:cs="Times New Roman"/>
          <w:b/>
          <w:bCs/>
          <w:color w:val="000000"/>
          <w:sz w:val="24"/>
          <w:szCs w:val="24"/>
        </w:rPr>
      </w:pPr>
    </w:p>
    <w:p w14:paraId="77D15F41">
      <w:pPr>
        <w:pStyle w:val="24"/>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48"/>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272557E">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附件5 技术规格偏离表</w:t>
      </w:r>
    </w:p>
    <w:p w14:paraId="4E7E7D5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color w:val="000000"/>
          <w:sz w:val="24"/>
          <w:szCs w:val="24"/>
        </w:rPr>
        <w:t xml:space="preserve"> </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BFCF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BA4AC7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2E8317F4">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2632209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30599210">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7B7D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01F384C">
            <w:pPr>
              <w:jc w:val="center"/>
              <w:rPr>
                <w:rFonts w:hint="default" w:ascii="Times New Roman" w:hAnsi="Times New Roman" w:eastAsia="宋体" w:cs="Times New Roman"/>
                <w:b/>
                <w:sz w:val="24"/>
                <w:szCs w:val="20"/>
              </w:rPr>
            </w:pPr>
          </w:p>
        </w:tc>
        <w:tc>
          <w:tcPr>
            <w:tcW w:w="3449" w:type="dxa"/>
          </w:tcPr>
          <w:p w14:paraId="4FA51788">
            <w:pPr>
              <w:jc w:val="center"/>
              <w:rPr>
                <w:rFonts w:hint="default" w:ascii="Times New Roman" w:hAnsi="Times New Roman" w:eastAsia="宋体" w:cs="Times New Roman"/>
                <w:b/>
                <w:sz w:val="24"/>
                <w:szCs w:val="20"/>
              </w:rPr>
            </w:pPr>
          </w:p>
        </w:tc>
        <w:tc>
          <w:tcPr>
            <w:tcW w:w="2414" w:type="dxa"/>
          </w:tcPr>
          <w:p w14:paraId="561ED269">
            <w:pPr>
              <w:jc w:val="center"/>
              <w:rPr>
                <w:rFonts w:hint="default" w:ascii="Times New Roman" w:hAnsi="Times New Roman" w:eastAsia="宋体" w:cs="Times New Roman"/>
                <w:b/>
                <w:sz w:val="24"/>
                <w:szCs w:val="20"/>
              </w:rPr>
            </w:pPr>
          </w:p>
        </w:tc>
        <w:tc>
          <w:tcPr>
            <w:tcW w:w="1608" w:type="dxa"/>
          </w:tcPr>
          <w:p w14:paraId="1B7F3D04">
            <w:pPr>
              <w:jc w:val="center"/>
              <w:rPr>
                <w:rFonts w:hint="default" w:ascii="Times New Roman" w:hAnsi="Times New Roman" w:eastAsia="宋体" w:cs="Times New Roman"/>
                <w:b/>
                <w:sz w:val="24"/>
                <w:szCs w:val="20"/>
              </w:rPr>
            </w:pPr>
          </w:p>
        </w:tc>
      </w:tr>
      <w:tr w14:paraId="361C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BA34B9D">
            <w:pPr>
              <w:jc w:val="center"/>
              <w:rPr>
                <w:rFonts w:hint="default" w:ascii="Times New Roman" w:hAnsi="Times New Roman" w:eastAsia="宋体" w:cs="Times New Roman"/>
                <w:b/>
                <w:sz w:val="24"/>
                <w:szCs w:val="20"/>
              </w:rPr>
            </w:pPr>
          </w:p>
        </w:tc>
        <w:tc>
          <w:tcPr>
            <w:tcW w:w="3449" w:type="dxa"/>
          </w:tcPr>
          <w:p w14:paraId="73DF06EE">
            <w:pPr>
              <w:jc w:val="center"/>
              <w:rPr>
                <w:rFonts w:hint="default" w:ascii="Times New Roman" w:hAnsi="Times New Roman" w:eastAsia="宋体" w:cs="Times New Roman"/>
                <w:b/>
                <w:sz w:val="24"/>
                <w:szCs w:val="20"/>
              </w:rPr>
            </w:pPr>
          </w:p>
        </w:tc>
        <w:tc>
          <w:tcPr>
            <w:tcW w:w="2414" w:type="dxa"/>
          </w:tcPr>
          <w:p w14:paraId="397A31E1">
            <w:pPr>
              <w:jc w:val="center"/>
              <w:rPr>
                <w:rFonts w:hint="default" w:ascii="Times New Roman" w:hAnsi="Times New Roman" w:eastAsia="宋体" w:cs="Times New Roman"/>
                <w:b/>
                <w:sz w:val="24"/>
                <w:szCs w:val="20"/>
              </w:rPr>
            </w:pPr>
          </w:p>
        </w:tc>
        <w:tc>
          <w:tcPr>
            <w:tcW w:w="1608" w:type="dxa"/>
          </w:tcPr>
          <w:p w14:paraId="3F1AD132">
            <w:pPr>
              <w:jc w:val="center"/>
              <w:rPr>
                <w:rFonts w:hint="default" w:ascii="Times New Roman" w:hAnsi="Times New Roman" w:eastAsia="宋体" w:cs="Times New Roman"/>
                <w:b/>
                <w:sz w:val="24"/>
                <w:szCs w:val="20"/>
              </w:rPr>
            </w:pPr>
          </w:p>
        </w:tc>
      </w:tr>
      <w:tr w14:paraId="5955D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D90E34">
            <w:pPr>
              <w:jc w:val="center"/>
              <w:rPr>
                <w:rFonts w:hint="default" w:ascii="Times New Roman" w:hAnsi="Times New Roman" w:eastAsia="宋体" w:cs="Times New Roman"/>
                <w:b/>
                <w:sz w:val="24"/>
                <w:szCs w:val="20"/>
              </w:rPr>
            </w:pPr>
          </w:p>
        </w:tc>
        <w:tc>
          <w:tcPr>
            <w:tcW w:w="3449" w:type="dxa"/>
          </w:tcPr>
          <w:p w14:paraId="75827AD0">
            <w:pPr>
              <w:jc w:val="center"/>
              <w:rPr>
                <w:rFonts w:hint="default" w:ascii="Times New Roman" w:hAnsi="Times New Roman" w:eastAsia="宋体" w:cs="Times New Roman"/>
                <w:b/>
                <w:sz w:val="24"/>
                <w:szCs w:val="20"/>
              </w:rPr>
            </w:pPr>
          </w:p>
        </w:tc>
        <w:tc>
          <w:tcPr>
            <w:tcW w:w="2414" w:type="dxa"/>
          </w:tcPr>
          <w:p w14:paraId="30FC4F72">
            <w:pPr>
              <w:jc w:val="center"/>
              <w:rPr>
                <w:rFonts w:hint="default" w:ascii="Times New Roman" w:hAnsi="Times New Roman" w:eastAsia="宋体" w:cs="Times New Roman"/>
                <w:b/>
                <w:sz w:val="24"/>
                <w:szCs w:val="20"/>
              </w:rPr>
            </w:pPr>
          </w:p>
        </w:tc>
        <w:tc>
          <w:tcPr>
            <w:tcW w:w="1608" w:type="dxa"/>
          </w:tcPr>
          <w:p w14:paraId="14FBB863">
            <w:pPr>
              <w:jc w:val="center"/>
              <w:rPr>
                <w:rFonts w:hint="default" w:ascii="Times New Roman" w:hAnsi="Times New Roman" w:eastAsia="宋体" w:cs="Times New Roman"/>
                <w:b/>
                <w:sz w:val="24"/>
                <w:szCs w:val="20"/>
              </w:rPr>
            </w:pPr>
          </w:p>
        </w:tc>
      </w:tr>
      <w:tr w14:paraId="7AA97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BECE7C9">
            <w:pPr>
              <w:jc w:val="center"/>
              <w:rPr>
                <w:rFonts w:hint="default" w:ascii="Times New Roman" w:hAnsi="Times New Roman" w:eastAsia="宋体" w:cs="Times New Roman"/>
                <w:b/>
                <w:sz w:val="24"/>
                <w:szCs w:val="20"/>
              </w:rPr>
            </w:pPr>
          </w:p>
        </w:tc>
        <w:tc>
          <w:tcPr>
            <w:tcW w:w="3449" w:type="dxa"/>
          </w:tcPr>
          <w:p w14:paraId="44D15E30">
            <w:pPr>
              <w:jc w:val="center"/>
              <w:rPr>
                <w:rFonts w:hint="default" w:ascii="Times New Roman" w:hAnsi="Times New Roman" w:eastAsia="宋体" w:cs="Times New Roman"/>
                <w:b/>
                <w:sz w:val="24"/>
                <w:szCs w:val="20"/>
              </w:rPr>
            </w:pPr>
          </w:p>
        </w:tc>
        <w:tc>
          <w:tcPr>
            <w:tcW w:w="2414" w:type="dxa"/>
          </w:tcPr>
          <w:p w14:paraId="4231A2BB">
            <w:pPr>
              <w:jc w:val="center"/>
              <w:rPr>
                <w:rFonts w:hint="default" w:ascii="Times New Roman" w:hAnsi="Times New Roman" w:eastAsia="宋体" w:cs="Times New Roman"/>
                <w:b/>
                <w:sz w:val="24"/>
                <w:szCs w:val="20"/>
              </w:rPr>
            </w:pPr>
          </w:p>
        </w:tc>
        <w:tc>
          <w:tcPr>
            <w:tcW w:w="1608" w:type="dxa"/>
          </w:tcPr>
          <w:p w14:paraId="56E0048A">
            <w:pPr>
              <w:jc w:val="center"/>
              <w:rPr>
                <w:rFonts w:hint="default" w:ascii="Times New Roman" w:hAnsi="Times New Roman" w:eastAsia="宋体" w:cs="Times New Roman"/>
                <w:b/>
                <w:sz w:val="24"/>
                <w:szCs w:val="20"/>
              </w:rPr>
            </w:pPr>
          </w:p>
        </w:tc>
      </w:tr>
      <w:tr w14:paraId="2A789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336A1F">
            <w:pPr>
              <w:jc w:val="center"/>
              <w:rPr>
                <w:rFonts w:hint="default" w:ascii="Times New Roman" w:hAnsi="Times New Roman" w:eastAsia="宋体" w:cs="Times New Roman"/>
                <w:b/>
                <w:sz w:val="24"/>
                <w:szCs w:val="20"/>
              </w:rPr>
            </w:pPr>
          </w:p>
        </w:tc>
        <w:tc>
          <w:tcPr>
            <w:tcW w:w="3449" w:type="dxa"/>
          </w:tcPr>
          <w:p w14:paraId="2F997DB2">
            <w:pPr>
              <w:jc w:val="center"/>
              <w:rPr>
                <w:rFonts w:hint="default" w:ascii="Times New Roman" w:hAnsi="Times New Roman" w:eastAsia="宋体" w:cs="Times New Roman"/>
                <w:b/>
                <w:sz w:val="24"/>
                <w:szCs w:val="20"/>
              </w:rPr>
            </w:pPr>
          </w:p>
        </w:tc>
        <w:tc>
          <w:tcPr>
            <w:tcW w:w="2414" w:type="dxa"/>
          </w:tcPr>
          <w:p w14:paraId="3E15668C">
            <w:pPr>
              <w:jc w:val="center"/>
              <w:rPr>
                <w:rFonts w:hint="default" w:ascii="Times New Roman" w:hAnsi="Times New Roman" w:eastAsia="宋体" w:cs="Times New Roman"/>
                <w:b/>
                <w:sz w:val="24"/>
                <w:szCs w:val="20"/>
              </w:rPr>
            </w:pPr>
          </w:p>
        </w:tc>
        <w:tc>
          <w:tcPr>
            <w:tcW w:w="1608" w:type="dxa"/>
          </w:tcPr>
          <w:p w14:paraId="238FA0C8">
            <w:pPr>
              <w:jc w:val="center"/>
              <w:rPr>
                <w:rFonts w:hint="default" w:ascii="Times New Roman" w:hAnsi="Times New Roman" w:eastAsia="宋体" w:cs="Times New Roman"/>
                <w:b/>
                <w:sz w:val="24"/>
                <w:szCs w:val="20"/>
              </w:rPr>
            </w:pPr>
          </w:p>
        </w:tc>
      </w:tr>
      <w:tr w14:paraId="6B98E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B8E72A">
            <w:pPr>
              <w:jc w:val="center"/>
              <w:rPr>
                <w:rFonts w:hint="default" w:ascii="Times New Roman" w:hAnsi="Times New Roman" w:eastAsia="宋体" w:cs="Times New Roman"/>
                <w:b/>
                <w:sz w:val="24"/>
                <w:szCs w:val="20"/>
              </w:rPr>
            </w:pPr>
          </w:p>
        </w:tc>
        <w:tc>
          <w:tcPr>
            <w:tcW w:w="3449" w:type="dxa"/>
          </w:tcPr>
          <w:p w14:paraId="5B8584BD">
            <w:pPr>
              <w:jc w:val="center"/>
              <w:rPr>
                <w:rFonts w:hint="default" w:ascii="Times New Roman" w:hAnsi="Times New Roman" w:eastAsia="宋体" w:cs="Times New Roman"/>
                <w:b/>
                <w:sz w:val="24"/>
                <w:szCs w:val="20"/>
              </w:rPr>
            </w:pPr>
          </w:p>
        </w:tc>
        <w:tc>
          <w:tcPr>
            <w:tcW w:w="2414" w:type="dxa"/>
          </w:tcPr>
          <w:p w14:paraId="28BD82A1">
            <w:pPr>
              <w:jc w:val="center"/>
              <w:rPr>
                <w:rFonts w:hint="default" w:ascii="Times New Roman" w:hAnsi="Times New Roman" w:eastAsia="宋体" w:cs="Times New Roman"/>
                <w:b/>
                <w:sz w:val="24"/>
                <w:szCs w:val="20"/>
              </w:rPr>
            </w:pPr>
          </w:p>
        </w:tc>
        <w:tc>
          <w:tcPr>
            <w:tcW w:w="1608" w:type="dxa"/>
          </w:tcPr>
          <w:p w14:paraId="301986B5">
            <w:pPr>
              <w:jc w:val="center"/>
              <w:rPr>
                <w:rFonts w:hint="default" w:ascii="Times New Roman" w:hAnsi="Times New Roman" w:eastAsia="宋体" w:cs="Times New Roman"/>
                <w:b/>
                <w:sz w:val="24"/>
                <w:szCs w:val="20"/>
              </w:rPr>
            </w:pPr>
          </w:p>
        </w:tc>
      </w:tr>
      <w:tr w14:paraId="55F9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BE81D8">
            <w:pPr>
              <w:jc w:val="center"/>
              <w:rPr>
                <w:rFonts w:hint="default" w:ascii="Times New Roman" w:hAnsi="Times New Roman" w:eastAsia="宋体" w:cs="Times New Roman"/>
                <w:b/>
                <w:sz w:val="24"/>
                <w:szCs w:val="20"/>
              </w:rPr>
            </w:pPr>
          </w:p>
        </w:tc>
        <w:tc>
          <w:tcPr>
            <w:tcW w:w="3449" w:type="dxa"/>
          </w:tcPr>
          <w:p w14:paraId="03EB135B">
            <w:pPr>
              <w:jc w:val="center"/>
              <w:rPr>
                <w:rFonts w:hint="default" w:ascii="Times New Roman" w:hAnsi="Times New Roman" w:eastAsia="宋体" w:cs="Times New Roman"/>
                <w:b/>
                <w:sz w:val="24"/>
                <w:szCs w:val="20"/>
              </w:rPr>
            </w:pPr>
          </w:p>
        </w:tc>
        <w:tc>
          <w:tcPr>
            <w:tcW w:w="2414" w:type="dxa"/>
          </w:tcPr>
          <w:p w14:paraId="0C2755CF">
            <w:pPr>
              <w:jc w:val="center"/>
              <w:rPr>
                <w:rFonts w:hint="default" w:ascii="Times New Roman" w:hAnsi="Times New Roman" w:eastAsia="宋体" w:cs="Times New Roman"/>
                <w:b/>
                <w:sz w:val="24"/>
                <w:szCs w:val="20"/>
              </w:rPr>
            </w:pPr>
          </w:p>
        </w:tc>
        <w:tc>
          <w:tcPr>
            <w:tcW w:w="1608" w:type="dxa"/>
          </w:tcPr>
          <w:p w14:paraId="7E25F1EA">
            <w:pPr>
              <w:jc w:val="center"/>
              <w:rPr>
                <w:rFonts w:hint="default" w:ascii="Times New Roman" w:hAnsi="Times New Roman" w:eastAsia="宋体" w:cs="Times New Roman"/>
                <w:b/>
                <w:sz w:val="24"/>
                <w:szCs w:val="20"/>
              </w:rPr>
            </w:pPr>
          </w:p>
        </w:tc>
      </w:tr>
      <w:tr w14:paraId="1F295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254B0">
            <w:pPr>
              <w:jc w:val="center"/>
              <w:rPr>
                <w:rFonts w:hint="default" w:ascii="Times New Roman" w:hAnsi="Times New Roman" w:eastAsia="宋体" w:cs="Times New Roman"/>
                <w:b/>
                <w:sz w:val="24"/>
                <w:szCs w:val="20"/>
              </w:rPr>
            </w:pPr>
          </w:p>
        </w:tc>
        <w:tc>
          <w:tcPr>
            <w:tcW w:w="3449" w:type="dxa"/>
          </w:tcPr>
          <w:p w14:paraId="56333A34">
            <w:pPr>
              <w:jc w:val="center"/>
              <w:rPr>
                <w:rFonts w:hint="default" w:ascii="Times New Roman" w:hAnsi="Times New Roman" w:eastAsia="宋体" w:cs="Times New Roman"/>
                <w:b/>
                <w:sz w:val="24"/>
                <w:szCs w:val="20"/>
              </w:rPr>
            </w:pPr>
          </w:p>
        </w:tc>
        <w:tc>
          <w:tcPr>
            <w:tcW w:w="2414" w:type="dxa"/>
          </w:tcPr>
          <w:p w14:paraId="2CB74EC3">
            <w:pPr>
              <w:jc w:val="center"/>
              <w:rPr>
                <w:rFonts w:hint="default" w:ascii="Times New Roman" w:hAnsi="Times New Roman" w:eastAsia="宋体" w:cs="Times New Roman"/>
                <w:b/>
                <w:sz w:val="24"/>
                <w:szCs w:val="20"/>
              </w:rPr>
            </w:pPr>
          </w:p>
        </w:tc>
        <w:tc>
          <w:tcPr>
            <w:tcW w:w="1608" w:type="dxa"/>
          </w:tcPr>
          <w:p w14:paraId="72F051A9">
            <w:pPr>
              <w:jc w:val="center"/>
              <w:rPr>
                <w:rFonts w:hint="default" w:ascii="Times New Roman" w:hAnsi="Times New Roman" w:eastAsia="宋体" w:cs="Times New Roman"/>
                <w:b/>
                <w:sz w:val="24"/>
                <w:szCs w:val="20"/>
              </w:rPr>
            </w:pPr>
          </w:p>
        </w:tc>
      </w:tr>
      <w:tr w14:paraId="6C62D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AF30137">
            <w:pPr>
              <w:jc w:val="center"/>
              <w:rPr>
                <w:rFonts w:hint="default" w:ascii="Times New Roman" w:hAnsi="Times New Roman" w:eastAsia="宋体" w:cs="Times New Roman"/>
                <w:b/>
                <w:sz w:val="24"/>
                <w:szCs w:val="20"/>
              </w:rPr>
            </w:pPr>
          </w:p>
        </w:tc>
        <w:tc>
          <w:tcPr>
            <w:tcW w:w="3449" w:type="dxa"/>
          </w:tcPr>
          <w:p w14:paraId="1D1FD8BB">
            <w:pPr>
              <w:jc w:val="center"/>
              <w:rPr>
                <w:rFonts w:hint="default" w:ascii="Times New Roman" w:hAnsi="Times New Roman" w:eastAsia="宋体" w:cs="Times New Roman"/>
                <w:b/>
                <w:sz w:val="24"/>
                <w:szCs w:val="20"/>
              </w:rPr>
            </w:pPr>
          </w:p>
        </w:tc>
        <w:tc>
          <w:tcPr>
            <w:tcW w:w="2414" w:type="dxa"/>
          </w:tcPr>
          <w:p w14:paraId="59681DED">
            <w:pPr>
              <w:jc w:val="center"/>
              <w:rPr>
                <w:rFonts w:hint="default" w:ascii="Times New Roman" w:hAnsi="Times New Roman" w:eastAsia="宋体" w:cs="Times New Roman"/>
                <w:b/>
                <w:sz w:val="24"/>
                <w:szCs w:val="20"/>
              </w:rPr>
            </w:pPr>
          </w:p>
        </w:tc>
        <w:tc>
          <w:tcPr>
            <w:tcW w:w="1608" w:type="dxa"/>
          </w:tcPr>
          <w:p w14:paraId="449A768F">
            <w:pPr>
              <w:jc w:val="center"/>
              <w:rPr>
                <w:rFonts w:hint="default" w:ascii="Times New Roman" w:hAnsi="Times New Roman" w:eastAsia="宋体" w:cs="Times New Roman"/>
                <w:b/>
                <w:sz w:val="24"/>
                <w:szCs w:val="20"/>
              </w:rPr>
            </w:pPr>
          </w:p>
        </w:tc>
      </w:tr>
      <w:tr w14:paraId="0F5D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149D67">
            <w:pPr>
              <w:jc w:val="center"/>
              <w:rPr>
                <w:rFonts w:hint="default" w:ascii="Times New Roman" w:hAnsi="Times New Roman" w:eastAsia="宋体" w:cs="Times New Roman"/>
                <w:b/>
                <w:sz w:val="24"/>
                <w:szCs w:val="20"/>
              </w:rPr>
            </w:pPr>
          </w:p>
        </w:tc>
        <w:tc>
          <w:tcPr>
            <w:tcW w:w="3449" w:type="dxa"/>
          </w:tcPr>
          <w:p w14:paraId="707357DA">
            <w:pPr>
              <w:jc w:val="center"/>
              <w:rPr>
                <w:rFonts w:hint="default" w:ascii="Times New Roman" w:hAnsi="Times New Roman" w:eastAsia="宋体" w:cs="Times New Roman"/>
                <w:b/>
                <w:sz w:val="24"/>
                <w:szCs w:val="20"/>
              </w:rPr>
            </w:pPr>
          </w:p>
        </w:tc>
        <w:tc>
          <w:tcPr>
            <w:tcW w:w="2414" w:type="dxa"/>
          </w:tcPr>
          <w:p w14:paraId="63069CE8">
            <w:pPr>
              <w:jc w:val="center"/>
              <w:rPr>
                <w:rFonts w:hint="default" w:ascii="Times New Roman" w:hAnsi="Times New Roman" w:eastAsia="宋体" w:cs="Times New Roman"/>
                <w:b/>
                <w:sz w:val="24"/>
                <w:szCs w:val="20"/>
              </w:rPr>
            </w:pPr>
          </w:p>
        </w:tc>
        <w:tc>
          <w:tcPr>
            <w:tcW w:w="1608" w:type="dxa"/>
          </w:tcPr>
          <w:p w14:paraId="3A3A3CAE">
            <w:pPr>
              <w:jc w:val="center"/>
              <w:rPr>
                <w:rFonts w:hint="default" w:ascii="Times New Roman" w:hAnsi="Times New Roman" w:eastAsia="宋体" w:cs="Times New Roman"/>
                <w:b/>
                <w:sz w:val="24"/>
                <w:szCs w:val="20"/>
              </w:rPr>
            </w:pPr>
          </w:p>
        </w:tc>
      </w:tr>
      <w:tr w14:paraId="205FF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A482734">
            <w:pPr>
              <w:jc w:val="center"/>
              <w:rPr>
                <w:rFonts w:hint="default" w:ascii="Times New Roman" w:hAnsi="Times New Roman" w:eastAsia="宋体" w:cs="Times New Roman"/>
                <w:b/>
                <w:sz w:val="24"/>
                <w:szCs w:val="20"/>
              </w:rPr>
            </w:pPr>
          </w:p>
        </w:tc>
        <w:tc>
          <w:tcPr>
            <w:tcW w:w="3449" w:type="dxa"/>
          </w:tcPr>
          <w:p w14:paraId="18F00F34">
            <w:pPr>
              <w:jc w:val="center"/>
              <w:rPr>
                <w:rFonts w:hint="default" w:ascii="Times New Roman" w:hAnsi="Times New Roman" w:eastAsia="宋体" w:cs="Times New Roman"/>
                <w:b/>
                <w:sz w:val="24"/>
                <w:szCs w:val="20"/>
              </w:rPr>
            </w:pPr>
          </w:p>
        </w:tc>
        <w:tc>
          <w:tcPr>
            <w:tcW w:w="2414" w:type="dxa"/>
          </w:tcPr>
          <w:p w14:paraId="33758003">
            <w:pPr>
              <w:jc w:val="center"/>
              <w:rPr>
                <w:rFonts w:hint="default" w:ascii="Times New Roman" w:hAnsi="Times New Roman" w:eastAsia="宋体" w:cs="Times New Roman"/>
                <w:b/>
                <w:sz w:val="24"/>
                <w:szCs w:val="20"/>
              </w:rPr>
            </w:pPr>
          </w:p>
        </w:tc>
        <w:tc>
          <w:tcPr>
            <w:tcW w:w="1608" w:type="dxa"/>
          </w:tcPr>
          <w:p w14:paraId="792A7AE7">
            <w:pPr>
              <w:jc w:val="center"/>
              <w:rPr>
                <w:rFonts w:hint="default" w:ascii="Times New Roman" w:hAnsi="Times New Roman" w:eastAsia="宋体" w:cs="Times New Roman"/>
                <w:b/>
                <w:sz w:val="24"/>
                <w:szCs w:val="20"/>
              </w:rPr>
            </w:pPr>
          </w:p>
        </w:tc>
      </w:tr>
      <w:tr w14:paraId="0923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05EC4C2">
            <w:pPr>
              <w:jc w:val="center"/>
              <w:rPr>
                <w:rFonts w:hint="default" w:ascii="Times New Roman" w:hAnsi="Times New Roman" w:eastAsia="宋体" w:cs="Times New Roman"/>
                <w:b/>
                <w:sz w:val="24"/>
                <w:szCs w:val="20"/>
              </w:rPr>
            </w:pPr>
          </w:p>
        </w:tc>
        <w:tc>
          <w:tcPr>
            <w:tcW w:w="3449" w:type="dxa"/>
          </w:tcPr>
          <w:p w14:paraId="2858C937">
            <w:pPr>
              <w:jc w:val="center"/>
              <w:rPr>
                <w:rFonts w:hint="default" w:ascii="Times New Roman" w:hAnsi="Times New Roman" w:eastAsia="宋体" w:cs="Times New Roman"/>
                <w:b/>
                <w:sz w:val="24"/>
                <w:szCs w:val="20"/>
              </w:rPr>
            </w:pPr>
          </w:p>
        </w:tc>
        <w:tc>
          <w:tcPr>
            <w:tcW w:w="2414" w:type="dxa"/>
          </w:tcPr>
          <w:p w14:paraId="21BD9875">
            <w:pPr>
              <w:jc w:val="center"/>
              <w:rPr>
                <w:rFonts w:hint="default" w:ascii="Times New Roman" w:hAnsi="Times New Roman" w:eastAsia="宋体" w:cs="Times New Roman"/>
                <w:b/>
                <w:sz w:val="24"/>
                <w:szCs w:val="20"/>
              </w:rPr>
            </w:pPr>
          </w:p>
        </w:tc>
        <w:tc>
          <w:tcPr>
            <w:tcW w:w="1608" w:type="dxa"/>
          </w:tcPr>
          <w:p w14:paraId="34789635">
            <w:pPr>
              <w:jc w:val="center"/>
              <w:rPr>
                <w:rFonts w:hint="default" w:ascii="Times New Roman" w:hAnsi="Times New Roman" w:eastAsia="宋体" w:cs="Times New Roman"/>
                <w:b/>
                <w:sz w:val="24"/>
                <w:szCs w:val="20"/>
              </w:rPr>
            </w:pPr>
          </w:p>
        </w:tc>
      </w:tr>
      <w:tr w14:paraId="38E03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4F2900">
            <w:pPr>
              <w:jc w:val="center"/>
              <w:rPr>
                <w:rFonts w:hint="default" w:ascii="Times New Roman" w:hAnsi="Times New Roman" w:eastAsia="宋体" w:cs="Times New Roman"/>
                <w:b/>
                <w:sz w:val="24"/>
                <w:szCs w:val="20"/>
              </w:rPr>
            </w:pPr>
          </w:p>
        </w:tc>
        <w:tc>
          <w:tcPr>
            <w:tcW w:w="3449" w:type="dxa"/>
          </w:tcPr>
          <w:p w14:paraId="4015BDB9">
            <w:pPr>
              <w:jc w:val="center"/>
              <w:rPr>
                <w:rFonts w:hint="default" w:ascii="Times New Roman" w:hAnsi="Times New Roman" w:eastAsia="宋体" w:cs="Times New Roman"/>
                <w:b/>
                <w:sz w:val="24"/>
                <w:szCs w:val="20"/>
              </w:rPr>
            </w:pPr>
          </w:p>
        </w:tc>
        <w:tc>
          <w:tcPr>
            <w:tcW w:w="2414" w:type="dxa"/>
          </w:tcPr>
          <w:p w14:paraId="01D3FA6B">
            <w:pPr>
              <w:jc w:val="center"/>
              <w:rPr>
                <w:rFonts w:hint="default" w:ascii="Times New Roman" w:hAnsi="Times New Roman" w:eastAsia="宋体" w:cs="Times New Roman"/>
                <w:b/>
                <w:sz w:val="24"/>
                <w:szCs w:val="20"/>
              </w:rPr>
            </w:pPr>
          </w:p>
        </w:tc>
        <w:tc>
          <w:tcPr>
            <w:tcW w:w="1608" w:type="dxa"/>
          </w:tcPr>
          <w:p w14:paraId="69C2F935">
            <w:pPr>
              <w:jc w:val="center"/>
              <w:rPr>
                <w:rFonts w:hint="default" w:ascii="Times New Roman" w:hAnsi="Times New Roman" w:eastAsia="宋体" w:cs="Times New Roman"/>
                <w:b/>
                <w:sz w:val="24"/>
                <w:szCs w:val="20"/>
              </w:rPr>
            </w:pPr>
          </w:p>
        </w:tc>
      </w:tr>
      <w:tr w14:paraId="0700A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9736A71">
            <w:pPr>
              <w:jc w:val="center"/>
              <w:rPr>
                <w:rFonts w:hint="default" w:ascii="Times New Roman" w:hAnsi="Times New Roman" w:eastAsia="宋体" w:cs="Times New Roman"/>
                <w:b/>
                <w:sz w:val="24"/>
                <w:szCs w:val="20"/>
              </w:rPr>
            </w:pPr>
          </w:p>
        </w:tc>
        <w:tc>
          <w:tcPr>
            <w:tcW w:w="3449" w:type="dxa"/>
          </w:tcPr>
          <w:p w14:paraId="6031A6D5">
            <w:pPr>
              <w:jc w:val="center"/>
              <w:rPr>
                <w:rFonts w:hint="default" w:ascii="Times New Roman" w:hAnsi="Times New Roman" w:eastAsia="宋体" w:cs="Times New Roman"/>
                <w:b/>
                <w:sz w:val="24"/>
                <w:szCs w:val="20"/>
              </w:rPr>
            </w:pPr>
          </w:p>
        </w:tc>
        <w:tc>
          <w:tcPr>
            <w:tcW w:w="2414" w:type="dxa"/>
          </w:tcPr>
          <w:p w14:paraId="6548116D">
            <w:pPr>
              <w:jc w:val="center"/>
              <w:rPr>
                <w:rFonts w:hint="default" w:ascii="Times New Roman" w:hAnsi="Times New Roman" w:eastAsia="宋体" w:cs="Times New Roman"/>
                <w:b/>
                <w:sz w:val="24"/>
                <w:szCs w:val="20"/>
              </w:rPr>
            </w:pPr>
          </w:p>
        </w:tc>
        <w:tc>
          <w:tcPr>
            <w:tcW w:w="1608" w:type="dxa"/>
          </w:tcPr>
          <w:p w14:paraId="592B3FC7">
            <w:pPr>
              <w:jc w:val="center"/>
              <w:rPr>
                <w:rFonts w:hint="default" w:ascii="Times New Roman" w:hAnsi="Times New Roman" w:eastAsia="宋体" w:cs="Times New Roman"/>
                <w:b/>
                <w:sz w:val="24"/>
                <w:szCs w:val="20"/>
              </w:rPr>
            </w:pPr>
          </w:p>
        </w:tc>
      </w:tr>
    </w:tbl>
    <w:p w14:paraId="000BEF06">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074B8D64">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0D0AFA1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4C0C9F7">
      <w:pPr>
        <w:pStyle w:val="24"/>
        <w:rPr>
          <w:rFonts w:hint="default" w:ascii="Times New Roman" w:hAnsi="Times New Roman" w:cs="Times New Roman"/>
        </w:rPr>
      </w:pPr>
    </w:p>
    <w:p w14:paraId="09D0A75C">
      <w:pPr>
        <w:pStyle w:val="24"/>
        <w:rPr>
          <w:rFonts w:hint="default" w:ascii="Times New Roman" w:hAnsi="Times New Roman" w:cs="Times New Roman"/>
        </w:rPr>
      </w:pPr>
    </w:p>
    <w:p w14:paraId="3213DD82">
      <w:pPr>
        <w:pStyle w:val="24"/>
        <w:rPr>
          <w:rFonts w:hint="default" w:ascii="Times New Roman" w:hAnsi="Times New Roman" w:cs="Times New Roman"/>
        </w:rPr>
      </w:pPr>
    </w:p>
    <w:p w14:paraId="33268E3A">
      <w:pPr>
        <w:pStyle w:val="24"/>
        <w:rPr>
          <w:rFonts w:hint="default" w:ascii="Times New Roman" w:hAnsi="Times New Roman" w:cs="Times New Roman"/>
        </w:r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附件6 202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ascii="Times New Roman" w:hAnsi="Times New Roman" w:cs="Times New Roman"/>
          <w:b w:val="0"/>
          <w:bCs w:val="0"/>
          <w:color w:val="000000"/>
          <w:sz w:val="24"/>
          <w:szCs w:val="24"/>
          <w:u w:val="single"/>
          <w:lang w:val="en-US" w:eastAsia="zh-CN"/>
        </w:rPr>
        <w:t>济南成型厂核心机房UPS设备更新项目</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1C08EC">
      <w:pPr>
        <w:rPr>
          <w:rFonts w:hint="default" w:ascii="Times New Roman" w:hAnsi="Times New Roman" w:eastAsia="宋体" w:cs="Times New Roman"/>
          <w:sz w:val="24"/>
          <w:szCs w:val="20"/>
        </w:rPr>
      </w:pPr>
      <w:r>
        <w:rPr>
          <w:rFonts w:hint="default" w:ascii="Times New Roman" w:hAnsi="Times New Roman" w:eastAsia="宋体" w:cs="Times New Roman"/>
          <w:sz w:val="24"/>
          <w:szCs w:val="20"/>
        </w:rPr>
        <w:br w:type="page"/>
      </w:r>
    </w:p>
    <w:p w14:paraId="37470C3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附件7 设备质量承诺函</w:t>
      </w:r>
    </w:p>
    <w:p w14:paraId="336FCF11">
      <w:pPr>
        <w:spacing w:line="240" w:lineRule="exact"/>
        <w:rPr>
          <w:rFonts w:hint="default" w:ascii="Times New Roman" w:hAnsi="Times New Roman" w:eastAsia="宋体" w:cs="Times New Roman"/>
          <w:szCs w:val="20"/>
        </w:rPr>
      </w:pPr>
      <w:r>
        <w:rPr>
          <w:rFonts w:hint="default" w:ascii="Times New Roman" w:hAnsi="Times New Roman" w:eastAsia="宋体" w:cs="Times New Roman"/>
          <w:szCs w:val="20"/>
        </w:rPr>
        <w:t xml:space="preserve">                                               </w:t>
      </w:r>
    </w:p>
    <w:p w14:paraId="0DEE228F">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 xml:space="preserve">项目名称: </w:t>
      </w:r>
      <w:r>
        <w:rPr>
          <w:rFonts w:hint="default" w:ascii="Times New Roman" w:hAnsi="Times New Roman" w:eastAsia="宋体" w:cs="Times New Roman"/>
          <w:b w:val="0"/>
          <w:bCs w:val="0"/>
          <w:sz w:val="24"/>
          <w:szCs w:val="20"/>
          <w:u w:val="single"/>
        </w:rPr>
        <w:t xml:space="preserve"> </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145A6DBC">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597FB8F0">
      <w:pPr>
        <w:spacing w:line="360" w:lineRule="auto"/>
        <w:ind w:firstLine="480" w:firstLineChars="2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我代表(投标单位名称)为保证中标产品的质量特作如下承诺：</w:t>
      </w:r>
    </w:p>
    <w:p w14:paraId="281A1D13">
      <w:pPr>
        <w:spacing w:line="360" w:lineRule="auto"/>
        <w:ind w:firstLine="480" w:firstLineChars="200"/>
        <w:rPr>
          <w:rFonts w:hint="default" w:ascii="Times New Roman" w:hAnsi="Times New Roman" w:eastAsia="宋体" w:cs="Times New Roman"/>
          <w:sz w:val="24"/>
          <w:szCs w:val="20"/>
          <w:u w:val="none"/>
        </w:rPr>
      </w:pPr>
    </w:p>
    <w:p w14:paraId="731E13B0">
      <w:pPr>
        <w:spacing w:line="360" w:lineRule="auto"/>
        <w:ind w:firstLine="480" w:firstLineChars="200"/>
        <w:rPr>
          <w:rFonts w:hint="default" w:ascii="Times New Roman" w:hAnsi="Times New Roman" w:eastAsia="宋体" w:cs="Times New Roman"/>
          <w:sz w:val="24"/>
          <w:szCs w:val="20"/>
          <w:u w:val="none"/>
        </w:rPr>
      </w:pPr>
    </w:p>
    <w:p w14:paraId="5414973B">
      <w:pPr>
        <w:spacing w:line="360" w:lineRule="auto"/>
        <w:ind w:firstLine="480" w:firstLineChars="200"/>
        <w:rPr>
          <w:rFonts w:hint="default" w:ascii="Times New Roman" w:hAnsi="Times New Roman" w:eastAsia="宋体" w:cs="Times New Roman"/>
          <w:sz w:val="24"/>
          <w:szCs w:val="20"/>
          <w:u w:val="none"/>
        </w:rPr>
      </w:pPr>
    </w:p>
    <w:p w14:paraId="2467CDE4">
      <w:pPr>
        <w:spacing w:line="360" w:lineRule="auto"/>
        <w:ind w:firstLine="480" w:firstLineChars="200"/>
        <w:rPr>
          <w:rFonts w:hint="default" w:ascii="Times New Roman" w:hAnsi="Times New Roman" w:eastAsia="宋体" w:cs="Times New Roman"/>
          <w:sz w:val="24"/>
          <w:szCs w:val="20"/>
          <w:u w:val="none"/>
        </w:rPr>
      </w:pPr>
    </w:p>
    <w:p w14:paraId="4E1A63C2">
      <w:pPr>
        <w:spacing w:line="360" w:lineRule="auto"/>
        <w:ind w:firstLine="480" w:firstLineChars="200"/>
        <w:rPr>
          <w:rFonts w:hint="default" w:ascii="Times New Roman" w:hAnsi="Times New Roman" w:eastAsia="宋体" w:cs="Times New Roman"/>
          <w:sz w:val="24"/>
          <w:szCs w:val="20"/>
          <w:u w:val="none"/>
        </w:rPr>
      </w:pPr>
    </w:p>
    <w:p w14:paraId="7578E30F">
      <w:pPr>
        <w:spacing w:line="360" w:lineRule="auto"/>
        <w:ind w:firstLine="480" w:firstLineChars="200"/>
        <w:rPr>
          <w:rFonts w:hint="default" w:ascii="Times New Roman" w:hAnsi="Times New Roman" w:eastAsia="宋体" w:cs="Times New Roman"/>
          <w:sz w:val="24"/>
          <w:szCs w:val="20"/>
          <w:u w:val="none"/>
        </w:rPr>
      </w:pPr>
    </w:p>
    <w:p w14:paraId="13C425C0">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7C359072">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9630CA0">
      <w:pPr>
        <w:rPr>
          <w:rFonts w:hint="default" w:ascii="Times New Roman" w:hAnsi="Times New Roman" w:eastAsia="宋体" w:cs="Times New Roman"/>
          <w:b/>
          <w:bCs/>
          <w:color w:val="000000"/>
          <w:sz w:val="28"/>
          <w:szCs w:val="20"/>
        </w:rPr>
      </w:pPr>
    </w:p>
    <w:p w14:paraId="21695419">
      <w:pPr>
        <w:rPr>
          <w:rFonts w:hint="default" w:ascii="Times New Roman" w:hAnsi="Times New Roman" w:cs="Times New Roman"/>
        </w:rPr>
        <w:sectPr>
          <w:footerReference r:id="rId11" w:type="firs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济南成型厂核心机房UPS设备更新项目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4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ascii="Times New Roman" w:hAnsi="Times New Roman" w:cs="Times New Roman"/>
                <w:b/>
                <w:szCs w:val="20"/>
                <w:highlight w:val="none"/>
                <w:lang w:eastAsia="zh-CN"/>
              </w:rPr>
              <w:t>济南成型厂核心机房UPS设备更新项目</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2270"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4FA11B8">
      <w:pPr>
        <w:numPr>
          <w:ilvl w:val="0"/>
          <w:numId w:val="9"/>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14:paraId="2F2C0DC4">
      <w:pPr>
        <w:numPr>
          <w:ilvl w:val="0"/>
          <w:numId w:val="9"/>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rPr>
        <w:t>需写明含税价、不含税价格、税率。</w:t>
      </w:r>
    </w:p>
    <w:p w14:paraId="5EBF57B7">
      <w:pPr>
        <w:numPr>
          <w:ilvl w:val="0"/>
          <w:numId w:val="9"/>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投标总价大写为必填项，如发生大小写不一致，以大写为准。</w:t>
      </w:r>
    </w:p>
    <w:p w14:paraId="68E7C59B">
      <w:pPr>
        <w:numPr>
          <w:ilvl w:val="0"/>
          <w:numId w:val="9"/>
        </w:num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24"/>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2C74F0A">
      <w:pPr>
        <w:pStyle w:val="24"/>
        <w:rPr>
          <w:rFonts w:hint="eastAsia" w:ascii="宋体" w:hAnsi="宋体" w:eastAsia="宋体" w:cs="Times New Roman"/>
          <w:sz w:val="24"/>
          <w:szCs w:val="20"/>
        </w:rPr>
        <w:sectPr>
          <w:pgSz w:w="11906" w:h="16838"/>
          <w:pgMar w:top="1588" w:right="1418" w:bottom="1134" w:left="1418" w:header="851" w:footer="992" w:gutter="0"/>
          <w:cols w:space="720" w:num="1"/>
          <w:titlePg/>
          <w:docGrid w:type="lines" w:linePitch="312" w:charSpace="0"/>
        </w:sectPr>
      </w:pPr>
    </w:p>
    <w:p w14:paraId="5ADFADA3">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6D13513">
      <w:pPr>
        <w:pStyle w:val="24"/>
        <w:jc w:val="center"/>
        <w:rPr>
          <w:rFonts w:hint="eastAsia" w:ascii="宋体" w:hAnsi="宋体" w:eastAsia="宋体" w:cs="Times New Roman"/>
          <w:sz w:val="24"/>
          <w:szCs w:val="20"/>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2BA934">
      <w:pPr>
        <w:pStyle w:val="24"/>
        <w:rPr>
          <w:rFonts w:hint="eastAsia" w:ascii="宋体" w:hAnsi="宋体" w:eastAsia="宋体" w:cs="Times New Roman"/>
          <w:sz w:val="24"/>
          <w:szCs w:val="20"/>
        </w:rPr>
      </w:pPr>
    </w:p>
    <w:tbl>
      <w:tblPr>
        <w:tblStyle w:val="48"/>
        <w:tblW w:w="53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401"/>
        <w:gridCol w:w="1443"/>
        <w:gridCol w:w="823"/>
        <w:gridCol w:w="811"/>
        <w:gridCol w:w="1488"/>
        <w:gridCol w:w="1936"/>
      </w:tblGrid>
      <w:tr w14:paraId="4A64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486" w:type="pct"/>
            <w:vAlign w:val="center"/>
          </w:tcPr>
          <w:p w14:paraId="110049ED">
            <w:pPr>
              <w:pStyle w:val="19"/>
              <w:bidi w:val="0"/>
              <w:jc w:val="center"/>
              <w:rPr>
                <w:rFonts w:hint="eastAsia"/>
              </w:rPr>
            </w:pPr>
            <w:r>
              <w:rPr>
                <w:rFonts w:hint="eastAsia"/>
              </w:rPr>
              <w:t>序号</w:t>
            </w:r>
          </w:p>
        </w:tc>
        <w:tc>
          <w:tcPr>
            <w:tcW w:w="1217" w:type="pct"/>
            <w:vAlign w:val="center"/>
          </w:tcPr>
          <w:p w14:paraId="174922BD">
            <w:pPr>
              <w:pStyle w:val="19"/>
              <w:bidi w:val="0"/>
              <w:jc w:val="center"/>
              <w:rPr>
                <w:rFonts w:hint="eastAsia"/>
              </w:rPr>
            </w:pPr>
            <w:r>
              <w:rPr>
                <w:rFonts w:hint="eastAsia"/>
              </w:rPr>
              <w:t>名称</w:t>
            </w:r>
          </w:p>
        </w:tc>
        <w:tc>
          <w:tcPr>
            <w:tcW w:w="731" w:type="pct"/>
            <w:vAlign w:val="center"/>
          </w:tcPr>
          <w:p w14:paraId="520ED97A">
            <w:pPr>
              <w:pStyle w:val="19"/>
              <w:bidi w:val="0"/>
              <w:jc w:val="center"/>
              <w:rPr>
                <w:rFonts w:hint="default"/>
                <w:lang w:val="en-US" w:eastAsia="zh-CN"/>
              </w:rPr>
            </w:pPr>
            <w:r>
              <w:rPr>
                <w:rFonts w:hint="eastAsia"/>
                <w:lang w:val="en-US" w:eastAsia="zh-CN"/>
              </w:rPr>
              <w:t>未税单价（元）</w:t>
            </w:r>
          </w:p>
        </w:tc>
        <w:tc>
          <w:tcPr>
            <w:tcW w:w="417" w:type="pct"/>
            <w:vAlign w:val="center"/>
          </w:tcPr>
          <w:p w14:paraId="48F129CC">
            <w:pPr>
              <w:pStyle w:val="19"/>
              <w:bidi w:val="0"/>
              <w:jc w:val="center"/>
              <w:rPr>
                <w:rFonts w:hint="eastAsia"/>
              </w:rPr>
            </w:pPr>
            <w:r>
              <w:rPr>
                <w:rFonts w:hint="eastAsia"/>
              </w:rPr>
              <w:t>单位</w:t>
            </w:r>
          </w:p>
        </w:tc>
        <w:tc>
          <w:tcPr>
            <w:tcW w:w="411" w:type="pct"/>
            <w:vAlign w:val="center"/>
          </w:tcPr>
          <w:p w14:paraId="2A79FCDA">
            <w:pPr>
              <w:pStyle w:val="19"/>
              <w:bidi w:val="0"/>
              <w:jc w:val="center"/>
              <w:rPr>
                <w:rFonts w:hint="eastAsia"/>
              </w:rPr>
            </w:pPr>
            <w:r>
              <w:rPr>
                <w:rFonts w:hint="eastAsia"/>
              </w:rPr>
              <w:t>数量</w:t>
            </w:r>
          </w:p>
        </w:tc>
        <w:tc>
          <w:tcPr>
            <w:tcW w:w="754" w:type="pct"/>
            <w:vAlign w:val="center"/>
          </w:tcPr>
          <w:p w14:paraId="51F599EB">
            <w:pPr>
              <w:pStyle w:val="19"/>
              <w:bidi w:val="0"/>
              <w:jc w:val="center"/>
              <w:rPr>
                <w:rFonts w:hint="eastAsia"/>
              </w:rPr>
            </w:pPr>
            <w:r>
              <w:rPr>
                <w:rFonts w:hint="eastAsia"/>
                <w:lang w:val="en-US" w:eastAsia="zh-CN"/>
              </w:rPr>
              <w:t>未税总价（元）</w:t>
            </w:r>
          </w:p>
        </w:tc>
        <w:tc>
          <w:tcPr>
            <w:tcW w:w="981" w:type="pct"/>
            <w:vAlign w:val="center"/>
          </w:tcPr>
          <w:p w14:paraId="7FE9C30E">
            <w:pPr>
              <w:pStyle w:val="19"/>
              <w:bidi w:val="0"/>
              <w:jc w:val="center"/>
              <w:rPr>
                <w:rFonts w:hint="eastAsia"/>
              </w:rPr>
            </w:pPr>
            <w:r>
              <w:rPr>
                <w:rFonts w:hint="eastAsia"/>
              </w:rPr>
              <w:t>备注</w:t>
            </w:r>
          </w:p>
        </w:tc>
      </w:tr>
      <w:tr w14:paraId="0B51E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02BD029">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217" w:type="pct"/>
            <w:vAlign w:val="center"/>
          </w:tcPr>
          <w:p w14:paraId="3644D351">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731" w:type="pct"/>
            <w:vAlign w:val="center"/>
          </w:tcPr>
          <w:p w14:paraId="5A11F85D">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vAlign w:val="center"/>
          </w:tcPr>
          <w:p w14:paraId="0D84AE0E">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vAlign w:val="center"/>
          </w:tcPr>
          <w:p w14:paraId="3C213419">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754" w:type="pct"/>
            <w:shd w:val="clear" w:color="auto" w:fill="auto"/>
            <w:vAlign w:val="center"/>
          </w:tcPr>
          <w:p w14:paraId="127E343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500605E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highlight w:val="none"/>
                <w:lang w:val="en-US" w:eastAsia="zh-CN"/>
              </w:rPr>
            </w:pPr>
          </w:p>
        </w:tc>
      </w:tr>
      <w:tr w14:paraId="51BB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E1E6045">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w:t>
            </w:r>
          </w:p>
        </w:tc>
        <w:tc>
          <w:tcPr>
            <w:tcW w:w="1217" w:type="pct"/>
            <w:vAlign w:val="center"/>
          </w:tcPr>
          <w:p w14:paraId="0D098964">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vAlign w:val="center"/>
          </w:tcPr>
          <w:p w14:paraId="3C6D6DFD">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vAlign w:val="center"/>
          </w:tcPr>
          <w:p w14:paraId="71F911E0">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vAlign w:val="center"/>
          </w:tcPr>
          <w:p w14:paraId="6BA8155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754" w:type="pct"/>
            <w:shd w:val="clear" w:color="auto" w:fill="auto"/>
            <w:vAlign w:val="center"/>
          </w:tcPr>
          <w:p w14:paraId="22D2B8B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65C4976">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p>
        </w:tc>
      </w:tr>
      <w:tr w14:paraId="1862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9691F10">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217" w:type="pct"/>
            <w:vAlign w:val="center"/>
          </w:tcPr>
          <w:p w14:paraId="4D9D0B4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4992DDB2">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19B8879F">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75C616D">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1AD0D30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3480A6C5">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1D84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5560662">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w:t>
            </w:r>
          </w:p>
        </w:tc>
        <w:tc>
          <w:tcPr>
            <w:tcW w:w="1217" w:type="pct"/>
            <w:vAlign w:val="center"/>
          </w:tcPr>
          <w:p w14:paraId="264C20A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4177ACA9">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721522BA">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1FFE6DB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6ECB555F">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4A06489D">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6260A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A45F2E3">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w:t>
            </w:r>
          </w:p>
        </w:tc>
        <w:tc>
          <w:tcPr>
            <w:tcW w:w="1217" w:type="pct"/>
            <w:vAlign w:val="center"/>
          </w:tcPr>
          <w:p w14:paraId="31020D5F">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147ADF91">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40405D8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D6FC79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371AE541">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restart"/>
            <w:shd w:val="clear" w:color="auto" w:fill="auto"/>
            <w:vAlign w:val="center"/>
          </w:tcPr>
          <w:p w14:paraId="763B084E">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p>
        </w:tc>
      </w:tr>
      <w:tr w14:paraId="35B6E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9692C9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w:t>
            </w:r>
          </w:p>
        </w:tc>
        <w:tc>
          <w:tcPr>
            <w:tcW w:w="1217" w:type="pct"/>
            <w:vAlign w:val="center"/>
          </w:tcPr>
          <w:p w14:paraId="0C826C12">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623E9176">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62C8339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713CBE3B">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45F0AD2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continue"/>
            <w:shd w:val="clear" w:color="auto" w:fill="auto"/>
            <w:vAlign w:val="center"/>
          </w:tcPr>
          <w:p w14:paraId="30D6ADBB">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4D83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21498D9">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w:t>
            </w:r>
          </w:p>
        </w:tc>
        <w:tc>
          <w:tcPr>
            <w:tcW w:w="1217" w:type="pct"/>
            <w:vAlign w:val="center"/>
          </w:tcPr>
          <w:p w14:paraId="0813632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7C7BBACC">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260ADC96">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38680EB6">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292F93B4">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AF25CA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7477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552C45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2.1</w:t>
            </w:r>
          </w:p>
        </w:tc>
        <w:tc>
          <w:tcPr>
            <w:tcW w:w="1217" w:type="pct"/>
            <w:vAlign w:val="center"/>
          </w:tcPr>
          <w:p w14:paraId="33D5F39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58EE216F">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shd w:val="clear" w:color="auto" w:fill="auto"/>
            <w:vAlign w:val="center"/>
          </w:tcPr>
          <w:p w14:paraId="4462E74C">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492A5E1">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5B1DAF49">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3317991">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6A5B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C6F400D">
            <w:pPr>
              <w:spacing w:line="360" w:lineRule="auto"/>
              <w:jc w:val="center"/>
              <w:rPr>
                <w:rFonts w:hint="eastAsia" w:asciiTheme="minorEastAsia" w:hAnsiTheme="minorEastAsia" w:eastAsiaTheme="minorEastAsia" w:cstheme="minorEastAsia"/>
                <w:sz w:val="24"/>
                <w:szCs w:val="24"/>
                <w:lang w:val="en-US" w:eastAsia="zh-CN"/>
              </w:rPr>
            </w:pPr>
          </w:p>
        </w:tc>
        <w:tc>
          <w:tcPr>
            <w:tcW w:w="1217" w:type="pct"/>
            <w:vAlign w:val="center"/>
          </w:tcPr>
          <w:p w14:paraId="3508E92D">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投标方认为必须配备的其他内容</w:t>
            </w:r>
          </w:p>
        </w:tc>
        <w:tc>
          <w:tcPr>
            <w:tcW w:w="731" w:type="pct"/>
            <w:tcBorders>
              <w:top w:val="single" w:color="auto" w:sz="4" w:space="0"/>
              <w:bottom w:val="single" w:color="auto" w:sz="4" w:space="0"/>
            </w:tcBorders>
            <w:vAlign w:val="center"/>
          </w:tcPr>
          <w:p w14:paraId="0739D96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1E95A9A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411" w:type="pct"/>
            <w:vAlign w:val="center"/>
          </w:tcPr>
          <w:p w14:paraId="49F02E7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754" w:type="pct"/>
            <w:vAlign w:val="center"/>
          </w:tcPr>
          <w:p w14:paraId="48A7A8F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788BF8B3">
            <w:pPr>
              <w:spacing w:line="360" w:lineRule="exact"/>
              <w:jc w:val="left"/>
              <w:rPr>
                <w:rFonts w:hint="eastAsia" w:asciiTheme="minorEastAsia" w:hAnsiTheme="minorEastAsia" w:eastAsiaTheme="minorEastAsia" w:cstheme="minorEastAsia"/>
                <w:sz w:val="24"/>
                <w:szCs w:val="24"/>
              </w:rPr>
            </w:pPr>
          </w:p>
        </w:tc>
      </w:tr>
      <w:tr w14:paraId="70499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435" w:type="pct"/>
            <w:gridSpan w:val="3"/>
            <w:vAlign w:val="center"/>
          </w:tcPr>
          <w:p w14:paraId="28BC3EBD">
            <w:pPr>
              <w:widowControl/>
              <w:spacing w:line="0" w:lineRule="atLeast"/>
              <w:jc w:val="center"/>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未税合计</w:t>
            </w:r>
          </w:p>
        </w:tc>
        <w:tc>
          <w:tcPr>
            <w:tcW w:w="2564" w:type="pct"/>
            <w:gridSpan w:val="4"/>
            <w:tcBorders>
              <w:top w:val="single" w:color="auto" w:sz="4" w:space="0"/>
            </w:tcBorders>
            <w:vAlign w:val="center"/>
          </w:tcPr>
          <w:p w14:paraId="7E5F4052">
            <w:pPr>
              <w:spacing w:line="360" w:lineRule="exact"/>
              <w:jc w:val="center"/>
              <w:rPr>
                <w:rFonts w:hint="eastAsia" w:asciiTheme="minorEastAsia" w:hAnsiTheme="minorEastAsia" w:eastAsiaTheme="minorEastAsia" w:cstheme="minorEastAsia"/>
                <w:sz w:val="24"/>
                <w:szCs w:val="24"/>
              </w:rPr>
            </w:pPr>
          </w:p>
        </w:tc>
      </w:tr>
      <w:tr w14:paraId="10E6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2435" w:type="pct"/>
            <w:gridSpan w:val="3"/>
            <w:vAlign w:val="center"/>
          </w:tcPr>
          <w:p w14:paraId="49286C9A">
            <w:pPr>
              <w:widowControl/>
              <w:spacing w:line="0" w:lineRule="atLeast"/>
              <w:jc w:val="center"/>
              <w:textAlignment w:val="center"/>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含税合计（税率</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lang w:val="en-US" w:eastAsia="zh-CN"/>
              </w:rPr>
              <w:t>%）</w:t>
            </w:r>
          </w:p>
        </w:tc>
        <w:tc>
          <w:tcPr>
            <w:tcW w:w="2564" w:type="pct"/>
            <w:gridSpan w:val="4"/>
            <w:tcBorders>
              <w:top w:val="single" w:color="auto" w:sz="4" w:space="0"/>
            </w:tcBorders>
            <w:vAlign w:val="center"/>
          </w:tcPr>
          <w:p w14:paraId="35B81226">
            <w:pPr>
              <w:spacing w:line="360" w:lineRule="exact"/>
              <w:jc w:val="center"/>
              <w:rPr>
                <w:rFonts w:hint="eastAsia" w:asciiTheme="minorEastAsia" w:hAnsiTheme="minorEastAsia" w:eastAsiaTheme="minorEastAsia" w:cstheme="minorEastAsia"/>
                <w:sz w:val="24"/>
                <w:szCs w:val="24"/>
              </w:rPr>
            </w:pPr>
          </w:p>
        </w:tc>
      </w:tr>
    </w:tbl>
    <w:p w14:paraId="6DD8C81E">
      <w:pPr>
        <w:spacing w:before="58" w:line="219" w:lineRule="auto"/>
        <w:ind w:left="8"/>
        <w:rPr>
          <w:rFonts w:ascii="宋体" w:hAnsi="宋体" w:eastAsia="宋体" w:cs="宋体"/>
          <w:spacing w:val="-8"/>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1.以上是各单体设备分项报价应包括的内容， 但不限于此，表中“总价合计”构成主机价格的一部分。</w:t>
      </w:r>
    </w:p>
    <w:p w14:paraId="3FBBAC17">
      <w:pPr>
        <w:spacing w:before="58" w:line="219" w:lineRule="auto"/>
        <w:ind w:left="8"/>
        <w:rPr>
          <w:rFonts w:ascii="宋体" w:hAnsi="宋体" w:eastAsia="宋体" w:cs="宋体"/>
          <w:spacing w:val="-8"/>
          <w:szCs w:val="21"/>
        </w:rPr>
      </w:pPr>
      <w:r>
        <w:rPr>
          <w:rFonts w:ascii="宋体" w:hAnsi="宋体" w:eastAsia="宋体" w:cs="宋体"/>
          <w:spacing w:val="-8"/>
          <w:szCs w:val="21"/>
        </w:rPr>
        <w:t>2.如果按单价计算的结果与总价不一致，以单价为准修正总价。</w:t>
      </w:r>
    </w:p>
    <w:p w14:paraId="32992A3E">
      <w:pPr>
        <w:spacing w:before="58" w:line="219" w:lineRule="auto"/>
        <w:ind w:left="8"/>
        <w:rPr>
          <w:rFonts w:ascii="宋体" w:hAnsi="宋体" w:eastAsia="宋体" w:cs="宋体"/>
          <w:spacing w:val="-8"/>
          <w:szCs w:val="21"/>
        </w:rPr>
      </w:pPr>
      <w:r>
        <w:rPr>
          <w:rFonts w:ascii="宋体" w:hAnsi="宋体" w:eastAsia="宋体" w:cs="宋体"/>
          <w:spacing w:val="-8"/>
          <w:szCs w:val="21"/>
        </w:rPr>
        <w:t>3.此分项报价，仅是为了方便招标人对投标文件进行分析比较，不作为限制订立合同的条件。</w:t>
      </w:r>
    </w:p>
    <w:p w14:paraId="235B4772">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4.如上表中的有关费用投标人免费提供，请注明“免费”字样。</w:t>
      </w:r>
    </w:p>
    <w:p w14:paraId="767E5EED">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5.该明细表所有信息均为必填项，不得删减，价格部分不得合并，可细化可增加。</w:t>
      </w:r>
    </w:p>
    <w:p w14:paraId="4757EF0C">
      <w:pPr>
        <w:spacing w:before="58" w:line="219" w:lineRule="auto"/>
        <w:ind w:left="8"/>
        <w:rPr>
          <w:rFonts w:hint="eastAsia" w:ascii="宋体" w:hAnsi="宋体" w:eastAsia="宋体" w:cs="宋体"/>
          <w:spacing w:val="-8"/>
          <w:szCs w:val="21"/>
        </w:rPr>
      </w:pPr>
      <w:r>
        <w:rPr>
          <w:rFonts w:hint="eastAsia" w:ascii="宋体" w:hAnsi="宋体" w:eastAsia="宋体" w:cs="宋体"/>
          <w:spacing w:val="-8"/>
          <w:szCs w:val="21"/>
        </w:rPr>
        <w:t>6.因填写不规范造成废标及终止招标的，责任由投标人自负。</w:t>
      </w:r>
    </w:p>
    <w:p w14:paraId="21AE942E">
      <w:pPr>
        <w:pStyle w:val="24"/>
        <w:rPr>
          <w:rFonts w:hint="eastAsia" w:ascii="宋体" w:hAnsi="宋体" w:eastAsia="宋体" w:cs="宋体"/>
          <w:spacing w:val="-6"/>
          <w:szCs w:val="21"/>
        </w:rPr>
      </w:pPr>
    </w:p>
    <w:p w14:paraId="6FF3A58E">
      <w:pPr>
        <w:pStyle w:val="24"/>
        <w:rPr>
          <w:rFonts w:hint="eastAsia" w:ascii="宋体" w:hAnsi="宋体" w:eastAsia="宋体" w:cs="宋体"/>
          <w:spacing w:val="-6"/>
          <w:szCs w:val="21"/>
        </w:rPr>
      </w:pPr>
    </w:p>
    <w:p w14:paraId="57AFB38A">
      <w:pPr>
        <w:pStyle w:val="24"/>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pacing w:val="-4"/>
          <w:sz w:val="24"/>
          <w:szCs w:val="24"/>
        </w:rPr>
        <w:t xml:space="preserve">投标人(章)：         </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w:t>
      </w:r>
      <w:r>
        <w:rPr>
          <w:rFonts w:hint="eastAsia" w:ascii="宋体" w:hAnsi="宋体" w:eastAsia="宋体" w:cs="宋体"/>
          <w:spacing w:val="-2"/>
          <w:sz w:val="24"/>
          <w:szCs w:val="24"/>
          <w:lang w:val="en-US" w:eastAsia="zh-CN"/>
        </w:rPr>
        <w:t>月   日</w:t>
      </w:r>
      <w:r>
        <w:rPr>
          <w:rFonts w:hint="eastAsia" w:ascii="宋体" w:hAnsi="宋体" w:eastAsia="宋体" w:cs="宋体"/>
          <w:spacing w:val="-2"/>
          <w:sz w:val="24"/>
          <w:szCs w:val="24"/>
        </w:rPr>
        <w:t xml:space="preserve"> </w:t>
      </w:r>
    </w:p>
    <w:p w14:paraId="595915F0">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附件10 商务条款偏离表</w:t>
      </w:r>
    </w:p>
    <w:p w14:paraId="62CF1874">
      <w:pPr>
        <w:rPr>
          <w:rFonts w:hint="default" w:ascii="Times New Roman" w:hAnsi="Times New Roman" w:eastAsia="宋体" w:cs="Times New Roman"/>
          <w:szCs w:val="20"/>
        </w:rPr>
      </w:pPr>
    </w:p>
    <w:tbl>
      <w:tblPr>
        <w:tblStyle w:val="4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B4B3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35F7F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47E3F2D2">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9C4458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45" w:type="dxa"/>
            <w:tcBorders>
              <w:top w:val="single" w:color="auto" w:sz="4" w:space="0"/>
              <w:left w:val="single" w:color="auto" w:sz="4" w:space="0"/>
              <w:bottom w:val="single" w:color="auto" w:sz="4" w:space="0"/>
            </w:tcBorders>
            <w:vAlign w:val="center"/>
          </w:tcPr>
          <w:p w14:paraId="4CCBE39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p w14:paraId="6FC5577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（提供说明）</w:t>
            </w:r>
          </w:p>
        </w:tc>
      </w:tr>
      <w:tr w14:paraId="56D2B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420B4FF">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A95A3E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EFAAD7">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717782">
            <w:pPr>
              <w:jc w:val="center"/>
              <w:rPr>
                <w:rFonts w:hint="default" w:ascii="Times New Roman" w:hAnsi="Times New Roman" w:eastAsia="宋体" w:cs="Times New Roman"/>
                <w:b/>
                <w:szCs w:val="20"/>
              </w:rPr>
            </w:pPr>
          </w:p>
        </w:tc>
      </w:tr>
      <w:tr w14:paraId="230DDA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CBB3A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D8D0116">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62DF38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BC5BDE0">
            <w:pPr>
              <w:jc w:val="center"/>
              <w:rPr>
                <w:rFonts w:hint="default" w:ascii="Times New Roman" w:hAnsi="Times New Roman" w:eastAsia="宋体" w:cs="Times New Roman"/>
                <w:b/>
                <w:szCs w:val="21"/>
              </w:rPr>
            </w:pPr>
          </w:p>
        </w:tc>
      </w:tr>
      <w:tr w14:paraId="3D41D6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EFFC4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3E2EF1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835A37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ABD52C3">
            <w:pPr>
              <w:jc w:val="center"/>
              <w:rPr>
                <w:rFonts w:hint="default" w:ascii="Times New Roman" w:hAnsi="Times New Roman" w:eastAsia="宋体" w:cs="Times New Roman"/>
                <w:b/>
                <w:szCs w:val="20"/>
              </w:rPr>
            </w:pPr>
          </w:p>
        </w:tc>
      </w:tr>
      <w:tr w14:paraId="594FE9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7E0A55">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FE603D">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89B37D0">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A92E2C">
            <w:pPr>
              <w:jc w:val="center"/>
              <w:rPr>
                <w:rFonts w:hint="default" w:ascii="Times New Roman" w:hAnsi="Times New Roman" w:eastAsia="宋体" w:cs="Times New Roman"/>
                <w:b/>
                <w:szCs w:val="21"/>
              </w:rPr>
            </w:pPr>
          </w:p>
          <w:p w14:paraId="762D5774">
            <w:pPr>
              <w:jc w:val="center"/>
              <w:rPr>
                <w:rFonts w:hint="default" w:ascii="Times New Roman" w:hAnsi="Times New Roman" w:eastAsia="宋体" w:cs="Times New Roman"/>
                <w:b/>
                <w:szCs w:val="21"/>
              </w:rPr>
            </w:pPr>
          </w:p>
          <w:p w14:paraId="55D153DD">
            <w:pPr>
              <w:jc w:val="center"/>
              <w:rPr>
                <w:rFonts w:hint="default" w:ascii="Times New Roman" w:hAnsi="Times New Roman" w:eastAsia="宋体" w:cs="Times New Roman"/>
                <w:b/>
                <w:szCs w:val="21"/>
              </w:rPr>
            </w:pPr>
          </w:p>
          <w:p w14:paraId="767D941B">
            <w:pPr>
              <w:jc w:val="center"/>
              <w:rPr>
                <w:rFonts w:hint="default" w:ascii="Times New Roman" w:hAnsi="Times New Roman" w:eastAsia="宋体" w:cs="Times New Roman"/>
                <w:b/>
                <w:szCs w:val="21"/>
              </w:rPr>
            </w:pPr>
          </w:p>
          <w:p w14:paraId="1D982862">
            <w:pPr>
              <w:jc w:val="center"/>
              <w:rPr>
                <w:rFonts w:hint="default" w:ascii="Times New Roman" w:hAnsi="Times New Roman" w:eastAsia="宋体" w:cs="Times New Roman"/>
                <w:b/>
                <w:szCs w:val="21"/>
              </w:rPr>
            </w:pPr>
          </w:p>
          <w:p w14:paraId="65C56CF9">
            <w:pPr>
              <w:jc w:val="center"/>
              <w:rPr>
                <w:rFonts w:hint="default" w:ascii="Times New Roman" w:hAnsi="Times New Roman" w:eastAsia="宋体" w:cs="Times New Roman"/>
                <w:b/>
                <w:szCs w:val="21"/>
              </w:rPr>
            </w:pPr>
          </w:p>
          <w:p w14:paraId="52B961CB">
            <w:pPr>
              <w:jc w:val="center"/>
              <w:rPr>
                <w:rFonts w:hint="default" w:ascii="Times New Roman" w:hAnsi="Times New Roman" w:eastAsia="宋体" w:cs="Times New Roman"/>
                <w:b/>
                <w:szCs w:val="21"/>
              </w:rPr>
            </w:pPr>
          </w:p>
          <w:p w14:paraId="2001AA57">
            <w:pPr>
              <w:jc w:val="center"/>
              <w:rPr>
                <w:rFonts w:hint="default" w:ascii="Times New Roman" w:hAnsi="Times New Roman" w:eastAsia="宋体" w:cs="Times New Roman"/>
                <w:b/>
                <w:szCs w:val="21"/>
              </w:rPr>
            </w:pPr>
          </w:p>
          <w:p w14:paraId="0A63BED1">
            <w:pPr>
              <w:jc w:val="center"/>
              <w:rPr>
                <w:rFonts w:hint="default" w:ascii="Times New Roman" w:hAnsi="Times New Roman" w:eastAsia="宋体" w:cs="Times New Roman"/>
                <w:b/>
                <w:szCs w:val="21"/>
              </w:rPr>
            </w:pPr>
          </w:p>
          <w:p w14:paraId="1777C28C">
            <w:pPr>
              <w:jc w:val="center"/>
              <w:rPr>
                <w:rFonts w:hint="default" w:ascii="Times New Roman" w:hAnsi="Times New Roman" w:eastAsia="宋体" w:cs="Times New Roman"/>
                <w:b/>
                <w:szCs w:val="21"/>
              </w:rPr>
            </w:pPr>
          </w:p>
          <w:p w14:paraId="5852C175">
            <w:pPr>
              <w:jc w:val="center"/>
              <w:rPr>
                <w:rFonts w:hint="default" w:ascii="Times New Roman" w:hAnsi="Times New Roman" w:eastAsia="宋体" w:cs="Times New Roman"/>
                <w:b/>
                <w:szCs w:val="21"/>
              </w:rPr>
            </w:pPr>
          </w:p>
          <w:p w14:paraId="3E90AEEC">
            <w:pPr>
              <w:jc w:val="center"/>
              <w:rPr>
                <w:rFonts w:hint="default" w:ascii="Times New Roman" w:hAnsi="Times New Roman" w:eastAsia="宋体" w:cs="Times New Roman"/>
                <w:b/>
                <w:szCs w:val="21"/>
              </w:rPr>
            </w:pPr>
          </w:p>
          <w:p w14:paraId="2954BCCB">
            <w:pPr>
              <w:jc w:val="center"/>
              <w:rPr>
                <w:rFonts w:hint="default" w:ascii="Times New Roman" w:hAnsi="Times New Roman" w:eastAsia="宋体" w:cs="Times New Roman"/>
                <w:b/>
                <w:szCs w:val="21"/>
              </w:rPr>
            </w:pPr>
          </w:p>
          <w:p w14:paraId="0E103B21">
            <w:pPr>
              <w:jc w:val="center"/>
              <w:rPr>
                <w:rFonts w:hint="default" w:ascii="Times New Roman" w:hAnsi="Times New Roman" w:eastAsia="宋体" w:cs="Times New Roman"/>
                <w:b/>
                <w:szCs w:val="21"/>
              </w:rPr>
            </w:pPr>
          </w:p>
          <w:p w14:paraId="4B5D65EA">
            <w:pPr>
              <w:jc w:val="center"/>
              <w:rPr>
                <w:rFonts w:hint="default" w:ascii="Times New Roman" w:hAnsi="Times New Roman" w:eastAsia="宋体" w:cs="Times New Roman"/>
                <w:b/>
                <w:szCs w:val="21"/>
              </w:rPr>
            </w:pPr>
          </w:p>
          <w:p w14:paraId="22D68B91">
            <w:pPr>
              <w:jc w:val="center"/>
              <w:rPr>
                <w:rFonts w:hint="default" w:ascii="Times New Roman" w:hAnsi="Times New Roman" w:eastAsia="宋体" w:cs="Times New Roman"/>
                <w:b/>
                <w:szCs w:val="21"/>
              </w:rPr>
            </w:pPr>
          </w:p>
          <w:p w14:paraId="55FA956E">
            <w:pPr>
              <w:jc w:val="center"/>
              <w:rPr>
                <w:rFonts w:hint="default" w:ascii="Times New Roman" w:hAnsi="Times New Roman" w:eastAsia="宋体" w:cs="Times New Roman"/>
                <w:b/>
                <w:szCs w:val="20"/>
              </w:rPr>
            </w:pPr>
          </w:p>
        </w:tc>
      </w:tr>
      <w:tr w14:paraId="776D49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31D6F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8C59E8E">
            <w:pPr>
              <w:jc w:val="center"/>
              <w:rPr>
                <w:rFonts w:hint="default"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4C2CD5C">
            <w:pPr>
              <w:jc w:val="center"/>
              <w:rPr>
                <w:rFonts w:hint="default"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F8B48A8">
            <w:pPr>
              <w:jc w:val="center"/>
              <w:rPr>
                <w:rFonts w:hint="default" w:ascii="Times New Roman" w:hAnsi="Times New Roman" w:eastAsia="宋体" w:cs="Times New Roman"/>
                <w:b/>
                <w:szCs w:val="20"/>
              </w:rPr>
            </w:pPr>
          </w:p>
        </w:tc>
      </w:tr>
    </w:tbl>
    <w:p w14:paraId="0E35109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5C0639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注：为避免歧义，无偏离也应要提报该表，并注明“无”字。如无该表则即使在其它部分已反映，将也被视为“无偏离”。</w:t>
      </w:r>
    </w:p>
    <w:p w14:paraId="3BAF9D2C">
      <w:pPr>
        <w:rPr>
          <w:rFonts w:hint="default" w:ascii="Times New Roman" w:hAnsi="Times New Roman" w:eastAsia="宋体" w:cs="Times New Roman"/>
          <w:szCs w:val="20"/>
        </w:rPr>
      </w:pPr>
    </w:p>
    <w:p w14:paraId="79F7C622">
      <w:pPr>
        <w:rPr>
          <w:rFonts w:hint="default" w:ascii="Times New Roman" w:hAnsi="Times New Roman" w:eastAsia="宋体" w:cs="Times New Roman"/>
          <w:b/>
          <w:bCs/>
          <w:color w:val="000000"/>
          <w:sz w:val="28"/>
          <w:szCs w:val="20"/>
        </w:rPr>
      </w:pPr>
    </w:p>
    <w:p w14:paraId="774D9662">
      <w:pPr>
        <w:rPr>
          <w:rFonts w:hint="default" w:ascii="Times New Roman" w:hAnsi="Times New Roman" w:cs="Times New Roman"/>
        </w:rPr>
        <w:sectPr>
          <w:headerReference r:id="rId12" w:type="defaul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附件11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14"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附件12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24"/>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Cs w:val="20"/>
        </w:rPr>
        <w:br w:type="page"/>
      </w:r>
      <w:r>
        <w:rPr>
          <w:rFonts w:hint="default" w:ascii="Times New Roman" w:hAnsi="Times New Roman" w:eastAsia="宋体" w:cs="Times New Roman"/>
          <w:b/>
          <w:bCs/>
          <w:color w:val="000000"/>
          <w:sz w:val="24"/>
          <w:szCs w:val="24"/>
        </w:rPr>
        <w:t>附件13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4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ascii="Times New Roman" w:hAnsi="Times New Roman" w:cs="Times New Roman"/>
                <w:b/>
                <w:szCs w:val="20"/>
                <w:lang w:val="en-US" w:eastAsia="zh-CN"/>
              </w:rPr>
              <w:t>济南成型厂核心机房UPS设备更新项目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6CE9F36F">
      <w:pPr>
        <w:rPr>
          <w:rFonts w:hint="eastAsia" w:hAnsi="宋体" w:eastAsia="宋体" w:cs="宋体"/>
          <w:b/>
          <w:bCs/>
          <w:color w:val="000000"/>
          <w:sz w:val="24"/>
          <w:szCs w:val="24"/>
          <w:highlight w:val="none"/>
          <w:lang w:val="en-US" w:eastAsia="zh-CN"/>
        </w:rPr>
      </w:pPr>
      <w:r>
        <w:rPr>
          <w:rFonts w:hint="eastAsia" w:hAnsi="宋体" w:eastAsia="宋体" w:cs="宋体"/>
          <w:b/>
          <w:bCs/>
          <w:color w:val="000000"/>
          <w:sz w:val="24"/>
          <w:szCs w:val="24"/>
          <w:highlight w:val="none"/>
          <w:lang w:val="en-US" w:eastAsia="zh-CN"/>
        </w:rPr>
        <w:br w:type="page"/>
      </w: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2"/>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3"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4"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5"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6"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7"/>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8"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硬件</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数智化转型发展部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7CF5224">
      <w:pPr>
        <w:outlineLvl w:val="9"/>
        <w:rPr>
          <w:rFonts w:hint="default"/>
          <w:lang w:val="en-US" w:eastAsia="zh-CN"/>
        </w:rPr>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9"/>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0"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1"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2"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3"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4"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5"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9" w:type="default"/>
      <w:footerReference r:id="rId20"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3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30"/>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30"/>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30"/>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30"/>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3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30"/>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30"/>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3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30"/>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30"/>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3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30"/>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30"/>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30"/>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30"/>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30"/>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30"/>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FCFB1">
    <w:pPr>
      <w:pStyle w:val="30"/>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A9DCB">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639A9DCB">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7884">
    <w:pPr>
      <w:pStyle w:val="30"/>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6C5E69">
                          <w:pPr>
                            <w:pStyle w:val="30"/>
                          </w:pPr>
                          <w:r>
                            <w:fldChar w:fldCharType="begin"/>
                          </w:r>
                          <w:r>
                            <w:instrText xml:space="preserve"> PAGE  \* MERGEFORMAT </w:instrText>
                          </w:r>
                          <w:r>
                            <w:fldChar w:fldCharType="separate"/>
                          </w:r>
                          <w:r>
                            <w:t>109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3F6C5E69">
                    <w:pPr>
                      <w:pStyle w:val="30"/>
                    </w:pPr>
                    <w:r>
                      <w:fldChar w:fldCharType="begin"/>
                    </w:r>
                    <w:r>
                      <w:instrText xml:space="preserve"> PAGE  \* MERGEFORMAT </w:instrText>
                    </w:r>
                    <w:r>
                      <w:fldChar w:fldCharType="separate"/>
                    </w:r>
                    <w:r>
                      <w:t>109</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8043D">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1F534E">
                          <w:pPr>
                            <w:pStyle w:val="30"/>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7C1F534E">
                    <w:pPr>
                      <w:pStyle w:val="30"/>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1B3AF5"/>
    <w:multiLevelType w:val="singleLevel"/>
    <w:tmpl w:val="891B3AF5"/>
    <w:lvl w:ilvl="0" w:tentative="0">
      <w:start w:val="1"/>
      <w:numFmt w:val="decimal"/>
      <w:lvlText w:val="%1."/>
      <w:lvlJc w:val="left"/>
      <w:pPr>
        <w:tabs>
          <w:tab w:val="left" w:pos="312"/>
        </w:tabs>
      </w:p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F54BF83F"/>
    <w:multiLevelType w:val="singleLevel"/>
    <w:tmpl w:val="F54BF83F"/>
    <w:lvl w:ilvl="0" w:tentative="0">
      <w:start w:val="1"/>
      <w:numFmt w:val="decimal"/>
      <w:suff w:val="space"/>
      <w:lvlText w:val="%1."/>
      <w:lvlJc w:val="left"/>
      <w:pPr>
        <w:ind w:left="0" w:firstLine="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4"/>
  </w:num>
  <w:num w:numId="3">
    <w:abstractNumId w:val="9"/>
  </w:num>
  <w:num w:numId="4">
    <w:abstractNumId w:val="1"/>
  </w:num>
  <w:num w:numId="5">
    <w:abstractNumId w:val="11"/>
  </w:num>
  <w:num w:numId="6">
    <w:abstractNumId w:val="6"/>
  </w:num>
  <w:num w:numId="7">
    <w:abstractNumId w:val="5"/>
  </w:num>
  <w:num w:numId="8">
    <w:abstractNumId w:val="10"/>
  </w:num>
  <w:num w:numId="9">
    <w:abstractNumId w:val="0"/>
  </w:num>
  <w:num w:numId="10">
    <w:abstractNumId w:val="3"/>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2"/>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026C21"/>
    <w:rsid w:val="02E74D14"/>
    <w:rsid w:val="02FC5AB3"/>
    <w:rsid w:val="02FF7BF3"/>
    <w:rsid w:val="035E6B0B"/>
    <w:rsid w:val="04B15209"/>
    <w:rsid w:val="04D70225"/>
    <w:rsid w:val="05160EF2"/>
    <w:rsid w:val="0BEB0202"/>
    <w:rsid w:val="0CA15148"/>
    <w:rsid w:val="0D326CC2"/>
    <w:rsid w:val="0EA03360"/>
    <w:rsid w:val="1378147A"/>
    <w:rsid w:val="15763D45"/>
    <w:rsid w:val="1868332D"/>
    <w:rsid w:val="1DA82577"/>
    <w:rsid w:val="1E1170AC"/>
    <w:rsid w:val="22A44CDF"/>
    <w:rsid w:val="26D23A93"/>
    <w:rsid w:val="279369D8"/>
    <w:rsid w:val="29C928E7"/>
    <w:rsid w:val="2A7C02EC"/>
    <w:rsid w:val="2A8F7CD5"/>
    <w:rsid w:val="2B3F4DD2"/>
    <w:rsid w:val="2B9654FA"/>
    <w:rsid w:val="2E7345D1"/>
    <w:rsid w:val="310E6C02"/>
    <w:rsid w:val="353F5A8C"/>
    <w:rsid w:val="36DE1355"/>
    <w:rsid w:val="37E8142B"/>
    <w:rsid w:val="393D26BB"/>
    <w:rsid w:val="3A5B7C10"/>
    <w:rsid w:val="3D9C2881"/>
    <w:rsid w:val="3F801B0E"/>
    <w:rsid w:val="413C1020"/>
    <w:rsid w:val="41A55A6F"/>
    <w:rsid w:val="429D2840"/>
    <w:rsid w:val="48A82A9E"/>
    <w:rsid w:val="4A082E0A"/>
    <w:rsid w:val="4AC268B8"/>
    <w:rsid w:val="4CC51E60"/>
    <w:rsid w:val="4CD949FD"/>
    <w:rsid w:val="4DCD7C9F"/>
    <w:rsid w:val="4F4A4FC8"/>
    <w:rsid w:val="508341B3"/>
    <w:rsid w:val="51654692"/>
    <w:rsid w:val="54D7260C"/>
    <w:rsid w:val="55445BDD"/>
    <w:rsid w:val="57E02431"/>
    <w:rsid w:val="58055C15"/>
    <w:rsid w:val="58AE4B70"/>
    <w:rsid w:val="5F377063"/>
    <w:rsid w:val="5FF411EE"/>
    <w:rsid w:val="62E50A5D"/>
    <w:rsid w:val="633A3E82"/>
    <w:rsid w:val="65E3187B"/>
    <w:rsid w:val="673F2C72"/>
    <w:rsid w:val="68C06BDA"/>
    <w:rsid w:val="69F8009E"/>
    <w:rsid w:val="6AB76068"/>
    <w:rsid w:val="6C9132F0"/>
    <w:rsid w:val="6D5B701C"/>
    <w:rsid w:val="736A2597"/>
    <w:rsid w:val="74995770"/>
    <w:rsid w:val="75CD3E17"/>
    <w:rsid w:val="7A8F4EBB"/>
    <w:rsid w:val="7B802C44"/>
    <w:rsid w:val="7EEC3F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2">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link w:val="77"/>
    <w:qFormat/>
    <w:uiPriority w:val="99"/>
    <w:rPr>
      <w:sz w:val="24"/>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7"/>
    <w:next w:val="17"/>
    <w:link w:val="120"/>
    <w:qFormat/>
    <w:uiPriority w:val="0"/>
    <w:pPr>
      <w:adjustRightInd/>
      <w:spacing w:line="240" w:lineRule="auto"/>
      <w:textAlignment w:val="auto"/>
    </w:pPr>
  </w:style>
  <w:style w:type="paragraph" w:styleId="46">
    <w:name w:val="Body Text First Indent"/>
    <w:basedOn w:val="19"/>
    <w:link w:val="121"/>
    <w:qFormat/>
    <w:uiPriority w:val="0"/>
    <w:pPr>
      <w:spacing w:after="120"/>
      <w:ind w:firstLine="420" w:firstLineChars="100"/>
    </w:pPr>
    <w:rPr>
      <w:rFonts w:ascii="宋体" w:hAnsi="宋体"/>
      <w:color w:val="000000"/>
      <w:lang w:val="zh-CN"/>
    </w:rPr>
  </w:style>
  <w:style w:type="paragraph" w:styleId="47">
    <w:name w:val="Body Text First Indent 2"/>
    <w:basedOn w:val="20"/>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2"/>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2"/>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2"/>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4"/>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49</Pages>
  <Words>8721</Words>
  <Characters>9092</Characters>
  <Lines>52</Lines>
  <Paragraphs>14</Paragraphs>
  <TotalTime>1</TotalTime>
  <ScaleCrop>false</ScaleCrop>
  <LinksUpToDate>false</LinksUpToDate>
  <CharactersWithSpaces>9670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2025-12-23T09:41:06Z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