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8338A">
      <w:pPr>
        <w:widowControl/>
        <w:snapToGrid w:val="0"/>
        <w:spacing w:line="360" w:lineRule="auto"/>
        <w:jc w:val="center"/>
        <w:textAlignment w:val="baseline"/>
        <w:rPr>
          <w:rFonts w:ascii="宋体" w:hAnsi="宋体" w:eastAsia="宋体" w:cs="Times New Roman"/>
          <w:kern w:val="0"/>
          <w:sz w:val="44"/>
          <w:szCs w:val="20"/>
        </w:rPr>
      </w:pPr>
      <w:bookmarkStart w:id="0" w:name="_Hlk60935136"/>
    </w:p>
    <w:bookmarkEnd w:id="0"/>
    <w:p w14:paraId="3A54188A">
      <w:pPr>
        <w:widowControl/>
        <w:spacing w:line="360" w:lineRule="auto"/>
        <w:jc w:val="center"/>
        <w:textAlignment w:val="baseline"/>
        <w:rPr>
          <w:rFonts w:hint="eastAsia" w:ascii="宋体" w:hAnsi="宋体" w:eastAsia="宋体" w:cs="Times New Roman"/>
          <w:kern w:val="0"/>
          <w:sz w:val="44"/>
          <w:szCs w:val="20"/>
          <w:lang w:val="en-US" w:eastAsia="zh-CN"/>
        </w:rPr>
      </w:pPr>
      <w:r>
        <w:rPr>
          <w:rFonts w:hint="eastAsia" w:ascii="宋体" w:hAnsi="宋体" w:eastAsia="宋体" w:cs="Times New Roman"/>
          <w:kern w:val="0"/>
          <w:sz w:val="44"/>
          <w:szCs w:val="20"/>
        </w:rPr>
        <w:t>第</w:t>
      </w:r>
      <w:r>
        <w:rPr>
          <w:rFonts w:hint="eastAsia" w:ascii="宋体" w:hAnsi="宋体" w:eastAsia="宋体" w:cs="Times New Roman"/>
          <w:kern w:val="0"/>
          <w:sz w:val="44"/>
          <w:szCs w:val="20"/>
          <w:lang w:val="en-US" w:eastAsia="zh-CN"/>
        </w:rPr>
        <w:t>138届</w:t>
      </w:r>
      <w:r>
        <w:rPr>
          <w:rFonts w:ascii="宋体" w:hAnsi="宋体" w:eastAsia="宋体" w:cs="Times New Roman"/>
          <w:kern w:val="0"/>
          <w:sz w:val="44"/>
          <w:szCs w:val="20"/>
        </w:rPr>
        <w:t>广交会搭建运营项目</w:t>
      </w:r>
      <w:r>
        <w:rPr>
          <w:rFonts w:hint="eastAsia" w:ascii="宋体" w:hAnsi="宋体" w:eastAsia="宋体" w:cs="Times New Roman"/>
          <w:kern w:val="0"/>
          <w:sz w:val="44"/>
          <w:szCs w:val="20"/>
          <w:lang w:val="en-US" w:eastAsia="zh-CN"/>
        </w:rPr>
        <w:t>招标书</w:t>
      </w:r>
    </w:p>
    <w:p w14:paraId="649DB2C5">
      <w:pPr>
        <w:widowControl/>
        <w:spacing w:line="360" w:lineRule="auto"/>
        <w:jc w:val="center"/>
        <w:textAlignment w:val="baseline"/>
        <w:rPr>
          <w:rFonts w:ascii="宋体" w:hAnsi="宋体" w:eastAsia="宋体" w:cs="Times New Roman"/>
          <w:kern w:val="0"/>
          <w:sz w:val="28"/>
          <w:szCs w:val="20"/>
        </w:rPr>
      </w:pPr>
      <w:r>
        <w:rPr>
          <w:rFonts w:ascii="宋体" w:hAnsi="宋体" w:eastAsia="宋体" w:cs="Times New Roman"/>
          <w:b/>
          <w:kern w:val="0"/>
          <w:sz w:val="32"/>
          <w:szCs w:val="20"/>
        </w:rPr>
        <w:t>第一部分 基本信息</w:t>
      </w:r>
    </w:p>
    <w:p w14:paraId="5B3B1C13">
      <w:pPr>
        <w:widowControl/>
        <w:spacing w:line="360" w:lineRule="auto"/>
        <w:ind w:left="2" w:firstLine="574"/>
        <w:textAlignment w:val="baseline"/>
        <w:rPr>
          <w:rFonts w:ascii="宋体" w:hAnsi="宋体" w:eastAsia="宋体" w:cs="Times New Roman"/>
          <w:kern w:val="0"/>
          <w:sz w:val="28"/>
          <w:szCs w:val="20"/>
        </w:rPr>
      </w:pPr>
      <w:r>
        <w:rPr>
          <w:rFonts w:ascii="宋体" w:hAnsi="宋体" w:eastAsia="宋体" w:cs="Times New Roman"/>
          <w:kern w:val="0"/>
          <w:sz w:val="28"/>
          <w:szCs w:val="20"/>
        </w:rPr>
        <w:t>一、招标</w:t>
      </w:r>
      <w:r>
        <w:rPr>
          <w:rFonts w:hint="eastAsia" w:ascii="宋体" w:hAnsi="宋体" w:eastAsia="宋体" w:cs="Times New Roman"/>
          <w:kern w:val="0"/>
          <w:sz w:val="28"/>
          <w:szCs w:val="20"/>
        </w:rPr>
        <w:t>人</w:t>
      </w:r>
    </w:p>
    <w:p w14:paraId="39427FC7">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中国重汽集团国际有限公司</w:t>
      </w:r>
    </w:p>
    <w:p w14:paraId="0BBA260B">
      <w:pPr>
        <w:widowControl/>
        <w:spacing w:line="360" w:lineRule="auto"/>
        <w:ind w:left="2" w:firstLine="574"/>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二</w:t>
      </w:r>
      <w:r>
        <w:rPr>
          <w:rFonts w:ascii="宋体" w:hAnsi="宋体" w:eastAsia="宋体" w:cs="Times New Roman"/>
          <w:kern w:val="0"/>
          <w:sz w:val="28"/>
          <w:szCs w:val="20"/>
        </w:rPr>
        <w:t>、招标</w:t>
      </w:r>
      <w:r>
        <w:rPr>
          <w:rFonts w:hint="eastAsia" w:ascii="宋体" w:hAnsi="宋体" w:eastAsia="宋体" w:cs="Times New Roman"/>
          <w:kern w:val="0"/>
          <w:sz w:val="28"/>
          <w:szCs w:val="20"/>
        </w:rPr>
        <w:t>方</w:t>
      </w:r>
      <w:r>
        <w:rPr>
          <w:rFonts w:ascii="宋体" w:hAnsi="宋体" w:eastAsia="宋体" w:cs="Times New Roman"/>
          <w:kern w:val="0"/>
          <w:sz w:val="28"/>
          <w:szCs w:val="20"/>
        </w:rPr>
        <w:t>式</w:t>
      </w:r>
    </w:p>
    <w:p w14:paraId="58D55229">
      <w:pPr>
        <w:widowControl/>
        <w:spacing w:line="360" w:lineRule="auto"/>
        <w:ind w:left="2" w:firstLine="574"/>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公开招标</w:t>
      </w:r>
    </w:p>
    <w:p w14:paraId="03AB449F">
      <w:pPr>
        <w:widowControl/>
        <w:numPr>
          <w:ilvl w:val="0"/>
          <w:numId w:val="1"/>
        </w:numPr>
        <w:spacing w:line="360" w:lineRule="auto"/>
        <w:ind w:left="2" w:firstLine="574"/>
        <w:textAlignment w:val="baseline"/>
        <w:rPr>
          <w:rFonts w:ascii="宋体" w:hAnsi="宋体" w:eastAsia="宋体" w:cs="Times New Roman"/>
          <w:kern w:val="0"/>
          <w:sz w:val="28"/>
          <w:szCs w:val="20"/>
        </w:rPr>
      </w:pPr>
      <w:r>
        <w:rPr>
          <w:rFonts w:ascii="宋体" w:hAnsi="宋体" w:eastAsia="宋体" w:cs="Times New Roman"/>
          <w:kern w:val="0"/>
          <w:sz w:val="28"/>
          <w:szCs w:val="20"/>
        </w:rPr>
        <w:t>招标内容</w:t>
      </w:r>
    </w:p>
    <w:p w14:paraId="0FF16C25">
      <w:pPr>
        <w:widowControl/>
        <w:spacing w:line="360" w:lineRule="auto"/>
        <w:ind w:left="576"/>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第</w:t>
      </w:r>
      <w:r>
        <w:rPr>
          <w:rFonts w:hint="eastAsia" w:ascii="宋体" w:hAnsi="宋体" w:eastAsia="宋体" w:cs="Times New Roman"/>
          <w:kern w:val="0"/>
          <w:sz w:val="28"/>
          <w:szCs w:val="20"/>
          <w:lang w:val="en-US" w:eastAsia="zh-CN"/>
        </w:rPr>
        <w:t>138届</w:t>
      </w:r>
      <w:r>
        <w:rPr>
          <w:rFonts w:hint="eastAsia" w:ascii="宋体" w:hAnsi="宋体" w:eastAsia="宋体" w:cs="Times New Roman"/>
          <w:kern w:val="0"/>
          <w:sz w:val="28"/>
          <w:szCs w:val="20"/>
        </w:rPr>
        <w:t>广交会搭建运营</w:t>
      </w:r>
    </w:p>
    <w:p w14:paraId="118B212C">
      <w:pPr>
        <w:widowControl/>
        <w:spacing w:line="360" w:lineRule="auto"/>
        <w:ind w:left="2" w:firstLine="574"/>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四</w:t>
      </w:r>
      <w:r>
        <w:rPr>
          <w:rFonts w:ascii="宋体" w:hAnsi="宋体" w:eastAsia="宋体" w:cs="Times New Roman"/>
          <w:kern w:val="0"/>
          <w:sz w:val="28"/>
          <w:szCs w:val="20"/>
        </w:rPr>
        <w:t>、开标方式</w:t>
      </w:r>
    </w:p>
    <w:p w14:paraId="4847DFBE">
      <w:pPr>
        <w:widowControl/>
        <w:spacing w:line="360" w:lineRule="auto"/>
        <w:ind w:left="2" w:firstLine="574"/>
        <w:textAlignment w:val="baseline"/>
        <w:rPr>
          <w:rFonts w:ascii="宋体" w:hAnsi="宋体" w:eastAsia="宋体" w:cs="Times New Roman"/>
          <w:kern w:val="0"/>
          <w:sz w:val="28"/>
          <w:szCs w:val="20"/>
        </w:rPr>
      </w:pPr>
      <w:r>
        <w:rPr>
          <w:rFonts w:ascii="宋体" w:hAnsi="宋体" w:eastAsia="宋体" w:cs="Times New Roman"/>
          <w:kern w:val="0"/>
          <w:sz w:val="28"/>
          <w:szCs w:val="20"/>
        </w:rPr>
        <w:t>公开唱标，内部评标</w:t>
      </w:r>
    </w:p>
    <w:p w14:paraId="5D3D862F">
      <w:pPr>
        <w:widowControl/>
        <w:spacing w:line="360" w:lineRule="auto"/>
        <w:ind w:left="2" w:firstLine="58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五</w:t>
      </w:r>
      <w:r>
        <w:rPr>
          <w:rFonts w:ascii="宋体" w:hAnsi="宋体" w:eastAsia="宋体" w:cs="Times New Roman"/>
          <w:kern w:val="0"/>
          <w:sz w:val="28"/>
          <w:szCs w:val="20"/>
        </w:rPr>
        <w:t>、开标时间</w:t>
      </w:r>
    </w:p>
    <w:p w14:paraId="4627B4D6">
      <w:pPr>
        <w:widowControl/>
        <w:spacing w:line="360" w:lineRule="auto"/>
        <w:ind w:left="2" w:firstLine="574"/>
        <w:textAlignment w:val="baseline"/>
        <w:rPr>
          <w:rFonts w:ascii="宋体" w:hAnsi="宋体" w:eastAsia="宋体" w:cs="Times New Roman"/>
          <w:kern w:val="0"/>
          <w:sz w:val="28"/>
          <w:szCs w:val="20"/>
          <w:highlight w:val="none"/>
        </w:rPr>
      </w:pPr>
      <w:r>
        <w:rPr>
          <w:rFonts w:hint="eastAsia" w:ascii="宋体" w:hAnsi="宋体" w:eastAsia="宋体" w:cs="Times New Roman"/>
          <w:kern w:val="0"/>
          <w:sz w:val="28"/>
          <w:szCs w:val="20"/>
          <w:highlight w:val="none"/>
        </w:rPr>
        <w:t>2</w:t>
      </w:r>
      <w:r>
        <w:rPr>
          <w:rFonts w:ascii="宋体" w:hAnsi="宋体" w:eastAsia="宋体" w:cs="Times New Roman"/>
          <w:kern w:val="0"/>
          <w:sz w:val="28"/>
          <w:szCs w:val="20"/>
          <w:highlight w:val="none"/>
        </w:rPr>
        <w:t>02</w:t>
      </w:r>
      <w:r>
        <w:rPr>
          <w:rFonts w:hint="eastAsia" w:ascii="宋体" w:hAnsi="宋体" w:eastAsia="宋体" w:cs="Times New Roman"/>
          <w:kern w:val="0"/>
          <w:sz w:val="28"/>
          <w:szCs w:val="20"/>
          <w:highlight w:val="none"/>
          <w:lang w:val="en-US" w:eastAsia="zh-CN"/>
        </w:rPr>
        <w:t>5</w:t>
      </w:r>
      <w:r>
        <w:rPr>
          <w:rFonts w:hint="eastAsia" w:ascii="宋体" w:hAnsi="宋体" w:eastAsia="宋体" w:cs="Times New Roman"/>
          <w:kern w:val="0"/>
          <w:sz w:val="28"/>
          <w:szCs w:val="20"/>
          <w:highlight w:val="none"/>
        </w:rPr>
        <w:t>年</w:t>
      </w:r>
      <w:r>
        <w:rPr>
          <w:rFonts w:hint="eastAsia" w:ascii="宋体" w:hAnsi="宋体" w:eastAsia="宋体" w:cs="Times New Roman"/>
          <w:kern w:val="0"/>
          <w:sz w:val="28"/>
          <w:szCs w:val="20"/>
          <w:highlight w:val="none"/>
          <w:lang w:val="en-US" w:eastAsia="zh-CN"/>
        </w:rPr>
        <w:t>8</w:t>
      </w:r>
      <w:r>
        <w:rPr>
          <w:rFonts w:hint="eastAsia" w:ascii="宋体" w:hAnsi="宋体" w:eastAsia="宋体" w:cs="Times New Roman"/>
          <w:kern w:val="0"/>
          <w:sz w:val="28"/>
          <w:szCs w:val="20"/>
          <w:highlight w:val="none"/>
        </w:rPr>
        <w:t>月</w:t>
      </w:r>
      <w:r>
        <w:rPr>
          <w:rFonts w:hint="eastAsia" w:ascii="宋体" w:hAnsi="宋体" w:eastAsia="宋体" w:cs="Times New Roman"/>
          <w:kern w:val="0"/>
          <w:sz w:val="28"/>
          <w:szCs w:val="20"/>
          <w:highlight w:val="none"/>
          <w:lang w:val="en-US" w:eastAsia="zh-CN"/>
        </w:rPr>
        <w:t>25</w:t>
      </w:r>
      <w:r>
        <w:rPr>
          <w:rFonts w:hint="eastAsia" w:ascii="宋体" w:hAnsi="宋体" w:eastAsia="宋体" w:cs="Times New Roman"/>
          <w:kern w:val="0"/>
          <w:sz w:val="28"/>
          <w:szCs w:val="20"/>
          <w:highlight w:val="none"/>
        </w:rPr>
        <w:t>日</w:t>
      </w:r>
      <w:r>
        <w:rPr>
          <w:rFonts w:hint="eastAsia" w:ascii="宋体" w:hAnsi="宋体" w:eastAsia="宋体" w:cs="Times New Roman"/>
          <w:kern w:val="0"/>
          <w:sz w:val="28"/>
          <w:szCs w:val="20"/>
          <w:highlight w:val="none"/>
          <w:lang w:val="en-US" w:eastAsia="zh-CN"/>
        </w:rPr>
        <w:t>14</w:t>
      </w:r>
      <w:r>
        <w:rPr>
          <w:rFonts w:hint="eastAsia" w:ascii="宋体" w:hAnsi="宋体" w:eastAsia="宋体" w:cs="Times New Roman"/>
          <w:kern w:val="0"/>
          <w:sz w:val="28"/>
          <w:szCs w:val="20"/>
          <w:highlight w:val="none"/>
        </w:rPr>
        <w:t>时</w:t>
      </w:r>
    </w:p>
    <w:p w14:paraId="2ED06CC6">
      <w:pPr>
        <w:widowControl/>
        <w:spacing w:line="360" w:lineRule="auto"/>
        <w:ind w:left="2" w:firstLine="574"/>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六</w:t>
      </w:r>
      <w:r>
        <w:rPr>
          <w:rFonts w:ascii="宋体" w:hAnsi="宋体" w:eastAsia="宋体" w:cs="Times New Roman"/>
          <w:kern w:val="0"/>
          <w:sz w:val="28"/>
          <w:szCs w:val="20"/>
        </w:rPr>
        <w:t>、开标地点</w:t>
      </w:r>
    </w:p>
    <w:p w14:paraId="1E85674F">
      <w:pPr>
        <w:widowControl/>
        <w:spacing w:line="360" w:lineRule="auto"/>
        <w:ind w:left="2" w:firstLine="574"/>
        <w:textAlignment w:val="baseline"/>
        <w:rPr>
          <w:rFonts w:ascii="宋体" w:hAnsi="宋体" w:eastAsia="宋体" w:cs="Times New Roman"/>
          <w:kern w:val="0"/>
          <w:sz w:val="28"/>
          <w:szCs w:val="20"/>
        </w:rPr>
      </w:pPr>
      <w:r>
        <w:rPr>
          <w:rFonts w:ascii="宋体" w:hAnsi="宋体" w:eastAsia="宋体" w:cs="Times New Roman"/>
          <w:kern w:val="0"/>
          <w:sz w:val="28"/>
          <w:szCs w:val="20"/>
        </w:rPr>
        <w:t>山东省济南市高新区华奥路777号</w:t>
      </w:r>
      <w:r>
        <w:rPr>
          <w:rFonts w:hint="eastAsia" w:ascii="宋体" w:hAnsi="宋体" w:eastAsia="宋体" w:cs="Times New Roman"/>
          <w:kern w:val="0"/>
          <w:sz w:val="28"/>
          <w:szCs w:val="20"/>
        </w:rPr>
        <w:t>中国</w:t>
      </w:r>
      <w:r>
        <w:rPr>
          <w:rFonts w:ascii="宋体" w:hAnsi="宋体" w:eastAsia="宋体" w:cs="Times New Roman"/>
          <w:kern w:val="0"/>
          <w:sz w:val="28"/>
          <w:szCs w:val="20"/>
        </w:rPr>
        <w:t>重汽科技大厦，具体会议室另行通知</w:t>
      </w:r>
    </w:p>
    <w:p w14:paraId="7B8B0D15">
      <w:pPr>
        <w:widowControl/>
        <w:spacing w:line="360" w:lineRule="auto"/>
        <w:ind w:left="2" w:firstLine="574"/>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七</w:t>
      </w:r>
      <w:r>
        <w:rPr>
          <w:rFonts w:ascii="宋体" w:hAnsi="宋体" w:eastAsia="宋体" w:cs="Times New Roman"/>
          <w:kern w:val="0"/>
          <w:sz w:val="28"/>
          <w:szCs w:val="20"/>
        </w:rPr>
        <w:t>、</w:t>
      </w:r>
      <w:r>
        <w:rPr>
          <w:rFonts w:hint="eastAsia" w:ascii="宋体" w:hAnsi="宋体" w:eastAsia="宋体" w:cs="Times New Roman"/>
          <w:kern w:val="0"/>
          <w:sz w:val="28"/>
          <w:szCs w:val="20"/>
        </w:rPr>
        <w:t>中标人数量</w:t>
      </w:r>
    </w:p>
    <w:p w14:paraId="52131907">
      <w:pPr>
        <w:widowControl/>
        <w:spacing w:line="360" w:lineRule="auto"/>
        <w:ind w:left="2" w:firstLine="574"/>
        <w:textAlignment w:val="baseline"/>
        <w:rPr>
          <w:rFonts w:hint="eastAsia" w:ascii="宋体" w:hAnsi="宋体" w:eastAsia="宋体" w:cs="Times New Roman"/>
          <w:kern w:val="0"/>
          <w:sz w:val="28"/>
          <w:szCs w:val="20"/>
        </w:rPr>
      </w:pPr>
      <w:r>
        <w:rPr>
          <w:rFonts w:hint="eastAsia" w:ascii="宋体" w:hAnsi="宋体" w:eastAsia="宋体" w:cs="Times New Roman"/>
          <w:kern w:val="0"/>
          <w:sz w:val="28"/>
          <w:szCs w:val="20"/>
        </w:rPr>
        <w:t>中标单位为1家</w:t>
      </w:r>
    </w:p>
    <w:p w14:paraId="62EDFFFC">
      <w:pPr>
        <w:widowControl/>
        <w:numPr>
          <w:ilvl w:val="0"/>
          <w:numId w:val="2"/>
        </w:numPr>
        <w:spacing w:line="360" w:lineRule="auto"/>
        <w:ind w:left="2" w:firstLine="574"/>
        <w:textAlignment w:val="baseline"/>
        <w:rPr>
          <w:rFonts w:hint="default" w:ascii="宋体" w:hAnsi="宋体" w:eastAsia="宋体" w:cs="Times New Roman"/>
          <w:kern w:val="0"/>
          <w:sz w:val="28"/>
          <w:szCs w:val="20"/>
          <w:lang w:val="en-US" w:eastAsia="zh-CN"/>
        </w:rPr>
      </w:pPr>
      <w:r>
        <w:rPr>
          <w:rFonts w:hint="eastAsia" w:ascii="宋体" w:hAnsi="宋体" w:eastAsia="宋体" w:cs="Times New Roman"/>
          <w:kern w:val="0"/>
          <w:sz w:val="28"/>
          <w:szCs w:val="20"/>
          <w:lang w:val="en-US" w:eastAsia="zh-CN"/>
        </w:rPr>
        <w:t>其他</w:t>
      </w:r>
    </w:p>
    <w:p w14:paraId="285F9901">
      <w:pPr>
        <w:widowControl/>
        <w:numPr>
          <w:ilvl w:val="0"/>
          <w:numId w:val="0"/>
        </w:numPr>
        <w:spacing w:line="360" w:lineRule="auto"/>
        <w:ind w:left="576" w:leftChars="0"/>
        <w:textAlignment w:val="baseline"/>
        <w:rPr>
          <w:rFonts w:hint="default" w:ascii="宋体" w:hAnsi="宋体" w:eastAsia="宋体" w:cs="Times New Roman"/>
          <w:kern w:val="0"/>
          <w:sz w:val="28"/>
          <w:szCs w:val="20"/>
          <w:lang w:val="en-US" w:eastAsia="zh-CN"/>
        </w:rPr>
      </w:pPr>
      <w:r>
        <w:rPr>
          <w:rFonts w:hint="eastAsia" w:ascii="宋体" w:hAnsi="宋体" w:eastAsia="宋体" w:cs="Times New Roman"/>
          <w:kern w:val="0"/>
          <w:sz w:val="28"/>
          <w:szCs w:val="20"/>
          <w:lang w:val="en-US" w:eastAsia="zh-CN"/>
        </w:rPr>
        <w:t>投标人</w:t>
      </w:r>
      <w:r>
        <w:rPr>
          <w:rFonts w:hint="default" w:ascii="宋体" w:hAnsi="宋体" w:eastAsia="宋体" w:cs="Times New Roman"/>
          <w:kern w:val="0"/>
          <w:sz w:val="28"/>
          <w:szCs w:val="20"/>
          <w:lang w:val="en-US" w:eastAsia="zh-CN"/>
        </w:rPr>
        <w:t>需提前注册开通“中国重汽e采通全球供应链管理云平台”供应商账号，注册流程见附件（附件：非生产供应商注册操作手册）</w:t>
      </w:r>
    </w:p>
    <w:p w14:paraId="57DDFDA9">
      <w:pPr>
        <w:widowControl/>
        <w:spacing w:line="360" w:lineRule="auto"/>
        <w:ind w:firstLine="440"/>
        <w:jc w:val="center"/>
        <w:textAlignment w:val="baseline"/>
        <w:rPr>
          <w:rFonts w:ascii="宋体" w:hAnsi="宋体" w:eastAsia="宋体" w:cs="Times New Roman"/>
          <w:kern w:val="0"/>
          <w:sz w:val="32"/>
          <w:szCs w:val="20"/>
        </w:rPr>
      </w:pPr>
      <w:r>
        <w:rPr>
          <w:rFonts w:ascii="宋体" w:hAnsi="宋体" w:eastAsia="宋体" w:cs="Times New Roman"/>
          <w:b/>
          <w:kern w:val="0"/>
          <w:sz w:val="32"/>
          <w:szCs w:val="20"/>
        </w:rPr>
        <w:t>第二部分 投标人须知</w:t>
      </w:r>
    </w:p>
    <w:p w14:paraId="7DB456AD">
      <w:pPr>
        <w:widowControl/>
        <w:spacing w:line="360" w:lineRule="auto"/>
        <w:ind w:firstLine="568"/>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一</w:t>
      </w:r>
      <w:r>
        <w:rPr>
          <w:rFonts w:ascii="宋体" w:hAnsi="宋体" w:eastAsia="宋体" w:cs="Times New Roman"/>
          <w:kern w:val="0"/>
          <w:sz w:val="28"/>
          <w:szCs w:val="20"/>
        </w:rPr>
        <w:t>、招标文件的澄清与修正</w:t>
      </w:r>
    </w:p>
    <w:p w14:paraId="72AFAE0B">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1.在开标前，投标人已发出</w:t>
      </w:r>
      <w:r>
        <w:rPr>
          <w:rFonts w:hint="eastAsia" w:ascii="宋体" w:hAnsi="宋体" w:eastAsia="宋体" w:cs="Times New Roman"/>
          <w:kern w:val="0"/>
          <w:sz w:val="28"/>
          <w:szCs w:val="20"/>
        </w:rPr>
        <w:t>投</w:t>
      </w:r>
      <w:r>
        <w:rPr>
          <w:rFonts w:ascii="宋体" w:hAnsi="宋体" w:eastAsia="宋体" w:cs="Times New Roman"/>
          <w:kern w:val="0"/>
          <w:sz w:val="28"/>
          <w:szCs w:val="20"/>
        </w:rPr>
        <w:t>标资料但需要澄清</w:t>
      </w:r>
      <w:r>
        <w:rPr>
          <w:rFonts w:hint="eastAsia" w:ascii="宋体" w:hAnsi="宋体" w:eastAsia="宋体" w:cs="Times New Roman"/>
          <w:kern w:val="0"/>
          <w:sz w:val="28"/>
          <w:szCs w:val="20"/>
        </w:rPr>
        <w:t>投</w:t>
      </w:r>
      <w:r>
        <w:rPr>
          <w:rFonts w:ascii="宋体" w:hAnsi="宋体" w:eastAsia="宋体" w:cs="Times New Roman"/>
          <w:kern w:val="0"/>
          <w:sz w:val="28"/>
          <w:szCs w:val="20"/>
        </w:rPr>
        <w:t>标文件中的疑点的，应当以书面形式致函招标人。</w:t>
      </w:r>
    </w:p>
    <w:p w14:paraId="15FE698A">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2.在开标前，招标人不论由于自己的考虑或由于对投标人提问的澄清，都可以对招标文件用补充方式进行修正。</w:t>
      </w:r>
    </w:p>
    <w:p w14:paraId="59BA750D">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3.招标人有权决定推迟投标的截止日期和开标日期，并将此变更书面通知所有投标人。</w:t>
      </w:r>
    </w:p>
    <w:p w14:paraId="0747905E">
      <w:pPr>
        <w:widowControl/>
        <w:spacing w:line="360" w:lineRule="auto"/>
        <w:ind w:firstLine="560"/>
        <w:textAlignment w:val="baseline"/>
        <w:rPr>
          <w:rFonts w:ascii="宋体" w:hAnsi="宋体" w:eastAsia="宋体" w:cs="Times New Roman"/>
          <w:kern w:val="0"/>
          <w:sz w:val="28"/>
          <w:szCs w:val="20"/>
        </w:rPr>
      </w:pPr>
      <w:r>
        <w:rPr>
          <w:rFonts w:ascii="宋体" w:hAnsi="宋体" w:eastAsia="宋体" w:cs="Times New Roman"/>
          <w:kern w:val="0"/>
          <w:sz w:val="28"/>
          <w:szCs w:val="20"/>
        </w:rPr>
        <w:t>4.澄清与修正的内容构成招标文件的组成部分，与招标文件具有相同的约束力。</w:t>
      </w:r>
    </w:p>
    <w:p w14:paraId="2434AA7A">
      <w:pPr>
        <w:widowControl/>
        <w:spacing w:line="360" w:lineRule="auto"/>
        <w:ind w:firstLine="549"/>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二</w:t>
      </w:r>
      <w:r>
        <w:rPr>
          <w:rFonts w:ascii="宋体" w:hAnsi="宋体" w:eastAsia="宋体" w:cs="Times New Roman"/>
          <w:kern w:val="0"/>
          <w:sz w:val="28"/>
          <w:szCs w:val="20"/>
        </w:rPr>
        <w:t>、对投标人的要求</w:t>
      </w:r>
    </w:p>
    <w:p w14:paraId="1D3D3506">
      <w:pPr>
        <w:widowControl/>
        <w:spacing w:line="360" w:lineRule="auto"/>
        <w:ind w:firstLine="549"/>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1</w:t>
      </w:r>
      <w:r>
        <w:rPr>
          <w:rFonts w:ascii="宋体" w:hAnsi="宋体" w:eastAsia="宋体" w:cs="Times New Roman"/>
          <w:kern w:val="0"/>
          <w:sz w:val="28"/>
          <w:szCs w:val="20"/>
        </w:rPr>
        <w:t>.资格要求</w:t>
      </w:r>
    </w:p>
    <w:p w14:paraId="43841BF7">
      <w:pPr>
        <w:widowControl/>
        <w:spacing w:line="360" w:lineRule="auto"/>
        <w:ind w:firstLine="549"/>
        <w:textAlignment w:val="baseline"/>
        <w:rPr>
          <w:rFonts w:ascii="宋体" w:hAnsi="宋体" w:eastAsia="宋体" w:cs="Times New Roman"/>
          <w:kern w:val="0"/>
          <w:sz w:val="28"/>
          <w:szCs w:val="20"/>
        </w:rPr>
      </w:pPr>
      <w:r>
        <w:rPr>
          <w:rFonts w:ascii="宋体" w:hAnsi="宋体" w:eastAsia="宋体" w:cs="Times New Roman"/>
          <w:kern w:val="0"/>
          <w:sz w:val="28"/>
          <w:szCs w:val="20"/>
        </w:rPr>
        <w:t>1</w:t>
      </w:r>
      <w:r>
        <w:rPr>
          <w:rFonts w:hint="eastAsia" w:ascii="宋体" w:hAnsi="宋体" w:eastAsia="宋体" w:cs="Times New Roman"/>
          <w:kern w:val="0"/>
          <w:sz w:val="28"/>
          <w:szCs w:val="20"/>
        </w:rPr>
        <w:t>）投标人须遵守《中华人民共和国招标投标法》、《中华人民共和国民法典》及其它有关的法律和法规；为中华人民共和国境</w:t>
      </w:r>
      <w:bookmarkStart w:id="3" w:name="_GoBack"/>
      <w:bookmarkEnd w:id="3"/>
      <w:r>
        <w:rPr>
          <w:rFonts w:hint="eastAsia" w:ascii="宋体" w:hAnsi="宋体" w:eastAsia="宋体" w:cs="Times New Roman"/>
          <w:kern w:val="0"/>
          <w:sz w:val="28"/>
          <w:szCs w:val="20"/>
        </w:rPr>
        <w:t>内注册的独立法人机构，具有独立承担民事责任能力。投标企业注册资金不少于</w:t>
      </w:r>
      <w:r>
        <w:rPr>
          <w:rFonts w:ascii="宋体" w:hAnsi="宋体" w:eastAsia="宋体" w:cs="Times New Roman"/>
          <w:kern w:val="0"/>
          <w:sz w:val="28"/>
          <w:szCs w:val="20"/>
        </w:rPr>
        <w:t>50</w:t>
      </w:r>
      <w:r>
        <w:rPr>
          <w:rFonts w:hint="eastAsia" w:ascii="宋体" w:hAnsi="宋体" w:eastAsia="宋体" w:cs="Times New Roman"/>
          <w:kern w:val="0"/>
          <w:sz w:val="28"/>
          <w:szCs w:val="20"/>
          <w:lang w:val="en-US" w:eastAsia="zh-CN"/>
        </w:rPr>
        <w:t>0</w:t>
      </w:r>
      <w:r>
        <w:rPr>
          <w:rFonts w:hint="eastAsia" w:ascii="宋体" w:hAnsi="宋体" w:eastAsia="宋体" w:cs="Times New Roman"/>
          <w:kern w:val="0"/>
          <w:sz w:val="28"/>
          <w:szCs w:val="20"/>
        </w:rPr>
        <w:t>万元人民币，经营范围满足招标项目需求；</w:t>
      </w:r>
      <w:r>
        <w:rPr>
          <w:rFonts w:hint="eastAsia" w:ascii="宋体" w:hAnsi="宋体" w:eastAsia="宋体" w:cs="Times New Roman"/>
          <w:kern w:val="0"/>
          <w:sz w:val="28"/>
          <w:szCs w:val="20"/>
          <w:highlight w:val="none"/>
        </w:rPr>
        <w:t>在国内注册三年以上（以营业执照成立日期到开标当日计算）</w:t>
      </w:r>
      <w:r>
        <w:rPr>
          <w:rFonts w:hint="eastAsia" w:ascii="宋体" w:hAnsi="宋体" w:eastAsia="宋体" w:cs="Times New Roman"/>
          <w:kern w:val="0"/>
          <w:sz w:val="28"/>
          <w:szCs w:val="20"/>
          <w:lang w:eastAsia="zh-CN"/>
        </w:rPr>
        <w:t>；</w:t>
      </w:r>
      <w:r>
        <w:rPr>
          <w:rFonts w:hint="eastAsia" w:ascii="宋体" w:hAnsi="宋体" w:eastAsia="宋体" w:cs="Times New Roman"/>
          <w:kern w:val="0"/>
          <w:sz w:val="28"/>
          <w:szCs w:val="20"/>
        </w:rPr>
        <w:t>投标人须提供具有统一社会信用代码的三证合一的营业执照复印件（加盖公章）；</w:t>
      </w:r>
    </w:p>
    <w:p w14:paraId="1FC91DAA">
      <w:pPr>
        <w:widowControl/>
        <w:spacing w:line="360" w:lineRule="auto"/>
        <w:ind w:firstLine="549"/>
        <w:textAlignment w:val="baseline"/>
        <w:rPr>
          <w:rFonts w:ascii="宋体" w:hAnsi="宋体" w:eastAsia="宋体" w:cs="Times New Roman"/>
          <w:kern w:val="0"/>
          <w:sz w:val="28"/>
          <w:szCs w:val="20"/>
        </w:rPr>
      </w:pPr>
      <w:r>
        <w:rPr>
          <w:rFonts w:ascii="宋体" w:hAnsi="宋体" w:eastAsia="宋体" w:cs="Times New Roman"/>
          <w:kern w:val="0"/>
          <w:sz w:val="28"/>
          <w:szCs w:val="20"/>
        </w:rPr>
        <w:t>2</w:t>
      </w:r>
      <w:r>
        <w:rPr>
          <w:rFonts w:hint="eastAsia" w:ascii="宋体" w:hAnsi="宋体" w:eastAsia="宋体" w:cs="Times New Roman"/>
          <w:kern w:val="0"/>
          <w:sz w:val="28"/>
          <w:szCs w:val="20"/>
        </w:rPr>
        <w:t>）具有健全的财务会计制度，财务状况和市场行为良好。没有处于被有权机关吊销营业执照、吊销资质、停业整顿、取消投标资格以及财产被接管、冻结或进入破产程序等；</w:t>
      </w:r>
    </w:p>
    <w:p w14:paraId="6809BF53">
      <w:pPr>
        <w:widowControl/>
        <w:spacing w:line="360" w:lineRule="auto"/>
        <w:ind w:firstLine="549"/>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3）企业最近半年完税证明、信用证明材料（中国人民银行信用代码证+征信报告）及同类类型项目的业绩证明（提供合同复印件即可）等；</w:t>
      </w:r>
    </w:p>
    <w:p w14:paraId="59E83FE8">
      <w:pPr>
        <w:widowControl/>
        <w:spacing w:line="360" w:lineRule="auto"/>
        <w:ind w:firstLine="549"/>
        <w:textAlignment w:val="baseline"/>
        <w:rPr>
          <w:rFonts w:ascii="宋体" w:hAnsi="宋体" w:eastAsia="宋体" w:cs="Times New Roman"/>
          <w:kern w:val="0"/>
          <w:sz w:val="28"/>
          <w:szCs w:val="20"/>
        </w:rPr>
      </w:pPr>
      <w:r>
        <w:rPr>
          <w:rFonts w:ascii="宋体" w:hAnsi="宋体" w:eastAsia="宋体" w:cs="Times New Roman"/>
          <w:kern w:val="0"/>
          <w:sz w:val="28"/>
          <w:szCs w:val="20"/>
        </w:rPr>
        <w:t>4</w:t>
      </w:r>
      <w:r>
        <w:rPr>
          <w:rFonts w:hint="eastAsia" w:ascii="宋体" w:hAnsi="宋体" w:eastAsia="宋体" w:cs="Times New Roman"/>
          <w:kern w:val="0"/>
          <w:sz w:val="28"/>
          <w:szCs w:val="20"/>
        </w:rPr>
        <w:t>）投标人</w:t>
      </w:r>
      <w:r>
        <w:rPr>
          <w:rFonts w:hint="eastAsia" w:ascii="宋体" w:hAnsi="宋体" w:eastAsia="宋体" w:cs="Times New Roman"/>
          <w:kern w:val="0"/>
          <w:sz w:val="28"/>
          <w:szCs w:val="20"/>
          <w:highlight w:val="none"/>
        </w:rPr>
        <w:t>近</w:t>
      </w:r>
      <w:r>
        <w:rPr>
          <w:rFonts w:hint="eastAsia" w:ascii="宋体" w:hAnsi="宋体" w:eastAsia="宋体" w:cs="Times New Roman"/>
          <w:kern w:val="0"/>
          <w:sz w:val="28"/>
          <w:szCs w:val="20"/>
          <w:highlight w:val="none"/>
          <w:lang w:val="en-US" w:eastAsia="zh-CN"/>
        </w:rPr>
        <w:t>三</w:t>
      </w:r>
      <w:r>
        <w:rPr>
          <w:rFonts w:hint="eastAsia" w:ascii="宋体" w:hAnsi="宋体" w:eastAsia="宋体" w:cs="Times New Roman"/>
          <w:kern w:val="0"/>
          <w:sz w:val="28"/>
          <w:szCs w:val="20"/>
          <w:highlight w:val="none"/>
        </w:rPr>
        <w:t>年</w:t>
      </w:r>
      <w:r>
        <w:rPr>
          <w:rFonts w:hint="eastAsia" w:ascii="宋体" w:hAnsi="宋体" w:eastAsia="宋体" w:cs="Times New Roman"/>
          <w:kern w:val="0"/>
          <w:sz w:val="28"/>
          <w:szCs w:val="20"/>
        </w:rPr>
        <w:t>的公司财务数据（资产负债表、损益表、现金流量表）原件（加盖公章）；</w:t>
      </w:r>
    </w:p>
    <w:p w14:paraId="5498AE44">
      <w:pPr>
        <w:widowControl/>
        <w:spacing w:line="360" w:lineRule="auto"/>
        <w:ind w:firstLine="549"/>
        <w:textAlignment w:val="baseline"/>
        <w:rPr>
          <w:rFonts w:ascii="宋体" w:hAnsi="宋体" w:eastAsia="宋体" w:cs="Times New Roman"/>
          <w:kern w:val="0"/>
          <w:sz w:val="28"/>
          <w:szCs w:val="20"/>
        </w:rPr>
      </w:pPr>
      <w:r>
        <w:rPr>
          <w:rFonts w:ascii="宋体" w:hAnsi="宋体" w:eastAsia="宋体" w:cs="Times New Roman"/>
          <w:kern w:val="0"/>
          <w:sz w:val="28"/>
          <w:szCs w:val="20"/>
        </w:rPr>
        <w:t>5</w:t>
      </w:r>
      <w:r>
        <w:rPr>
          <w:rFonts w:hint="eastAsia" w:ascii="宋体" w:hAnsi="宋体" w:eastAsia="宋体" w:cs="Times New Roman"/>
          <w:kern w:val="0"/>
          <w:sz w:val="28"/>
          <w:szCs w:val="20"/>
        </w:rPr>
        <w:t>）近三年，</w:t>
      </w:r>
      <w:r>
        <w:rPr>
          <w:rFonts w:ascii="宋体" w:hAnsi="宋体" w:eastAsia="宋体" w:cs="Times New Roman"/>
          <w:kern w:val="0"/>
          <w:sz w:val="28"/>
          <w:szCs w:val="20"/>
        </w:rPr>
        <w:t>在“国家企业信用信息公示系统”、“中国执行信息公开网”、“信</w:t>
      </w:r>
      <w:r>
        <w:rPr>
          <w:rFonts w:hint="eastAsia" w:ascii="宋体" w:hAnsi="宋体" w:eastAsia="宋体" w:cs="Times New Roman"/>
          <w:kern w:val="0"/>
          <w:sz w:val="28"/>
          <w:szCs w:val="20"/>
        </w:rPr>
        <w:t>用中国”、“天眼查”“裁判文书网”等信息平台中，无行政处罚及失信记录等信息。</w:t>
      </w:r>
    </w:p>
    <w:p w14:paraId="0E6D7833">
      <w:pPr>
        <w:widowControl/>
        <w:spacing w:line="360" w:lineRule="auto"/>
        <w:ind w:firstLine="549"/>
        <w:textAlignment w:val="baseline"/>
        <w:rPr>
          <w:rFonts w:ascii="宋体" w:hAnsi="宋体" w:eastAsia="宋体" w:cs="Times New Roman"/>
          <w:kern w:val="0"/>
          <w:sz w:val="28"/>
          <w:szCs w:val="20"/>
        </w:rPr>
      </w:pPr>
      <w:r>
        <w:rPr>
          <w:rFonts w:ascii="宋体" w:hAnsi="宋体" w:eastAsia="宋体" w:cs="Times New Roman"/>
          <w:kern w:val="0"/>
          <w:sz w:val="28"/>
          <w:szCs w:val="20"/>
        </w:rPr>
        <w:t>6</w:t>
      </w:r>
      <w:r>
        <w:rPr>
          <w:rFonts w:hint="eastAsia" w:ascii="宋体" w:hAnsi="宋体" w:eastAsia="宋体" w:cs="Times New Roman"/>
          <w:kern w:val="0"/>
          <w:sz w:val="28"/>
          <w:szCs w:val="20"/>
        </w:rPr>
        <w:t>）投标人须提供法人授权委托书原件（在投标文件副本中可用复印件）及投标单位的法定代表人或授权代表的身份证原件及复印件（加盖公章）；法人到场的，出具法定代表人资格证明文件。</w:t>
      </w:r>
    </w:p>
    <w:p w14:paraId="7A2DD00B">
      <w:pPr>
        <w:widowControl/>
        <w:spacing w:line="360" w:lineRule="auto"/>
        <w:ind w:firstLine="549"/>
        <w:textAlignment w:val="baseline"/>
        <w:rPr>
          <w:rFonts w:ascii="宋体" w:hAnsi="宋体" w:eastAsia="宋体" w:cs="Times New Roman"/>
          <w:kern w:val="0"/>
          <w:sz w:val="28"/>
          <w:szCs w:val="20"/>
        </w:rPr>
      </w:pPr>
      <w:r>
        <w:rPr>
          <w:rFonts w:ascii="宋体" w:hAnsi="宋体" w:eastAsia="宋体" w:cs="Times New Roman"/>
          <w:kern w:val="0"/>
          <w:sz w:val="28"/>
          <w:szCs w:val="20"/>
        </w:rPr>
        <w:t>7</w:t>
      </w:r>
      <w:r>
        <w:rPr>
          <w:rFonts w:hint="eastAsia" w:ascii="宋体" w:hAnsi="宋体" w:eastAsia="宋体" w:cs="Times New Roman"/>
          <w:kern w:val="0"/>
          <w:sz w:val="28"/>
          <w:szCs w:val="20"/>
        </w:rPr>
        <w:t>）中标的投标人严禁弃标，弃标单位将进入中国重汽集团《违约单位名录》,禁止其参加中国重汽集团系统内所有单位招标；</w:t>
      </w:r>
      <w:r>
        <w:rPr>
          <w:rFonts w:ascii="宋体" w:hAnsi="宋体" w:eastAsia="宋体" w:cs="Times New Roman"/>
          <w:kern w:val="0"/>
          <w:sz w:val="28"/>
          <w:szCs w:val="20"/>
        </w:rPr>
        <w:t xml:space="preserve"> </w:t>
      </w:r>
    </w:p>
    <w:p w14:paraId="42C00B3F">
      <w:pPr>
        <w:widowControl/>
        <w:spacing w:line="360" w:lineRule="auto"/>
        <w:ind w:firstLine="549"/>
        <w:textAlignment w:val="baseline"/>
        <w:rPr>
          <w:rFonts w:hint="default" w:ascii="宋体" w:hAnsi="宋体" w:eastAsia="宋体" w:cs="Times New Roman"/>
          <w:kern w:val="0"/>
          <w:sz w:val="28"/>
          <w:szCs w:val="20"/>
          <w:lang w:val="en-US" w:eastAsia="zh-CN"/>
        </w:rPr>
      </w:pPr>
      <w:r>
        <w:rPr>
          <w:rFonts w:ascii="宋体" w:hAnsi="宋体" w:eastAsia="宋体" w:cs="Times New Roman"/>
          <w:kern w:val="0"/>
          <w:sz w:val="28"/>
          <w:szCs w:val="20"/>
        </w:rPr>
        <w:t>8)没有被公司列入黑名单；</w:t>
      </w:r>
      <w:r>
        <w:rPr>
          <w:rFonts w:hint="eastAsia" w:ascii="宋体" w:hAnsi="宋体" w:eastAsia="宋体" w:cs="Times New Roman"/>
          <w:kern w:val="0"/>
          <w:sz w:val="28"/>
          <w:szCs w:val="20"/>
          <w:lang w:val="en-US" w:eastAsia="zh-CN"/>
        </w:rPr>
        <w:t>在以往活动中执行质量差的投标人本次招标建议不予通过资格审核。</w:t>
      </w:r>
    </w:p>
    <w:p w14:paraId="13A8288A">
      <w:pPr>
        <w:widowControl/>
        <w:spacing w:line="360" w:lineRule="auto"/>
        <w:ind w:firstLine="549"/>
        <w:textAlignment w:val="baseline"/>
        <w:rPr>
          <w:rFonts w:ascii="宋体" w:hAnsi="宋体" w:eastAsia="宋体" w:cs="Times New Roman"/>
          <w:kern w:val="0"/>
          <w:sz w:val="28"/>
          <w:szCs w:val="20"/>
        </w:rPr>
      </w:pPr>
      <w:r>
        <w:rPr>
          <w:rFonts w:ascii="宋体" w:hAnsi="宋体" w:eastAsia="宋体" w:cs="Times New Roman"/>
          <w:kern w:val="0"/>
          <w:sz w:val="28"/>
          <w:szCs w:val="20"/>
        </w:rPr>
        <w:t>9)供方的直接或间接股东、法定代表人、董事、监事、高管非重汽员</w:t>
      </w:r>
      <w:r>
        <w:rPr>
          <w:rFonts w:hint="eastAsia" w:ascii="宋体" w:hAnsi="宋体" w:eastAsia="宋体" w:cs="Times New Roman"/>
          <w:kern w:val="0"/>
          <w:sz w:val="28"/>
          <w:szCs w:val="20"/>
        </w:rPr>
        <w:t>工及其亲属。</w:t>
      </w:r>
    </w:p>
    <w:p w14:paraId="688E2167">
      <w:pPr>
        <w:widowControl/>
        <w:spacing w:line="360" w:lineRule="auto"/>
        <w:ind w:firstLine="549"/>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2、投标人需提供的资料</w:t>
      </w:r>
    </w:p>
    <w:p w14:paraId="6CFC5025">
      <w:pPr>
        <w:widowControl/>
        <w:spacing w:line="360" w:lineRule="auto"/>
        <w:ind w:firstLine="549"/>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1）</w:t>
      </w:r>
      <w:r>
        <w:rPr>
          <w:rFonts w:ascii="宋体" w:hAnsi="宋体" w:eastAsia="宋体" w:cs="Times New Roman"/>
          <w:kern w:val="0"/>
          <w:sz w:val="28"/>
          <w:szCs w:val="20"/>
        </w:rPr>
        <w:t>经会计师事务所审计且出具无保留意见的</w:t>
      </w:r>
      <w:r>
        <w:rPr>
          <w:rFonts w:ascii="宋体" w:hAnsi="宋体" w:eastAsia="宋体" w:cs="Times New Roman"/>
          <w:kern w:val="0"/>
          <w:sz w:val="28"/>
          <w:szCs w:val="20"/>
          <w:highlight w:val="none"/>
        </w:rPr>
        <w:t>近三年</w:t>
      </w:r>
      <w:r>
        <w:rPr>
          <w:rFonts w:ascii="宋体" w:hAnsi="宋体" w:eastAsia="宋体" w:cs="Times New Roman"/>
          <w:kern w:val="0"/>
          <w:sz w:val="28"/>
          <w:szCs w:val="20"/>
        </w:rPr>
        <w:t>的财务审计报告原件，并加盖公章，包括但不限于报告页、经审计的资产负债表、利润表、现金流量表及报表附注。如投标人公司没有经审计的财务报告，可提供加盖公章的近三年财务报表，包括但不限于资产负债表、利润表、现金流量表。应提供中文版本的审计报告或财务报表；</w:t>
      </w:r>
    </w:p>
    <w:p w14:paraId="416E9FC9">
      <w:pPr>
        <w:widowControl/>
        <w:spacing w:line="360" w:lineRule="auto"/>
        <w:ind w:firstLine="549"/>
        <w:textAlignment w:val="baseline"/>
        <w:rPr>
          <w:rFonts w:ascii="宋体" w:hAnsi="宋体" w:eastAsia="宋体" w:cs="Times New Roman"/>
          <w:kern w:val="0"/>
          <w:sz w:val="28"/>
          <w:szCs w:val="20"/>
        </w:rPr>
      </w:pPr>
      <w:r>
        <w:rPr>
          <w:rFonts w:ascii="宋体" w:hAnsi="宋体" w:eastAsia="宋体" w:cs="Times New Roman"/>
          <w:kern w:val="0"/>
          <w:sz w:val="28"/>
          <w:szCs w:val="20"/>
        </w:rPr>
        <w:t xml:space="preserve"> </w:t>
      </w:r>
      <w:r>
        <w:rPr>
          <w:rFonts w:hint="eastAsia" w:ascii="宋体" w:hAnsi="宋体" w:eastAsia="宋体" w:cs="Times New Roman"/>
          <w:kern w:val="0"/>
          <w:sz w:val="28"/>
          <w:szCs w:val="20"/>
        </w:rPr>
        <w:t>2）</w:t>
      </w:r>
      <w:r>
        <w:rPr>
          <w:rFonts w:ascii="宋体" w:hAnsi="宋体" w:eastAsia="宋体" w:cs="Times New Roman"/>
          <w:kern w:val="0"/>
          <w:sz w:val="28"/>
          <w:szCs w:val="20"/>
        </w:rPr>
        <w:t>信用证明材料（征信报告）；</w:t>
      </w:r>
    </w:p>
    <w:p w14:paraId="3DD92F88">
      <w:pPr>
        <w:widowControl/>
        <w:spacing w:line="360" w:lineRule="auto"/>
        <w:ind w:firstLine="549"/>
        <w:textAlignment w:val="baseline"/>
        <w:rPr>
          <w:rFonts w:ascii="宋体" w:hAnsi="宋体" w:eastAsia="宋体" w:cs="Times New Roman"/>
          <w:kern w:val="0"/>
          <w:sz w:val="28"/>
          <w:szCs w:val="20"/>
        </w:rPr>
      </w:pPr>
      <w:r>
        <w:rPr>
          <w:rFonts w:ascii="宋体" w:hAnsi="宋体" w:eastAsia="宋体" w:cs="Times New Roman"/>
          <w:kern w:val="0"/>
          <w:sz w:val="28"/>
          <w:szCs w:val="20"/>
        </w:rPr>
        <w:t xml:space="preserve"> </w:t>
      </w:r>
      <w:r>
        <w:rPr>
          <w:rFonts w:hint="eastAsia" w:ascii="宋体" w:hAnsi="宋体" w:eastAsia="宋体" w:cs="Times New Roman"/>
          <w:kern w:val="0"/>
          <w:sz w:val="28"/>
          <w:szCs w:val="20"/>
        </w:rPr>
        <w:t>3）</w:t>
      </w:r>
      <w:r>
        <w:rPr>
          <w:rFonts w:ascii="宋体" w:hAnsi="宋体" w:eastAsia="宋体" w:cs="Times New Roman"/>
          <w:kern w:val="0"/>
          <w:sz w:val="28"/>
          <w:szCs w:val="20"/>
        </w:rPr>
        <w:t>年度纳税信用评价信息（可从电子税务局查询截图，需加盖公章）；</w:t>
      </w:r>
    </w:p>
    <w:p w14:paraId="311AF7EB">
      <w:pPr>
        <w:widowControl/>
        <w:spacing w:line="360" w:lineRule="auto"/>
        <w:ind w:firstLine="549"/>
        <w:textAlignment w:val="baseline"/>
        <w:rPr>
          <w:rFonts w:ascii="宋体" w:hAnsi="宋体" w:eastAsia="宋体" w:cs="Times New Roman"/>
          <w:kern w:val="0"/>
          <w:sz w:val="28"/>
          <w:szCs w:val="20"/>
        </w:rPr>
      </w:pPr>
      <w:r>
        <w:rPr>
          <w:rFonts w:ascii="宋体" w:hAnsi="宋体" w:eastAsia="宋体" w:cs="Times New Roman"/>
          <w:kern w:val="0"/>
          <w:sz w:val="28"/>
          <w:szCs w:val="20"/>
        </w:rPr>
        <w:t xml:space="preserve"> </w:t>
      </w:r>
      <w:r>
        <w:rPr>
          <w:rFonts w:hint="eastAsia" w:ascii="宋体" w:hAnsi="宋体" w:eastAsia="宋体" w:cs="Times New Roman"/>
          <w:kern w:val="0"/>
          <w:sz w:val="28"/>
          <w:szCs w:val="20"/>
        </w:rPr>
        <w:t>4）</w:t>
      </w:r>
      <w:r>
        <w:rPr>
          <w:rFonts w:ascii="宋体" w:hAnsi="宋体" w:eastAsia="宋体" w:cs="Times New Roman"/>
          <w:kern w:val="0"/>
          <w:sz w:val="28"/>
          <w:szCs w:val="20"/>
        </w:rPr>
        <w:t>企业对外担保说明（写明贵单位对外有无对外担保和质押业务，需加盖公章）。</w:t>
      </w:r>
    </w:p>
    <w:p w14:paraId="384E3038">
      <w:pPr>
        <w:widowControl/>
        <w:spacing w:line="360" w:lineRule="auto"/>
        <w:ind w:firstLine="56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三、报价</w:t>
      </w:r>
    </w:p>
    <w:p w14:paraId="76F947E4">
      <w:pPr>
        <w:widowControl/>
        <w:spacing w:line="360" w:lineRule="auto"/>
        <w:ind w:firstLine="56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投标人应按照《第</w:t>
      </w:r>
      <w:r>
        <w:rPr>
          <w:rFonts w:hint="eastAsia" w:ascii="宋体" w:hAnsi="宋体" w:eastAsia="宋体" w:cs="Times New Roman"/>
          <w:kern w:val="0"/>
          <w:sz w:val="28"/>
          <w:szCs w:val="20"/>
          <w:lang w:val="en-US" w:eastAsia="zh-CN"/>
        </w:rPr>
        <w:t>138届</w:t>
      </w:r>
      <w:r>
        <w:rPr>
          <w:rFonts w:hint="eastAsia" w:ascii="宋体" w:hAnsi="宋体" w:eastAsia="宋体" w:cs="Times New Roman"/>
          <w:kern w:val="0"/>
          <w:sz w:val="28"/>
          <w:szCs w:val="20"/>
        </w:rPr>
        <w:t>广交会搭建运营报价单》（见附件1，以下简称“《报价单》”）的要求逐项填写，严禁更改《报价单》的格式与要求。</w:t>
      </w:r>
      <w:r>
        <w:rPr>
          <w:rFonts w:hint="eastAsia" w:ascii="宋体" w:hAnsi="宋体" w:eastAsia="宋体" w:cs="Times New Roman"/>
          <w:b/>
          <w:kern w:val="0"/>
          <w:sz w:val="28"/>
          <w:szCs w:val="20"/>
        </w:rPr>
        <w:t>报价包括不含税价、税率和含税价</w:t>
      </w:r>
      <w:r>
        <w:rPr>
          <w:rFonts w:hint="eastAsia" w:ascii="宋体" w:hAnsi="宋体" w:eastAsia="宋体" w:cs="Times New Roman"/>
          <w:kern w:val="0"/>
          <w:sz w:val="28"/>
          <w:szCs w:val="20"/>
        </w:rPr>
        <w:t>。若投标人另有其他说明，请以备注方式单独写明。</w:t>
      </w:r>
    </w:p>
    <w:p w14:paraId="77AD6DB3">
      <w:pPr>
        <w:widowControl/>
        <w:spacing w:line="360" w:lineRule="auto"/>
        <w:ind w:firstLine="56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《报价单》作为招标人的评标参考依据。</w:t>
      </w:r>
    </w:p>
    <w:p w14:paraId="50DCFED0">
      <w:pPr>
        <w:widowControl/>
        <w:spacing w:line="360" w:lineRule="auto"/>
        <w:ind w:firstLine="560"/>
        <w:textAlignment w:val="baseline"/>
        <w:rPr>
          <w:rFonts w:ascii="宋体" w:hAnsi="宋体" w:eastAsia="宋体" w:cs="Times New Roman"/>
          <w:b/>
          <w:kern w:val="0"/>
          <w:sz w:val="28"/>
          <w:szCs w:val="20"/>
        </w:rPr>
      </w:pPr>
      <w:r>
        <w:rPr>
          <w:rFonts w:hint="eastAsia" w:ascii="宋体" w:hAnsi="宋体" w:eastAsia="宋体" w:cs="Times New Roman"/>
          <w:b/>
          <w:kern w:val="0"/>
          <w:sz w:val="28"/>
          <w:szCs w:val="20"/>
        </w:rPr>
        <w:t>若相关税率发生变化时，应在不含税报价基础上，对相关税费进行相应调整。</w:t>
      </w:r>
    </w:p>
    <w:p w14:paraId="7191507D">
      <w:pPr>
        <w:widowControl/>
        <w:spacing w:line="360" w:lineRule="auto"/>
        <w:ind w:firstLine="56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四、发票</w:t>
      </w:r>
    </w:p>
    <w:p w14:paraId="2E918F67">
      <w:pPr>
        <w:widowControl/>
        <w:spacing w:line="360" w:lineRule="auto"/>
        <w:ind w:firstLine="560"/>
        <w:textAlignment w:val="baseline"/>
        <w:rPr>
          <w:rFonts w:ascii="宋体" w:hAnsi="宋体" w:eastAsia="宋体" w:cs="Times New Roman"/>
          <w:kern w:val="0"/>
          <w:sz w:val="28"/>
          <w:szCs w:val="20"/>
        </w:rPr>
      </w:pPr>
      <w:r>
        <w:rPr>
          <w:rFonts w:ascii="宋体" w:hAnsi="宋体" w:eastAsia="宋体" w:cs="Times New Roman"/>
          <w:kern w:val="0"/>
          <w:sz w:val="28"/>
          <w:szCs w:val="20"/>
        </w:rPr>
        <w:t>投标方需在</w:t>
      </w:r>
      <w:r>
        <w:rPr>
          <w:rFonts w:hint="eastAsia" w:ascii="宋体" w:hAnsi="宋体" w:eastAsia="宋体" w:cs="Times New Roman"/>
          <w:kern w:val="0"/>
          <w:sz w:val="28"/>
          <w:szCs w:val="20"/>
        </w:rPr>
        <w:t>投标资料中</w:t>
      </w:r>
      <w:r>
        <w:rPr>
          <w:rFonts w:ascii="宋体" w:hAnsi="宋体" w:eastAsia="宋体" w:cs="Times New Roman"/>
          <w:kern w:val="0"/>
          <w:sz w:val="28"/>
          <w:szCs w:val="20"/>
        </w:rPr>
        <w:t>注明提供何种发票</w:t>
      </w:r>
      <w:r>
        <w:rPr>
          <w:rFonts w:hint="eastAsia" w:ascii="宋体" w:hAnsi="宋体" w:eastAsia="宋体" w:cs="Times New Roman"/>
          <w:kern w:val="0"/>
          <w:sz w:val="28"/>
          <w:szCs w:val="20"/>
        </w:rPr>
        <w:t>及发票税率。</w:t>
      </w:r>
    </w:p>
    <w:p w14:paraId="24995BFC">
      <w:pPr>
        <w:widowControl/>
        <w:spacing w:line="360" w:lineRule="auto"/>
        <w:ind w:firstLine="56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五、知识产权及保密</w:t>
      </w:r>
    </w:p>
    <w:p w14:paraId="30DE13DB">
      <w:pPr>
        <w:widowControl/>
        <w:spacing w:line="360" w:lineRule="auto"/>
        <w:ind w:firstLine="56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所有投标方的投标方案知识产权应明晰完整，归属或技术来源正当合法，未剽窃他人成果，未侵犯他人的知识产权或商业秘密，若发生上述承诺相违背的事实，应</w:t>
      </w:r>
      <w:r>
        <w:rPr>
          <w:rFonts w:hint="eastAsia" w:ascii="宋体" w:hAnsi="宋体" w:eastAsia="宋体" w:cs="Times New Roman"/>
          <w:color w:val="000000" w:themeColor="text1"/>
          <w:kern w:val="0"/>
          <w:sz w:val="28"/>
          <w:szCs w:val="20"/>
          <w:u w:val="none"/>
          <w:lang w:val="en-US" w:eastAsia="zh-CN"/>
          <w14:textFill>
            <w14:solidFill>
              <w14:schemeClr w14:val="tx1"/>
            </w14:solidFill>
          </w14:textFill>
        </w:rPr>
        <w:t>由</w:t>
      </w:r>
      <w:r>
        <w:rPr>
          <w:rFonts w:hint="eastAsia" w:ascii="宋体" w:hAnsi="宋体" w:eastAsia="宋体" w:cs="Times New Roman"/>
          <w:kern w:val="0"/>
          <w:sz w:val="28"/>
          <w:szCs w:val="20"/>
        </w:rPr>
        <w:t>投标方承担全部法律责任。</w:t>
      </w:r>
    </w:p>
    <w:p w14:paraId="015BA90C">
      <w:pPr>
        <w:widowControl/>
        <w:spacing w:line="360" w:lineRule="auto"/>
        <w:ind w:firstLine="56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投标人知晓并同意，一经参与本次投标，均免费授权招标人全部或部分使用投标人所提供的技术方案，并放弃向招标人主张任何权利。</w:t>
      </w:r>
    </w:p>
    <w:p w14:paraId="72D3FFB5">
      <w:pPr>
        <w:widowControl/>
        <w:spacing w:line="360" w:lineRule="auto"/>
        <w:ind w:firstLine="56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六、终止</w:t>
      </w:r>
    </w:p>
    <w:p w14:paraId="6281224E">
      <w:pPr>
        <w:widowControl/>
        <w:spacing w:line="360" w:lineRule="auto"/>
        <w:ind w:firstLine="560"/>
        <w:textAlignment w:val="baseline"/>
        <w:rPr>
          <w:rFonts w:ascii="宋体" w:hAnsi="宋体" w:eastAsia="宋体" w:cs="Times New Roman"/>
          <w:kern w:val="0"/>
          <w:sz w:val="28"/>
          <w:szCs w:val="20"/>
        </w:rPr>
      </w:pPr>
      <w:r>
        <w:rPr>
          <w:rFonts w:ascii="宋体" w:hAnsi="宋体" w:eastAsia="宋体" w:cs="Times New Roman"/>
          <w:kern w:val="0"/>
          <w:sz w:val="28"/>
          <w:szCs w:val="20"/>
        </w:rPr>
        <w:t>出现下列情形之一，招标人有权否决所有投标人的投标，并终止招标</w:t>
      </w:r>
    </w:p>
    <w:p w14:paraId="437331B7">
      <w:pPr>
        <w:widowControl/>
        <w:spacing w:line="360" w:lineRule="auto"/>
        <w:ind w:firstLine="560"/>
        <w:textAlignment w:val="baseline"/>
        <w:rPr>
          <w:rFonts w:ascii="宋体" w:hAnsi="宋体" w:eastAsia="宋体" w:cs="Times New Roman"/>
          <w:kern w:val="0"/>
          <w:sz w:val="28"/>
          <w:szCs w:val="20"/>
        </w:rPr>
      </w:pPr>
      <w:r>
        <w:rPr>
          <w:rFonts w:ascii="宋体" w:hAnsi="宋体" w:eastAsia="宋体" w:cs="Times New Roman"/>
          <w:kern w:val="0"/>
          <w:sz w:val="28"/>
          <w:szCs w:val="20"/>
        </w:rPr>
        <w:t>（1）符合条件的投标人或者对招标文件做实质响应的投标人不足三家的；</w:t>
      </w:r>
    </w:p>
    <w:p w14:paraId="4B5C6D0F">
      <w:pPr>
        <w:widowControl/>
        <w:spacing w:line="360" w:lineRule="auto"/>
        <w:ind w:firstLine="560"/>
        <w:textAlignment w:val="baseline"/>
        <w:rPr>
          <w:rFonts w:ascii="宋体" w:hAnsi="宋体" w:eastAsia="宋体" w:cs="Times New Roman"/>
          <w:kern w:val="0"/>
          <w:sz w:val="28"/>
          <w:szCs w:val="20"/>
        </w:rPr>
      </w:pPr>
      <w:r>
        <w:rPr>
          <w:rFonts w:ascii="宋体" w:hAnsi="宋体" w:eastAsia="宋体" w:cs="Times New Roman"/>
          <w:kern w:val="0"/>
          <w:sz w:val="28"/>
          <w:szCs w:val="20"/>
        </w:rPr>
        <w:t>（2）出现影响采购公正的违法、违规行为的；</w:t>
      </w:r>
    </w:p>
    <w:p w14:paraId="37048E2C">
      <w:pPr>
        <w:widowControl/>
        <w:spacing w:line="360" w:lineRule="auto"/>
        <w:ind w:firstLine="560"/>
        <w:textAlignment w:val="baseline"/>
        <w:rPr>
          <w:rFonts w:ascii="宋体" w:hAnsi="宋体" w:eastAsia="宋体" w:cs="Times New Roman"/>
          <w:kern w:val="0"/>
          <w:sz w:val="28"/>
          <w:szCs w:val="20"/>
        </w:rPr>
      </w:pPr>
      <w:r>
        <w:rPr>
          <w:rFonts w:ascii="宋体" w:hAnsi="宋体" w:eastAsia="宋体" w:cs="Times New Roman"/>
          <w:kern w:val="0"/>
          <w:sz w:val="28"/>
          <w:szCs w:val="20"/>
        </w:rPr>
        <w:t>（3）因重大变故，采购任务取消的；</w:t>
      </w:r>
    </w:p>
    <w:p w14:paraId="783E825E">
      <w:pPr>
        <w:widowControl/>
        <w:spacing w:line="360" w:lineRule="auto"/>
        <w:ind w:firstLine="560"/>
        <w:textAlignment w:val="baseline"/>
        <w:rPr>
          <w:rFonts w:ascii="宋体" w:hAnsi="宋体" w:eastAsia="宋体" w:cs="Times New Roman"/>
          <w:kern w:val="0"/>
          <w:sz w:val="28"/>
          <w:szCs w:val="20"/>
        </w:rPr>
      </w:pPr>
      <w:r>
        <w:rPr>
          <w:rFonts w:ascii="宋体" w:hAnsi="宋体" w:eastAsia="宋体" w:cs="Times New Roman"/>
          <w:kern w:val="0"/>
          <w:sz w:val="28"/>
          <w:szCs w:val="20"/>
        </w:rPr>
        <w:t>（4）评标委员会经评审，认为所有投标都不符合招标文件要求的；</w:t>
      </w:r>
    </w:p>
    <w:p w14:paraId="7A99112F">
      <w:pPr>
        <w:widowControl/>
        <w:spacing w:line="360" w:lineRule="auto"/>
        <w:ind w:firstLine="560"/>
        <w:textAlignment w:val="baseline"/>
        <w:rPr>
          <w:rFonts w:ascii="宋体" w:hAnsi="宋体" w:eastAsia="宋体" w:cs="Times New Roman"/>
          <w:kern w:val="0"/>
          <w:sz w:val="28"/>
          <w:szCs w:val="20"/>
        </w:rPr>
      </w:pPr>
      <w:r>
        <w:rPr>
          <w:rFonts w:ascii="宋体" w:hAnsi="宋体" w:eastAsia="宋体" w:cs="Times New Roman"/>
          <w:kern w:val="0"/>
          <w:sz w:val="28"/>
          <w:szCs w:val="20"/>
        </w:rPr>
        <w:t>（5）招标人认为其他应终止招标的情形；</w:t>
      </w:r>
    </w:p>
    <w:p w14:paraId="430DC5B9">
      <w:pPr>
        <w:widowControl/>
        <w:spacing w:line="360" w:lineRule="auto"/>
        <w:ind w:firstLine="560"/>
        <w:textAlignment w:val="baseline"/>
        <w:rPr>
          <w:rFonts w:ascii="宋体" w:hAnsi="宋体" w:eastAsia="宋体" w:cs="Times New Roman"/>
          <w:kern w:val="0"/>
          <w:sz w:val="28"/>
          <w:szCs w:val="20"/>
        </w:rPr>
      </w:pPr>
      <w:r>
        <w:rPr>
          <w:rFonts w:ascii="宋体" w:hAnsi="宋体" w:eastAsia="宋体" w:cs="Times New Roman"/>
          <w:kern w:val="0"/>
          <w:sz w:val="28"/>
          <w:szCs w:val="20"/>
        </w:rPr>
        <w:t xml:space="preserve">（6）投标人承诺并同意因招标人公司政策变化引起的随时终止项目的情形，并自行承担由此带来的一切损失。 </w:t>
      </w:r>
    </w:p>
    <w:p w14:paraId="0C9563DF">
      <w:pPr>
        <w:widowControl/>
        <w:spacing w:line="360" w:lineRule="auto"/>
        <w:ind w:firstLine="56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七、废标</w:t>
      </w:r>
    </w:p>
    <w:p w14:paraId="1D263DB4">
      <w:pPr>
        <w:widowControl/>
        <w:spacing w:line="360" w:lineRule="auto"/>
        <w:ind w:firstLine="56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投标单位有下列情形之一，其投标将被视为废标，招标单位将严格按照《中华人民共和国招标投标法》及相关法律、法规及规章制度的规定行使权利。投标单位给招标单位造成损失的，招标单位有索赔的权利，投标单位应予以赔偿。</w:t>
      </w:r>
    </w:p>
    <w:p w14:paraId="2B41FEB1">
      <w:pPr>
        <w:widowControl/>
        <w:spacing w:line="360" w:lineRule="auto"/>
        <w:ind w:left="420" w:leftChars="20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1）</w:t>
      </w:r>
      <w:r>
        <w:rPr>
          <w:rFonts w:ascii="宋体" w:hAnsi="宋体" w:eastAsia="宋体" w:cs="Times New Roman"/>
          <w:kern w:val="0"/>
          <w:sz w:val="28"/>
          <w:szCs w:val="20"/>
        </w:rPr>
        <w:t>投标人提供的有关资格、资质证明文件不符合本招标书要求、不合格、不真实或提供虚假投标材料。</w:t>
      </w:r>
    </w:p>
    <w:p w14:paraId="4DA74F4E">
      <w:pPr>
        <w:widowControl/>
        <w:spacing w:line="360" w:lineRule="auto"/>
        <w:ind w:left="420" w:leftChars="20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2）</w:t>
      </w:r>
      <w:r>
        <w:rPr>
          <w:rFonts w:ascii="宋体" w:hAnsi="宋体" w:eastAsia="宋体" w:cs="Times New Roman"/>
          <w:kern w:val="0"/>
          <w:sz w:val="28"/>
          <w:szCs w:val="20"/>
        </w:rPr>
        <w:t>投标人在报价有效期内撤回投标。</w:t>
      </w:r>
    </w:p>
    <w:p w14:paraId="19E74CF3">
      <w:pPr>
        <w:widowControl/>
        <w:spacing w:line="360" w:lineRule="auto"/>
        <w:ind w:left="420" w:leftChars="200"/>
        <w:textAlignment w:val="baseline"/>
        <w:rPr>
          <w:rFonts w:ascii="宋体" w:hAnsi="宋体" w:eastAsia="宋体" w:cs="Times New Roman"/>
          <w:kern w:val="0"/>
          <w:sz w:val="28"/>
          <w:szCs w:val="20"/>
        </w:rPr>
      </w:pPr>
      <w:r>
        <w:rPr>
          <w:rFonts w:ascii="宋体" w:hAnsi="宋体" w:eastAsia="宋体" w:cs="Times New Roman"/>
          <w:kern w:val="0"/>
          <w:sz w:val="28"/>
          <w:szCs w:val="20"/>
        </w:rPr>
        <w:t>3</w:t>
      </w:r>
      <w:r>
        <w:rPr>
          <w:rFonts w:hint="eastAsia" w:ascii="宋体" w:hAnsi="宋体" w:eastAsia="宋体" w:cs="Times New Roman"/>
          <w:kern w:val="0"/>
          <w:sz w:val="28"/>
          <w:szCs w:val="20"/>
        </w:rPr>
        <w:t>）</w:t>
      </w:r>
      <w:r>
        <w:rPr>
          <w:rFonts w:ascii="宋体" w:hAnsi="宋体" w:eastAsia="宋体" w:cs="Times New Roman"/>
          <w:kern w:val="0"/>
          <w:sz w:val="28"/>
          <w:szCs w:val="20"/>
        </w:rPr>
        <w:t>在整个评标过程中，投标人有企图影响评标结果公正性的任何活动。</w:t>
      </w:r>
    </w:p>
    <w:p w14:paraId="2E758021">
      <w:pPr>
        <w:widowControl/>
        <w:spacing w:line="360" w:lineRule="auto"/>
        <w:ind w:left="420" w:leftChars="200"/>
        <w:textAlignment w:val="baseline"/>
        <w:rPr>
          <w:rFonts w:ascii="宋体" w:hAnsi="宋体" w:eastAsia="宋体" w:cs="Times New Roman"/>
          <w:kern w:val="0"/>
          <w:sz w:val="28"/>
          <w:szCs w:val="20"/>
        </w:rPr>
      </w:pPr>
      <w:r>
        <w:rPr>
          <w:rFonts w:ascii="宋体" w:hAnsi="宋体" w:eastAsia="宋体" w:cs="Times New Roman"/>
          <w:kern w:val="0"/>
          <w:sz w:val="28"/>
          <w:szCs w:val="20"/>
        </w:rPr>
        <w:t>4</w:t>
      </w:r>
      <w:r>
        <w:rPr>
          <w:rFonts w:hint="eastAsia" w:ascii="宋体" w:hAnsi="宋体" w:eastAsia="宋体" w:cs="Times New Roman"/>
          <w:kern w:val="0"/>
          <w:sz w:val="28"/>
          <w:szCs w:val="20"/>
        </w:rPr>
        <w:t>）</w:t>
      </w:r>
      <w:r>
        <w:rPr>
          <w:rFonts w:ascii="宋体" w:hAnsi="宋体" w:eastAsia="宋体" w:cs="Times New Roman"/>
          <w:kern w:val="0"/>
          <w:sz w:val="28"/>
          <w:szCs w:val="20"/>
        </w:rPr>
        <w:t>投标人以任何方式诋毁其他投标人。</w:t>
      </w:r>
    </w:p>
    <w:p w14:paraId="0158B7AD">
      <w:pPr>
        <w:widowControl/>
        <w:spacing w:line="360" w:lineRule="auto"/>
        <w:ind w:left="420" w:leftChars="200"/>
        <w:textAlignment w:val="baseline"/>
        <w:rPr>
          <w:rFonts w:ascii="宋体" w:hAnsi="宋体" w:eastAsia="宋体" w:cs="Times New Roman"/>
          <w:kern w:val="0"/>
          <w:sz w:val="28"/>
          <w:szCs w:val="20"/>
        </w:rPr>
      </w:pPr>
      <w:r>
        <w:rPr>
          <w:rFonts w:ascii="宋体" w:hAnsi="宋体" w:eastAsia="宋体" w:cs="Times New Roman"/>
          <w:kern w:val="0"/>
          <w:sz w:val="28"/>
          <w:szCs w:val="20"/>
        </w:rPr>
        <w:t>5</w:t>
      </w:r>
      <w:r>
        <w:rPr>
          <w:rFonts w:hint="eastAsia" w:ascii="宋体" w:hAnsi="宋体" w:eastAsia="宋体" w:cs="Times New Roman"/>
          <w:kern w:val="0"/>
          <w:sz w:val="28"/>
          <w:szCs w:val="20"/>
        </w:rPr>
        <w:t>）</w:t>
      </w:r>
      <w:r>
        <w:rPr>
          <w:rFonts w:ascii="宋体" w:hAnsi="宋体" w:eastAsia="宋体" w:cs="Times New Roman"/>
          <w:kern w:val="0"/>
          <w:sz w:val="28"/>
          <w:szCs w:val="20"/>
        </w:rPr>
        <w:t>投标人串通投标。</w:t>
      </w:r>
    </w:p>
    <w:p w14:paraId="64832DB5">
      <w:pPr>
        <w:widowControl/>
        <w:spacing w:line="360" w:lineRule="auto"/>
        <w:ind w:left="420" w:leftChars="200"/>
        <w:textAlignment w:val="baseline"/>
        <w:rPr>
          <w:rFonts w:ascii="宋体" w:hAnsi="宋体" w:eastAsia="宋体" w:cs="Times New Roman"/>
          <w:kern w:val="0"/>
          <w:sz w:val="28"/>
          <w:szCs w:val="20"/>
        </w:rPr>
      </w:pPr>
      <w:r>
        <w:rPr>
          <w:rFonts w:ascii="宋体" w:hAnsi="宋体" w:eastAsia="宋体" w:cs="Times New Roman"/>
          <w:kern w:val="0"/>
          <w:sz w:val="28"/>
          <w:szCs w:val="20"/>
        </w:rPr>
        <w:t>6</w:t>
      </w:r>
      <w:r>
        <w:rPr>
          <w:rFonts w:hint="eastAsia" w:ascii="宋体" w:hAnsi="宋体" w:eastAsia="宋体" w:cs="Times New Roman"/>
          <w:kern w:val="0"/>
          <w:sz w:val="28"/>
          <w:szCs w:val="20"/>
        </w:rPr>
        <w:t>）</w:t>
      </w:r>
      <w:r>
        <w:rPr>
          <w:rFonts w:ascii="宋体" w:hAnsi="宋体" w:eastAsia="宋体" w:cs="Times New Roman"/>
          <w:kern w:val="0"/>
          <w:sz w:val="28"/>
          <w:szCs w:val="20"/>
        </w:rPr>
        <w:t>以他人名义投标或者以其他方式弄虚作假，骗取中标的。</w:t>
      </w:r>
    </w:p>
    <w:p w14:paraId="0261F2AA">
      <w:pPr>
        <w:widowControl/>
        <w:spacing w:line="360" w:lineRule="auto"/>
        <w:ind w:left="420" w:leftChars="200"/>
        <w:textAlignment w:val="baseline"/>
        <w:rPr>
          <w:rFonts w:ascii="宋体" w:hAnsi="宋体" w:eastAsia="宋体" w:cs="Times New Roman"/>
          <w:kern w:val="0"/>
          <w:sz w:val="28"/>
          <w:szCs w:val="20"/>
        </w:rPr>
      </w:pPr>
      <w:r>
        <w:rPr>
          <w:rFonts w:ascii="宋体" w:hAnsi="宋体" w:eastAsia="宋体" w:cs="Times New Roman"/>
          <w:kern w:val="0"/>
          <w:sz w:val="28"/>
          <w:szCs w:val="20"/>
        </w:rPr>
        <w:t>7</w:t>
      </w:r>
      <w:r>
        <w:rPr>
          <w:rFonts w:hint="eastAsia" w:ascii="宋体" w:hAnsi="宋体" w:eastAsia="宋体" w:cs="Times New Roman"/>
          <w:kern w:val="0"/>
          <w:sz w:val="28"/>
          <w:szCs w:val="20"/>
        </w:rPr>
        <w:t>）</w:t>
      </w:r>
      <w:r>
        <w:rPr>
          <w:rFonts w:ascii="宋体" w:hAnsi="宋体" w:eastAsia="宋体" w:cs="Times New Roman"/>
          <w:kern w:val="0"/>
          <w:sz w:val="28"/>
          <w:szCs w:val="20"/>
        </w:rPr>
        <w:t>中标人不按规定签订合同。</w:t>
      </w:r>
    </w:p>
    <w:p w14:paraId="3B2138C8">
      <w:pPr>
        <w:widowControl/>
        <w:spacing w:line="360" w:lineRule="auto"/>
        <w:ind w:left="420" w:leftChars="200"/>
        <w:textAlignment w:val="baseline"/>
        <w:rPr>
          <w:rFonts w:ascii="宋体" w:hAnsi="宋体" w:eastAsia="宋体" w:cs="Times New Roman"/>
          <w:kern w:val="0"/>
          <w:sz w:val="28"/>
          <w:szCs w:val="20"/>
        </w:rPr>
      </w:pPr>
      <w:r>
        <w:rPr>
          <w:rFonts w:ascii="宋体" w:hAnsi="宋体" w:eastAsia="宋体" w:cs="Times New Roman"/>
          <w:kern w:val="0"/>
          <w:sz w:val="28"/>
          <w:szCs w:val="20"/>
        </w:rPr>
        <w:t>8</w:t>
      </w:r>
      <w:r>
        <w:rPr>
          <w:rFonts w:hint="eastAsia" w:ascii="宋体" w:hAnsi="宋体" w:eastAsia="宋体" w:cs="Times New Roman"/>
          <w:kern w:val="0"/>
          <w:sz w:val="28"/>
          <w:szCs w:val="20"/>
        </w:rPr>
        <w:t>）</w:t>
      </w:r>
      <w:r>
        <w:rPr>
          <w:rFonts w:ascii="宋体" w:hAnsi="宋体" w:eastAsia="宋体" w:cs="Times New Roman"/>
          <w:kern w:val="0"/>
          <w:sz w:val="28"/>
          <w:szCs w:val="20"/>
        </w:rPr>
        <w:t>投标单位负责人为同一人或存在管理关系的。</w:t>
      </w:r>
    </w:p>
    <w:p w14:paraId="2D5842D4">
      <w:pPr>
        <w:widowControl/>
        <w:spacing w:line="360" w:lineRule="auto"/>
        <w:ind w:left="420" w:leftChars="200"/>
        <w:textAlignment w:val="baseline"/>
        <w:rPr>
          <w:rFonts w:ascii="宋体" w:hAnsi="宋体" w:eastAsia="宋体" w:cs="Times New Roman"/>
          <w:kern w:val="0"/>
          <w:sz w:val="28"/>
          <w:szCs w:val="20"/>
        </w:rPr>
      </w:pPr>
      <w:r>
        <w:rPr>
          <w:rFonts w:ascii="宋体" w:hAnsi="宋体" w:eastAsia="宋体" w:cs="Times New Roman"/>
          <w:kern w:val="0"/>
          <w:sz w:val="28"/>
          <w:szCs w:val="20"/>
        </w:rPr>
        <w:t>9</w:t>
      </w:r>
      <w:r>
        <w:rPr>
          <w:rFonts w:hint="eastAsia" w:ascii="宋体" w:hAnsi="宋体" w:eastAsia="宋体" w:cs="Times New Roman"/>
          <w:kern w:val="0"/>
          <w:sz w:val="28"/>
          <w:szCs w:val="20"/>
        </w:rPr>
        <w:t>）</w:t>
      </w:r>
      <w:r>
        <w:rPr>
          <w:rFonts w:ascii="宋体" w:hAnsi="宋体" w:eastAsia="宋体" w:cs="Times New Roman"/>
          <w:kern w:val="0"/>
          <w:sz w:val="28"/>
          <w:szCs w:val="20"/>
        </w:rPr>
        <w:t>投标人被举报、检举，并经招标方查实无误的。</w:t>
      </w:r>
    </w:p>
    <w:p w14:paraId="6ED8EEE5">
      <w:pPr>
        <w:widowControl/>
        <w:spacing w:line="360" w:lineRule="auto"/>
        <w:ind w:left="420" w:leftChars="200"/>
        <w:textAlignment w:val="baseline"/>
        <w:rPr>
          <w:rFonts w:ascii="宋体" w:hAnsi="宋体" w:eastAsia="宋体" w:cs="Times New Roman"/>
          <w:kern w:val="0"/>
          <w:sz w:val="28"/>
          <w:szCs w:val="20"/>
        </w:rPr>
      </w:pPr>
      <w:r>
        <w:rPr>
          <w:rFonts w:ascii="宋体" w:hAnsi="宋体" w:eastAsia="宋体" w:cs="Times New Roman"/>
          <w:kern w:val="0"/>
          <w:sz w:val="28"/>
          <w:szCs w:val="20"/>
        </w:rPr>
        <w:t>10</w:t>
      </w:r>
      <w:r>
        <w:rPr>
          <w:rFonts w:hint="eastAsia" w:ascii="宋体" w:hAnsi="宋体" w:eastAsia="宋体" w:cs="Times New Roman"/>
          <w:kern w:val="0"/>
          <w:sz w:val="28"/>
          <w:szCs w:val="20"/>
        </w:rPr>
        <w:t>）</w:t>
      </w:r>
      <w:r>
        <w:rPr>
          <w:rFonts w:ascii="宋体" w:hAnsi="宋体" w:eastAsia="宋体" w:cs="Times New Roman"/>
          <w:kern w:val="0"/>
          <w:sz w:val="28"/>
          <w:szCs w:val="20"/>
        </w:rPr>
        <w:t>法律、法规规定的其他情况。</w:t>
      </w:r>
    </w:p>
    <w:p w14:paraId="1DE17CFC">
      <w:pPr>
        <w:widowControl/>
        <w:spacing w:line="360" w:lineRule="auto"/>
        <w:ind w:firstLine="56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八</w:t>
      </w:r>
      <w:r>
        <w:rPr>
          <w:rFonts w:ascii="宋体" w:hAnsi="宋体" w:eastAsia="宋体" w:cs="Times New Roman"/>
          <w:kern w:val="0"/>
          <w:sz w:val="28"/>
          <w:szCs w:val="20"/>
        </w:rPr>
        <w:t>、其他</w:t>
      </w:r>
    </w:p>
    <w:p w14:paraId="02BF52BF">
      <w:pPr>
        <w:widowControl/>
        <w:spacing w:line="360" w:lineRule="auto"/>
        <w:ind w:firstLine="560"/>
        <w:textAlignment w:val="baseline"/>
        <w:rPr>
          <w:rFonts w:ascii="宋体" w:hAnsi="宋体" w:eastAsia="宋体" w:cs="Times New Roman"/>
          <w:kern w:val="0"/>
          <w:sz w:val="28"/>
          <w:szCs w:val="20"/>
        </w:rPr>
      </w:pPr>
      <w:r>
        <w:rPr>
          <w:rFonts w:ascii="宋体" w:hAnsi="宋体" w:eastAsia="宋体" w:cs="Times New Roman"/>
          <w:kern w:val="0"/>
          <w:sz w:val="28"/>
          <w:szCs w:val="20"/>
        </w:rPr>
        <w:t>1.中标人未经招标人同意将中标项目转让、部分转让或分包给他人的，招标人有权废止合同，并处转让、部分转让或分包金额10%的罚款。给招标人造成损失的，还应当赔偿损失。</w:t>
      </w:r>
    </w:p>
    <w:p w14:paraId="39DE711E">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2.投标人不得相互串通投标或与招标人的工作人员串通投标，不得向招标人的工作人员行贿或提供其他好处。通过以上手段谋取中标的，中标无效并取消参加以后投标的资格，情节严重触犯法律的，依法移送有关司法机关处理。</w:t>
      </w:r>
    </w:p>
    <w:p w14:paraId="58A7B918">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3.投标人须认可招标人的工作指令，包括节、假日能正常开展工作的要求。</w:t>
      </w:r>
    </w:p>
    <w:p w14:paraId="2CDFB9AB">
      <w:pPr>
        <w:widowControl/>
        <w:spacing w:line="360" w:lineRule="auto"/>
        <w:ind w:firstLine="560"/>
        <w:textAlignment w:val="baseline"/>
        <w:rPr>
          <w:rFonts w:ascii="宋体" w:hAnsi="宋体" w:eastAsia="宋体" w:cs="Times New Roman"/>
          <w:kern w:val="0"/>
          <w:sz w:val="28"/>
          <w:szCs w:val="20"/>
        </w:rPr>
      </w:pPr>
      <w:r>
        <w:rPr>
          <w:rFonts w:ascii="宋体" w:hAnsi="宋体" w:eastAsia="宋体" w:cs="Times New Roman"/>
          <w:kern w:val="0"/>
          <w:sz w:val="28"/>
          <w:szCs w:val="20"/>
        </w:rPr>
        <w:t>4.本招标文件的最终解释权归招标人，当对一个问题有多种解释时以招标人的书面解释为准。招标文件未做须知明示，而又有相关法律、法规规定的，招标人对此所做解释以相关的法律、法规规定为依据。</w:t>
      </w:r>
    </w:p>
    <w:p w14:paraId="108CE774">
      <w:pPr>
        <w:widowControl/>
        <w:spacing w:line="360" w:lineRule="auto"/>
        <w:ind w:firstLine="560"/>
        <w:textAlignment w:val="baseline"/>
        <w:rPr>
          <w:rFonts w:hint="default" w:ascii="宋体" w:hAnsi="宋体" w:eastAsia="宋体" w:cs="Times New Roman"/>
          <w:kern w:val="0"/>
          <w:sz w:val="28"/>
          <w:szCs w:val="20"/>
          <w:lang w:val="en-US" w:eastAsia="zh-CN"/>
        </w:rPr>
      </w:pPr>
      <w:r>
        <w:rPr>
          <w:rFonts w:hint="eastAsia" w:ascii="宋体" w:hAnsi="宋体" w:eastAsia="宋体" w:cs="Times New Roman"/>
          <w:kern w:val="0"/>
          <w:sz w:val="28"/>
          <w:szCs w:val="20"/>
          <w:lang w:val="en-US" w:eastAsia="zh-CN"/>
        </w:rPr>
        <w:t>5</w:t>
      </w:r>
      <w:r>
        <w:rPr>
          <w:rFonts w:ascii="宋体" w:hAnsi="宋体" w:eastAsia="宋体" w:cs="Times New Roman"/>
          <w:kern w:val="0"/>
          <w:sz w:val="28"/>
          <w:szCs w:val="20"/>
        </w:rPr>
        <w:t>.</w:t>
      </w:r>
      <w:r>
        <w:rPr>
          <w:rFonts w:hint="eastAsia" w:ascii="宋体" w:hAnsi="宋体" w:eastAsia="宋体" w:cs="Times New Roman"/>
          <w:kern w:val="0"/>
          <w:sz w:val="28"/>
          <w:szCs w:val="20"/>
          <w:lang w:val="en-US" w:eastAsia="zh-CN"/>
        </w:rPr>
        <w:t>合同以双方最终签署的版本为准。</w:t>
      </w:r>
    </w:p>
    <w:p w14:paraId="2ADF0EC7">
      <w:pPr>
        <w:widowControl/>
        <w:spacing w:line="360" w:lineRule="auto"/>
        <w:ind w:firstLine="580"/>
        <w:textAlignment w:val="baseline"/>
        <w:rPr>
          <w:rFonts w:ascii="宋体" w:hAnsi="宋体" w:eastAsia="宋体" w:cs="Times New Roman"/>
          <w:kern w:val="0"/>
          <w:sz w:val="28"/>
          <w:szCs w:val="20"/>
        </w:rPr>
      </w:pPr>
    </w:p>
    <w:p w14:paraId="35E867CB">
      <w:pPr>
        <w:widowControl/>
        <w:spacing w:line="360" w:lineRule="auto"/>
        <w:ind w:firstLine="440"/>
        <w:jc w:val="center"/>
        <w:textAlignment w:val="baseline"/>
        <w:rPr>
          <w:rFonts w:ascii="宋体" w:hAnsi="宋体" w:eastAsia="宋体" w:cs="Times New Roman"/>
          <w:b/>
          <w:kern w:val="0"/>
          <w:sz w:val="32"/>
          <w:szCs w:val="20"/>
        </w:rPr>
      </w:pPr>
      <w:r>
        <w:rPr>
          <w:rFonts w:hint="eastAsia" w:ascii="宋体" w:hAnsi="宋体" w:eastAsia="宋体" w:cs="Times New Roman"/>
          <w:b/>
          <w:kern w:val="0"/>
          <w:sz w:val="32"/>
          <w:szCs w:val="20"/>
        </w:rPr>
        <w:t>第三部分 标的物介绍</w:t>
      </w:r>
    </w:p>
    <w:p w14:paraId="34E53DD2">
      <w:pPr>
        <w:widowControl/>
        <w:spacing w:line="360" w:lineRule="auto"/>
        <w:ind w:firstLine="58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一、标的物要求</w:t>
      </w:r>
    </w:p>
    <w:p w14:paraId="49C5F8B6">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1.</w:t>
      </w:r>
      <w:r>
        <w:rPr>
          <w:rFonts w:hint="eastAsia" w:ascii="宋体" w:hAnsi="宋体" w:eastAsia="宋体" w:cs="Times New Roman"/>
          <w:kern w:val="0"/>
          <w:sz w:val="28"/>
          <w:szCs w:val="20"/>
        </w:rPr>
        <w:t>对</w:t>
      </w:r>
      <w:r>
        <w:rPr>
          <w:rFonts w:hint="eastAsia" w:ascii="宋体" w:hAnsi="宋体" w:eastAsia="宋体" w:cs="Times New Roman"/>
          <w:kern w:val="0"/>
          <w:sz w:val="28"/>
          <w:szCs w:val="20"/>
          <w:lang w:val="en-US" w:eastAsia="zh-CN"/>
        </w:rPr>
        <w:t>138届</w:t>
      </w:r>
      <w:r>
        <w:rPr>
          <w:rFonts w:hint="eastAsia" w:ascii="宋体" w:hAnsi="宋体" w:eastAsia="宋体" w:cs="Times New Roman"/>
          <w:kern w:val="0"/>
          <w:sz w:val="28"/>
          <w:szCs w:val="20"/>
        </w:rPr>
        <w:t>广交会出具搭建</w:t>
      </w:r>
      <w:r>
        <w:rPr>
          <w:rFonts w:hint="eastAsia" w:ascii="宋体" w:hAnsi="宋体" w:eastAsia="宋体" w:cs="Times New Roman"/>
          <w:kern w:val="0"/>
          <w:sz w:val="28"/>
          <w:szCs w:val="20"/>
          <w:lang w:val="en-US" w:eastAsia="zh-CN"/>
        </w:rPr>
        <w:t>运营</w:t>
      </w:r>
      <w:r>
        <w:rPr>
          <w:rFonts w:hint="eastAsia" w:ascii="宋体" w:hAnsi="宋体" w:eastAsia="宋体" w:cs="Times New Roman"/>
          <w:kern w:val="0"/>
          <w:sz w:val="28"/>
          <w:szCs w:val="20"/>
        </w:rPr>
        <w:t>方案；</w:t>
      </w:r>
    </w:p>
    <w:p w14:paraId="7DD1A7B6">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2.</w:t>
      </w:r>
      <w:r>
        <w:rPr>
          <w:rFonts w:hint="eastAsia" w:ascii="宋体" w:hAnsi="宋体" w:eastAsia="宋体" w:cs="Times New Roman"/>
          <w:kern w:val="0"/>
          <w:sz w:val="28"/>
          <w:szCs w:val="20"/>
        </w:rPr>
        <w:t>展位搭建方案及实施：</w:t>
      </w:r>
    </w:p>
    <w:p w14:paraId="1D1285B1">
      <w:pPr>
        <w:widowControl/>
        <w:spacing w:line="360" w:lineRule="auto"/>
        <w:ind w:firstLine="58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1）室外整车展位：编号为</w:t>
      </w:r>
      <w:r>
        <w:rPr>
          <w:rFonts w:ascii="宋体" w:hAnsi="宋体" w:eastAsia="宋体" w:cs="Times New Roman"/>
          <w:kern w:val="0"/>
          <w:sz w:val="28"/>
          <w:szCs w:val="20"/>
        </w:rPr>
        <w:t>13.0A26-29</w:t>
      </w:r>
      <w:r>
        <w:rPr>
          <w:rFonts w:hint="eastAsia" w:ascii="宋体" w:hAnsi="宋体" w:eastAsia="宋体" w:cs="Times New Roman"/>
          <w:kern w:val="0"/>
          <w:sz w:val="28"/>
          <w:szCs w:val="20"/>
        </w:rPr>
        <w:t>，尺寸为</w:t>
      </w:r>
      <w:r>
        <w:rPr>
          <w:rFonts w:ascii="宋体" w:hAnsi="宋体" w:eastAsia="宋体" w:cs="Times New Roman"/>
          <w:kern w:val="0"/>
          <w:sz w:val="28"/>
          <w:szCs w:val="20"/>
        </w:rPr>
        <w:t>8</w:t>
      </w:r>
      <w:r>
        <w:rPr>
          <w:rFonts w:hint="eastAsia" w:ascii="宋体" w:hAnsi="宋体" w:eastAsia="宋体" w:cs="Times New Roman"/>
          <w:kern w:val="0"/>
          <w:sz w:val="28"/>
          <w:szCs w:val="20"/>
        </w:rPr>
        <w:t>米×</w:t>
      </w:r>
      <w:r>
        <w:rPr>
          <w:rFonts w:ascii="宋体" w:hAnsi="宋体" w:eastAsia="宋体" w:cs="Times New Roman"/>
          <w:kern w:val="0"/>
          <w:sz w:val="28"/>
          <w:szCs w:val="20"/>
        </w:rPr>
        <w:t>10</w:t>
      </w:r>
      <w:r>
        <w:rPr>
          <w:rFonts w:hint="eastAsia" w:ascii="宋体" w:hAnsi="宋体" w:eastAsia="宋体" w:cs="Times New Roman"/>
          <w:kern w:val="0"/>
          <w:sz w:val="28"/>
          <w:szCs w:val="20"/>
        </w:rPr>
        <w:t>米，需摆放</w:t>
      </w:r>
      <w:r>
        <w:rPr>
          <w:rFonts w:ascii="宋体" w:hAnsi="宋体" w:eastAsia="宋体" w:cs="Times New Roman"/>
          <w:kern w:val="0"/>
          <w:sz w:val="28"/>
          <w:szCs w:val="20"/>
        </w:rPr>
        <w:t>1</w:t>
      </w:r>
      <w:r>
        <w:rPr>
          <w:rFonts w:hint="eastAsia" w:ascii="宋体" w:hAnsi="宋体" w:eastAsia="宋体" w:cs="Times New Roman"/>
          <w:kern w:val="0"/>
          <w:sz w:val="28"/>
          <w:szCs w:val="20"/>
        </w:rPr>
        <w:t>个展车，展车尺寸</w:t>
      </w:r>
      <w:r>
        <w:rPr>
          <w:rFonts w:hint="eastAsia" w:ascii="宋体" w:hAnsi="宋体" w:eastAsia="宋体" w:cs="Times New Roman"/>
          <w:kern w:val="0"/>
          <w:sz w:val="28"/>
          <w:szCs w:val="20"/>
          <w:lang w:val="en-US" w:eastAsia="zh-CN"/>
        </w:rPr>
        <w:t>约</w:t>
      </w:r>
      <w:r>
        <w:rPr>
          <w:rFonts w:hint="eastAsia" w:ascii="宋体" w:hAnsi="宋体" w:eastAsia="宋体" w:cs="Times New Roman"/>
          <w:kern w:val="0"/>
          <w:sz w:val="28"/>
          <w:szCs w:val="20"/>
        </w:rPr>
        <w:t>7525*2550*3980</w:t>
      </w:r>
      <w:r>
        <w:rPr>
          <w:rFonts w:hint="eastAsia" w:ascii="宋体" w:hAnsi="宋体" w:eastAsia="宋体" w:cs="Times New Roman"/>
          <w:kern w:val="0"/>
          <w:sz w:val="28"/>
          <w:szCs w:val="20"/>
          <w:lang w:val="en-US" w:eastAsia="zh-CN"/>
        </w:rPr>
        <w:t>mm</w:t>
      </w:r>
      <w:r>
        <w:rPr>
          <w:rFonts w:hint="eastAsia" w:ascii="宋体" w:hAnsi="宋体" w:eastAsia="宋体" w:cs="Times New Roman"/>
          <w:kern w:val="0"/>
          <w:sz w:val="28"/>
          <w:szCs w:val="20"/>
        </w:rPr>
        <w:t>；</w:t>
      </w:r>
    </w:p>
    <w:p w14:paraId="09A5BC45">
      <w:pPr>
        <w:widowControl/>
        <w:spacing w:line="360" w:lineRule="auto"/>
        <w:ind w:firstLine="58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2）室内汽车配件展位：</w:t>
      </w:r>
      <w:r>
        <w:rPr>
          <w:rFonts w:hint="eastAsia" w:ascii="宋体" w:hAnsi="宋体" w:eastAsia="宋体" w:cs="Times New Roman"/>
          <w:kern w:val="0"/>
          <w:sz w:val="28"/>
          <w:szCs w:val="20"/>
          <w:highlight w:val="none"/>
        </w:rPr>
        <w:t>编号为</w:t>
      </w:r>
      <w:r>
        <w:rPr>
          <w:rFonts w:ascii="宋体" w:hAnsi="宋体" w:eastAsia="宋体" w:cs="Times New Roman"/>
          <w:kern w:val="0"/>
          <w:sz w:val="28"/>
          <w:szCs w:val="20"/>
          <w:highlight w:val="none"/>
        </w:rPr>
        <w:t>9.3A09-12,9.3B13-16</w:t>
      </w:r>
      <w:r>
        <w:rPr>
          <w:rFonts w:hint="eastAsia" w:ascii="宋体" w:hAnsi="宋体" w:eastAsia="宋体" w:cs="Times New Roman"/>
          <w:kern w:val="0"/>
          <w:sz w:val="28"/>
          <w:szCs w:val="20"/>
          <w:highlight w:val="none"/>
        </w:rPr>
        <w:t>，尺寸为</w:t>
      </w:r>
      <w:r>
        <w:rPr>
          <w:rFonts w:ascii="宋体" w:hAnsi="宋体" w:eastAsia="宋体" w:cs="Times New Roman"/>
          <w:kern w:val="0"/>
          <w:sz w:val="28"/>
          <w:szCs w:val="20"/>
          <w:highlight w:val="none"/>
        </w:rPr>
        <w:t>6</w:t>
      </w:r>
      <w:r>
        <w:rPr>
          <w:rFonts w:hint="eastAsia" w:ascii="宋体" w:hAnsi="宋体" w:eastAsia="宋体" w:cs="Times New Roman"/>
          <w:kern w:val="0"/>
          <w:sz w:val="28"/>
          <w:szCs w:val="20"/>
          <w:highlight w:val="none"/>
        </w:rPr>
        <w:t>米×</w:t>
      </w:r>
      <w:r>
        <w:rPr>
          <w:rFonts w:ascii="宋体" w:hAnsi="宋体" w:eastAsia="宋体" w:cs="Times New Roman"/>
          <w:kern w:val="0"/>
          <w:sz w:val="28"/>
          <w:szCs w:val="20"/>
          <w:highlight w:val="none"/>
        </w:rPr>
        <w:t>12</w:t>
      </w:r>
      <w:r>
        <w:rPr>
          <w:rFonts w:hint="eastAsia" w:ascii="宋体" w:hAnsi="宋体" w:eastAsia="宋体" w:cs="Times New Roman"/>
          <w:kern w:val="0"/>
          <w:sz w:val="28"/>
          <w:szCs w:val="20"/>
          <w:highlight w:val="none"/>
        </w:rPr>
        <w:t>米</w:t>
      </w:r>
      <w:r>
        <w:rPr>
          <w:rFonts w:hint="eastAsia" w:ascii="宋体" w:hAnsi="宋体" w:eastAsia="宋体" w:cs="Times New Roman"/>
          <w:kern w:val="0"/>
          <w:sz w:val="28"/>
          <w:szCs w:val="20"/>
        </w:rPr>
        <w:t>，需摆放发动机</w:t>
      </w:r>
      <w:r>
        <w:rPr>
          <w:rFonts w:hint="eastAsia" w:ascii="宋体" w:hAnsi="宋体" w:eastAsia="宋体" w:cs="Times New Roman"/>
          <w:kern w:val="0"/>
          <w:sz w:val="28"/>
          <w:szCs w:val="20"/>
          <w:lang w:val="en-US" w:eastAsia="zh-CN"/>
        </w:rPr>
        <w:t>\</w:t>
      </w:r>
      <w:r>
        <w:rPr>
          <w:rFonts w:hint="eastAsia" w:ascii="宋体" w:hAnsi="宋体" w:eastAsia="宋体" w:cs="Times New Roman"/>
          <w:kern w:val="0"/>
          <w:sz w:val="28"/>
          <w:szCs w:val="20"/>
        </w:rPr>
        <w:t>变速箱</w:t>
      </w:r>
      <w:r>
        <w:rPr>
          <w:rFonts w:hint="eastAsia" w:ascii="宋体" w:hAnsi="宋体" w:eastAsia="宋体" w:cs="Times New Roman"/>
          <w:kern w:val="0"/>
          <w:sz w:val="28"/>
          <w:szCs w:val="20"/>
          <w:lang w:val="en-US" w:eastAsia="zh-CN"/>
        </w:rPr>
        <w:t>\配件若干</w:t>
      </w:r>
      <w:r>
        <w:rPr>
          <w:rFonts w:hint="eastAsia" w:ascii="宋体" w:hAnsi="宋体" w:eastAsia="宋体" w:cs="Times New Roman"/>
          <w:kern w:val="0"/>
          <w:sz w:val="28"/>
          <w:szCs w:val="20"/>
        </w:rPr>
        <w:t>，配件明细</w:t>
      </w:r>
      <w:r>
        <w:rPr>
          <w:rFonts w:hint="eastAsia" w:ascii="宋体" w:hAnsi="宋体" w:eastAsia="宋体" w:cs="Times New Roman"/>
          <w:kern w:val="0"/>
          <w:sz w:val="28"/>
          <w:szCs w:val="20"/>
          <w:lang w:val="en-US" w:eastAsia="zh-CN"/>
        </w:rPr>
        <w:t>见</w:t>
      </w:r>
      <w:r>
        <w:rPr>
          <w:rFonts w:hint="eastAsia" w:ascii="宋体" w:hAnsi="宋体" w:eastAsia="宋体" w:cs="Times New Roman"/>
          <w:kern w:val="0"/>
          <w:sz w:val="28"/>
          <w:szCs w:val="20"/>
        </w:rPr>
        <w:t>附件；</w:t>
      </w:r>
    </w:p>
    <w:p w14:paraId="19448E77">
      <w:pPr>
        <w:widowControl/>
        <w:spacing w:line="360" w:lineRule="auto"/>
        <w:ind w:firstLine="580"/>
        <w:textAlignment w:val="baseline"/>
        <w:rPr>
          <w:rFonts w:ascii="宋体" w:hAnsi="宋体" w:eastAsia="宋体" w:cs="Times New Roman"/>
          <w:kern w:val="0"/>
          <w:sz w:val="28"/>
          <w:szCs w:val="20"/>
          <w:highlight w:val="none"/>
        </w:rPr>
      </w:pPr>
      <w:r>
        <w:rPr>
          <w:rFonts w:hint="eastAsia" w:ascii="宋体" w:hAnsi="宋体" w:eastAsia="宋体" w:cs="Times New Roman"/>
          <w:kern w:val="0"/>
          <w:sz w:val="28"/>
          <w:szCs w:val="20"/>
        </w:rPr>
        <w:t>3）室内新能源汽车及智慧出行面积为</w:t>
      </w:r>
      <w:r>
        <w:rPr>
          <w:rFonts w:hint="eastAsia" w:ascii="宋体" w:hAnsi="宋体" w:eastAsia="宋体" w:cs="Times New Roman"/>
          <w:kern w:val="0"/>
          <w:sz w:val="28"/>
          <w:szCs w:val="20"/>
          <w:highlight w:val="none"/>
        </w:rPr>
        <w:t>8</w:t>
      </w:r>
      <w:r>
        <w:rPr>
          <w:rFonts w:ascii="宋体" w:hAnsi="宋体" w:eastAsia="宋体" w:cs="Times New Roman"/>
          <w:kern w:val="0"/>
          <w:sz w:val="28"/>
          <w:szCs w:val="20"/>
          <w:highlight w:val="none"/>
        </w:rPr>
        <w:t>1</w:t>
      </w:r>
      <w:r>
        <w:rPr>
          <w:rFonts w:hint="eastAsia" w:ascii="宋体" w:hAnsi="宋体" w:eastAsia="宋体" w:cs="Times New Roman"/>
          <w:kern w:val="0"/>
          <w:sz w:val="28"/>
          <w:szCs w:val="20"/>
          <w:highlight w:val="none"/>
        </w:rPr>
        <w:t>平方，要求放置1个展车，尺寸</w:t>
      </w:r>
      <w:r>
        <w:rPr>
          <w:rFonts w:hint="eastAsia" w:ascii="宋体" w:hAnsi="宋体" w:eastAsia="宋体" w:cs="Times New Roman"/>
          <w:kern w:val="0"/>
          <w:sz w:val="28"/>
          <w:szCs w:val="20"/>
          <w:highlight w:val="none"/>
          <w:lang w:val="en-US" w:eastAsia="zh-CN"/>
        </w:rPr>
        <w:t>约</w:t>
      </w:r>
      <w:r>
        <w:rPr>
          <w:rFonts w:hint="eastAsia" w:ascii="宋体" w:hAnsi="宋体" w:eastAsia="宋体" w:cs="Times New Roman"/>
          <w:kern w:val="0"/>
          <w:sz w:val="28"/>
          <w:szCs w:val="20"/>
          <w:highlight w:val="none"/>
        </w:rPr>
        <w:t>7525*2550*3980</w:t>
      </w:r>
      <w:r>
        <w:rPr>
          <w:rFonts w:hint="eastAsia" w:ascii="宋体" w:hAnsi="宋体" w:eastAsia="宋体" w:cs="Times New Roman"/>
          <w:kern w:val="0"/>
          <w:sz w:val="28"/>
          <w:szCs w:val="20"/>
          <w:highlight w:val="none"/>
          <w:lang w:val="en-US" w:eastAsia="zh-CN"/>
        </w:rPr>
        <w:t>mm</w:t>
      </w:r>
      <w:r>
        <w:rPr>
          <w:rFonts w:hint="eastAsia" w:ascii="宋体" w:hAnsi="宋体" w:eastAsia="宋体" w:cs="Times New Roman"/>
          <w:kern w:val="0"/>
          <w:sz w:val="28"/>
          <w:szCs w:val="20"/>
          <w:highlight w:val="none"/>
        </w:rPr>
        <w:t>。</w:t>
      </w:r>
    </w:p>
    <w:p w14:paraId="15C666D4">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3.</w:t>
      </w:r>
      <w:r>
        <w:rPr>
          <w:rFonts w:hint="eastAsia" w:ascii="宋体" w:hAnsi="宋体" w:eastAsia="宋体" w:cs="Times New Roman"/>
          <w:kern w:val="0"/>
          <w:sz w:val="28"/>
          <w:szCs w:val="20"/>
        </w:rPr>
        <w:t>搭建</w:t>
      </w:r>
      <w:r>
        <w:rPr>
          <w:rFonts w:hint="eastAsia" w:ascii="宋体" w:hAnsi="宋体" w:eastAsia="宋体" w:cs="Times New Roman"/>
          <w:kern w:val="0"/>
          <w:sz w:val="28"/>
          <w:szCs w:val="20"/>
          <w:lang w:val="en-US" w:eastAsia="zh-CN"/>
        </w:rPr>
        <w:t>及运营</w:t>
      </w:r>
      <w:r>
        <w:rPr>
          <w:rFonts w:hint="eastAsia" w:ascii="宋体" w:hAnsi="宋体" w:eastAsia="宋体" w:cs="Times New Roman"/>
          <w:kern w:val="0"/>
          <w:sz w:val="28"/>
          <w:szCs w:val="20"/>
        </w:rPr>
        <w:t>要求</w:t>
      </w:r>
    </w:p>
    <w:tbl>
      <w:tblPr>
        <w:tblStyle w:val="9"/>
        <w:tblW w:w="10059" w:type="dxa"/>
        <w:jc w:val="center"/>
        <w:tblLayout w:type="autofit"/>
        <w:tblCellMar>
          <w:top w:w="0" w:type="dxa"/>
          <w:left w:w="108" w:type="dxa"/>
          <w:bottom w:w="0" w:type="dxa"/>
          <w:right w:w="108" w:type="dxa"/>
        </w:tblCellMar>
      </w:tblPr>
      <w:tblGrid>
        <w:gridCol w:w="700"/>
        <w:gridCol w:w="1116"/>
        <w:gridCol w:w="8243"/>
      </w:tblGrid>
      <w:tr w14:paraId="30FA68DF">
        <w:tblPrEx>
          <w:tblCellMar>
            <w:top w:w="0" w:type="dxa"/>
            <w:left w:w="108" w:type="dxa"/>
            <w:bottom w:w="0" w:type="dxa"/>
            <w:right w:w="108" w:type="dxa"/>
          </w:tblCellMar>
        </w:tblPrEx>
        <w:trPr>
          <w:trHeight w:val="231" w:hRule="atLeast"/>
          <w:jc w:val="center"/>
        </w:trPr>
        <w:tc>
          <w:tcPr>
            <w:tcW w:w="7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908561">
            <w:pPr>
              <w:widowControl/>
              <w:jc w:val="center"/>
              <w:rPr>
                <w:rFonts w:ascii="等线" w:hAnsi="等线" w:eastAsia="等线" w:cs="宋体"/>
                <w:color w:val="000000"/>
                <w:kern w:val="0"/>
                <w:sz w:val="16"/>
                <w:szCs w:val="18"/>
              </w:rPr>
            </w:pPr>
            <w:r>
              <w:rPr>
                <w:rFonts w:hint="eastAsia" w:ascii="等线" w:hAnsi="等线" w:eastAsia="等线" w:cs="宋体"/>
                <w:color w:val="000000"/>
                <w:kern w:val="0"/>
                <w:sz w:val="16"/>
                <w:szCs w:val="18"/>
                <w:lang w:val="en-US" w:eastAsia="zh-CN"/>
              </w:rPr>
              <w:t>序号</w:t>
            </w:r>
            <w:r>
              <w:rPr>
                <w:rFonts w:hint="eastAsia" w:ascii="等线" w:hAnsi="等线" w:eastAsia="等线" w:cs="宋体"/>
                <w:color w:val="000000"/>
                <w:kern w:val="0"/>
                <w:sz w:val="16"/>
                <w:szCs w:val="18"/>
              </w:rPr>
              <w:t>　</w:t>
            </w:r>
          </w:p>
        </w:tc>
        <w:tc>
          <w:tcPr>
            <w:tcW w:w="1116" w:type="dxa"/>
            <w:tcBorders>
              <w:top w:val="single" w:color="auto" w:sz="4" w:space="0"/>
              <w:left w:val="nil"/>
              <w:bottom w:val="single" w:color="auto" w:sz="4" w:space="0"/>
              <w:right w:val="single" w:color="auto" w:sz="4" w:space="0"/>
            </w:tcBorders>
            <w:shd w:val="clear" w:color="auto" w:fill="auto"/>
            <w:vAlign w:val="center"/>
          </w:tcPr>
          <w:p w14:paraId="1C0FC3FA">
            <w:pPr>
              <w:widowControl/>
              <w:jc w:val="center"/>
              <w:rPr>
                <w:rFonts w:ascii="等线" w:hAnsi="等线" w:eastAsia="等线" w:cs="宋体"/>
                <w:color w:val="000000"/>
                <w:kern w:val="0"/>
                <w:sz w:val="16"/>
                <w:szCs w:val="18"/>
              </w:rPr>
            </w:pPr>
            <w:r>
              <w:rPr>
                <w:rFonts w:hint="eastAsia" w:ascii="等线" w:hAnsi="等线" w:eastAsia="等线" w:cs="宋体"/>
                <w:color w:val="000000"/>
                <w:kern w:val="0"/>
                <w:sz w:val="16"/>
                <w:szCs w:val="18"/>
              </w:rPr>
              <w:t>服务名称</w:t>
            </w:r>
          </w:p>
        </w:tc>
        <w:tc>
          <w:tcPr>
            <w:tcW w:w="8243" w:type="dxa"/>
            <w:tcBorders>
              <w:top w:val="single" w:color="auto" w:sz="4" w:space="0"/>
              <w:left w:val="nil"/>
              <w:bottom w:val="single" w:color="auto" w:sz="4" w:space="0"/>
              <w:right w:val="single" w:color="auto" w:sz="4" w:space="0"/>
            </w:tcBorders>
            <w:shd w:val="clear" w:color="auto" w:fill="auto"/>
            <w:vAlign w:val="center"/>
          </w:tcPr>
          <w:p w14:paraId="00581D4B">
            <w:pPr>
              <w:widowControl/>
              <w:jc w:val="left"/>
              <w:rPr>
                <w:rFonts w:ascii="等线" w:hAnsi="等线" w:eastAsia="等线" w:cs="宋体"/>
                <w:color w:val="000000"/>
                <w:kern w:val="0"/>
                <w:sz w:val="16"/>
                <w:szCs w:val="18"/>
              </w:rPr>
            </w:pPr>
            <w:r>
              <w:rPr>
                <w:rFonts w:hint="eastAsia" w:ascii="等线" w:hAnsi="等线" w:eastAsia="等线" w:cs="宋体"/>
                <w:color w:val="000000"/>
                <w:kern w:val="0"/>
                <w:sz w:val="16"/>
                <w:szCs w:val="18"/>
              </w:rPr>
              <w:t>具体技术要求</w:t>
            </w:r>
          </w:p>
        </w:tc>
      </w:tr>
      <w:tr w14:paraId="44D80FA3">
        <w:tblPrEx>
          <w:tblCellMar>
            <w:top w:w="0" w:type="dxa"/>
            <w:left w:w="108" w:type="dxa"/>
            <w:bottom w:w="0" w:type="dxa"/>
            <w:right w:w="108" w:type="dxa"/>
          </w:tblCellMar>
        </w:tblPrEx>
        <w:trPr>
          <w:trHeight w:val="454" w:hRule="atLeast"/>
          <w:jc w:val="center"/>
        </w:trPr>
        <w:tc>
          <w:tcPr>
            <w:tcW w:w="700" w:type="dxa"/>
            <w:vMerge w:val="restart"/>
            <w:tcBorders>
              <w:top w:val="nil"/>
              <w:left w:val="single" w:color="auto" w:sz="4" w:space="0"/>
              <w:right w:val="single" w:color="auto" w:sz="4" w:space="0"/>
            </w:tcBorders>
            <w:vAlign w:val="center"/>
          </w:tcPr>
          <w:p w14:paraId="426FDDF4">
            <w:pPr>
              <w:widowControl/>
              <w:jc w:val="center"/>
              <w:rPr>
                <w:rFonts w:ascii="等线" w:hAnsi="等线" w:eastAsia="等线" w:cs="宋体"/>
                <w:color w:val="000000"/>
                <w:kern w:val="0"/>
                <w:sz w:val="16"/>
                <w:szCs w:val="18"/>
              </w:rPr>
            </w:pPr>
            <w:r>
              <w:rPr>
                <w:rFonts w:hint="eastAsia" w:ascii="等线" w:hAnsi="等线" w:eastAsia="等线" w:cs="宋体"/>
                <w:color w:val="000000"/>
                <w:kern w:val="0"/>
                <w:sz w:val="16"/>
                <w:szCs w:val="18"/>
              </w:rPr>
              <w:t>　</w:t>
            </w:r>
          </w:p>
          <w:p w14:paraId="1AC2A3B5">
            <w:pPr>
              <w:jc w:val="center"/>
              <w:rPr>
                <w:rFonts w:ascii="等线" w:hAnsi="等线" w:eastAsia="等线" w:cs="宋体"/>
                <w:color w:val="000000"/>
                <w:kern w:val="0"/>
                <w:sz w:val="16"/>
                <w:szCs w:val="18"/>
              </w:rPr>
            </w:pPr>
            <w:r>
              <w:rPr>
                <w:rFonts w:ascii="等线" w:hAnsi="等线" w:eastAsia="等线" w:cs="宋体"/>
                <w:color w:val="000000"/>
                <w:kern w:val="0"/>
                <w:sz w:val="16"/>
                <w:szCs w:val="18"/>
              </w:rPr>
              <w:t>1</w:t>
            </w:r>
          </w:p>
        </w:tc>
        <w:tc>
          <w:tcPr>
            <w:tcW w:w="1116" w:type="dxa"/>
            <w:vMerge w:val="restart"/>
            <w:tcBorders>
              <w:top w:val="single" w:color="auto" w:sz="4" w:space="0"/>
              <w:left w:val="single" w:color="auto" w:sz="4" w:space="0"/>
              <w:bottom w:val="single" w:color="auto" w:sz="4" w:space="0"/>
              <w:right w:val="single" w:color="auto" w:sz="4" w:space="0"/>
            </w:tcBorders>
            <w:vAlign w:val="center"/>
          </w:tcPr>
          <w:p w14:paraId="685EE566">
            <w:pPr>
              <w:jc w:val="center"/>
              <w:rPr>
                <w:rFonts w:ascii="等线" w:hAnsi="等线" w:eastAsia="等线" w:cs="宋体"/>
                <w:color w:val="000000"/>
                <w:kern w:val="0"/>
                <w:sz w:val="16"/>
                <w:szCs w:val="18"/>
              </w:rPr>
            </w:pPr>
            <w:r>
              <w:rPr>
                <w:rFonts w:hint="eastAsia" w:ascii="等线" w:hAnsi="等线" w:eastAsia="等线" w:cs="宋体"/>
                <w:color w:val="000000"/>
                <w:kern w:val="0"/>
                <w:sz w:val="16"/>
                <w:szCs w:val="18"/>
              </w:rPr>
              <w:t>整体展台搭建</w:t>
            </w:r>
          </w:p>
        </w:tc>
        <w:tc>
          <w:tcPr>
            <w:tcW w:w="8243" w:type="dxa"/>
            <w:tcBorders>
              <w:top w:val="nil"/>
              <w:left w:val="nil"/>
              <w:bottom w:val="single" w:color="auto" w:sz="4" w:space="0"/>
              <w:right w:val="single" w:color="auto" w:sz="4" w:space="0"/>
            </w:tcBorders>
            <w:shd w:val="clear" w:color="auto" w:fill="auto"/>
            <w:vAlign w:val="center"/>
          </w:tcPr>
          <w:p w14:paraId="329A8278">
            <w:pPr>
              <w:widowControl/>
              <w:jc w:val="left"/>
              <w:rPr>
                <w:rFonts w:ascii="等线" w:hAnsi="等线" w:eastAsia="等线" w:cs="宋体"/>
                <w:color w:val="000000"/>
                <w:kern w:val="0"/>
                <w:sz w:val="16"/>
                <w:szCs w:val="18"/>
              </w:rPr>
            </w:pPr>
            <w:r>
              <w:rPr>
                <w:rFonts w:hint="eastAsia" w:ascii="等线" w:hAnsi="等线" w:eastAsia="等线" w:cs="宋体"/>
                <w:color w:val="000000"/>
                <w:kern w:val="0"/>
                <w:sz w:val="16"/>
                <w:szCs w:val="18"/>
              </w:rPr>
              <w:t>投标人在投标文件中提供一套设计方案,设计风格贴合</w:t>
            </w:r>
            <w:r>
              <w:rPr>
                <w:rFonts w:hint="eastAsia" w:ascii="等线" w:hAnsi="等线" w:eastAsia="等线" w:cs="宋体"/>
                <w:color w:val="000000"/>
                <w:kern w:val="0"/>
                <w:sz w:val="16"/>
                <w:szCs w:val="18"/>
                <w:lang w:val="en-US" w:eastAsia="zh-CN"/>
              </w:rPr>
              <w:t>招标人</w:t>
            </w:r>
            <w:r>
              <w:rPr>
                <w:rFonts w:hint="eastAsia" w:ascii="等线" w:hAnsi="等线" w:eastAsia="等线" w:cs="宋体"/>
                <w:color w:val="000000"/>
                <w:kern w:val="0"/>
                <w:sz w:val="16"/>
                <w:szCs w:val="18"/>
              </w:rPr>
              <w:t>的整体风格，设计理念突出科技、绿色，需达到在众多展位中脱颖而出的效果;</w:t>
            </w:r>
          </w:p>
        </w:tc>
      </w:tr>
      <w:tr w14:paraId="0E713965">
        <w:tblPrEx>
          <w:tblCellMar>
            <w:top w:w="0" w:type="dxa"/>
            <w:left w:w="108" w:type="dxa"/>
            <w:bottom w:w="0" w:type="dxa"/>
            <w:right w:w="108" w:type="dxa"/>
          </w:tblCellMar>
        </w:tblPrEx>
        <w:trPr>
          <w:trHeight w:val="231" w:hRule="atLeast"/>
          <w:jc w:val="center"/>
        </w:trPr>
        <w:tc>
          <w:tcPr>
            <w:tcW w:w="700" w:type="dxa"/>
            <w:vMerge w:val="continue"/>
            <w:tcBorders>
              <w:left w:val="single" w:color="auto" w:sz="4" w:space="0"/>
              <w:right w:val="single" w:color="auto" w:sz="4" w:space="0"/>
            </w:tcBorders>
            <w:vAlign w:val="center"/>
          </w:tcPr>
          <w:p w14:paraId="3435FA8E">
            <w:pPr>
              <w:jc w:val="center"/>
              <w:rPr>
                <w:rFonts w:ascii="等线" w:hAnsi="等线" w:eastAsia="等线" w:cs="宋体"/>
                <w:color w:val="000000"/>
                <w:kern w:val="0"/>
                <w:sz w:val="16"/>
                <w:szCs w:val="18"/>
              </w:rPr>
            </w:pPr>
          </w:p>
        </w:tc>
        <w:tc>
          <w:tcPr>
            <w:tcW w:w="1116" w:type="dxa"/>
            <w:vMerge w:val="continue"/>
            <w:tcBorders>
              <w:top w:val="single" w:color="auto" w:sz="4" w:space="0"/>
              <w:left w:val="single" w:color="auto" w:sz="4" w:space="0"/>
              <w:bottom w:val="single" w:color="auto" w:sz="4" w:space="0"/>
              <w:right w:val="single" w:color="auto" w:sz="4" w:space="0"/>
            </w:tcBorders>
            <w:vAlign w:val="center"/>
          </w:tcPr>
          <w:p w14:paraId="42CCCAA4">
            <w:pPr>
              <w:jc w:val="center"/>
              <w:rPr>
                <w:rFonts w:ascii="等线" w:hAnsi="等线" w:eastAsia="等线" w:cs="宋体"/>
                <w:color w:val="000000"/>
                <w:kern w:val="0"/>
                <w:sz w:val="16"/>
                <w:szCs w:val="18"/>
              </w:rPr>
            </w:pPr>
          </w:p>
        </w:tc>
        <w:tc>
          <w:tcPr>
            <w:tcW w:w="8243" w:type="dxa"/>
            <w:tcBorders>
              <w:top w:val="nil"/>
              <w:left w:val="nil"/>
              <w:bottom w:val="single" w:color="auto" w:sz="4" w:space="0"/>
              <w:right w:val="single" w:color="auto" w:sz="4" w:space="0"/>
            </w:tcBorders>
            <w:shd w:val="clear" w:color="auto" w:fill="auto"/>
            <w:vAlign w:val="center"/>
          </w:tcPr>
          <w:p w14:paraId="172160E2">
            <w:pPr>
              <w:widowControl/>
              <w:jc w:val="left"/>
              <w:rPr>
                <w:rFonts w:hint="eastAsia" w:ascii="等线" w:hAnsi="等线" w:eastAsia="等线" w:cs="宋体"/>
                <w:color w:val="000000"/>
                <w:kern w:val="0"/>
                <w:sz w:val="16"/>
                <w:szCs w:val="18"/>
              </w:rPr>
            </w:pPr>
            <w:r>
              <w:rPr>
                <w:rFonts w:hint="eastAsia" w:ascii="等线" w:hAnsi="等线" w:eastAsia="等线" w:cs="宋体"/>
                <w:color w:val="000000"/>
                <w:kern w:val="0"/>
                <w:sz w:val="16"/>
                <w:szCs w:val="18"/>
                <w:lang w:val="en-US" w:eastAsia="zh-CN"/>
              </w:rPr>
              <w:t>展位布局合理，避免出现遮挡、割裂等情况，动线合理</w:t>
            </w:r>
            <w:r>
              <w:rPr>
                <w:rFonts w:hint="eastAsia" w:ascii="等线" w:hAnsi="等线" w:eastAsia="等线" w:cs="宋体"/>
                <w:color w:val="000000"/>
                <w:kern w:val="0"/>
                <w:sz w:val="16"/>
                <w:szCs w:val="18"/>
              </w:rPr>
              <w:t>；</w:t>
            </w:r>
          </w:p>
        </w:tc>
      </w:tr>
      <w:tr w14:paraId="49C2EF1D">
        <w:tblPrEx>
          <w:tblCellMar>
            <w:top w:w="0" w:type="dxa"/>
            <w:left w:w="108" w:type="dxa"/>
            <w:bottom w:w="0" w:type="dxa"/>
            <w:right w:w="108" w:type="dxa"/>
          </w:tblCellMar>
        </w:tblPrEx>
        <w:trPr>
          <w:trHeight w:val="231" w:hRule="atLeast"/>
          <w:jc w:val="center"/>
        </w:trPr>
        <w:tc>
          <w:tcPr>
            <w:tcW w:w="700" w:type="dxa"/>
            <w:vMerge w:val="continue"/>
            <w:tcBorders>
              <w:left w:val="single" w:color="auto" w:sz="4" w:space="0"/>
              <w:right w:val="single" w:color="auto" w:sz="4" w:space="0"/>
            </w:tcBorders>
            <w:vAlign w:val="center"/>
          </w:tcPr>
          <w:p w14:paraId="7F96B1E7">
            <w:pPr>
              <w:jc w:val="center"/>
              <w:rPr>
                <w:rFonts w:ascii="等线" w:hAnsi="等线" w:eastAsia="等线" w:cs="宋体"/>
                <w:color w:val="000000"/>
                <w:kern w:val="0"/>
                <w:sz w:val="16"/>
                <w:szCs w:val="18"/>
              </w:rPr>
            </w:pPr>
          </w:p>
        </w:tc>
        <w:tc>
          <w:tcPr>
            <w:tcW w:w="1116" w:type="dxa"/>
            <w:vMerge w:val="continue"/>
            <w:tcBorders>
              <w:top w:val="single" w:color="auto" w:sz="4" w:space="0"/>
              <w:left w:val="single" w:color="auto" w:sz="4" w:space="0"/>
              <w:bottom w:val="single" w:color="auto" w:sz="4" w:space="0"/>
              <w:right w:val="single" w:color="auto" w:sz="4" w:space="0"/>
            </w:tcBorders>
            <w:vAlign w:val="center"/>
          </w:tcPr>
          <w:p w14:paraId="66D8F3FE">
            <w:pPr>
              <w:jc w:val="center"/>
              <w:rPr>
                <w:rFonts w:ascii="等线" w:hAnsi="等线" w:eastAsia="等线" w:cs="宋体"/>
                <w:color w:val="000000"/>
                <w:kern w:val="0"/>
                <w:sz w:val="16"/>
                <w:szCs w:val="18"/>
              </w:rPr>
            </w:pPr>
          </w:p>
        </w:tc>
        <w:tc>
          <w:tcPr>
            <w:tcW w:w="8243" w:type="dxa"/>
            <w:tcBorders>
              <w:top w:val="nil"/>
              <w:left w:val="nil"/>
              <w:bottom w:val="single" w:color="auto" w:sz="4" w:space="0"/>
              <w:right w:val="single" w:color="auto" w:sz="4" w:space="0"/>
            </w:tcBorders>
            <w:shd w:val="clear" w:color="auto" w:fill="auto"/>
            <w:vAlign w:val="center"/>
          </w:tcPr>
          <w:p w14:paraId="11A3B89F">
            <w:pPr>
              <w:widowControl/>
              <w:jc w:val="left"/>
              <w:rPr>
                <w:rFonts w:hint="eastAsia" w:ascii="等线" w:hAnsi="等线" w:eastAsia="等线" w:cs="宋体"/>
                <w:color w:val="000000"/>
                <w:kern w:val="0"/>
                <w:sz w:val="16"/>
                <w:szCs w:val="18"/>
              </w:rPr>
            </w:pPr>
            <w:r>
              <w:rPr>
                <w:rFonts w:hint="eastAsia" w:ascii="等线" w:hAnsi="等线" w:eastAsia="等线" w:cs="宋体"/>
                <w:color w:val="000000"/>
                <w:kern w:val="0"/>
                <w:sz w:val="16"/>
                <w:szCs w:val="18"/>
                <w:lang w:val="en-US" w:eastAsia="zh-CN"/>
              </w:rPr>
              <w:t>需合理且重点突出品牌标识</w:t>
            </w:r>
            <w:r>
              <w:rPr>
                <w:rFonts w:hint="eastAsia" w:ascii="等线" w:hAnsi="等线" w:eastAsia="等线" w:cs="宋体"/>
                <w:color w:val="000000"/>
                <w:kern w:val="0"/>
                <w:sz w:val="16"/>
                <w:szCs w:val="18"/>
              </w:rPr>
              <w:t>。</w:t>
            </w:r>
          </w:p>
        </w:tc>
      </w:tr>
      <w:tr w14:paraId="1E21983F">
        <w:tblPrEx>
          <w:tblCellMar>
            <w:top w:w="0" w:type="dxa"/>
            <w:left w:w="108" w:type="dxa"/>
            <w:bottom w:w="0" w:type="dxa"/>
            <w:right w:w="108" w:type="dxa"/>
          </w:tblCellMar>
        </w:tblPrEx>
        <w:trPr>
          <w:trHeight w:val="231" w:hRule="atLeast"/>
          <w:jc w:val="center"/>
        </w:trPr>
        <w:tc>
          <w:tcPr>
            <w:tcW w:w="700" w:type="dxa"/>
            <w:vMerge w:val="continue"/>
            <w:tcBorders>
              <w:left w:val="single" w:color="auto" w:sz="4" w:space="0"/>
              <w:right w:val="single" w:color="auto" w:sz="4" w:space="0"/>
            </w:tcBorders>
            <w:vAlign w:val="center"/>
          </w:tcPr>
          <w:p w14:paraId="325C6D0A">
            <w:pPr>
              <w:jc w:val="center"/>
              <w:rPr>
                <w:rFonts w:ascii="等线" w:hAnsi="等线" w:eastAsia="等线" w:cs="宋体"/>
                <w:color w:val="000000"/>
                <w:kern w:val="0"/>
                <w:sz w:val="16"/>
                <w:szCs w:val="18"/>
              </w:rPr>
            </w:pPr>
          </w:p>
        </w:tc>
        <w:tc>
          <w:tcPr>
            <w:tcW w:w="1116" w:type="dxa"/>
            <w:vMerge w:val="continue"/>
            <w:tcBorders>
              <w:top w:val="single" w:color="auto" w:sz="4" w:space="0"/>
              <w:left w:val="single" w:color="auto" w:sz="4" w:space="0"/>
              <w:bottom w:val="single" w:color="auto" w:sz="4" w:space="0"/>
              <w:right w:val="single" w:color="auto" w:sz="4" w:space="0"/>
            </w:tcBorders>
            <w:vAlign w:val="center"/>
          </w:tcPr>
          <w:p w14:paraId="69E3E086">
            <w:pPr>
              <w:jc w:val="center"/>
              <w:rPr>
                <w:rFonts w:ascii="等线" w:hAnsi="等线" w:eastAsia="等线" w:cs="宋体"/>
                <w:color w:val="000000"/>
                <w:kern w:val="0"/>
                <w:sz w:val="16"/>
                <w:szCs w:val="18"/>
              </w:rPr>
            </w:pPr>
          </w:p>
        </w:tc>
        <w:tc>
          <w:tcPr>
            <w:tcW w:w="8243" w:type="dxa"/>
            <w:tcBorders>
              <w:top w:val="nil"/>
              <w:left w:val="nil"/>
              <w:bottom w:val="single" w:color="auto" w:sz="4" w:space="0"/>
              <w:right w:val="single" w:color="auto" w:sz="4" w:space="0"/>
            </w:tcBorders>
            <w:shd w:val="clear" w:color="auto" w:fill="auto"/>
            <w:vAlign w:val="center"/>
          </w:tcPr>
          <w:p w14:paraId="72AB3485">
            <w:pPr>
              <w:widowControl/>
              <w:jc w:val="left"/>
              <w:rPr>
                <w:rFonts w:hint="default"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rPr>
              <w:t>主体材料符合广交会环保材料要求。</w:t>
            </w:r>
          </w:p>
        </w:tc>
      </w:tr>
      <w:tr w14:paraId="3306ED35">
        <w:tblPrEx>
          <w:tblCellMar>
            <w:top w:w="0" w:type="dxa"/>
            <w:left w:w="108" w:type="dxa"/>
            <w:bottom w:w="0" w:type="dxa"/>
            <w:right w:w="108" w:type="dxa"/>
          </w:tblCellMar>
        </w:tblPrEx>
        <w:trPr>
          <w:trHeight w:val="231" w:hRule="atLeast"/>
          <w:jc w:val="center"/>
        </w:trPr>
        <w:tc>
          <w:tcPr>
            <w:tcW w:w="700" w:type="dxa"/>
            <w:vMerge w:val="restart"/>
            <w:tcBorders>
              <w:top w:val="nil"/>
              <w:left w:val="single" w:color="auto" w:sz="4" w:space="0"/>
              <w:right w:val="single" w:color="auto" w:sz="4" w:space="0"/>
            </w:tcBorders>
            <w:shd w:val="clear" w:color="auto" w:fill="auto"/>
            <w:noWrap/>
            <w:vAlign w:val="center"/>
          </w:tcPr>
          <w:p w14:paraId="00D5427B">
            <w:pPr>
              <w:widowControl/>
              <w:jc w:val="center"/>
              <w:rPr>
                <w:rFonts w:hint="eastAsia"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2</w:t>
            </w:r>
          </w:p>
        </w:tc>
        <w:tc>
          <w:tcPr>
            <w:tcW w:w="11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4B9533">
            <w:pPr>
              <w:widowControl/>
              <w:jc w:val="center"/>
              <w:rPr>
                <w:rFonts w:hint="eastAsia" w:ascii="等线" w:hAnsi="等线" w:eastAsia="等线" w:cs="宋体"/>
                <w:color w:val="000000"/>
                <w:kern w:val="0"/>
                <w:sz w:val="16"/>
                <w:szCs w:val="18"/>
              </w:rPr>
            </w:pPr>
          </w:p>
          <w:p w14:paraId="33098D00">
            <w:pPr>
              <w:bidi w:val="0"/>
              <w:rPr>
                <w:rFonts w:hint="eastAsia" w:asciiTheme="minorHAnsi" w:hAnsiTheme="minorHAnsi" w:eastAsiaTheme="minorEastAsia" w:cstheme="minorBidi"/>
                <w:kern w:val="2"/>
                <w:sz w:val="15"/>
                <w:szCs w:val="16"/>
                <w:lang w:val="en-US" w:eastAsia="zh-CN" w:bidi="ar-SA"/>
              </w:rPr>
            </w:pPr>
          </w:p>
          <w:p w14:paraId="53676F7F">
            <w:pPr>
              <w:bidi w:val="0"/>
              <w:jc w:val="center"/>
              <w:rPr>
                <w:rFonts w:hint="default"/>
                <w:sz w:val="15"/>
                <w:szCs w:val="16"/>
                <w:lang w:val="en-US" w:eastAsia="zh-CN"/>
              </w:rPr>
            </w:pPr>
            <w:r>
              <w:rPr>
                <w:rFonts w:hint="eastAsia"/>
                <w:sz w:val="15"/>
                <w:szCs w:val="16"/>
                <w:lang w:val="en-US" w:eastAsia="zh-CN"/>
              </w:rPr>
              <w:t>布展物料</w:t>
            </w:r>
          </w:p>
        </w:tc>
        <w:tc>
          <w:tcPr>
            <w:tcW w:w="8243" w:type="dxa"/>
            <w:tcBorders>
              <w:top w:val="nil"/>
              <w:left w:val="nil"/>
              <w:bottom w:val="single" w:color="auto" w:sz="4" w:space="0"/>
              <w:right w:val="single" w:color="auto" w:sz="4" w:space="0"/>
            </w:tcBorders>
            <w:shd w:val="clear" w:color="auto" w:fill="auto"/>
            <w:vAlign w:val="center"/>
          </w:tcPr>
          <w:p w14:paraId="1389BDF3">
            <w:pPr>
              <w:widowControl/>
              <w:jc w:val="left"/>
              <w:rPr>
                <w:rFonts w:hint="default" w:ascii="等线" w:hAnsi="等线" w:eastAsia="等线" w:cs="宋体"/>
                <w:color w:val="000000"/>
                <w:kern w:val="0"/>
                <w:sz w:val="16"/>
                <w:szCs w:val="18"/>
                <w:lang w:val="en-US" w:eastAsia="zh-CN" w:bidi="ar-SA"/>
              </w:rPr>
            </w:pPr>
            <w:r>
              <w:rPr>
                <w:rFonts w:hint="eastAsia" w:ascii="等线" w:hAnsi="等线" w:eastAsia="等线" w:cs="宋体"/>
                <w:color w:val="000000"/>
                <w:kern w:val="0"/>
                <w:sz w:val="16"/>
                <w:szCs w:val="18"/>
                <w:lang w:val="en-US" w:eastAsia="zh-CN"/>
              </w:rPr>
              <w:t>三个展位均需有存储宣传纪念品、</w:t>
            </w:r>
            <w:r>
              <w:rPr>
                <w:rFonts w:hint="eastAsia" w:ascii="等线" w:hAnsi="等线" w:eastAsia="等线" w:cs="宋体"/>
                <w:color w:val="000000"/>
                <w:kern w:val="0"/>
                <w:sz w:val="16"/>
                <w:szCs w:val="18"/>
              </w:rPr>
              <w:t>宣传册及</w:t>
            </w:r>
            <w:r>
              <w:rPr>
                <w:rFonts w:hint="eastAsia" w:ascii="等线" w:hAnsi="等线" w:eastAsia="等线" w:cs="宋体"/>
                <w:color w:val="000000"/>
                <w:kern w:val="0"/>
                <w:sz w:val="16"/>
                <w:szCs w:val="18"/>
                <w:lang w:val="en-US" w:eastAsia="zh-CN"/>
              </w:rPr>
              <w:t>工作人员</w:t>
            </w:r>
            <w:r>
              <w:rPr>
                <w:rFonts w:hint="eastAsia" w:ascii="等线" w:hAnsi="等线" w:eastAsia="等线" w:cs="宋体"/>
                <w:color w:val="000000"/>
                <w:kern w:val="0"/>
                <w:sz w:val="16"/>
                <w:szCs w:val="18"/>
              </w:rPr>
              <w:t>个人物品</w:t>
            </w:r>
            <w:r>
              <w:rPr>
                <w:rFonts w:hint="eastAsia" w:ascii="等线" w:hAnsi="等线" w:eastAsia="等线" w:cs="宋体"/>
                <w:color w:val="000000"/>
                <w:kern w:val="0"/>
                <w:sz w:val="16"/>
                <w:szCs w:val="18"/>
                <w:lang w:val="en-US" w:eastAsia="zh-CN"/>
              </w:rPr>
              <w:t>的空间。</w:t>
            </w:r>
          </w:p>
        </w:tc>
      </w:tr>
      <w:tr w14:paraId="795048F0">
        <w:tblPrEx>
          <w:tblCellMar>
            <w:top w:w="0" w:type="dxa"/>
            <w:left w:w="108" w:type="dxa"/>
            <w:bottom w:w="0" w:type="dxa"/>
            <w:right w:w="108" w:type="dxa"/>
          </w:tblCellMar>
        </w:tblPrEx>
        <w:trPr>
          <w:trHeight w:val="231" w:hRule="atLeast"/>
          <w:jc w:val="center"/>
        </w:trPr>
        <w:tc>
          <w:tcPr>
            <w:tcW w:w="700" w:type="dxa"/>
            <w:vMerge w:val="continue"/>
            <w:tcBorders>
              <w:left w:val="single" w:color="auto" w:sz="4" w:space="0"/>
              <w:right w:val="single" w:color="auto" w:sz="4" w:space="0"/>
            </w:tcBorders>
            <w:shd w:val="clear" w:color="auto" w:fill="auto"/>
            <w:noWrap/>
            <w:vAlign w:val="center"/>
          </w:tcPr>
          <w:p w14:paraId="74743D18">
            <w:pPr>
              <w:widowControl/>
              <w:jc w:val="center"/>
              <w:rPr>
                <w:rFonts w:ascii="等线" w:hAnsi="等线" w:eastAsia="等线" w:cs="宋体"/>
                <w:color w:val="000000"/>
                <w:kern w:val="0"/>
                <w:sz w:val="16"/>
                <w:szCs w:val="18"/>
              </w:rPr>
            </w:pPr>
          </w:p>
        </w:tc>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3F6191">
            <w:pPr>
              <w:widowControl/>
              <w:jc w:val="center"/>
              <w:rPr>
                <w:rFonts w:hint="eastAsia" w:ascii="等线" w:hAnsi="等线" w:eastAsia="等线" w:cs="宋体"/>
                <w:color w:val="000000"/>
                <w:kern w:val="0"/>
                <w:sz w:val="16"/>
                <w:szCs w:val="18"/>
              </w:rPr>
            </w:pPr>
          </w:p>
        </w:tc>
        <w:tc>
          <w:tcPr>
            <w:tcW w:w="8243" w:type="dxa"/>
            <w:tcBorders>
              <w:top w:val="nil"/>
              <w:left w:val="nil"/>
              <w:bottom w:val="single" w:color="auto" w:sz="4" w:space="0"/>
              <w:right w:val="single" w:color="auto" w:sz="4" w:space="0"/>
            </w:tcBorders>
            <w:shd w:val="clear" w:color="auto" w:fill="auto"/>
            <w:vAlign w:val="center"/>
          </w:tcPr>
          <w:p w14:paraId="50AD8B9D">
            <w:pPr>
              <w:widowControl/>
              <w:jc w:val="left"/>
              <w:rPr>
                <w:rFonts w:hint="eastAsia" w:ascii="等线" w:hAnsi="等线" w:eastAsia="等线" w:cs="宋体"/>
                <w:color w:val="000000"/>
                <w:kern w:val="0"/>
                <w:sz w:val="16"/>
                <w:szCs w:val="18"/>
                <w:lang w:val="en-US" w:eastAsia="zh-CN" w:bidi="ar-SA"/>
              </w:rPr>
            </w:pPr>
            <w:r>
              <w:rPr>
                <w:rFonts w:hint="eastAsia" w:ascii="等线" w:hAnsi="等线" w:eastAsia="等线" w:cs="宋体"/>
                <w:color w:val="000000"/>
                <w:kern w:val="0"/>
                <w:sz w:val="16"/>
                <w:szCs w:val="18"/>
                <w:lang w:val="en-US" w:eastAsia="zh-CN"/>
              </w:rPr>
              <w:t>三个展位均需有周边商品展示柜，展示柜需可封闭，便于参观，确保周边商品不丢失。</w:t>
            </w:r>
          </w:p>
        </w:tc>
      </w:tr>
      <w:tr w14:paraId="2BC35C1B">
        <w:tblPrEx>
          <w:tblCellMar>
            <w:top w:w="0" w:type="dxa"/>
            <w:left w:w="108" w:type="dxa"/>
            <w:bottom w:w="0" w:type="dxa"/>
            <w:right w:w="108" w:type="dxa"/>
          </w:tblCellMar>
        </w:tblPrEx>
        <w:trPr>
          <w:trHeight w:val="231" w:hRule="atLeast"/>
          <w:jc w:val="center"/>
        </w:trPr>
        <w:tc>
          <w:tcPr>
            <w:tcW w:w="700" w:type="dxa"/>
            <w:vMerge w:val="continue"/>
            <w:tcBorders>
              <w:left w:val="single" w:color="auto" w:sz="4" w:space="0"/>
              <w:right w:val="single" w:color="auto" w:sz="4" w:space="0"/>
            </w:tcBorders>
            <w:shd w:val="clear" w:color="auto" w:fill="auto"/>
            <w:noWrap/>
            <w:vAlign w:val="center"/>
          </w:tcPr>
          <w:p w14:paraId="781F9139">
            <w:pPr>
              <w:widowControl/>
              <w:jc w:val="center"/>
              <w:rPr>
                <w:rFonts w:ascii="等线" w:hAnsi="等线" w:eastAsia="等线" w:cs="宋体"/>
                <w:color w:val="000000"/>
                <w:kern w:val="0"/>
                <w:sz w:val="16"/>
                <w:szCs w:val="18"/>
              </w:rPr>
            </w:pPr>
          </w:p>
        </w:tc>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D80DEF">
            <w:pPr>
              <w:widowControl/>
              <w:jc w:val="center"/>
              <w:rPr>
                <w:rFonts w:hint="eastAsia" w:ascii="等线" w:hAnsi="等线" w:eastAsia="等线" w:cs="宋体"/>
                <w:color w:val="000000"/>
                <w:kern w:val="0"/>
                <w:sz w:val="16"/>
                <w:szCs w:val="18"/>
              </w:rPr>
            </w:pPr>
          </w:p>
        </w:tc>
        <w:tc>
          <w:tcPr>
            <w:tcW w:w="8243" w:type="dxa"/>
            <w:tcBorders>
              <w:top w:val="nil"/>
              <w:left w:val="nil"/>
              <w:bottom w:val="single" w:color="auto" w:sz="4" w:space="0"/>
              <w:right w:val="single" w:color="auto" w:sz="4" w:space="0"/>
            </w:tcBorders>
            <w:shd w:val="clear" w:color="auto" w:fill="auto"/>
            <w:vAlign w:val="center"/>
          </w:tcPr>
          <w:p w14:paraId="07BBD3D8">
            <w:pPr>
              <w:widowControl/>
              <w:jc w:val="left"/>
              <w:rPr>
                <w:rFonts w:ascii="等线" w:hAnsi="等线" w:eastAsia="等线"/>
                <w:color w:val="000000"/>
                <w:sz w:val="15"/>
                <w:szCs w:val="16"/>
              </w:rPr>
            </w:pPr>
            <w:r>
              <w:rPr>
                <w:rFonts w:hint="eastAsia" w:ascii="等线" w:hAnsi="等线" w:eastAsia="等线"/>
                <w:color w:val="000000"/>
                <w:sz w:val="15"/>
                <w:szCs w:val="16"/>
                <w:lang w:val="en-US" w:eastAsia="zh-CN"/>
              </w:rPr>
              <w:t>新能源展位、配件展位需</w:t>
            </w:r>
            <w:r>
              <w:rPr>
                <w:rFonts w:hint="eastAsia" w:ascii="等线" w:hAnsi="等线" w:eastAsia="等线"/>
                <w:color w:val="000000"/>
                <w:sz w:val="15"/>
                <w:szCs w:val="16"/>
              </w:rPr>
              <w:t>有</w:t>
            </w:r>
            <w:r>
              <w:rPr>
                <w:rFonts w:hint="eastAsia" w:ascii="等线" w:hAnsi="等线" w:eastAsia="等线"/>
                <w:color w:val="000000"/>
                <w:sz w:val="15"/>
                <w:szCs w:val="16"/>
                <w:lang w:val="en-US" w:eastAsia="zh-CN"/>
              </w:rPr>
              <w:t>LED大屏，</w:t>
            </w:r>
            <w:r>
              <w:rPr>
                <w:rFonts w:hint="eastAsia" w:ascii="等线" w:hAnsi="等线" w:eastAsia="等线"/>
                <w:color w:val="000000"/>
                <w:sz w:val="15"/>
                <w:szCs w:val="16"/>
              </w:rPr>
              <w:t>播放</w:t>
            </w:r>
            <w:r>
              <w:rPr>
                <w:rFonts w:hint="eastAsia" w:ascii="等线" w:hAnsi="等线" w:eastAsia="等线"/>
                <w:color w:val="000000"/>
                <w:sz w:val="15"/>
                <w:szCs w:val="16"/>
                <w:lang w:val="en-US" w:eastAsia="zh-CN"/>
              </w:rPr>
              <w:t>宣传片</w:t>
            </w:r>
            <w:r>
              <w:rPr>
                <w:rFonts w:hint="eastAsia" w:ascii="等线" w:hAnsi="等线" w:eastAsia="等线"/>
                <w:color w:val="000000"/>
                <w:sz w:val="15"/>
                <w:szCs w:val="16"/>
              </w:rPr>
              <w:t>。</w:t>
            </w:r>
          </w:p>
        </w:tc>
      </w:tr>
      <w:tr w14:paraId="4515F294">
        <w:tblPrEx>
          <w:tblCellMar>
            <w:top w:w="0" w:type="dxa"/>
            <w:left w:w="108" w:type="dxa"/>
            <w:bottom w:w="0" w:type="dxa"/>
            <w:right w:w="108" w:type="dxa"/>
          </w:tblCellMar>
        </w:tblPrEx>
        <w:trPr>
          <w:trHeight w:val="454" w:hRule="atLeast"/>
          <w:jc w:val="center"/>
        </w:trPr>
        <w:tc>
          <w:tcPr>
            <w:tcW w:w="700" w:type="dxa"/>
            <w:vMerge w:val="continue"/>
            <w:tcBorders>
              <w:left w:val="single" w:color="auto" w:sz="4" w:space="0"/>
              <w:right w:val="single" w:color="auto" w:sz="4" w:space="0"/>
            </w:tcBorders>
            <w:shd w:val="clear" w:color="auto" w:fill="auto"/>
            <w:noWrap/>
            <w:vAlign w:val="center"/>
          </w:tcPr>
          <w:p w14:paraId="4DC1A81E">
            <w:pPr>
              <w:widowControl/>
              <w:jc w:val="center"/>
              <w:rPr>
                <w:rFonts w:ascii="等线" w:hAnsi="等线" w:eastAsia="等线" w:cs="宋体"/>
                <w:color w:val="000000"/>
                <w:kern w:val="0"/>
                <w:sz w:val="16"/>
                <w:szCs w:val="18"/>
              </w:rPr>
            </w:pPr>
          </w:p>
        </w:tc>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3164ED">
            <w:pPr>
              <w:widowControl/>
              <w:jc w:val="center"/>
              <w:rPr>
                <w:rFonts w:hint="eastAsia" w:ascii="等线" w:hAnsi="等线" w:eastAsia="等线" w:cs="宋体"/>
                <w:color w:val="000000"/>
                <w:kern w:val="0"/>
                <w:sz w:val="16"/>
                <w:szCs w:val="18"/>
              </w:rPr>
            </w:pPr>
          </w:p>
        </w:tc>
        <w:tc>
          <w:tcPr>
            <w:tcW w:w="8243" w:type="dxa"/>
            <w:tcBorders>
              <w:top w:val="nil"/>
              <w:left w:val="nil"/>
              <w:bottom w:val="single" w:color="auto" w:sz="4" w:space="0"/>
              <w:right w:val="single" w:color="auto" w:sz="4" w:space="0"/>
            </w:tcBorders>
            <w:shd w:val="clear" w:color="auto" w:fill="auto"/>
            <w:vAlign w:val="center"/>
          </w:tcPr>
          <w:p w14:paraId="1E9E4312">
            <w:pPr>
              <w:widowControl/>
              <w:jc w:val="left"/>
              <w:rPr>
                <w:rFonts w:hint="default" w:ascii="等线" w:hAnsi="等线" w:eastAsia="等线"/>
                <w:color w:val="000000"/>
                <w:sz w:val="15"/>
                <w:szCs w:val="16"/>
                <w:lang w:val="en-US" w:eastAsia="zh-CN"/>
              </w:rPr>
            </w:pPr>
            <w:r>
              <w:rPr>
                <w:rFonts w:hint="eastAsia" w:ascii="等线" w:hAnsi="等线" w:eastAsia="等线"/>
                <w:color w:val="000000"/>
                <w:sz w:val="15"/>
                <w:szCs w:val="16"/>
                <w:lang w:val="en-US" w:eastAsia="zh-CN"/>
              </w:rPr>
              <w:t>新能源展位、配件展位需</w:t>
            </w:r>
            <w:r>
              <w:rPr>
                <w:rFonts w:hint="eastAsia" w:ascii="等线" w:hAnsi="等线" w:eastAsia="等线"/>
                <w:color w:val="000000"/>
                <w:sz w:val="15"/>
                <w:szCs w:val="16"/>
              </w:rPr>
              <w:t>有</w:t>
            </w:r>
            <w:r>
              <w:rPr>
                <w:rFonts w:hint="eastAsia" w:ascii="等线" w:hAnsi="等线" w:eastAsia="等线" w:cs="宋体"/>
                <w:color w:val="000000"/>
                <w:kern w:val="0"/>
                <w:sz w:val="16"/>
                <w:szCs w:val="18"/>
              </w:rPr>
              <w:t>LED环保灯、灯带等，保证展位灯光照明的同时增加灯光氛围</w:t>
            </w:r>
            <w:r>
              <w:rPr>
                <w:rFonts w:hint="eastAsia" w:ascii="等线" w:hAnsi="等线" w:eastAsia="等线" w:cs="宋体"/>
                <w:color w:val="000000"/>
                <w:kern w:val="0"/>
                <w:sz w:val="16"/>
                <w:szCs w:val="18"/>
                <w:lang w:eastAsia="zh-CN"/>
              </w:rPr>
              <w:t>；</w:t>
            </w:r>
            <w:r>
              <w:rPr>
                <w:rFonts w:hint="eastAsia" w:ascii="等线" w:hAnsi="等线" w:eastAsia="等线" w:cs="宋体"/>
                <w:color w:val="000000"/>
                <w:kern w:val="0"/>
                <w:sz w:val="16"/>
                <w:szCs w:val="18"/>
                <w:lang w:val="en-US" w:eastAsia="zh-CN"/>
              </w:rPr>
              <w:t>室外展位需有顶棚，考虑遮阳、遮雨，同时要确保展位光线充足。</w:t>
            </w:r>
          </w:p>
        </w:tc>
      </w:tr>
      <w:tr w14:paraId="4E53C84C">
        <w:tblPrEx>
          <w:tblCellMar>
            <w:top w:w="0" w:type="dxa"/>
            <w:left w:w="108" w:type="dxa"/>
            <w:bottom w:w="0" w:type="dxa"/>
            <w:right w:w="108" w:type="dxa"/>
          </w:tblCellMar>
        </w:tblPrEx>
        <w:trPr>
          <w:trHeight w:val="231" w:hRule="atLeast"/>
          <w:jc w:val="center"/>
        </w:trPr>
        <w:tc>
          <w:tcPr>
            <w:tcW w:w="700" w:type="dxa"/>
            <w:vMerge w:val="continue"/>
            <w:tcBorders>
              <w:left w:val="single" w:color="auto" w:sz="4" w:space="0"/>
              <w:right w:val="single" w:color="auto" w:sz="4" w:space="0"/>
            </w:tcBorders>
            <w:shd w:val="clear" w:color="auto" w:fill="auto"/>
            <w:noWrap/>
            <w:vAlign w:val="center"/>
          </w:tcPr>
          <w:p w14:paraId="15EBCF18">
            <w:pPr>
              <w:widowControl/>
              <w:jc w:val="center"/>
              <w:rPr>
                <w:rFonts w:ascii="等线" w:hAnsi="等线" w:eastAsia="等线" w:cs="宋体"/>
                <w:color w:val="000000"/>
                <w:kern w:val="0"/>
                <w:sz w:val="16"/>
                <w:szCs w:val="18"/>
              </w:rPr>
            </w:pPr>
          </w:p>
        </w:tc>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CC9129">
            <w:pPr>
              <w:widowControl/>
              <w:jc w:val="center"/>
              <w:rPr>
                <w:rFonts w:hint="eastAsia" w:ascii="等线" w:hAnsi="等线" w:eastAsia="等线" w:cs="宋体"/>
                <w:color w:val="000000"/>
                <w:kern w:val="0"/>
                <w:sz w:val="16"/>
                <w:szCs w:val="18"/>
              </w:rPr>
            </w:pPr>
          </w:p>
        </w:tc>
        <w:tc>
          <w:tcPr>
            <w:tcW w:w="8243" w:type="dxa"/>
            <w:tcBorders>
              <w:top w:val="nil"/>
              <w:left w:val="nil"/>
              <w:bottom w:val="single" w:color="auto" w:sz="4" w:space="0"/>
              <w:right w:val="single" w:color="auto" w:sz="4" w:space="0"/>
            </w:tcBorders>
            <w:shd w:val="clear" w:color="auto" w:fill="auto"/>
            <w:vAlign w:val="center"/>
          </w:tcPr>
          <w:p w14:paraId="31881F75">
            <w:pPr>
              <w:widowControl/>
              <w:jc w:val="left"/>
              <w:rPr>
                <w:rFonts w:hint="default" w:ascii="等线" w:hAnsi="等线" w:eastAsia="等线"/>
                <w:color w:val="000000"/>
                <w:sz w:val="15"/>
                <w:szCs w:val="16"/>
                <w:lang w:val="en-US" w:eastAsia="zh-CN"/>
              </w:rPr>
            </w:pPr>
            <w:r>
              <w:rPr>
                <w:rFonts w:hint="eastAsia" w:ascii="等线" w:hAnsi="等线" w:eastAsia="等线"/>
                <w:color w:val="000000"/>
                <w:sz w:val="15"/>
                <w:szCs w:val="16"/>
                <w:lang w:val="en-US" w:eastAsia="zh-CN"/>
              </w:rPr>
              <w:t>配件展区需有展示大总成的台面，台面高度符合工作人员站立操作；同时需有满足摆放零部件的展示柜。</w:t>
            </w:r>
          </w:p>
        </w:tc>
      </w:tr>
      <w:tr w14:paraId="104712A9">
        <w:tblPrEx>
          <w:tblCellMar>
            <w:top w:w="0" w:type="dxa"/>
            <w:left w:w="108" w:type="dxa"/>
            <w:bottom w:w="0" w:type="dxa"/>
            <w:right w:w="108" w:type="dxa"/>
          </w:tblCellMar>
        </w:tblPrEx>
        <w:trPr>
          <w:trHeight w:val="231" w:hRule="atLeast"/>
          <w:jc w:val="center"/>
        </w:trPr>
        <w:tc>
          <w:tcPr>
            <w:tcW w:w="700" w:type="dxa"/>
            <w:vMerge w:val="continue"/>
            <w:tcBorders>
              <w:left w:val="single" w:color="auto" w:sz="4" w:space="0"/>
              <w:right w:val="single" w:color="auto" w:sz="4" w:space="0"/>
            </w:tcBorders>
            <w:shd w:val="clear" w:color="auto" w:fill="auto"/>
            <w:noWrap/>
            <w:vAlign w:val="center"/>
          </w:tcPr>
          <w:p w14:paraId="2CA4DF4D">
            <w:pPr>
              <w:widowControl/>
              <w:jc w:val="center"/>
              <w:rPr>
                <w:rFonts w:ascii="等线" w:hAnsi="等线" w:eastAsia="等线" w:cs="宋体"/>
                <w:color w:val="000000"/>
                <w:kern w:val="0"/>
                <w:sz w:val="16"/>
                <w:szCs w:val="18"/>
              </w:rPr>
            </w:pPr>
          </w:p>
        </w:tc>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3CAA47">
            <w:pPr>
              <w:widowControl/>
              <w:jc w:val="center"/>
              <w:rPr>
                <w:rFonts w:hint="eastAsia" w:ascii="等线" w:hAnsi="等线" w:eastAsia="等线" w:cs="宋体"/>
                <w:color w:val="000000"/>
                <w:kern w:val="0"/>
                <w:sz w:val="16"/>
                <w:szCs w:val="18"/>
              </w:rPr>
            </w:pPr>
          </w:p>
        </w:tc>
        <w:tc>
          <w:tcPr>
            <w:tcW w:w="8243" w:type="dxa"/>
            <w:tcBorders>
              <w:top w:val="nil"/>
              <w:left w:val="nil"/>
              <w:bottom w:val="single" w:color="auto" w:sz="4" w:space="0"/>
              <w:right w:val="single" w:color="auto" w:sz="4" w:space="0"/>
            </w:tcBorders>
            <w:shd w:val="clear" w:color="auto" w:fill="auto"/>
            <w:vAlign w:val="center"/>
          </w:tcPr>
          <w:p w14:paraId="4B62D757">
            <w:pPr>
              <w:widowControl/>
              <w:jc w:val="left"/>
              <w:rPr>
                <w:rFonts w:hint="eastAsia" w:ascii="等线" w:hAnsi="等线" w:eastAsia="等线"/>
                <w:color w:val="000000"/>
                <w:sz w:val="15"/>
                <w:szCs w:val="16"/>
                <w:lang w:val="en-US" w:eastAsia="zh-CN"/>
              </w:rPr>
            </w:pPr>
            <w:r>
              <w:rPr>
                <w:rFonts w:hint="eastAsia" w:ascii="等线" w:hAnsi="等线" w:eastAsia="等线" w:cs="宋体"/>
                <w:color w:val="000000"/>
                <w:kern w:val="0"/>
                <w:sz w:val="16"/>
                <w:szCs w:val="18"/>
                <w:lang w:val="en-US" w:eastAsia="zh-CN"/>
              </w:rPr>
              <w:t>提供桌椅等洽谈所用物品，三个</w:t>
            </w:r>
            <w:r>
              <w:rPr>
                <w:rFonts w:hint="eastAsia" w:ascii="等线" w:hAnsi="等线" w:eastAsia="等线" w:cs="宋体"/>
                <w:color w:val="000000"/>
                <w:kern w:val="0"/>
                <w:sz w:val="16"/>
                <w:szCs w:val="18"/>
              </w:rPr>
              <w:t>展区</w:t>
            </w:r>
            <w:r>
              <w:rPr>
                <w:rFonts w:hint="eastAsia" w:ascii="等线" w:hAnsi="等线" w:eastAsia="等线" w:cs="宋体"/>
                <w:color w:val="000000"/>
                <w:kern w:val="0"/>
                <w:sz w:val="16"/>
                <w:szCs w:val="18"/>
                <w:lang w:val="en-US" w:eastAsia="zh-CN"/>
              </w:rPr>
              <w:t>各4</w:t>
            </w:r>
            <w:r>
              <w:rPr>
                <w:rFonts w:hint="eastAsia" w:ascii="等线" w:hAnsi="等线" w:eastAsia="等线" w:cs="宋体"/>
                <w:color w:val="000000"/>
                <w:kern w:val="0"/>
                <w:sz w:val="16"/>
                <w:szCs w:val="18"/>
              </w:rPr>
              <w:t>套</w:t>
            </w:r>
            <w:r>
              <w:rPr>
                <w:rFonts w:hint="eastAsia" w:ascii="等线" w:hAnsi="等线" w:eastAsia="等线" w:cs="宋体"/>
                <w:color w:val="000000"/>
                <w:kern w:val="0"/>
                <w:sz w:val="16"/>
                <w:szCs w:val="18"/>
                <w:lang w:eastAsia="zh-CN"/>
              </w:rPr>
              <w:t>。</w:t>
            </w:r>
          </w:p>
        </w:tc>
      </w:tr>
      <w:tr w14:paraId="0091943D">
        <w:tblPrEx>
          <w:tblCellMar>
            <w:top w:w="0" w:type="dxa"/>
            <w:left w:w="108" w:type="dxa"/>
            <w:bottom w:w="0" w:type="dxa"/>
            <w:right w:w="108" w:type="dxa"/>
          </w:tblCellMar>
        </w:tblPrEx>
        <w:trPr>
          <w:trHeight w:val="454" w:hRule="atLeast"/>
          <w:jc w:val="center"/>
        </w:trPr>
        <w:tc>
          <w:tcPr>
            <w:tcW w:w="700" w:type="dxa"/>
            <w:vMerge w:val="continue"/>
            <w:tcBorders>
              <w:left w:val="single" w:color="auto" w:sz="4" w:space="0"/>
              <w:right w:val="single" w:color="auto" w:sz="4" w:space="0"/>
            </w:tcBorders>
            <w:shd w:val="clear" w:color="auto" w:fill="auto"/>
            <w:noWrap/>
            <w:vAlign w:val="center"/>
          </w:tcPr>
          <w:p w14:paraId="486C943A">
            <w:pPr>
              <w:widowControl/>
              <w:jc w:val="center"/>
              <w:rPr>
                <w:rFonts w:ascii="等线" w:hAnsi="等线" w:eastAsia="等线" w:cs="宋体"/>
                <w:color w:val="000000"/>
                <w:kern w:val="0"/>
                <w:sz w:val="16"/>
                <w:szCs w:val="18"/>
              </w:rPr>
            </w:pPr>
          </w:p>
        </w:tc>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D163A1">
            <w:pPr>
              <w:widowControl/>
              <w:jc w:val="center"/>
              <w:rPr>
                <w:rFonts w:hint="eastAsia" w:ascii="等线" w:hAnsi="等线" w:eastAsia="等线" w:cs="宋体"/>
                <w:color w:val="000000"/>
                <w:kern w:val="0"/>
                <w:sz w:val="16"/>
                <w:szCs w:val="18"/>
              </w:rPr>
            </w:pPr>
          </w:p>
        </w:tc>
        <w:tc>
          <w:tcPr>
            <w:tcW w:w="8243" w:type="dxa"/>
            <w:tcBorders>
              <w:top w:val="nil"/>
              <w:left w:val="nil"/>
              <w:bottom w:val="single" w:color="auto" w:sz="4" w:space="0"/>
              <w:right w:val="single" w:color="auto" w:sz="4" w:space="0"/>
            </w:tcBorders>
            <w:shd w:val="clear" w:color="auto" w:fill="auto"/>
            <w:vAlign w:val="center"/>
          </w:tcPr>
          <w:p w14:paraId="78AE792D">
            <w:pPr>
              <w:widowControl/>
              <w:jc w:val="left"/>
              <w:rPr>
                <w:rFonts w:hint="eastAsia" w:ascii="等线" w:hAnsi="等线" w:eastAsia="等线"/>
                <w:color w:val="000000"/>
                <w:sz w:val="15"/>
                <w:szCs w:val="16"/>
                <w:lang w:eastAsia="zh-CN"/>
              </w:rPr>
            </w:pPr>
            <w:r>
              <w:rPr>
                <w:rFonts w:hint="eastAsia" w:ascii="等线" w:hAnsi="等线" w:eastAsia="等线" w:cs="宋体"/>
                <w:color w:val="000000"/>
                <w:kern w:val="0"/>
                <w:sz w:val="16"/>
                <w:szCs w:val="18"/>
                <w:lang w:val="en-US" w:eastAsia="zh-CN"/>
              </w:rPr>
              <w:t>每个展位需提供</w:t>
            </w:r>
            <w:r>
              <w:rPr>
                <w:rFonts w:hint="eastAsia" w:ascii="等线" w:hAnsi="等线" w:eastAsia="等线" w:cs="宋体"/>
                <w:color w:val="000000"/>
                <w:kern w:val="0"/>
                <w:sz w:val="16"/>
                <w:szCs w:val="18"/>
              </w:rPr>
              <w:t>冰箱、饮水机、热水壶等电器</w:t>
            </w:r>
            <w:r>
              <w:rPr>
                <w:rFonts w:hint="eastAsia" w:ascii="等线" w:hAnsi="等线" w:eastAsia="等线" w:cs="宋体"/>
                <w:color w:val="000000"/>
                <w:kern w:val="0"/>
                <w:sz w:val="16"/>
                <w:szCs w:val="18"/>
                <w:lang w:eastAsia="zh-CN"/>
              </w:rPr>
              <w:t>；</w:t>
            </w:r>
            <w:r>
              <w:rPr>
                <w:rFonts w:hint="eastAsia" w:ascii="等线" w:hAnsi="等线" w:eastAsia="等线" w:cs="宋体"/>
                <w:color w:val="000000"/>
                <w:kern w:val="0"/>
                <w:sz w:val="16"/>
                <w:szCs w:val="18"/>
              </w:rPr>
              <w:t>绿植等必要的装饰物</w:t>
            </w:r>
            <w:r>
              <w:rPr>
                <w:rFonts w:hint="eastAsia" w:ascii="等线" w:hAnsi="等线" w:eastAsia="等线" w:cs="宋体"/>
                <w:color w:val="000000"/>
                <w:kern w:val="0"/>
                <w:sz w:val="16"/>
                <w:szCs w:val="18"/>
                <w:lang w:eastAsia="zh-CN"/>
              </w:rPr>
              <w:t>；</w:t>
            </w:r>
            <w:r>
              <w:rPr>
                <w:rFonts w:hint="eastAsia" w:ascii="等线" w:hAnsi="等线" w:eastAsia="等线" w:cs="宋体"/>
                <w:color w:val="000000"/>
                <w:kern w:val="0"/>
                <w:sz w:val="16"/>
                <w:szCs w:val="18"/>
              </w:rPr>
              <w:t>供来访客户使用的小食、咖啡、冷饮等。</w:t>
            </w:r>
          </w:p>
        </w:tc>
      </w:tr>
      <w:tr w14:paraId="6FEC2EA1">
        <w:tblPrEx>
          <w:tblCellMar>
            <w:top w:w="0" w:type="dxa"/>
            <w:left w:w="108" w:type="dxa"/>
            <w:bottom w:w="0" w:type="dxa"/>
            <w:right w:w="108" w:type="dxa"/>
          </w:tblCellMar>
        </w:tblPrEx>
        <w:trPr>
          <w:trHeight w:val="231" w:hRule="atLeast"/>
          <w:jc w:val="center"/>
        </w:trPr>
        <w:tc>
          <w:tcPr>
            <w:tcW w:w="700" w:type="dxa"/>
            <w:vMerge w:val="continue"/>
            <w:tcBorders>
              <w:left w:val="single" w:color="auto" w:sz="4" w:space="0"/>
              <w:bottom w:val="single" w:color="auto" w:sz="4" w:space="0"/>
              <w:right w:val="single" w:color="auto" w:sz="4" w:space="0"/>
            </w:tcBorders>
            <w:shd w:val="clear" w:color="auto" w:fill="auto"/>
            <w:noWrap/>
            <w:vAlign w:val="center"/>
          </w:tcPr>
          <w:p w14:paraId="5CC22A30">
            <w:pPr>
              <w:widowControl/>
              <w:jc w:val="center"/>
              <w:rPr>
                <w:rFonts w:ascii="等线" w:hAnsi="等线" w:eastAsia="等线" w:cs="宋体"/>
                <w:color w:val="000000"/>
                <w:kern w:val="0"/>
                <w:sz w:val="16"/>
                <w:szCs w:val="18"/>
              </w:rPr>
            </w:pPr>
          </w:p>
        </w:tc>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849FE4">
            <w:pPr>
              <w:widowControl/>
              <w:jc w:val="center"/>
              <w:rPr>
                <w:rFonts w:hint="eastAsia" w:ascii="等线" w:hAnsi="等线" w:eastAsia="等线" w:cs="宋体"/>
                <w:color w:val="000000"/>
                <w:kern w:val="0"/>
                <w:sz w:val="16"/>
                <w:szCs w:val="18"/>
              </w:rPr>
            </w:pPr>
          </w:p>
        </w:tc>
        <w:tc>
          <w:tcPr>
            <w:tcW w:w="8243" w:type="dxa"/>
            <w:tcBorders>
              <w:top w:val="nil"/>
              <w:left w:val="nil"/>
              <w:bottom w:val="single" w:color="auto" w:sz="4" w:space="0"/>
              <w:right w:val="single" w:color="auto" w:sz="4" w:space="0"/>
            </w:tcBorders>
            <w:shd w:val="clear" w:color="auto" w:fill="auto"/>
            <w:vAlign w:val="center"/>
          </w:tcPr>
          <w:p w14:paraId="75A339C1">
            <w:pPr>
              <w:widowControl/>
              <w:jc w:val="left"/>
              <w:rPr>
                <w:rFonts w:hint="default" w:ascii="等线" w:hAnsi="等线" w:eastAsia="等线"/>
                <w:color w:val="000000"/>
                <w:sz w:val="15"/>
                <w:szCs w:val="16"/>
                <w:lang w:val="en-US" w:eastAsia="zh-CN"/>
              </w:rPr>
            </w:pPr>
            <w:r>
              <w:rPr>
                <w:rFonts w:hint="eastAsia" w:ascii="等线" w:hAnsi="等线" w:eastAsia="等线"/>
                <w:color w:val="000000"/>
                <w:sz w:val="15"/>
                <w:szCs w:val="16"/>
                <w:lang w:val="en-US" w:eastAsia="zh-CN"/>
              </w:rPr>
              <w:t>展位现场摆放产品参数牌、标签等</w:t>
            </w:r>
          </w:p>
        </w:tc>
      </w:tr>
      <w:tr w14:paraId="411E488F">
        <w:tblPrEx>
          <w:tblCellMar>
            <w:top w:w="0" w:type="dxa"/>
            <w:left w:w="108" w:type="dxa"/>
            <w:bottom w:w="0" w:type="dxa"/>
            <w:right w:w="108" w:type="dxa"/>
          </w:tblCellMar>
        </w:tblPrEx>
        <w:trPr>
          <w:trHeight w:val="231" w:hRule="atLeast"/>
          <w:jc w:val="center"/>
        </w:trPr>
        <w:tc>
          <w:tcPr>
            <w:tcW w:w="700" w:type="dxa"/>
            <w:vMerge w:val="restart"/>
            <w:tcBorders>
              <w:top w:val="nil"/>
              <w:left w:val="single" w:color="auto" w:sz="4" w:space="0"/>
              <w:right w:val="single" w:color="auto" w:sz="4" w:space="0"/>
            </w:tcBorders>
            <w:shd w:val="clear" w:color="auto" w:fill="auto"/>
            <w:noWrap/>
            <w:vAlign w:val="center"/>
          </w:tcPr>
          <w:p w14:paraId="3A01EC9B">
            <w:pPr>
              <w:widowControl/>
              <w:jc w:val="center"/>
              <w:rPr>
                <w:rFonts w:hint="eastAsia"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3</w:t>
            </w:r>
          </w:p>
        </w:tc>
        <w:tc>
          <w:tcPr>
            <w:tcW w:w="1116" w:type="dxa"/>
            <w:vMerge w:val="restart"/>
            <w:tcBorders>
              <w:top w:val="single" w:color="auto" w:sz="4" w:space="0"/>
              <w:left w:val="single" w:color="auto" w:sz="4" w:space="0"/>
              <w:right w:val="single" w:color="auto" w:sz="4" w:space="0"/>
            </w:tcBorders>
            <w:shd w:val="clear" w:color="auto" w:fill="auto"/>
            <w:vAlign w:val="center"/>
          </w:tcPr>
          <w:p w14:paraId="14B35193">
            <w:pPr>
              <w:widowControl/>
              <w:jc w:val="center"/>
              <w:rPr>
                <w:rFonts w:hint="default"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活动传播</w:t>
            </w:r>
          </w:p>
        </w:tc>
        <w:tc>
          <w:tcPr>
            <w:tcW w:w="8243" w:type="dxa"/>
            <w:tcBorders>
              <w:top w:val="nil"/>
              <w:left w:val="nil"/>
              <w:bottom w:val="single" w:color="auto" w:sz="4" w:space="0"/>
              <w:right w:val="single" w:color="auto" w:sz="4" w:space="0"/>
            </w:tcBorders>
            <w:shd w:val="clear" w:color="auto" w:fill="auto"/>
            <w:vAlign w:val="center"/>
          </w:tcPr>
          <w:p w14:paraId="799068E3">
            <w:pPr>
              <w:widowControl/>
              <w:jc w:val="left"/>
              <w:rPr>
                <w:rFonts w:hint="default" w:ascii="等线" w:hAnsi="等线" w:eastAsia="等线"/>
                <w:color w:val="000000"/>
                <w:sz w:val="15"/>
                <w:szCs w:val="16"/>
                <w:lang w:val="en-US" w:eastAsia="zh-CN"/>
              </w:rPr>
            </w:pPr>
            <w:r>
              <w:rPr>
                <w:rFonts w:hint="eastAsia" w:ascii="等线" w:hAnsi="等线" w:eastAsia="等线"/>
                <w:color w:val="000000"/>
                <w:sz w:val="15"/>
                <w:szCs w:val="16"/>
                <w:lang w:val="en-US" w:eastAsia="zh-CN"/>
              </w:rPr>
              <w:t>设计3张倒计时海报</w:t>
            </w:r>
          </w:p>
        </w:tc>
      </w:tr>
      <w:tr w14:paraId="32D47FA6">
        <w:tblPrEx>
          <w:tblCellMar>
            <w:top w:w="0" w:type="dxa"/>
            <w:left w:w="108" w:type="dxa"/>
            <w:bottom w:w="0" w:type="dxa"/>
            <w:right w:w="108" w:type="dxa"/>
          </w:tblCellMar>
        </w:tblPrEx>
        <w:trPr>
          <w:trHeight w:val="231" w:hRule="atLeast"/>
          <w:jc w:val="center"/>
        </w:trPr>
        <w:tc>
          <w:tcPr>
            <w:tcW w:w="700" w:type="dxa"/>
            <w:vMerge w:val="continue"/>
            <w:tcBorders>
              <w:left w:val="single" w:color="auto" w:sz="4" w:space="0"/>
              <w:bottom w:val="single" w:color="auto" w:sz="4" w:space="0"/>
              <w:right w:val="single" w:color="auto" w:sz="4" w:space="0"/>
            </w:tcBorders>
            <w:shd w:val="clear" w:color="auto" w:fill="auto"/>
            <w:noWrap/>
            <w:vAlign w:val="center"/>
          </w:tcPr>
          <w:p w14:paraId="766FDDDB">
            <w:pPr>
              <w:widowControl/>
              <w:jc w:val="center"/>
              <w:rPr>
                <w:rFonts w:ascii="等线" w:hAnsi="等线" w:eastAsia="等线" w:cs="宋体"/>
                <w:color w:val="000000"/>
                <w:kern w:val="0"/>
                <w:sz w:val="16"/>
                <w:szCs w:val="18"/>
              </w:rPr>
            </w:pPr>
          </w:p>
        </w:tc>
        <w:tc>
          <w:tcPr>
            <w:tcW w:w="1116" w:type="dxa"/>
            <w:vMerge w:val="continue"/>
            <w:tcBorders>
              <w:left w:val="single" w:color="auto" w:sz="4" w:space="0"/>
              <w:bottom w:val="single" w:color="auto" w:sz="4" w:space="0"/>
              <w:right w:val="single" w:color="auto" w:sz="4" w:space="0"/>
            </w:tcBorders>
            <w:shd w:val="clear" w:color="auto" w:fill="auto"/>
            <w:vAlign w:val="center"/>
          </w:tcPr>
          <w:p w14:paraId="4F2DD98A">
            <w:pPr>
              <w:widowControl/>
              <w:jc w:val="center"/>
              <w:rPr>
                <w:rFonts w:hint="eastAsia" w:ascii="等线" w:hAnsi="等线" w:eastAsia="等线" w:cs="宋体"/>
                <w:color w:val="000000"/>
                <w:kern w:val="0"/>
                <w:sz w:val="16"/>
                <w:szCs w:val="18"/>
              </w:rPr>
            </w:pPr>
          </w:p>
        </w:tc>
        <w:tc>
          <w:tcPr>
            <w:tcW w:w="8243" w:type="dxa"/>
            <w:tcBorders>
              <w:top w:val="nil"/>
              <w:left w:val="nil"/>
              <w:bottom w:val="single" w:color="auto" w:sz="4" w:space="0"/>
              <w:right w:val="single" w:color="auto" w:sz="4" w:space="0"/>
            </w:tcBorders>
            <w:shd w:val="clear" w:color="auto" w:fill="auto"/>
            <w:vAlign w:val="center"/>
          </w:tcPr>
          <w:p w14:paraId="0734EAD8">
            <w:pPr>
              <w:widowControl/>
              <w:jc w:val="left"/>
              <w:rPr>
                <w:rFonts w:hint="default" w:ascii="等线" w:hAnsi="等线" w:eastAsia="等线"/>
                <w:color w:val="000000"/>
                <w:sz w:val="15"/>
                <w:szCs w:val="16"/>
                <w:lang w:val="en-US" w:eastAsia="zh-CN"/>
              </w:rPr>
            </w:pPr>
            <w:r>
              <w:rPr>
                <w:rFonts w:hint="eastAsia" w:ascii="等线" w:hAnsi="等线" w:eastAsia="等线"/>
                <w:color w:val="000000"/>
                <w:sz w:val="15"/>
                <w:szCs w:val="16"/>
                <w:lang w:val="en-US" w:eastAsia="zh-CN"/>
              </w:rPr>
              <w:t>展会期间对各展区进行图片、视频拍摄服务，并按照不同风格剪辑三个短视频，用于展会期间传播，图片应包括三个展位搭建后空镜、客户来访参观展品、交流洽谈、集体合影等角度。</w:t>
            </w:r>
          </w:p>
        </w:tc>
      </w:tr>
      <w:tr w14:paraId="386C137E">
        <w:tblPrEx>
          <w:tblCellMar>
            <w:top w:w="0" w:type="dxa"/>
            <w:left w:w="108" w:type="dxa"/>
            <w:bottom w:w="0" w:type="dxa"/>
            <w:right w:w="108" w:type="dxa"/>
          </w:tblCellMar>
        </w:tblPrEx>
        <w:trPr>
          <w:trHeight w:val="231" w:hRule="atLeast"/>
          <w:jc w:val="center"/>
        </w:trPr>
        <w:tc>
          <w:tcPr>
            <w:tcW w:w="700" w:type="dxa"/>
            <w:vMerge w:val="restart"/>
            <w:tcBorders>
              <w:top w:val="nil"/>
              <w:left w:val="single" w:color="auto" w:sz="4" w:space="0"/>
              <w:right w:val="single" w:color="auto" w:sz="4" w:space="0"/>
            </w:tcBorders>
            <w:shd w:val="clear" w:color="auto" w:fill="auto"/>
            <w:noWrap/>
            <w:vAlign w:val="center"/>
          </w:tcPr>
          <w:p w14:paraId="645CB1EE">
            <w:pPr>
              <w:widowControl/>
              <w:jc w:val="center"/>
              <w:rPr>
                <w:rFonts w:hint="eastAsia"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4</w:t>
            </w:r>
          </w:p>
        </w:tc>
        <w:tc>
          <w:tcPr>
            <w:tcW w:w="1116" w:type="dxa"/>
            <w:vMerge w:val="restart"/>
            <w:tcBorders>
              <w:top w:val="single" w:color="auto" w:sz="4" w:space="0"/>
              <w:left w:val="single" w:color="auto" w:sz="4" w:space="0"/>
              <w:right w:val="single" w:color="auto" w:sz="4" w:space="0"/>
            </w:tcBorders>
            <w:shd w:val="clear" w:color="auto" w:fill="auto"/>
            <w:vAlign w:val="center"/>
          </w:tcPr>
          <w:p w14:paraId="2DAD0E85">
            <w:pPr>
              <w:widowControl/>
              <w:jc w:val="center"/>
              <w:rPr>
                <w:rFonts w:hint="default"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展品运输</w:t>
            </w:r>
          </w:p>
        </w:tc>
        <w:tc>
          <w:tcPr>
            <w:tcW w:w="8243" w:type="dxa"/>
            <w:tcBorders>
              <w:top w:val="nil"/>
              <w:left w:val="nil"/>
              <w:bottom w:val="single" w:color="auto" w:sz="4" w:space="0"/>
              <w:right w:val="single" w:color="auto" w:sz="4" w:space="0"/>
            </w:tcBorders>
            <w:shd w:val="clear" w:color="auto" w:fill="auto"/>
            <w:vAlign w:val="center"/>
          </w:tcPr>
          <w:p w14:paraId="762ADF9B">
            <w:pPr>
              <w:widowControl/>
              <w:jc w:val="left"/>
              <w:rPr>
                <w:rFonts w:hint="default" w:ascii="等线" w:hAnsi="等线" w:eastAsia="等线"/>
                <w:color w:val="000000"/>
                <w:sz w:val="15"/>
                <w:szCs w:val="16"/>
                <w:lang w:val="en-US" w:eastAsia="zh-CN"/>
              </w:rPr>
            </w:pPr>
            <w:r>
              <w:rPr>
                <w:rFonts w:hint="eastAsia" w:ascii="等线" w:hAnsi="等线" w:eastAsia="等线"/>
                <w:color w:val="000000"/>
                <w:sz w:val="15"/>
                <w:szCs w:val="16"/>
                <w:lang w:val="en-US" w:eastAsia="zh-CN"/>
              </w:rPr>
              <w:t>提供展品及宣传物料等由济南运输至展位（室内室外）及由展位运输至济南的服务（送货上门，上门取货）；</w:t>
            </w:r>
          </w:p>
        </w:tc>
      </w:tr>
      <w:tr w14:paraId="5764973E">
        <w:tblPrEx>
          <w:tblCellMar>
            <w:top w:w="0" w:type="dxa"/>
            <w:left w:w="108" w:type="dxa"/>
            <w:bottom w:w="0" w:type="dxa"/>
            <w:right w:w="108" w:type="dxa"/>
          </w:tblCellMar>
        </w:tblPrEx>
        <w:trPr>
          <w:trHeight w:val="231" w:hRule="atLeast"/>
          <w:jc w:val="center"/>
        </w:trPr>
        <w:tc>
          <w:tcPr>
            <w:tcW w:w="700" w:type="dxa"/>
            <w:vMerge w:val="continue"/>
            <w:tcBorders>
              <w:left w:val="single" w:color="auto" w:sz="4" w:space="0"/>
              <w:right w:val="single" w:color="auto" w:sz="4" w:space="0"/>
            </w:tcBorders>
            <w:shd w:val="clear" w:color="auto" w:fill="auto"/>
            <w:noWrap/>
            <w:vAlign w:val="center"/>
          </w:tcPr>
          <w:p w14:paraId="3B3AC48B">
            <w:pPr>
              <w:widowControl/>
              <w:jc w:val="center"/>
              <w:rPr>
                <w:rFonts w:ascii="等线" w:hAnsi="等线" w:eastAsia="等线" w:cs="宋体"/>
                <w:color w:val="000000"/>
                <w:kern w:val="0"/>
                <w:sz w:val="16"/>
                <w:szCs w:val="18"/>
              </w:rPr>
            </w:pPr>
          </w:p>
        </w:tc>
        <w:tc>
          <w:tcPr>
            <w:tcW w:w="1116" w:type="dxa"/>
            <w:vMerge w:val="continue"/>
            <w:tcBorders>
              <w:left w:val="single" w:color="auto" w:sz="4" w:space="0"/>
              <w:right w:val="single" w:color="auto" w:sz="4" w:space="0"/>
            </w:tcBorders>
            <w:shd w:val="clear" w:color="auto" w:fill="auto"/>
            <w:vAlign w:val="center"/>
          </w:tcPr>
          <w:p w14:paraId="759CCFE9">
            <w:pPr>
              <w:widowControl/>
              <w:jc w:val="center"/>
              <w:rPr>
                <w:rFonts w:hint="eastAsia" w:ascii="等线" w:hAnsi="等线" w:eastAsia="等线" w:cs="宋体"/>
                <w:color w:val="000000"/>
                <w:kern w:val="0"/>
                <w:sz w:val="16"/>
                <w:szCs w:val="18"/>
              </w:rPr>
            </w:pPr>
          </w:p>
        </w:tc>
        <w:tc>
          <w:tcPr>
            <w:tcW w:w="8243" w:type="dxa"/>
            <w:tcBorders>
              <w:top w:val="nil"/>
              <w:left w:val="nil"/>
              <w:bottom w:val="single" w:color="auto" w:sz="4" w:space="0"/>
              <w:right w:val="single" w:color="auto" w:sz="4" w:space="0"/>
            </w:tcBorders>
            <w:shd w:val="clear" w:color="auto" w:fill="auto"/>
            <w:vAlign w:val="center"/>
          </w:tcPr>
          <w:p w14:paraId="40B1C994">
            <w:pPr>
              <w:widowControl/>
              <w:jc w:val="left"/>
              <w:rPr>
                <w:rFonts w:hint="default" w:ascii="等线" w:hAnsi="等线" w:eastAsia="等线"/>
                <w:color w:val="000000"/>
                <w:sz w:val="15"/>
                <w:szCs w:val="16"/>
                <w:lang w:val="en-US" w:eastAsia="zh-CN"/>
              </w:rPr>
            </w:pPr>
            <w:r>
              <w:rPr>
                <w:rFonts w:hint="eastAsia" w:ascii="等线" w:hAnsi="等线" w:eastAsia="等线"/>
                <w:color w:val="000000"/>
                <w:sz w:val="15"/>
                <w:szCs w:val="16"/>
                <w:lang w:val="en-US" w:eastAsia="zh-CN"/>
              </w:rPr>
              <w:t>检查展品（车辆、配件）的外观锈蚀损坏等问题，并做好美容、清洗工作；</w:t>
            </w:r>
          </w:p>
        </w:tc>
      </w:tr>
      <w:tr w14:paraId="7101E324">
        <w:tblPrEx>
          <w:tblCellMar>
            <w:top w:w="0" w:type="dxa"/>
            <w:left w:w="108" w:type="dxa"/>
            <w:bottom w:w="0" w:type="dxa"/>
            <w:right w:w="108" w:type="dxa"/>
          </w:tblCellMar>
        </w:tblPrEx>
        <w:trPr>
          <w:trHeight w:val="231" w:hRule="atLeast"/>
          <w:jc w:val="center"/>
        </w:trPr>
        <w:tc>
          <w:tcPr>
            <w:tcW w:w="700" w:type="dxa"/>
            <w:vMerge w:val="continue"/>
            <w:tcBorders>
              <w:left w:val="single" w:color="auto" w:sz="4" w:space="0"/>
              <w:right w:val="single" w:color="auto" w:sz="4" w:space="0"/>
            </w:tcBorders>
            <w:shd w:val="clear" w:color="auto" w:fill="auto"/>
            <w:noWrap/>
            <w:vAlign w:val="center"/>
          </w:tcPr>
          <w:p w14:paraId="32B5C5AF">
            <w:pPr>
              <w:widowControl/>
              <w:jc w:val="center"/>
              <w:rPr>
                <w:rFonts w:ascii="等线" w:hAnsi="等线" w:eastAsia="等线" w:cs="宋体"/>
                <w:color w:val="000000"/>
                <w:kern w:val="0"/>
                <w:sz w:val="16"/>
                <w:szCs w:val="18"/>
              </w:rPr>
            </w:pPr>
          </w:p>
        </w:tc>
        <w:tc>
          <w:tcPr>
            <w:tcW w:w="1116" w:type="dxa"/>
            <w:vMerge w:val="continue"/>
            <w:tcBorders>
              <w:left w:val="single" w:color="auto" w:sz="4" w:space="0"/>
              <w:right w:val="single" w:color="auto" w:sz="4" w:space="0"/>
            </w:tcBorders>
            <w:shd w:val="clear" w:color="auto" w:fill="auto"/>
            <w:vAlign w:val="center"/>
          </w:tcPr>
          <w:p w14:paraId="42ABF646">
            <w:pPr>
              <w:widowControl/>
              <w:jc w:val="center"/>
              <w:rPr>
                <w:rFonts w:hint="eastAsia" w:ascii="等线" w:hAnsi="等线" w:eastAsia="等线" w:cs="宋体"/>
                <w:color w:val="000000"/>
                <w:kern w:val="0"/>
                <w:sz w:val="16"/>
                <w:szCs w:val="18"/>
              </w:rPr>
            </w:pPr>
          </w:p>
        </w:tc>
        <w:tc>
          <w:tcPr>
            <w:tcW w:w="8243" w:type="dxa"/>
            <w:tcBorders>
              <w:top w:val="nil"/>
              <w:left w:val="nil"/>
              <w:bottom w:val="single" w:color="auto" w:sz="4" w:space="0"/>
              <w:right w:val="single" w:color="auto" w:sz="4" w:space="0"/>
            </w:tcBorders>
            <w:shd w:val="clear" w:color="auto" w:fill="auto"/>
            <w:vAlign w:val="center"/>
          </w:tcPr>
          <w:p w14:paraId="41DB4701">
            <w:pPr>
              <w:widowControl/>
              <w:jc w:val="left"/>
              <w:rPr>
                <w:rFonts w:hint="default" w:ascii="等线" w:hAnsi="等线" w:eastAsia="等线"/>
                <w:color w:val="000000"/>
                <w:sz w:val="15"/>
                <w:szCs w:val="16"/>
                <w:lang w:val="en-US" w:eastAsia="zh-CN"/>
              </w:rPr>
            </w:pPr>
            <w:r>
              <w:rPr>
                <w:rFonts w:hint="eastAsia" w:ascii="等线" w:hAnsi="等线" w:eastAsia="等线"/>
                <w:color w:val="000000"/>
                <w:sz w:val="15"/>
                <w:szCs w:val="16"/>
                <w:lang w:val="en-US" w:eastAsia="zh-CN"/>
              </w:rPr>
              <w:t>做好展品（车辆、配件）的临时存储。撤展至投标方指定地点的全过程服务。</w:t>
            </w:r>
          </w:p>
        </w:tc>
      </w:tr>
      <w:tr w14:paraId="50252E55">
        <w:tblPrEx>
          <w:tblCellMar>
            <w:top w:w="0" w:type="dxa"/>
            <w:left w:w="108" w:type="dxa"/>
            <w:bottom w:w="0" w:type="dxa"/>
            <w:right w:w="108" w:type="dxa"/>
          </w:tblCellMar>
        </w:tblPrEx>
        <w:trPr>
          <w:trHeight w:val="231" w:hRule="atLeast"/>
          <w:jc w:val="center"/>
        </w:trPr>
        <w:tc>
          <w:tcPr>
            <w:tcW w:w="700" w:type="dxa"/>
            <w:vMerge w:val="continue"/>
            <w:tcBorders>
              <w:left w:val="single" w:color="auto" w:sz="4" w:space="0"/>
              <w:bottom w:val="single" w:color="auto" w:sz="4" w:space="0"/>
              <w:right w:val="single" w:color="auto" w:sz="4" w:space="0"/>
            </w:tcBorders>
            <w:shd w:val="clear" w:color="auto" w:fill="auto"/>
            <w:noWrap/>
            <w:vAlign w:val="center"/>
          </w:tcPr>
          <w:p w14:paraId="5FAC392D">
            <w:pPr>
              <w:widowControl/>
              <w:jc w:val="center"/>
              <w:rPr>
                <w:rFonts w:ascii="等线" w:hAnsi="等线" w:eastAsia="等线" w:cs="宋体"/>
                <w:color w:val="000000"/>
                <w:kern w:val="0"/>
                <w:sz w:val="16"/>
                <w:szCs w:val="18"/>
              </w:rPr>
            </w:pPr>
          </w:p>
        </w:tc>
        <w:tc>
          <w:tcPr>
            <w:tcW w:w="1116" w:type="dxa"/>
            <w:vMerge w:val="continue"/>
            <w:tcBorders>
              <w:left w:val="single" w:color="auto" w:sz="4" w:space="0"/>
              <w:bottom w:val="single" w:color="auto" w:sz="4" w:space="0"/>
              <w:right w:val="single" w:color="auto" w:sz="4" w:space="0"/>
            </w:tcBorders>
            <w:shd w:val="clear" w:color="auto" w:fill="auto"/>
            <w:vAlign w:val="center"/>
          </w:tcPr>
          <w:p w14:paraId="53A21526">
            <w:pPr>
              <w:widowControl/>
              <w:jc w:val="center"/>
              <w:rPr>
                <w:rFonts w:hint="eastAsia" w:ascii="等线" w:hAnsi="等线" w:eastAsia="等线" w:cs="宋体"/>
                <w:color w:val="000000"/>
                <w:kern w:val="0"/>
                <w:sz w:val="16"/>
                <w:szCs w:val="18"/>
              </w:rPr>
            </w:pPr>
          </w:p>
        </w:tc>
        <w:tc>
          <w:tcPr>
            <w:tcW w:w="8243" w:type="dxa"/>
            <w:tcBorders>
              <w:top w:val="nil"/>
              <w:left w:val="nil"/>
              <w:bottom w:val="single" w:color="auto" w:sz="4" w:space="0"/>
              <w:right w:val="single" w:color="auto" w:sz="4" w:space="0"/>
            </w:tcBorders>
            <w:shd w:val="clear" w:color="auto" w:fill="auto"/>
            <w:vAlign w:val="center"/>
          </w:tcPr>
          <w:p w14:paraId="0116A96A">
            <w:pPr>
              <w:widowControl/>
              <w:jc w:val="left"/>
              <w:rPr>
                <w:rFonts w:ascii="等线" w:hAnsi="等线" w:eastAsia="等线"/>
                <w:color w:val="000000"/>
                <w:sz w:val="15"/>
                <w:szCs w:val="16"/>
              </w:rPr>
            </w:pPr>
            <w:r>
              <w:rPr>
                <w:rFonts w:hint="eastAsia" w:ascii="等线" w:hAnsi="等线" w:eastAsia="等线"/>
                <w:color w:val="000000"/>
                <w:sz w:val="15"/>
                <w:szCs w:val="16"/>
                <w:lang w:val="en-US" w:eastAsia="zh-CN"/>
              </w:rPr>
              <w:t>展会结束后，完成展品的修复，承担必要的维修保养等费用，完成撤展，送至投标方指定地点。</w:t>
            </w:r>
          </w:p>
        </w:tc>
      </w:tr>
      <w:tr w14:paraId="2F880545">
        <w:tblPrEx>
          <w:tblCellMar>
            <w:top w:w="0" w:type="dxa"/>
            <w:left w:w="108" w:type="dxa"/>
            <w:bottom w:w="0" w:type="dxa"/>
            <w:right w:w="108" w:type="dxa"/>
          </w:tblCellMar>
        </w:tblPrEx>
        <w:trPr>
          <w:trHeight w:val="231"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14:paraId="4BE5071B">
            <w:pPr>
              <w:widowControl/>
              <w:jc w:val="center"/>
              <w:rPr>
                <w:rFonts w:hint="eastAsia"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5</w:t>
            </w:r>
          </w:p>
        </w:tc>
        <w:tc>
          <w:tcPr>
            <w:tcW w:w="1116" w:type="dxa"/>
            <w:tcBorders>
              <w:left w:val="single" w:color="auto" w:sz="4" w:space="0"/>
              <w:bottom w:val="single" w:color="auto" w:sz="4" w:space="0"/>
              <w:right w:val="single" w:color="auto" w:sz="4" w:space="0"/>
            </w:tcBorders>
            <w:shd w:val="clear" w:color="auto" w:fill="auto"/>
            <w:vAlign w:val="center"/>
          </w:tcPr>
          <w:p w14:paraId="3A0EFE58">
            <w:pPr>
              <w:widowControl/>
              <w:jc w:val="center"/>
              <w:rPr>
                <w:rFonts w:hint="default"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人员配备</w:t>
            </w:r>
          </w:p>
        </w:tc>
        <w:tc>
          <w:tcPr>
            <w:tcW w:w="8243" w:type="dxa"/>
            <w:tcBorders>
              <w:top w:val="nil"/>
              <w:left w:val="nil"/>
              <w:bottom w:val="single" w:color="auto" w:sz="4" w:space="0"/>
              <w:right w:val="single" w:color="auto" w:sz="4" w:space="0"/>
            </w:tcBorders>
            <w:shd w:val="clear" w:color="auto" w:fill="auto"/>
            <w:vAlign w:val="center"/>
          </w:tcPr>
          <w:p w14:paraId="7787700D">
            <w:pPr>
              <w:widowControl/>
              <w:jc w:val="left"/>
              <w:rPr>
                <w:rFonts w:hint="eastAsia" w:ascii="等线" w:hAnsi="等线" w:eastAsia="等线"/>
                <w:color w:val="000000"/>
                <w:sz w:val="15"/>
                <w:szCs w:val="16"/>
                <w:lang w:val="en-US" w:eastAsia="zh-CN"/>
              </w:rPr>
            </w:pPr>
            <w:r>
              <w:rPr>
                <w:rFonts w:hint="eastAsia" w:ascii="等线" w:hAnsi="等线" w:eastAsia="等线"/>
                <w:color w:val="000000"/>
                <w:sz w:val="15"/>
                <w:szCs w:val="16"/>
                <w:lang w:val="en-US" w:eastAsia="zh-CN"/>
              </w:rPr>
              <w:t>每个展位需提供至少1名全职现场服务人员及1名兼职服务人员随时提供服务（包括不同展区宣传纪念品、宣传册的调配以及临时紧急采购等服务）</w:t>
            </w:r>
          </w:p>
        </w:tc>
      </w:tr>
      <w:tr w14:paraId="710565E4">
        <w:tblPrEx>
          <w:tblCellMar>
            <w:top w:w="0" w:type="dxa"/>
            <w:left w:w="108" w:type="dxa"/>
            <w:bottom w:w="0" w:type="dxa"/>
            <w:right w:w="108" w:type="dxa"/>
          </w:tblCellMar>
        </w:tblPrEx>
        <w:trPr>
          <w:trHeight w:val="231" w:hRule="atLeast"/>
          <w:jc w:val="center"/>
        </w:trPr>
        <w:tc>
          <w:tcPr>
            <w:tcW w:w="700" w:type="dxa"/>
            <w:vMerge w:val="restart"/>
            <w:tcBorders>
              <w:top w:val="nil"/>
              <w:left w:val="single" w:color="auto" w:sz="4" w:space="0"/>
              <w:bottom w:val="single" w:color="auto" w:sz="4" w:space="0"/>
              <w:right w:val="single" w:color="auto" w:sz="4" w:space="0"/>
            </w:tcBorders>
            <w:shd w:val="clear" w:color="auto" w:fill="auto"/>
            <w:noWrap/>
            <w:vAlign w:val="center"/>
          </w:tcPr>
          <w:p w14:paraId="1D907FD1">
            <w:pPr>
              <w:widowControl/>
              <w:jc w:val="center"/>
              <w:rPr>
                <w:rFonts w:hint="eastAsia" w:ascii="等线" w:hAnsi="等线" w:eastAsia="等线" w:cs="宋体"/>
                <w:color w:val="000000"/>
                <w:kern w:val="0"/>
                <w:sz w:val="16"/>
                <w:szCs w:val="18"/>
                <w:lang w:eastAsia="zh-CN"/>
              </w:rPr>
            </w:pPr>
            <w:r>
              <w:rPr>
                <w:rFonts w:hint="eastAsia" w:ascii="等线" w:hAnsi="等线" w:eastAsia="等线" w:cs="宋体"/>
                <w:color w:val="000000"/>
                <w:kern w:val="0"/>
                <w:sz w:val="16"/>
                <w:szCs w:val="18"/>
                <w:lang w:val="en-US" w:eastAsia="zh-CN"/>
              </w:rPr>
              <w:t>6</w:t>
            </w:r>
          </w:p>
        </w:tc>
        <w:tc>
          <w:tcPr>
            <w:tcW w:w="11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87CBA6">
            <w:pPr>
              <w:widowControl/>
              <w:jc w:val="center"/>
              <w:rPr>
                <w:rFonts w:ascii="等线" w:hAnsi="等线" w:eastAsia="等线" w:cs="宋体"/>
                <w:color w:val="000000"/>
                <w:kern w:val="0"/>
                <w:sz w:val="16"/>
                <w:szCs w:val="18"/>
              </w:rPr>
            </w:pPr>
            <w:r>
              <w:rPr>
                <w:rFonts w:hint="eastAsia" w:ascii="等线" w:hAnsi="等线" w:eastAsia="等线" w:cs="宋体"/>
                <w:color w:val="000000"/>
                <w:kern w:val="0"/>
                <w:sz w:val="16"/>
                <w:szCs w:val="18"/>
              </w:rPr>
              <w:t>电力保障</w:t>
            </w:r>
          </w:p>
        </w:tc>
        <w:tc>
          <w:tcPr>
            <w:tcW w:w="8243" w:type="dxa"/>
            <w:tcBorders>
              <w:top w:val="nil"/>
              <w:left w:val="nil"/>
              <w:bottom w:val="single" w:color="auto" w:sz="4" w:space="0"/>
              <w:right w:val="single" w:color="auto" w:sz="4" w:space="0"/>
            </w:tcBorders>
            <w:shd w:val="clear" w:color="auto" w:fill="auto"/>
            <w:vAlign w:val="center"/>
          </w:tcPr>
          <w:p w14:paraId="7D86CE31">
            <w:pPr>
              <w:widowControl/>
              <w:jc w:val="left"/>
              <w:rPr>
                <w:rFonts w:ascii="等线" w:hAnsi="等线" w:eastAsia="等线"/>
                <w:color w:val="000000"/>
                <w:kern w:val="0"/>
                <w:sz w:val="18"/>
                <w:szCs w:val="18"/>
              </w:rPr>
            </w:pPr>
            <w:r>
              <w:rPr>
                <w:rFonts w:ascii="等线" w:hAnsi="等线" w:eastAsia="等线"/>
                <w:color w:val="000000"/>
                <w:sz w:val="15"/>
                <w:szCs w:val="16"/>
              </w:rPr>
              <w:t>2</w:t>
            </w:r>
            <w:r>
              <w:rPr>
                <w:rFonts w:hint="eastAsia" w:ascii="等线" w:hAnsi="等线" w:eastAsia="等线"/>
                <w:color w:val="000000"/>
                <w:sz w:val="15"/>
                <w:szCs w:val="16"/>
              </w:rPr>
              <w:t>.</w:t>
            </w:r>
            <w:r>
              <w:rPr>
                <w:rFonts w:ascii="等线" w:hAnsi="等线" w:eastAsia="等线"/>
                <w:color w:val="000000"/>
                <w:sz w:val="15"/>
                <w:szCs w:val="16"/>
              </w:rPr>
              <w:t>1</w:t>
            </w:r>
            <w:r>
              <w:rPr>
                <w:rFonts w:hint="eastAsia" w:ascii="等线" w:hAnsi="等线" w:eastAsia="等线"/>
                <w:color w:val="000000"/>
                <w:sz w:val="15"/>
                <w:szCs w:val="16"/>
              </w:rPr>
              <w:t>符合展会安全标准；</w:t>
            </w:r>
          </w:p>
        </w:tc>
      </w:tr>
      <w:tr w14:paraId="2FCFD9DE">
        <w:tblPrEx>
          <w:tblCellMar>
            <w:top w:w="0" w:type="dxa"/>
            <w:left w:w="108" w:type="dxa"/>
            <w:bottom w:w="0" w:type="dxa"/>
            <w:right w:w="108" w:type="dxa"/>
          </w:tblCellMar>
        </w:tblPrEx>
        <w:trPr>
          <w:trHeight w:val="160" w:hRule="atLeast"/>
          <w:jc w:val="center"/>
        </w:trPr>
        <w:tc>
          <w:tcPr>
            <w:tcW w:w="700" w:type="dxa"/>
            <w:vMerge w:val="continue"/>
            <w:tcBorders>
              <w:top w:val="nil"/>
              <w:left w:val="single" w:color="auto" w:sz="4" w:space="0"/>
              <w:bottom w:val="single" w:color="auto" w:sz="4" w:space="0"/>
              <w:right w:val="single" w:color="auto" w:sz="4" w:space="0"/>
            </w:tcBorders>
            <w:vAlign w:val="center"/>
          </w:tcPr>
          <w:p w14:paraId="3E2E8D16">
            <w:pPr>
              <w:widowControl/>
              <w:jc w:val="left"/>
              <w:rPr>
                <w:rFonts w:ascii="等线" w:hAnsi="等线" w:eastAsia="等线" w:cs="宋体"/>
                <w:color w:val="000000"/>
                <w:kern w:val="0"/>
                <w:sz w:val="16"/>
                <w:szCs w:val="18"/>
              </w:rPr>
            </w:pPr>
          </w:p>
        </w:tc>
        <w:tc>
          <w:tcPr>
            <w:tcW w:w="1116" w:type="dxa"/>
            <w:vMerge w:val="continue"/>
            <w:tcBorders>
              <w:top w:val="single" w:color="auto" w:sz="4" w:space="0"/>
              <w:left w:val="single" w:color="auto" w:sz="4" w:space="0"/>
              <w:bottom w:val="single" w:color="auto" w:sz="4" w:space="0"/>
              <w:right w:val="single" w:color="auto" w:sz="4" w:space="0"/>
            </w:tcBorders>
            <w:vAlign w:val="center"/>
          </w:tcPr>
          <w:p w14:paraId="3D58B4F9">
            <w:pPr>
              <w:widowControl/>
              <w:jc w:val="left"/>
              <w:rPr>
                <w:rFonts w:ascii="等线" w:hAnsi="等线" w:eastAsia="等线" w:cs="宋体"/>
                <w:color w:val="000000"/>
                <w:kern w:val="0"/>
                <w:sz w:val="16"/>
                <w:szCs w:val="18"/>
              </w:rPr>
            </w:pPr>
          </w:p>
        </w:tc>
        <w:tc>
          <w:tcPr>
            <w:tcW w:w="8243" w:type="dxa"/>
            <w:tcBorders>
              <w:top w:val="nil"/>
              <w:left w:val="nil"/>
              <w:bottom w:val="single" w:color="auto" w:sz="4" w:space="0"/>
              <w:right w:val="single" w:color="auto" w:sz="4" w:space="0"/>
            </w:tcBorders>
            <w:shd w:val="clear" w:color="auto" w:fill="auto"/>
            <w:vAlign w:val="center"/>
          </w:tcPr>
          <w:p w14:paraId="6BAD6B4C">
            <w:pPr>
              <w:rPr>
                <w:rFonts w:ascii="等线" w:hAnsi="等线" w:eastAsia="等线"/>
                <w:color w:val="000000"/>
                <w:sz w:val="15"/>
                <w:szCs w:val="16"/>
              </w:rPr>
            </w:pPr>
            <w:r>
              <w:rPr>
                <w:rFonts w:ascii="等线" w:hAnsi="等线" w:eastAsia="等线"/>
                <w:color w:val="000000"/>
                <w:sz w:val="15"/>
                <w:szCs w:val="16"/>
              </w:rPr>
              <w:t>2</w:t>
            </w:r>
            <w:r>
              <w:rPr>
                <w:rFonts w:hint="eastAsia" w:ascii="等线" w:hAnsi="等线" w:eastAsia="等线"/>
                <w:color w:val="000000"/>
                <w:sz w:val="15"/>
                <w:szCs w:val="16"/>
              </w:rPr>
              <w:t>.</w:t>
            </w:r>
            <w:r>
              <w:rPr>
                <w:rFonts w:ascii="等线" w:hAnsi="等线" w:eastAsia="等线"/>
                <w:color w:val="000000"/>
                <w:sz w:val="15"/>
                <w:szCs w:val="16"/>
              </w:rPr>
              <w:t>2</w:t>
            </w:r>
            <w:r>
              <w:rPr>
                <w:rFonts w:hint="eastAsia" w:ascii="等线" w:hAnsi="等线" w:eastAsia="等线"/>
                <w:color w:val="000000"/>
                <w:sz w:val="15"/>
                <w:szCs w:val="16"/>
              </w:rPr>
              <w:t>满足展位区域用电；</w:t>
            </w:r>
          </w:p>
        </w:tc>
      </w:tr>
      <w:tr w14:paraId="71A9ED88">
        <w:tblPrEx>
          <w:tblCellMar>
            <w:top w:w="0" w:type="dxa"/>
            <w:left w:w="108" w:type="dxa"/>
            <w:bottom w:w="0" w:type="dxa"/>
            <w:right w:w="108" w:type="dxa"/>
          </w:tblCellMar>
        </w:tblPrEx>
        <w:trPr>
          <w:trHeight w:val="238" w:hRule="atLeast"/>
          <w:jc w:val="center"/>
        </w:trPr>
        <w:tc>
          <w:tcPr>
            <w:tcW w:w="700" w:type="dxa"/>
            <w:vMerge w:val="continue"/>
            <w:tcBorders>
              <w:top w:val="nil"/>
              <w:left w:val="single" w:color="auto" w:sz="4" w:space="0"/>
              <w:bottom w:val="single" w:color="auto" w:sz="4" w:space="0"/>
              <w:right w:val="single" w:color="auto" w:sz="4" w:space="0"/>
            </w:tcBorders>
            <w:vAlign w:val="center"/>
          </w:tcPr>
          <w:p w14:paraId="7ADC9CAC">
            <w:pPr>
              <w:widowControl/>
              <w:jc w:val="left"/>
              <w:rPr>
                <w:rFonts w:ascii="等线" w:hAnsi="等线" w:eastAsia="等线" w:cs="宋体"/>
                <w:color w:val="000000"/>
                <w:kern w:val="0"/>
                <w:sz w:val="16"/>
                <w:szCs w:val="18"/>
              </w:rPr>
            </w:pPr>
          </w:p>
        </w:tc>
        <w:tc>
          <w:tcPr>
            <w:tcW w:w="1116" w:type="dxa"/>
            <w:vMerge w:val="continue"/>
            <w:tcBorders>
              <w:top w:val="single" w:color="auto" w:sz="4" w:space="0"/>
              <w:left w:val="single" w:color="auto" w:sz="4" w:space="0"/>
              <w:bottom w:val="single" w:color="auto" w:sz="4" w:space="0"/>
              <w:right w:val="single" w:color="auto" w:sz="4" w:space="0"/>
            </w:tcBorders>
            <w:vAlign w:val="center"/>
          </w:tcPr>
          <w:p w14:paraId="61E88388">
            <w:pPr>
              <w:widowControl/>
              <w:jc w:val="left"/>
              <w:rPr>
                <w:rFonts w:ascii="等线" w:hAnsi="等线" w:eastAsia="等线" w:cs="宋体"/>
                <w:color w:val="000000"/>
                <w:kern w:val="0"/>
                <w:sz w:val="16"/>
                <w:szCs w:val="18"/>
              </w:rPr>
            </w:pPr>
          </w:p>
        </w:tc>
        <w:tc>
          <w:tcPr>
            <w:tcW w:w="8243" w:type="dxa"/>
            <w:tcBorders>
              <w:top w:val="nil"/>
              <w:left w:val="nil"/>
              <w:bottom w:val="single" w:color="auto" w:sz="4" w:space="0"/>
              <w:right w:val="single" w:color="auto" w:sz="4" w:space="0"/>
            </w:tcBorders>
            <w:shd w:val="clear" w:color="auto" w:fill="auto"/>
            <w:vAlign w:val="center"/>
          </w:tcPr>
          <w:p w14:paraId="75AC251D">
            <w:pPr>
              <w:rPr>
                <w:rFonts w:ascii="等线" w:hAnsi="等线" w:eastAsia="等线"/>
                <w:color w:val="000000"/>
                <w:sz w:val="15"/>
                <w:szCs w:val="16"/>
              </w:rPr>
            </w:pPr>
            <w:r>
              <w:rPr>
                <w:rFonts w:ascii="等线" w:hAnsi="等线" w:eastAsia="等线"/>
                <w:color w:val="000000"/>
                <w:sz w:val="15"/>
                <w:szCs w:val="16"/>
              </w:rPr>
              <w:t>2</w:t>
            </w:r>
            <w:r>
              <w:rPr>
                <w:rFonts w:hint="eastAsia" w:ascii="等线" w:hAnsi="等线" w:eastAsia="等线"/>
                <w:color w:val="000000"/>
                <w:sz w:val="15"/>
                <w:szCs w:val="16"/>
              </w:rPr>
              <w:t>.</w:t>
            </w:r>
            <w:r>
              <w:rPr>
                <w:rFonts w:ascii="等线" w:hAnsi="等线" w:eastAsia="等线"/>
                <w:color w:val="000000"/>
                <w:sz w:val="15"/>
                <w:szCs w:val="16"/>
              </w:rPr>
              <w:t>3</w:t>
            </w:r>
            <w:r>
              <w:rPr>
                <w:rFonts w:hint="eastAsia" w:ascii="等线" w:hAnsi="等线" w:eastAsia="等线"/>
                <w:color w:val="000000"/>
                <w:sz w:val="15"/>
                <w:szCs w:val="16"/>
              </w:rPr>
              <w:t>预留电源接口供笔记本、咖啡机、饮水机等电器使用。</w:t>
            </w:r>
          </w:p>
        </w:tc>
      </w:tr>
    </w:tbl>
    <w:p w14:paraId="4C34225D">
      <w:pPr>
        <w:widowControl/>
        <w:spacing w:line="360" w:lineRule="auto"/>
        <w:ind w:left="2" w:firstLine="574"/>
        <w:textAlignment w:val="baseline"/>
        <w:rPr>
          <w:rFonts w:ascii="宋体" w:hAnsi="宋体" w:eastAsia="宋体" w:cs="Times New Roman"/>
          <w:kern w:val="0"/>
          <w:sz w:val="28"/>
          <w:szCs w:val="20"/>
        </w:rPr>
      </w:pPr>
      <w:r>
        <w:rPr>
          <w:rFonts w:ascii="宋体" w:hAnsi="宋体" w:eastAsia="宋体" w:cs="Times New Roman"/>
          <w:kern w:val="0"/>
          <w:sz w:val="28"/>
          <w:szCs w:val="20"/>
        </w:rPr>
        <w:t>4.</w:t>
      </w:r>
      <w:r>
        <w:rPr>
          <w:rFonts w:hint="eastAsia" w:ascii="宋体" w:hAnsi="宋体" w:eastAsia="宋体" w:cs="Times New Roman"/>
          <w:kern w:val="0"/>
          <w:sz w:val="28"/>
          <w:szCs w:val="20"/>
        </w:rPr>
        <w:t>其他</w:t>
      </w:r>
    </w:p>
    <w:p w14:paraId="31B6E6BD">
      <w:pPr>
        <w:widowControl/>
        <w:spacing w:line="360" w:lineRule="auto"/>
        <w:ind w:left="2" w:firstLine="574"/>
        <w:textAlignment w:val="baseline"/>
        <w:rPr>
          <w:rFonts w:ascii="宋体" w:hAnsi="宋体" w:eastAsia="宋体" w:cs="Times New Roman"/>
          <w:kern w:val="0"/>
          <w:sz w:val="28"/>
          <w:szCs w:val="20"/>
        </w:rPr>
      </w:pPr>
      <w:r>
        <w:rPr>
          <w:rFonts w:hint="eastAsia" w:ascii="宋体" w:hAnsi="宋体" w:eastAsia="宋体" w:cs="Times New Roman"/>
          <w:kern w:val="0"/>
          <w:sz w:val="28"/>
          <w:szCs w:val="20"/>
          <w:lang w:val="en-US" w:eastAsia="zh-CN"/>
        </w:rPr>
        <w:t>目前可</w:t>
      </w:r>
      <w:r>
        <w:rPr>
          <w:rFonts w:hint="eastAsia" w:ascii="宋体" w:hAnsi="宋体" w:eastAsia="宋体" w:cs="Times New Roman"/>
          <w:kern w:val="0"/>
          <w:sz w:val="28"/>
          <w:szCs w:val="20"/>
        </w:rPr>
        <w:t>暂时按照往届分布图进行设计，如展位布置图</w:t>
      </w:r>
      <w:r>
        <w:rPr>
          <w:rFonts w:hint="eastAsia" w:ascii="宋体" w:hAnsi="宋体" w:eastAsia="宋体" w:cs="Times New Roman"/>
          <w:kern w:val="0"/>
          <w:sz w:val="28"/>
          <w:szCs w:val="20"/>
          <w:lang w:val="en-US" w:eastAsia="zh-CN"/>
        </w:rPr>
        <w:t>正式</w:t>
      </w:r>
      <w:r>
        <w:rPr>
          <w:rFonts w:hint="eastAsia" w:ascii="宋体" w:hAnsi="宋体" w:eastAsia="宋体" w:cs="Times New Roman"/>
          <w:kern w:val="0"/>
          <w:sz w:val="28"/>
          <w:szCs w:val="20"/>
        </w:rPr>
        <w:t>发布</w:t>
      </w:r>
      <w:r>
        <w:rPr>
          <w:rFonts w:hint="eastAsia" w:ascii="宋体" w:hAnsi="宋体" w:eastAsia="宋体" w:cs="Times New Roman"/>
          <w:kern w:val="0"/>
          <w:sz w:val="28"/>
          <w:szCs w:val="20"/>
          <w:lang w:val="en-US" w:eastAsia="zh-CN"/>
        </w:rPr>
        <w:t>或调整</w:t>
      </w:r>
      <w:r>
        <w:rPr>
          <w:rFonts w:hint="eastAsia" w:ascii="宋体" w:hAnsi="宋体" w:eastAsia="宋体" w:cs="Times New Roman"/>
          <w:kern w:val="0"/>
          <w:sz w:val="28"/>
          <w:szCs w:val="20"/>
        </w:rPr>
        <w:t>后，设计方案需重新调整，投标方应无条件免费的快速做出相应调整。</w:t>
      </w:r>
    </w:p>
    <w:p w14:paraId="680D050F">
      <w:pPr>
        <w:widowControl/>
        <w:spacing w:line="360" w:lineRule="auto"/>
        <w:ind w:firstLine="440"/>
        <w:jc w:val="center"/>
        <w:textAlignment w:val="baseline"/>
        <w:rPr>
          <w:rFonts w:ascii="宋体" w:hAnsi="宋体" w:eastAsia="宋体" w:cs="Times New Roman"/>
          <w:kern w:val="0"/>
          <w:sz w:val="32"/>
          <w:szCs w:val="20"/>
        </w:rPr>
      </w:pPr>
      <w:r>
        <w:rPr>
          <w:rFonts w:ascii="宋体" w:hAnsi="宋体" w:eastAsia="宋体" w:cs="Times New Roman"/>
          <w:b/>
          <w:kern w:val="0"/>
          <w:sz w:val="32"/>
          <w:szCs w:val="20"/>
        </w:rPr>
        <w:t>第</w:t>
      </w:r>
      <w:r>
        <w:rPr>
          <w:rFonts w:hint="eastAsia" w:ascii="宋体" w:hAnsi="宋体" w:eastAsia="宋体" w:cs="Times New Roman"/>
          <w:b/>
          <w:kern w:val="0"/>
          <w:sz w:val="32"/>
          <w:szCs w:val="20"/>
        </w:rPr>
        <w:t>四</w:t>
      </w:r>
      <w:r>
        <w:rPr>
          <w:rFonts w:ascii="宋体" w:hAnsi="宋体" w:eastAsia="宋体" w:cs="Times New Roman"/>
          <w:b/>
          <w:kern w:val="0"/>
          <w:sz w:val="32"/>
          <w:szCs w:val="20"/>
        </w:rPr>
        <w:t>部分 投标资料</w:t>
      </w:r>
    </w:p>
    <w:p w14:paraId="09122384">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一、纸质版资料规格</w:t>
      </w:r>
    </w:p>
    <w:p w14:paraId="7DD18049">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投标资料及招投标双方就投标交换的文件和来往函件，一律用A4纸规格打印文稿。同时，投标人还可在开标现场播放PPT、视频等相关资料。</w:t>
      </w:r>
    </w:p>
    <w:p w14:paraId="456DB806">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二、投标资料主要内容</w:t>
      </w:r>
    </w:p>
    <w:p w14:paraId="4B03116B">
      <w:pPr>
        <w:widowControl/>
        <w:spacing w:line="360" w:lineRule="auto"/>
        <w:textAlignment w:val="baseline"/>
        <w:rPr>
          <w:rFonts w:ascii="宋体" w:hAnsi="宋体" w:eastAsia="宋体" w:cs="Times New Roman"/>
          <w:kern w:val="0"/>
          <w:sz w:val="28"/>
          <w:szCs w:val="20"/>
        </w:rPr>
      </w:pPr>
      <w:r>
        <w:rPr>
          <w:rFonts w:ascii="宋体" w:hAnsi="宋体" w:eastAsia="宋体" w:cs="Times New Roman"/>
          <w:kern w:val="0"/>
          <w:sz w:val="28"/>
          <w:szCs w:val="20"/>
        </w:rPr>
        <w:t xml:space="preserve">    投标资料</w:t>
      </w:r>
      <w:r>
        <w:rPr>
          <w:rFonts w:hint="eastAsia" w:ascii="宋体" w:hAnsi="宋体" w:eastAsia="宋体" w:cs="Times New Roman"/>
          <w:kern w:val="0"/>
          <w:sz w:val="28"/>
          <w:szCs w:val="20"/>
        </w:rPr>
        <w:t>应当加盖投标人公章，正本一份，副本</w:t>
      </w:r>
      <w:r>
        <w:rPr>
          <w:rFonts w:hint="eastAsia" w:ascii="宋体" w:hAnsi="宋体" w:eastAsia="宋体" w:cs="Times New Roman"/>
          <w:kern w:val="0"/>
          <w:sz w:val="28"/>
          <w:szCs w:val="20"/>
          <w:lang w:val="en-US" w:eastAsia="zh-CN"/>
        </w:rPr>
        <w:t>一</w:t>
      </w:r>
      <w:r>
        <w:rPr>
          <w:rFonts w:hint="eastAsia" w:ascii="宋体" w:hAnsi="宋体" w:eastAsia="宋体" w:cs="Times New Roman"/>
          <w:kern w:val="0"/>
          <w:sz w:val="28"/>
          <w:szCs w:val="20"/>
        </w:rPr>
        <w:t>份。投标文件按以下分为三类，分开分装，分开查验：</w:t>
      </w:r>
    </w:p>
    <w:p w14:paraId="46B98AB5">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1.</w:t>
      </w:r>
      <w:r>
        <w:rPr>
          <w:rFonts w:hint="eastAsia" w:ascii="宋体" w:hAnsi="宋体" w:eastAsia="宋体" w:cs="Times New Roman"/>
          <w:kern w:val="0"/>
          <w:sz w:val="28"/>
          <w:szCs w:val="20"/>
        </w:rPr>
        <w:t>资质文件（独立封装在一个档案袋，一式两份，正本一份、副本一份）</w:t>
      </w:r>
    </w:p>
    <w:p w14:paraId="289053C4">
      <w:pPr>
        <w:widowControl/>
        <w:spacing w:line="360" w:lineRule="auto"/>
        <w:ind w:firstLine="58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1）投标公司单位简介（包含但不仅限于公司名称、成立时间、注册资本、公司在册员工人数（缴纳社保人员）、地址、主营业务介绍等）</w:t>
      </w:r>
    </w:p>
    <w:p w14:paraId="15A56847">
      <w:pPr>
        <w:widowControl/>
        <w:spacing w:line="360" w:lineRule="auto"/>
        <w:ind w:firstLine="58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2）提供企业缴纳社保证明复印件（加盖公章），原件备查；</w:t>
      </w:r>
    </w:p>
    <w:p w14:paraId="21EF29AD">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3</w:t>
      </w:r>
      <w:r>
        <w:rPr>
          <w:rFonts w:hint="eastAsia" w:ascii="宋体" w:hAnsi="宋体" w:eastAsia="宋体" w:cs="Times New Roman"/>
          <w:kern w:val="0"/>
          <w:sz w:val="28"/>
          <w:szCs w:val="20"/>
        </w:rPr>
        <w:t>）投标人基本情况表，附带投标人三证合一的营业执照副本复印件（加盖公章），原件备查；</w:t>
      </w:r>
    </w:p>
    <w:p w14:paraId="27413C32">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4</w:t>
      </w:r>
      <w:r>
        <w:rPr>
          <w:rFonts w:hint="eastAsia" w:ascii="宋体" w:hAnsi="宋体" w:eastAsia="宋体" w:cs="Times New Roman"/>
          <w:kern w:val="0"/>
          <w:sz w:val="28"/>
          <w:szCs w:val="20"/>
        </w:rPr>
        <w:t>）若是法定代表人参加，需有法定代表人身份证复印件（加盖公章），原件备查。若不是法定代表人参加，需有法定代表人授权委托书原件、法定代表人身份证及被委托人身份证复印件（均加盖公章），投标人或被委托人应提供授权委托书原件、身份证原件备查；</w:t>
      </w:r>
    </w:p>
    <w:p w14:paraId="192CAB48">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5</w:t>
      </w:r>
      <w:r>
        <w:rPr>
          <w:rFonts w:hint="eastAsia" w:ascii="宋体" w:hAnsi="宋体" w:eastAsia="宋体" w:cs="Times New Roman"/>
          <w:kern w:val="0"/>
          <w:sz w:val="28"/>
          <w:szCs w:val="20"/>
        </w:rPr>
        <w:t>）企业完税证明复印件（加盖公章），原件备查；</w:t>
      </w:r>
    </w:p>
    <w:p w14:paraId="2CD2B030">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6</w:t>
      </w:r>
      <w:r>
        <w:rPr>
          <w:rFonts w:hint="eastAsia" w:ascii="宋体" w:hAnsi="宋体" w:eastAsia="宋体" w:cs="Times New Roman"/>
          <w:kern w:val="0"/>
          <w:sz w:val="28"/>
          <w:szCs w:val="20"/>
        </w:rPr>
        <w:t>）银行资信证明复印件（加盖公章），原件备查；</w:t>
      </w:r>
    </w:p>
    <w:p w14:paraId="677361A8">
      <w:pPr>
        <w:widowControl/>
        <w:spacing w:line="360" w:lineRule="auto"/>
        <w:ind w:firstLine="58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7）企业服务业绩：提供往届广交会服务业绩合同复印件；</w:t>
      </w:r>
      <w:r>
        <w:rPr>
          <w:rFonts w:ascii="宋体" w:hAnsi="宋体" w:eastAsia="宋体" w:cs="Times New Roman"/>
          <w:kern w:val="0"/>
          <w:sz w:val="28"/>
          <w:szCs w:val="20"/>
        </w:rPr>
        <w:t xml:space="preserve"> </w:t>
      </w:r>
    </w:p>
    <w:p w14:paraId="718616DF">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2.</w:t>
      </w:r>
      <w:r>
        <w:rPr>
          <w:rFonts w:hint="eastAsia" w:ascii="宋体" w:hAnsi="宋体" w:eastAsia="宋体" w:cs="Times New Roman"/>
          <w:kern w:val="0"/>
          <w:sz w:val="28"/>
          <w:szCs w:val="20"/>
        </w:rPr>
        <w:t>技术文件（独立封装在一个档案袋，一式</w:t>
      </w:r>
      <w:r>
        <w:rPr>
          <w:rFonts w:hint="eastAsia" w:ascii="宋体" w:hAnsi="宋体" w:eastAsia="宋体" w:cs="Times New Roman"/>
          <w:kern w:val="0"/>
          <w:sz w:val="28"/>
          <w:szCs w:val="20"/>
          <w:lang w:val="en-US" w:eastAsia="zh-CN"/>
        </w:rPr>
        <w:t>两</w:t>
      </w:r>
      <w:r>
        <w:rPr>
          <w:rFonts w:hint="eastAsia" w:ascii="宋体" w:hAnsi="宋体" w:eastAsia="宋体" w:cs="Times New Roman"/>
          <w:kern w:val="0"/>
          <w:sz w:val="28"/>
          <w:szCs w:val="20"/>
        </w:rPr>
        <w:t>份，正本一份、副本</w:t>
      </w:r>
      <w:r>
        <w:rPr>
          <w:rFonts w:hint="eastAsia" w:ascii="宋体" w:hAnsi="宋体" w:eastAsia="宋体" w:cs="Times New Roman"/>
          <w:kern w:val="0"/>
          <w:sz w:val="28"/>
          <w:szCs w:val="20"/>
          <w:lang w:val="en-US" w:eastAsia="zh-CN"/>
        </w:rPr>
        <w:t>一</w:t>
      </w:r>
      <w:r>
        <w:rPr>
          <w:rFonts w:hint="eastAsia" w:ascii="宋体" w:hAnsi="宋体" w:eastAsia="宋体" w:cs="Times New Roman"/>
          <w:kern w:val="0"/>
          <w:sz w:val="28"/>
          <w:szCs w:val="20"/>
        </w:rPr>
        <w:t>份）</w:t>
      </w:r>
    </w:p>
    <w:p w14:paraId="38622B64">
      <w:pPr>
        <w:widowControl/>
        <w:spacing w:line="360" w:lineRule="auto"/>
        <w:ind w:firstLine="58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项目策执行方案，包括针对招标文件技术要求提出的解决方案，明确项目推进进度及总体规划、具体实施、项目团队等。</w:t>
      </w:r>
    </w:p>
    <w:p w14:paraId="5A63C16C">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3.</w:t>
      </w:r>
      <w:r>
        <w:rPr>
          <w:rFonts w:hint="eastAsia" w:ascii="宋体" w:hAnsi="宋体" w:eastAsia="宋体" w:cs="Times New Roman"/>
          <w:kern w:val="0"/>
          <w:sz w:val="28"/>
          <w:szCs w:val="20"/>
        </w:rPr>
        <w:t>商务文件（独立封装在一个档案袋，一式</w:t>
      </w:r>
      <w:r>
        <w:rPr>
          <w:rFonts w:hint="eastAsia" w:ascii="宋体" w:hAnsi="宋体" w:eastAsia="宋体" w:cs="Times New Roman"/>
          <w:kern w:val="0"/>
          <w:sz w:val="28"/>
          <w:szCs w:val="20"/>
          <w:lang w:val="en-US" w:eastAsia="zh-CN"/>
        </w:rPr>
        <w:t>两</w:t>
      </w:r>
      <w:r>
        <w:rPr>
          <w:rFonts w:hint="eastAsia" w:ascii="宋体" w:hAnsi="宋体" w:eastAsia="宋体" w:cs="Times New Roman"/>
          <w:kern w:val="0"/>
          <w:sz w:val="28"/>
          <w:szCs w:val="20"/>
        </w:rPr>
        <w:t>份，正本一份、副本</w:t>
      </w:r>
      <w:r>
        <w:rPr>
          <w:rFonts w:hint="eastAsia" w:ascii="宋体" w:hAnsi="宋体" w:eastAsia="宋体" w:cs="Times New Roman"/>
          <w:kern w:val="0"/>
          <w:sz w:val="28"/>
          <w:szCs w:val="20"/>
          <w:lang w:val="en-US" w:eastAsia="zh-CN"/>
        </w:rPr>
        <w:t>一</w:t>
      </w:r>
      <w:r>
        <w:rPr>
          <w:rFonts w:hint="eastAsia" w:ascii="宋体" w:hAnsi="宋体" w:eastAsia="宋体" w:cs="Times New Roman"/>
          <w:kern w:val="0"/>
          <w:sz w:val="28"/>
          <w:szCs w:val="20"/>
        </w:rPr>
        <w:t>份）（格式详见附件1）</w:t>
      </w:r>
    </w:p>
    <w:p w14:paraId="1A67B82D">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三、投标资料要求</w:t>
      </w:r>
    </w:p>
    <w:p w14:paraId="5938BB5F">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1.资料文件正本用A4纸打印，须加盖投标人公章，并经法人代表或授权代表签署。投标资料的修改处须加盖公章。</w:t>
      </w:r>
    </w:p>
    <w:p w14:paraId="1C2603A5">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2.将文件密封在同一投标袋内，在封口处贴上封条，封条上须加盖公章，注明：</w:t>
      </w:r>
    </w:p>
    <w:p w14:paraId="0DA6D01D">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（1）招标人：中国重汽集团国际有限公司。</w:t>
      </w:r>
    </w:p>
    <w:p w14:paraId="1DE7DD55">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（2）招标内容：</w:t>
      </w:r>
      <w:r>
        <w:rPr>
          <w:rFonts w:hint="eastAsia" w:ascii="宋体" w:hAnsi="宋体" w:eastAsia="宋体" w:cs="Times New Roman"/>
          <w:kern w:val="0"/>
          <w:sz w:val="28"/>
          <w:szCs w:val="20"/>
        </w:rPr>
        <w:t>第</w:t>
      </w:r>
      <w:r>
        <w:rPr>
          <w:rFonts w:hint="eastAsia" w:ascii="宋体" w:hAnsi="宋体" w:eastAsia="宋体" w:cs="Times New Roman"/>
          <w:kern w:val="0"/>
          <w:sz w:val="28"/>
          <w:szCs w:val="20"/>
          <w:lang w:val="en-US" w:eastAsia="zh-CN"/>
        </w:rPr>
        <w:t>138届</w:t>
      </w:r>
      <w:r>
        <w:rPr>
          <w:rFonts w:hint="eastAsia" w:ascii="宋体" w:hAnsi="宋体" w:eastAsia="宋体" w:cs="Times New Roman"/>
          <w:kern w:val="0"/>
          <w:sz w:val="28"/>
          <w:szCs w:val="20"/>
        </w:rPr>
        <w:t>广交会搭建运营</w:t>
      </w:r>
      <w:r>
        <w:rPr>
          <w:rFonts w:ascii="宋体" w:hAnsi="宋体" w:eastAsia="宋体" w:cs="Times New Roman"/>
          <w:kern w:val="0"/>
          <w:sz w:val="28"/>
          <w:szCs w:val="20"/>
        </w:rPr>
        <w:t>。</w:t>
      </w:r>
    </w:p>
    <w:p w14:paraId="6C87D3B8">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（3）投标人全称、联系人、联系电话。</w:t>
      </w:r>
    </w:p>
    <w:p w14:paraId="63A65507">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（4）法定代表人或授权代表签字。</w:t>
      </w:r>
    </w:p>
    <w:p w14:paraId="7F583896">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四、投标资料的撤回</w:t>
      </w:r>
    </w:p>
    <w:p w14:paraId="065D2A9E">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投标人撤回投标资料应以书面形式通知招标人，并应有投标人授权代表的签字和单位公章。</w:t>
      </w:r>
    </w:p>
    <w:p w14:paraId="0B22DE9B">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五、其他</w:t>
      </w:r>
    </w:p>
    <w:p w14:paraId="276C27AA">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1.由于不可抗拒的原因，招标人对投标资料的遗失和损坏不负任何责任。</w:t>
      </w:r>
    </w:p>
    <w:p w14:paraId="4DBB4809">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2.招标结束后，</w:t>
      </w:r>
      <w:r>
        <w:rPr>
          <w:rFonts w:hint="eastAsia" w:ascii="宋体" w:hAnsi="宋体" w:eastAsia="宋体" w:cs="Times New Roman"/>
          <w:kern w:val="0"/>
          <w:sz w:val="28"/>
          <w:szCs w:val="20"/>
        </w:rPr>
        <w:t>中标方的样品封存，不予退还</w:t>
      </w:r>
      <w:r>
        <w:rPr>
          <w:rFonts w:ascii="宋体" w:hAnsi="宋体" w:eastAsia="宋体" w:cs="Times New Roman"/>
          <w:kern w:val="0"/>
          <w:sz w:val="28"/>
          <w:szCs w:val="20"/>
        </w:rPr>
        <w:t>。</w:t>
      </w:r>
    </w:p>
    <w:p w14:paraId="459B491E">
      <w:pPr>
        <w:widowControl/>
        <w:spacing w:line="360" w:lineRule="auto"/>
        <w:ind w:firstLine="58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六、中标人瑕疵滞后发现的处理原则：</w:t>
      </w:r>
    </w:p>
    <w:p w14:paraId="080FDC8C">
      <w:pPr>
        <w:widowControl/>
        <w:spacing w:line="360" w:lineRule="auto"/>
        <w:ind w:firstLine="58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无论基于何种原因，各项本应作为拒绝处理的情形即便未被及时发现而使该中标人通过了资格审核、初评、现场复审、终评或其他所有相关程序，包括已签订合同的情形，</w:t>
      </w:r>
      <w:r>
        <w:rPr>
          <w:rFonts w:ascii="宋体" w:hAnsi="宋体" w:eastAsia="宋体" w:cs="Times New Roman"/>
          <w:kern w:val="0"/>
          <w:sz w:val="28"/>
          <w:szCs w:val="20"/>
        </w:rPr>
        <w:t>招标人均有权拒绝或取消中标人资格，</w:t>
      </w:r>
      <w:r>
        <w:rPr>
          <w:rFonts w:hint="eastAsia" w:ascii="宋体" w:hAnsi="宋体" w:eastAsia="宋体" w:cs="Times New Roman"/>
          <w:kern w:val="0"/>
          <w:sz w:val="28"/>
          <w:szCs w:val="20"/>
        </w:rPr>
        <w:t>一旦中标人被拒绝或该中标人此前的评议结果被取消，相关的一切损失均由该中标人承担。</w:t>
      </w:r>
    </w:p>
    <w:p w14:paraId="378778AE">
      <w:pPr>
        <w:widowControl/>
        <w:spacing w:line="360" w:lineRule="auto"/>
        <w:ind w:firstLine="440"/>
        <w:jc w:val="center"/>
        <w:textAlignment w:val="baseline"/>
        <w:rPr>
          <w:rFonts w:ascii="宋体" w:hAnsi="宋体" w:eastAsia="宋体" w:cs="Times New Roman"/>
          <w:b/>
          <w:kern w:val="0"/>
          <w:sz w:val="32"/>
          <w:szCs w:val="20"/>
        </w:rPr>
      </w:pPr>
      <w:r>
        <w:rPr>
          <w:rFonts w:ascii="宋体" w:hAnsi="宋体" w:eastAsia="宋体" w:cs="Times New Roman"/>
          <w:b/>
          <w:kern w:val="0"/>
          <w:sz w:val="32"/>
          <w:szCs w:val="20"/>
        </w:rPr>
        <w:t>第</w:t>
      </w:r>
      <w:r>
        <w:rPr>
          <w:rFonts w:hint="eastAsia" w:ascii="宋体" w:hAnsi="宋体" w:eastAsia="宋体" w:cs="Times New Roman"/>
          <w:b/>
          <w:kern w:val="0"/>
          <w:sz w:val="32"/>
          <w:szCs w:val="20"/>
        </w:rPr>
        <w:t>五</w:t>
      </w:r>
      <w:r>
        <w:rPr>
          <w:rFonts w:ascii="宋体" w:hAnsi="宋体" w:eastAsia="宋体" w:cs="Times New Roman"/>
          <w:b/>
          <w:kern w:val="0"/>
          <w:sz w:val="32"/>
          <w:szCs w:val="20"/>
        </w:rPr>
        <w:t>部分 评标</w:t>
      </w:r>
    </w:p>
    <w:p w14:paraId="60B6C6F8">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一、评标标准</w:t>
      </w:r>
    </w:p>
    <w:p w14:paraId="61B306D3">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招标人将根据</w:t>
      </w:r>
      <w:r>
        <w:rPr>
          <w:rFonts w:hint="eastAsia" w:ascii="宋体" w:hAnsi="宋体" w:eastAsia="宋体" w:cs="Times New Roman"/>
          <w:kern w:val="0"/>
          <w:sz w:val="28"/>
          <w:szCs w:val="20"/>
        </w:rPr>
        <w:t>方案、</w:t>
      </w:r>
      <w:r>
        <w:rPr>
          <w:rFonts w:ascii="宋体" w:hAnsi="宋体" w:eastAsia="宋体" w:cs="Times New Roman"/>
          <w:kern w:val="0"/>
          <w:sz w:val="28"/>
          <w:szCs w:val="20"/>
        </w:rPr>
        <w:t>价格、服务、资质等因素综合考量，最终</w:t>
      </w:r>
      <w:r>
        <w:rPr>
          <w:rFonts w:hint="eastAsia" w:ascii="宋体" w:hAnsi="宋体" w:eastAsia="宋体" w:cs="Times New Roman"/>
          <w:kern w:val="0"/>
          <w:sz w:val="28"/>
          <w:szCs w:val="20"/>
          <w:lang w:val="en-US" w:eastAsia="zh-CN"/>
        </w:rPr>
        <w:t>按照合理最低价</w:t>
      </w:r>
      <w:r>
        <w:rPr>
          <w:rFonts w:ascii="宋体" w:hAnsi="宋体" w:eastAsia="宋体" w:cs="Times New Roman"/>
          <w:kern w:val="0"/>
          <w:sz w:val="28"/>
          <w:szCs w:val="20"/>
        </w:rPr>
        <w:t>确定中标人。</w:t>
      </w:r>
    </w:p>
    <w:p w14:paraId="44F7A36C">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二、</w:t>
      </w:r>
      <w:r>
        <w:rPr>
          <w:rFonts w:hint="eastAsia" w:ascii="宋体" w:hAnsi="宋体" w:eastAsia="宋体" w:cs="Times New Roman"/>
          <w:kern w:val="0"/>
          <w:sz w:val="28"/>
          <w:szCs w:val="20"/>
        </w:rPr>
        <w:t>重新招标</w:t>
      </w:r>
    </w:p>
    <w:p w14:paraId="1A11AD96">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若</w:t>
      </w:r>
      <w:r>
        <w:rPr>
          <w:rFonts w:hint="eastAsia" w:ascii="宋体" w:hAnsi="宋体" w:eastAsia="宋体" w:cs="Times New Roman"/>
          <w:kern w:val="0"/>
          <w:sz w:val="28"/>
          <w:szCs w:val="20"/>
        </w:rPr>
        <w:t>开标当日某个标的物</w:t>
      </w:r>
      <w:r>
        <w:rPr>
          <w:rFonts w:ascii="宋体" w:hAnsi="宋体" w:eastAsia="宋体" w:cs="Times New Roman"/>
          <w:kern w:val="0"/>
          <w:sz w:val="28"/>
          <w:szCs w:val="20"/>
        </w:rPr>
        <w:t>的投标人数量不足三家的，</w:t>
      </w:r>
      <w:r>
        <w:rPr>
          <w:rFonts w:hint="eastAsia" w:ascii="宋体" w:hAnsi="宋体" w:eastAsia="宋体" w:cs="Times New Roman"/>
          <w:kern w:val="0"/>
          <w:sz w:val="28"/>
          <w:szCs w:val="20"/>
        </w:rPr>
        <w:t>招标人应当对该标的物重新招标</w:t>
      </w:r>
      <w:r>
        <w:rPr>
          <w:rFonts w:ascii="宋体" w:hAnsi="宋体" w:eastAsia="宋体" w:cs="Times New Roman"/>
          <w:kern w:val="0"/>
          <w:sz w:val="28"/>
          <w:szCs w:val="20"/>
        </w:rPr>
        <w:t>。</w:t>
      </w:r>
    </w:p>
    <w:p w14:paraId="1D378D59">
      <w:pPr>
        <w:widowControl/>
        <w:spacing w:line="360" w:lineRule="auto"/>
        <w:ind w:firstLine="580"/>
        <w:textAlignment w:val="baseline"/>
        <w:rPr>
          <w:rFonts w:ascii="宋体" w:hAnsi="宋体" w:eastAsia="宋体" w:cs="Times New Roman"/>
          <w:kern w:val="0"/>
          <w:sz w:val="28"/>
          <w:szCs w:val="20"/>
        </w:rPr>
      </w:pPr>
      <w:bookmarkStart w:id="1" w:name="_Hlk38354903"/>
      <w:r>
        <w:rPr>
          <w:rFonts w:ascii="宋体" w:hAnsi="宋体" w:eastAsia="宋体" w:cs="Times New Roman"/>
          <w:kern w:val="0"/>
          <w:sz w:val="28"/>
          <w:szCs w:val="20"/>
        </w:rPr>
        <w:t>三、现场考察</w:t>
      </w:r>
    </w:p>
    <w:bookmarkEnd w:id="1"/>
    <w:p w14:paraId="484B9044">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招标人认为确有必要，将对投标人的业务场所进行现场考察，投标人应当配合。</w:t>
      </w:r>
    </w:p>
    <w:p w14:paraId="45A43498">
      <w:pPr>
        <w:widowControl/>
        <w:spacing w:line="360" w:lineRule="auto"/>
        <w:ind w:firstLine="58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四</w:t>
      </w:r>
      <w:r>
        <w:rPr>
          <w:rFonts w:ascii="宋体" w:hAnsi="宋体" w:eastAsia="宋体" w:cs="Times New Roman"/>
          <w:kern w:val="0"/>
          <w:sz w:val="28"/>
          <w:szCs w:val="20"/>
        </w:rPr>
        <w:t>、</w:t>
      </w:r>
      <w:r>
        <w:rPr>
          <w:rFonts w:hint="eastAsia" w:ascii="宋体" w:hAnsi="宋体" w:eastAsia="宋体" w:cs="Times New Roman"/>
          <w:kern w:val="0"/>
          <w:sz w:val="28"/>
          <w:szCs w:val="20"/>
        </w:rPr>
        <w:t>评标模式</w:t>
      </w:r>
    </w:p>
    <w:p w14:paraId="1CBB9726">
      <w:pPr>
        <w:widowControl/>
        <w:spacing w:line="360" w:lineRule="auto"/>
        <w:ind w:firstLine="58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招标人有权根据项目情况，采取多级评标模式，</w:t>
      </w:r>
      <w:r>
        <w:rPr>
          <w:rFonts w:ascii="宋体" w:hAnsi="宋体" w:eastAsia="宋体" w:cs="Times New Roman"/>
          <w:kern w:val="0"/>
          <w:sz w:val="28"/>
          <w:szCs w:val="20"/>
        </w:rPr>
        <w:t>由</w:t>
      </w:r>
      <w:r>
        <w:rPr>
          <w:rFonts w:hint="eastAsia" w:ascii="宋体" w:hAnsi="宋体" w:eastAsia="宋体" w:cs="Times New Roman"/>
          <w:kern w:val="0"/>
          <w:sz w:val="28"/>
          <w:szCs w:val="20"/>
        </w:rPr>
        <w:t>相关</w:t>
      </w:r>
      <w:r>
        <w:rPr>
          <w:rFonts w:ascii="宋体" w:hAnsi="宋体" w:eastAsia="宋体" w:cs="Times New Roman"/>
          <w:kern w:val="0"/>
          <w:sz w:val="28"/>
          <w:szCs w:val="20"/>
        </w:rPr>
        <w:t>人员与专家组共同确定中标人。</w:t>
      </w:r>
    </w:p>
    <w:p w14:paraId="2A32C56F">
      <w:pPr>
        <w:widowControl/>
        <w:spacing w:line="360" w:lineRule="auto"/>
        <w:ind w:firstLine="580"/>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1</w:t>
      </w:r>
      <w:r>
        <w:rPr>
          <w:rFonts w:ascii="宋体" w:hAnsi="宋体" w:eastAsia="宋体" w:cs="Times New Roman"/>
          <w:kern w:val="0"/>
          <w:sz w:val="28"/>
          <w:szCs w:val="20"/>
        </w:rPr>
        <w:t>.</w:t>
      </w:r>
      <w:r>
        <w:rPr>
          <w:rFonts w:hint="eastAsia" w:ascii="宋体" w:hAnsi="宋体" w:eastAsia="宋体" w:cs="Times New Roman"/>
          <w:kern w:val="0"/>
          <w:sz w:val="28"/>
          <w:szCs w:val="20"/>
        </w:rPr>
        <w:t>技术标评标</w:t>
      </w:r>
    </w:p>
    <w:p w14:paraId="07AB1909">
      <w:pPr>
        <w:widowControl/>
        <w:spacing w:line="360" w:lineRule="auto"/>
        <w:ind w:firstLine="580"/>
        <w:textAlignment w:val="baseline"/>
        <w:rPr>
          <w:rFonts w:ascii="宋体" w:hAnsi="宋体" w:eastAsia="宋体" w:cs="Times New Roman"/>
          <w:kern w:val="0"/>
          <w:sz w:val="28"/>
          <w:szCs w:val="20"/>
        </w:rPr>
      </w:pPr>
      <w:r>
        <w:rPr>
          <w:rFonts w:hint="eastAsia" w:ascii="宋体" w:hAnsi="宋体" w:eastAsia="宋体"/>
          <w:sz w:val="28"/>
          <w:szCs w:val="28"/>
        </w:rPr>
        <w:t>评标专家组人员对每一标的物的方案进行评比，</w:t>
      </w:r>
      <w:r>
        <w:rPr>
          <w:rFonts w:hint="eastAsia" w:ascii="宋体" w:hAnsi="宋体" w:eastAsia="宋体" w:cs="Times New Roman"/>
          <w:kern w:val="0"/>
          <w:sz w:val="28"/>
          <w:szCs w:val="20"/>
        </w:rPr>
        <w:t>确定方案是否符合招标方要求；</w:t>
      </w:r>
    </w:p>
    <w:tbl>
      <w:tblPr>
        <w:tblStyle w:val="9"/>
        <w:tblW w:w="10201" w:type="dxa"/>
        <w:jc w:val="center"/>
        <w:tblLayout w:type="fixed"/>
        <w:tblCellMar>
          <w:top w:w="0" w:type="dxa"/>
          <w:left w:w="108" w:type="dxa"/>
          <w:bottom w:w="0" w:type="dxa"/>
          <w:right w:w="108" w:type="dxa"/>
        </w:tblCellMar>
      </w:tblPr>
      <w:tblGrid>
        <w:gridCol w:w="1560"/>
        <w:gridCol w:w="7082"/>
        <w:gridCol w:w="1559"/>
      </w:tblGrid>
      <w:tr w14:paraId="606A462D">
        <w:tblPrEx>
          <w:tblCellMar>
            <w:top w:w="0" w:type="dxa"/>
            <w:left w:w="108" w:type="dxa"/>
            <w:bottom w:w="0" w:type="dxa"/>
            <w:right w:w="108" w:type="dxa"/>
          </w:tblCellMar>
        </w:tblPrEx>
        <w:trPr>
          <w:trHeight w:val="285" w:hRule="atLeast"/>
          <w:jc w:val="center"/>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CEFD543">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项目</w:t>
            </w:r>
          </w:p>
        </w:tc>
        <w:tc>
          <w:tcPr>
            <w:tcW w:w="7082" w:type="dxa"/>
            <w:tcBorders>
              <w:top w:val="single" w:color="auto" w:sz="4" w:space="0"/>
              <w:left w:val="nil"/>
              <w:bottom w:val="single" w:color="auto" w:sz="4" w:space="0"/>
              <w:right w:val="single" w:color="auto" w:sz="4" w:space="0"/>
            </w:tcBorders>
            <w:shd w:val="clear" w:color="auto" w:fill="auto"/>
            <w:vAlign w:val="center"/>
          </w:tcPr>
          <w:p w14:paraId="5DB5CC20">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描述</w:t>
            </w:r>
          </w:p>
        </w:tc>
        <w:tc>
          <w:tcPr>
            <w:tcW w:w="1559" w:type="dxa"/>
            <w:tcBorders>
              <w:top w:val="single" w:color="auto" w:sz="4" w:space="0"/>
              <w:left w:val="nil"/>
              <w:bottom w:val="single" w:color="auto" w:sz="4" w:space="0"/>
              <w:right w:val="single" w:color="auto" w:sz="4" w:space="0"/>
            </w:tcBorders>
            <w:shd w:val="clear" w:color="auto" w:fill="auto"/>
            <w:vAlign w:val="center"/>
          </w:tcPr>
          <w:p w14:paraId="77A99D6B">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得分</w:t>
            </w:r>
          </w:p>
        </w:tc>
      </w:tr>
      <w:tr w14:paraId="7F765CD9">
        <w:tblPrEx>
          <w:tblCellMar>
            <w:top w:w="0" w:type="dxa"/>
            <w:left w:w="108" w:type="dxa"/>
            <w:bottom w:w="0" w:type="dxa"/>
            <w:right w:w="108" w:type="dxa"/>
          </w:tblCellMar>
        </w:tblPrEx>
        <w:trPr>
          <w:trHeight w:val="765" w:hRule="atLeast"/>
          <w:jc w:val="center"/>
        </w:trPr>
        <w:tc>
          <w:tcPr>
            <w:tcW w:w="1560" w:type="dxa"/>
            <w:tcBorders>
              <w:top w:val="single" w:color="auto" w:sz="4" w:space="0"/>
              <w:left w:val="single" w:color="auto" w:sz="4" w:space="0"/>
              <w:bottom w:val="single" w:color="auto" w:sz="4" w:space="0"/>
              <w:right w:val="single" w:color="auto" w:sz="4" w:space="0"/>
            </w:tcBorders>
            <w:vAlign w:val="center"/>
          </w:tcPr>
          <w:p w14:paraId="29C8DD09">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搭建方案</w:t>
            </w:r>
          </w:p>
        </w:tc>
        <w:tc>
          <w:tcPr>
            <w:tcW w:w="7082" w:type="dxa"/>
            <w:tcBorders>
              <w:top w:val="single" w:color="auto" w:sz="4" w:space="0"/>
              <w:left w:val="nil"/>
              <w:bottom w:val="single" w:color="auto" w:sz="4" w:space="0"/>
              <w:right w:val="single" w:color="auto" w:sz="4" w:space="0"/>
            </w:tcBorders>
            <w:shd w:val="clear" w:color="auto" w:fill="auto"/>
            <w:vAlign w:val="center"/>
          </w:tcPr>
          <w:p w14:paraId="3A3E5600">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w:t>
            </w:r>
            <w:r>
              <w:rPr>
                <w:rFonts w:ascii="宋体" w:hAnsi="宋体" w:eastAsia="宋体" w:cs="宋体"/>
                <w:color w:val="000000"/>
                <w:kern w:val="0"/>
                <w:szCs w:val="21"/>
              </w:rPr>
              <w:t>.</w:t>
            </w:r>
            <w:r>
              <w:rPr>
                <w:rFonts w:hint="eastAsia" w:ascii="宋体" w:hAnsi="宋体" w:eastAsia="宋体" w:cs="宋体"/>
                <w:color w:val="000000"/>
                <w:kern w:val="0"/>
                <w:szCs w:val="21"/>
              </w:rPr>
              <w:t>搭建方案是否满足第三部分的要求，满分</w:t>
            </w:r>
            <w:r>
              <w:rPr>
                <w:rFonts w:ascii="宋体" w:hAnsi="宋体" w:eastAsia="宋体" w:cs="宋体"/>
                <w:b/>
                <w:color w:val="000000"/>
                <w:kern w:val="0"/>
                <w:szCs w:val="21"/>
              </w:rPr>
              <w:t>30</w:t>
            </w:r>
            <w:r>
              <w:rPr>
                <w:rFonts w:hint="eastAsia" w:ascii="宋体" w:hAnsi="宋体" w:eastAsia="宋体" w:cs="宋体"/>
                <w:b/>
                <w:color w:val="000000"/>
                <w:kern w:val="0"/>
                <w:szCs w:val="21"/>
              </w:rPr>
              <w:t>分</w:t>
            </w:r>
            <w:r>
              <w:rPr>
                <w:rFonts w:hint="eastAsia" w:ascii="宋体" w:hAnsi="宋体" w:eastAsia="宋体" w:cs="宋体"/>
                <w:color w:val="000000"/>
                <w:kern w:val="0"/>
                <w:szCs w:val="21"/>
              </w:rPr>
              <w:t>。</w:t>
            </w:r>
          </w:p>
          <w:p w14:paraId="2EBB86EE">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全部满足得</w:t>
            </w:r>
            <w:r>
              <w:rPr>
                <w:rFonts w:ascii="宋体" w:hAnsi="宋体" w:eastAsia="宋体" w:cs="宋体"/>
                <w:color w:val="000000"/>
                <w:kern w:val="0"/>
                <w:szCs w:val="21"/>
              </w:rPr>
              <w:t>30</w:t>
            </w:r>
            <w:r>
              <w:rPr>
                <w:rFonts w:hint="eastAsia" w:ascii="宋体" w:hAnsi="宋体" w:eastAsia="宋体" w:cs="宋体"/>
                <w:color w:val="000000"/>
                <w:kern w:val="0"/>
                <w:szCs w:val="21"/>
              </w:rPr>
              <w:t>分，每不满足1项扣5分，扣完为止；</w:t>
            </w:r>
          </w:p>
          <w:p w14:paraId="6215D77E">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2</w:t>
            </w:r>
            <w:r>
              <w:rPr>
                <w:rFonts w:ascii="宋体" w:hAnsi="宋体" w:eastAsia="宋体" w:cs="宋体"/>
                <w:color w:val="000000"/>
                <w:kern w:val="0"/>
                <w:szCs w:val="21"/>
              </w:rPr>
              <w:t>.</w:t>
            </w:r>
            <w:r>
              <w:rPr>
                <w:rFonts w:hint="eastAsia" w:ascii="宋体" w:hAnsi="宋体" w:eastAsia="宋体" w:cs="宋体"/>
                <w:color w:val="000000"/>
                <w:kern w:val="0"/>
                <w:szCs w:val="21"/>
              </w:rPr>
              <w:t>搭建方案得分，</w:t>
            </w:r>
            <w:r>
              <w:rPr>
                <w:rFonts w:hint="eastAsia" w:ascii="宋体" w:hAnsi="宋体" w:eastAsia="宋体" w:cs="宋体"/>
                <w:b/>
                <w:color w:val="000000"/>
                <w:kern w:val="0"/>
                <w:szCs w:val="21"/>
              </w:rPr>
              <w:t>满分</w:t>
            </w:r>
            <w:r>
              <w:rPr>
                <w:rFonts w:ascii="宋体" w:hAnsi="宋体" w:eastAsia="宋体" w:cs="宋体"/>
                <w:b/>
                <w:color w:val="000000"/>
                <w:kern w:val="0"/>
                <w:szCs w:val="21"/>
              </w:rPr>
              <w:t>30</w:t>
            </w:r>
            <w:r>
              <w:rPr>
                <w:rFonts w:hint="eastAsia" w:ascii="宋体" w:hAnsi="宋体" w:eastAsia="宋体" w:cs="宋体"/>
                <w:b/>
                <w:color w:val="000000"/>
                <w:kern w:val="0"/>
                <w:szCs w:val="21"/>
              </w:rPr>
              <w:t>分</w:t>
            </w:r>
            <w:r>
              <w:rPr>
                <w:rFonts w:hint="eastAsia" w:ascii="宋体" w:hAnsi="宋体" w:eastAsia="宋体" w:cs="宋体"/>
                <w:color w:val="000000"/>
                <w:kern w:val="0"/>
                <w:szCs w:val="21"/>
              </w:rPr>
              <w:t>。</w:t>
            </w:r>
          </w:p>
          <w:p w14:paraId="77FD259C">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针对搭建方案进行评估，方案合理，效果突出，能满足中国重汽在海外的品牌形象，酌情打分0</w:t>
            </w:r>
            <w:r>
              <w:rPr>
                <w:rFonts w:ascii="宋体" w:hAnsi="宋体" w:eastAsia="宋体" w:cs="宋体"/>
                <w:color w:val="000000"/>
                <w:kern w:val="0"/>
                <w:szCs w:val="21"/>
              </w:rPr>
              <w:t>-30</w:t>
            </w:r>
            <w:r>
              <w:rPr>
                <w:rFonts w:hint="eastAsia" w:ascii="宋体" w:hAnsi="宋体" w:eastAsia="宋体" w:cs="宋体"/>
                <w:color w:val="000000"/>
                <w:kern w:val="0"/>
                <w:szCs w:val="21"/>
              </w:rPr>
              <w:t>分</w:t>
            </w:r>
          </w:p>
          <w:p w14:paraId="0191D925">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3</w:t>
            </w:r>
            <w:r>
              <w:rPr>
                <w:rFonts w:ascii="宋体" w:hAnsi="宋体" w:eastAsia="宋体" w:cs="宋体"/>
                <w:color w:val="000000"/>
                <w:kern w:val="0"/>
                <w:szCs w:val="21"/>
              </w:rPr>
              <w:t>.</w:t>
            </w:r>
            <w:r>
              <w:rPr>
                <w:rFonts w:hint="eastAsia" w:ascii="宋体" w:hAnsi="宋体" w:eastAsia="宋体" w:cs="宋体"/>
                <w:color w:val="000000"/>
                <w:kern w:val="0"/>
                <w:szCs w:val="21"/>
              </w:rPr>
              <w:t>现场服务</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保障，</w:t>
            </w:r>
            <w:r>
              <w:rPr>
                <w:rFonts w:hint="eastAsia" w:ascii="宋体" w:hAnsi="宋体" w:eastAsia="宋体" w:cs="宋体"/>
                <w:b/>
                <w:color w:val="000000"/>
                <w:kern w:val="0"/>
                <w:szCs w:val="21"/>
              </w:rPr>
              <w:t>满分3</w:t>
            </w:r>
            <w:r>
              <w:rPr>
                <w:rFonts w:ascii="宋体" w:hAnsi="宋体" w:eastAsia="宋体" w:cs="宋体"/>
                <w:b/>
                <w:color w:val="000000"/>
                <w:kern w:val="0"/>
                <w:szCs w:val="21"/>
              </w:rPr>
              <w:t>0</w:t>
            </w:r>
            <w:r>
              <w:rPr>
                <w:rFonts w:hint="eastAsia" w:ascii="宋体" w:hAnsi="宋体" w:eastAsia="宋体" w:cs="宋体"/>
                <w:b/>
                <w:color w:val="000000"/>
                <w:kern w:val="0"/>
                <w:szCs w:val="21"/>
              </w:rPr>
              <w:t>分</w:t>
            </w:r>
            <w:r>
              <w:rPr>
                <w:rFonts w:hint="eastAsia" w:ascii="宋体" w:hAnsi="宋体" w:eastAsia="宋体" w:cs="宋体"/>
                <w:color w:val="000000"/>
                <w:kern w:val="0"/>
                <w:szCs w:val="21"/>
              </w:rPr>
              <w:t>。</w:t>
            </w:r>
          </w:p>
          <w:p w14:paraId="7ACA2DE3">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1）全部满足第三部分的要求得</w:t>
            </w:r>
            <w:r>
              <w:rPr>
                <w:rFonts w:ascii="宋体" w:hAnsi="宋体" w:eastAsia="宋体" w:cs="宋体"/>
                <w:color w:val="000000"/>
                <w:kern w:val="0"/>
                <w:szCs w:val="21"/>
              </w:rPr>
              <w:t>20</w:t>
            </w:r>
            <w:r>
              <w:rPr>
                <w:rFonts w:hint="eastAsia" w:ascii="宋体" w:hAnsi="宋体" w:eastAsia="宋体" w:cs="宋体"/>
                <w:color w:val="000000"/>
                <w:kern w:val="0"/>
                <w:szCs w:val="21"/>
              </w:rPr>
              <w:t>分，每不满足1项扣5分，扣完为止；</w:t>
            </w:r>
          </w:p>
          <w:p w14:paraId="4AC002D8">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2）为满足服务效果所提供的服务保障措施，酌情得分0</w:t>
            </w:r>
            <w:r>
              <w:rPr>
                <w:rFonts w:ascii="宋体" w:hAnsi="宋体" w:eastAsia="宋体" w:cs="宋体"/>
                <w:color w:val="000000"/>
                <w:kern w:val="0"/>
                <w:szCs w:val="21"/>
              </w:rPr>
              <w:t>-5</w:t>
            </w:r>
            <w:r>
              <w:rPr>
                <w:rFonts w:hint="eastAsia" w:ascii="宋体" w:hAnsi="宋体" w:eastAsia="宋体" w:cs="宋体"/>
                <w:color w:val="000000"/>
                <w:kern w:val="0"/>
                <w:szCs w:val="21"/>
              </w:rPr>
              <w:t>分；</w:t>
            </w:r>
          </w:p>
          <w:p w14:paraId="553D74D9">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3）若有附加服务，根据服务内容，酌情得0</w:t>
            </w:r>
            <w:r>
              <w:rPr>
                <w:rFonts w:ascii="宋体" w:hAnsi="宋体" w:eastAsia="宋体" w:cs="宋体"/>
                <w:color w:val="000000"/>
                <w:kern w:val="0"/>
                <w:szCs w:val="21"/>
              </w:rPr>
              <w:t>-5</w:t>
            </w:r>
            <w:r>
              <w:rPr>
                <w:rFonts w:hint="eastAsia" w:ascii="宋体" w:hAnsi="宋体" w:eastAsia="宋体" w:cs="宋体"/>
                <w:color w:val="000000"/>
                <w:kern w:val="0"/>
                <w:szCs w:val="21"/>
              </w:rPr>
              <w:t>分</w:t>
            </w:r>
          </w:p>
        </w:tc>
        <w:tc>
          <w:tcPr>
            <w:tcW w:w="1559" w:type="dxa"/>
            <w:tcBorders>
              <w:top w:val="single" w:color="auto" w:sz="4" w:space="0"/>
              <w:left w:val="single" w:color="auto" w:sz="4" w:space="0"/>
              <w:bottom w:val="single" w:color="auto" w:sz="4" w:space="0"/>
              <w:right w:val="single" w:color="auto" w:sz="4" w:space="0"/>
            </w:tcBorders>
            <w:vAlign w:val="center"/>
          </w:tcPr>
          <w:p w14:paraId="731CA2B1">
            <w:pPr>
              <w:widowControl/>
              <w:jc w:val="center"/>
              <w:rPr>
                <w:rFonts w:ascii="宋体" w:hAnsi="宋体" w:eastAsia="宋体" w:cs="宋体"/>
                <w:color w:val="000000"/>
                <w:kern w:val="0"/>
                <w:sz w:val="24"/>
                <w:szCs w:val="24"/>
              </w:rPr>
            </w:pPr>
          </w:p>
        </w:tc>
      </w:tr>
      <w:tr w14:paraId="4D0D640E">
        <w:tblPrEx>
          <w:tblCellMar>
            <w:top w:w="0" w:type="dxa"/>
            <w:left w:w="108" w:type="dxa"/>
            <w:bottom w:w="0" w:type="dxa"/>
            <w:right w:w="108" w:type="dxa"/>
          </w:tblCellMar>
        </w:tblPrEx>
        <w:trPr>
          <w:trHeight w:val="557" w:hRule="atLeast"/>
          <w:jc w:val="center"/>
        </w:trPr>
        <w:tc>
          <w:tcPr>
            <w:tcW w:w="1560" w:type="dxa"/>
            <w:tcBorders>
              <w:top w:val="single" w:color="auto" w:sz="4" w:space="0"/>
              <w:left w:val="single" w:color="auto" w:sz="4" w:space="0"/>
              <w:bottom w:val="single" w:color="auto" w:sz="4" w:space="0"/>
              <w:right w:val="single" w:color="auto" w:sz="4" w:space="0"/>
            </w:tcBorders>
            <w:vAlign w:val="center"/>
          </w:tcPr>
          <w:p w14:paraId="2BF18691">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展会经验</w:t>
            </w:r>
          </w:p>
        </w:tc>
        <w:tc>
          <w:tcPr>
            <w:tcW w:w="7082" w:type="dxa"/>
            <w:tcBorders>
              <w:top w:val="single" w:color="auto" w:sz="4" w:space="0"/>
              <w:left w:val="nil"/>
              <w:bottom w:val="single" w:color="auto" w:sz="4" w:space="0"/>
              <w:right w:val="single" w:color="auto" w:sz="4" w:space="0"/>
            </w:tcBorders>
            <w:shd w:val="clear" w:color="auto" w:fill="auto"/>
            <w:vAlign w:val="center"/>
          </w:tcPr>
          <w:p w14:paraId="4D8D2845">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有广交会等大型展会搭建案例（需提供合同），每个案例</w:t>
            </w:r>
            <w:r>
              <w:rPr>
                <w:rFonts w:ascii="宋体" w:hAnsi="宋体" w:eastAsia="宋体" w:cs="宋体"/>
                <w:color w:val="000000"/>
                <w:kern w:val="0"/>
                <w:szCs w:val="21"/>
              </w:rPr>
              <w:t>2</w:t>
            </w:r>
            <w:r>
              <w:rPr>
                <w:rFonts w:hint="eastAsia" w:ascii="宋体" w:hAnsi="宋体" w:eastAsia="宋体" w:cs="宋体"/>
                <w:color w:val="000000"/>
                <w:kern w:val="0"/>
                <w:szCs w:val="21"/>
              </w:rPr>
              <w:t>分，最高</w:t>
            </w:r>
            <w:r>
              <w:rPr>
                <w:rFonts w:ascii="宋体" w:hAnsi="宋体" w:eastAsia="宋体" w:cs="宋体"/>
                <w:color w:val="000000"/>
                <w:kern w:val="0"/>
                <w:szCs w:val="21"/>
              </w:rPr>
              <w:t>10</w:t>
            </w:r>
            <w:r>
              <w:rPr>
                <w:rFonts w:hint="eastAsia" w:ascii="宋体" w:hAnsi="宋体" w:eastAsia="宋体" w:cs="宋体"/>
                <w:color w:val="000000"/>
                <w:kern w:val="0"/>
                <w:szCs w:val="21"/>
              </w:rPr>
              <w:t>分。</w:t>
            </w:r>
          </w:p>
        </w:tc>
        <w:tc>
          <w:tcPr>
            <w:tcW w:w="1559" w:type="dxa"/>
            <w:tcBorders>
              <w:top w:val="single" w:color="auto" w:sz="4" w:space="0"/>
              <w:left w:val="single" w:color="auto" w:sz="4" w:space="0"/>
              <w:bottom w:val="single" w:color="auto" w:sz="4" w:space="0"/>
              <w:right w:val="single" w:color="auto" w:sz="4" w:space="0"/>
            </w:tcBorders>
            <w:vAlign w:val="center"/>
          </w:tcPr>
          <w:p w14:paraId="643F50FC">
            <w:pPr>
              <w:widowControl/>
              <w:jc w:val="center"/>
              <w:rPr>
                <w:rFonts w:ascii="宋体" w:hAnsi="宋体" w:eastAsia="宋体" w:cs="宋体"/>
                <w:color w:val="000000"/>
                <w:kern w:val="0"/>
                <w:sz w:val="24"/>
                <w:szCs w:val="24"/>
              </w:rPr>
            </w:pPr>
          </w:p>
        </w:tc>
      </w:tr>
    </w:tbl>
    <w:p w14:paraId="64BB76CC">
      <w:pPr>
        <w:widowControl/>
        <w:spacing w:line="360" w:lineRule="auto"/>
        <w:ind w:firstLine="580"/>
        <w:textAlignment w:val="baseline"/>
        <w:rPr>
          <w:rFonts w:ascii="宋体" w:hAnsi="宋体" w:eastAsia="宋体"/>
          <w:sz w:val="28"/>
          <w:szCs w:val="28"/>
        </w:rPr>
      </w:pPr>
      <w:r>
        <w:rPr>
          <w:rFonts w:hint="eastAsia" w:ascii="宋体" w:hAnsi="宋体" w:eastAsia="宋体"/>
          <w:sz w:val="28"/>
          <w:szCs w:val="28"/>
        </w:rPr>
        <w:t>根据技术标评审结果，总分8</w:t>
      </w:r>
      <w:r>
        <w:rPr>
          <w:rFonts w:ascii="宋体" w:hAnsi="宋体" w:eastAsia="宋体"/>
          <w:sz w:val="28"/>
          <w:szCs w:val="28"/>
        </w:rPr>
        <w:t>0</w:t>
      </w:r>
      <w:r>
        <w:rPr>
          <w:rFonts w:hint="eastAsia" w:ascii="宋体" w:hAnsi="宋体" w:eastAsia="宋体"/>
          <w:sz w:val="28"/>
          <w:szCs w:val="28"/>
        </w:rPr>
        <w:t>分以上的投标单位进入商务标评标环节，符合技术要求的方案进入商务标评标环节，未进入商务标评标资格的投标方离场。</w:t>
      </w:r>
    </w:p>
    <w:p w14:paraId="3C6497EF">
      <w:pPr>
        <w:widowControl/>
        <w:spacing w:line="360" w:lineRule="auto"/>
        <w:ind w:firstLine="580"/>
        <w:textAlignment w:val="baseline"/>
        <w:rPr>
          <w:rFonts w:ascii="宋体" w:hAnsi="宋体" w:eastAsia="宋体"/>
          <w:sz w:val="28"/>
          <w:szCs w:val="28"/>
        </w:rPr>
      </w:pPr>
      <w:r>
        <w:rPr>
          <w:rFonts w:hint="eastAsia" w:ascii="宋体" w:hAnsi="宋体" w:eastAsia="宋体"/>
          <w:sz w:val="28"/>
          <w:szCs w:val="28"/>
        </w:rPr>
        <w:t>招标方将根据所有投标方技术方案，统一成一种技术方案，然后进入商务标环节。</w:t>
      </w:r>
    </w:p>
    <w:p w14:paraId="1EDCD344">
      <w:pPr>
        <w:widowControl/>
        <w:spacing w:line="360" w:lineRule="auto"/>
        <w:ind w:firstLine="580"/>
        <w:textAlignment w:val="baseline"/>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w:t>
      </w:r>
      <w:r>
        <w:rPr>
          <w:rFonts w:hint="eastAsia" w:ascii="宋体" w:hAnsi="宋体" w:eastAsia="宋体"/>
          <w:sz w:val="28"/>
          <w:szCs w:val="28"/>
        </w:rPr>
        <w:t>商务标评标</w:t>
      </w:r>
    </w:p>
    <w:p w14:paraId="0C2CB617">
      <w:pPr>
        <w:widowControl/>
        <w:spacing w:line="360" w:lineRule="auto"/>
        <w:ind w:firstLine="580"/>
        <w:textAlignment w:val="baseline"/>
        <w:rPr>
          <w:rFonts w:ascii="宋体" w:hAnsi="宋体" w:eastAsia="宋体"/>
          <w:sz w:val="28"/>
          <w:szCs w:val="28"/>
        </w:rPr>
      </w:pPr>
      <w:r>
        <w:rPr>
          <w:rFonts w:hint="eastAsia" w:ascii="宋体" w:hAnsi="宋体" w:eastAsia="宋体"/>
          <w:sz w:val="28"/>
          <w:szCs w:val="28"/>
        </w:rPr>
        <w:t>当众拆启进入商务标评标资格单位的商务标书，宣读投标人名称、投标价格和投标文件的其他主要内容，投标人授权代表现场确认无误后进行商务标的评标。经多轮商务评标后最低价推荐中标。</w:t>
      </w:r>
    </w:p>
    <w:p w14:paraId="232D1556">
      <w:pPr>
        <w:spacing w:line="360" w:lineRule="auto"/>
        <w:ind w:firstLine="560" w:firstLineChars="200"/>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rPr>
        <w:t>.投标文件未密封或资料不完整、投标人对招标文件的实质性要求未做出全面响应、有迹象表明投标人串通投标、中标后无正当理由在规定的时间不签订合同的、投标人提供的投标文件弄虚作假及其它违反法律、法规规定情形的，视为无效投标。</w:t>
      </w:r>
    </w:p>
    <w:p w14:paraId="357E2BB5">
      <w:pPr>
        <w:widowControl/>
        <w:spacing w:line="360" w:lineRule="auto"/>
        <w:ind w:firstLine="440"/>
        <w:jc w:val="center"/>
        <w:textAlignment w:val="baseline"/>
        <w:rPr>
          <w:rFonts w:ascii="宋体" w:hAnsi="宋体" w:eastAsia="宋体" w:cs="Times New Roman"/>
          <w:b/>
          <w:kern w:val="0"/>
          <w:sz w:val="32"/>
          <w:szCs w:val="20"/>
        </w:rPr>
      </w:pPr>
      <w:r>
        <w:rPr>
          <w:rFonts w:ascii="宋体" w:hAnsi="宋体" w:eastAsia="宋体" w:cs="Times New Roman"/>
          <w:b/>
          <w:kern w:val="0"/>
          <w:sz w:val="32"/>
          <w:szCs w:val="20"/>
        </w:rPr>
        <w:t>第</w:t>
      </w:r>
      <w:r>
        <w:rPr>
          <w:rFonts w:hint="eastAsia" w:ascii="宋体" w:hAnsi="宋体" w:eastAsia="宋体" w:cs="Times New Roman"/>
          <w:b/>
          <w:kern w:val="0"/>
          <w:sz w:val="32"/>
          <w:szCs w:val="20"/>
          <w:lang w:val="en-US" w:eastAsia="zh-CN"/>
        </w:rPr>
        <w:t>六</w:t>
      </w:r>
      <w:r>
        <w:rPr>
          <w:rFonts w:ascii="宋体" w:hAnsi="宋体" w:eastAsia="宋体" w:cs="Times New Roman"/>
          <w:b/>
          <w:kern w:val="0"/>
          <w:sz w:val="32"/>
          <w:szCs w:val="20"/>
        </w:rPr>
        <w:t>部分 中标</w:t>
      </w:r>
    </w:p>
    <w:p w14:paraId="12B1FFA1">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一、</w:t>
      </w:r>
      <w:r>
        <w:rPr>
          <w:rFonts w:hint="eastAsia" w:ascii="宋体" w:hAnsi="宋体" w:eastAsia="宋体" w:cs="Times New Roman"/>
          <w:kern w:val="0"/>
          <w:sz w:val="28"/>
          <w:szCs w:val="20"/>
        </w:rPr>
        <w:t>中标确认</w:t>
      </w:r>
    </w:p>
    <w:p w14:paraId="28F96DC0">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中标后，</w:t>
      </w:r>
      <w:r>
        <w:rPr>
          <w:rFonts w:hint="eastAsia" w:ascii="宋体" w:hAnsi="宋体" w:eastAsia="宋体" w:cs="Times New Roman"/>
          <w:kern w:val="0"/>
          <w:sz w:val="28"/>
          <w:szCs w:val="20"/>
        </w:rPr>
        <w:t>招标人将发送《中标通知书》给中标人，中标人应在3个工作日内予以正式盖章确认，</w:t>
      </w:r>
      <w:r>
        <w:rPr>
          <w:rFonts w:ascii="宋体" w:hAnsi="宋体" w:eastAsia="宋体" w:cs="Times New Roman"/>
          <w:kern w:val="0"/>
          <w:sz w:val="28"/>
          <w:szCs w:val="20"/>
        </w:rPr>
        <w:t>不能及时</w:t>
      </w:r>
      <w:r>
        <w:rPr>
          <w:rFonts w:hint="eastAsia" w:ascii="宋体" w:hAnsi="宋体" w:eastAsia="宋体" w:cs="Times New Roman"/>
          <w:kern w:val="0"/>
          <w:sz w:val="28"/>
          <w:szCs w:val="20"/>
        </w:rPr>
        <w:t>确认</w:t>
      </w:r>
      <w:r>
        <w:rPr>
          <w:rFonts w:ascii="宋体" w:hAnsi="宋体" w:eastAsia="宋体" w:cs="Times New Roman"/>
          <w:kern w:val="0"/>
          <w:sz w:val="28"/>
          <w:szCs w:val="20"/>
        </w:rPr>
        <w:t>的，视为中标人弃标，招标人可按评标排名将未中标人递补为中标人，或者采取增补招标的方式重新确定中标人</w:t>
      </w:r>
      <w:r>
        <w:rPr>
          <w:rFonts w:hint="eastAsia" w:ascii="宋体" w:hAnsi="宋体" w:eastAsia="宋体" w:cs="Times New Roman"/>
          <w:kern w:val="0"/>
          <w:sz w:val="28"/>
          <w:szCs w:val="20"/>
        </w:rPr>
        <w:t>。</w:t>
      </w:r>
    </w:p>
    <w:p w14:paraId="15136CC6">
      <w:pPr>
        <w:widowControl/>
        <w:spacing w:line="360" w:lineRule="auto"/>
        <w:ind w:firstLine="580"/>
        <w:textAlignment w:val="baseline"/>
        <w:rPr>
          <w:rFonts w:ascii="宋体" w:hAnsi="宋体" w:eastAsia="宋体" w:cs="Times New Roman"/>
          <w:kern w:val="0"/>
          <w:sz w:val="28"/>
          <w:szCs w:val="20"/>
        </w:rPr>
      </w:pPr>
      <w:r>
        <w:rPr>
          <w:rFonts w:ascii="宋体" w:hAnsi="宋体" w:eastAsia="宋体" w:cs="Times New Roman"/>
          <w:kern w:val="0"/>
          <w:sz w:val="28"/>
          <w:szCs w:val="20"/>
        </w:rPr>
        <w:t>二、</w:t>
      </w:r>
      <w:r>
        <w:rPr>
          <w:rFonts w:hint="eastAsia" w:ascii="宋体" w:hAnsi="宋体" w:eastAsia="宋体" w:cs="Times New Roman"/>
          <w:kern w:val="0"/>
          <w:sz w:val="28"/>
          <w:szCs w:val="20"/>
        </w:rPr>
        <w:t>付款方式</w:t>
      </w:r>
    </w:p>
    <w:p w14:paraId="56BB3F96">
      <w:pPr>
        <w:widowControl/>
        <w:spacing w:line="360" w:lineRule="auto"/>
        <w:ind w:firstLine="557"/>
        <w:textAlignment w:val="baseline"/>
        <w:rPr>
          <w:rFonts w:ascii="宋体" w:hAnsi="宋体" w:eastAsia="宋体" w:cs="Times New Roman"/>
          <w:kern w:val="0"/>
          <w:sz w:val="28"/>
          <w:szCs w:val="20"/>
        </w:rPr>
      </w:pPr>
      <w:r>
        <w:rPr>
          <w:rFonts w:hint="eastAsia" w:ascii="宋体" w:hAnsi="宋体" w:eastAsia="宋体" w:cs="Times New Roman"/>
          <w:kern w:val="0"/>
          <w:sz w:val="28"/>
          <w:szCs w:val="20"/>
          <w:highlight w:val="none"/>
          <w:lang w:val="en-US" w:eastAsia="zh-CN"/>
        </w:rPr>
        <w:t>全部执行完毕后，经招标人验收、招标单位价值工程部审核价格后，一次性付款。</w:t>
      </w:r>
      <w:r>
        <w:rPr>
          <w:rFonts w:hint="eastAsia" w:ascii="宋体" w:hAnsi="宋体" w:eastAsia="宋体" w:cs="Times New Roman"/>
          <w:kern w:val="0"/>
          <w:sz w:val="28"/>
          <w:szCs w:val="20"/>
        </w:rPr>
        <w:t>半年期商业汇票</w:t>
      </w:r>
      <w:r>
        <w:rPr>
          <w:rFonts w:ascii="宋体" w:hAnsi="宋体" w:eastAsia="宋体" w:cs="Times New Roman"/>
          <w:kern w:val="0"/>
          <w:sz w:val="28"/>
          <w:szCs w:val="20"/>
        </w:rPr>
        <w:t>(包括银行承兑汇票和商业承兑汇</w:t>
      </w:r>
      <w:r>
        <w:rPr>
          <w:rFonts w:hint="eastAsia" w:ascii="宋体" w:hAnsi="宋体" w:eastAsia="宋体" w:cs="Times New Roman"/>
          <w:kern w:val="0"/>
          <w:sz w:val="28"/>
          <w:szCs w:val="20"/>
        </w:rPr>
        <w:t>票)。</w:t>
      </w:r>
    </w:p>
    <w:p w14:paraId="7970B2AA">
      <w:pPr>
        <w:widowControl/>
        <w:spacing w:line="360" w:lineRule="auto"/>
        <w:jc w:val="center"/>
        <w:textAlignment w:val="baseline"/>
        <w:rPr>
          <w:rFonts w:ascii="宋体" w:hAnsi="宋体" w:eastAsia="宋体" w:cs="Times New Roman"/>
          <w:b/>
          <w:kern w:val="0"/>
          <w:sz w:val="32"/>
          <w:szCs w:val="20"/>
        </w:rPr>
      </w:pPr>
      <w:r>
        <w:rPr>
          <w:rFonts w:ascii="宋体" w:hAnsi="宋体" w:eastAsia="宋体" w:cs="Times New Roman"/>
          <w:b/>
          <w:kern w:val="0"/>
          <w:sz w:val="32"/>
          <w:szCs w:val="20"/>
        </w:rPr>
        <w:t>第</w:t>
      </w:r>
      <w:r>
        <w:rPr>
          <w:rFonts w:hint="eastAsia" w:ascii="宋体" w:hAnsi="宋体" w:eastAsia="宋体" w:cs="Times New Roman"/>
          <w:b/>
          <w:kern w:val="0"/>
          <w:sz w:val="32"/>
          <w:szCs w:val="20"/>
          <w:lang w:val="en-US" w:eastAsia="zh-CN"/>
        </w:rPr>
        <w:t>七</w:t>
      </w:r>
      <w:r>
        <w:rPr>
          <w:rFonts w:ascii="宋体" w:hAnsi="宋体" w:eastAsia="宋体" w:cs="Times New Roman"/>
          <w:b/>
          <w:kern w:val="0"/>
          <w:sz w:val="32"/>
          <w:szCs w:val="20"/>
        </w:rPr>
        <w:t>部分 其他</w:t>
      </w:r>
    </w:p>
    <w:p w14:paraId="76181C2A">
      <w:pPr>
        <w:widowControl/>
        <w:spacing w:line="360" w:lineRule="auto"/>
        <w:ind w:left="-4" w:firstLine="571"/>
        <w:textAlignment w:val="baseline"/>
        <w:rPr>
          <w:rFonts w:ascii="宋体" w:hAnsi="宋体" w:eastAsia="宋体" w:cs="Times New Roman"/>
          <w:kern w:val="0"/>
          <w:sz w:val="28"/>
          <w:szCs w:val="20"/>
        </w:rPr>
      </w:pPr>
      <w:r>
        <w:rPr>
          <w:rFonts w:ascii="宋体" w:hAnsi="宋体" w:eastAsia="宋体" w:cs="Times New Roman"/>
          <w:kern w:val="0"/>
          <w:sz w:val="28"/>
          <w:szCs w:val="20"/>
        </w:rPr>
        <w:t>一、招标人</w:t>
      </w:r>
      <w:r>
        <w:rPr>
          <w:rFonts w:hint="eastAsia" w:ascii="宋体" w:hAnsi="宋体" w:eastAsia="宋体" w:cs="Times New Roman"/>
          <w:kern w:val="0"/>
          <w:sz w:val="28"/>
          <w:szCs w:val="20"/>
        </w:rPr>
        <w:t>的</w:t>
      </w:r>
      <w:r>
        <w:rPr>
          <w:rFonts w:ascii="宋体" w:hAnsi="宋体" w:eastAsia="宋体" w:cs="Times New Roman"/>
          <w:kern w:val="0"/>
          <w:sz w:val="28"/>
          <w:szCs w:val="20"/>
        </w:rPr>
        <w:t>联系人信息</w:t>
      </w:r>
    </w:p>
    <w:p w14:paraId="47A5A02C">
      <w:pPr>
        <w:widowControl/>
        <w:spacing w:line="360" w:lineRule="auto"/>
        <w:ind w:left="-4" w:firstLine="571"/>
        <w:textAlignment w:val="baseline"/>
        <w:rPr>
          <w:rFonts w:hint="default" w:ascii="宋体" w:hAnsi="宋体" w:eastAsia="宋体" w:cs="Times New Roman"/>
          <w:kern w:val="0"/>
          <w:sz w:val="28"/>
          <w:szCs w:val="20"/>
          <w:lang w:val="en-US"/>
        </w:rPr>
      </w:pPr>
      <w:r>
        <w:rPr>
          <w:rFonts w:ascii="宋体" w:hAnsi="宋体" w:eastAsia="宋体" w:cs="Times New Roman"/>
          <w:kern w:val="0"/>
          <w:sz w:val="28"/>
          <w:szCs w:val="20"/>
        </w:rPr>
        <w:t>联</w:t>
      </w:r>
      <w:r>
        <w:rPr>
          <w:rFonts w:hint="eastAsia" w:ascii="宋体" w:hAnsi="宋体" w:eastAsia="宋体" w:cs="Times New Roman"/>
          <w:kern w:val="0"/>
          <w:sz w:val="28"/>
          <w:szCs w:val="20"/>
        </w:rPr>
        <w:t xml:space="preserve"> </w:t>
      </w:r>
      <w:r>
        <w:rPr>
          <w:rFonts w:ascii="宋体" w:hAnsi="宋体" w:eastAsia="宋体" w:cs="Times New Roman"/>
          <w:kern w:val="0"/>
          <w:sz w:val="28"/>
          <w:szCs w:val="20"/>
        </w:rPr>
        <w:t>系</w:t>
      </w:r>
      <w:r>
        <w:rPr>
          <w:rFonts w:hint="eastAsia" w:ascii="宋体" w:hAnsi="宋体" w:eastAsia="宋体" w:cs="Times New Roman"/>
          <w:kern w:val="0"/>
          <w:sz w:val="28"/>
          <w:szCs w:val="20"/>
        </w:rPr>
        <w:t xml:space="preserve"> </w:t>
      </w:r>
      <w:r>
        <w:rPr>
          <w:rFonts w:ascii="宋体" w:hAnsi="宋体" w:eastAsia="宋体" w:cs="Times New Roman"/>
          <w:kern w:val="0"/>
          <w:sz w:val="28"/>
          <w:szCs w:val="20"/>
        </w:rPr>
        <w:t>人：</w:t>
      </w:r>
      <w:r>
        <w:rPr>
          <w:rFonts w:hint="eastAsia" w:ascii="宋体" w:hAnsi="宋体" w:eastAsia="宋体" w:cs="Times New Roman"/>
          <w:kern w:val="0"/>
          <w:sz w:val="28"/>
          <w:szCs w:val="20"/>
          <w:lang w:val="en-US" w:eastAsia="zh-CN"/>
        </w:rPr>
        <w:t>郭志刚、杨文文</w:t>
      </w:r>
    </w:p>
    <w:p w14:paraId="58050CDC">
      <w:pPr>
        <w:widowControl/>
        <w:spacing w:line="360" w:lineRule="auto"/>
        <w:ind w:left="-4" w:firstLine="571"/>
        <w:textAlignment w:val="baseline"/>
        <w:rPr>
          <w:rFonts w:hint="default" w:ascii="宋体" w:hAnsi="宋体" w:eastAsia="宋体" w:cs="Times New Roman"/>
          <w:kern w:val="0"/>
          <w:sz w:val="28"/>
          <w:szCs w:val="20"/>
          <w:lang w:val="en-US" w:eastAsia="zh-CN"/>
        </w:rPr>
      </w:pPr>
      <w:r>
        <w:rPr>
          <w:rFonts w:hint="eastAsia" w:ascii="宋体" w:hAnsi="宋体" w:eastAsia="宋体" w:cs="Times New Roman"/>
          <w:kern w:val="0"/>
          <w:sz w:val="28"/>
          <w:szCs w:val="20"/>
        </w:rPr>
        <w:t>电子邮箱</w:t>
      </w:r>
      <w:r>
        <w:rPr>
          <w:rFonts w:hint="eastAsia" w:ascii="宋体" w:hAnsi="宋体" w:eastAsia="宋体" w:cs="Times New Roman"/>
          <w:kern w:val="0"/>
          <w:sz w:val="28"/>
          <w:szCs w:val="20"/>
          <w:lang w:val="en-US" w:eastAsia="zh-CN"/>
        </w:rPr>
        <w:t>:guozhigangxs@sinotruk.com</w:t>
      </w:r>
    </w:p>
    <w:p w14:paraId="2C7CCC04">
      <w:pPr>
        <w:widowControl/>
        <w:spacing w:line="360" w:lineRule="auto"/>
        <w:ind w:left="-4" w:firstLine="571"/>
        <w:textAlignment w:val="baseline"/>
        <w:rPr>
          <w:rFonts w:hint="default" w:ascii="宋体" w:hAnsi="宋体" w:eastAsia="宋体" w:cs="Times New Roman"/>
          <w:kern w:val="0"/>
          <w:sz w:val="28"/>
          <w:szCs w:val="20"/>
          <w:lang w:val="en-US"/>
        </w:rPr>
      </w:pPr>
      <w:r>
        <w:rPr>
          <w:rFonts w:hint="eastAsia" w:ascii="宋体" w:hAnsi="宋体" w:eastAsia="宋体" w:cs="Times New Roman"/>
          <w:kern w:val="0"/>
          <w:sz w:val="28"/>
          <w:szCs w:val="20"/>
        </w:rPr>
        <w:t>咨询</w:t>
      </w:r>
      <w:r>
        <w:rPr>
          <w:rFonts w:ascii="宋体" w:hAnsi="宋体" w:eastAsia="宋体" w:cs="Times New Roman"/>
          <w:kern w:val="0"/>
          <w:sz w:val="28"/>
          <w:szCs w:val="20"/>
        </w:rPr>
        <w:t>电话：</w:t>
      </w:r>
      <w:r>
        <w:rPr>
          <w:rFonts w:hint="eastAsia" w:ascii="宋体" w:hAnsi="宋体" w:eastAsia="宋体" w:cs="Times New Roman"/>
          <w:kern w:val="0"/>
          <w:sz w:val="28"/>
          <w:szCs w:val="20"/>
          <w:lang w:val="en-US" w:eastAsia="zh-CN"/>
        </w:rPr>
        <w:t>15275137523/15610175569</w:t>
      </w:r>
    </w:p>
    <w:p w14:paraId="60229457">
      <w:pPr>
        <w:widowControl/>
        <w:spacing w:line="360" w:lineRule="auto"/>
        <w:ind w:left="-4" w:firstLine="571"/>
        <w:textAlignment w:val="baseline"/>
        <w:rPr>
          <w:rFonts w:ascii="宋体" w:hAnsi="宋体" w:eastAsia="宋体" w:cs="Times New Roman"/>
          <w:kern w:val="0"/>
          <w:sz w:val="28"/>
          <w:szCs w:val="20"/>
        </w:rPr>
      </w:pPr>
      <w:bookmarkStart w:id="2" w:name="_Hlk60933623"/>
      <w:r>
        <w:rPr>
          <w:rFonts w:ascii="宋体" w:hAnsi="宋体" w:eastAsia="宋体" w:cs="Times New Roman"/>
          <w:kern w:val="0"/>
          <w:sz w:val="28"/>
          <w:szCs w:val="20"/>
        </w:rPr>
        <w:t>确定投标的投标人，应在开标</w:t>
      </w:r>
      <w:r>
        <w:rPr>
          <w:rFonts w:ascii="宋体" w:hAnsi="宋体" w:eastAsia="宋体" w:cs="Times New Roman"/>
          <w:kern w:val="0"/>
          <w:sz w:val="28"/>
          <w:szCs w:val="20"/>
          <w:u w:val="single"/>
        </w:rPr>
        <w:t>3</w:t>
      </w:r>
      <w:r>
        <w:rPr>
          <w:rFonts w:hint="eastAsia" w:ascii="宋体" w:hAnsi="宋体" w:eastAsia="宋体" w:cs="Times New Roman"/>
          <w:kern w:val="0"/>
          <w:sz w:val="28"/>
          <w:szCs w:val="20"/>
        </w:rPr>
        <w:t>日前，将加盖投标人公章的《投标书》（附件3）扫描后，通过电子邮件的方式发送至上述电子邮箱。未向上述电子邮箱发送电子邮件的，或者逾期发送电子邮件的，无投标资格。咨询电话仅作为本次招标业务咨询使用，不作报名使用。</w:t>
      </w:r>
    </w:p>
    <w:p w14:paraId="0E152D9C">
      <w:pPr>
        <w:widowControl/>
        <w:spacing w:line="360" w:lineRule="auto"/>
        <w:ind w:left="-4" w:firstLine="571"/>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同时，投标人应在开标前3日前，</w:t>
      </w:r>
      <w:r>
        <w:rPr>
          <w:rFonts w:hint="eastAsia" w:ascii="宋体" w:hAnsi="宋体" w:eastAsia="宋体" w:cs="Times New Roman"/>
          <w:kern w:val="0"/>
          <w:sz w:val="28"/>
          <w:szCs w:val="20"/>
          <w:highlight w:val="yellow"/>
        </w:rPr>
        <w:t>缴纳保证金</w:t>
      </w:r>
      <w:r>
        <w:rPr>
          <w:rFonts w:hint="eastAsia" w:ascii="宋体" w:hAnsi="宋体" w:eastAsia="宋体" w:cs="Times New Roman"/>
          <w:kern w:val="0"/>
          <w:sz w:val="28"/>
          <w:szCs w:val="20"/>
          <w:highlight w:val="yellow"/>
          <w:lang w:val="en-US" w:eastAsia="zh-CN"/>
        </w:rPr>
        <w:t>1</w:t>
      </w:r>
      <w:r>
        <w:rPr>
          <w:rFonts w:ascii="宋体" w:hAnsi="宋体" w:eastAsia="宋体" w:cs="Times New Roman"/>
          <w:kern w:val="0"/>
          <w:sz w:val="28"/>
          <w:szCs w:val="20"/>
          <w:highlight w:val="yellow"/>
        </w:rPr>
        <w:t>0</w:t>
      </w:r>
      <w:r>
        <w:rPr>
          <w:rFonts w:hint="eastAsia" w:ascii="宋体" w:hAnsi="宋体" w:eastAsia="宋体" w:cs="Times New Roman"/>
          <w:kern w:val="0"/>
          <w:sz w:val="28"/>
          <w:szCs w:val="20"/>
          <w:highlight w:val="yellow"/>
        </w:rPr>
        <w:t>000元，</w:t>
      </w:r>
      <w:r>
        <w:rPr>
          <w:rFonts w:hint="eastAsia" w:ascii="宋体" w:hAnsi="宋体" w:eastAsia="宋体" w:cs="Times New Roman"/>
          <w:kern w:val="0"/>
          <w:sz w:val="28"/>
          <w:szCs w:val="20"/>
          <w:highlight w:val="yellow"/>
          <w:lang w:val="en-US" w:eastAsia="zh-CN"/>
        </w:rPr>
        <w:t>应从投标人公司基本账户转出，</w:t>
      </w:r>
      <w:r>
        <w:rPr>
          <w:rFonts w:hint="eastAsia" w:ascii="宋体" w:hAnsi="宋体" w:eastAsia="宋体" w:cs="Times New Roman"/>
          <w:kern w:val="0"/>
          <w:sz w:val="28"/>
          <w:szCs w:val="20"/>
        </w:rPr>
        <w:t>招标方将在30个工作日内将保证金无息原路返回至未中标单位，对于中标单位，保证金将在</w:t>
      </w:r>
      <w:r>
        <w:rPr>
          <w:rFonts w:hint="eastAsia" w:ascii="宋体" w:hAnsi="宋体" w:eastAsia="宋体" w:cs="Times New Roman"/>
          <w:kern w:val="0"/>
          <w:sz w:val="28"/>
          <w:szCs w:val="20"/>
          <w:lang w:val="en-US" w:eastAsia="zh-CN"/>
        </w:rPr>
        <w:t>招标</w:t>
      </w:r>
      <w:r>
        <w:rPr>
          <w:rFonts w:hint="eastAsia" w:ascii="宋体" w:hAnsi="宋体" w:eastAsia="宋体" w:cs="Times New Roman"/>
          <w:kern w:val="0"/>
          <w:sz w:val="28"/>
          <w:szCs w:val="20"/>
          <w:highlight w:val="none"/>
        </w:rPr>
        <w:t>完成且正式</w:t>
      </w:r>
      <w:r>
        <w:rPr>
          <w:rFonts w:hint="eastAsia" w:ascii="宋体" w:hAnsi="宋体" w:eastAsia="宋体" w:cs="Times New Roman"/>
          <w:kern w:val="0"/>
          <w:sz w:val="28"/>
          <w:szCs w:val="20"/>
          <w:highlight w:val="none"/>
          <w:lang w:val="en-US" w:eastAsia="zh-CN"/>
        </w:rPr>
        <w:t>签订合同</w:t>
      </w:r>
      <w:r>
        <w:rPr>
          <w:rFonts w:hint="eastAsia" w:ascii="宋体" w:hAnsi="宋体" w:eastAsia="宋体" w:cs="Times New Roman"/>
          <w:kern w:val="0"/>
          <w:sz w:val="28"/>
          <w:szCs w:val="20"/>
        </w:rPr>
        <w:t>后30个工作日无息原路返回。</w:t>
      </w:r>
    </w:p>
    <w:p w14:paraId="6BAF5ABD">
      <w:pPr>
        <w:widowControl/>
        <w:spacing w:line="360" w:lineRule="auto"/>
        <w:ind w:left="-4" w:firstLine="571"/>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保证金付款账户：</w:t>
      </w:r>
    </w:p>
    <w:p w14:paraId="686F88DB">
      <w:pPr>
        <w:widowControl/>
        <w:spacing w:line="360" w:lineRule="auto"/>
        <w:ind w:left="-4" w:firstLine="571"/>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户名：中国重汽集团国际有限公司</w:t>
      </w:r>
    </w:p>
    <w:p w14:paraId="54FA89E5">
      <w:pPr>
        <w:widowControl/>
        <w:spacing w:line="360" w:lineRule="auto"/>
        <w:ind w:left="-4" w:firstLine="571"/>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开户行：兴业银行济南天桥支行</w:t>
      </w:r>
    </w:p>
    <w:p w14:paraId="16B359A1">
      <w:pPr>
        <w:widowControl/>
        <w:spacing w:line="360" w:lineRule="auto"/>
        <w:ind w:left="-4" w:firstLine="571"/>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账号：376070100100024875</w:t>
      </w:r>
    </w:p>
    <w:p w14:paraId="13031689">
      <w:pPr>
        <w:widowControl/>
        <w:spacing w:line="360" w:lineRule="auto"/>
        <w:ind w:left="-4" w:firstLine="571"/>
        <w:textAlignment w:val="baseline"/>
        <w:rPr>
          <w:rFonts w:ascii="宋体" w:hAnsi="宋体" w:eastAsia="宋体" w:cs="Times New Roman"/>
          <w:kern w:val="0"/>
          <w:sz w:val="28"/>
          <w:szCs w:val="20"/>
        </w:rPr>
      </w:pPr>
    </w:p>
    <w:bookmarkEnd w:id="2"/>
    <w:p w14:paraId="4414948D">
      <w:pPr>
        <w:widowControl/>
        <w:spacing w:line="360" w:lineRule="auto"/>
        <w:ind w:left="-4" w:firstLine="571"/>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附件1：《第</w:t>
      </w:r>
      <w:r>
        <w:rPr>
          <w:rFonts w:hint="eastAsia" w:ascii="宋体" w:hAnsi="宋体" w:eastAsia="宋体" w:cs="Times New Roman"/>
          <w:kern w:val="0"/>
          <w:sz w:val="28"/>
          <w:szCs w:val="20"/>
          <w:lang w:val="en-US" w:eastAsia="zh-CN"/>
        </w:rPr>
        <w:t>138届</w:t>
      </w:r>
      <w:r>
        <w:rPr>
          <w:rFonts w:hint="eastAsia" w:ascii="宋体" w:hAnsi="宋体" w:eastAsia="宋体" w:cs="Times New Roman"/>
          <w:kern w:val="0"/>
          <w:sz w:val="28"/>
          <w:szCs w:val="20"/>
        </w:rPr>
        <w:t>广交会搭建运营报价单》</w:t>
      </w:r>
    </w:p>
    <w:p w14:paraId="2226A70D">
      <w:pPr>
        <w:widowControl/>
        <w:spacing w:line="360" w:lineRule="auto"/>
        <w:ind w:left="-4" w:firstLine="571"/>
        <w:textAlignment w:val="baseline"/>
        <w:rPr>
          <w:rFonts w:ascii="宋体" w:hAnsi="宋体" w:eastAsia="宋体" w:cs="Times New Roman"/>
          <w:kern w:val="0"/>
          <w:sz w:val="28"/>
          <w:szCs w:val="20"/>
        </w:rPr>
      </w:pPr>
      <w:r>
        <w:rPr>
          <w:rFonts w:hint="eastAsia" w:ascii="宋体" w:hAnsi="宋体" w:eastAsia="宋体" w:cs="Times New Roman"/>
          <w:kern w:val="0"/>
          <w:sz w:val="28"/>
          <w:szCs w:val="20"/>
        </w:rPr>
        <w:t>附件</w:t>
      </w:r>
      <w:r>
        <w:rPr>
          <w:rFonts w:ascii="宋体" w:hAnsi="宋体" w:eastAsia="宋体" w:cs="Times New Roman"/>
          <w:kern w:val="0"/>
          <w:sz w:val="28"/>
          <w:szCs w:val="20"/>
        </w:rPr>
        <w:t>2</w:t>
      </w:r>
      <w:r>
        <w:rPr>
          <w:rFonts w:hint="eastAsia" w:ascii="宋体" w:hAnsi="宋体" w:eastAsia="宋体" w:cs="Times New Roman"/>
          <w:kern w:val="0"/>
          <w:sz w:val="28"/>
          <w:szCs w:val="20"/>
        </w:rPr>
        <w:t>：《投标书》</w:t>
      </w:r>
    </w:p>
    <w:p w14:paraId="7227D3FF">
      <w:pPr>
        <w:widowControl/>
        <w:spacing w:line="360" w:lineRule="auto"/>
        <w:textAlignment w:val="baseline"/>
        <w:rPr>
          <w:rFonts w:ascii="宋体" w:hAnsi="宋体" w:eastAsia="宋体" w:cs="Times New Roman"/>
          <w:kern w:val="0"/>
          <w:sz w:val="28"/>
          <w:szCs w:val="20"/>
        </w:rPr>
      </w:pPr>
    </w:p>
    <w:p w14:paraId="7B9D1FA1">
      <w:pPr>
        <w:widowControl/>
        <w:spacing w:line="360" w:lineRule="auto"/>
        <w:ind w:left="99"/>
        <w:jc w:val="right"/>
        <w:textAlignment w:val="baseline"/>
        <w:rPr>
          <w:rFonts w:ascii="宋体" w:hAnsi="宋体" w:eastAsia="宋体" w:cs="Times New Roman"/>
          <w:kern w:val="0"/>
          <w:sz w:val="28"/>
          <w:szCs w:val="20"/>
        </w:rPr>
      </w:pPr>
      <w:r>
        <w:rPr>
          <w:rFonts w:ascii="宋体" w:hAnsi="宋体" w:eastAsia="宋体" w:cs="Times New Roman"/>
          <w:kern w:val="0"/>
          <w:sz w:val="28"/>
          <w:szCs w:val="20"/>
        </w:rPr>
        <w:t>招标人：中国重汽集团国际有限公司</w:t>
      </w:r>
    </w:p>
    <w:p w14:paraId="7547D602">
      <w:pPr>
        <w:widowControl/>
        <w:wordWrap w:val="0"/>
        <w:spacing w:line="360" w:lineRule="auto"/>
        <w:ind w:left="99"/>
        <w:jc w:val="right"/>
        <w:textAlignment w:val="baseline"/>
        <w:rPr>
          <w:rFonts w:ascii="宋体" w:hAnsi="宋体" w:eastAsia="宋体" w:cs="Times New Roman"/>
          <w:color w:val="FFFFFF" w:themeColor="background1"/>
          <w:kern w:val="0"/>
          <w:sz w:val="28"/>
          <w:szCs w:val="20"/>
          <w14:textFill>
            <w14:solidFill>
              <w14:schemeClr w14:val="bg1"/>
            </w14:solidFill>
          </w14:textFill>
        </w:rPr>
      </w:pPr>
      <w:r>
        <w:rPr>
          <w:rFonts w:ascii="宋体" w:hAnsi="宋体" w:eastAsia="宋体" w:cs="Times New Roman"/>
          <w:kern w:val="0"/>
          <w:sz w:val="28"/>
          <w:szCs w:val="20"/>
        </w:rPr>
        <w:t>202</w:t>
      </w:r>
      <w:r>
        <w:rPr>
          <w:rFonts w:hint="eastAsia" w:ascii="宋体" w:hAnsi="宋体" w:eastAsia="宋体" w:cs="Times New Roman"/>
          <w:kern w:val="0"/>
          <w:sz w:val="28"/>
          <w:szCs w:val="20"/>
          <w:lang w:val="en-US" w:eastAsia="zh-CN"/>
        </w:rPr>
        <w:t>5</w:t>
      </w:r>
      <w:r>
        <w:rPr>
          <w:rFonts w:hint="eastAsia" w:ascii="宋体" w:hAnsi="宋体" w:eastAsia="宋体" w:cs="Times New Roman"/>
          <w:kern w:val="0"/>
          <w:sz w:val="28"/>
          <w:szCs w:val="20"/>
        </w:rPr>
        <w:t>年</w:t>
      </w:r>
      <w:r>
        <w:rPr>
          <w:rFonts w:hint="eastAsia" w:ascii="宋体" w:hAnsi="宋体" w:eastAsia="宋体" w:cs="Times New Roman"/>
          <w:kern w:val="0"/>
          <w:sz w:val="28"/>
          <w:szCs w:val="20"/>
          <w:lang w:val="en-US" w:eastAsia="zh-CN"/>
        </w:rPr>
        <w:t>8</w:t>
      </w:r>
      <w:r>
        <w:rPr>
          <w:rFonts w:hint="eastAsia" w:ascii="宋体" w:hAnsi="宋体" w:eastAsia="宋体" w:cs="Times New Roman"/>
          <w:kern w:val="0"/>
          <w:sz w:val="28"/>
          <w:szCs w:val="20"/>
        </w:rPr>
        <w:t>月</w:t>
      </w:r>
      <w:r>
        <w:rPr>
          <w:rFonts w:hint="eastAsia" w:ascii="宋体" w:hAnsi="宋体" w:eastAsia="宋体" w:cs="Times New Roman"/>
          <w:color w:val="FFFFFF" w:themeColor="background1"/>
          <w:kern w:val="0"/>
          <w:sz w:val="28"/>
          <w:szCs w:val="20"/>
          <w14:textFill>
            <w14:solidFill>
              <w14:schemeClr w14:val="bg1"/>
            </w14:solidFill>
          </w14:textFill>
        </w:rPr>
        <w:t xml:space="preserve"> </w:t>
      </w:r>
      <w:r>
        <w:rPr>
          <w:rFonts w:ascii="宋体" w:hAnsi="宋体" w:eastAsia="宋体" w:cs="Times New Roman"/>
          <w:color w:val="FFFFFF" w:themeColor="background1"/>
          <w:kern w:val="0"/>
          <w:sz w:val="28"/>
          <w:szCs w:val="20"/>
          <w14:textFill>
            <w14:solidFill>
              <w14:schemeClr w14:val="bg1"/>
            </w14:solidFill>
          </w14:textFill>
        </w:rPr>
        <w:t xml:space="preserve">      </w:t>
      </w:r>
    </w:p>
    <w:p w14:paraId="1CC01B3F">
      <w:pPr>
        <w:widowControl/>
        <w:wordWrap w:val="0"/>
        <w:spacing w:line="360" w:lineRule="auto"/>
        <w:ind w:left="99"/>
        <w:jc w:val="right"/>
        <w:textAlignment w:val="baseline"/>
        <w:rPr>
          <w:rFonts w:ascii="宋体" w:hAnsi="宋体" w:eastAsia="宋体" w:cs="Times New Roman"/>
          <w:kern w:val="0"/>
          <w:sz w:val="28"/>
          <w:szCs w:val="20"/>
        </w:rPr>
      </w:pPr>
      <w:r>
        <w:rPr>
          <w:rFonts w:ascii="宋体" w:hAnsi="宋体" w:eastAsia="宋体" w:cs="Times New Roman"/>
          <w:color w:val="FFFFFF" w:themeColor="background1"/>
          <w:kern w:val="0"/>
          <w:sz w:val="28"/>
          <w:szCs w:val="20"/>
          <w14:textFill>
            <w14:solidFill>
              <w14:schemeClr w14:val="bg1"/>
            </w14:solidFill>
          </w14:textFill>
        </w:rPr>
        <w:t xml:space="preserve"> </w:t>
      </w:r>
    </w:p>
    <w:p w14:paraId="66739A87">
      <w:pPr>
        <w:spacing w:line="360" w:lineRule="auto"/>
        <w:rPr>
          <w:rFonts w:ascii="宋体" w:hAnsi="宋体" w:eastAsia="宋体" w:cs="Times New Roman"/>
          <w:kern w:val="0"/>
          <w:sz w:val="28"/>
          <w:szCs w:val="20"/>
        </w:rPr>
      </w:pPr>
    </w:p>
    <w:p w14:paraId="3C6DFBFD">
      <w:pPr>
        <w:spacing w:line="360" w:lineRule="auto"/>
        <w:rPr>
          <w:rFonts w:ascii="宋体" w:hAnsi="宋体" w:eastAsia="宋体" w:cs="Times New Roman"/>
          <w:kern w:val="0"/>
          <w:sz w:val="28"/>
          <w:szCs w:val="20"/>
        </w:rPr>
      </w:pPr>
    </w:p>
    <w:p w14:paraId="628A5EB4">
      <w:pPr>
        <w:spacing w:line="360" w:lineRule="auto"/>
        <w:rPr>
          <w:rFonts w:ascii="宋体" w:hAnsi="宋体" w:eastAsia="宋体" w:cs="Times New Roman"/>
          <w:kern w:val="0"/>
          <w:sz w:val="28"/>
          <w:szCs w:val="20"/>
        </w:rPr>
      </w:pPr>
    </w:p>
    <w:p w14:paraId="482DF3C9">
      <w:pPr>
        <w:spacing w:line="360" w:lineRule="auto"/>
        <w:rPr>
          <w:rFonts w:ascii="宋体" w:hAnsi="宋体" w:eastAsia="宋体" w:cs="Times New Roman"/>
          <w:kern w:val="0"/>
          <w:sz w:val="28"/>
          <w:szCs w:val="20"/>
        </w:rPr>
      </w:pPr>
    </w:p>
    <w:p w14:paraId="0AFD9FF6">
      <w:pPr>
        <w:spacing w:line="360" w:lineRule="auto"/>
        <w:rPr>
          <w:rFonts w:ascii="宋体" w:hAnsi="宋体" w:eastAsia="宋体" w:cs="Times New Roman"/>
          <w:kern w:val="0"/>
          <w:sz w:val="28"/>
          <w:szCs w:val="20"/>
        </w:rPr>
      </w:pPr>
    </w:p>
    <w:p w14:paraId="320099FC">
      <w:pPr>
        <w:spacing w:line="360" w:lineRule="auto"/>
        <w:rPr>
          <w:rFonts w:ascii="宋体" w:hAnsi="宋体" w:eastAsia="宋体" w:cs="Times New Roman"/>
          <w:kern w:val="0"/>
          <w:sz w:val="28"/>
          <w:szCs w:val="20"/>
        </w:rPr>
      </w:pPr>
    </w:p>
    <w:p w14:paraId="7F19152D">
      <w:pPr>
        <w:spacing w:line="360" w:lineRule="auto"/>
        <w:rPr>
          <w:rFonts w:ascii="宋体" w:hAnsi="宋体" w:eastAsia="宋体" w:cs="Times New Roman"/>
          <w:kern w:val="0"/>
          <w:sz w:val="28"/>
          <w:szCs w:val="20"/>
        </w:rPr>
      </w:pPr>
    </w:p>
    <w:p w14:paraId="288C2E1C">
      <w:pPr>
        <w:spacing w:line="360" w:lineRule="auto"/>
        <w:rPr>
          <w:rFonts w:ascii="宋体" w:hAnsi="宋体" w:eastAsia="宋体" w:cs="Times New Roman"/>
          <w:kern w:val="0"/>
          <w:sz w:val="28"/>
          <w:szCs w:val="20"/>
        </w:rPr>
      </w:pPr>
    </w:p>
    <w:p w14:paraId="6DF04DEF">
      <w:pPr>
        <w:spacing w:line="360" w:lineRule="auto"/>
        <w:rPr>
          <w:rFonts w:hint="eastAsia" w:ascii="宋体" w:hAnsi="宋体" w:eastAsia="宋体" w:cs="Times New Roman"/>
          <w:kern w:val="0"/>
          <w:sz w:val="28"/>
          <w:szCs w:val="20"/>
        </w:rPr>
      </w:pPr>
    </w:p>
    <w:p w14:paraId="5B375D2E">
      <w:pPr>
        <w:spacing w:line="360" w:lineRule="auto"/>
        <w:ind w:firstLine="560" w:firstLineChars="200"/>
        <w:rPr>
          <w:rFonts w:ascii="宋体" w:hAnsi="宋体" w:eastAsia="宋体" w:cs="Times New Roman"/>
          <w:kern w:val="0"/>
          <w:sz w:val="28"/>
          <w:szCs w:val="20"/>
        </w:rPr>
      </w:pPr>
      <w:r>
        <w:rPr>
          <w:rFonts w:hint="eastAsia" w:ascii="宋体" w:hAnsi="宋体" w:eastAsia="宋体" w:cs="Times New Roman"/>
          <w:kern w:val="0"/>
          <w:sz w:val="28"/>
          <w:szCs w:val="20"/>
        </w:rPr>
        <w:t>附件1：第</w:t>
      </w:r>
      <w:r>
        <w:rPr>
          <w:rFonts w:hint="eastAsia" w:ascii="宋体" w:hAnsi="宋体" w:eastAsia="宋体" w:cs="Times New Roman"/>
          <w:kern w:val="0"/>
          <w:sz w:val="28"/>
          <w:szCs w:val="20"/>
          <w:lang w:val="en-US" w:eastAsia="zh-CN"/>
        </w:rPr>
        <w:t>138届</w:t>
      </w:r>
      <w:r>
        <w:rPr>
          <w:rFonts w:hint="eastAsia" w:ascii="宋体" w:hAnsi="宋体" w:eastAsia="宋体" w:cs="Times New Roman"/>
          <w:kern w:val="0"/>
          <w:sz w:val="28"/>
          <w:szCs w:val="20"/>
        </w:rPr>
        <w:t>广交会搭建运营报价单</w:t>
      </w:r>
    </w:p>
    <w:tbl>
      <w:tblPr>
        <w:tblStyle w:val="9"/>
        <w:tblW w:w="9533" w:type="dxa"/>
        <w:jc w:val="center"/>
        <w:tblLayout w:type="fixed"/>
        <w:tblCellMar>
          <w:top w:w="0" w:type="dxa"/>
          <w:left w:w="108" w:type="dxa"/>
          <w:bottom w:w="0" w:type="dxa"/>
          <w:right w:w="108" w:type="dxa"/>
        </w:tblCellMar>
      </w:tblPr>
      <w:tblGrid>
        <w:gridCol w:w="632"/>
        <w:gridCol w:w="968"/>
        <w:gridCol w:w="4948"/>
        <w:gridCol w:w="995"/>
        <w:gridCol w:w="995"/>
        <w:gridCol w:w="995"/>
      </w:tblGrid>
      <w:tr w14:paraId="480CF407">
        <w:tblPrEx>
          <w:tblCellMar>
            <w:top w:w="0" w:type="dxa"/>
            <w:left w:w="108" w:type="dxa"/>
            <w:bottom w:w="0" w:type="dxa"/>
            <w:right w:w="108" w:type="dxa"/>
          </w:tblCellMar>
        </w:tblPrEx>
        <w:trPr>
          <w:trHeight w:val="231" w:hRule="atLeast"/>
          <w:jc w:val="center"/>
        </w:trPr>
        <w:tc>
          <w:tcPr>
            <w:tcW w:w="6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29066E">
            <w:pPr>
              <w:widowControl/>
              <w:jc w:val="center"/>
              <w:rPr>
                <w:rFonts w:ascii="等线" w:hAnsi="等线" w:eastAsia="等线" w:cs="宋体"/>
                <w:color w:val="000000"/>
                <w:kern w:val="0"/>
                <w:sz w:val="16"/>
                <w:szCs w:val="18"/>
              </w:rPr>
            </w:pPr>
            <w:r>
              <w:rPr>
                <w:rFonts w:hint="eastAsia" w:ascii="等线" w:hAnsi="等线" w:eastAsia="等线" w:cs="宋体"/>
                <w:color w:val="000000"/>
                <w:kern w:val="0"/>
                <w:sz w:val="16"/>
                <w:szCs w:val="18"/>
                <w:lang w:val="en-US" w:eastAsia="zh-CN"/>
              </w:rPr>
              <w:t>序号</w:t>
            </w:r>
          </w:p>
        </w:tc>
        <w:tc>
          <w:tcPr>
            <w:tcW w:w="968" w:type="dxa"/>
            <w:tcBorders>
              <w:top w:val="single" w:color="auto" w:sz="4" w:space="0"/>
              <w:left w:val="nil"/>
              <w:bottom w:val="single" w:color="auto" w:sz="4" w:space="0"/>
              <w:right w:val="single" w:color="auto" w:sz="4" w:space="0"/>
            </w:tcBorders>
            <w:shd w:val="clear" w:color="auto" w:fill="auto"/>
            <w:vAlign w:val="center"/>
          </w:tcPr>
          <w:p w14:paraId="37DEFBAF">
            <w:pPr>
              <w:widowControl/>
              <w:jc w:val="center"/>
              <w:rPr>
                <w:rFonts w:hint="default"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服务事项</w:t>
            </w:r>
          </w:p>
        </w:tc>
        <w:tc>
          <w:tcPr>
            <w:tcW w:w="4948" w:type="dxa"/>
            <w:tcBorders>
              <w:top w:val="single" w:color="auto" w:sz="4" w:space="0"/>
              <w:left w:val="nil"/>
              <w:bottom w:val="single" w:color="auto" w:sz="4" w:space="0"/>
              <w:right w:val="single" w:color="auto" w:sz="4" w:space="0"/>
            </w:tcBorders>
            <w:shd w:val="clear" w:color="auto" w:fill="auto"/>
            <w:vAlign w:val="center"/>
          </w:tcPr>
          <w:p w14:paraId="2C7544E6">
            <w:pPr>
              <w:widowControl/>
              <w:jc w:val="center"/>
              <w:rPr>
                <w:rFonts w:ascii="等线" w:hAnsi="等线" w:eastAsia="等线" w:cs="宋体"/>
                <w:color w:val="000000"/>
                <w:kern w:val="0"/>
                <w:sz w:val="16"/>
                <w:szCs w:val="18"/>
              </w:rPr>
            </w:pPr>
            <w:r>
              <w:rPr>
                <w:rFonts w:hint="eastAsia" w:ascii="等线" w:hAnsi="等线" w:eastAsia="等线" w:cs="宋体"/>
                <w:color w:val="000000"/>
                <w:kern w:val="0"/>
                <w:sz w:val="16"/>
                <w:szCs w:val="18"/>
              </w:rPr>
              <w:t>具体技术要求</w:t>
            </w:r>
          </w:p>
        </w:tc>
        <w:tc>
          <w:tcPr>
            <w:tcW w:w="995" w:type="dxa"/>
            <w:tcBorders>
              <w:top w:val="single" w:color="auto" w:sz="4" w:space="0"/>
              <w:left w:val="nil"/>
              <w:bottom w:val="single" w:color="auto" w:sz="4" w:space="0"/>
              <w:right w:val="single" w:color="auto" w:sz="4" w:space="0"/>
            </w:tcBorders>
            <w:shd w:val="clear" w:color="auto" w:fill="auto"/>
            <w:vAlign w:val="center"/>
          </w:tcPr>
          <w:p w14:paraId="5490241C">
            <w:pPr>
              <w:widowControl/>
              <w:jc w:val="center"/>
              <w:rPr>
                <w:rFonts w:hint="default"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未税报价</w:t>
            </w:r>
          </w:p>
        </w:tc>
        <w:tc>
          <w:tcPr>
            <w:tcW w:w="995" w:type="dxa"/>
            <w:tcBorders>
              <w:top w:val="single" w:color="auto" w:sz="4" w:space="0"/>
              <w:left w:val="nil"/>
              <w:bottom w:val="single" w:color="auto" w:sz="4" w:space="0"/>
              <w:right w:val="single" w:color="auto" w:sz="4" w:space="0"/>
            </w:tcBorders>
            <w:shd w:val="clear" w:color="auto" w:fill="auto"/>
            <w:vAlign w:val="center"/>
          </w:tcPr>
          <w:p w14:paraId="6B72BA63">
            <w:pPr>
              <w:widowControl/>
              <w:jc w:val="center"/>
              <w:rPr>
                <w:rFonts w:hint="default"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含税报价</w:t>
            </w:r>
          </w:p>
        </w:tc>
        <w:tc>
          <w:tcPr>
            <w:tcW w:w="995" w:type="dxa"/>
            <w:tcBorders>
              <w:top w:val="single" w:color="auto" w:sz="4" w:space="0"/>
              <w:left w:val="nil"/>
              <w:bottom w:val="single" w:color="auto" w:sz="4" w:space="0"/>
              <w:right w:val="single" w:color="auto" w:sz="4" w:space="0"/>
            </w:tcBorders>
            <w:shd w:val="clear" w:color="auto" w:fill="auto"/>
            <w:vAlign w:val="center"/>
          </w:tcPr>
          <w:p w14:paraId="6C58B6C2">
            <w:pPr>
              <w:widowControl/>
              <w:jc w:val="center"/>
              <w:rPr>
                <w:rFonts w:hint="default"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税率</w:t>
            </w:r>
          </w:p>
        </w:tc>
      </w:tr>
      <w:tr w14:paraId="5CEED3E9">
        <w:tblPrEx>
          <w:tblCellMar>
            <w:top w:w="0" w:type="dxa"/>
            <w:left w:w="108" w:type="dxa"/>
            <w:bottom w:w="0" w:type="dxa"/>
            <w:right w:w="108" w:type="dxa"/>
          </w:tblCellMar>
        </w:tblPrEx>
        <w:trPr>
          <w:trHeight w:val="454" w:hRule="atLeast"/>
          <w:jc w:val="center"/>
        </w:trPr>
        <w:tc>
          <w:tcPr>
            <w:tcW w:w="632" w:type="dxa"/>
            <w:vMerge w:val="restart"/>
            <w:tcBorders>
              <w:top w:val="nil"/>
              <w:left w:val="single" w:color="auto" w:sz="4" w:space="0"/>
              <w:right w:val="single" w:color="auto" w:sz="4" w:space="0"/>
            </w:tcBorders>
            <w:vAlign w:val="center"/>
          </w:tcPr>
          <w:p w14:paraId="4ACF9492">
            <w:pPr>
              <w:widowControl/>
              <w:jc w:val="center"/>
              <w:rPr>
                <w:rFonts w:ascii="等线" w:hAnsi="等线" w:eastAsia="等线" w:cs="宋体"/>
                <w:color w:val="000000"/>
                <w:kern w:val="0"/>
                <w:sz w:val="16"/>
                <w:szCs w:val="18"/>
              </w:rPr>
            </w:pPr>
            <w:r>
              <w:rPr>
                <w:rFonts w:hint="eastAsia" w:ascii="等线" w:hAnsi="等线" w:eastAsia="等线" w:cs="宋体"/>
                <w:color w:val="000000"/>
                <w:kern w:val="0"/>
                <w:sz w:val="16"/>
                <w:szCs w:val="18"/>
              </w:rPr>
              <w:t>　</w:t>
            </w:r>
          </w:p>
          <w:p w14:paraId="5BE378EE">
            <w:pPr>
              <w:jc w:val="center"/>
              <w:rPr>
                <w:rFonts w:ascii="等线" w:hAnsi="等线" w:eastAsia="等线" w:cs="宋体"/>
                <w:color w:val="000000"/>
                <w:kern w:val="0"/>
                <w:sz w:val="16"/>
                <w:szCs w:val="18"/>
              </w:rPr>
            </w:pPr>
            <w:r>
              <w:rPr>
                <w:rFonts w:ascii="等线" w:hAnsi="等线" w:eastAsia="等线" w:cs="宋体"/>
                <w:color w:val="000000"/>
                <w:kern w:val="0"/>
                <w:sz w:val="16"/>
                <w:szCs w:val="18"/>
              </w:rPr>
              <w:t>1</w:t>
            </w:r>
          </w:p>
        </w:tc>
        <w:tc>
          <w:tcPr>
            <w:tcW w:w="968" w:type="dxa"/>
            <w:vMerge w:val="restart"/>
            <w:tcBorders>
              <w:top w:val="single" w:color="auto" w:sz="4" w:space="0"/>
              <w:left w:val="single" w:color="auto" w:sz="4" w:space="0"/>
              <w:bottom w:val="single" w:color="auto" w:sz="4" w:space="0"/>
              <w:right w:val="single" w:color="auto" w:sz="4" w:space="0"/>
            </w:tcBorders>
            <w:vAlign w:val="center"/>
          </w:tcPr>
          <w:p w14:paraId="1FA9CC49">
            <w:pPr>
              <w:jc w:val="center"/>
              <w:rPr>
                <w:rFonts w:ascii="等线" w:hAnsi="等线" w:eastAsia="等线" w:cs="宋体"/>
                <w:color w:val="000000"/>
                <w:kern w:val="0"/>
                <w:sz w:val="16"/>
                <w:szCs w:val="18"/>
              </w:rPr>
            </w:pPr>
            <w:r>
              <w:rPr>
                <w:rFonts w:hint="eastAsia" w:ascii="等线" w:hAnsi="等线" w:eastAsia="等线" w:cs="宋体"/>
                <w:color w:val="000000"/>
                <w:kern w:val="0"/>
                <w:sz w:val="16"/>
                <w:szCs w:val="18"/>
              </w:rPr>
              <w:t>整体展台搭建</w:t>
            </w:r>
          </w:p>
        </w:tc>
        <w:tc>
          <w:tcPr>
            <w:tcW w:w="4948" w:type="dxa"/>
            <w:tcBorders>
              <w:top w:val="nil"/>
              <w:left w:val="nil"/>
              <w:bottom w:val="single" w:color="auto" w:sz="4" w:space="0"/>
              <w:right w:val="single" w:color="auto" w:sz="4" w:space="0"/>
            </w:tcBorders>
            <w:shd w:val="clear" w:color="auto" w:fill="auto"/>
            <w:vAlign w:val="center"/>
          </w:tcPr>
          <w:p w14:paraId="42A05538">
            <w:pPr>
              <w:widowControl/>
              <w:jc w:val="left"/>
              <w:rPr>
                <w:rFonts w:ascii="等线" w:hAnsi="等线" w:eastAsia="等线" w:cs="宋体"/>
                <w:color w:val="000000"/>
                <w:kern w:val="0"/>
                <w:sz w:val="16"/>
                <w:szCs w:val="18"/>
              </w:rPr>
            </w:pPr>
            <w:r>
              <w:rPr>
                <w:rFonts w:hint="eastAsia" w:ascii="等线" w:hAnsi="等线" w:eastAsia="等线" w:cs="宋体"/>
                <w:color w:val="000000"/>
                <w:kern w:val="0"/>
                <w:sz w:val="16"/>
                <w:szCs w:val="18"/>
              </w:rPr>
              <w:t>投标人在投标文件中提供一套设计方案,设计风格贴合</w:t>
            </w:r>
            <w:r>
              <w:rPr>
                <w:rFonts w:hint="eastAsia" w:ascii="等线" w:hAnsi="等线" w:eastAsia="等线" w:cs="宋体"/>
                <w:color w:val="000000"/>
                <w:kern w:val="0"/>
                <w:sz w:val="16"/>
                <w:szCs w:val="18"/>
                <w:lang w:val="en-US" w:eastAsia="zh-CN"/>
              </w:rPr>
              <w:t>招标人</w:t>
            </w:r>
            <w:r>
              <w:rPr>
                <w:rFonts w:hint="eastAsia" w:ascii="等线" w:hAnsi="等线" w:eastAsia="等线" w:cs="宋体"/>
                <w:color w:val="000000"/>
                <w:kern w:val="0"/>
                <w:sz w:val="16"/>
                <w:szCs w:val="18"/>
              </w:rPr>
              <w:t>的整体风格，设计理念突出科技、绿色，需达到在众多展位中脱颖而出的效果;</w:t>
            </w:r>
          </w:p>
        </w:tc>
        <w:tc>
          <w:tcPr>
            <w:tcW w:w="995" w:type="dxa"/>
            <w:tcBorders>
              <w:top w:val="nil"/>
              <w:left w:val="nil"/>
              <w:bottom w:val="single" w:color="auto" w:sz="4" w:space="0"/>
              <w:right w:val="single" w:color="auto" w:sz="4" w:space="0"/>
            </w:tcBorders>
            <w:shd w:val="clear" w:color="auto" w:fill="auto"/>
            <w:vAlign w:val="center"/>
          </w:tcPr>
          <w:p w14:paraId="1390097E">
            <w:pPr>
              <w:widowControl/>
              <w:jc w:val="left"/>
              <w:rPr>
                <w:rFonts w:hint="eastAsia" w:ascii="等线" w:hAnsi="等线" w:eastAsia="等线" w:cs="宋体"/>
                <w:color w:val="000000"/>
                <w:kern w:val="0"/>
                <w:sz w:val="16"/>
                <w:szCs w:val="18"/>
              </w:rPr>
            </w:pPr>
          </w:p>
        </w:tc>
        <w:tc>
          <w:tcPr>
            <w:tcW w:w="995" w:type="dxa"/>
            <w:tcBorders>
              <w:top w:val="nil"/>
              <w:left w:val="nil"/>
              <w:bottom w:val="single" w:color="auto" w:sz="4" w:space="0"/>
              <w:right w:val="single" w:color="auto" w:sz="4" w:space="0"/>
            </w:tcBorders>
            <w:shd w:val="clear" w:color="auto" w:fill="auto"/>
            <w:vAlign w:val="center"/>
          </w:tcPr>
          <w:p w14:paraId="012EAE11">
            <w:pPr>
              <w:widowControl/>
              <w:jc w:val="left"/>
              <w:rPr>
                <w:rFonts w:hint="eastAsia" w:ascii="等线" w:hAnsi="等线" w:eastAsia="等线" w:cs="宋体"/>
                <w:color w:val="000000"/>
                <w:kern w:val="0"/>
                <w:sz w:val="16"/>
                <w:szCs w:val="18"/>
              </w:rPr>
            </w:pPr>
          </w:p>
        </w:tc>
        <w:tc>
          <w:tcPr>
            <w:tcW w:w="995" w:type="dxa"/>
            <w:tcBorders>
              <w:top w:val="nil"/>
              <w:left w:val="nil"/>
              <w:bottom w:val="single" w:color="auto" w:sz="4" w:space="0"/>
              <w:right w:val="single" w:color="auto" w:sz="4" w:space="0"/>
            </w:tcBorders>
            <w:shd w:val="clear" w:color="auto" w:fill="auto"/>
            <w:vAlign w:val="center"/>
          </w:tcPr>
          <w:p w14:paraId="1875E324">
            <w:pPr>
              <w:widowControl/>
              <w:jc w:val="left"/>
              <w:rPr>
                <w:rFonts w:hint="eastAsia" w:ascii="等线" w:hAnsi="等线" w:eastAsia="等线" w:cs="宋体"/>
                <w:color w:val="000000"/>
                <w:kern w:val="0"/>
                <w:sz w:val="16"/>
                <w:szCs w:val="18"/>
              </w:rPr>
            </w:pPr>
          </w:p>
        </w:tc>
      </w:tr>
      <w:tr w14:paraId="0D3DE095">
        <w:tblPrEx>
          <w:tblCellMar>
            <w:top w:w="0" w:type="dxa"/>
            <w:left w:w="108" w:type="dxa"/>
            <w:bottom w:w="0" w:type="dxa"/>
            <w:right w:w="108" w:type="dxa"/>
          </w:tblCellMar>
        </w:tblPrEx>
        <w:trPr>
          <w:trHeight w:val="231" w:hRule="atLeast"/>
          <w:jc w:val="center"/>
        </w:trPr>
        <w:tc>
          <w:tcPr>
            <w:tcW w:w="632" w:type="dxa"/>
            <w:vMerge w:val="continue"/>
            <w:tcBorders>
              <w:left w:val="single" w:color="auto" w:sz="4" w:space="0"/>
              <w:right w:val="single" w:color="auto" w:sz="4" w:space="0"/>
            </w:tcBorders>
            <w:vAlign w:val="center"/>
          </w:tcPr>
          <w:p w14:paraId="639BC963">
            <w:pPr>
              <w:jc w:val="center"/>
              <w:rPr>
                <w:rFonts w:ascii="等线" w:hAnsi="等线" w:eastAsia="等线" w:cs="宋体"/>
                <w:color w:val="000000"/>
                <w:kern w:val="0"/>
                <w:sz w:val="16"/>
                <w:szCs w:val="18"/>
              </w:rPr>
            </w:pPr>
          </w:p>
        </w:tc>
        <w:tc>
          <w:tcPr>
            <w:tcW w:w="968" w:type="dxa"/>
            <w:vMerge w:val="continue"/>
            <w:tcBorders>
              <w:top w:val="single" w:color="auto" w:sz="4" w:space="0"/>
              <w:left w:val="single" w:color="auto" w:sz="4" w:space="0"/>
              <w:bottom w:val="single" w:color="auto" w:sz="4" w:space="0"/>
              <w:right w:val="single" w:color="auto" w:sz="4" w:space="0"/>
            </w:tcBorders>
            <w:vAlign w:val="center"/>
          </w:tcPr>
          <w:p w14:paraId="35630BEB">
            <w:pPr>
              <w:jc w:val="center"/>
              <w:rPr>
                <w:rFonts w:ascii="等线" w:hAnsi="等线" w:eastAsia="等线" w:cs="宋体"/>
                <w:color w:val="000000"/>
                <w:kern w:val="0"/>
                <w:sz w:val="16"/>
                <w:szCs w:val="18"/>
              </w:rPr>
            </w:pPr>
          </w:p>
        </w:tc>
        <w:tc>
          <w:tcPr>
            <w:tcW w:w="4948" w:type="dxa"/>
            <w:tcBorders>
              <w:top w:val="nil"/>
              <w:left w:val="nil"/>
              <w:bottom w:val="single" w:color="auto" w:sz="4" w:space="0"/>
              <w:right w:val="single" w:color="auto" w:sz="4" w:space="0"/>
            </w:tcBorders>
            <w:shd w:val="clear" w:color="auto" w:fill="auto"/>
            <w:vAlign w:val="center"/>
          </w:tcPr>
          <w:p w14:paraId="2EAF518C">
            <w:pPr>
              <w:widowControl/>
              <w:jc w:val="left"/>
              <w:rPr>
                <w:rFonts w:hint="eastAsia" w:ascii="等线" w:hAnsi="等线" w:eastAsia="等线" w:cs="宋体"/>
                <w:color w:val="000000"/>
                <w:kern w:val="0"/>
                <w:sz w:val="16"/>
                <w:szCs w:val="18"/>
              </w:rPr>
            </w:pPr>
            <w:r>
              <w:rPr>
                <w:rFonts w:hint="eastAsia" w:ascii="等线" w:hAnsi="等线" w:eastAsia="等线" w:cs="宋体"/>
                <w:color w:val="000000"/>
                <w:kern w:val="0"/>
                <w:sz w:val="16"/>
                <w:szCs w:val="18"/>
                <w:lang w:val="en-US" w:eastAsia="zh-CN"/>
              </w:rPr>
              <w:t>展位布局合理，避免出现遮挡、割裂等情况，动线合理</w:t>
            </w:r>
            <w:r>
              <w:rPr>
                <w:rFonts w:hint="eastAsia" w:ascii="等线" w:hAnsi="等线" w:eastAsia="等线" w:cs="宋体"/>
                <w:color w:val="000000"/>
                <w:kern w:val="0"/>
                <w:sz w:val="16"/>
                <w:szCs w:val="18"/>
              </w:rPr>
              <w:t>；</w:t>
            </w:r>
          </w:p>
        </w:tc>
        <w:tc>
          <w:tcPr>
            <w:tcW w:w="995" w:type="dxa"/>
            <w:tcBorders>
              <w:top w:val="nil"/>
              <w:left w:val="nil"/>
              <w:bottom w:val="single" w:color="auto" w:sz="4" w:space="0"/>
              <w:right w:val="single" w:color="auto" w:sz="4" w:space="0"/>
            </w:tcBorders>
            <w:shd w:val="clear" w:color="auto" w:fill="auto"/>
            <w:vAlign w:val="center"/>
          </w:tcPr>
          <w:p w14:paraId="7981436B">
            <w:pPr>
              <w:widowControl/>
              <w:jc w:val="left"/>
              <w:rPr>
                <w:rFonts w:hint="eastAsia" w:ascii="等线" w:hAnsi="等线" w:eastAsia="等线" w:cs="宋体"/>
                <w:color w:val="000000"/>
                <w:kern w:val="0"/>
                <w:sz w:val="16"/>
                <w:szCs w:val="18"/>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7B065823">
            <w:pPr>
              <w:widowControl/>
              <w:jc w:val="left"/>
              <w:rPr>
                <w:rFonts w:hint="eastAsia" w:ascii="等线" w:hAnsi="等线" w:eastAsia="等线" w:cs="宋体"/>
                <w:color w:val="000000"/>
                <w:kern w:val="0"/>
                <w:sz w:val="16"/>
                <w:szCs w:val="18"/>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799C0FC9">
            <w:pPr>
              <w:widowControl/>
              <w:jc w:val="left"/>
              <w:rPr>
                <w:rFonts w:hint="eastAsia" w:ascii="等线" w:hAnsi="等线" w:eastAsia="等线" w:cs="宋体"/>
                <w:color w:val="000000"/>
                <w:kern w:val="0"/>
                <w:sz w:val="16"/>
                <w:szCs w:val="18"/>
                <w:lang w:val="en-US" w:eastAsia="zh-CN"/>
              </w:rPr>
            </w:pPr>
          </w:p>
        </w:tc>
      </w:tr>
      <w:tr w14:paraId="02C251B9">
        <w:tblPrEx>
          <w:tblCellMar>
            <w:top w:w="0" w:type="dxa"/>
            <w:left w:w="108" w:type="dxa"/>
            <w:bottom w:w="0" w:type="dxa"/>
            <w:right w:w="108" w:type="dxa"/>
          </w:tblCellMar>
        </w:tblPrEx>
        <w:trPr>
          <w:trHeight w:val="231" w:hRule="atLeast"/>
          <w:jc w:val="center"/>
        </w:trPr>
        <w:tc>
          <w:tcPr>
            <w:tcW w:w="632" w:type="dxa"/>
            <w:vMerge w:val="continue"/>
            <w:tcBorders>
              <w:left w:val="single" w:color="auto" w:sz="4" w:space="0"/>
              <w:right w:val="single" w:color="auto" w:sz="4" w:space="0"/>
            </w:tcBorders>
            <w:vAlign w:val="center"/>
          </w:tcPr>
          <w:p w14:paraId="0EEABBF6">
            <w:pPr>
              <w:jc w:val="center"/>
              <w:rPr>
                <w:rFonts w:ascii="等线" w:hAnsi="等线" w:eastAsia="等线" w:cs="宋体"/>
                <w:color w:val="000000"/>
                <w:kern w:val="0"/>
                <w:sz w:val="16"/>
                <w:szCs w:val="18"/>
              </w:rPr>
            </w:pPr>
          </w:p>
        </w:tc>
        <w:tc>
          <w:tcPr>
            <w:tcW w:w="968" w:type="dxa"/>
            <w:vMerge w:val="continue"/>
            <w:tcBorders>
              <w:top w:val="single" w:color="auto" w:sz="4" w:space="0"/>
              <w:left w:val="single" w:color="auto" w:sz="4" w:space="0"/>
              <w:bottom w:val="single" w:color="auto" w:sz="4" w:space="0"/>
              <w:right w:val="single" w:color="auto" w:sz="4" w:space="0"/>
            </w:tcBorders>
            <w:vAlign w:val="center"/>
          </w:tcPr>
          <w:p w14:paraId="5160C31F">
            <w:pPr>
              <w:jc w:val="center"/>
              <w:rPr>
                <w:rFonts w:ascii="等线" w:hAnsi="等线" w:eastAsia="等线" w:cs="宋体"/>
                <w:color w:val="000000"/>
                <w:kern w:val="0"/>
                <w:sz w:val="16"/>
                <w:szCs w:val="18"/>
              </w:rPr>
            </w:pPr>
          </w:p>
        </w:tc>
        <w:tc>
          <w:tcPr>
            <w:tcW w:w="4948" w:type="dxa"/>
            <w:tcBorders>
              <w:top w:val="nil"/>
              <w:left w:val="nil"/>
              <w:bottom w:val="single" w:color="auto" w:sz="4" w:space="0"/>
              <w:right w:val="single" w:color="auto" w:sz="4" w:space="0"/>
            </w:tcBorders>
            <w:shd w:val="clear" w:color="auto" w:fill="auto"/>
            <w:vAlign w:val="center"/>
          </w:tcPr>
          <w:p w14:paraId="06AA8AD0">
            <w:pPr>
              <w:widowControl/>
              <w:jc w:val="left"/>
              <w:rPr>
                <w:rFonts w:hint="eastAsia" w:ascii="等线" w:hAnsi="等线" w:eastAsia="等线" w:cs="宋体"/>
                <w:color w:val="000000"/>
                <w:kern w:val="0"/>
                <w:sz w:val="16"/>
                <w:szCs w:val="18"/>
              </w:rPr>
            </w:pPr>
            <w:r>
              <w:rPr>
                <w:rFonts w:hint="eastAsia" w:ascii="等线" w:hAnsi="等线" w:eastAsia="等线" w:cs="宋体"/>
                <w:color w:val="000000"/>
                <w:kern w:val="0"/>
                <w:sz w:val="16"/>
                <w:szCs w:val="18"/>
                <w:lang w:val="en-US" w:eastAsia="zh-CN"/>
              </w:rPr>
              <w:t>需合理且重点突出品牌标识</w:t>
            </w:r>
            <w:r>
              <w:rPr>
                <w:rFonts w:hint="eastAsia" w:ascii="等线" w:hAnsi="等线" w:eastAsia="等线" w:cs="宋体"/>
                <w:color w:val="000000"/>
                <w:kern w:val="0"/>
                <w:sz w:val="16"/>
                <w:szCs w:val="18"/>
              </w:rPr>
              <w:t>。</w:t>
            </w:r>
          </w:p>
        </w:tc>
        <w:tc>
          <w:tcPr>
            <w:tcW w:w="995" w:type="dxa"/>
            <w:tcBorders>
              <w:top w:val="nil"/>
              <w:left w:val="nil"/>
              <w:bottom w:val="single" w:color="auto" w:sz="4" w:space="0"/>
              <w:right w:val="single" w:color="auto" w:sz="4" w:space="0"/>
            </w:tcBorders>
            <w:shd w:val="clear" w:color="auto" w:fill="auto"/>
            <w:vAlign w:val="center"/>
          </w:tcPr>
          <w:p w14:paraId="21C2EFE5">
            <w:pPr>
              <w:widowControl/>
              <w:jc w:val="left"/>
              <w:rPr>
                <w:rFonts w:hint="eastAsia" w:ascii="等线" w:hAnsi="等线" w:eastAsia="等线" w:cs="宋体"/>
                <w:color w:val="000000"/>
                <w:kern w:val="0"/>
                <w:sz w:val="16"/>
                <w:szCs w:val="18"/>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57CC05CB">
            <w:pPr>
              <w:widowControl/>
              <w:jc w:val="left"/>
              <w:rPr>
                <w:rFonts w:hint="eastAsia" w:ascii="等线" w:hAnsi="等线" w:eastAsia="等线" w:cs="宋体"/>
                <w:color w:val="000000"/>
                <w:kern w:val="0"/>
                <w:sz w:val="16"/>
                <w:szCs w:val="18"/>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33A17ECC">
            <w:pPr>
              <w:widowControl/>
              <w:jc w:val="left"/>
              <w:rPr>
                <w:rFonts w:hint="eastAsia" w:ascii="等线" w:hAnsi="等线" w:eastAsia="等线" w:cs="宋体"/>
                <w:color w:val="000000"/>
                <w:kern w:val="0"/>
                <w:sz w:val="16"/>
                <w:szCs w:val="18"/>
                <w:lang w:val="en-US" w:eastAsia="zh-CN"/>
              </w:rPr>
            </w:pPr>
          </w:p>
        </w:tc>
      </w:tr>
      <w:tr w14:paraId="746DF849">
        <w:tblPrEx>
          <w:tblCellMar>
            <w:top w:w="0" w:type="dxa"/>
            <w:left w:w="108" w:type="dxa"/>
            <w:bottom w:w="0" w:type="dxa"/>
            <w:right w:w="108" w:type="dxa"/>
          </w:tblCellMar>
        </w:tblPrEx>
        <w:trPr>
          <w:trHeight w:val="231" w:hRule="atLeast"/>
          <w:jc w:val="center"/>
        </w:trPr>
        <w:tc>
          <w:tcPr>
            <w:tcW w:w="632" w:type="dxa"/>
            <w:vMerge w:val="continue"/>
            <w:tcBorders>
              <w:left w:val="single" w:color="auto" w:sz="4" w:space="0"/>
              <w:right w:val="single" w:color="auto" w:sz="4" w:space="0"/>
            </w:tcBorders>
            <w:vAlign w:val="center"/>
          </w:tcPr>
          <w:p w14:paraId="2B36A2C3">
            <w:pPr>
              <w:jc w:val="center"/>
              <w:rPr>
                <w:rFonts w:ascii="等线" w:hAnsi="等线" w:eastAsia="等线" w:cs="宋体"/>
                <w:color w:val="000000"/>
                <w:kern w:val="0"/>
                <w:sz w:val="16"/>
                <w:szCs w:val="18"/>
              </w:rPr>
            </w:pPr>
          </w:p>
        </w:tc>
        <w:tc>
          <w:tcPr>
            <w:tcW w:w="968" w:type="dxa"/>
            <w:vMerge w:val="continue"/>
            <w:tcBorders>
              <w:top w:val="single" w:color="auto" w:sz="4" w:space="0"/>
              <w:left w:val="single" w:color="auto" w:sz="4" w:space="0"/>
              <w:bottom w:val="single" w:color="auto" w:sz="4" w:space="0"/>
              <w:right w:val="single" w:color="auto" w:sz="4" w:space="0"/>
            </w:tcBorders>
            <w:vAlign w:val="center"/>
          </w:tcPr>
          <w:p w14:paraId="4F5F45C6">
            <w:pPr>
              <w:jc w:val="center"/>
              <w:rPr>
                <w:rFonts w:ascii="等线" w:hAnsi="等线" w:eastAsia="等线" w:cs="宋体"/>
                <w:color w:val="000000"/>
                <w:kern w:val="0"/>
                <w:sz w:val="16"/>
                <w:szCs w:val="18"/>
              </w:rPr>
            </w:pPr>
          </w:p>
        </w:tc>
        <w:tc>
          <w:tcPr>
            <w:tcW w:w="4948" w:type="dxa"/>
            <w:tcBorders>
              <w:top w:val="nil"/>
              <w:left w:val="nil"/>
              <w:bottom w:val="single" w:color="auto" w:sz="4" w:space="0"/>
              <w:right w:val="single" w:color="auto" w:sz="4" w:space="0"/>
            </w:tcBorders>
            <w:shd w:val="clear" w:color="auto" w:fill="auto"/>
            <w:vAlign w:val="center"/>
          </w:tcPr>
          <w:p w14:paraId="66ED21EF">
            <w:pPr>
              <w:widowControl/>
              <w:jc w:val="left"/>
              <w:rPr>
                <w:rFonts w:hint="default"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rPr>
              <w:t>主体材料符合广交会环保材料要求。</w:t>
            </w:r>
          </w:p>
        </w:tc>
        <w:tc>
          <w:tcPr>
            <w:tcW w:w="995" w:type="dxa"/>
            <w:tcBorders>
              <w:top w:val="nil"/>
              <w:left w:val="nil"/>
              <w:bottom w:val="single" w:color="auto" w:sz="4" w:space="0"/>
              <w:right w:val="single" w:color="auto" w:sz="4" w:space="0"/>
            </w:tcBorders>
            <w:shd w:val="clear" w:color="auto" w:fill="auto"/>
            <w:vAlign w:val="center"/>
          </w:tcPr>
          <w:p w14:paraId="0CC47679">
            <w:pPr>
              <w:widowControl/>
              <w:jc w:val="left"/>
              <w:rPr>
                <w:rFonts w:hint="eastAsia" w:ascii="等线" w:hAnsi="等线" w:eastAsia="等线" w:cs="宋体"/>
                <w:color w:val="000000"/>
                <w:kern w:val="0"/>
                <w:sz w:val="16"/>
                <w:szCs w:val="18"/>
              </w:rPr>
            </w:pPr>
          </w:p>
        </w:tc>
        <w:tc>
          <w:tcPr>
            <w:tcW w:w="995" w:type="dxa"/>
            <w:tcBorders>
              <w:top w:val="nil"/>
              <w:left w:val="nil"/>
              <w:bottom w:val="single" w:color="auto" w:sz="4" w:space="0"/>
              <w:right w:val="single" w:color="auto" w:sz="4" w:space="0"/>
            </w:tcBorders>
            <w:shd w:val="clear" w:color="auto" w:fill="auto"/>
            <w:vAlign w:val="center"/>
          </w:tcPr>
          <w:p w14:paraId="516466AB">
            <w:pPr>
              <w:widowControl/>
              <w:jc w:val="left"/>
              <w:rPr>
                <w:rFonts w:hint="eastAsia" w:ascii="等线" w:hAnsi="等线" w:eastAsia="等线" w:cs="宋体"/>
                <w:color w:val="000000"/>
                <w:kern w:val="0"/>
                <w:sz w:val="16"/>
                <w:szCs w:val="18"/>
              </w:rPr>
            </w:pPr>
          </w:p>
        </w:tc>
        <w:tc>
          <w:tcPr>
            <w:tcW w:w="995" w:type="dxa"/>
            <w:tcBorders>
              <w:top w:val="nil"/>
              <w:left w:val="nil"/>
              <w:bottom w:val="single" w:color="auto" w:sz="4" w:space="0"/>
              <w:right w:val="single" w:color="auto" w:sz="4" w:space="0"/>
            </w:tcBorders>
            <w:shd w:val="clear" w:color="auto" w:fill="auto"/>
            <w:vAlign w:val="center"/>
          </w:tcPr>
          <w:p w14:paraId="375D4D02">
            <w:pPr>
              <w:widowControl/>
              <w:jc w:val="left"/>
              <w:rPr>
                <w:rFonts w:hint="eastAsia" w:ascii="等线" w:hAnsi="等线" w:eastAsia="等线" w:cs="宋体"/>
                <w:color w:val="000000"/>
                <w:kern w:val="0"/>
                <w:sz w:val="16"/>
                <w:szCs w:val="18"/>
              </w:rPr>
            </w:pPr>
          </w:p>
        </w:tc>
      </w:tr>
      <w:tr w14:paraId="13EA9689">
        <w:tblPrEx>
          <w:tblCellMar>
            <w:top w:w="0" w:type="dxa"/>
            <w:left w:w="108" w:type="dxa"/>
            <w:bottom w:w="0" w:type="dxa"/>
            <w:right w:w="108" w:type="dxa"/>
          </w:tblCellMar>
        </w:tblPrEx>
        <w:trPr>
          <w:trHeight w:val="231" w:hRule="atLeast"/>
          <w:jc w:val="center"/>
        </w:trPr>
        <w:tc>
          <w:tcPr>
            <w:tcW w:w="632" w:type="dxa"/>
            <w:vMerge w:val="restart"/>
            <w:tcBorders>
              <w:top w:val="nil"/>
              <w:left w:val="single" w:color="auto" w:sz="4" w:space="0"/>
              <w:right w:val="single" w:color="auto" w:sz="4" w:space="0"/>
            </w:tcBorders>
            <w:shd w:val="clear" w:color="auto" w:fill="auto"/>
            <w:noWrap/>
            <w:vAlign w:val="center"/>
          </w:tcPr>
          <w:p w14:paraId="54A02F54">
            <w:pPr>
              <w:widowControl/>
              <w:jc w:val="center"/>
              <w:rPr>
                <w:rFonts w:hint="eastAsia"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2</w:t>
            </w:r>
          </w:p>
        </w:tc>
        <w:tc>
          <w:tcPr>
            <w:tcW w:w="96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148F59">
            <w:pPr>
              <w:widowControl/>
              <w:jc w:val="center"/>
              <w:rPr>
                <w:rFonts w:hint="eastAsia" w:ascii="等线" w:hAnsi="等线" w:eastAsia="等线" w:cs="宋体"/>
                <w:color w:val="000000"/>
                <w:kern w:val="0"/>
                <w:sz w:val="16"/>
                <w:szCs w:val="18"/>
              </w:rPr>
            </w:pPr>
          </w:p>
          <w:p w14:paraId="348857CD">
            <w:pPr>
              <w:bidi w:val="0"/>
              <w:rPr>
                <w:rFonts w:hint="eastAsia" w:asciiTheme="minorHAnsi" w:hAnsiTheme="minorHAnsi" w:eastAsiaTheme="minorEastAsia" w:cstheme="minorBidi"/>
                <w:kern w:val="2"/>
                <w:sz w:val="15"/>
                <w:szCs w:val="16"/>
                <w:lang w:val="en-US" w:eastAsia="zh-CN" w:bidi="ar-SA"/>
              </w:rPr>
            </w:pPr>
          </w:p>
          <w:p w14:paraId="585E4C2B">
            <w:pPr>
              <w:bidi w:val="0"/>
              <w:jc w:val="center"/>
              <w:rPr>
                <w:rFonts w:hint="default"/>
                <w:sz w:val="15"/>
                <w:szCs w:val="16"/>
                <w:lang w:val="en-US" w:eastAsia="zh-CN"/>
              </w:rPr>
            </w:pPr>
            <w:r>
              <w:rPr>
                <w:rFonts w:hint="eastAsia"/>
                <w:sz w:val="15"/>
                <w:szCs w:val="16"/>
                <w:lang w:val="en-US" w:eastAsia="zh-CN"/>
              </w:rPr>
              <w:t>布展物料</w:t>
            </w:r>
          </w:p>
        </w:tc>
        <w:tc>
          <w:tcPr>
            <w:tcW w:w="4948" w:type="dxa"/>
            <w:tcBorders>
              <w:top w:val="nil"/>
              <w:left w:val="nil"/>
              <w:bottom w:val="single" w:color="auto" w:sz="4" w:space="0"/>
              <w:right w:val="single" w:color="auto" w:sz="4" w:space="0"/>
            </w:tcBorders>
            <w:shd w:val="clear" w:color="auto" w:fill="auto"/>
            <w:vAlign w:val="center"/>
          </w:tcPr>
          <w:p w14:paraId="28CDF90A">
            <w:pPr>
              <w:widowControl/>
              <w:jc w:val="left"/>
              <w:rPr>
                <w:rFonts w:hint="default" w:ascii="等线" w:hAnsi="等线" w:eastAsia="等线" w:cs="宋体"/>
                <w:color w:val="000000"/>
                <w:kern w:val="0"/>
                <w:sz w:val="16"/>
                <w:szCs w:val="18"/>
                <w:lang w:val="en-US" w:eastAsia="zh-CN" w:bidi="ar-SA"/>
              </w:rPr>
            </w:pPr>
            <w:r>
              <w:rPr>
                <w:rFonts w:hint="eastAsia" w:ascii="等线" w:hAnsi="等线" w:eastAsia="等线" w:cs="宋体"/>
                <w:color w:val="000000"/>
                <w:kern w:val="0"/>
                <w:sz w:val="16"/>
                <w:szCs w:val="18"/>
                <w:lang w:val="en-US" w:eastAsia="zh-CN"/>
              </w:rPr>
              <w:t>三个展位均需有存储宣传纪念品、</w:t>
            </w:r>
            <w:r>
              <w:rPr>
                <w:rFonts w:hint="eastAsia" w:ascii="等线" w:hAnsi="等线" w:eastAsia="等线" w:cs="宋体"/>
                <w:color w:val="000000"/>
                <w:kern w:val="0"/>
                <w:sz w:val="16"/>
                <w:szCs w:val="18"/>
              </w:rPr>
              <w:t>宣传册及</w:t>
            </w:r>
            <w:r>
              <w:rPr>
                <w:rFonts w:hint="eastAsia" w:ascii="等线" w:hAnsi="等线" w:eastAsia="等线" w:cs="宋体"/>
                <w:color w:val="000000"/>
                <w:kern w:val="0"/>
                <w:sz w:val="16"/>
                <w:szCs w:val="18"/>
                <w:lang w:val="en-US" w:eastAsia="zh-CN"/>
              </w:rPr>
              <w:t>工作人员</w:t>
            </w:r>
            <w:r>
              <w:rPr>
                <w:rFonts w:hint="eastAsia" w:ascii="等线" w:hAnsi="等线" w:eastAsia="等线" w:cs="宋体"/>
                <w:color w:val="000000"/>
                <w:kern w:val="0"/>
                <w:sz w:val="16"/>
                <w:szCs w:val="18"/>
              </w:rPr>
              <w:t>个人物品</w:t>
            </w:r>
            <w:r>
              <w:rPr>
                <w:rFonts w:hint="eastAsia" w:ascii="等线" w:hAnsi="等线" w:eastAsia="等线" w:cs="宋体"/>
                <w:color w:val="000000"/>
                <w:kern w:val="0"/>
                <w:sz w:val="16"/>
                <w:szCs w:val="18"/>
                <w:lang w:val="en-US" w:eastAsia="zh-CN"/>
              </w:rPr>
              <w:t>的空间。</w:t>
            </w:r>
          </w:p>
        </w:tc>
        <w:tc>
          <w:tcPr>
            <w:tcW w:w="995" w:type="dxa"/>
            <w:tcBorders>
              <w:top w:val="nil"/>
              <w:left w:val="nil"/>
              <w:bottom w:val="single" w:color="auto" w:sz="4" w:space="0"/>
              <w:right w:val="single" w:color="auto" w:sz="4" w:space="0"/>
            </w:tcBorders>
            <w:shd w:val="clear" w:color="auto" w:fill="auto"/>
            <w:vAlign w:val="center"/>
          </w:tcPr>
          <w:p w14:paraId="33D532B8">
            <w:pPr>
              <w:widowControl/>
              <w:jc w:val="left"/>
              <w:rPr>
                <w:rFonts w:hint="eastAsia" w:ascii="等线" w:hAnsi="等线" w:eastAsia="等线" w:cs="宋体"/>
                <w:color w:val="000000"/>
                <w:kern w:val="0"/>
                <w:sz w:val="16"/>
                <w:szCs w:val="18"/>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14CDBCBC">
            <w:pPr>
              <w:widowControl/>
              <w:jc w:val="left"/>
              <w:rPr>
                <w:rFonts w:hint="eastAsia" w:ascii="等线" w:hAnsi="等线" w:eastAsia="等线" w:cs="宋体"/>
                <w:color w:val="000000"/>
                <w:kern w:val="0"/>
                <w:sz w:val="16"/>
                <w:szCs w:val="18"/>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1080A40F">
            <w:pPr>
              <w:widowControl/>
              <w:jc w:val="left"/>
              <w:rPr>
                <w:rFonts w:hint="eastAsia" w:ascii="等线" w:hAnsi="等线" w:eastAsia="等线" w:cs="宋体"/>
                <w:color w:val="000000"/>
                <w:kern w:val="0"/>
                <w:sz w:val="16"/>
                <w:szCs w:val="18"/>
                <w:lang w:val="en-US" w:eastAsia="zh-CN"/>
              </w:rPr>
            </w:pPr>
          </w:p>
        </w:tc>
      </w:tr>
      <w:tr w14:paraId="2B14D1A3">
        <w:tblPrEx>
          <w:tblCellMar>
            <w:top w:w="0" w:type="dxa"/>
            <w:left w:w="108" w:type="dxa"/>
            <w:bottom w:w="0" w:type="dxa"/>
            <w:right w:w="108" w:type="dxa"/>
          </w:tblCellMar>
        </w:tblPrEx>
        <w:trPr>
          <w:trHeight w:val="231" w:hRule="atLeast"/>
          <w:jc w:val="center"/>
        </w:trPr>
        <w:tc>
          <w:tcPr>
            <w:tcW w:w="632" w:type="dxa"/>
            <w:vMerge w:val="continue"/>
            <w:tcBorders>
              <w:left w:val="single" w:color="auto" w:sz="4" w:space="0"/>
              <w:right w:val="single" w:color="auto" w:sz="4" w:space="0"/>
            </w:tcBorders>
            <w:shd w:val="clear" w:color="auto" w:fill="auto"/>
            <w:noWrap/>
            <w:vAlign w:val="center"/>
          </w:tcPr>
          <w:p w14:paraId="22146816">
            <w:pPr>
              <w:widowControl/>
              <w:jc w:val="center"/>
              <w:rPr>
                <w:rFonts w:ascii="等线" w:hAnsi="等线" w:eastAsia="等线" w:cs="宋体"/>
                <w:color w:val="000000"/>
                <w:kern w:val="0"/>
                <w:sz w:val="16"/>
                <w:szCs w:val="18"/>
              </w:rPr>
            </w:pPr>
          </w:p>
        </w:tc>
        <w:tc>
          <w:tcPr>
            <w:tcW w:w="9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B62385">
            <w:pPr>
              <w:widowControl/>
              <w:jc w:val="center"/>
              <w:rPr>
                <w:rFonts w:hint="eastAsia" w:ascii="等线" w:hAnsi="等线" w:eastAsia="等线" w:cs="宋体"/>
                <w:color w:val="000000"/>
                <w:kern w:val="0"/>
                <w:sz w:val="16"/>
                <w:szCs w:val="18"/>
              </w:rPr>
            </w:pPr>
          </w:p>
        </w:tc>
        <w:tc>
          <w:tcPr>
            <w:tcW w:w="4948" w:type="dxa"/>
            <w:tcBorders>
              <w:top w:val="nil"/>
              <w:left w:val="nil"/>
              <w:bottom w:val="single" w:color="auto" w:sz="4" w:space="0"/>
              <w:right w:val="single" w:color="auto" w:sz="4" w:space="0"/>
            </w:tcBorders>
            <w:shd w:val="clear" w:color="auto" w:fill="auto"/>
            <w:vAlign w:val="center"/>
          </w:tcPr>
          <w:p w14:paraId="4DACAE67">
            <w:pPr>
              <w:widowControl/>
              <w:jc w:val="left"/>
              <w:rPr>
                <w:rFonts w:hint="eastAsia" w:ascii="等线" w:hAnsi="等线" w:eastAsia="等线" w:cs="宋体"/>
                <w:color w:val="000000"/>
                <w:kern w:val="0"/>
                <w:sz w:val="16"/>
                <w:szCs w:val="18"/>
                <w:lang w:val="en-US" w:eastAsia="zh-CN" w:bidi="ar-SA"/>
              </w:rPr>
            </w:pPr>
            <w:r>
              <w:rPr>
                <w:rFonts w:hint="eastAsia" w:ascii="等线" w:hAnsi="等线" w:eastAsia="等线" w:cs="宋体"/>
                <w:color w:val="000000"/>
                <w:kern w:val="0"/>
                <w:sz w:val="16"/>
                <w:szCs w:val="18"/>
                <w:lang w:val="en-US" w:eastAsia="zh-CN"/>
              </w:rPr>
              <w:t>三个展位均需有周边商品展示柜，展示柜需可封闭，便于参观，确保周边商品不丢失。</w:t>
            </w:r>
          </w:p>
        </w:tc>
        <w:tc>
          <w:tcPr>
            <w:tcW w:w="995" w:type="dxa"/>
            <w:tcBorders>
              <w:top w:val="nil"/>
              <w:left w:val="nil"/>
              <w:bottom w:val="single" w:color="auto" w:sz="4" w:space="0"/>
              <w:right w:val="single" w:color="auto" w:sz="4" w:space="0"/>
            </w:tcBorders>
            <w:shd w:val="clear" w:color="auto" w:fill="auto"/>
            <w:vAlign w:val="center"/>
          </w:tcPr>
          <w:p w14:paraId="3A4552DC">
            <w:pPr>
              <w:widowControl/>
              <w:jc w:val="left"/>
              <w:rPr>
                <w:rFonts w:hint="eastAsia" w:ascii="等线" w:hAnsi="等线" w:eastAsia="等线" w:cs="宋体"/>
                <w:color w:val="000000"/>
                <w:kern w:val="0"/>
                <w:sz w:val="16"/>
                <w:szCs w:val="18"/>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3118CF14">
            <w:pPr>
              <w:widowControl/>
              <w:jc w:val="left"/>
              <w:rPr>
                <w:rFonts w:hint="eastAsia" w:ascii="等线" w:hAnsi="等线" w:eastAsia="等线" w:cs="宋体"/>
                <w:color w:val="000000"/>
                <w:kern w:val="0"/>
                <w:sz w:val="16"/>
                <w:szCs w:val="18"/>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32874511">
            <w:pPr>
              <w:widowControl/>
              <w:jc w:val="left"/>
              <w:rPr>
                <w:rFonts w:hint="eastAsia" w:ascii="等线" w:hAnsi="等线" w:eastAsia="等线" w:cs="宋体"/>
                <w:color w:val="000000"/>
                <w:kern w:val="0"/>
                <w:sz w:val="16"/>
                <w:szCs w:val="18"/>
                <w:lang w:val="en-US" w:eastAsia="zh-CN"/>
              </w:rPr>
            </w:pPr>
          </w:p>
        </w:tc>
      </w:tr>
      <w:tr w14:paraId="7B31AAEE">
        <w:tblPrEx>
          <w:tblCellMar>
            <w:top w:w="0" w:type="dxa"/>
            <w:left w:w="108" w:type="dxa"/>
            <w:bottom w:w="0" w:type="dxa"/>
            <w:right w:w="108" w:type="dxa"/>
          </w:tblCellMar>
        </w:tblPrEx>
        <w:trPr>
          <w:trHeight w:val="231" w:hRule="atLeast"/>
          <w:jc w:val="center"/>
        </w:trPr>
        <w:tc>
          <w:tcPr>
            <w:tcW w:w="632" w:type="dxa"/>
            <w:vMerge w:val="continue"/>
            <w:tcBorders>
              <w:left w:val="single" w:color="auto" w:sz="4" w:space="0"/>
              <w:right w:val="single" w:color="auto" w:sz="4" w:space="0"/>
            </w:tcBorders>
            <w:shd w:val="clear" w:color="auto" w:fill="auto"/>
            <w:noWrap/>
            <w:vAlign w:val="center"/>
          </w:tcPr>
          <w:p w14:paraId="65605EA6">
            <w:pPr>
              <w:widowControl/>
              <w:jc w:val="center"/>
              <w:rPr>
                <w:rFonts w:ascii="等线" w:hAnsi="等线" w:eastAsia="等线" w:cs="宋体"/>
                <w:color w:val="000000"/>
                <w:kern w:val="0"/>
                <w:sz w:val="16"/>
                <w:szCs w:val="18"/>
              </w:rPr>
            </w:pPr>
          </w:p>
        </w:tc>
        <w:tc>
          <w:tcPr>
            <w:tcW w:w="9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2FB363">
            <w:pPr>
              <w:widowControl/>
              <w:jc w:val="center"/>
              <w:rPr>
                <w:rFonts w:hint="eastAsia" w:ascii="等线" w:hAnsi="等线" w:eastAsia="等线" w:cs="宋体"/>
                <w:color w:val="000000"/>
                <w:kern w:val="0"/>
                <w:sz w:val="16"/>
                <w:szCs w:val="18"/>
              </w:rPr>
            </w:pPr>
          </w:p>
        </w:tc>
        <w:tc>
          <w:tcPr>
            <w:tcW w:w="4948" w:type="dxa"/>
            <w:tcBorders>
              <w:top w:val="nil"/>
              <w:left w:val="nil"/>
              <w:bottom w:val="single" w:color="auto" w:sz="4" w:space="0"/>
              <w:right w:val="single" w:color="auto" w:sz="4" w:space="0"/>
            </w:tcBorders>
            <w:shd w:val="clear" w:color="auto" w:fill="auto"/>
            <w:vAlign w:val="center"/>
          </w:tcPr>
          <w:p w14:paraId="7AE8B849">
            <w:pPr>
              <w:widowControl/>
              <w:jc w:val="left"/>
              <w:rPr>
                <w:rFonts w:ascii="等线" w:hAnsi="等线" w:eastAsia="等线"/>
                <w:color w:val="000000"/>
                <w:sz w:val="15"/>
                <w:szCs w:val="16"/>
              </w:rPr>
            </w:pPr>
            <w:r>
              <w:rPr>
                <w:rFonts w:hint="eastAsia" w:ascii="等线" w:hAnsi="等线" w:eastAsia="等线"/>
                <w:color w:val="000000"/>
                <w:sz w:val="15"/>
                <w:szCs w:val="16"/>
                <w:lang w:val="en-US" w:eastAsia="zh-CN"/>
              </w:rPr>
              <w:t>新能源展位、配件展位需</w:t>
            </w:r>
            <w:r>
              <w:rPr>
                <w:rFonts w:hint="eastAsia" w:ascii="等线" w:hAnsi="等线" w:eastAsia="等线"/>
                <w:color w:val="000000"/>
                <w:sz w:val="15"/>
                <w:szCs w:val="16"/>
              </w:rPr>
              <w:t>有</w:t>
            </w:r>
            <w:r>
              <w:rPr>
                <w:rFonts w:hint="eastAsia" w:ascii="等线" w:hAnsi="等线" w:eastAsia="等线"/>
                <w:color w:val="000000"/>
                <w:sz w:val="15"/>
                <w:szCs w:val="16"/>
                <w:lang w:val="en-US" w:eastAsia="zh-CN"/>
              </w:rPr>
              <w:t>LED大屏，</w:t>
            </w:r>
            <w:r>
              <w:rPr>
                <w:rFonts w:hint="eastAsia" w:ascii="等线" w:hAnsi="等线" w:eastAsia="等线"/>
                <w:color w:val="000000"/>
                <w:sz w:val="15"/>
                <w:szCs w:val="16"/>
              </w:rPr>
              <w:t>播放</w:t>
            </w:r>
            <w:r>
              <w:rPr>
                <w:rFonts w:hint="eastAsia" w:ascii="等线" w:hAnsi="等线" w:eastAsia="等线"/>
                <w:color w:val="000000"/>
                <w:sz w:val="15"/>
                <w:szCs w:val="16"/>
                <w:lang w:val="en-US" w:eastAsia="zh-CN"/>
              </w:rPr>
              <w:t>宣传片</w:t>
            </w:r>
            <w:r>
              <w:rPr>
                <w:rFonts w:hint="eastAsia" w:ascii="等线" w:hAnsi="等线" w:eastAsia="等线"/>
                <w:color w:val="000000"/>
                <w:sz w:val="15"/>
                <w:szCs w:val="16"/>
              </w:rPr>
              <w:t>。</w:t>
            </w:r>
          </w:p>
        </w:tc>
        <w:tc>
          <w:tcPr>
            <w:tcW w:w="995" w:type="dxa"/>
            <w:tcBorders>
              <w:top w:val="nil"/>
              <w:left w:val="nil"/>
              <w:bottom w:val="single" w:color="auto" w:sz="4" w:space="0"/>
              <w:right w:val="single" w:color="auto" w:sz="4" w:space="0"/>
            </w:tcBorders>
            <w:shd w:val="clear" w:color="auto" w:fill="auto"/>
            <w:vAlign w:val="center"/>
          </w:tcPr>
          <w:p w14:paraId="5D235672">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4E2F4B66">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2CDCF28C">
            <w:pPr>
              <w:widowControl/>
              <w:jc w:val="left"/>
              <w:rPr>
                <w:rFonts w:hint="eastAsia" w:ascii="等线" w:hAnsi="等线" w:eastAsia="等线"/>
                <w:color w:val="000000"/>
                <w:sz w:val="15"/>
                <w:szCs w:val="16"/>
                <w:lang w:val="en-US" w:eastAsia="zh-CN"/>
              </w:rPr>
            </w:pPr>
          </w:p>
        </w:tc>
      </w:tr>
      <w:tr w14:paraId="2220D62D">
        <w:tblPrEx>
          <w:tblCellMar>
            <w:top w:w="0" w:type="dxa"/>
            <w:left w:w="108" w:type="dxa"/>
            <w:bottom w:w="0" w:type="dxa"/>
            <w:right w:w="108" w:type="dxa"/>
          </w:tblCellMar>
        </w:tblPrEx>
        <w:trPr>
          <w:trHeight w:val="454" w:hRule="atLeast"/>
          <w:jc w:val="center"/>
        </w:trPr>
        <w:tc>
          <w:tcPr>
            <w:tcW w:w="632" w:type="dxa"/>
            <w:vMerge w:val="continue"/>
            <w:tcBorders>
              <w:left w:val="single" w:color="auto" w:sz="4" w:space="0"/>
              <w:right w:val="single" w:color="auto" w:sz="4" w:space="0"/>
            </w:tcBorders>
            <w:shd w:val="clear" w:color="auto" w:fill="auto"/>
            <w:noWrap/>
            <w:vAlign w:val="center"/>
          </w:tcPr>
          <w:p w14:paraId="76F0533C">
            <w:pPr>
              <w:widowControl/>
              <w:jc w:val="center"/>
              <w:rPr>
                <w:rFonts w:ascii="等线" w:hAnsi="等线" w:eastAsia="等线" w:cs="宋体"/>
                <w:color w:val="000000"/>
                <w:kern w:val="0"/>
                <w:sz w:val="16"/>
                <w:szCs w:val="18"/>
              </w:rPr>
            </w:pPr>
          </w:p>
        </w:tc>
        <w:tc>
          <w:tcPr>
            <w:tcW w:w="9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D42754">
            <w:pPr>
              <w:widowControl/>
              <w:jc w:val="center"/>
              <w:rPr>
                <w:rFonts w:hint="eastAsia" w:ascii="等线" w:hAnsi="等线" w:eastAsia="等线" w:cs="宋体"/>
                <w:color w:val="000000"/>
                <w:kern w:val="0"/>
                <w:sz w:val="16"/>
                <w:szCs w:val="18"/>
              </w:rPr>
            </w:pPr>
          </w:p>
        </w:tc>
        <w:tc>
          <w:tcPr>
            <w:tcW w:w="4948" w:type="dxa"/>
            <w:tcBorders>
              <w:top w:val="nil"/>
              <w:left w:val="nil"/>
              <w:bottom w:val="single" w:color="auto" w:sz="4" w:space="0"/>
              <w:right w:val="single" w:color="auto" w:sz="4" w:space="0"/>
            </w:tcBorders>
            <w:shd w:val="clear" w:color="auto" w:fill="auto"/>
            <w:vAlign w:val="center"/>
          </w:tcPr>
          <w:p w14:paraId="46B16C25">
            <w:pPr>
              <w:widowControl/>
              <w:jc w:val="left"/>
              <w:rPr>
                <w:rFonts w:hint="default" w:ascii="等线" w:hAnsi="等线" w:eastAsia="等线"/>
                <w:color w:val="000000"/>
                <w:sz w:val="15"/>
                <w:szCs w:val="16"/>
                <w:lang w:val="en-US" w:eastAsia="zh-CN"/>
              </w:rPr>
            </w:pPr>
            <w:r>
              <w:rPr>
                <w:rFonts w:hint="eastAsia" w:ascii="等线" w:hAnsi="等线" w:eastAsia="等线"/>
                <w:color w:val="000000"/>
                <w:sz w:val="15"/>
                <w:szCs w:val="16"/>
                <w:lang w:val="en-US" w:eastAsia="zh-CN"/>
              </w:rPr>
              <w:t>新能源展位、配件展位需</w:t>
            </w:r>
            <w:r>
              <w:rPr>
                <w:rFonts w:hint="eastAsia" w:ascii="等线" w:hAnsi="等线" w:eastAsia="等线"/>
                <w:color w:val="000000"/>
                <w:sz w:val="15"/>
                <w:szCs w:val="16"/>
              </w:rPr>
              <w:t>有</w:t>
            </w:r>
            <w:r>
              <w:rPr>
                <w:rFonts w:hint="eastAsia" w:ascii="等线" w:hAnsi="等线" w:eastAsia="等线" w:cs="宋体"/>
                <w:color w:val="000000"/>
                <w:kern w:val="0"/>
                <w:sz w:val="16"/>
                <w:szCs w:val="18"/>
              </w:rPr>
              <w:t>LED环保灯、灯带等，保证展位灯光照明的同时增加灯光氛围</w:t>
            </w:r>
            <w:r>
              <w:rPr>
                <w:rFonts w:hint="eastAsia" w:ascii="等线" w:hAnsi="等线" w:eastAsia="等线" w:cs="宋体"/>
                <w:color w:val="000000"/>
                <w:kern w:val="0"/>
                <w:sz w:val="16"/>
                <w:szCs w:val="18"/>
                <w:lang w:eastAsia="zh-CN"/>
              </w:rPr>
              <w:t>；</w:t>
            </w:r>
            <w:r>
              <w:rPr>
                <w:rFonts w:hint="eastAsia" w:ascii="等线" w:hAnsi="等线" w:eastAsia="等线" w:cs="宋体"/>
                <w:color w:val="000000"/>
                <w:kern w:val="0"/>
                <w:sz w:val="16"/>
                <w:szCs w:val="18"/>
                <w:lang w:val="en-US" w:eastAsia="zh-CN"/>
              </w:rPr>
              <w:t>室外展位需有顶棚，考虑遮阳、遮雨，同时要确保展位光线充足。</w:t>
            </w:r>
          </w:p>
        </w:tc>
        <w:tc>
          <w:tcPr>
            <w:tcW w:w="995" w:type="dxa"/>
            <w:tcBorders>
              <w:top w:val="nil"/>
              <w:left w:val="nil"/>
              <w:bottom w:val="single" w:color="auto" w:sz="4" w:space="0"/>
              <w:right w:val="single" w:color="auto" w:sz="4" w:space="0"/>
            </w:tcBorders>
            <w:shd w:val="clear" w:color="auto" w:fill="auto"/>
            <w:vAlign w:val="center"/>
          </w:tcPr>
          <w:p w14:paraId="2847D4AA">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1692A681">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226748DE">
            <w:pPr>
              <w:widowControl/>
              <w:jc w:val="left"/>
              <w:rPr>
                <w:rFonts w:hint="eastAsia" w:ascii="等线" w:hAnsi="等线" w:eastAsia="等线"/>
                <w:color w:val="000000"/>
                <w:sz w:val="15"/>
                <w:szCs w:val="16"/>
                <w:lang w:val="en-US" w:eastAsia="zh-CN"/>
              </w:rPr>
            </w:pPr>
          </w:p>
        </w:tc>
      </w:tr>
      <w:tr w14:paraId="50E97F06">
        <w:tblPrEx>
          <w:tblCellMar>
            <w:top w:w="0" w:type="dxa"/>
            <w:left w:w="108" w:type="dxa"/>
            <w:bottom w:w="0" w:type="dxa"/>
            <w:right w:w="108" w:type="dxa"/>
          </w:tblCellMar>
        </w:tblPrEx>
        <w:trPr>
          <w:trHeight w:val="231" w:hRule="atLeast"/>
          <w:jc w:val="center"/>
        </w:trPr>
        <w:tc>
          <w:tcPr>
            <w:tcW w:w="632" w:type="dxa"/>
            <w:vMerge w:val="continue"/>
            <w:tcBorders>
              <w:left w:val="single" w:color="auto" w:sz="4" w:space="0"/>
              <w:right w:val="single" w:color="auto" w:sz="4" w:space="0"/>
            </w:tcBorders>
            <w:shd w:val="clear" w:color="auto" w:fill="auto"/>
            <w:noWrap/>
            <w:vAlign w:val="center"/>
          </w:tcPr>
          <w:p w14:paraId="28407791">
            <w:pPr>
              <w:widowControl/>
              <w:jc w:val="center"/>
              <w:rPr>
                <w:rFonts w:ascii="等线" w:hAnsi="等线" w:eastAsia="等线" w:cs="宋体"/>
                <w:color w:val="000000"/>
                <w:kern w:val="0"/>
                <w:sz w:val="16"/>
                <w:szCs w:val="18"/>
              </w:rPr>
            </w:pPr>
          </w:p>
        </w:tc>
        <w:tc>
          <w:tcPr>
            <w:tcW w:w="9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C5DAD2">
            <w:pPr>
              <w:widowControl/>
              <w:jc w:val="center"/>
              <w:rPr>
                <w:rFonts w:hint="eastAsia" w:ascii="等线" w:hAnsi="等线" w:eastAsia="等线" w:cs="宋体"/>
                <w:color w:val="000000"/>
                <w:kern w:val="0"/>
                <w:sz w:val="16"/>
                <w:szCs w:val="18"/>
              </w:rPr>
            </w:pPr>
          </w:p>
        </w:tc>
        <w:tc>
          <w:tcPr>
            <w:tcW w:w="4948" w:type="dxa"/>
            <w:tcBorders>
              <w:top w:val="nil"/>
              <w:left w:val="nil"/>
              <w:bottom w:val="single" w:color="auto" w:sz="4" w:space="0"/>
              <w:right w:val="single" w:color="auto" w:sz="4" w:space="0"/>
            </w:tcBorders>
            <w:shd w:val="clear" w:color="auto" w:fill="auto"/>
            <w:vAlign w:val="center"/>
          </w:tcPr>
          <w:p w14:paraId="07158EFC">
            <w:pPr>
              <w:widowControl/>
              <w:jc w:val="left"/>
              <w:rPr>
                <w:rFonts w:hint="default" w:ascii="等线" w:hAnsi="等线" w:eastAsia="等线"/>
                <w:color w:val="000000"/>
                <w:sz w:val="15"/>
                <w:szCs w:val="16"/>
                <w:lang w:val="en-US" w:eastAsia="zh-CN"/>
              </w:rPr>
            </w:pPr>
            <w:r>
              <w:rPr>
                <w:rFonts w:hint="eastAsia" w:ascii="等线" w:hAnsi="等线" w:eastAsia="等线"/>
                <w:color w:val="000000"/>
                <w:sz w:val="15"/>
                <w:szCs w:val="16"/>
                <w:lang w:val="en-US" w:eastAsia="zh-CN"/>
              </w:rPr>
              <w:t>配件展区需有展示大总成的台面，台面高度符合工作人员站立操作；同时需有满足摆放零部件的展示柜。</w:t>
            </w:r>
          </w:p>
        </w:tc>
        <w:tc>
          <w:tcPr>
            <w:tcW w:w="995" w:type="dxa"/>
            <w:tcBorders>
              <w:top w:val="nil"/>
              <w:left w:val="nil"/>
              <w:bottom w:val="single" w:color="auto" w:sz="4" w:space="0"/>
              <w:right w:val="single" w:color="auto" w:sz="4" w:space="0"/>
            </w:tcBorders>
            <w:shd w:val="clear" w:color="auto" w:fill="auto"/>
            <w:vAlign w:val="center"/>
          </w:tcPr>
          <w:p w14:paraId="116025BB">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2A38C861">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35B52E66">
            <w:pPr>
              <w:widowControl/>
              <w:jc w:val="left"/>
              <w:rPr>
                <w:rFonts w:hint="eastAsia" w:ascii="等线" w:hAnsi="等线" w:eastAsia="等线"/>
                <w:color w:val="000000"/>
                <w:sz w:val="15"/>
                <w:szCs w:val="16"/>
                <w:lang w:val="en-US" w:eastAsia="zh-CN"/>
              </w:rPr>
            </w:pPr>
          </w:p>
        </w:tc>
      </w:tr>
      <w:tr w14:paraId="03A88920">
        <w:tblPrEx>
          <w:tblCellMar>
            <w:top w:w="0" w:type="dxa"/>
            <w:left w:w="108" w:type="dxa"/>
            <w:bottom w:w="0" w:type="dxa"/>
            <w:right w:w="108" w:type="dxa"/>
          </w:tblCellMar>
        </w:tblPrEx>
        <w:trPr>
          <w:trHeight w:val="231" w:hRule="atLeast"/>
          <w:jc w:val="center"/>
        </w:trPr>
        <w:tc>
          <w:tcPr>
            <w:tcW w:w="632" w:type="dxa"/>
            <w:vMerge w:val="continue"/>
            <w:tcBorders>
              <w:left w:val="single" w:color="auto" w:sz="4" w:space="0"/>
              <w:right w:val="single" w:color="auto" w:sz="4" w:space="0"/>
            </w:tcBorders>
            <w:shd w:val="clear" w:color="auto" w:fill="auto"/>
            <w:noWrap/>
            <w:vAlign w:val="center"/>
          </w:tcPr>
          <w:p w14:paraId="76EC6AAE">
            <w:pPr>
              <w:widowControl/>
              <w:jc w:val="center"/>
              <w:rPr>
                <w:rFonts w:ascii="等线" w:hAnsi="等线" w:eastAsia="等线" w:cs="宋体"/>
                <w:color w:val="000000"/>
                <w:kern w:val="0"/>
                <w:sz w:val="16"/>
                <w:szCs w:val="18"/>
              </w:rPr>
            </w:pPr>
          </w:p>
        </w:tc>
        <w:tc>
          <w:tcPr>
            <w:tcW w:w="9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DE606C">
            <w:pPr>
              <w:widowControl/>
              <w:jc w:val="center"/>
              <w:rPr>
                <w:rFonts w:hint="eastAsia" w:ascii="等线" w:hAnsi="等线" w:eastAsia="等线" w:cs="宋体"/>
                <w:color w:val="000000"/>
                <w:kern w:val="0"/>
                <w:sz w:val="16"/>
                <w:szCs w:val="18"/>
              </w:rPr>
            </w:pPr>
          </w:p>
        </w:tc>
        <w:tc>
          <w:tcPr>
            <w:tcW w:w="4948" w:type="dxa"/>
            <w:tcBorders>
              <w:top w:val="nil"/>
              <w:left w:val="nil"/>
              <w:bottom w:val="single" w:color="auto" w:sz="4" w:space="0"/>
              <w:right w:val="single" w:color="auto" w:sz="4" w:space="0"/>
            </w:tcBorders>
            <w:shd w:val="clear" w:color="auto" w:fill="auto"/>
            <w:vAlign w:val="center"/>
          </w:tcPr>
          <w:p w14:paraId="638AB864">
            <w:pPr>
              <w:widowControl/>
              <w:jc w:val="left"/>
              <w:rPr>
                <w:rFonts w:hint="eastAsia" w:ascii="等线" w:hAnsi="等线" w:eastAsia="等线"/>
                <w:color w:val="000000"/>
                <w:sz w:val="15"/>
                <w:szCs w:val="16"/>
                <w:lang w:val="en-US" w:eastAsia="zh-CN"/>
              </w:rPr>
            </w:pPr>
            <w:r>
              <w:rPr>
                <w:rFonts w:hint="eastAsia" w:ascii="等线" w:hAnsi="等线" w:eastAsia="等线" w:cs="宋体"/>
                <w:color w:val="000000"/>
                <w:kern w:val="0"/>
                <w:sz w:val="16"/>
                <w:szCs w:val="18"/>
                <w:lang w:val="en-US" w:eastAsia="zh-CN"/>
              </w:rPr>
              <w:t>提供桌椅等洽谈所用物品，三个</w:t>
            </w:r>
            <w:r>
              <w:rPr>
                <w:rFonts w:hint="eastAsia" w:ascii="等线" w:hAnsi="等线" w:eastAsia="等线" w:cs="宋体"/>
                <w:color w:val="000000"/>
                <w:kern w:val="0"/>
                <w:sz w:val="16"/>
                <w:szCs w:val="18"/>
              </w:rPr>
              <w:t>展区</w:t>
            </w:r>
            <w:r>
              <w:rPr>
                <w:rFonts w:hint="eastAsia" w:ascii="等线" w:hAnsi="等线" w:eastAsia="等线" w:cs="宋体"/>
                <w:color w:val="000000"/>
                <w:kern w:val="0"/>
                <w:sz w:val="16"/>
                <w:szCs w:val="18"/>
                <w:lang w:val="en-US" w:eastAsia="zh-CN"/>
              </w:rPr>
              <w:t>各4</w:t>
            </w:r>
            <w:r>
              <w:rPr>
                <w:rFonts w:hint="eastAsia" w:ascii="等线" w:hAnsi="等线" w:eastAsia="等线" w:cs="宋体"/>
                <w:color w:val="000000"/>
                <w:kern w:val="0"/>
                <w:sz w:val="16"/>
                <w:szCs w:val="18"/>
              </w:rPr>
              <w:t>套</w:t>
            </w:r>
            <w:r>
              <w:rPr>
                <w:rFonts w:hint="eastAsia" w:ascii="等线" w:hAnsi="等线" w:eastAsia="等线" w:cs="宋体"/>
                <w:color w:val="000000"/>
                <w:kern w:val="0"/>
                <w:sz w:val="16"/>
                <w:szCs w:val="18"/>
                <w:lang w:eastAsia="zh-CN"/>
              </w:rPr>
              <w:t>。</w:t>
            </w:r>
          </w:p>
        </w:tc>
        <w:tc>
          <w:tcPr>
            <w:tcW w:w="995" w:type="dxa"/>
            <w:tcBorders>
              <w:top w:val="nil"/>
              <w:left w:val="nil"/>
              <w:bottom w:val="single" w:color="auto" w:sz="4" w:space="0"/>
              <w:right w:val="single" w:color="auto" w:sz="4" w:space="0"/>
            </w:tcBorders>
            <w:shd w:val="clear" w:color="auto" w:fill="auto"/>
            <w:vAlign w:val="center"/>
          </w:tcPr>
          <w:p w14:paraId="3FC1D468">
            <w:pPr>
              <w:widowControl/>
              <w:jc w:val="left"/>
              <w:rPr>
                <w:rFonts w:hint="eastAsia" w:ascii="等线" w:hAnsi="等线" w:eastAsia="等线" w:cs="宋体"/>
                <w:color w:val="000000"/>
                <w:kern w:val="0"/>
                <w:sz w:val="16"/>
                <w:szCs w:val="18"/>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3BD3090C">
            <w:pPr>
              <w:widowControl/>
              <w:jc w:val="left"/>
              <w:rPr>
                <w:rFonts w:hint="eastAsia" w:ascii="等线" w:hAnsi="等线" w:eastAsia="等线" w:cs="宋体"/>
                <w:color w:val="000000"/>
                <w:kern w:val="0"/>
                <w:sz w:val="16"/>
                <w:szCs w:val="18"/>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17FD8618">
            <w:pPr>
              <w:widowControl/>
              <w:jc w:val="left"/>
              <w:rPr>
                <w:rFonts w:hint="eastAsia" w:ascii="等线" w:hAnsi="等线" w:eastAsia="等线" w:cs="宋体"/>
                <w:color w:val="000000"/>
                <w:kern w:val="0"/>
                <w:sz w:val="16"/>
                <w:szCs w:val="18"/>
                <w:lang w:val="en-US" w:eastAsia="zh-CN"/>
              </w:rPr>
            </w:pPr>
          </w:p>
        </w:tc>
      </w:tr>
      <w:tr w14:paraId="5EBA6BE2">
        <w:tblPrEx>
          <w:tblCellMar>
            <w:top w:w="0" w:type="dxa"/>
            <w:left w:w="108" w:type="dxa"/>
            <w:bottom w:w="0" w:type="dxa"/>
            <w:right w:w="108" w:type="dxa"/>
          </w:tblCellMar>
        </w:tblPrEx>
        <w:trPr>
          <w:trHeight w:val="454" w:hRule="atLeast"/>
          <w:jc w:val="center"/>
        </w:trPr>
        <w:tc>
          <w:tcPr>
            <w:tcW w:w="632" w:type="dxa"/>
            <w:vMerge w:val="continue"/>
            <w:tcBorders>
              <w:left w:val="single" w:color="auto" w:sz="4" w:space="0"/>
              <w:right w:val="single" w:color="auto" w:sz="4" w:space="0"/>
            </w:tcBorders>
            <w:shd w:val="clear" w:color="auto" w:fill="auto"/>
            <w:noWrap/>
            <w:vAlign w:val="center"/>
          </w:tcPr>
          <w:p w14:paraId="63DBFB15">
            <w:pPr>
              <w:widowControl/>
              <w:jc w:val="center"/>
              <w:rPr>
                <w:rFonts w:ascii="等线" w:hAnsi="等线" w:eastAsia="等线" w:cs="宋体"/>
                <w:color w:val="000000"/>
                <w:kern w:val="0"/>
                <w:sz w:val="16"/>
                <w:szCs w:val="18"/>
              </w:rPr>
            </w:pPr>
          </w:p>
        </w:tc>
        <w:tc>
          <w:tcPr>
            <w:tcW w:w="9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EC8E66">
            <w:pPr>
              <w:widowControl/>
              <w:jc w:val="center"/>
              <w:rPr>
                <w:rFonts w:hint="eastAsia" w:ascii="等线" w:hAnsi="等线" w:eastAsia="等线" w:cs="宋体"/>
                <w:color w:val="000000"/>
                <w:kern w:val="0"/>
                <w:sz w:val="16"/>
                <w:szCs w:val="18"/>
              </w:rPr>
            </w:pPr>
          </w:p>
        </w:tc>
        <w:tc>
          <w:tcPr>
            <w:tcW w:w="4948" w:type="dxa"/>
            <w:tcBorders>
              <w:top w:val="nil"/>
              <w:left w:val="nil"/>
              <w:bottom w:val="single" w:color="auto" w:sz="4" w:space="0"/>
              <w:right w:val="single" w:color="auto" w:sz="4" w:space="0"/>
            </w:tcBorders>
            <w:shd w:val="clear" w:color="auto" w:fill="auto"/>
            <w:vAlign w:val="center"/>
          </w:tcPr>
          <w:p w14:paraId="2C0663B7">
            <w:pPr>
              <w:widowControl/>
              <w:jc w:val="left"/>
              <w:rPr>
                <w:rFonts w:hint="eastAsia" w:ascii="等线" w:hAnsi="等线" w:eastAsia="等线"/>
                <w:color w:val="000000"/>
                <w:sz w:val="15"/>
                <w:szCs w:val="16"/>
                <w:lang w:eastAsia="zh-CN"/>
              </w:rPr>
            </w:pPr>
            <w:r>
              <w:rPr>
                <w:rFonts w:hint="eastAsia" w:ascii="等线" w:hAnsi="等线" w:eastAsia="等线" w:cs="宋体"/>
                <w:color w:val="000000"/>
                <w:kern w:val="0"/>
                <w:sz w:val="16"/>
                <w:szCs w:val="18"/>
                <w:lang w:val="en-US" w:eastAsia="zh-CN"/>
              </w:rPr>
              <w:t>每个展位需其他展会使用的</w:t>
            </w:r>
            <w:r>
              <w:rPr>
                <w:rFonts w:hint="eastAsia" w:ascii="等线" w:hAnsi="等线" w:eastAsia="等线" w:cs="宋体"/>
                <w:color w:val="000000"/>
                <w:kern w:val="0"/>
                <w:sz w:val="16"/>
                <w:szCs w:val="18"/>
              </w:rPr>
              <w:t>冰箱、饮水机、热水壶等电器</w:t>
            </w:r>
            <w:r>
              <w:rPr>
                <w:rFonts w:hint="eastAsia" w:ascii="等线" w:hAnsi="等线" w:eastAsia="等线" w:cs="宋体"/>
                <w:color w:val="000000"/>
                <w:kern w:val="0"/>
                <w:sz w:val="16"/>
                <w:szCs w:val="18"/>
                <w:lang w:eastAsia="zh-CN"/>
              </w:rPr>
              <w:t>；</w:t>
            </w:r>
            <w:r>
              <w:rPr>
                <w:rFonts w:hint="eastAsia" w:ascii="等线" w:hAnsi="等线" w:eastAsia="等线" w:cs="宋体"/>
                <w:color w:val="000000"/>
                <w:kern w:val="0"/>
                <w:sz w:val="16"/>
                <w:szCs w:val="18"/>
              </w:rPr>
              <w:t>绿植等必要的装饰物</w:t>
            </w:r>
            <w:r>
              <w:rPr>
                <w:rFonts w:hint="eastAsia" w:ascii="等线" w:hAnsi="等线" w:eastAsia="等线" w:cs="宋体"/>
                <w:color w:val="000000"/>
                <w:kern w:val="0"/>
                <w:sz w:val="16"/>
                <w:szCs w:val="18"/>
                <w:lang w:eastAsia="zh-CN"/>
              </w:rPr>
              <w:t>；</w:t>
            </w:r>
            <w:r>
              <w:rPr>
                <w:rFonts w:hint="eastAsia" w:ascii="等线" w:hAnsi="等线" w:eastAsia="等线" w:cs="宋体"/>
                <w:color w:val="000000"/>
                <w:kern w:val="0"/>
                <w:sz w:val="16"/>
                <w:szCs w:val="18"/>
              </w:rPr>
              <w:t>供来访客户使用的小食、咖啡、冷饮等。</w:t>
            </w:r>
          </w:p>
        </w:tc>
        <w:tc>
          <w:tcPr>
            <w:tcW w:w="995" w:type="dxa"/>
            <w:tcBorders>
              <w:top w:val="nil"/>
              <w:left w:val="nil"/>
              <w:bottom w:val="single" w:color="auto" w:sz="4" w:space="0"/>
              <w:right w:val="single" w:color="auto" w:sz="4" w:space="0"/>
            </w:tcBorders>
            <w:shd w:val="clear" w:color="auto" w:fill="auto"/>
            <w:vAlign w:val="center"/>
          </w:tcPr>
          <w:p w14:paraId="06168BD9">
            <w:pPr>
              <w:widowControl/>
              <w:jc w:val="left"/>
              <w:rPr>
                <w:rFonts w:hint="eastAsia" w:ascii="等线" w:hAnsi="等线" w:eastAsia="等线" w:cs="宋体"/>
                <w:color w:val="000000"/>
                <w:kern w:val="0"/>
                <w:sz w:val="16"/>
                <w:szCs w:val="18"/>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39C1B902">
            <w:pPr>
              <w:widowControl/>
              <w:jc w:val="left"/>
              <w:rPr>
                <w:rFonts w:hint="eastAsia" w:ascii="等线" w:hAnsi="等线" w:eastAsia="等线" w:cs="宋体"/>
                <w:color w:val="000000"/>
                <w:kern w:val="0"/>
                <w:sz w:val="16"/>
                <w:szCs w:val="18"/>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047B9A50">
            <w:pPr>
              <w:widowControl/>
              <w:jc w:val="left"/>
              <w:rPr>
                <w:rFonts w:hint="eastAsia" w:ascii="等线" w:hAnsi="等线" w:eastAsia="等线" w:cs="宋体"/>
                <w:color w:val="000000"/>
                <w:kern w:val="0"/>
                <w:sz w:val="16"/>
                <w:szCs w:val="18"/>
                <w:lang w:val="en-US" w:eastAsia="zh-CN"/>
              </w:rPr>
            </w:pPr>
          </w:p>
        </w:tc>
      </w:tr>
      <w:tr w14:paraId="00FE5810">
        <w:tblPrEx>
          <w:tblCellMar>
            <w:top w:w="0" w:type="dxa"/>
            <w:left w:w="108" w:type="dxa"/>
            <w:bottom w:w="0" w:type="dxa"/>
            <w:right w:w="108" w:type="dxa"/>
          </w:tblCellMar>
        </w:tblPrEx>
        <w:trPr>
          <w:trHeight w:val="231" w:hRule="atLeast"/>
          <w:jc w:val="center"/>
        </w:trPr>
        <w:tc>
          <w:tcPr>
            <w:tcW w:w="632" w:type="dxa"/>
            <w:vMerge w:val="continue"/>
            <w:tcBorders>
              <w:left w:val="single" w:color="auto" w:sz="4" w:space="0"/>
              <w:bottom w:val="single" w:color="auto" w:sz="4" w:space="0"/>
              <w:right w:val="single" w:color="auto" w:sz="4" w:space="0"/>
            </w:tcBorders>
            <w:shd w:val="clear" w:color="auto" w:fill="auto"/>
            <w:noWrap/>
            <w:vAlign w:val="center"/>
          </w:tcPr>
          <w:p w14:paraId="20D9324B">
            <w:pPr>
              <w:widowControl/>
              <w:jc w:val="center"/>
              <w:rPr>
                <w:rFonts w:ascii="等线" w:hAnsi="等线" w:eastAsia="等线" w:cs="宋体"/>
                <w:color w:val="000000"/>
                <w:kern w:val="0"/>
                <w:sz w:val="16"/>
                <w:szCs w:val="18"/>
              </w:rPr>
            </w:pPr>
          </w:p>
        </w:tc>
        <w:tc>
          <w:tcPr>
            <w:tcW w:w="9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5CCD96">
            <w:pPr>
              <w:widowControl/>
              <w:jc w:val="center"/>
              <w:rPr>
                <w:rFonts w:hint="eastAsia" w:ascii="等线" w:hAnsi="等线" w:eastAsia="等线" w:cs="宋体"/>
                <w:color w:val="000000"/>
                <w:kern w:val="0"/>
                <w:sz w:val="16"/>
                <w:szCs w:val="18"/>
              </w:rPr>
            </w:pPr>
          </w:p>
        </w:tc>
        <w:tc>
          <w:tcPr>
            <w:tcW w:w="4948" w:type="dxa"/>
            <w:tcBorders>
              <w:top w:val="nil"/>
              <w:left w:val="nil"/>
              <w:bottom w:val="single" w:color="auto" w:sz="4" w:space="0"/>
              <w:right w:val="single" w:color="auto" w:sz="4" w:space="0"/>
            </w:tcBorders>
            <w:shd w:val="clear" w:color="auto" w:fill="auto"/>
            <w:vAlign w:val="center"/>
          </w:tcPr>
          <w:p w14:paraId="70DF2877">
            <w:pPr>
              <w:widowControl/>
              <w:jc w:val="left"/>
              <w:rPr>
                <w:rFonts w:hint="default" w:ascii="等线" w:hAnsi="等线" w:eastAsia="等线"/>
                <w:color w:val="000000"/>
                <w:sz w:val="15"/>
                <w:szCs w:val="16"/>
                <w:lang w:val="en-US" w:eastAsia="zh-CN"/>
              </w:rPr>
            </w:pPr>
            <w:r>
              <w:rPr>
                <w:rFonts w:hint="eastAsia" w:ascii="等线" w:hAnsi="等线" w:eastAsia="等线"/>
                <w:color w:val="000000"/>
                <w:sz w:val="15"/>
                <w:szCs w:val="16"/>
                <w:lang w:val="en-US" w:eastAsia="zh-CN"/>
              </w:rPr>
              <w:t>展位现场摆放产品参数牌、标签等</w:t>
            </w:r>
          </w:p>
        </w:tc>
        <w:tc>
          <w:tcPr>
            <w:tcW w:w="995" w:type="dxa"/>
            <w:tcBorders>
              <w:top w:val="nil"/>
              <w:left w:val="nil"/>
              <w:bottom w:val="single" w:color="auto" w:sz="4" w:space="0"/>
              <w:right w:val="single" w:color="auto" w:sz="4" w:space="0"/>
            </w:tcBorders>
            <w:shd w:val="clear" w:color="auto" w:fill="auto"/>
            <w:vAlign w:val="center"/>
          </w:tcPr>
          <w:p w14:paraId="04E59C96">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3B650EA1">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2D65D868">
            <w:pPr>
              <w:widowControl/>
              <w:jc w:val="left"/>
              <w:rPr>
                <w:rFonts w:hint="eastAsia" w:ascii="等线" w:hAnsi="等线" w:eastAsia="等线"/>
                <w:color w:val="000000"/>
                <w:sz w:val="15"/>
                <w:szCs w:val="16"/>
                <w:lang w:val="en-US" w:eastAsia="zh-CN"/>
              </w:rPr>
            </w:pPr>
          </w:p>
        </w:tc>
      </w:tr>
      <w:tr w14:paraId="77829825">
        <w:tblPrEx>
          <w:tblCellMar>
            <w:top w:w="0" w:type="dxa"/>
            <w:left w:w="108" w:type="dxa"/>
            <w:bottom w:w="0" w:type="dxa"/>
            <w:right w:w="108" w:type="dxa"/>
          </w:tblCellMar>
        </w:tblPrEx>
        <w:trPr>
          <w:trHeight w:val="231" w:hRule="atLeast"/>
          <w:jc w:val="center"/>
        </w:trPr>
        <w:tc>
          <w:tcPr>
            <w:tcW w:w="632" w:type="dxa"/>
            <w:vMerge w:val="restart"/>
            <w:tcBorders>
              <w:top w:val="nil"/>
              <w:left w:val="single" w:color="auto" w:sz="4" w:space="0"/>
              <w:right w:val="single" w:color="auto" w:sz="4" w:space="0"/>
            </w:tcBorders>
            <w:shd w:val="clear" w:color="auto" w:fill="auto"/>
            <w:noWrap/>
            <w:vAlign w:val="center"/>
          </w:tcPr>
          <w:p w14:paraId="2E4660CF">
            <w:pPr>
              <w:widowControl/>
              <w:jc w:val="center"/>
              <w:rPr>
                <w:rFonts w:hint="eastAsia"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3</w:t>
            </w:r>
          </w:p>
        </w:tc>
        <w:tc>
          <w:tcPr>
            <w:tcW w:w="968" w:type="dxa"/>
            <w:vMerge w:val="restart"/>
            <w:tcBorders>
              <w:top w:val="single" w:color="auto" w:sz="4" w:space="0"/>
              <w:left w:val="single" w:color="auto" w:sz="4" w:space="0"/>
              <w:right w:val="single" w:color="auto" w:sz="4" w:space="0"/>
            </w:tcBorders>
            <w:shd w:val="clear" w:color="auto" w:fill="auto"/>
            <w:vAlign w:val="center"/>
          </w:tcPr>
          <w:p w14:paraId="28BAE65B">
            <w:pPr>
              <w:widowControl/>
              <w:jc w:val="center"/>
              <w:rPr>
                <w:rFonts w:hint="default"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活动传播</w:t>
            </w:r>
          </w:p>
        </w:tc>
        <w:tc>
          <w:tcPr>
            <w:tcW w:w="4948" w:type="dxa"/>
            <w:tcBorders>
              <w:top w:val="nil"/>
              <w:left w:val="nil"/>
              <w:bottom w:val="single" w:color="auto" w:sz="4" w:space="0"/>
              <w:right w:val="single" w:color="auto" w:sz="4" w:space="0"/>
            </w:tcBorders>
            <w:shd w:val="clear" w:color="auto" w:fill="auto"/>
            <w:vAlign w:val="center"/>
          </w:tcPr>
          <w:p w14:paraId="6CAB7CCA">
            <w:pPr>
              <w:widowControl/>
              <w:jc w:val="left"/>
              <w:rPr>
                <w:rFonts w:hint="default" w:ascii="等线" w:hAnsi="等线" w:eastAsia="等线"/>
                <w:color w:val="000000"/>
                <w:sz w:val="15"/>
                <w:szCs w:val="16"/>
                <w:lang w:val="en-US" w:eastAsia="zh-CN"/>
              </w:rPr>
            </w:pPr>
            <w:r>
              <w:rPr>
                <w:rFonts w:hint="eastAsia" w:ascii="等线" w:hAnsi="等线" w:eastAsia="等线"/>
                <w:color w:val="000000"/>
                <w:sz w:val="15"/>
                <w:szCs w:val="16"/>
                <w:lang w:val="en-US" w:eastAsia="zh-CN"/>
              </w:rPr>
              <w:t>设计3张倒计时海报</w:t>
            </w:r>
          </w:p>
        </w:tc>
        <w:tc>
          <w:tcPr>
            <w:tcW w:w="995" w:type="dxa"/>
            <w:tcBorders>
              <w:top w:val="nil"/>
              <w:left w:val="nil"/>
              <w:bottom w:val="single" w:color="auto" w:sz="4" w:space="0"/>
              <w:right w:val="single" w:color="auto" w:sz="4" w:space="0"/>
            </w:tcBorders>
            <w:shd w:val="clear" w:color="auto" w:fill="auto"/>
            <w:vAlign w:val="center"/>
          </w:tcPr>
          <w:p w14:paraId="315BCB50">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40C39F6F">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6AE60112">
            <w:pPr>
              <w:widowControl/>
              <w:jc w:val="left"/>
              <w:rPr>
                <w:rFonts w:hint="eastAsia" w:ascii="等线" w:hAnsi="等线" w:eastAsia="等线"/>
                <w:color w:val="000000"/>
                <w:sz w:val="15"/>
                <w:szCs w:val="16"/>
                <w:lang w:val="en-US" w:eastAsia="zh-CN"/>
              </w:rPr>
            </w:pPr>
          </w:p>
        </w:tc>
      </w:tr>
      <w:tr w14:paraId="13049410">
        <w:tblPrEx>
          <w:tblCellMar>
            <w:top w:w="0" w:type="dxa"/>
            <w:left w:w="108" w:type="dxa"/>
            <w:bottom w:w="0" w:type="dxa"/>
            <w:right w:w="108" w:type="dxa"/>
          </w:tblCellMar>
        </w:tblPrEx>
        <w:trPr>
          <w:trHeight w:val="231" w:hRule="atLeast"/>
          <w:jc w:val="center"/>
        </w:trPr>
        <w:tc>
          <w:tcPr>
            <w:tcW w:w="632" w:type="dxa"/>
            <w:vMerge w:val="continue"/>
            <w:tcBorders>
              <w:left w:val="single" w:color="auto" w:sz="4" w:space="0"/>
              <w:bottom w:val="single" w:color="auto" w:sz="4" w:space="0"/>
              <w:right w:val="single" w:color="auto" w:sz="4" w:space="0"/>
            </w:tcBorders>
            <w:shd w:val="clear" w:color="auto" w:fill="auto"/>
            <w:noWrap/>
            <w:vAlign w:val="center"/>
          </w:tcPr>
          <w:p w14:paraId="6D90AFEF">
            <w:pPr>
              <w:widowControl/>
              <w:jc w:val="center"/>
              <w:rPr>
                <w:rFonts w:ascii="等线" w:hAnsi="等线" w:eastAsia="等线" w:cs="宋体"/>
                <w:color w:val="000000"/>
                <w:kern w:val="0"/>
                <w:sz w:val="16"/>
                <w:szCs w:val="18"/>
              </w:rPr>
            </w:pPr>
          </w:p>
        </w:tc>
        <w:tc>
          <w:tcPr>
            <w:tcW w:w="968" w:type="dxa"/>
            <w:vMerge w:val="continue"/>
            <w:tcBorders>
              <w:left w:val="single" w:color="auto" w:sz="4" w:space="0"/>
              <w:bottom w:val="single" w:color="auto" w:sz="4" w:space="0"/>
              <w:right w:val="single" w:color="auto" w:sz="4" w:space="0"/>
            </w:tcBorders>
            <w:shd w:val="clear" w:color="auto" w:fill="auto"/>
            <w:vAlign w:val="center"/>
          </w:tcPr>
          <w:p w14:paraId="696CEE72">
            <w:pPr>
              <w:widowControl/>
              <w:jc w:val="center"/>
              <w:rPr>
                <w:rFonts w:hint="eastAsia" w:ascii="等线" w:hAnsi="等线" w:eastAsia="等线" w:cs="宋体"/>
                <w:color w:val="000000"/>
                <w:kern w:val="0"/>
                <w:sz w:val="16"/>
                <w:szCs w:val="18"/>
              </w:rPr>
            </w:pPr>
          </w:p>
        </w:tc>
        <w:tc>
          <w:tcPr>
            <w:tcW w:w="4948" w:type="dxa"/>
            <w:tcBorders>
              <w:top w:val="nil"/>
              <w:left w:val="nil"/>
              <w:bottom w:val="single" w:color="auto" w:sz="4" w:space="0"/>
              <w:right w:val="single" w:color="auto" w:sz="4" w:space="0"/>
            </w:tcBorders>
            <w:shd w:val="clear" w:color="auto" w:fill="auto"/>
            <w:vAlign w:val="center"/>
          </w:tcPr>
          <w:p w14:paraId="4ADA7017">
            <w:pPr>
              <w:widowControl/>
              <w:jc w:val="left"/>
              <w:rPr>
                <w:rFonts w:hint="default" w:ascii="等线" w:hAnsi="等线" w:eastAsia="等线"/>
                <w:color w:val="000000"/>
                <w:sz w:val="15"/>
                <w:szCs w:val="16"/>
                <w:lang w:val="en-US" w:eastAsia="zh-CN"/>
              </w:rPr>
            </w:pPr>
            <w:r>
              <w:rPr>
                <w:rFonts w:hint="eastAsia" w:ascii="等线" w:hAnsi="等线" w:eastAsia="等线"/>
                <w:color w:val="000000"/>
                <w:sz w:val="15"/>
                <w:szCs w:val="16"/>
                <w:lang w:val="en-US" w:eastAsia="zh-CN"/>
              </w:rPr>
              <w:t>展会期间对各展区进行图片、视频拍摄服务，并按照不同风格剪辑三个短视频，用于展会期间传播，图片应包括三个展位搭建后空镜、客户来访参观展品、交流洽谈、集体合影等角度。</w:t>
            </w:r>
          </w:p>
        </w:tc>
        <w:tc>
          <w:tcPr>
            <w:tcW w:w="995" w:type="dxa"/>
            <w:tcBorders>
              <w:top w:val="nil"/>
              <w:left w:val="nil"/>
              <w:bottom w:val="single" w:color="auto" w:sz="4" w:space="0"/>
              <w:right w:val="single" w:color="auto" w:sz="4" w:space="0"/>
            </w:tcBorders>
            <w:shd w:val="clear" w:color="auto" w:fill="auto"/>
            <w:vAlign w:val="center"/>
          </w:tcPr>
          <w:p w14:paraId="7C0F3D06">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2F651218">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102E27D7">
            <w:pPr>
              <w:widowControl/>
              <w:jc w:val="left"/>
              <w:rPr>
                <w:rFonts w:hint="eastAsia" w:ascii="等线" w:hAnsi="等线" w:eastAsia="等线"/>
                <w:color w:val="000000"/>
                <w:sz w:val="15"/>
                <w:szCs w:val="16"/>
                <w:lang w:val="en-US" w:eastAsia="zh-CN"/>
              </w:rPr>
            </w:pPr>
          </w:p>
        </w:tc>
      </w:tr>
      <w:tr w14:paraId="214BD32F">
        <w:tblPrEx>
          <w:tblCellMar>
            <w:top w:w="0" w:type="dxa"/>
            <w:left w:w="108" w:type="dxa"/>
            <w:bottom w:w="0" w:type="dxa"/>
            <w:right w:w="108" w:type="dxa"/>
          </w:tblCellMar>
        </w:tblPrEx>
        <w:trPr>
          <w:trHeight w:val="231" w:hRule="atLeast"/>
          <w:jc w:val="center"/>
        </w:trPr>
        <w:tc>
          <w:tcPr>
            <w:tcW w:w="632" w:type="dxa"/>
            <w:vMerge w:val="restart"/>
            <w:tcBorders>
              <w:top w:val="nil"/>
              <w:left w:val="single" w:color="auto" w:sz="4" w:space="0"/>
              <w:right w:val="single" w:color="auto" w:sz="4" w:space="0"/>
            </w:tcBorders>
            <w:shd w:val="clear" w:color="auto" w:fill="auto"/>
            <w:noWrap/>
            <w:vAlign w:val="center"/>
          </w:tcPr>
          <w:p w14:paraId="6C113C23">
            <w:pPr>
              <w:widowControl/>
              <w:jc w:val="center"/>
              <w:rPr>
                <w:rFonts w:hint="eastAsia"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4</w:t>
            </w:r>
          </w:p>
        </w:tc>
        <w:tc>
          <w:tcPr>
            <w:tcW w:w="968" w:type="dxa"/>
            <w:vMerge w:val="restart"/>
            <w:tcBorders>
              <w:top w:val="single" w:color="auto" w:sz="4" w:space="0"/>
              <w:left w:val="single" w:color="auto" w:sz="4" w:space="0"/>
              <w:right w:val="single" w:color="auto" w:sz="4" w:space="0"/>
            </w:tcBorders>
            <w:shd w:val="clear" w:color="auto" w:fill="auto"/>
            <w:vAlign w:val="center"/>
          </w:tcPr>
          <w:p w14:paraId="02C28B1E">
            <w:pPr>
              <w:widowControl/>
              <w:jc w:val="center"/>
              <w:rPr>
                <w:rFonts w:hint="default"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展品运输</w:t>
            </w:r>
          </w:p>
        </w:tc>
        <w:tc>
          <w:tcPr>
            <w:tcW w:w="4948" w:type="dxa"/>
            <w:tcBorders>
              <w:top w:val="nil"/>
              <w:left w:val="nil"/>
              <w:bottom w:val="single" w:color="auto" w:sz="4" w:space="0"/>
              <w:right w:val="single" w:color="auto" w:sz="4" w:space="0"/>
            </w:tcBorders>
            <w:shd w:val="clear" w:color="auto" w:fill="auto"/>
            <w:vAlign w:val="center"/>
          </w:tcPr>
          <w:p w14:paraId="4F09584A">
            <w:pPr>
              <w:widowControl/>
              <w:jc w:val="left"/>
              <w:rPr>
                <w:rFonts w:hint="default" w:ascii="等线" w:hAnsi="等线" w:eastAsia="等线"/>
                <w:color w:val="000000"/>
                <w:sz w:val="15"/>
                <w:szCs w:val="16"/>
                <w:lang w:val="en-US" w:eastAsia="zh-CN"/>
              </w:rPr>
            </w:pPr>
            <w:r>
              <w:rPr>
                <w:rFonts w:hint="eastAsia" w:ascii="等线" w:hAnsi="等线" w:eastAsia="等线"/>
                <w:color w:val="000000"/>
                <w:sz w:val="15"/>
                <w:szCs w:val="16"/>
                <w:lang w:val="en-US" w:eastAsia="zh-CN"/>
              </w:rPr>
              <w:t>提供展品及宣传物料等由济南运输至展位（室内室外）及由展位运输至济南的服务（送货上门，上门取货）；</w:t>
            </w:r>
          </w:p>
        </w:tc>
        <w:tc>
          <w:tcPr>
            <w:tcW w:w="995" w:type="dxa"/>
            <w:tcBorders>
              <w:top w:val="nil"/>
              <w:left w:val="nil"/>
              <w:bottom w:val="single" w:color="auto" w:sz="4" w:space="0"/>
              <w:right w:val="single" w:color="auto" w:sz="4" w:space="0"/>
            </w:tcBorders>
            <w:shd w:val="clear" w:color="auto" w:fill="auto"/>
            <w:vAlign w:val="center"/>
          </w:tcPr>
          <w:p w14:paraId="0410D66A">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7C556947">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3167ED30">
            <w:pPr>
              <w:widowControl/>
              <w:jc w:val="left"/>
              <w:rPr>
                <w:rFonts w:hint="eastAsia" w:ascii="等线" w:hAnsi="等线" w:eastAsia="等线"/>
                <w:color w:val="000000"/>
                <w:sz w:val="15"/>
                <w:szCs w:val="16"/>
                <w:lang w:val="en-US" w:eastAsia="zh-CN"/>
              </w:rPr>
            </w:pPr>
          </w:p>
        </w:tc>
      </w:tr>
      <w:tr w14:paraId="69898832">
        <w:tblPrEx>
          <w:tblCellMar>
            <w:top w:w="0" w:type="dxa"/>
            <w:left w:w="108" w:type="dxa"/>
            <w:bottom w:w="0" w:type="dxa"/>
            <w:right w:w="108" w:type="dxa"/>
          </w:tblCellMar>
        </w:tblPrEx>
        <w:trPr>
          <w:trHeight w:val="231" w:hRule="atLeast"/>
          <w:jc w:val="center"/>
        </w:trPr>
        <w:tc>
          <w:tcPr>
            <w:tcW w:w="632" w:type="dxa"/>
            <w:vMerge w:val="continue"/>
            <w:tcBorders>
              <w:left w:val="single" w:color="auto" w:sz="4" w:space="0"/>
              <w:right w:val="single" w:color="auto" w:sz="4" w:space="0"/>
            </w:tcBorders>
            <w:shd w:val="clear" w:color="auto" w:fill="auto"/>
            <w:noWrap/>
            <w:vAlign w:val="center"/>
          </w:tcPr>
          <w:p w14:paraId="7937E4B4">
            <w:pPr>
              <w:widowControl/>
              <w:jc w:val="center"/>
              <w:rPr>
                <w:rFonts w:ascii="等线" w:hAnsi="等线" w:eastAsia="等线" w:cs="宋体"/>
                <w:color w:val="000000"/>
                <w:kern w:val="0"/>
                <w:sz w:val="16"/>
                <w:szCs w:val="18"/>
              </w:rPr>
            </w:pPr>
          </w:p>
        </w:tc>
        <w:tc>
          <w:tcPr>
            <w:tcW w:w="968" w:type="dxa"/>
            <w:vMerge w:val="continue"/>
            <w:tcBorders>
              <w:left w:val="single" w:color="auto" w:sz="4" w:space="0"/>
              <w:right w:val="single" w:color="auto" w:sz="4" w:space="0"/>
            </w:tcBorders>
            <w:shd w:val="clear" w:color="auto" w:fill="auto"/>
            <w:vAlign w:val="center"/>
          </w:tcPr>
          <w:p w14:paraId="0A38347D">
            <w:pPr>
              <w:widowControl/>
              <w:jc w:val="center"/>
              <w:rPr>
                <w:rFonts w:hint="eastAsia" w:ascii="等线" w:hAnsi="等线" w:eastAsia="等线" w:cs="宋体"/>
                <w:color w:val="000000"/>
                <w:kern w:val="0"/>
                <w:sz w:val="16"/>
                <w:szCs w:val="18"/>
              </w:rPr>
            </w:pPr>
          </w:p>
        </w:tc>
        <w:tc>
          <w:tcPr>
            <w:tcW w:w="4948" w:type="dxa"/>
            <w:tcBorders>
              <w:top w:val="nil"/>
              <w:left w:val="nil"/>
              <w:bottom w:val="single" w:color="auto" w:sz="4" w:space="0"/>
              <w:right w:val="single" w:color="auto" w:sz="4" w:space="0"/>
            </w:tcBorders>
            <w:shd w:val="clear" w:color="auto" w:fill="auto"/>
            <w:vAlign w:val="center"/>
          </w:tcPr>
          <w:p w14:paraId="3F782B76">
            <w:pPr>
              <w:widowControl/>
              <w:jc w:val="left"/>
              <w:rPr>
                <w:rFonts w:hint="default" w:ascii="等线" w:hAnsi="等线" w:eastAsia="等线"/>
                <w:color w:val="000000"/>
                <w:sz w:val="15"/>
                <w:szCs w:val="16"/>
                <w:lang w:val="en-US" w:eastAsia="zh-CN"/>
              </w:rPr>
            </w:pPr>
            <w:r>
              <w:rPr>
                <w:rFonts w:hint="eastAsia" w:ascii="等线" w:hAnsi="等线" w:eastAsia="等线"/>
                <w:color w:val="000000"/>
                <w:sz w:val="15"/>
                <w:szCs w:val="16"/>
                <w:lang w:val="en-US" w:eastAsia="zh-CN"/>
              </w:rPr>
              <w:t>检查展品（车辆、配件）的外观锈蚀损坏等问题，并做好美容、清洗工作；</w:t>
            </w:r>
          </w:p>
        </w:tc>
        <w:tc>
          <w:tcPr>
            <w:tcW w:w="995" w:type="dxa"/>
            <w:tcBorders>
              <w:top w:val="nil"/>
              <w:left w:val="nil"/>
              <w:bottom w:val="single" w:color="auto" w:sz="4" w:space="0"/>
              <w:right w:val="single" w:color="auto" w:sz="4" w:space="0"/>
            </w:tcBorders>
            <w:shd w:val="clear" w:color="auto" w:fill="auto"/>
            <w:vAlign w:val="center"/>
          </w:tcPr>
          <w:p w14:paraId="681EAA2B">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35B751F1">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5C5F6C21">
            <w:pPr>
              <w:widowControl/>
              <w:jc w:val="left"/>
              <w:rPr>
                <w:rFonts w:hint="eastAsia" w:ascii="等线" w:hAnsi="等线" w:eastAsia="等线"/>
                <w:color w:val="000000"/>
                <w:sz w:val="15"/>
                <w:szCs w:val="16"/>
                <w:lang w:val="en-US" w:eastAsia="zh-CN"/>
              </w:rPr>
            </w:pPr>
          </w:p>
        </w:tc>
      </w:tr>
      <w:tr w14:paraId="5487AD18">
        <w:tblPrEx>
          <w:tblCellMar>
            <w:top w:w="0" w:type="dxa"/>
            <w:left w:w="108" w:type="dxa"/>
            <w:bottom w:w="0" w:type="dxa"/>
            <w:right w:w="108" w:type="dxa"/>
          </w:tblCellMar>
        </w:tblPrEx>
        <w:trPr>
          <w:trHeight w:val="231" w:hRule="atLeast"/>
          <w:jc w:val="center"/>
        </w:trPr>
        <w:tc>
          <w:tcPr>
            <w:tcW w:w="632" w:type="dxa"/>
            <w:vMerge w:val="continue"/>
            <w:tcBorders>
              <w:left w:val="single" w:color="auto" w:sz="4" w:space="0"/>
              <w:right w:val="single" w:color="auto" w:sz="4" w:space="0"/>
            </w:tcBorders>
            <w:shd w:val="clear" w:color="auto" w:fill="auto"/>
            <w:noWrap/>
            <w:vAlign w:val="center"/>
          </w:tcPr>
          <w:p w14:paraId="67A1D7E9">
            <w:pPr>
              <w:widowControl/>
              <w:jc w:val="center"/>
              <w:rPr>
                <w:rFonts w:ascii="等线" w:hAnsi="等线" w:eastAsia="等线" w:cs="宋体"/>
                <w:color w:val="000000"/>
                <w:kern w:val="0"/>
                <w:sz w:val="16"/>
                <w:szCs w:val="18"/>
              </w:rPr>
            </w:pPr>
          </w:p>
        </w:tc>
        <w:tc>
          <w:tcPr>
            <w:tcW w:w="968" w:type="dxa"/>
            <w:vMerge w:val="continue"/>
            <w:tcBorders>
              <w:left w:val="single" w:color="auto" w:sz="4" w:space="0"/>
              <w:right w:val="single" w:color="auto" w:sz="4" w:space="0"/>
            </w:tcBorders>
            <w:shd w:val="clear" w:color="auto" w:fill="auto"/>
            <w:vAlign w:val="center"/>
          </w:tcPr>
          <w:p w14:paraId="661FBBAE">
            <w:pPr>
              <w:widowControl/>
              <w:jc w:val="center"/>
              <w:rPr>
                <w:rFonts w:hint="eastAsia" w:ascii="等线" w:hAnsi="等线" w:eastAsia="等线" w:cs="宋体"/>
                <w:color w:val="000000"/>
                <w:kern w:val="0"/>
                <w:sz w:val="16"/>
                <w:szCs w:val="18"/>
              </w:rPr>
            </w:pPr>
          </w:p>
        </w:tc>
        <w:tc>
          <w:tcPr>
            <w:tcW w:w="4948" w:type="dxa"/>
            <w:tcBorders>
              <w:top w:val="nil"/>
              <w:left w:val="nil"/>
              <w:bottom w:val="single" w:color="auto" w:sz="4" w:space="0"/>
              <w:right w:val="single" w:color="auto" w:sz="4" w:space="0"/>
            </w:tcBorders>
            <w:shd w:val="clear" w:color="auto" w:fill="auto"/>
            <w:vAlign w:val="center"/>
          </w:tcPr>
          <w:p w14:paraId="0752291B">
            <w:pPr>
              <w:widowControl/>
              <w:jc w:val="left"/>
              <w:rPr>
                <w:rFonts w:hint="default" w:ascii="等线" w:hAnsi="等线" w:eastAsia="等线"/>
                <w:color w:val="000000"/>
                <w:sz w:val="15"/>
                <w:szCs w:val="16"/>
                <w:lang w:val="en-US" w:eastAsia="zh-CN"/>
              </w:rPr>
            </w:pPr>
            <w:r>
              <w:rPr>
                <w:rFonts w:hint="eastAsia" w:ascii="等线" w:hAnsi="等线" w:eastAsia="等线"/>
                <w:color w:val="000000"/>
                <w:sz w:val="15"/>
                <w:szCs w:val="16"/>
                <w:lang w:val="en-US" w:eastAsia="zh-CN"/>
              </w:rPr>
              <w:t>做好展品（车辆、配件）的临时存储。撤展至投标方指定地点的全过程服务。</w:t>
            </w:r>
          </w:p>
        </w:tc>
        <w:tc>
          <w:tcPr>
            <w:tcW w:w="995" w:type="dxa"/>
            <w:tcBorders>
              <w:top w:val="nil"/>
              <w:left w:val="nil"/>
              <w:bottom w:val="single" w:color="auto" w:sz="4" w:space="0"/>
              <w:right w:val="single" w:color="auto" w:sz="4" w:space="0"/>
            </w:tcBorders>
            <w:shd w:val="clear" w:color="auto" w:fill="auto"/>
            <w:vAlign w:val="center"/>
          </w:tcPr>
          <w:p w14:paraId="41C9E9F3">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77D8A944">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53BFC049">
            <w:pPr>
              <w:widowControl/>
              <w:jc w:val="left"/>
              <w:rPr>
                <w:rFonts w:hint="eastAsia" w:ascii="等线" w:hAnsi="等线" w:eastAsia="等线"/>
                <w:color w:val="000000"/>
                <w:sz w:val="15"/>
                <w:szCs w:val="16"/>
                <w:lang w:val="en-US" w:eastAsia="zh-CN"/>
              </w:rPr>
            </w:pPr>
          </w:p>
        </w:tc>
      </w:tr>
      <w:tr w14:paraId="41357AF6">
        <w:tblPrEx>
          <w:tblCellMar>
            <w:top w:w="0" w:type="dxa"/>
            <w:left w:w="108" w:type="dxa"/>
            <w:bottom w:w="0" w:type="dxa"/>
            <w:right w:w="108" w:type="dxa"/>
          </w:tblCellMar>
        </w:tblPrEx>
        <w:trPr>
          <w:trHeight w:val="231" w:hRule="atLeast"/>
          <w:jc w:val="center"/>
        </w:trPr>
        <w:tc>
          <w:tcPr>
            <w:tcW w:w="632" w:type="dxa"/>
            <w:vMerge w:val="continue"/>
            <w:tcBorders>
              <w:left w:val="single" w:color="auto" w:sz="4" w:space="0"/>
              <w:bottom w:val="single" w:color="auto" w:sz="4" w:space="0"/>
              <w:right w:val="single" w:color="auto" w:sz="4" w:space="0"/>
            </w:tcBorders>
            <w:shd w:val="clear" w:color="auto" w:fill="auto"/>
            <w:noWrap/>
            <w:vAlign w:val="center"/>
          </w:tcPr>
          <w:p w14:paraId="6DCB8713">
            <w:pPr>
              <w:widowControl/>
              <w:jc w:val="center"/>
              <w:rPr>
                <w:rFonts w:ascii="等线" w:hAnsi="等线" w:eastAsia="等线" w:cs="宋体"/>
                <w:color w:val="000000"/>
                <w:kern w:val="0"/>
                <w:sz w:val="16"/>
                <w:szCs w:val="18"/>
              </w:rPr>
            </w:pPr>
          </w:p>
        </w:tc>
        <w:tc>
          <w:tcPr>
            <w:tcW w:w="968" w:type="dxa"/>
            <w:vMerge w:val="continue"/>
            <w:tcBorders>
              <w:left w:val="single" w:color="auto" w:sz="4" w:space="0"/>
              <w:bottom w:val="single" w:color="auto" w:sz="4" w:space="0"/>
              <w:right w:val="single" w:color="auto" w:sz="4" w:space="0"/>
            </w:tcBorders>
            <w:shd w:val="clear" w:color="auto" w:fill="auto"/>
            <w:vAlign w:val="center"/>
          </w:tcPr>
          <w:p w14:paraId="3289B5FD">
            <w:pPr>
              <w:widowControl/>
              <w:jc w:val="center"/>
              <w:rPr>
                <w:rFonts w:hint="eastAsia" w:ascii="等线" w:hAnsi="等线" w:eastAsia="等线" w:cs="宋体"/>
                <w:color w:val="000000"/>
                <w:kern w:val="0"/>
                <w:sz w:val="16"/>
                <w:szCs w:val="18"/>
              </w:rPr>
            </w:pPr>
          </w:p>
        </w:tc>
        <w:tc>
          <w:tcPr>
            <w:tcW w:w="4948" w:type="dxa"/>
            <w:tcBorders>
              <w:top w:val="nil"/>
              <w:left w:val="nil"/>
              <w:bottom w:val="single" w:color="auto" w:sz="4" w:space="0"/>
              <w:right w:val="single" w:color="auto" w:sz="4" w:space="0"/>
            </w:tcBorders>
            <w:shd w:val="clear" w:color="auto" w:fill="auto"/>
            <w:vAlign w:val="center"/>
          </w:tcPr>
          <w:p w14:paraId="3282558D">
            <w:pPr>
              <w:widowControl/>
              <w:jc w:val="left"/>
              <w:rPr>
                <w:rFonts w:ascii="等线" w:hAnsi="等线" w:eastAsia="等线"/>
                <w:color w:val="000000"/>
                <w:sz w:val="15"/>
                <w:szCs w:val="16"/>
              </w:rPr>
            </w:pPr>
            <w:r>
              <w:rPr>
                <w:rFonts w:hint="eastAsia" w:ascii="等线" w:hAnsi="等线" w:eastAsia="等线"/>
                <w:color w:val="000000"/>
                <w:sz w:val="15"/>
                <w:szCs w:val="16"/>
                <w:lang w:val="en-US" w:eastAsia="zh-CN"/>
              </w:rPr>
              <w:t>展会结束后，完成展品的修复，承担必要的维修保养等费用，完成撤展，送至投标方指定地点。</w:t>
            </w:r>
          </w:p>
        </w:tc>
        <w:tc>
          <w:tcPr>
            <w:tcW w:w="995" w:type="dxa"/>
            <w:tcBorders>
              <w:top w:val="nil"/>
              <w:left w:val="nil"/>
              <w:bottom w:val="single" w:color="auto" w:sz="4" w:space="0"/>
              <w:right w:val="single" w:color="auto" w:sz="4" w:space="0"/>
            </w:tcBorders>
            <w:shd w:val="clear" w:color="auto" w:fill="auto"/>
            <w:vAlign w:val="center"/>
          </w:tcPr>
          <w:p w14:paraId="22B70BC9">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0D4ED936">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6677FA2D">
            <w:pPr>
              <w:widowControl/>
              <w:jc w:val="left"/>
              <w:rPr>
                <w:rFonts w:hint="eastAsia" w:ascii="等线" w:hAnsi="等线" w:eastAsia="等线"/>
                <w:color w:val="000000"/>
                <w:sz w:val="15"/>
                <w:szCs w:val="16"/>
                <w:lang w:val="en-US" w:eastAsia="zh-CN"/>
              </w:rPr>
            </w:pPr>
          </w:p>
        </w:tc>
      </w:tr>
      <w:tr w14:paraId="70A9F645">
        <w:tblPrEx>
          <w:tblCellMar>
            <w:top w:w="0" w:type="dxa"/>
            <w:left w:w="108" w:type="dxa"/>
            <w:bottom w:w="0" w:type="dxa"/>
            <w:right w:w="108" w:type="dxa"/>
          </w:tblCellMar>
        </w:tblPrEx>
        <w:trPr>
          <w:trHeight w:val="231" w:hRule="atLeast"/>
          <w:jc w:val="center"/>
        </w:trPr>
        <w:tc>
          <w:tcPr>
            <w:tcW w:w="632" w:type="dxa"/>
            <w:tcBorders>
              <w:top w:val="nil"/>
              <w:left w:val="single" w:color="auto" w:sz="4" w:space="0"/>
              <w:bottom w:val="single" w:color="auto" w:sz="4" w:space="0"/>
              <w:right w:val="single" w:color="auto" w:sz="4" w:space="0"/>
            </w:tcBorders>
            <w:shd w:val="clear" w:color="auto" w:fill="auto"/>
            <w:noWrap/>
            <w:vAlign w:val="center"/>
          </w:tcPr>
          <w:p w14:paraId="258603F8">
            <w:pPr>
              <w:widowControl/>
              <w:jc w:val="center"/>
              <w:rPr>
                <w:rFonts w:hint="eastAsia"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5</w:t>
            </w:r>
          </w:p>
        </w:tc>
        <w:tc>
          <w:tcPr>
            <w:tcW w:w="968" w:type="dxa"/>
            <w:tcBorders>
              <w:left w:val="single" w:color="auto" w:sz="4" w:space="0"/>
              <w:bottom w:val="single" w:color="auto" w:sz="4" w:space="0"/>
              <w:right w:val="single" w:color="auto" w:sz="4" w:space="0"/>
            </w:tcBorders>
            <w:shd w:val="clear" w:color="auto" w:fill="auto"/>
            <w:vAlign w:val="center"/>
          </w:tcPr>
          <w:p w14:paraId="1D5B40F8">
            <w:pPr>
              <w:widowControl/>
              <w:jc w:val="center"/>
              <w:rPr>
                <w:rFonts w:hint="default" w:ascii="等线" w:hAnsi="等线" w:eastAsia="等线" w:cs="宋体"/>
                <w:color w:val="000000"/>
                <w:kern w:val="0"/>
                <w:sz w:val="16"/>
                <w:szCs w:val="18"/>
                <w:lang w:val="en-US" w:eastAsia="zh-CN"/>
              </w:rPr>
            </w:pPr>
            <w:r>
              <w:rPr>
                <w:rFonts w:hint="eastAsia" w:ascii="等线" w:hAnsi="等线" w:eastAsia="等线" w:cs="宋体"/>
                <w:color w:val="000000"/>
                <w:kern w:val="0"/>
                <w:sz w:val="16"/>
                <w:szCs w:val="18"/>
                <w:lang w:val="en-US" w:eastAsia="zh-CN"/>
              </w:rPr>
              <w:t>人员配备</w:t>
            </w:r>
          </w:p>
        </w:tc>
        <w:tc>
          <w:tcPr>
            <w:tcW w:w="4948" w:type="dxa"/>
            <w:tcBorders>
              <w:top w:val="nil"/>
              <w:left w:val="nil"/>
              <w:bottom w:val="single" w:color="auto" w:sz="4" w:space="0"/>
              <w:right w:val="single" w:color="auto" w:sz="4" w:space="0"/>
            </w:tcBorders>
            <w:shd w:val="clear" w:color="auto" w:fill="auto"/>
            <w:vAlign w:val="center"/>
          </w:tcPr>
          <w:p w14:paraId="73D7482F">
            <w:pPr>
              <w:widowControl/>
              <w:jc w:val="left"/>
              <w:rPr>
                <w:rFonts w:hint="eastAsia" w:ascii="等线" w:hAnsi="等线" w:eastAsia="等线"/>
                <w:color w:val="000000"/>
                <w:sz w:val="15"/>
                <w:szCs w:val="16"/>
                <w:lang w:val="en-US" w:eastAsia="zh-CN"/>
              </w:rPr>
            </w:pPr>
            <w:r>
              <w:rPr>
                <w:rFonts w:hint="eastAsia" w:ascii="等线" w:hAnsi="等线" w:eastAsia="等线"/>
                <w:color w:val="000000"/>
                <w:sz w:val="15"/>
                <w:szCs w:val="16"/>
                <w:lang w:val="en-US" w:eastAsia="zh-CN"/>
              </w:rPr>
              <w:t>每个展位需提供至少1名全职现场服务人员及1名兼职服务人员随时提供服务（包括不同展区宣传纪念品、宣传册的调配以及临时紧急采购等服务）</w:t>
            </w:r>
          </w:p>
        </w:tc>
        <w:tc>
          <w:tcPr>
            <w:tcW w:w="995" w:type="dxa"/>
            <w:tcBorders>
              <w:top w:val="nil"/>
              <w:left w:val="nil"/>
              <w:bottom w:val="single" w:color="auto" w:sz="4" w:space="0"/>
              <w:right w:val="single" w:color="auto" w:sz="4" w:space="0"/>
            </w:tcBorders>
            <w:shd w:val="clear" w:color="auto" w:fill="auto"/>
            <w:vAlign w:val="center"/>
          </w:tcPr>
          <w:p w14:paraId="46F14531">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460FAD97">
            <w:pPr>
              <w:widowControl/>
              <w:jc w:val="left"/>
              <w:rPr>
                <w:rFonts w:hint="eastAsia" w:ascii="等线" w:hAnsi="等线" w:eastAsia="等线"/>
                <w:color w:val="000000"/>
                <w:sz w:val="15"/>
                <w:szCs w:val="16"/>
                <w:lang w:val="en-US" w:eastAsia="zh-CN"/>
              </w:rPr>
            </w:pPr>
          </w:p>
        </w:tc>
        <w:tc>
          <w:tcPr>
            <w:tcW w:w="995" w:type="dxa"/>
            <w:tcBorders>
              <w:top w:val="nil"/>
              <w:left w:val="nil"/>
              <w:bottom w:val="single" w:color="auto" w:sz="4" w:space="0"/>
              <w:right w:val="single" w:color="auto" w:sz="4" w:space="0"/>
            </w:tcBorders>
            <w:shd w:val="clear" w:color="auto" w:fill="auto"/>
            <w:vAlign w:val="center"/>
          </w:tcPr>
          <w:p w14:paraId="77ECBD80">
            <w:pPr>
              <w:widowControl/>
              <w:jc w:val="left"/>
              <w:rPr>
                <w:rFonts w:hint="eastAsia" w:ascii="等线" w:hAnsi="等线" w:eastAsia="等线"/>
                <w:color w:val="000000"/>
                <w:sz w:val="15"/>
                <w:szCs w:val="16"/>
                <w:lang w:val="en-US" w:eastAsia="zh-CN"/>
              </w:rPr>
            </w:pPr>
          </w:p>
        </w:tc>
      </w:tr>
      <w:tr w14:paraId="1844D651">
        <w:tblPrEx>
          <w:tblCellMar>
            <w:top w:w="0" w:type="dxa"/>
            <w:left w:w="108" w:type="dxa"/>
            <w:bottom w:w="0" w:type="dxa"/>
            <w:right w:w="108" w:type="dxa"/>
          </w:tblCellMar>
        </w:tblPrEx>
        <w:trPr>
          <w:trHeight w:val="231" w:hRule="atLeast"/>
          <w:jc w:val="center"/>
        </w:trPr>
        <w:tc>
          <w:tcPr>
            <w:tcW w:w="632" w:type="dxa"/>
            <w:vMerge w:val="restart"/>
            <w:tcBorders>
              <w:top w:val="nil"/>
              <w:left w:val="single" w:color="auto" w:sz="4" w:space="0"/>
              <w:bottom w:val="single" w:color="auto" w:sz="4" w:space="0"/>
              <w:right w:val="single" w:color="auto" w:sz="4" w:space="0"/>
            </w:tcBorders>
            <w:shd w:val="clear" w:color="auto" w:fill="auto"/>
            <w:noWrap/>
            <w:vAlign w:val="center"/>
          </w:tcPr>
          <w:p w14:paraId="5320A259">
            <w:pPr>
              <w:widowControl/>
              <w:jc w:val="center"/>
              <w:rPr>
                <w:rFonts w:hint="eastAsia" w:ascii="等线" w:hAnsi="等线" w:eastAsia="等线" w:cs="宋体"/>
                <w:color w:val="000000"/>
                <w:kern w:val="0"/>
                <w:sz w:val="16"/>
                <w:szCs w:val="18"/>
                <w:lang w:eastAsia="zh-CN"/>
              </w:rPr>
            </w:pPr>
            <w:r>
              <w:rPr>
                <w:rFonts w:hint="eastAsia" w:ascii="等线" w:hAnsi="等线" w:eastAsia="等线" w:cs="宋体"/>
                <w:color w:val="000000"/>
                <w:kern w:val="0"/>
                <w:sz w:val="16"/>
                <w:szCs w:val="18"/>
                <w:lang w:val="en-US" w:eastAsia="zh-CN"/>
              </w:rPr>
              <w:t>6</w:t>
            </w:r>
          </w:p>
        </w:tc>
        <w:tc>
          <w:tcPr>
            <w:tcW w:w="96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39CE6F">
            <w:pPr>
              <w:widowControl/>
              <w:jc w:val="center"/>
              <w:rPr>
                <w:rFonts w:ascii="等线" w:hAnsi="等线" w:eastAsia="等线" w:cs="宋体"/>
                <w:color w:val="000000"/>
                <w:kern w:val="0"/>
                <w:sz w:val="16"/>
                <w:szCs w:val="18"/>
              </w:rPr>
            </w:pPr>
            <w:r>
              <w:rPr>
                <w:rFonts w:hint="eastAsia" w:ascii="等线" w:hAnsi="等线" w:eastAsia="等线" w:cs="宋体"/>
                <w:color w:val="000000"/>
                <w:kern w:val="0"/>
                <w:sz w:val="16"/>
                <w:szCs w:val="18"/>
              </w:rPr>
              <w:t>电力保障</w:t>
            </w:r>
          </w:p>
        </w:tc>
        <w:tc>
          <w:tcPr>
            <w:tcW w:w="4948" w:type="dxa"/>
            <w:tcBorders>
              <w:top w:val="nil"/>
              <w:left w:val="nil"/>
              <w:bottom w:val="single" w:color="auto" w:sz="4" w:space="0"/>
              <w:right w:val="single" w:color="auto" w:sz="4" w:space="0"/>
            </w:tcBorders>
            <w:shd w:val="clear" w:color="auto" w:fill="auto"/>
            <w:vAlign w:val="center"/>
          </w:tcPr>
          <w:p w14:paraId="5CAFB26C">
            <w:pPr>
              <w:widowControl/>
              <w:jc w:val="left"/>
              <w:rPr>
                <w:rFonts w:ascii="等线" w:hAnsi="等线" w:eastAsia="等线"/>
                <w:color w:val="000000"/>
                <w:kern w:val="0"/>
                <w:sz w:val="18"/>
                <w:szCs w:val="18"/>
              </w:rPr>
            </w:pPr>
            <w:r>
              <w:rPr>
                <w:rFonts w:ascii="等线" w:hAnsi="等线" w:eastAsia="等线"/>
                <w:color w:val="000000"/>
                <w:sz w:val="15"/>
                <w:szCs w:val="16"/>
              </w:rPr>
              <w:t>2</w:t>
            </w:r>
            <w:r>
              <w:rPr>
                <w:rFonts w:hint="eastAsia" w:ascii="等线" w:hAnsi="等线" w:eastAsia="等线"/>
                <w:color w:val="000000"/>
                <w:sz w:val="15"/>
                <w:szCs w:val="16"/>
              </w:rPr>
              <w:t>.</w:t>
            </w:r>
            <w:r>
              <w:rPr>
                <w:rFonts w:ascii="等线" w:hAnsi="等线" w:eastAsia="等线"/>
                <w:color w:val="000000"/>
                <w:sz w:val="15"/>
                <w:szCs w:val="16"/>
              </w:rPr>
              <w:t>1</w:t>
            </w:r>
            <w:r>
              <w:rPr>
                <w:rFonts w:hint="eastAsia" w:ascii="等线" w:hAnsi="等线" w:eastAsia="等线"/>
                <w:color w:val="000000"/>
                <w:sz w:val="15"/>
                <w:szCs w:val="16"/>
              </w:rPr>
              <w:t>符合展会安全标准；</w:t>
            </w:r>
          </w:p>
        </w:tc>
        <w:tc>
          <w:tcPr>
            <w:tcW w:w="995" w:type="dxa"/>
            <w:tcBorders>
              <w:top w:val="nil"/>
              <w:left w:val="nil"/>
              <w:bottom w:val="single" w:color="auto" w:sz="4" w:space="0"/>
              <w:right w:val="single" w:color="auto" w:sz="4" w:space="0"/>
            </w:tcBorders>
            <w:shd w:val="clear" w:color="auto" w:fill="auto"/>
            <w:vAlign w:val="center"/>
          </w:tcPr>
          <w:p w14:paraId="3AB6ECC4">
            <w:pPr>
              <w:widowControl/>
              <w:jc w:val="left"/>
              <w:rPr>
                <w:rFonts w:ascii="等线" w:hAnsi="等线" w:eastAsia="等线"/>
                <w:color w:val="000000"/>
                <w:sz w:val="15"/>
                <w:szCs w:val="16"/>
              </w:rPr>
            </w:pPr>
          </w:p>
        </w:tc>
        <w:tc>
          <w:tcPr>
            <w:tcW w:w="995" w:type="dxa"/>
            <w:tcBorders>
              <w:top w:val="nil"/>
              <w:left w:val="nil"/>
              <w:bottom w:val="single" w:color="auto" w:sz="4" w:space="0"/>
              <w:right w:val="single" w:color="auto" w:sz="4" w:space="0"/>
            </w:tcBorders>
            <w:shd w:val="clear" w:color="auto" w:fill="auto"/>
            <w:vAlign w:val="center"/>
          </w:tcPr>
          <w:p w14:paraId="0109CC88">
            <w:pPr>
              <w:widowControl/>
              <w:jc w:val="left"/>
              <w:rPr>
                <w:rFonts w:ascii="等线" w:hAnsi="等线" w:eastAsia="等线"/>
                <w:color w:val="000000"/>
                <w:sz w:val="15"/>
                <w:szCs w:val="16"/>
              </w:rPr>
            </w:pPr>
          </w:p>
        </w:tc>
        <w:tc>
          <w:tcPr>
            <w:tcW w:w="995" w:type="dxa"/>
            <w:tcBorders>
              <w:top w:val="nil"/>
              <w:left w:val="nil"/>
              <w:bottom w:val="single" w:color="auto" w:sz="4" w:space="0"/>
              <w:right w:val="single" w:color="auto" w:sz="4" w:space="0"/>
            </w:tcBorders>
            <w:shd w:val="clear" w:color="auto" w:fill="auto"/>
            <w:vAlign w:val="center"/>
          </w:tcPr>
          <w:p w14:paraId="664AAD93">
            <w:pPr>
              <w:widowControl/>
              <w:jc w:val="left"/>
              <w:rPr>
                <w:rFonts w:ascii="等线" w:hAnsi="等线" w:eastAsia="等线"/>
                <w:color w:val="000000"/>
                <w:sz w:val="15"/>
                <w:szCs w:val="16"/>
              </w:rPr>
            </w:pPr>
          </w:p>
        </w:tc>
      </w:tr>
      <w:tr w14:paraId="610F6498">
        <w:tblPrEx>
          <w:tblCellMar>
            <w:top w:w="0" w:type="dxa"/>
            <w:left w:w="108" w:type="dxa"/>
            <w:bottom w:w="0" w:type="dxa"/>
            <w:right w:w="108" w:type="dxa"/>
          </w:tblCellMar>
        </w:tblPrEx>
        <w:trPr>
          <w:trHeight w:val="160" w:hRule="atLeast"/>
          <w:jc w:val="center"/>
        </w:trPr>
        <w:tc>
          <w:tcPr>
            <w:tcW w:w="632" w:type="dxa"/>
            <w:vMerge w:val="continue"/>
            <w:tcBorders>
              <w:top w:val="nil"/>
              <w:left w:val="single" w:color="auto" w:sz="4" w:space="0"/>
              <w:bottom w:val="single" w:color="auto" w:sz="4" w:space="0"/>
              <w:right w:val="single" w:color="auto" w:sz="4" w:space="0"/>
            </w:tcBorders>
            <w:vAlign w:val="center"/>
          </w:tcPr>
          <w:p w14:paraId="5D933039">
            <w:pPr>
              <w:widowControl/>
              <w:jc w:val="left"/>
              <w:rPr>
                <w:rFonts w:ascii="等线" w:hAnsi="等线" w:eastAsia="等线" w:cs="宋体"/>
                <w:color w:val="000000"/>
                <w:kern w:val="0"/>
                <w:sz w:val="16"/>
                <w:szCs w:val="18"/>
              </w:rPr>
            </w:pPr>
          </w:p>
        </w:tc>
        <w:tc>
          <w:tcPr>
            <w:tcW w:w="968" w:type="dxa"/>
            <w:vMerge w:val="continue"/>
            <w:tcBorders>
              <w:top w:val="single" w:color="auto" w:sz="4" w:space="0"/>
              <w:left w:val="single" w:color="auto" w:sz="4" w:space="0"/>
              <w:bottom w:val="single" w:color="auto" w:sz="4" w:space="0"/>
              <w:right w:val="single" w:color="auto" w:sz="4" w:space="0"/>
            </w:tcBorders>
            <w:vAlign w:val="center"/>
          </w:tcPr>
          <w:p w14:paraId="54FF37E7">
            <w:pPr>
              <w:widowControl/>
              <w:jc w:val="left"/>
              <w:rPr>
                <w:rFonts w:ascii="等线" w:hAnsi="等线" w:eastAsia="等线" w:cs="宋体"/>
                <w:color w:val="000000"/>
                <w:kern w:val="0"/>
                <w:sz w:val="16"/>
                <w:szCs w:val="18"/>
              </w:rPr>
            </w:pPr>
          </w:p>
        </w:tc>
        <w:tc>
          <w:tcPr>
            <w:tcW w:w="4948" w:type="dxa"/>
            <w:tcBorders>
              <w:top w:val="nil"/>
              <w:left w:val="nil"/>
              <w:bottom w:val="single" w:color="auto" w:sz="4" w:space="0"/>
              <w:right w:val="single" w:color="auto" w:sz="4" w:space="0"/>
            </w:tcBorders>
            <w:shd w:val="clear" w:color="auto" w:fill="auto"/>
            <w:vAlign w:val="center"/>
          </w:tcPr>
          <w:p w14:paraId="156161A0">
            <w:pPr>
              <w:rPr>
                <w:rFonts w:ascii="等线" w:hAnsi="等线" w:eastAsia="等线"/>
                <w:color w:val="000000"/>
                <w:sz w:val="15"/>
                <w:szCs w:val="16"/>
              </w:rPr>
            </w:pPr>
            <w:r>
              <w:rPr>
                <w:rFonts w:ascii="等线" w:hAnsi="等线" w:eastAsia="等线"/>
                <w:color w:val="000000"/>
                <w:sz w:val="15"/>
                <w:szCs w:val="16"/>
              </w:rPr>
              <w:t>2</w:t>
            </w:r>
            <w:r>
              <w:rPr>
                <w:rFonts w:hint="eastAsia" w:ascii="等线" w:hAnsi="等线" w:eastAsia="等线"/>
                <w:color w:val="000000"/>
                <w:sz w:val="15"/>
                <w:szCs w:val="16"/>
              </w:rPr>
              <w:t>.</w:t>
            </w:r>
            <w:r>
              <w:rPr>
                <w:rFonts w:ascii="等线" w:hAnsi="等线" w:eastAsia="等线"/>
                <w:color w:val="000000"/>
                <w:sz w:val="15"/>
                <w:szCs w:val="16"/>
              </w:rPr>
              <w:t>2</w:t>
            </w:r>
            <w:r>
              <w:rPr>
                <w:rFonts w:hint="eastAsia" w:ascii="等线" w:hAnsi="等线" w:eastAsia="等线"/>
                <w:color w:val="000000"/>
                <w:sz w:val="15"/>
                <w:szCs w:val="16"/>
              </w:rPr>
              <w:t>满足展位区域用电；</w:t>
            </w:r>
          </w:p>
        </w:tc>
        <w:tc>
          <w:tcPr>
            <w:tcW w:w="995" w:type="dxa"/>
            <w:tcBorders>
              <w:top w:val="nil"/>
              <w:left w:val="nil"/>
              <w:bottom w:val="single" w:color="auto" w:sz="4" w:space="0"/>
              <w:right w:val="single" w:color="auto" w:sz="4" w:space="0"/>
            </w:tcBorders>
            <w:shd w:val="clear" w:color="auto" w:fill="auto"/>
            <w:vAlign w:val="center"/>
          </w:tcPr>
          <w:p w14:paraId="2BBC097E">
            <w:pPr>
              <w:rPr>
                <w:rFonts w:ascii="等线" w:hAnsi="等线" w:eastAsia="等线"/>
                <w:color w:val="000000"/>
                <w:sz w:val="15"/>
                <w:szCs w:val="16"/>
              </w:rPr>
            </w:pPr>
          </w:p>
        </w:tc>
        <w:tc>
          <w:tcPr>
            <w:tcW w:w="995" w:type="dxa"/>
            <w:tcBorders>
              <w:top w:val="nil"/>
              <w:left w:val="nil"/>
              <w:bottom w:val="single" w:color="auto" w:sz="4" w:space="0"/>
              <w:right w:val="single" w:color="auto" w:sz="4" w:space="0"/>
            </w:tcBorders>
            <w:shd w:val="clear" w:color="auto" w:fill="auto"/>
            <w:vAlign w:val="center"/>
          </w:tcPr>
          <w:p w14:paraId="68996593">
            <w:pPr>
              <w:rPr>
                <w:rFonts w:ascii="等线" w:hAnsi="等线" w:eastAsia="等线"/>
                <w:color w:val="000000"/>
                <w:sz w:val="15"/>
                <w:szCs w:val="16"/>
              </w:rPr>
            </w:pPr>
          </w:p>
        </w:tc>
        <w:tc>
          <w:tcPr>
            <w:tcW w:w="995" w:type="dxa"/>
            <w:tcBorders>
              <w:top w:val="nil"/>
              <w:left w:val="nil"/>
              <w:bottom w:val="single" w:color="auto" w:sz="4" w:space="0"/>
              <w:right w:val="single" w:color="auto" w:sz="4" w:space="0"/>
            </w:tcBorders>
            <w:shd w:val="clear" w:color="auto" w:fill="auto"/>
            <w:vAlign w:val="center"/>
          </w:tcPr>
          <w:p w14:paraId="6CE92399">
            <w:pPr>
              <w:rPr>
                <w:rFonts w:ascii="等线" w:hAnsi="等线" w:eastAsia="等线"/>
                <w:color w:val="000000"/>
                <w:sz w:val="15"/>
                <w:szCs w:val="16"/>
              </w:rPr>
            </w:pPr>
          </w:p>
        </w:tc>
      </w:tr>
      <w:tr w14:paraId="4F62598A">
        <w:tblPrEx>
          <w:tblCellMar>
            <w:top w:w="0" w:type="dxa"/>
            <w:left w:w="108" w:type="dxa"/>
            <w:bottom w:w="0" w:type="dxa"/>
            <w:right w:w="108" w:type="dxa"/>
          </w:tblCellMar>
        </w:tblPrEx>
        <w:trPr>
          <w:trHeight w:val="238" w:hRule="atLeast"/>
          <w:jc w:val="center"/>
        </w:trPr>
        <w:tc>
          <w:tcPr>
            <w:tcW w:w="632" w:type="dxa"/>
            <w:vMerge w:val="continue"/>
            <w:tcBorders>
              <w:top w:val="nil"/>
              <w:left w:val="single" w:color="auto" w:sz="4" w:space="0"/>
              <w:bottom w:val="single" w:color="auto" w:sz="4" w:space="0"/>
              <w:right w:val="single" w:color="auto" w:sz="4" w:space="0"/>
            </w:tcBorders>
            <w:vAlign w:val="center"/>
          </w:tcPr>
          <w:p w14:paraId="71C0A522">
            <w:pPr>
              <w:widowControl/>
              <w:jc w:val="left"/>
              <w:rPr>
                <w:rFonts w:ascii="等线" w:hAnsi="等线" w:eastAsia="等线" w:cs="宋体"/>
                <w:color w:val="000000"/>
                <w:kern w:val="0"/>
                <w:sz w:val="16"/>
                <w:szCs w:val="18"/>
              </w:rPr>
            </w:pPr>
          </w:p>
        </w:tc>
        <w:tc>
          <w:tcPr>
            <w:tcW w:w="968" w:type="dxa"/>
            <w:vMerge w:val="continue"/>
            <w:tcBorders>
              <w:top w:val="single" w:color="auto" w:sz="4" w:space="0"/>
              <w:left w:val="single" w:color="auto" w:sz="4" w:space="0"/>
              <w:bottom w:val="single" w:color="auto" w:sz="4" w:space="0"/>
              <w:right w:val="single" w:color="auto" w:sz="4" w:space="0"/>
            </w:tcBorders>
            <w:vAlign w:val="center"/>
          </w:tcPr>
          <w:p w14:paraId="0FB3388B">
            <w:pPr>
              <w:widowControl/>
              <w:jc w:val="left"/>
              <w:rPr>
                <w:rFonts w:ascii="等线" w:hAnsi="等线" w:eastAsia="等线" w:cs="宋体"/>
                <w:color w:val="000000"/>
                <w:kern w:val="0"/>
                <w:sz w:val="16"/>
                <w:szCs w:val="18"/>
              </w:rPr>
            </w:pPr>
          </w:p>
        </w:tc>
        <w:tc>
          <w:tcPr>
            <w:tcW w:w="4948" w:type="dxa"/>
            <w:tcBorders>
              <w:top w:val="nil"/>
              <w:left w:val="nil"/>
              <w:bottom w:val="single" w:color="auto" w:sz="4" w:space="0"/>
              <w:right w:val="single" w:color="auto" w:sz="4" w:space="0"/>
            </w:tcBorders>
            <w:shd w:val="clear" w:color="auto" w:fill="auto"/>
            <w:vAlign w:val="center"/>
          </w:tcPr>
          <w:p w14:paraId="4323E68C">
            <w:pPr>
              <w:rPr>
                <w:rFonts w:ascii="等线" w:hAnsi="等线" w:eastAsia="等线"/>
                <w:color w:val="000000"/>
                <w:sz w:val="15"/>
                <w:szCs w:val="16"/>
              </w:rPr>
            </w:pPr>
            <w:r>
              <w:rPr>
                <w:rFonts w:ascii="等线" w:hAnsi="等线" w:eastAsia="等线"/>
                <w:color w:val="000000"/>
                <w:sz w:val="15"/>
                <w:szCs w:val="16"/>
              </w:rPr>
              <w:t>2</w:t>
            </w:r>
            <w:r>
              <w:rPr>
                <w:rFonts w:hint="eastAsia" w:ascii="等线" w:hAnsi="等线" w:eastAsia="等线"/>
                <w:color w:val="000000"/>
                <w:sz w:val="15"/>
                <w:szCs w:val="16"/>
              </w:rPr>
              <w:t>.</w:t>
            </w:r>
            <w:r>
              <w:rPr>
                <w:rFonts w:ascii="等线" w:hAnsi="等线" w:eastAsia="等线"/>
                <w:color w:val="000000"/>
                <w:sz w:val="15"/>
                <w:szCs w:val="16"/>
              </w:rPr>
              <w:t>3</w:t>
            </w:r>
            <w:r>
              <w:rPr>
                <w:rFonts w:hint="eastAsia" w:ascii="等线" w:hAnsi="等线" w:eastAsia="等线"/>
                <w:color w:val="000000"/>
                <w:sz w:val="15"/>
                <w:szCs w:val="16"/>
              </w:rPr>
              <w:t>预留电源接口供笔记本、咖啡机、饮水机等电器使用。</w:t>
            </w:r>
          </w:p>
        </w:tc>
        <w:tc>
          <w:tcPr>
            <w:tcW w:w="995" w:type="dxa"/>
            <w:tcBorders>
              <w:top w:val="nil"/>
              <w:left w:val="nil"/>
              <w:bottom w:val="single" w:color="auto" w:sz="4" w:space="0"/>
              <w:right w:val="single" w:color="auto" w:sz="4" w:space="0"/>
            </w:tcBorders>
            <w:shd w:val="clear" w:color="auto" w:fill="auto"/>
            <w:vAlign w:val="center"/>
          </w:tcPr>
          <w:p w14:paraId="1FD34F2A">
            <w:pPr>
              <w:rPr>
                <w:rFonts w:ascii="等线" w:hAnsi="等线" w:eastAsia="等线"/>
                <w:color w:val="000000"/>
                <w:sz w:val="15"/>
                <w:szCs w:val="16"/>
              </w:rPr>
            </w:pPr>
          </w:p>
        </w:tc>
        <w:tc>
          <w:tcPr>
            <w:tcW w:w="995" w:type="dxa"/>
            <w:tcBorders>
              <w:top w:val="nil"/>
              <w:left w:val="nil"/>
              <w:bottom w:val="single" w:color="auto" w:sz="4" w:space="0"/>
              <w:right w:val="single" w:color="auto" w:sz="4" w:space="0"/>
            </w:tcBorders>
            <w:shd w:val="clear" w:color="auto" w:fill="auto"/>
            <w:vAlign w:val="center"/>
          </w:tcPr>
          <w:p w14:paraId="0C9C4A9E">
            <w:pPr>
              <w:rPr>
                <w:rFonts w:ascii="等线" w:hAnsi="等线" w:eastAsia="等线"/>
                <w:color w:val="000000"/>
                <w:sz w:val="15"/>
                <w:szCs w:val="16"/>
              </w:rPr>
            </w:pPr>
          </w:p>
        </w:tc>
        <w:tc>
          <w:tcPr>
            <w:tcW w:w="995" w:type="dxa"/>
            <w:tcBorders>
              <w:top w:val="nil"/>
              <w:left w:val="nil"/>
              <w:bottom w:val="single" w:color="auto" w:sz="4" w:space="0"/>
              <w:right w:val="single" w:color="auto" w:sz="4" w:space="0"/>
            </w:tcBorders>
            <w:shd w:val="clear" w:color="auto" w:fill="auto"/>
            <w:vAlign w:val="center"/>
          </w:tcPr>
          <w:p w14:paraId="77AA20D4">
            <w:pPr>
              <w:rPr>
                <w:rFonts w:ascii="等线" w:hAnsi="等线" w:eastAsia="等线"/>
                <w:color w:val="000000"/>
                <w:sz w:val="15"/>
                <w:szCs w:val="16"/>
              </w:rPr>
            </w:pPr>
          </w:p>
        </w:tc>
      </w:tr>
    </w:tbl>
    <w:p w14:paraId="3C721530">
      <w:pPr>
        <w:spacing w:line="360" w:lineRule="auto"/>
        <w:ind w:firstLine="663" w:firstLineChars="300"/>
        <w:rPr>
          <w:rFonts w:ascii="宋体" w:hAnsi="宋体" w:eastAsia="宋体"/>
          <w:b/>
          <w:bCs/>
          <w:sz w:val="22"/>
          <w:szCs w:val="28"/>
          <w:u w:val="single"/>
        </w:rPr>
      </w:pPr>
      <w:r>
        <w:rPr>
          <w:rFonts w:hint="eastAsia" w:ascii="宋体" w:hAnsi="宋体" w:eastAsia="宋体"/>
          <w:b/>
          <w:bCs/>
          <w:sz w:val="22"/>
          <w:szCs w:val="28"/>
          <w:u w:val="single"/>
        </w:rPr>
        <w:t>报价单中的报价，包含了标书所述内容中可能产生的所有费用。</w:t>
      </w:r>
    </w:p>
    <w:p w14:paraId="1D302A39">
      <w:pPr>
        <w:spacing w:line="360" w:lineRule="auto"/>
        <w:ind w:firstLine="660" w:firstLineChars="300"/>
        <w:rPr>
          <w:rFonts w:ascii="宋体" w:hAnsi="宋体" w:eastAsia="宋体"/>
          <w:sz w:val="22"/>
          <w:szCs w:val="21"/>
        </w:rPr>
        <w:sectPr>
          <w:footerReference r:id="rId3" w:type="default"/>
          <w:pgSz w:w="11906" w:h="16838"/>
          <w:pgMar w:top="567" w:right="567" w:bottom="567" w:left="567" w:header="851" w:footer="992" w:gutter="0"/>
          <w:cols w:space="425" w:num="1"/>
          <w:docGrid w:type="lines" w:linePitch="312" w:charSpace="0"/>
        </w:sectPr>
      </w:pPr>
      <w:r>
        <w:rPr>
          <w:rFonts w:hint="eastAsia" w:ascii="宋体" w:hAnsi="宋体" w:eastAsia="宋体"/>
          <w:sz w:val="22"/>
          <w:szCs w:val="21"/>
        </w:rPr>
        <w:t>单位名称（公章）：</w:t>
      </w:r>
      <w:r>
        <w:rPr>
          <w:rFonts w:hint="eastAsia" w:ascii="宋体" w:hAnsi="宋体" w:eastAsia="宋体"/>
          <w:sz w:val="22"/>
          <w:szCs w:val="21"/>
          <w:u w:val="single"/>
        </w:rPr>
        <w:t xml:space="preserve">                  </w:t>
      </w:r>
      <w:r>
        <w:rPr>
          <w:rFonts w:ascii="宋体" w:hAnsi="宋体" w:eastAsia="宋体"/>
          <w:sz w:val="22"/>
          <w:szCs w:val="21"/>
          <w:u w:val="single"/>
        </w:rPr>
        <w:t xml:space="preserve"> </w:t>
      </w:r>
      <w:r>
        <w:rPr>
          <w:rFonts w:ascii="宋体" w:hAnsi="宋体" w:eastAsia="宋体"/>
          <w:sz w:val="22"/>
          <w:szCs w:val="21"/>
        </w:rPr>
        <w:t xml:space="preserve">                    </w:t>
      </w:r>
      <w:r>
        <w:rPr>
          <w:rFonts w:hint="eastAsia" w:ascii="宋体" w:hAnsi="宋体" w:eastAsia="宋体"/>
          <w:sz w:val="22"/>
          <w:szCs w:val="21"/>
        </w:rPr>
        <w:t xml:space="preserve">授权代理人签字： </w:t>
      </w:r>
      <w:r>
        <w:rPr>
          <w:rFonts w:hint="eastAsia" w:ascii="宋体" w:hAnsi="宋体" w:eastAsia="宋体"/>
          <w:sz w:val="22"/>
          <w:szCs w:val="21"/>
          <w:u w:val="single"/>
        </w:rPr>
        <w:t xml:space="preserve">               </w:t>
      </w:r>
    </w:p>
    <w:p w14:paraId="0F10D10E">
      <w:pPr>
        <w:widowControl/>
        <w:spacing w:line="360" w:lineRule="auto"/>
        <w:ind w:left="-4" w:firstLine="571"/>
        <w:textAlignment w:val="baseline"/>
        <w:rPr>
          <w:rFonts w:ascii="宋体" w:hAnsi="宋体" w:eastAsia="宋体" w:cs="Times New Roman"/>
          <w:bCs/>
          <w:kern w:val="0"/>
          <w:sz w:val="30"/>
          <w:szCs w:val="30"/>
        </w:rPr>
      </w:pPr>
      <w:r>
        <w:rPr>
          <w:rFonts w:hint="eastAsia" w:ascii="宋体" w:hAnsi="宋体" w:eastAsia="宋体" w:cs="Times New Roman"/>
          <w:bCs/>
          <w:kern w:val="0"/>
          <w:sz w:val="30"/>
          <w:szCs w:val="30"/>
        </w:rPr>
        <w:t>附件</w:t>
      </w:r>
      <w:r>
        <w:rPr>
          <w:rFonts w:ascii="宋体" w:hAnsi="宋体" w:eastAsia="宋体" w:cs="Times New Roman"/>
          <w:bCs/>
          <w:kern w:val="0"/>
          <w:sz w:val="30"/>
          <w:szCs w:val="30"/>
        </w:rPr>
        <w:t>2</w:t>
      </w:r>
      <w:r>
        <w:rPr>
          <w:rFonts w:hint="eastAsia" w:ascii="宋体" w:hAnsi="宋体" w:eastAsia="宋体" w:cs="Times New Roman"/>
          <w:bCs/>
          <w:kern w:val="0"/>
          <w:sz w:val="30"/>
          <w:szCs w:val="30"/>
        </w:rPr>
        <w:t>：《投标书》</w:t>
      </w:r>
    </w:p>
    <w:p w14:paraId="4AA5BC2C">
      <w:pPr>
        <w:widowControl/>
        <w:spacing w:line="360" w:lineRule="auto"/>
        <w:ind w:left="-4" w:firstLine="571"/>
        <w:textAlignment w:val="baseline"/>
        <w:rPr>
          <w:rFonts w:ascii="宋体" w:hAnsi="宋体" w:eastAsia="宋体" w:cs="Times New Roman"/>
          <w:bCs/>
          <w:kern w:val="0"/>
          <w:sz w:val="30"/>
          <w:szCs w:val="30"/>
        </w:rPr>
      </w:pPr>
    </w:p>
    <w:p w14:paraId="55FB2977">
      <w:pPr>
        <w:widowControl/>
        <w:spacing w:line="360" w:lineRule="auto"/>
        <w:jc w:val="left"/>
        <w:textAlignment w:val="baseline"/>
        <w:rPr>
          <w:rFonts w:ascii="宋体" w:hAnsi="宋体" w:eastAsia="宋体" w:cs="Times New Roman"/>
          <w:bCs/>
          <w:kern w:val="0"/>
          <w:sz w:val="30"/>
          <w:szCs w:val="30"/>
        </w:rPr>
      </w:pPr>
      <w:r>
        <w:rPr>
          <w:rFonts w:hint="eastAsia" w:ascii="宋体" w:hAnsi="宋体" w:eastAsia="宋体" w:cs="Times New Roman"/>
          <w:bCs/>
          <w:kern w:val="0"/>
          <w:sz w:val="30"/>
          <w:szCs w:val="30"/>
        </w:rPr>
        <w:t>中国重汽集团国际有限公司：</w:t>
      </w:r>
      <w:r>
        <w:rPr>
          <w:rFonts w:ascii="宋体" w:hAnsi="宋体" w:eastAsia="宋体" w:cs="Times New Roman"/>
          <w:bCs/>
          <w:kern w:val="0"/>
          <w:sz w:val="30"/>
          <w:szCs w:val="30"/>
        </w:rPr>
        <w:t xml:space="preserve"> </w:t>
      </w:r>
    </w:p>
    <w:p w14:paraId="77EE4AF9">
      <w:pPr>
        <w:widowControl/>
        <w:spacing w:line="360" w:lineRule="auto"/>
        <w:ind w:firstLine="600" w:firstLineChars="200"/>
        <w:jc w:val="left"/>
        <w:textAlignment w:val="baseline"/>
        <w:rPr>
          <w:rFonts w:ascii="宋体" w:hAnsi="宋体" w:eastAsia="宋体" w:cs="Times New Roman"/>
          <w:kern w:val="0"/>
          <w:sz w:val="30"/>
          <w:szCs w:val="30"/>
        </w:rPr>
      </w:pPr>
      <w:r>
        <w:rPr>
          <w:rFonts w:hint="eastAsia" w:ascii="宋体" w:hAnsi="宋体" w:eastAsia="宋体" w:cs="Times New Roman"/>
          <w:kern w:val="0"/>
          <w:sz w:val="30"/>
          <w:szCs w:val="30"/>
        </w:rPr>
        <w:t>我公司申请参加贵公司第</w:t>
      </w:r>
      <w:r>
        <w:rPr>
          <w:rFonts w:hint="eastAsia" w:ascii="宋体" w:hAnsi="宋体" w:eastAsia="宋体" w:cs="Times New Roman"/>
          <w:kern w:val="0"/>
          <w:sz w:val="30"/>
          <w:szCs w:val="30"/>
          <w:lang w:val="en-US" w:eastAsia="zh-CN"/>
        </w:rPr>
        <w:t>138届</w:t>
      </w:r>
      <w:r>
        <w:rPr>
          <w:rFonts w:hint="eastAsia" w:ascii="宋体" w:hAnsi="宋体" w:eastAsia="宋体" w:cs="Times New Roman"/>
          <w:kern w:val="0"/>
          <w:sz w:val="30"/>
          <w:szCs w:val="30"/>
        </w:rPr>
        <w:t>广交会搭建运营项目，并做如下承诺：</w:t>
      </w:r>
    </w:p>
    <w:p w14:paraId="324635E6">
      <w:pPr>
        <w:widowControl/>
        <w:snapToGrid w:val="0"/>
        <w:spacing w:line="360" w:lineRule="auto"/>
        <w:ind w:firstLine="600" w:firstLineChars="200"/>
        <w:jc w:val="left"/>
        <w:textAlignment w:val="baseline"/>
        <w:rPr>
          <w:rFonts w:ascii="宋体" w:hAnsi="宋体" w:eastAsia="宋体" w:cs="Times New Roman"/>
          <w:kern w:val="0"/>
          <w:sz w:val="30"/>
          <w:szCs w:val="30"/>
        </w:rPr>
      </w:pPr>
      <w:r>
        <w:rPr>
          <w:rFonts w:hint="eastAsia" w:ascii="宋体" w:hAnsi="宋体" w:eastAsia="宋体" w:cs="Times New Roman"/>
          <w:kern w:val="0"/>
          <w:sz w:val="30"/>
          <w:szCs w:val="30"/>
        </w:rPr>
        <w:t>我公司已知晓贵公司</w:t>
      </w:r>
      <w:r>
        <w:rPr>
          <w:rFonts w:hint="eastAsia" w:ascii="宋体" w:hAnsi="宋体" w:eastAsia="宋体" w:cs="Times New Roman"/>
          <w:kern w:val="0"/>
          <w:sz w:val="30"/>
          <w:szCs w:val="30"/>
          <w:u w:val="single"/>
        </w:rPr>
        <w:t>《第</w:t>
      </w:r>
      <w:r>
        <w:rPr>
          <w:rFonts w:hint="eastAsia" w:ascii="宋体" w:hAnsi="宋体" w:eastAsia="宋体" w:cs="Times New Roman"/>
          <w:kern w:val="0"/>
          <w:sz w:val="30"/>
          <w:szCs w:val="30"/>
          <w:u w:val="single"/>
          <w:lang w:val="en-US" w:eastAsia="zh-CN"/>
        </w:rPr>
        <w:t>138届</w:t>
      </w:r>
      <w:r>
        <w:rPr>
          <w:rFonts w:hint="eastAsia" w:ascii="宋体" w:hAnsi="宋体" w:eastAsia="宋体" w:cs="Times New Roman"/>
          <w:kern w:val="0"/>
          <w:sz w:val="30"/>
          <w:szCs w:val="30"/>
          <w:u w:val="single"/>
        </w:rPr>
        <w:t>广交会搭建运营项目标书》</w:t>
      </w:r>
      <w:r>
        <w:rPr>
          <w:rFonts w:hint="eastAsia" w:ascii="宋体" w:hAnsi="宋体" w:eastAsia="宋体" w:cs="Times New Roman"/>
          <w:kern w:val="0"/>
          <w:sz w:val="30"/>
          <w:szCs w:val="30"/>
        </w:rPr>
        <w:t>内容，完全理解</w:t>
      </w:r>
      <w:r>
        <w:rPr>
          <w:rFonts w:ascii="宋体" w:hAnsi="宋体" w:eastAsia="宋体" w:cs="Times New Roman"/>
          <w:kern w:val="0"/>
          <w:sz w:val="30"/>
          <w:szCs w:val="30"/>
        </w:rPr>
        <w:t>并同意</w:t>
      </w:r>
      <w:r>
        <w:rPr>
          <w:rFonts w:hint="eastAsia" w:ascii="宋体" w:hAnsi="宋体" w:eastAsia="宋体" w:cs="Times New Roman"/>
          <w:kern w:val="0"/>
          <w:sz w:val="30"/>
          <w:szCs w:val="30"/>
        </w:rPr>
        <w:t>招标书的条款，遵守招标书中的各项规定，</w:t>
      </w:r>
      <w:r>
        <w:rPr>
          <w:rFonts w:ascii="宋体" w:hAnsi="宋体" w:eastAsia="宋体" w:cs="Times New Roman"/>
          <w:kern w:val="0"/>
          <w:sz w:val="30"/>
          <w:szCs w:val="30"/>
        </w:rPr>
        <w:t>所提供的数据和资料均真实有效，</w:t>
      </w:r>
      <w:r>
        <w:rPr>
          <w:rFonts w:hint="eastAsia" w:ascii="宋体" w:hAnsi="宋体" w:eastAsia="宋体" w:cs="Times New Roman"/>
          <w:kern w:val="0"/>
          <w:sz w:val="30"/>
          <w:szCs w:val="30"/>
        </w:rPr>
        <w:t>否则愿意承担由此引发的一切后果。</w:t>
      </w:r>
    </w:p>
    <w:p w14:paraId="6F8002AD">
      <w:pPr>
        <w:widowControl/>
        <w:spacing w:line="360" w:lineRule="auto"/>
        <w:ind w:firstLine="600" w:firstLineChars="200"/>
        <w:jc w:val="left"/>
        <w:textAlignment w:val="baseline"/>
        <w:rPr>
          <w:rFonts w:ascii="宋体" w:hAnsi="宋体" w:eastAsia="宋体" w:cs="Times New Roman"/>
          <w:kern w:val="0"/>
          <w:sz w:val="30"/>
          <w:szCs w:val="30"/>
        </w:rPr>
      </w:pPr>
    </w:p>
    <w:p w14:paraId="3C540C19">
      <w:pPr>
        <w:widowControl/>
        <w:spacing w:line="360" w:lineRule="auto"/>
        <w:ind w:firstLine="600" w:firstLineChars="200"/>
        <w:jc w:val="left"/>
        <w:textAlignment w:val="baseline"/>
        <w:rPr>
          <w:rFonts w:ascii="宋体" w:hAnsi="宋体" w:eastAsia="宋体" w:cs="Times New Roman"/>
          <w:kern w:val="0"/>
          <w:sz w:val="30"/>
          <w:szCs w:val="30"/>
        </w:rPr>
      </w:pPr>
      <w:r>
        <w:rPr>
          <w:rFonts w:hint="eastAsia" w:ascii="宋体" w:hAnsi="宋体" w:eastAsia="宋体" w:cs="Times New Roman"/>
          <w:kern w:val="0"/>
          <w:sz w:val="30"/>
          <w:szCs w:val="30"/>
        </w:rPr>
        <w:t>联 系 人：</w:t>
      </w:r>
    </w:p>
    <w:p w14:paraId="36C231CF">
      <w:pPr>
        <w:widowControl/>
        <w:spacing w:line="360" w:lineRule="auto"/>
        <w:ind w:firstLine="600" w:firstLineChars="200"/>
        <w:jc w:val="left"/>
        <w:textAlignment w:val="baseline"/>
        <w:rPr>
          <w:rFonts w:ascii="宋体" w:hAnsi="宋体" w:eastAsia="宋体" w:cs="Times New Roman"/>
          <w:kern w:val="0"/>
          <w:sz w:val="30"/>
          <w:szCs w:val="30"/>
        </w:rPr>
      </w:pPr>
      <w:r>
        <w:rPr>
          <w:rFonts w:hint="eastAsia" w:ascii="宋体" w:hAnsi="宋体" w:eastAsia="宋体" w:cs="Times New Roman"/>
          <w:kern w:val="0"/>
          <w:sz w:val="30"/>
          <w:szCs w:val="30"/>
        </w:rPr>
        <w:t>联系电话：</w:t>
      </w:r>
    </w:p>
    <w:p w14:paraId="1E0B3083">
      <w:pPr>
        <w:widowControl/>
        <w:spacing w:line="360" w:lineRule="auto"/>
        <w:ind w:firstLine="600" w:firstLineChars="200"/>
        <w:jc w:val="left"/>
        <w:textAlignment w:val="baseline"/>
        <w:rPr>
          <w:rFonts w:ascii="宋体" w:hAnsi="宋体" w:eastAsia="宋体" w:cs="Times New Roman"/>
          <w:kern w:val="0"/>
          <w:sz w:val="30"/>
          <w:szCs w:val="30"/>
        </w:rPr>
      </w:pPr>
      <w:r>
        <w:rPr>
          <w:rFonts w:hint="eastAsia" w:ascii="宋体" w:hAnsi="宋体" w:eastAsia="宋体" w:cs="Times New Roman"/>
          <w:kern w:val="0"/>
          <w:sz w:val="30"/>
          <w:szCs w:val="30"/>
        </w:rPr>
        <w:t>电子邮箱：</w:t>
      </w:r>
    </w:p>
    <w:p w14:paraId="4B1593F5">
      <w:pPr>
        <w:widowControl/>
        <w:spacing w:line="360" w:lineRule="auto"/>
        <w:jc w:val="left"/>
        <w:textAlignment w:val="baseline"/>
        <w:rPr>
          <w:rFonts w:ascii="宋体" w:hAnsi="宋体" w:eastAsia="宋体" w:cs="Times New Roman"/>
          <w:kern w:val="0"/>
          <w:sz w:val="30"/>
          <w:szCs w:val="30"/>
        </w:rPr>
      </w:pPr>
      <w:r>
        <w:rPr>
          <w:rFonts w:hint="eastAsia" w:ascii="宋体" w:hAnsi="宋体" w:eastAsia="宋体" w:cs="Times New Roman"/>
          <w:kern w:val="0"/>
          <w:sz w:val="30"/>
          <w:szCs w:val="30"/>
        </w:rPr>
        <w:t xml:space="preserve">     </w:t>
      </w:r>
    </w:p>
    <w:p w14:paraId="0A529111">
      <w:pPr>
        <w:widowControl/>
        <w:spacing w:line="360" w:lineRule="auto"/>
        <w:ind w:firstLine="600" w:firstLineChars="200"/>
        <w:jc w:val="left"/>
        <w:textAlignment w:val="baseline"/>
        <w:rPr>
          <w:rFonts w:ascii="宋体" w:hAnsi="宋体" w:eastAsia="宋体" w:cs="Times New Roman"/>
          <w:kern w:val="0"/>
          <w:sz w:val="30"/>
          <w:szCs w:val="30"/>
        </w:rPr>
      </w:pPr>
    </w:p>
    <w:p w14:paraId="24635EED">
      <w:pPr>
        <w:widowControl/>
        <w:spacing w:line="360" w:lineRule="auto"/>
        <w:ind w:firstLine="600" w:firstLineChars="200"/>
        <w:jc w:val="left"/>
        <w:textAlignment w:val="baseline"/>
        <w:rPr>
          <w:rFonts w:ascii="宋体" w:hAnsi="宋体" w:eastAsia="宋体" w:cs="Times New Roman"/>
          <w:kern w:val="0"/>
          <w:sz w:val="30"/>
          <w:szCs w:val="30"/>
        </w:rPr>
      </w:pPr>
    </w:p>
    <w:p w14:paraId="727751AF">
      <w:pPr>
        <w:widowControl/>
        <w:spacing w:line="360" w:lineRule="auto"/>
        <w:ind w:firstLine="600" w:firstLineChars="200"/>
        <w:jc w:val="left"/>
        <w:textAlignment w:val="baseline"/>
        <w:rPr>
          <w:rFonts w:ascii="宋体" w:hAnsi="宋体" w:eastAsia="宋体" w:cs="Times New Roman"/>
          <w:kern w:val="0"/>
          <w:sz w:val="30"/>
          <w:szCs w:val="30"/>
        </w:rPr>
      </w:pPr>
    </w:p>
    <w:p w14:paraId="66A861DF">
      <w:pPr>
        <w:widowControl/>
        <w:wordWrap w:val="0"/>
        <w:spacing w:line="360" w:lineRule="auto"/>
        <w:ind w:right="600"/>
        <w:jc w:val="center"/>
        <w:textAlignment w:val="baseline"/>
        <w:rPr>
          <w:rFonts w:ascii="宋体" w:hAnsi="宋体" w:eastAsia="宋体" w:cs="Times New Roman"/>
          <w:kern w:val="0"/>
          <w:sz w:val="30"/>
          <w:szCs w:val="30"/>
        </w:rPr>
      </w:pPr>
      <w:r>
        <w:rPr>
          <w:rFonts w:ascii="宋体" w:hAnsi="宋体" w:eastAsia="宋体" w:cs="Times New Roman"/>
          <w:kern w:val="0"/>
          <w:sz w:val="30"/>
          <w:szCs w:val="30"/>
        </w:rPr>
        <w:t xml:space="preserve">     </w:t>
      </w:r>
      <w:r>
        <w:rPr>
          <w:rFonts w:hint="eastAsia" w:ascii="宋体" w:hAnsi="宋体" w:eastAsia="宋体" w:cs="Times New Roman"/>
          <w:kern w:val="0"/>
          <w:sz w:val="30"/>
          <w:szCs w:val="30"/>
        </w:rPr>
        <w:t>投标人（公章）：</w:t>
      </w:r>
    </w:p>
    <w:p w14:paraId="3441F8FF">
      <w:pPr>
        <w:widowControl/>
        <w:spacing w:line="360" w:lineRule="auto"/>
        <w:ind w:right="655" w:rightChars="312"/>
        <w:jc w:val="right"/>
        <w:textAlignment w:val="baseline"/>
        <w:rPr>
          <w:rFonts w:ascii="宋体" w:hAnsi="宋体" w:eastAsia="宋体" w:cs="Times New Roman"/>
          <w:kern w:val="0"/>
          <w:sz w:val="28"/>
          <w:szCs w:val="20"/>
        </w:rPr>
      </w:pPr>
      <w:r>
        <w:rPr>
          <w:rFonts w:hint="eastAsia" w:ascii="宋体" w:hAnsi="宋体" w:eastAsia="宋体" w:cs="Times New Roman"/>
          <w:kern w:val="0"/>
          <w:sz w:val="30"/>
          <w:szCs w:val="30"/>
        </w:rPr>
        <w:t>申请日期：</w:t>
      </w:r>
      <w:r>
        <w:rPr>
          <w:rFonts w:ascii="宋体" w:hAnsi="宋体" w:eastAsia="宋体" w:cs="Times New Roman"/>
          <w:kern w:val="0"/>
          <w:sz w:val="30"/>
          <w:szCs w:val="30"/>
        </w:rPr>
        <w:t>202</w:t>
      </w:r>
      <w:r>
        <w:rPr>
          <w:rFonts w:hint="eastAsia" w:ascii="宋体" w:hAnsi="宋体" w:eastAsia="宋体" w:cs="Times New Roman"/>
          <w:kern w:val="0"/>
          <w:sz w:val="30"/>
          <w:szCs w:val="30"/>
          <w:lang w:val="en-US" w:eastAsia="zh-CN"/>
        </w:rPr>
        <w:t>5</w:t>
      </w:r>
      <w:r>
        <w:rPr>
          <w:rFonts w:ascii="宋体" w:hAnsi="宋体" w:eastAsia="宋体" w:cs="Times New Roman"/>
          <w:kern w:val="0"/>
          <w:sz w:val="30"/>
          <w:szCs w:val="30"/>
        </w:rPr>
        <w:t>年  月  日</w:t>
      </w:r>
    </w:p>
    <w:p w14:paraId="4E77DFE1">
      <w:pPr>
        <w:rPr>
          <w:rFonts w:ascii="宋体" w:hAnsi="宋体"/>
          <w:sz w:val="28"/>
          <w:szCs w:val="28"/>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2813279"/>
    </w:sdtPr>
    <w:sdtEndPr>
      <w:rPr>
        <w:rFonts w:ascii="宋体" w:hAnsi="宋体" w:eastAsia="宋体"/>
        <w:sz w:val="21"/>
        <w:szCs w:val="21"/>
      </w:rPr>
    </w:sdtEndPr>
    <w:sdtContent>
      <w:sdt>
        <w:sdtPr>
          <w:id w:val="1728636285"/>
        </w:sdtPr>
        <w:sdtEndPr>
          <w:rPr>
            <w:rFonts w:ascii="宋体" w:hAnsi="宋体" w:eastAsia="宋体"/>
            <w:sz w:val="21"/>
            <w:szCs w:val="21"/>
          </w:rPr>
        </w:sdtEndPr>
        <w:sdtContent>
          <w:p w14:paraId="31595C05">
            <w:pPr>
              <w:pStyle w:val="6"/>
              <w:jc w:val="center"/>
              <w:rPr>
                <w:rFonts w:ascii="宋体" w:hAnsi="宋体" w:eastAsia="宋体"/>
                <w:sz w:val="21"/>
                <w:szCs w:val="21"/>
              </w:rPr>
            </w:pPr>
            <w:r>
              <w:rPr>
                <w:rFonts w:hint="eastAsia" w:ascii="宋体" w:hAnsi="宋体" w:eastAsia="宋体"/>
                <w:sz w:val="21"/>
                <w:szCs w:val="21"/>
              </w:rPr>
              <w:t>第</w:t>
            </w:r>
            <w:r>
              <w:rPr>
                <w:rFonts w:ascii="宋体" w:hAnsi="宋体" w:eastAsia="宋体"/>
                <w:sz w:val="21"/>
                <w:szCs w:val="21"/>
              </w:rPr>
              <w:fldChar w:fldCharType="begin"/>
            </w:r>
            <w:r>
              <w:rPr>
                <w:rFonts w:ascii="宋体" w:hAnsi="宋体" w:eastAsia="宋体"/>
                <w:sz w:val="21"/>
                <w:szCs w:val="21"/>
              </w:rPr>
              <w:instrText xml:space="preserve">PAGE</w:instrText>
            </w:r>
            <w:r>
              <w:rPr>
                <w:rFonts w:ascii="宋体" w:hAnsi="宋体" w:eastAsia="宋体"/>
                <w:sz w:val="21"/>
                <w:szCs w:val="21"/>
              </w:rPr>
              <w:fldChar w:fldCharType="separate"/>
            </w:r>
            <w:r>
              <w:rPr>
                <w:rFonts w:ascii="宋体" w:hAnsi="宋体" w:eastAsia="宋体"/>
                <w:sz w:val="21"/>
                <w:szCs w:val="21"/>
              </w:rPr>
              <w:t>9</w:t>
            </w:r>
            <w:r>
              <w:rPr>
                <w:rFonts w:ascii="宋体" w:hAnsi="宋体" w:eastAsia="宋体"/>
                <w:sz w:val="21"/>
                <w:szCs w:val="21"/>
              </w:rPr>
              <w:fldChar w:fldCharType="end"/>
            </w:r>
            <w:r>
              <w:rPr>
                <w:rFonts w:hint="eastAsia" w:ascii="宋体" w:hAnsi="宋体" w:eastAsia="宋体"/>
                <w:sz w:val="21"/>
                <w:szCs w:val="21"/>
              </w:rPr>
              <w:t>页</w:t>
            </w:r>
            <w:r>
              <w:rPr>
                <w:rFonts w:ascii="宋体" w:hAnsi="宋体" w:eastAsia="宋体"/>
                <w:sz w:val="21"/>
                <w:szCs w:val="21"/>
                <w:lang w:val="zh-CN"/>
              </w:rPr>
              <w:t>/</w:t>
            </w:r>
            <w:r>
              <w:rPr>
                <w:rFonts w:hint="eastAsia" w:ascii="宋体" w:hAnsi="宋体" w:eastAsia="宋体"/>
                <w:sz w:val="21"/>
                <w:szCs w:val="21"/>
                <w:lang w:val="zh-CN"/>
              </w:rPr>
              <w:t>共</w:t>
            </w:r>
            <w:r>
              <w:rPr>
                <w:rFonts w:ascii="宋体" w:hAnsi="宋体" w:eastAsia="宋体"/>
                <w:sz w:val="21"/>
                <w:szCs w:val="21"/>
              </w:rPr>
              <w:fldChar w:fldCharType="begin"/>
            </w:r>
            <w:r>
              <w:rPr>
                <w:rFonts w:ascii="宋体" w:hAnsi="宋体" w:eastAsia="宋体"/>
                <w:sz w:val="21"/>
                <w:szCs w:val="21"/>
              </w:rPr>
              <w:instrText xml:space="preserve">NUMPAGES</w:instrText>
            </w:r>
            <w:r>
              <w:rPr>
                <w:rFonts w:ascii="宋体" w:hAnsi="宋体" w:eastAsia="宋体"/>
                <w:sz w:val="21"/>
                <w:szCs w:val="21"/>
              </w:rPr>
              <w:fldChar w:fldCharType="separate"/>
            </w:r>
            <w:r>
              <w:rPr>
                <w:rFonts w:ascii="宋体" w:hAnsi="宋体" w:eastAsia="宋体"/>
                <w:sz w:val="21"/>
                <w:szCs w:val="21"/>
              </w:rPr>
              <w:t>14</w:t>
            </w:r>
            <w:r>
              <w:rPr>
                <w:rFonts w:ascii="宋体" w:hAnsi="宋体" w:eastAsia="宋体"/>
                <w:sz w:val="21"/>
                <w:szCs w:val="21"/>
              </w:rPr>
              <w:fldChar w:fldCharType="end"/>
            </w:r>
            <w:r>
              <w:rPr>
                <w:rFonts w:hint="eastAsia" w:ascii="宋体" w:hAnsi="宋体" w:eastAsia="宋体"/>
                <w:sz w:val="21"/>
                <w:szCs w:val="21"/>
              </w:rPr>
              <w:t>页</w:t>
            </w:r>
          </w:p>
        </w:sdtContent>
      </w:sdt>
    </w:sdtContent>
  </w:sdt>
  <w:p w14:paraId="1CAEDC98">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DFF9DC"/>
    <w:multiLevelType w:val="singleLevel"/>
    <w:tmpl w:val="C1DFF9DC"/>
    <w:lvl w:ilvl="0" w:tentative="0">
      <w:start w:val="3"/>
      <w:numFmt w:val="chineseCounting"/>
      <w:suff w:val="nothing"/>
      <w:lvlText w:val="%1、"/>
      <w:lvlJc w:val="left"/>
      <w:rPr>
        <w:rFonts w:hint="eastAsia"/>
      </w:rPr>
    </w:lvl>
  </w:abstractNum>
  <w:abstractNum w:abstractNumId="1">
    <w:nsid w:val="E1ED94C0"/>
    <w:multiLevelType w:val="singleLevel"/>
    <w:tmpl w:val="E1ED94C0"/>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5NjM1YmE2NjZlNzU5NzRmMjU4OWZkMTAwZmJiY2YifQ=="/>
  </w:docVars>
  <w:rsids>
    <w:rsidRoot w:val="000B272D"/>
    <w:rsid w:val="00002018"/>
    <w:rsid w:val="0000296D"/>
    <w:rsid w:val="000043D4"/>
    <w:rsid w:val="000060E4"/>
    <w:rsid w:val="00021343"/>
    <w:rsid w:val="00026B4C"/>
    <w:rsid w:val="00027B0D"/>
    <w:rsid w:val="0003735B"/>
    <w:rsid w:val="00041171"/>
    <w:rsid w:val="0004300C"/>
    <w:rsid w:val="00045F30"/>
    <w:rsid w:val="00047F64"/>
    <w:rsid w:val="00052A10"/>
    <w:rsid w:val="0006010E"/>
    <w:rsid w:val="00061DD4"/>
    <w:rsid w:val="00062E17"/>
    <w:rsid w:val="00072096"/>
    <w:rsid w:val="00073C93"/>
    <w:rsid w:val="000747E7"/>
    <w:rsid w:val="000774D7"/>
    <w:rsid w:val="00083D22"/>
    <w:rsid w:val="0008402F"/>
    <w:rsid w:val="0009263E"/>
    <w:rsid w:val="00092B90"/>
    <w:rsid w:val="000A124E"/>
    <w:rsid w:val="000A7089"/>
    <w:rsid w:val="000B2299"/>
    <w:rsid w:val="000B272D"/>
    <w:rsid w:val="000B3BEA"/>
    <w:rsid w:val="000B46F0"/>
    <w:rsid w:val="000B5187"/>
    <w:rsid w:val="000D3355"/>
    <w:rsid w:val="000E4A10"/>
    <w:rsid w:val="000F0B6E"/>
    <w:rsid w:val="000F45F9"/>
    <w:rsid w:val="000F6B8D"/>
    <w:rsid w:val="001047EE"/>
    <w:rsid w:val="00104EDF"/>
    <w:rsid w:val="001069B2"/>
    <w:rsid w:val="00113227"/>
    <w:rsid w:val="001206B2"/>
    <w:rsid w:val="001263F1"/>
    <w:rsid w:val="00130517"/>
    <w:rsid w:val="00135F23"/>
    <w:rsid w:val="0014081A"/>
    <w:rsid w:val="00143D9A"/>
    <w:rsid w:val="00144A4C"/>
    <w:rsid w:val="001546A3"/>
    <w:rsid w:val="00157540"/>
    <w:rsid w:val="00157FBB"/>
    <w:rsid w:val="00157FE4"/>
    <w:rsid w:val="001647A5"/>
    <w:rsid w:val="0016563C"/>
    <w:rsid w:val="00171F54"/>
    <w:rsid w:val="00174E71"/>
    <w:rsid w:val="00176FDE"/>
    <w:rsid w:val="00177CD2"/>
    <w:rsid w:val="00184F3F"/>
    <w:rsid w:val="00185884"/>
    <w:rsid w:val="00185D33"/>
    <w:rsid w:val="00190E3F"/>
    <w:rsid w:val="0019216A"/>
    <w:rsid w:val="001944D4"/>
    <w:rsid w:val="001957C6"/>
    <w:rsid w:val="001A052E"/>
    <w:rsid w:val="001A182D"/>
    <w:rsid w:val="001A532F"/>
    <w:rsid w:val="001A6D84"/>
    <w:rsid w:val="001B1430"/>
    <w:rsid w:val="001B354B"/>
    <w:rsid w:val="001B4E95"/>
    <w:rsid w:val="001B75FE"/>
    <w:rsid w:val="001B7DC2"/>
    <w:rsid w:val="001C1DDD"/>
    <w:rsid w:val="001C3038"/>
    <w:rsid w:val="001C449A"/>
    <w:rsid w:val="001C62DB"/>
    <w:rsid w:val="001D22AF"/>
    <w:rsid w:val="001D2B68"/>
    <w:rsid w:val="001E04EA"/>
    <w:rsid w:val="001F43F0"/>
    <w:rsid w:val="001F4D8B"/>
    <w:rsid w:val="0020346C"/>
    <w:rsid w:val="00206960"/>
    <w:rsid w:val="0021254D"/>
    <w:rsid w:val="00212EBA"/>
    <w:rsid w:val="00216039"/>
    <w:rsid w:val="00217328"/>
    <w:rsid w:val="00220126"/>
    <w:rsid w:val="00221FF3"/>
    <w:rsid w:val="00224C65"/>
    <w:rsid w:val="002311F1"/>
    <w:rsid w:val="00231F00"/>
    <w:rsid w:val="0023273F"/>
    <w:rsid w:val="002330C5"/>
    <w:rsid w:val="002365A9"/>
    <w:rsid w:val="0024539E"/>
    <w:rsid w:val="002562CE"/>
    <w:rsid w:val="002644E2"/>
    <w:rsid w:val="00265741"/>
    <w:rsid w:val="0026711C"/>
    <w:rsid w:val="002766FB"/>
    <w:rsid w:val="00277A1F"/>
    <w:rsid w:val="0028282E"/>
    <w:rsid w:val="00284368"/>
    <w:rsid w:val="00287422"/>
    <w:rsid w:val="002A5267"/>
    <w:rsid w:val="002A7ACC"/>
    <w:rsid w:val="002B1050"/>
    <w:rsid w:val="002B71D7"/>
    <w:rsid w:val="002C0FEF"/>
    <w:rsid w:val="002C44E3"/>
    <w:rsid w:val="002C70A4"/>
    <w:rsid w:val="002C77F4"/>
    <w:rsid w:val="002D0C07"/>
    <w:rsid w:val="002D12F4"/>
    <w:rsid w:val="002D6F86"/>
    <w:rsid w:val="002E1BEC"/>
    <w:rsid w:val="002E2876"/>
    <w:rsid w:val="002E30B5"/>
    <w:rsid w:val="002E41D8"/>
    <w:rsid w:val="002E6862"/>
    <w:rsid w:val="002E6D2D"/>
    <w:rsid w:val="002E7ACA"/>
    <w:rsid w:val="002F45F8"/>
    <w:rsid w:val="00301EC3"/>
    <w:rsid w:val="0030696F"/>
    <w:rsid w:val="003103A2"/>
    <w:rsid w:val="0031195F"/>
    <w:rsid w:val="00311CC3"/>
    <w:rsid w:val="00315118"/>
    <w:rsid w:val="0031532C"/>
    <w:rsid w:val="00335DD1"/>
    <w:rsid w:val="003422AA"/>
    <w:rsid w:val="003453EC"/>
    <w:rsid w:val="00346623"/>
    <w:rsid w:val="003507DF"/>
    <w:rsid w:val="00350921"/>
    <w:rsid w:val="00352F19"/>
    <w:rsid w:val="0035342C"/>
    <w:rsid w:val="00362B26"/>
    <w:rsid w:val="00370198"/>
    <w:rsid w:val="00375EDB"/>
    <w:rsid w:val="00377B8D"/>
    <w:rsid w:val="003818A7"/>
    <w:rsid w:val="00381AC9"/>
    <w:rsid w:val="0038239B"/>
    <w:rsid w:val="00383E0F"/>
    <w:rsid w:val="0038437D"/>
    <w:rsid w:val="003911AD"/>
    <w:rsid w:val="003967B9"/>
    <w:rsid w:val="0039712F"/>
    <w:rsid w:val="003A4EC7"/>
    <w:rsid w:val="003B3C09"/>
    <w:rsid w:val="003C37A4"/>
    <w:rsid w:val="003C46D6"/>
    <w:rsid w:val="003C4BDF"/>
    <w:rsid w:val="003D52A8"/>
    <w:rsid w:val="003D79AC"/>
    <w:rsid w:val="003E3B7B"/>
    <w:rsid w:val="003F2E73"/>
    <w:rsid w:val="003F33E7"/>
    <w:rsid w:val="003F406C"/>
    <w:rsid w:val="004032DA"/>
    <w:rsid w:val="00406719"/>
    <w:rsid w:val="00416525"/>
    <w:rsid w:val="00421888"/>
    <w:rsid w:val="004246DF"/>
    <w:rsid w:val="00424939"/>
    <w:rsid w:val="00431573"/>
    <w:rsid w:val="004402A0"/>
    <w:rsid w:val="00445092"/>
    <w:rsid w:val="00445359"/>
    <w:rsid w:val="00445654"/>
    <w:rsid w:val="004459F3"/>
    <w:rsid w:val="0045165A"/>
    <w:rsid w:val="00452453"/>
    <w:rsid w:val="004564E9"/>
    <w:rsid w:val="00456530"/>
    <w:rsid w:val="00457065"/>
    <w:rsid w:val="00457E0F"/>
    <w:rsid w:val="004623EF"/>
    <w:rsid w:val="00463A2C"/>
    <w:rsid w:val="00482737"/>
    <w:rsid w:val="00482C8C"/>
    <w:rsid w:val="0048332D"/>
    <w:rsid w:val="0048489F"/>
    <w:rsid w:val="0048691A"/>
    <w:rsid w:val="004932DB"/>
    <w:rsid w:val="00494221"/>
    <w:rsid w:val="00496823"/>
    <w:rsid w:val="004A1919"/>
    <w:rsid w:val="004A1FED"/>
    <w:rsid w:val="004A3894"/>
    <w:rsid w:val="004B0086"/>
    <w:rsid w:val="004C4AB2"/>
    <w:rsid w:val="004D20BD"/>
    <w:rsid w:val="004D4431"/>
    <w:rsid w:val="004E5D74"/>
    <w:rsid w:val="004E7082"/>
    <w:rsid w:val="004F00AD"/>
    <w:rsid w:val="00502A7C"/>
    <w:rsid w:val="0051035B"/>
    <w:rsid w:val="00522EDF"/>
    <w:rsid w:val="00524710"/>
    <w:rsid w:val="00541DFA"/>
    <w:rsid w:val="005441D9"/>
    <w:rsid w:val="00547DCC"/>
    <w:rsid w:val="005504C4"/>
    <w:rsid w:val="00551DD1"/>
    <w:rsid w:val="00555FD0"/>
    <w:rsid w:val="0056069A"/>
    <w:rsid w:val="00562D12"/>
    <w:rsid w:val="005653FB"/>
    <w:rsid w:val="00567959"/>
    <w:rsid w:val="0057274A"/>
    <w:rsid w:val="005802CA"/>
    <w:rsid w:val="005850B6"/>
    <w:rsid w:val="00592182"/>
    <w:rsid w:val="00597CDA"/>
    <w:rsid w:val="005A245E"/>
    <w:rsid w:val="005C438B"/>
    <w:rsid w:val="005C5A43"/>
    <w:rsid w:val="005D1D0D"/>
    <w:rsid w:val="005D3C28"/>
    <w:rsid w:val="005D6CD3"/>
    <w:rsid w:val="005D7ECE"/>
    <w:rsid w:val="005E6F69"/>
    <w:rsid w:val="005F27F8"/>
    <w:rsid w:val="005F57CD"/>
    <w:rsid w:val="005F6919"/>
    <w:rsid w:val="00606F05"/>
    <w:rsid w:val="006159E6"/>
    <w:rsid w:val="00615E13"/>
    <w:rsid w:val="0062075B"/>
    <w:rsid w:val="00620D46"/>
    <w:rsid w:val="00623B72"/>
    <w:rsid w:val="00625255"/>
    <w:rsid w:val="00627EBD"/>
    <w:rsid w:val="0063197F"/>
    <w:rsid w:val="00632905"/>
    <w:rsid w:val="00636C20"/>
    <w:rsid w:val="00650315"/>
    <w:rsid w:val="00650D71"/>
    <w:rsid w:val="006608E2"/>
    <w:rsid w:val="00660A13"/>
    <w:rsid w:val="006661C6"/>
    <w:rsid w:val="006701E9"/>
    <w:rsid w:val="00675CB8"/>
    <w:rsid w:val="006778D7"/>
    <w:rsid w:val="00680735"/>
    <w:rsid w:val="00680753"/>
    <w:rsid w:val="006822A5"/>
    <w:rsid w:val="00683886"/>
    <w:rsid w:val="00690026"/>
    <w:rsid w:val="00693082"/>
    <w:rsid w:val="00693D62"/>
    <w:rsid w:val="00694461"/>
    <w:rsid w:val="006954B2"/>
    <w:rsid w:val="006A1D8A"/>
    <w:rsid w:val="006A1DB3"/>
    <w:rsid w:val="006B26C5"/>
    <w:rsid w:val="006B2D6D"/>
    <w:rsid w:val="006B6CDC"/>
    <w:rsid w:val="006C23F2"/>
    <w:rsid w:val="006C459C"/>
    <w:rsid w:val="006C7EA6"/>
    <w:rsid w:val="006D20B5"/>
    <w:rsid w:val="006D3CE1"/>
    <w:rsid w:val="006D7240"/>
    <w:rsid w:val="006E2488"/>
    <w:rsid w:val="006E4543"/>
    <w:rsid w:val="006F390C"/>
    <w:rsid w:val="006F3F84"/>
    <w:rsid w:val="006F4F16"/>
    <w:rsid w:val="006F7703"/>
    <w:rsid w:val="007024F4"/>
    <w:rsid w:val="00704285"/>
    <w:rsid w:val="00710A78"/>
    <w:rsid w:val="007116DA"/>
    <w:rsid w:val="007128EC"/>
    <w:rsid w:val="00713F1B"/>
    <w:rsid w:val="0071447E"/>
    <w:rsid w:val="00714E18"/>
    <w:rsid w:val="007210A7"/>
    <w:rsid w:val="00727A08"/>
    <w:rsid w:val="00730EE9"/>
    <w:rsid w:val="00731FEE"/>
    <w:rsid w:val="007338B0"/>
    <w:rsid w:val="00734CAD"/>
    <w:rsid w:val="00735A78"/>
    <w:rsid w:val="00741F59"/>
    <w:rsid w:val="00752248"/>
    <w:rsid w:val="00757F5C"/>
    <w:rsid w:val="00767C3A"/>
    <w:rsid w:val="00774625"/>
    <w:rsid w:val="00777768"/>
    <w:rsid w:val="0078346D"/>
    <w:rsid w:val="00783E8F"/>
    <w:rsid w:val="00787B37"/>
    <w:rsid w:val="007906B4"/>
    <w:rsid w:val="007939A0"/>
    <w:rsid w:val="007A7A21"/>
    <w:rsid w:val="007B0BC9"/>
    <w:rsid w:val="007B0D9D"/>
    <w:rsid w:val="007B4C72"/>
    <w:rsid w:val="007B5BB5"/>
    <w:rsid w:val="007B6BC4"/>
    <w:rsid w:val="007C6C05"/>
    <w:rsid w:val="007C72A7"/>
    <w:rsid w:val="007D2AE5"/>
    <w:rsid w:val="007D488F"/>
    <w:rsid w:val="007E1692"/>
    <w:rsid w:val="007E2ABD"/>
    <w:rsid w:val="007E3CDE"/>
    <w:rsid w:val="007E49D6"/>
    <w:rsid w:val="007F390F"/>
    <w:rsid w:val="007F4AE9"/>
    <w:rsid w:val="007F67EE"/>
    <w:rsid w:val="007F6C1D"/>
    <w:rsid w:val="007F7459"/>
    <w:rsid w:val="00800B27"/>
    <w:rsid w:val="0080732E"/>
    <w:rsid w:val="00812853"/>
    <w:rsid w:val="008169FE"/>
    <w:rsid w:val="00822053"/>
    <w:rsid w:val="008266A7"/>
    <w:rsid w:val="0083474F"/>
    <w:rsid w:val="008400A8"/>
    <w:rsid w:val="00840837"/>
    <w:rsid w:val="008410CC"/>
    <w:rsid w:val="00842463"/>
    <w:rsid w:val="00847138"/>
    <w:rsid w:val="008500C2"/>
    <w:rsid w:val="00852B0A"/>
    <w:rsid w:val="008602F0"/>
    <w:rsid w:val="008614B3"/>
    <w:rsid w:val="0086167E"/>
    <w:rsid w:val="00861AAB"/>
    <w:rsid w:val="00863321"/>
    <w:rsid w:val="008652B0"/>
    <w:rsid w:val="008721DE"/>
    <w:rsid w:val="008729D5"/>
    <w:rsid w:val="00874EFE"/>
    <w:rsid w:val="00880E60"/>
    <w:rsid w:val="00881494"/>
    <w:rsid w:val="00884E70"/>
    <w:rsid w:val="00891596"/>
    <w:rsid w:val="008A1928"/>
    <w:rsid w:val="008A4806"/>
    <w:rsid w:val="008B0838"/>
    <w:rsid w:val="008B6595"/>
    <w:rsid w:val="008C049D"/>
    <w:rsid w:val="008C3BE7"/>
    <w:rsid w:val="008D3E73"/>
    <w:rsid w:val="008D6231"/>
    <w:rsid w:val="008E6E8A"/>
    <w:rsid w:val="008F05E6"/>
    <w:rsid w:val="008F35C5"/>
    <w:rsid w:val="008F4A1B"/>
    <w:rsid w:val="008F6B5A"/>
    <w:rsid w:val="008F6DD7"/>
    <w:rsid w:val="00901BCA"/>
    <w:rsid w:val="00904726"/>
    <w:rsid w:val="0091024D"/>
    <w:rsid w:val="00914395"/>
    <w:rsid w:val="0093586C"/>
    <w:rsid w:val="00947D4A"/>
    <w:rsid w:val="00967359"/>
    <w:rsid w:val="00970CBD"/>
    <w:rsid w:val="00972A73"/>
    <w:rsid w:val="00976D6F"/>
    <w:rsid w:val="0097771F"/>
    <w:rsid w:val="00980295"/>
    <w:rsid w:val="00981F89"/>
    <w:rsid w:val="009877F9"/>
    <w:rsid w:val="00987CC3"/>
    <w:rsid w:val="0099194A"/>
    <w:rsid w:val="009A11A4"/>
    <w:rsid w:val="009A1572"/>
    <w:rsid w:val="009A1AB3"/>
    <w:rsid w:val="009B05F3"/>
    <w:rsid w:val="009B2EA1"/>
    <w:rsid w:val="009B32F9"/>
    <w:rsid w:val="009B6B96"/>
    <w:rsid w:val="009C7CDF"/>
    <w:rsid w:val="009D2E74"/>
    <w:rsid w:val="009D3141"/>
    <w:rsid w:val="009D42DC"/>
    <w:rsid w:val="009D6A79"/>
    <w:rsid w:val="009D6E35"/>
    <w:rsid w:val="009E21EA"/>
    <w:rsid w:val="009E3438"/>
    <w:rsid w:val="009E61F6"/>
    <w:rsid w:val="009E6578"/>
    <w:rsid w:val="009F111B"/>
    <w:rsid w:val="009F13F4"/>
    <w:rsid w:val="009F47E1"/>
    <w:rsid w:val="009F5391"/>
    <w:rsid w:val="00A10AEB"/>
    <w:rsid w:val="00A14D9E"/>
    <w:rsid w:val="00A238E4"/>
    <w:rsid w:val="00A24A9F"/>
    <w:rsid w:val="00A43ACD"/>
    <w:rsid w:val="00A469A1"/>
    <w:rsid w:val="00A53462"/>
    <w:rsid w:val="00A5447F"/>
    <w:rsid w:val="00A54CA8"/>
    <w:rsid w:val="00A61293"/>
    <w:rsid w:val="00A613A0"/>
    <w:rsid w:val="00A61E35"/>
    <w:rsid w:val="00A6754A"/>
    <w:rsid w:val="00A67D2C"/>
    <w:rsid w:val="00A71962"/>
    <w:rsid w:val="00A7346B"/>
    <w:rsid w:val="00A7479D"/>
    <w:rsid w:val="00A83194"/>
    <w:rsid w:val="00A834B8"/>
    <w:rsid w:val="00A83AE9"/>
    <w:rsid w:val="00A86914"/>
    <w:rsid w:val="00AB0609"/>
    <w:rsid w:val="00AB31E2"/>
    <w:rsid w:val="00AB3BC6"/>
    <w:rsid w:val="00AB7804"/>
    <w:rsid w:val="00AC41EA"/>
    <w:rsid w:val="00AC710F"/>
    <w:rsid w:val="00AC7638"/>
    <w:rsid w:val="00AD0929"/>
    <w:rsid w:val="00AD1C3A"/>
    <w:rsid w:val="00AD5A2B"/>
    <w:rsid w:val="00AE09F3"/>
    <w:rsid w:val="00AE27E1"/>
    <w:rsid w:val="00AF0869"/>
    <w:rsid w:val="00AF0C2E"/>
    <w:rsid w:val="00AF1EC7"/>
    <w:rsid w:val="00AF3073"/>
    <w:rsid w:val="00AF674B"/>
    <w:rsid w:val="00AF68BC"/>
    <w:rsid w:val="00B07199"/>
    <w:rsid w:val="00B07241"/>
    <w:rsid w:val="00B13BCD"/>
    <w:rsid w:val="00B15734"/>
    <w:rsid w:val="00B15C9A"/>
    <w:rsid w:val="00B1727D"/>
    <w:rsid w:val="00B200DE"/>
    <w:rsid w:val="00B21468"/>
    <w:rsid w:val="00B225D3"/>
    <w:rsid w:val="00B22E5E"/>
    <w:rsid w:val="00B25952"/>
    <w:rsid w:val="00B40EDE"/>
    <w:rsid w:val="00B45212"/>
    <w:rsid w:val="00B552D1"/>
    <w:rsid w:val="00B565DA"/>
    <w:rsid w:val="00B56F04"/>
    <w:rsid w:val="00B570F5"/>
    <w:rsid w:val="00B66A99"/>
    <w:rsid w:val="00B706EA"/>
    <w:rsid w:val="00B7556C"/>
    <w:rsid w:val="00B81269"/>
    <w:rsid w:val="00B84DCA"/>
    <w:rsid w:val="00B85090"/>
    <w:rsid w:val="00B94C91"/>
    <w:rsid w:val="00BA534E"/>
    <w:rsid w:val="00BA6C96"/>
    <w:rsid w:val="00BB1A24"/>
    <w:rsid w:val="00BB4768"/>
    <w:rsid w:val="00BD0EE0"/>
    <w:rsid w:val="00BD14DF"/>
    <w:rsid w:val="00BD6E33"/>
    <w:rsid w:val="00BE173A"/>
    <w:rsid w:val="00BE4475"/>
    <w:rsid w:val="00BF42B3"/>
    <w:rsid w:val="00BF70EF"/>
    <w:rsid w:val="00C060AD"/>
    <w:rsid w:val="00C1314A"/>
    <w:rsid w:val="00C15A69"/>
    <w:rsid w:val="00C167C4"/>
    <w:rsid w:val="00C32C5D"/>
    <w:rsid w:val="00C35ED5"/>
    <w:rsid w:val="00C43375"/>
    <w:rsid w:val="00C45D0A"/>
    <w:rsid w:val="00C45D89"/>
    <w:rsid w:val="00C537FA"/>
    <w:rsid w:val="00C5533C"/>
    <w:rsid w:val="00C555BF"/>
    <w:rsid w:val="00C61173"/>
    <w:rsid w:val="00C616A8"/>
    <w:rsid w:val="00C6537A"/>
    <w:rsid w:val="00C75045"/>
    <w:rsid w:val="00C76F15"/>
    <w:rsid w:val="00C800DB"/>
    <w:rsid w:val="00C81972"/>
    <w:rsid w:val="00C81EE6"/>
    <w:rsid w:val="00C90038"/>
    <w:rsid w:val="00C90BAC"/>
    <w:rsid w:val="00C92103"/>
    <w:rsid w:val="00C93A94"/>
    <w:rsid w:val="00CA1345"/>
    <w:rsid w:val="00CA1DAA"/>
    <w:rsid w:val="00CA5192"/>
    <w:rsid w:val="00CB471D"/>
    <w:rsid w:val="00CB7B0F"/>
    <w:rsid w:val="00CB7CD1"/>
    <w:rsid w:val="00CB7CED"/>
    <w:rsid w:val="00CC42A0"/>
    <w:rsid w:val="00CD338D"/>
    <w:rsid w:val="00CD534E"/>
    <w:rsid w:val="00CD5581"/>
    <w:rsid w:val="00CE20D8"/>
    <w:rsid w:val="00CE2434"/>
    <w:rsid w:val="00CE4807"/>
    <w:rsid w:val="00CF1482"/>
    <w:rsid w:val="00CF7957"/>
    <w:rsid w:val="00D055E5"/>
    <w:rsid w:val="00D06E77"/>
    <w:rsid w:val="00D1085E"/>
    <w:rsid w:val="00D2023A"/>
    <w:rsid w:val="00D2045C"/>
    <w:rsid w:val="00D23CB9"/>
    <w:rsid w:val="00D254E0"/>
    <w:rsid w:val="00D26E00"/>
    <w:rsid w:val="00D32D51"/>
    <w:rsid w:val="00D33BCB"/>
    <w:rsid w:val="00D341FF"/>
    <w:rsid w:val="00D5223C"/>
    <w:rsid w:val="00D53B20"/>
    <w:rsid w:val="00D63E84"/>
    <w:rsid w:val="00D64811"/>
    <w:rsid w:val="00D7203E"/>
    <w:rsid w:val="00D720AF"/>
    <w:rsid w:val="00D81093"/>
    <w:rsid w:val="00D82079"/>
    <w:rsid w:val="00D845C0"/>
    <w:rsid w:val="00D96409"/>
    <w:rsid w:val="00DA39BE"/>
    <w:rsid w:val="00DB0115"/>
    <w:rsid w:val="00DB3A49"/>
    <w:rsid w:val="00DC4A68"/>
    <w:rsid w:val="00DD0466"/>
    <w:rsid w:val="00DD3605"/>
    <w:rsid w:val="00DD4B27"/>
    <w:rsid w:val="00DD541D"/>
    <w:rsid w:val="00DD58BA"/>
    <w:rsid w:val="00DE05FB"/>
    <w:rsid w:val="00DF002F"/>
    <w:rsid w:val="00DF52AE"/>
    <w:rsid w:val="00E02DFD"/>
    <w:rsid w:val="00E02E59"/>
    <w:rsid w:val="00E04866"/>
    <w:rsid w:val="00E07709"/>
    <w:rsid w:val="00E11FF1"/>
    <w:rsid w:val="00E15348"/>
    <w:rsid w:val="00E2383F"/>
    <w:rsid w:val="00E33D82"/>
    <w:rsid w:val="00E33DBA"/>
    <w:rsid w:val="00E441AE"/>
    <w:rsid w:val="00E44A8F"/>
    <w:rsid w:val="00E4551D"/>
    <w:rsid w:val="00E45B65"/>
    <w:rsid w:val="00E50748"/>
    <w:rsid w:val="00E52859"/>
    <w:rsid w:val="00E552FD"/>
    <w:rsid w:val="00E55FF2"/>
    <w:rsid w:val="00E6416A"/>
    <w:rsid w:val="00E66827"/>
    <w:rsid w:val="00E70E48"/>
    <w:rsid w:val="00E71DEC"/>
    <w:rsid w:val="00E73FA3"/>
    <w:rsid w:val="00E75476"/>
    <w:rsid w:val="00E87070"/>
    <w:rsid w:val="00EA1ACC"/>
    <w:rsid w:val="00EA2434"/>
    <w:rsid w:val="00EA2D47"/>
    <w:rsid w:val="00EA3B4D"/>
    <w:rsid w:val="00EA7154"/>
    <w:rsid w:val="00EB0F08"/>
    <w:rsid w:val="00EC3A79"/>
    <w:rsid w:val="00F00460"/>
    <w:rsid w:val="00F0175E"/>
    <w:rsid w:val="00F06C21"/>
    <w:rsid w:val="00F07336"/>
    <w:rsid w:val="00F10BE2"/>
    <w:rsid w:val="00F13AFE"/>
    <w:rsid w:val="00F1618E"/>
    <w:rsid w:val="00F16BB8"/>
    <w:rsid w:val="00F2313D"/>
    <w:rsid w:val="00F23D13"/>
    <w:rsid w:val="00F2442D"/>
    <w:rsid w:val="00F250D5"/>
    <w:rsid w:val="00F33939"/>
    <w:rsid w:val="00F429AC"/>
    <w:rsid w:val="00F46D45"/>
    <w:rsid w:val="00F55B76"/>
    <w:rsid w:val="00F56080"/>
    <w:rsid w:val="00F63A09"/>
    <w:rsid w:val="00F63D91"/>
    <w:rsid w:val="00F66889"/>
    <w:rsid w:val="00F673EB"/>
    <w:rsid w:val="00F73017"/>
    <w:rsid w:val="00F73E1D"/>
    <w:rsid w:val="00F7442B"/>
    <w:rsid w:val="00F7554C"/>
    <w:rsid w:val="00F75B58"/>
    <w:rsid w:val="00F809BF"/>
    <w:rsid w:val="00F959C1"/>
    <w:rsid w:val="00FA36AA"/>
    <w:rsid w:val="00FB0946"/>
    <w:rsid w:val="00FB389D"/>
    <w:rsid w:val="00FB7A5F"/>
    <w:rsid w:val="00FC119E"/>
    <w:rsid w:val="00FC39EB"/>
    <w:rsid w:val="00FC5DF7"/>
    <w:rsid w:val="00FC6BB2"/>
    <w:rsid w:val="00FC746C"/>
    <w:rsid w:val="00FD249D"/>
    <w:rsid w:val="00FD626F"/>
    <w:rsid w:val="00FD6875"/>
    <w:rsid w:val="00FE005A"/>
    <w:rsid w:val="00FE5DFD"/>
    <w:rsid w:val="00FF105C"/>
    <w:rsid w:val="00FF24EE"/>
    <w:rsid w:val="00FF4599"/>
    <w:rsid w:val="02010D2D"/>
    <w:rsid w:val="02D7682C"/>
    <w:rsid w:val="046F37B8"/>
    <w:rsid w:val="04DF2BB8"/>
    <w:rsid w:val="085A32B5"/>
    <w:rsid w:val="0901606F"/>
    <w:rsid w:val="0A375DCF"/>
    <w:rsid w:val="0B082E3B"/>
    <w:rsid w:val="0B80646A"/>
    <w:rsid w:val="0CC06157"/>
    <w:rsid w:val="0EB925D1"/>
    <w:rsid w:val="0F44355D"/>
    <w:rsid w:val="100B4E95"/>
    <w:rsid w:val="12CC443C"/>
    <w:rsid w:val="13535E6D"/>
    <w:rsid w:val="14F938EB"/>
    <w:rsid w:val="16AF0E75"/>
    <w:rsid w:val="17397FA6"/>
    <w:rsid w:val="17793FC0"/>
    <w:rsid w:val="17C90405"/>
    <w:rsid w:val="17DA2FB9"/>
    <w:rsid w:val="194104F7"/>
    <w:rsid w:val="199F7811"/>
    <w:rsid w:val="1B9C64CF"/>
    <w:rsid w:val="1FD955FC"/>
    <w:rsid w:val="201D74D8"/>
    <w:rsid w:val="20611AE8"/>
    <w:rsid w:val="23B0243A"/>
    <w:rsid w:val="27BF686D"/>
    <w:rsid w:val="2B333A03"/>
    <w:rsid w:val="2B34402E"/>
    <w:rsid w:val="2D22645E"/>
    <w:rsid w:val="2E9504C8"/>
    <w:rsid w:val="2FFF10AF"/>
    <w:rsid w:val="30C559AF"/>
    <w:rsid w:val="310C4386"/>
    <w:rsid w:val="318F14D7"/>
    <w:rsid w:val="31B16B8C"/>
    <w:rsid w:val="325F4087"/>
    <w:rsid w:val="33FD3B57"/>
    <w:rsid w:val="34790D04"/>
    <w:rsid w:val="368F480F"/>
    <w:rsid w:val="369F3C85"/>
    <w:rsid w:val="39C42A21"/>
    <w:rsid w:val="3A6A10C9"/>
    <w:rsid w:val="3B834B92"/>
    <w:rsid w:val="3D7540C2"/>
    <w:rsid w:val="3FAA42E4"/>
    <w:rsid w:val="3FEB29BB"/>
    <w:rsid w:val="3FFF05E2"/>
    <w:rsid w:val="401E1EE5"/>
    <w:rsid w:val="42FB57F5"/>
    <w:rsid w:val="432D5ADB"/>
    <w:rsid w:val="43F07FB4"/>
    <w:rsid w:val="45451780"/>
    <w:rsid w:val="45460EC5"/>
    <w:rsid w:val="47FE1BC7"/>
    <w:rsid w:val="48482A6F"/>
    <w:rsid w:val="4A870BF6"/>
    <w:rsid w:val="4CF33A2E"/>
    <w:rsid w:val="4D494939"/>
    <w:rsid w:val="4E01203E"/>
    <w:rsid w:val="4EC45545"/>
    <w:rsid w:val="4F6A04FA"/>
    <w:rsid w:val="5434493D"/>
    <w:rsid w:val="55BA6402"/>
    <w:rsid w:val="57967CD7"/>
    <w:rsid w:val="58B079CF"/>
    <w:rsid w:val="5E2C47F5"/>
    <w:rsid w:val="5E5463B1"/>
    <w:rsid w:val="63A31776"/>
    <w:rsid w:val="68CD51B5"/>
    <w:rsid w:val="68F129A4"/>
    <w:rsid w:val="69292A7E"/>
    <w:rsid w:val="69CB3BC8"/>
    <w:rsid w:val="6A5F216E"/>
    <w:rsid w:val="6E096E8D"/>
    <w:rsid w:val="70D70CB1"/>
    <w:rsid w:val="72E9286C"/>
    <w:rsid w:val="73966C01"/>
    <w:rsid w:val="748F4420"/>
    <w:rsid w:val="74C8069D"/>
    <w:rsid w:val="7A75502F"/>
    <w:rsid w:val="7B747B4C"/>
    <w:rsid w:val="7E5E59BF"/>
    <w:rsid w:val="7F7B6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Plain Text"/>
    <w:basedOn w:val="1"/>
    <w:link w:val="21"/>
    <w:qFormat/>
    <w:uiPriority w:val="0"/>
    <w:rPr>
      <w:rFonts w:ascii="宋体" w:hAnsi="Courier New"/>
    </w:rPr>
  </w:style>
  <w:style w:type="paragraph" w:styleId="4">
    <w:name w:val="Date"/>
    <w:basedOn w:val="1"/>
    <w:next w:val="1"/>
    <w:link w:val="23"/>
    <w:semiHidden/>
    <w:unhideWhenUsed/>
    <w:qFormat/>
    <w:uiPriority w:val="99"/>
    <w:pPr>
      <w:ind w:left="100" w:leftChars="2500"/>
    </w:pPr>
  </w:style>
  <w:style w:type="paragraph" w:styleId="5">
    <w:name w:val="Balloon Text"/>
    <w:basedOn w:val="1"/>
    <w:link w:val="18"/>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7"/>
    <w:semiHidden/>
    <w:unhideWhenUsed/>
    <w:qFormat/>
    <w:uiPriority w:val="99"/>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styleId="13">
    <w:name w:val="annotation reference"/>
    <w:basedOn w:val="11"/>
    <w:semiHidden/>
    <w:unhideWhenUsed/>
    <w:qFormat/>
    <w:uiPriority w:val="99"/>
    <w:rPr>
      <w:sz w:val="21"/>
      <w:szCs w:val="21"/>
    </w:rPr>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character" w:customStyle="1" w:styleId="16">
    <w:name w:val="批注文字 字符"/>
    <w:basedOn w:val="11"/>
    <w:link w:val="2"/>
    <w:semiHidden/>
    <w:qFormat/>
    <w:uiPriority w:val="99"/>
  </w:style>
  <w:style w:type="character" w:customStyle="1" w:styleId="17">
    <w:name w:val="批注主题 字符"/>
    <w:basedOn w:val="16"/>
    <w:link w:val="8"/>
    <w:semiHidden/>
    <w:qFormat/>
    <w:uiPriority w:val="99"/>
    <w:rPr>
      <w:b/>
      <w:bCs/>
    </w:rPr>
  </w:style>
  <w:style w:type="character" w:customStyle="1" w:styleId="18">
    <w:name w:val="批注框文本 字符"/>
    <w:basedOn w:val="11"/>
    <w:link w:val="5"/>
    <w:semiHidden/>
    <w:qFormat/>
    <w:uiPriority w:val="99"/>
    <w:rPr>
      <w:sz w:val="18"/>
      <w:szCs w:val="18"/>
    </w:rPr>
  </w:style>
  <w:style w:type="paragraph" w:styleId="19">
    <w:name w:val="List Paragraph"/>
    <w:basedOn w:val="1"/>
    <w:qFormat/>
    <w:uiPriority w:val="34"/>
    <w:pPr>
      <w:ind w:firstLine="420" w:firstLineChars="200"/>
    </w:pPr>
  </w:style>
  <w:style w:type="character" w:customStyle="1" w:styleId="20">
    <w:name w:val="未处理的提及1"/>
    <w:basedOn w:val="11"/>
    <w:semiHidden/>
    <w:unhideWhenUsed/>
    <w:qFormat/>
    <w:uiPriority w:val="99"/>
    <w:rPr>
      <w:color w:val="605E5C"/>
      <w:shd w:val="clear" w:color="auto" w:fill="E1DFDD"/>
    </w:rPr>
  </w:style>
  <w:style w:type="character" w:customStyle="1" w:styleId="21">
    <w:name w:val="纯文本 字符"/>
    <w:link w:val="3"/>
    <w:qFormat/>
    <w:uiPriority w:val="0"/>
    <w:rPr>
      <w:rFonts w:ascii="宋体" w:hAnsi="Courier New"/>
    </w:rPr>
  </w:style>
  <w:style w:type="character" w:customStyle="1" w:styleId="22">
    <w:name w:val="纯文本 字符1"/>
    <w:basedOn w:val="11"/>
    <w:semiHidden/>
    <w:qFormat/>
    <w:uiPriority w:val="99"/>
    <w:rPr>
      <w:rFonts w:hAnsi="Courier New" w:cs="Courier New" w:asciiTheme="minorEastAsia"/>
    </w:rPr>
  </w:style>
  <w:style w:type="character" w:customStyle="1" w:styleId="23">
    <w:name w:val="日期 字符"/>
    <w:basedOn w:val="11"/>
    <w:link w:val="4"/>
    <w:semiHidden/>
    <w:qFormat/>
    <w:uiPriority w:val="99"/>
  </w:style>
  <w:style w:type="paragraph" w:customStyle="1" w:styleId="24">
    <w:name w:val="列出段落1"/>
    <w:basedOn w:val="1"/>
    <w:qFormat/>
    <w:uiPriority w:val="0"/>
    <w:pPr>
      <w:ind w:firstLine="420" w:firstLineChars="200"/>
    </w:pPr>
    <w:rPr>
      <w:rFonts w:ascii="Calibri" w:hAnsi="Calibri"/>
    </w:rPr>
  </w:style>
  <w:style w:type="paragraph" w:customStyle="1" w:styleId="25">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 Inc.</Company>
  <Pages>14</Pages>
  <Words>2698</Words>
  <Characters>2792</Characters>
  <Lines>54</Lines>
  <Paragraphs>15</Paragraphs>
  <TotalTime>4</TotalTime>
  <ScaleCrop>false</ScaleCrop>
  <LinksUpToDate>false</LinksUpToDate>
  <CharactersWithSpaces>2802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2024-03-08T09:48:00Z</dcterms:created>
  <dc:creator>杜玉杰</dc:creator>
  <cp:lastModifiedBy>杨文文</cp:lastModifiedBy>
  <cp:lastPrinted>2021-01-15T08:37:00Z</cp:lastPrinted>
  <dcterms:modified xsi:type="dcterms:W3CDTF">2025-08-08T03:10:35Z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56A9F26D5E0E45D09E1B7F0D062EB157_13</vt:lpwstr>
  </property>
  <property fmtid="{D5CDD505-2E9C-101B-9397-08002B2CF9AE}" pid="4" name="KSOTemplateDocerSaveRecord">
    <vt:lpwstr>eyJoZGlkIjoiYzU4M2VlNWEyYzU3NmI4MThkY2VjMzM5M2M3MDJmODkiLCJ1c2VySWQiOiIyMzQ1OTU1MDAifQ==</vt:lpwstr>
  </property>
</Properties>
</file>