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8E463D">
      <w:pPr>
        <w:pStyle w:val="3"/>
        <w:bidi w:val="0"/>
        <w:jc w:val="center"/>
        <w:rPr>
          <w:rFonts w:hint="eastAsia"/>
          <w:lang w:val="en-US" w:eastAsia="zh-CN"/>
        </w:rPr>
      </w:pPr>
      <w:bookmarkStart w:id="0" w:name="_Toc1547"/>
      <w:r>
        <w:rPr>
          <w:rFonts w:hint="eastAsia"/>
        </w:rPr>
        <w:t>第</w:t>
      </w:r>
      <w:r>
        <w:rPr>
          <w:rFonts w:hint="eastAsia"/>
          <w:lang w:val="en-US" w:eastAsia="zh-CN"/>
        </w:rPr>
        <w:t>一</w:t>
      </w:r>
      <w:r>
        <w:rPr>
          <w:rFonts w:hint="eastAsia"/>
        </w:rPr>
        <w:t>章</w:t>
      </w:r>
      <w:r>
        <w:rPr>
          <w:rFonts w:hint="eastAsia"/>
          <w:lang w:val="en-US" w:eastAsia="zh-CN"/>
        </w:rPr>
        <w:t xml:space="preserve"> </w:t>
      </w:r>
      <w:r>
        <w:rPr>
          <w:rFonts w:hint="eastAsia"/>
        </w:rPr>
        <w:t>招标</w:t>
      </w:r>
      <w:r>
        <w:rPr>
          <w:rFonts w:hint="eastAsia"/>
          <w:lang w:val="en-US" w:eastAsia="zh-CN"/>
        </w:rPr>
        <w:t>公告</w:t>
      </w:r>
      <w:bookmarkEnd w:id="0"/>
    </w:p>
    <w:p w14:paraId="22F21056">
      <w:pPr>
        <w:pStyle w:val="7"/>
        <w:spacing w:line="360" w:lineRule="auto"/>
        <w:rPr>
          <w:rFonts w:ascii="黑体" w:eastAsia="黑体"/>
          <w:b/>
          <w:bCs/>
          <w:sz w:val="28"/>
        </w:rPr>
      </w:pPr>
      <w:r>
        <w:rPr>
          <w:rFonts w:hint="eastAsia" w:ascii="黑体" w:eastAsia="黑体"/>
          <w:b/>
          <w:bCs/>
          <w:sz w:val="28"/>
        </w:rPr>
        <w:t>一、项目名称</w:t>
      </w:r>
    </w:p>
    <w:p w14:paraId="5EDEEF36">
      <w:pPr>
        <w:pStyle w:val="7"/>
        <w:spacing w:line="360" w:lineRule="auto"/>
        <w:ind w:left="420"/>
      </w:pPr>
      <w:r>
        <w:rPr>
          <w:rFonts w:hint="eastAsia"/>
        </w:rPr>
        <w:t>项目名称：</w:t>
      </w:r>
      <w:bookmarkStart w:id="1" w:name="OLE_LINK1"/>
      <w:r>
        <w:rPr>
          <w:rFonts w:hint="eastAsia"/>
          <w:lang w:val="en-US" w:eastAsia="zh-CN"/>
        </w:rPr>
        <w:t>装调部工位</w:t>
      </w:r>
      <w:r>
        <w:rPr>
          <w:rFonts w:hint="eastAsia"/>
          <w:szCs w:val="22"/>
          <w:lang w:val="en-US" w:eastAsia="zh-CN"/>
        </w:rPr>
        <w:t>器具提升项目</w:t>
      </w:r>
      <w:r>
        <w:rPr>
          <w:rFonts w:hint="eastAsia"/>
        </w:rPr>
        <w:t>。</w:t>
      </w:r>
    </w:p>
    <w:bookmarkEnd w:id="1"/>
    <w:p w14:paraId="78A78579">
      <w:pPr>
        <w:pStyle w:val="7"/>
        <w:spacing w:line="360" w:lineRule="auto"/>
        <w:rPr>
          <w:rFonts w:ascii="黑体" w:eastAsia="黑体"/>
          <w:b/>
          <w:bCs/>
          <w:sz w:val="28"/>
        </w:rPr>
      </w:pPr>
      <w:r>
        <w:rPr>
          <w:rFonts w:hint="eastAsia" w:ascii="黑体" w:eastAsia="黑体"/>
          <w:b/>
          <w:bCs/>
          <w:sz w:val="28"/>
        </w:rPr>
        <w:t>二、招标内容</w:t>
      </w:r>
    </w:p>
    <w:tbl>
      <w:tblPr>
        <w:tblStyle w:val="13"/>
        <w:tblpPr w:leftFromText="180" w:rightFromText="180" w:vertAnchor="text" w:horzAnchor="page" w:tblpX="1201" w:tblpY="552"/>
        <w:tblOverlap w:val="never"/>
        <w:tblW w:w="98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3151"/>
        <w:gridCol w:w="880"/>
        <w:gridCol w:w="814"/>
        <w:gridCol w:w="1746"/>
        <w:gridCol w:w="1280"/>
        <w:gridCol w:w="987"/>
      </w:tblGrid>
      <w:tr w14:paraId="5C51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03" w:type="dxa"/>
            <w:vAlign w:val="center"/>
          </w:tcPr>
          <w:p w14:paraId="1ED45D00">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序号</w:t>
            </w:r>
          </w:p>
        </w:tc>
        <w:tc>
          <w:tcPr>
            <w:tcW w:w="3151" w:type="dxa"/>
            <w:vAlign w:val="center"/>
          </w:tcPr>
          <w:p w14:paraId="49B70F9E">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工位器具名称</w:t>
            </w:r>
          </w:p>
        </w:tc>
        <w:tc>
          <w:tcPr>
            <w:tcW w:w="880" w:type="dxa"/>
            <w:vAlign w:val="center"/>
          </w:tcPr>
          <w:p w14:paraId="7BC6C968">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单位</w:t>
            </w:r>
          </w:p>
        </w:tc>
        <w:tc>
          <w:tcPr>
            <w:tcW w:w="814" w:type="dxa"/>
            <w:vAlign w:val="center"/>
          </w:tcPr>
          <w:p w14:paraId="58EBF84E">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数量</w:t>
            </w:r>
          </w:p>
        </w:tc>
        <w:tc>
          <w:tcPr>
            <w:tcW w:w="1746" w:type="dxa"/>
            <w:vAlign w:val="center"/>
          </w:tcPr>
          <w:p w14:paraId="3E95D8AC">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服务对象</w:t>
            </w:r>
          </w:p>
        </w:tc>
        <w:tc>
          <w:tcPr>
            <w:tcW w:w="1280" w:type="dxa"/>
            <w:vAlign w:val="center"/>
          </w:tcPr>
          <w:p w14:paraId="751C77BC">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供货方式</w:t>
            </w:r>
          </w:p>
        </w:tc>
        <w:tc>
          <w:tcPr>
            <w:tcW w:w="987" w:type="dxa"/>
            <w:vAlign w:val="center"/>
          </w:tcPr>
          <w:p w14:paraId="58603716">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备注</w:t>
            </w:r>
          </w:p>
        </w:tc>
      </w:tr>
      <w:tr w14:paraId="44CC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3" w:type="dxa"/>
            <w:vAlign w:val="center"/>
          </w:tcPr>
          <w:p w14:paraId="0C30B2E7">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1</w:t>
            </w:r>
          </w:p>
        </w:tc>
        <w:tc>
          <w:tcPr>
            <w:tcW w:w="3151" w:type="dxa"/>
            <w:vAlign w:val="center"/>
          </w:tcPr>
          <w:p w14:paraId="69E99388">
            <w:pPr>
              <w:keepNext w:val="0"/>
              <w:keepLines w:val="0"/>
              <w:widowControl/>
              <w:suppressLineNumbers w:val="0"/>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前端中间齿轮总成器具</w:t>
            </w:r>
          </w:p>
        </w:tc>
        <w:tc>
          <w:tcPr>
            <w:tcW w:w="880" w:type="dxa"/>
            <w:vAlign w:val="center"/>
          </w:tcPr>
          <w:p w14:paraId="45D3FE0F">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个</w:t>
            </w:r>
          </w:p>
        </w:tc>
        <w:tc>
          <w:tcPr>
            <w:tcW w:w="814" w:type="dxa"/>
            <w:vAlign w:val="center"/>
          </w:tcPr>
          <w:p w14:paraId="78E0E2B0">
            <w:pPr>
              <w:keepNext w:val="0"/>
              <w:keepLines w:val="0"/>
              <w:widowControl/>
              <w:suppressLineNumbers w:val="0"/>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2</w:t>
            </w:r>
          </w:p>
        </w:tc>
        <w:tc>
          <w:tcPr>
            <w:tcW w:w="1746" w:type="dxa"/>
            <w:vAlign w:val="center"/>
          </w:tcPr>
          <w:p w14:paraId="3C2968D2">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济南发动机厂</w:t>
            </w:r>
          </w:p>
        </w:tc>
        <w:tc>
          <w:tcPr>
            <w:tcW w:w="1280" w:type="dxa"/>
            <w:vAlign w:val="center"/>
          </w:tcPr>
          <w:p w14:paraId="464E34E4">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交钥匙工程</w:t>
            </w:r>
          </w:p>
        </w:tc>
        <w:tc>
          <w:tcPr>
            <w:tcW w:w="987" w:type="dxa"/>
            <w:vAlign w:val="center"/>
          </w:tcPr>
          <w:p w14:paraId="59052CB3">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2"/>
                <w:szCs w:val="22"/>
                <w:u w:val="none"/>
                <w:lang w:val="en-US" w:eastAsia="zh-CN" w:bidi="ar"/>
              </w:rPr>
              <w:t>改制</w:t>
            </w:r>
          </w:p>
        </w:tc>
      </w:tr>
      <w:tr w14:paraId="3E149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3" w:type="dxa"/>
            <w:vAlign w:val="center"/>
          </w:tcPr>
          <w:p w14:paraId="72EC7406">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2</w:t>
            </w:r>
          </w:p>
        </w:tc>
        <w:tc>
          <w:tcPr>
            <w:tcW w:w="3151" w:type="dxa"/>
            <w:vAlign w:val="center"/>
          </w:tcPr>
          <w:p w14:paraId="67F2A3E0">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前端中间齿轮总成器具</w:t>
            </w:r>
          </w:p>
        </w:tc>
        <w:tc>
          <w:tcPr>
            <w:tcW w:w="880" w:type="dxa"/>
            <w:vAlign w:val="center"/>
          </w:tcPr>
          <w:p w14:paraId="08383525">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4" w:type="dxa"/>
            <w:vAlign w:val="center"/>
          </w:tcPr>
          <w:p w14:paraId="5E4A8D78">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2</w:t>
            </w:r>
          </w:p>
        </w:tc>
        <w:tc>
          <w:tcPr>
            <w:tcW w:w="1746" w:type="dxa"/>
            <w:vAlign w:val="center"/>
          </w:tcPr>
          <w:p w14:paraId="12FF8542">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济南发动机厂</w:t>
            </w:r>
          </w:p>
        </w:tc>
        <w:tc>
          <w:tcPr>
            <w:tcW w:w="1280" w:type="dxa"/>
            <w:vAlign w:val="center"/>
          </w:tcPr>
          <w:p w14:paraId="7823967B">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交钥匙工程</w:t>
            </w:r>
          </w:p>
        </w:tc>
        <w:tc>
          <w:tcPr>
            <w:tcW w:w="987" w:type="dxa"/>
            <w:vAlign w:val="center"/>
          </w:tcPr>
          <w:p w14:paraId="6795A3F7">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2"/>
                <w:szCs w:val="22"/>
                <w:u w:val="none"/>
                <w:lang w:val="en-US" w:eastAsia="zh-CN" w:bidi="ar"/>
              </w:rPr>
              <w:t>新采购</w:t>
            </w:r>
          </w:p>
        </w:tc>
      </w:tr>
      <w:tr w14:paraId="59205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3" w:type="dxa"/>
            <w:vAlign w:val="center"/>
          </w:tcPr>
          <w:p w14:paraId="14B5DA88">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3</w:t>
            </w:r>
          </w:p>
        </w:tc>
        <w:tc>
          <w:tcPr>
            <w:tcW w:w="3151" w:type="dxa"/>
            <w:vAlign w:val="center"/>
          </w:tcPr>
          <w:p w14:paraId="35FB5C8D">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高压油泵驱动壳体器具</w:t>
            </w:r>
          </w:p>
        </w:tc>
        <w:tc>
          <w:tcPr>
            <w:tcW w:w="880" w:type="dxa"/>
            <w:vAlign w:val="center"/>
          </w:tcPr>
          <w:p w14:paraId="37755DB5">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4" w:type="dxa"/>
            <w:vAlign w:val="center"/>
          </w:tcPr>
          <w:p w14:paraId="50695D1A">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5</w:t>
            </w:r>
          </w:p>
        </w:tc>
        <w:tc>
          <w:tcPr>
            <w:tcW w:w="1746" w:type="dxa"/>
            <w:vAlign w:val="center"/>
          </w:tcPr>
          <w:p w14:paraId="08F9FB41">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济南发动机厂</w:t>
            </w:r>
          </w:p>
        </w:tc>
        <w:tc>
          <w:tcPr>
            <w:tcW w:w="1280" w:type="dxa"/>
            <w:vAlign w:val="center"/>
          </w:tcPr>
          <w:p w14:paraId="66AF2138">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交钥匙工程</w:t>
            </w:r>
          </w:p>
        </w:tc>
        <w:tc>
          <w:tcPr>
            <w:tcW w:w="987" w:type="dxa"/>
            <w:vAlign w:val="center"/>
          </w:tcPr>
          <w:p w14:paraId="24A8120F">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2"/>
                <w:szCs w:val="22"/>
                <w:u w:val="none"/>
                <w:lang w:val="en-US" w:eastAsia="zh-CN" w:bidi="ar"/>
              </w:rPr>
              <w:t>改制</w:t>
            </w:r>
          </w:p>
        </w:tc>
      </w:tr>
      <w:tr w14:paraId="2E9B0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3" w:type="dxa"/>
            <w:vAlign w:val="center"/>
          </w:tcPr>
          <w:p w14:paraId="74CAC409">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4</w:t>
            </w:r>
          </w:p>
        </w:tc>
        <w:tc>
          <w:tcPr>
            <w:tcW w:w="3151" w:type="dxa"/>
            <w:vAlign w:val="center"/>
          </w:tcPr>
          <w:p w14:paraId="51866001">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机油泵盖器具</w:t>
            </w:r>
          </w:p>
        </w:tc>
        <w:tc>
          <w:tcPr>
            <w:tcW w:w="880" w:type="dxa"/>
            <w:vAlign w:val="center"/>
          </w:tcPr>
          <w:p w14:paraId="11D0DEB0">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4" w:type="dxa"/>
            <w:vAlign w:val="center"/>
          </w:tcPr>
          <w:p w14:paraId="6DA2488F">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2</w:t>
            </w:r>
          </w:p>
        </w:tc>
        <w:tc>
          <w:tcPr>
            <w:tcW w:w="1746" w:type="dxa"/>
            <w:vAlign w:val="center"/>
          </w:tcPr>
          <w:p w14:paraId="4DECFBE5">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济南发动机厂</w:t>
            </w:r>
          </w:p>
        </w:tc>
        <w:tc>
          <w:tcPr>
            <w:tcW w:w="1280" w:type="dxa"/>
            <w:vAlign w:val="center"/>
          </w:tcPr>
          <w:p w14:paraId="32B83701">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交钥匙工程</w:t>
            </w:r>
          </w:p>
        </w:tc>
        <w:tc>
          <w:tcPr>
            <w:tcW w:w="987" w:type="dxa"/>
            <w:vAlign w:val="center"/>
          </w:tcPr>
          <w:p w14:paraId="54B1E503">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2"/>
                <w:szCs w:val="22"/>
                <w:u w:val="none"/>
                <w:lang w:val="en-US" w:eastAsia="zh-CN" w:bidi="ar"/>
              </w:rPr>
              <w:t>新采购</w:t>
            </w:r>
          </w:p>
        </w:tc>
      </w:tr>
      <w:tr w14:paraId="3C32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3" w:type="dxa"/>
            <w:vAlign w:val="center"/>
          </w:tcPr>
          <w:p w14:paraId="56678498">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5</w:t>
            </w:r>
          </w:p>
        </w:tc>
        <w:tc>
          <w:tcPr>
            <w:tcW w:w="3151" w:type="dxa"/>
            <w:vAlign w:val="center"/>
          </w:tcPr>
          <w:p w14:paraId="5DA8D456">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活塞连杆总成器具</w:t>
            </w:r>
          </w:p>
        </w:tc>
        <w:tc>
          <w:tcPr>
            <w:tcW w:w="880" w:type="dxa"/>
            <w:vAlign w:val="center"/>
          </w:tcPr>
          <w:p w14:paraId="5831D766">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4" w:type="dxa"/>
            <w:vAlign w:val="center"/>
          </w:tcPr>
          <w:p w14:paraId="73F6F0FE">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6</w:t>
            </w:r>
          </w:p>
        </w:tc>
        <w:tc>
          <w:tcPr>
            <w:tcW w:w="1746" w:type="dxa"/>
            <w:vAlign w:val="center"/>
          </w:tcPr>
          <w:p w14:paraId="1320D713">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济南发动机厂</w:t>
            </w:r>
          </w:p>
        </w:tc>
        <w:tc>
          <w:tcPr>
            <w:tcW w:w="1280" w:type="dxa"/>
            <w:vAlign w:val="center"/>
          </w:tcPr>
          <w:p w14:paraId="1BF4E1CA">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交钥匙工程</w:t>
            </w:r>
          </w:p>
        </w:tc>
        <w:tc>
          <w:tcPr>
            <w:tcW w:w="987" w:type="dxa"/>
            <w:vAlign w:val="center"/>
          </w:tcPr>
          <w:p w14:paraId="727CA380">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2"/>
                <w:szCs w:val="22"/>
                <w:u w:val="none"/>
                <w:lang w:val="en-US" w:eastAsia="zh-CN" w:bidi="ar"/>
              </w:rPr>
              <w:t>新采购</w:t>
            </w:r>
          </w:p>
        </w:tc>
      </w:tr>
      <w:tr w14:paraId="5C4A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3" w:type="dxa"/>
            <w:vAlign w:val="center"/>
          </w:tcPr>
          <w:p w14:paraId="23795F6C">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6</w:t>
            </w:r>
          </w:p>
        </w:tc>
        <w:tc>
          <w:tcPr>
            <w:tcW w:w="3151" w:type="dxa"/>
            <w:vAlign w:val="center"/>
          </w:tcPr>
          <w:p w14:paraId="503D2BB1">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主线束支架器具</w:t>
            </w:r>
          </w:p>
        </w:tc>
        <w:tc>
          <w:tcPr>
            <w:tcW w:w="880" w:type="dxa"/>
            <w:vAlign w:val="center"/>
          </w:tcPr>
          <w:p w14:paraId="7C558A56">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4" w:type="dxa"/>
            <w:vAlign w:val="center"/>
          </w:tcPr>
          <w:p w14:paraId="654155A9">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7</w:t>
            </w:r>
          </w:p>
        </w:tc>
        <w:tc>
          <w:tcPr>
            <w:tcW w:w="1746" w:type="dxa"/>
            <w:vAlign w:val="center"/>
          </w:tcPr>
          <w:p w14:paraId="40EE9727">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济南发动机厂</w:t>
            </w:r>
          </w:p>
        </w:tc>
        <w:tc>
          <w:tcPr>
            <w:tcW w:w="1280" w:type="dxa"/>
            <w:vAlign w:val="center"/>
          </w:tcPr>
          <w:p w14:paraId="31AE75B2">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交钥匙工程</w:t>
            </w:r>
          </w:p>
        </w:tc>
        <w:tc>
          <w:tcPr>
            <w:tcW w:w="987" w:type="dxa"/>
            <w:vAlign w:val="center"/>
          </w:tcPr>
          <w:p w14:paraId="2F5FD924">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2"/>
                <w:szCs w:val="22"/>
                <w:u w:val="none"/>
                <w:lang w:val="en-US" w:eastAsia="zh-CN" w:bidi="ar"/>
              </w:rPr>
              <w:t>改制</w:t>
            </w:r>
          </w:p>
        </w:tc>
      </w:tr>
      <w:tr w14:paraId="2EDCE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3" w:type="dxa"/>
            <w:vAlign w:val="center"/>
          </w:tcPr>
          <w:p w14:paraId="6F2D536D">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7</w:t>
            </w:r>
          </w:p>
        </w:tc>
        <w:tc>
          <w:tcPr>
            <w:tcW w:w="3151" w:type="dxa"/>
            <w:vAlign w:val="center"/>
          </w:tcPr>
          <w:p w14:paraId="43C279AE">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混合器总成器具</w:t>
            </w:r>
          </w:p>
        </w:tc>
        <w:tc>
          <w:tcPr>
            <w:tcW w:w="880" w:type="dxa"/>
            <w:vAlign w:val="center"/>
          </w:tcPr>
          <w:p w14:paraId="714B6327">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4" w:type="dxa"/>
            <w:vAlign w:val="center"/>
          </w:tcPr>
          <w:p w14:paraId="3F02A8F2">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746" w:type="dxa"/>
            <w:vAlign w:val="center"/>
          </w:tcPr>
          <w:p w14:paraId="0CBD4688">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济南发动机厂</w:t>
            </w:r>
          </w:p>
        </w:tc>
        <w:tc>
          <w:tcPr>
            <w:tcW w:w="1280" w:type="dxa"/>
            <w:vAlign w:val="center"/>
          </w:tcPr>
          <w:p w14:paraId="55F7F129">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交钥匙工程</w:t>
            </w:r>
          </w:p>
        </w:tc>
        <w:tc>
          <w:tcPr>
            <w:tcW w:w="987" w:type="dxa"/>
            <w:vAlign w:val="center"/>
          </w:tcPr>
          <w:p w14:paraId="67A0A78A">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2"/>
                <w:szCs w:val="22"/>
                <w:u w:val="none"/>
                <w:lang w:val="en-US" w:eastAsia="zh-CN" w:bidi="ar"/>
              </w:rPr>
              <w:t>改制</w:t>
            </w:r>
          </w:p>
        </w:tc>
      </w:tr>
      <w:tr w14:paraId="1E1A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3" w:type="dxa"/>
            <w:vAlign w:val="center"/>
          </w:tcPr>
          <w:p w14:paraId="10012AF8">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8</w:t>
            </w:r>
          </w:p>
        </w:tc>
        <w:tc>
          <w:tcPr>
            <w:tcW w:w="3151" w:type="dxa"/>
            <w:vAlign w:val="center"/>
          </w:tcPr>
          <w:p w14:paraId="7084B9B8">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不锈钢桌面</w:t>
            </w:r>
          </w:p>
        </w:tc>
        <w:tc>
          <w:tcPr>
            <w:tcW w:w="880" w:type="dxa"/>
            <w:vAlign w:val="center"/>
          </w:tcPr>
          <w:p w14:paraId="01D45C52">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4" w:type="dxa"/>
            <w:vAlign w:val="center"/>
          </w:tcPr>
          <w:p w14:paraId="674D61D7">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746" w:type="dxa"/>
            <w:vAlign w:val="center"/>
          </w:tcPr>
          <w:p w14:paraId="3A9EC0B3">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济南发动机厂</w:t>
            </w:r>
          </w:p>
        </w:tc>
        <w:tc>
          <w:tcPr>
            <w:tcW w:w="1280" w:type="dxa"/>
            <w:vAlign w:val="center"/>
          </w:tcPr>
          <w:p w14:paraId="5C0A5E82">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交钥匙工程</w:t>
            </w:r>
          </w:p>
        </w:tc>
        <w:tc>
          <w:tcPr>
            <w:tcW w:w="987" w:type="dxa"/>
            <w:vAlign w:val="center"/>
          </w:tcPr>
          <w:p w14:paraId="5C46D45A">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2"/>
                <w:szCs w:val="22"/>
                <w:u w:val="none"/>
                <w:lang w:val="en-US" w:eastAsia="zh-CN" w:bidi="ar"/>
              </w:rPr>
              <w:t>改制</w:t>
            </w:r>
          </w:p>
        </w:tc>
      </w:tr>
      <w:tr w14:paraId="3A90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3" w:type="dxa"/>
            <w:vAlign w:val="center"/>
          </w:tcPr>
          <w:p w14:paraId="490F8175">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9</w:t>
            </w:r>
          </w:p>
        </w:tc>
        <w:tc>
          <w:tcPr>
            <w:tcW w:w="3151" w:type="dxa"/>
            <w:vAlign w:val="center"/>
          </w:tcPr>
          <w:p w14:paraId="5A7064E8">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不锈钢桌面</w:t>
            </w:r>
          </w:p>
        </w:tc>
        <w:tc>
          <w:tcPr>
            <w:tcW w:w="880" w:type="dxa"/>
            <w:vAlign w:val="center"/>
          </w:tcPr>
          <w:p w14:paraId="788E0C9B">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4" w:type="dxa"/>
            <w:vAlign w:val="center"/>
          </w:tcPr>
          <w:p w14:paraId="6F8CC51C">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746" w:type="dxa"/>
            <w:vAlign w:val="center"/>
          </w:tcPr>
          <w:p w14:paraId="24569189">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济南发动机厂</w:t>
            </w:r>
          </w:p>
        </w:tc>
        <w:tc>
          <w:tcPr>
            <w:tcW w:w="1280" w:type="dxa"/>
            <w:vAlign w:val="center"/>
          </w:tcPr>
          <w:p w14:paraId="7338B73A">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交钥匙工程</w:t>
            </w:r>
          </w:p>
        </w:tc>
        <w:tc>
          <w:tcPr>
            <w:tcW w:w="987" w:type="dxa"/>
            <w:vAlign w:val="center"/>
          </w:tcPr>
          <w:p w14:paraId="5FACA25A">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2"/>
                <w:szCs w:val="22"/>
                <w:u w:val="none"/>
                <w:lang w:val="en-US" w:eastAsia="zh-CN" w:bidi="ar"/>
              </w:rPr>
              <w:t>改制</w:t>
            </w:r>
          </w:p>
        </w:tc>
      </w:tr>
      <w:tr w14:paraId="48FCB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3" w:type="dxa"/>
            <w:vAlign w:val="center"/>
          </w:tcPr>
          <w:p w14:paraId="5389BD04">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10</w:t>
            </w:r>
          </w:p>
        </w:tc>
        <w:tc>
          <w:tcPr>
            <w:tcW w:w="3151" w:type="dxa"/>
            <w:vAlign w:val="center"/>
          </w:tcPr>
          <w:p w14:paraId="58FB2A2B">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不锈钢层板</w:t>
            </w:r>
          </w:p>
        </w:tc>
        <w:tc>
          <w:tcPr>
            <w:tcW w:w="880" w:type="dxa"/>
            <w:vAlign w:val="center"/>
          </w:tcPr>
          <w:p w14:paraId="4EFB6AC9">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4" w:type="dxa"/>
            <w:vAlign w:val="center"/>
          </w:tcPr>
          <w:p w14:paraId="2911B8F9">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25</w:t>
            </w:r>
          </w:p>
        </w:tc>
        <w:tc>
          <w:tcPr>
            <w:tcW w:w="1746" w:type="dxa"/>
            <w:vAlign w:val="center"/>
          </w:tcPr>
          <w:p w14:paraId="42D9FFBA">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济南发动机厂</w:t>
            </w:r>
          </w:p>
        </w:tc>
        <w:tc>
          <w:tcPr>
            <w:tcW w:w="1280" w:type="dxa"/>
            <w:vAlign w:val="center"/>
          </w:tcPr>
          <w:p w14:paraId="6C2697E5">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交钥匙工程</w:t>
            </w:r>
          </w:p>
        </w:tc>
        <w:tc>
          <w:tcPr>
            <w:tcW w:w="987" w:type="dxa"/>
            <w:vAlign w:val="center"/>
          </w:tcPr>
          <w:p w14:paraId="2A65A4AE">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2"/>
                <w:szCs w:val="22"/>
                <w:u w:val="none"/>
                <w:lang w:val="en-US" w:eastAsia="zh-CN" w:bidi="ar"/>
              </w:rPr>
              <w:t>新采购</w:t>
            </w:r>
          </w:p>
        </w:tc>
      </w:tr>
      <w:tr w14:paraId="14D9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3" w:type="dxa"/>
            <w:vAlign w:val="center"/>
          </w:tcPr>
          <w:p w14:paraId="1B14546F">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11</w:t>
            </w:r>
          </w:p>
        </w:tc>
        <w:tc>
          <w:tcPr>
            <w:tcW w:w="3151" w:type="dxa"/>
            <w:vAlign w:val="center"/>
          </w:tcPr>
          <w:p w14:paraId="7BA94AB8">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不锈钢层板</w:t>
            </w:r>
          </w:p>
        </w:tc>
        <w:tc>
          <w:tcPr>
            <w:tcW w:w="880" w:type="dxa"/>
            <w:vAlign w:val="center"/>
          </w:tcPr>
          <w:p w14:paraId="03C3B47E">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4" w:type="dxa"/>
            <w:vAlign w:val="center"/>
          </w:tcPr>
          <w:p w14:paraId="42560929">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35</w:t>
            </w:r>
          </w:p>
        </w:tc>
        <w:tc>
          <w:tcPr>
            <w:tcW w:w="1746" w:type="dxa"/>
            <w:vAlign w:val="center"/>
          </w:tcPr>
          <w:p w14:paraId="1B06A536">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济南发动机厂</w:t>
            </w:r>
          </w:p>
        </w:tc>
        <w:tc>
          <w:tcPr>
            <w:tcW w:w="1280" w:type="dxa"/>
            <w:vAlign w:val="center"/>
          </w:tcPr>
          <w:p w14:paraId="7ADED019">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交钥匙工程</w:t>
            </w:r>
          </w:p>
        </w:tc>
        <w:tc>
          <w:tcPr>
            <w:tcW w:w="987" w:type="dxa"/>
            <w:vAlign w:val="center"/>
          </w:tcPr>
          <w:p w14:paraId="67B300A0">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2"/>
                <w:szCs w:val="22"/>
                <w:u w:val="none"/>
                <w:lang w:val="en-US" w:eastAsia="zh-CN" w:bidi="ar"/>
              </w:rPr>
              <w:t>新采购</w:t>
            </w:r>
          </w:p>
        </w:tc>
      </w:tr>
      <w:tr w14:paraId="5F02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3" w:type="dxa"/>
            <w:vAlign w:val="center"/>
          </w:tcPr>
          <w:p w14:paraId="27E770DC">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12</w:t>
            </w:r>
          </w:p>
        </w:tc>
        <w:tc>
          <w:tcPr>
            <w:tcW w:w="3151" w:type="dxa"/>
            <w:vAlign w:val="center"/>
          </w:tcPr>
          <w:p w14:paraId="20425143">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工作桌</w:t>
            </w:r>
          </w:p>
        </w:tc>
        <w:tc>
          <w:tcPr>
            <w:tcW w:w="880" w:type="dxa"/>
            <w:vAlign w:val="center"/>
          </w:tcPr>
          <w:p w14:paraId="67C062B8">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4" w:type="dxa"/>
            <w:vAlign w:val="center"/>
          </w:tcPr>
          <w:p w14:paraId="5D791B67">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746" w:type="dxa"/>
            <w:vAlign w:val="center"/>
          </w:tcPr>
          <w:p w14:paraId="0417DFBC">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济南发动机厂</w:t>
            </w:r>
          </w:p>
        </w:tc>
        <w:tc>
          <w:tcPr>
            <w:tcW w:w="1280" w:type="dxa"/>
            <w:vAlign w:val="center"/>
          </w:tcPr>
          <w:p w14:paraId="22254963">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交钥匙工程</w:t>
            </w:r>
          </w:p>
        </w:tc>
        <w:tc>
          <w:tcPr>
            <w:tcW w:w="987" w:type="dxa"/>
            <w:vAlign w:val="center"/>
          </w:tcPr>
          <w:p w14:paraId="6BBB3D05">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2"/>
                <w:szCs w:val="22"/>
                <w:u w:val="none"/>
                <w:lang w:val="en-US" w:eastAsia="zh-CN" w:bidi="ar"/>
              </w:rPr>
              <w:t>新采购</w:t>
            </w:r>
          </w:p>
        </w:tc>
      </w:tr>
      <w:tr w14:paraId="04A3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3" w:type="dxa"/>
            <w:vAlign w:val="center"/>
          </w:tcPr>
          <w:p w14:paraId="0621F4EC">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13</w:t>
            </w:r>
          </w:p>
        </w:tc>
        <w:tc>
          <w:tcPr>
            <w:tcW w:w="3151" w:type="dxa"/>
            <w:vAlign w:val="center"/>
          </w:tcPr>
          <w:p w14:paraId="3078301A">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改制操作专用器具</w:t>
            </w:r>
          </w:p>
        </w:tc>
        <w:tc>
          <w:tcPr>
            <w:tcW w:w="880" w:type="dxa"/>
            <w:vAlign w:val="center"/>
          </w:tcPr>
          <w:p w14:paraId="11C94C9C">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4" w:type="dxa"/>
            <w:vAlign w:val="center"/>
          </w:tcPr>
          <w:p w14:paraId="5A666FB5">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746" w:type="dxa"/>
            <w:vAlign w:val="center"/>
          </w:tcPr>
          <w:p w14:paraId="23B28E5F">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济南发动机厂</w:t>
            </w:r>
          </w:p>
        </w:tc>
        <w:tc>
          <w:tcPr>
            <w:tcW w:w="1280" w:type="dxa"/>
            <w:vAlign w:val="center"/>
          </w:tcPr>
          <w:p w14:paraId="66EF9D8E">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交钥匙工程</w:t>
            </w:r>
          </w:p>
        </w:tc>
        <w:tc>
          <w:tcPr>
            <w:tcW w:w="987" w:type="dxa"/>
            <w:vAlign w:val="center"/>
          </w:tcPr>
          <w:p w14:paraId="2FF75694">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2"/>
                <w:szCs w:val="22"/>
                <w:u w:val="none"/>
                <w:lang w:val="en-US" w:eastAsia="zh-CN" w:bidi="ar"/>
              </w:rPr>
              <w:t>新采购</w:t>
            </w:r>
          </w:p>
        </w:tc>
      </w:tr>
      <w:tr w14:paraId="6D75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3" w:type="dxa"/>
            <w:vAlign w:val="center"/>
          </w:tcPr>
          <w:p w14:paraId="718B6002">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14</w:t>
            </w:r>
          </w:p>
        </w:tc>
        <w:tc>
          <w:tcPr>
            <w:tcW w:w="3151" w:type="dxa"/>
            <w:vAlign w:val="center"/>
          </w:tcPr>
          <w:p w14:paraId="1B1BC935">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风扇总成工位器具</w:t>
            </w:r>
          </w:p>
        </w:tc>
        <w:tc>
          <w:tcPr>
            <w:tcW w:w="880" w:type="dxa"/>
            <w:vAlign w:val="center"/>
          </w:tcPr>
          <w:p w14:paraId="1607CAE5">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4" w:type="dxa"/>
            <w:vAlign w:val="center"/>
          </w:tcPr>
          <w:p w14:paraId="7124B600">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4</w:t>
            </w:r>
          </w:p>
        </w:tc>
        <w:tc>
          <w:tcPr>
            <w:tcW w:w="1746" w:type="dxa"/>
            <w:vAlign w:val="center"/>
          </w:tcPr>
          <w:p w14:paraId="2E285912">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济南发动机厂</w:t>
            </w:r>
          </w:p>
        </w:tc>
        <w:tc>
          <w:tcPr>
            <w:tcW w:w="1280" w:type="dxa"/>
            <w:vAlign w:val="center"/>
          </w:tcPr>
          <w:p w14:paraId="3DC9AA8E">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交钥匙工程</w:t>
            </w:r>
          </w:p>
        </w:tc>
        <w:tc>
          <w:tcPr>
            <w:tcW w:w="987" w:type="dxa"/>
            <w:vAlign w:val="center"/>
          </w:tcPr>
          <w:p w14:paraId="3F466AFE">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2"/>
                <w:szCs w:val="22"/>
                <w:u w:val="none"/>
                <w:lang w:val="en-US" w:eastAsia="zh-CN" w:bidi="ar"/>
              </w:rPr>
              <w:t>新采购</w:t>
            </w:r>
          </w:p>
        </w:tc>
      </w:tr>
      <w:tr w14:paraId="11ED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3" w:type="dxa"/>
            <w:vAlign w:val="center"/>
          </w:tcPr>
          <w:p w14:paraId="4A1741D6">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15</w:t>
            </w:r>
          </w:p>
        </w:tc>
        <w:tc>
          <w:tcPr>
            <w:tcW w:w="3151" w:type="dxa"/>
            <w:vAlign w:val="center"/>
          </w:tcPr>
          <w:p w14:paraId="185153B2">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DCU周转料盒</w:t>
            </w:r>
          </w:p>
        </w:tc>
        <w:tc>
          <w:tcPr>
            <w:tcW w:w="880" w:type="dxa"/>
            <w:vAlign w:val="center"/>
          </w:tcPr>
          <w:p w14:paraId="0CCF6A7B">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4" w:type="dxa"/>
            <w:vAlign w:val="center"/>
          </w:tcPr>
          <w:p w14:paraId="551A2680">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100</w:t>
            </w:r>
          </w:p>
        </w:tc>
        <w:tc>
          <w:tcPr>
            <w:tcW w:w="1746" w:type="dxa"/>
            <w:vAlign w:val="center"/>
          </w:tcPr>
          <w:p w14:paraId="410B83A2">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济南发动机厂</w:t>
            </w:r>
          </w:p>
        </w:tc>
        <w:tc>
          <w:tcPr>
            <w:tcW w:w="1280" w:type="dxa"/>
            <w:vAlign w:val="center"/>
          </w:tcPr>
          <w:p w14:paraId="26E61DAD">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交钥匙工程</w:t>
            </w:r>
          </w:p>
        </w:tc>
        <w:tc>
          <w:tcPr>
            <w:tcW w:w="987" w:type="dxa"/>
            <w:vAlign w:val="center"/>
          </w:tcPr>
          <w:p w14:paraId="6FE9AE6B">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2"/>
                <w:szCs w:val="22"/>
                <w:u w:val="none"/>
                <w:lang w:val="en-US" w:eastAsia="zh-CN" w:bidi="ar"/>
              </w:rPr>
              <w:t>新采购</w:t>
            </w:r>
          </w:p>
        </w:tc>
      </w:tr>
      <w:tr w14:paraId="5F38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3" w:type="dxa"/>
            <w:vAlign w:val="center"/>
          </w:tcPr>
          <w:p w14:paraId="2E6315E8">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16</w:t>
            </w:r>
          </w:p>
        </w:tc>
        <w:tc>
          <w:tcPr>
            <w:tcW w:w="3151" w:type="dxa"/>
            <w:vAlign w:val="center"/>
          </w:tcPr>
          <w:p w14:paraId="1383C9BC">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DCU周转小车</w:t>
            </w:r>
          </w:p>
        </w:tc>
        <w:tc>
          <w:tcPr>
            <w:tcW w:w="880" w:type="dxa"/>
            <w:vAlign w:val="center"/>
          </w:tcPr>
          <w:p w14:paraId="192A2243">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个</w:t>
            </w:r>
          </w:p>
        </w:tc>
        <w:tc>
          <w:tcPr>
            <w:tcW w:w="814" w:type="dxa"/>
            <w:vAlign w:val="center"/>
          </w:tcPr>
          <w:p w14:paraId="7FBD69F9">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10</w:t>
            </w:r>
          </w:p>
        </w:tc>
        <w:tc>
          <w:tcPr>
            <w:tcW w:w="1746" w:type="dxa"/>
            <w:vAlign w:val="center"/>
          </w:tcPr>
          <w:p w14:paraId="015A84A7">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济南发动机厂</w:t>
            </w:r>
          </w:p>
        </w:tc>
        <w:tc>
          <w:tcPr>
            <w:tcW w:w="1280" w:type="dxa"/>
            <w:vAlign w:val="center"/>
          </w:tcPr>
          <w:p w14:paraId="7B5F657E">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交钥匙工程</w:t>
            </w:r>
          </w:p>
        </w:tc>
        <w:tc>
          <w:tcPr>
            <w:tcW w:w="987" w:type="dxa"/>
            <w:vAlign w:val="center"/>
          </w:tcPr>
          <w:p w14:paraId="4AC409C3">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2"/>
                <w:szCs w:val="22"/>
                <w:u w:val="none"/>
                <w:lang w:val="en-US" w:eastAsia="zh-CN" w:bidi="ar"/>
              </w:rPr>
              <w:t>新采购</w:t>
            </w:r>
          </w:p>
        </w:tc>
      </w:tr>
      <w:tr w14:paraId="7074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003" w:type="dxa"/>
            <w:vAlign w:val="center"/>
          </w:tcPr>
          <w:p w14:paraId="394EC193">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总计</w:t>
            </w:r>
          </w:p>
        </w:tc>
        <w:tc>
          <w:tcPr>
            <w:tcW w:w="8858" w:type="dxa"/>
            <w:gridSpan w:val="6"/>
            <w:vAlign w:val="center"/>
          </w:tcPr>
          <w:p w14:paraId="5AE47F62">
            <w:pPr>
              <w:jc w:val="center"/>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203</w:t>
            </w:r>
          </w:p>
        </w:tc>
      </w:tr>
    </w:tbl>
    <w:p w14:paraId="01CEA288">
      <w:pPr>
        <w:pStyle w:val="7"/>
        <w:spacing w:line="360" w:lineRule="auto"/>
      </w:pPr>
    </w:p>
    <w:p w14:paraId="105AAEC3">
      <w:pPr>
        <w:pStyle w:val="7"/>
        <w:numPr>
          <w:ilvl w:val="0"/>
          <w:numId w:val="1"/>
        </w:numPr>
        <w:spacing w:line="360" w:lineRule="auto"/>
        <w:rPr>
          <w:rFonts w:ascii="黑体" w:eastAsia="黑体"/>
          <w:b/>
          <w:bCs/>
          <w:sz w:val="28"/>
        </w:rPr>
      </w:pPr>
      <w:r>
        <w:rPr>
          <w:rFonts w:hint="eastAsia" w:ascii="黑体" w:eastAsia="黑体"/>
          <w:b/>
          <w:bCs/>
          <w:sz w:val="28"/>
        </w:rPr>
        <w:t>招标形式</w:t>
      </w:r>
    </w:p>
    <w:p w14:paraId="258BD8AA">
      <w:pPr>
        <w:pStyle w:val="7"/>
        <w:spacing w:line="360" w:lineRule="auto"/>
        <w:rPr>
          <w:rFonts w:ascii="黑体" w:eastAsia="黑体"/>
          <w:b/>
          <w:bCs/>
          <w:sz w:val="28"/>
        </w:rPr>
      </w:pPr>
      <w:r>
        <w:rPr>
          <w:rFonts w:hint="eastAsia"/>
        </w:rPr>
        <w:t>招标形式：公开招标。</w:t>
      </w:r>
    </w:p>
    <w:p w14:paraId="4D704B59">
      <w:pPr>
        <w:pStyle w:val="7"/>
        <w:spacing w:line="360" w:lineRule="auto"/>
        <w:rPr>
          <w:rFonts w:ascii="黑体" w:eastAsia="黑体"/>
          <w:b/>
          <w:bCs/>
          <w:sz w:val="28"/>
        </w:rPr>
      </w:pPr>
      <w:r>
        <w:rPr>
          <w:rFonts w:hint="eastAsia" w:ascii="黑体" w:eastAsia="黑体"/>
          <w:b/>
          <w:bCs/>
          <w:sz w:val="28"/>
        </w:rPr>
        <w:t>四、议程安排</w:t>
      </w:r>
    </w:p>
    <w:p w14:paraId="2654343A">
      <w:pPr>
        <w:pStyle w:val="7"/>
        <w:spacing w:line="360" w:lineRule="auto"/>
        <w:ind w:firstLine="420" w:firstLineChars="200"/>
        <w:rPr>
          <w:rFonts w:hint="eastAsia"/>
        </w:rPr>
      </w:pPr>
      <w:bookmarkStart w:id="2" w:name="_Hlk136590913"/>
      <w:r>
        <w:t>1</w:t>
      </w:r>
      <w:r>
        <w:rPr>
          <w:rFonts w:hint="eastAsia"/>
        </w:rPr>
        <w:t>、公告开始时间：20</w:t>
      </w:r>
      <w:r>
        <w:t>2</w:t>
      </w:r>
      <w:r>
        <w:rPr>
          <w:rFonts w:hint="eastAsia"/>
          <w:lang w:val="en-US" w:eastAsia="zh-CN"/>
        </w:rPr>
        <w:t>5</w:t>
      </w:r>
      <w:r>
        <w:rPr>
          <w:rFonts w:hint="eastAsia"/>
        </w:rPr>
        <w:t>年</w:t>
      </w:r>
      <w:r>
        <w:rPr>
          <w:rFonts w:hint="eastAsia"/>
          <w:lang w:val="en-US" w:eastAsia="zh-CN"/>
        </w:rPr>
        <w:t>8</w:t>
      </w:r>
      <w:r>
        <w:rPr>
          <w:rFonts w:hint="eastAsia"/>
        </w:rPr>
        <w:t>月</w:t>
      </w:r>
      <w:r>
        <w:rPr>
          <w:rFonts w:hint="eastAsia"/>
          <w:lang w:val="en-US" w:eastAsia="zh-CN"/>
        </w:rPr>
        <w:t>11</w:t>
      </w:r>
      <w:r>
        <w:rPr>
          <w:rFonts w:hint="eastAsia"/>
        </w:rPr>
        <w:t>日。</w:t>
      </w:r>
    </w:p>
    <w:p w14:paraId="76460D6E">
      <w:pPr>
        <w:pStyle w:val="7"/>
        <w:spacing w:line="360" w:lineRule="auto"/>
        <w:ind w:firstLine="420" w:firstLineChars="200"/>
      </w:pPr>
      <w:r>
        <w:t>2</w:t>
      </w:r>
      <w:r>
        <w:rPr>
          <w:rFonts w:hint="eastAsia"/>
        </w:rPr>
        <w:t>、答疑</w:t>
      </w:r>
    </w:p>
    <w:p w14:paraId="20808B60">
      <w:pPr>
        <w:pStyle w:val="7"/>
        <w:spacing w:line="360" w:lineRule="auto"/>
        <w:ind w:firstLine="420" w:firstLineChars="200"/>
      </w:pPr>
      <w:r>
        <w:rPr>
          <w:rFonts w:hint="eastAsia"/>
        </w:rPr>
        <w:t>答疑方式：电话</w:t>
      </w:r>
      <w:r>
        <w:rPr>
          <w:rFonts w:hint="eastAsia"/>
          <w:lang w:val="en-US" w:eastAsia="zh-CN"/>
        </w:rPr>
        <w:t>/现场</w:t>
      </w:r>
      <w:r>
        <w:rPr>
          <w:rFonts w:hint="eastAsia"/>
        </w:rPr>
        <w:t>答疑。</w:t>
      </w:r>
    </w:p>
    <w:p w14:paraId="5EB82987">
      <w:pPr>
        <w:pStyle w:val="7"/>
        <w:spacing w:line="360" w:lineRule="auto"/>
        <w:ind w:firstLine="420" w:firstLineChars="200"/>
        <w:rPr>
          <w:rFonts w:hint="eastAsia"/>
        </w:rPr>
      </w:pPr>
      <w:r>
        <w:rPr>
          <w:rFonts w:hint="eastAsia"/>
        </w:rPr>
        <w:t>答疑联系人：</w:t>
      </w:r>
      <w:r>
        <w:rPr>
          <w:rFonts w:hint="eastAsia"/>
          <w:lang w:val="en-US" w:eastAsia="zh-CN"/>
        </w:rPr>
        <w:t>赵殿报，17864305210，陶猛，13475318469</w:t>
      </w:r>
      <w:r>
        <w:rPr>
          <w:rFonts w:hint="eastAsia"/>
        </w:rPr>
        <w:t>。</w:t>
      </w:r>
    </w:p>
    <w:p w14:paraId="50BE59E0">
      <w:pPr>
        <w:pStyle w:val="7"/>
        <w:spacing w:line="360" w:lineRule="auto"/>
        <w:ind w:firstLine="420" w:firstLineChars="200"/>
      </w:pPr>
      <w:r>
        <w:t>3</w:t>
      </w:r>
      <w:r>
        <w:rPr>
          <w:rFonts w:hint="eastAsia"/>
        </w:rPr>
        <w:t>、报名</w:t>
      </w:r>
    </w:p>
    <w:p w14:paraId="23CD7C30">
      <w:pPr>
        <w:pStyle w:val="7"/>
        <w:spacing w:line="360" w:lineRule="auto"/>
        <w:ind w:firstLine="420" w:firstLineChars="200"/>
        <w:rPr>
          <w:szCs w:val="21"/>
          <w:lang w:bidi="en-US"/>
        </w:rPr>
      </w:pPr>
      <w:r>
        <w:rPr>
          <w:rFonts w:hint="eastAsia"/>
        </w:rPr>
        <w:t>报名方式：投标方需</w:t>
      </w:r>
      <w:r>
        <w:rPr>
          <w:szCs w:val="21"/>
          <w:lang w:bidi="en-US"/>
        </w:rPr>
        <w:t>按照</w:t>
      </w:r>
      <w:r>
        <w:rPr>
          <w:rFonts w:hint="eastAsia"/>
          <w:szCs w:val="21"/>
          <w:lang w:bidi="en-US"/>
        </w:rPr>
        <w:t>附件</w:t>
      </w:r>
      <w:r>
        <w:rPr>
          <w:szCs w:val="21"/>
          <w:lang w:bidi="en-US"/>
        </w:rPr>
        <w:t>《非生产供应商注册操作手册》完成</w:t>
      </w:r>
      <w:r>
        <w:rPr>
          <w:rFonts w:hint="eastAsia"/>
          <w:szCs w:val="21"/>
          <w:lang w:bidi="en-US"/>
        </w:rPr>
        <w:t>重汽</w:t>
      </w:r>
      <w:r>
        <w:rPr>
          <w:szCs w:val="21"/>
          <w:lang w:bidi="en-US"/>
        </w:rPr>
        <w:t>e</w:t>
      </w:r>
      <w:r>
        <w:rPr>
          <w:rFonts w:hint="eastAsia"/>
          <w:szCs w:val="21"/>
          <w:lang w:bidi="en-US"/>
        </w:rPr>
        <w:t>采通</w:t>
      </w:r>
      <w:r>
        <w:rPr>
          <w:szCs w:val="21"/>
          <w:lang w:bidi="en-US"/>
        </w:rPr>
        <w:t>平台注册（网址：</w:t>
      </w:r>
      <w:r>
        <w:rPr>
          <w:rFonts w:hint="eastAsia"/>
          <w:sz w:val="22"/>
          <w:lang w:bidi="zh-CN"/>
        </w:rPr>
        <w:fldChar w:fldCharType="begin"/>
      </w:r>
      <w:r>
        <w:instrText xml:space="preserve"> HYPERLINK "http://ecaitong.sinotruk.com:8012/#/login），注册时，业务主管部门选择" </w:instrText>
      </w:r>
      <w:r>
        <w:rPr>
          <w:rFonts w:hint="eastAsia"/>
          <w:sz w:val="22"/>
          <w:lang w:bidi="zh-CN"/>
        </w:rPr>
        <w:fldChar w:fldCharType="separate"/>
      </w:r>
      <w:r>
        <w:rPr>
          <w:rFonts w:ascii="宋体" w:hAnsi="宋体" w:eastAsia="宋体" w:cs="宋体"/>
          <w:sz w:val="24"/>
          <w:szCs w:val="24"/>
        </w:rPr>
        <w:t>https://ecaitong.sinotruk.com:8012/#/login</w:t>
      </w:r>
      <w:r>
        <w:rPr>
          <w:szCs w:val="21"/>
          <w:lang w:bidi="en-US"/>
        </w:rPr>
        <w:t>）</w:t>
      </w:r>
      <w:r>
        <w:rPr>
          <w:rFonts w:hint="eastAsia"/>
          <w:szCs w:val="21"/>
          <w:lang w:bidi="en-US"/>
        </w:rPr>
        <w:fldChar w:fldCharType="end"/>
      </w:r>
      <w:r>
        <w:rPr>
          <w:rFonts w:hint="eastAsia"/>
        </w:rPr>
        <w:t>,</w:t>
      </w:r>
      <w:r>
        <w:rPr>
          <w:rFonts w:hint="eastAsia"/>
          <w:b/>
        </w:rPr>
        <w:t>在报名截止时间前</w:t>
      </w:r>
      <w:r>
        <w:rPr>
          <w:rFonts w:hint="eastAsia"/>
        </w:rPr>
        <w:t>在</w:t>
      </w:r>
      <w:r>
        <w:rPr>
          <w:rFonts w:hint="eastAsia"/>
          <w:szCs w:val="21"/>
          <w:lang w:bidi="en-US"/>
        </w:rPr>
        <w:t>重汽</w:t>
      </w:r>
      <w:r>
        <w:rPr>
          <w:szCs w:val="21"/>
          <w:lang w:bidi="en-US"/>
        </w:rPr>
        <w:t>e</w:t>
      </w:r>
      <w:r>
        <w:rPr>
          <w:rFonts w:hint="eastAsia"/>
          <w:szCs w:val="21"/>
          <w:lang w:bidi="en-US"/>
        </w:rPr>
        <w:t>采通上完成应标。</w:t>
      </w:r>
    </w:p>
    <w:p w14:paraId="5F0B22CE">
      <w:pPr>
        <w:pStyle w:val="7"/>
        <w:spacing w:line="360" w:lineRule="auto"/>
        <w:ind w:firstLine="422" w:firstLineChars="200"/>
        <w:rPr>
          <w:rFonts w:hint="eastAsia"/>
        </w:rPr>
      </w:pPr>
      <w:r>
        <w:rPr>
          <w:rFonts w:hint="eastAsia"/>
          <w:b/>
        </w:rPr>
        <w:t>报名截止时间：2</w:t>
      </w:r>
      <w:r>
        <w:rPr>
          <w:b/>
        </w:rPr>
        <w:t>02</w:t>
      </w:r>
      <w:r>
        <w:rPr>
          <w:rFonts w:hint="eastAsia"/>
          <w:b/>
          <w:lang w:val="en-US" w:eastAsia="zh-CN"/>
        </w:rPr>
        <w:t>5</w:t>
      </w:r>
      <w:r>
        <w:rPr>
          <w:rFonts w:hint="eastAsia"/>
          <w:b/>
        </w:rPr>
        <w:t>年</w:t>
      </w:r>
      <w:r>
        <w:rPr>
          <w:rFonts w:hint="eastAsia"/>
          <w:b/>
          <w:lang w:val="en-US" w:eastAsia="zh-CN"/>
        </w:rPr>
        <w:t>8</w:t>
      </w:r>
      <w:r>
        <w:rPr>
          <w:rFonts w:hint="eastAsia"/>
          <w:b/>
        </w:rPr>
        <w:t>月</w:t>
      </w:r>
      <w:r>
        <w:rPr>
          <w:rFonts w:hint="eastAsia"/>
          <w:b/>
          <w:lang w:val="en-US" w:eastAsia="zh-CN"/>
        </w:rPr>
        <w:t>22</w:t>
      </w:r>
      <w:r>
        <w:rPr>
          <w:rFonts w:hint="eastAsia"/>
          <w:b/>
        </w:rPr>
        <w:t>日。</w:t>
      </w:r>
    </w:p>
    <w:p w14:paraId="54D7501F">
      <w:pPr>
        <w:pStyle w:val="7"/>
        <w:spacing w:line="360" w:lineRule="auto"/>
        <w:ind w:left="426" w:leftChars="203"/>
      </w:pPr>
      <w:r>
        <w:rPr>
          <w:rFonts w:hint="eastAsia"/>
        </w:rPr>
        <w:t>报名联系人：</w:t>
      </w:r>
      <w:r>
        <w:rPr>
          <w:rFonts w:hint="eastAsia"/>
          <w:lang w:val="en-US" w:eastAsia="zh-CN"/>
        </w:rPr>
        <w:t>赵殿报，17864305210，陶猛，13475318469</w:t>
      </w:r>
      <w:r>
        <w:rPr>
          <w:rFonts w:hint="eastAsia"/>
        </w:rPr>
        <w:t>。</w:t>
      </w:r>
    </w:p>
    <w:p w14:paraId="1D726A9B">
      <w:pPr>
        <w:pStyle w:val="7"/>
        <w:spacing w:line="360" w:lineRule="auto"/>
        <w:ind w:left="426" w:leftChars="203"/>
      </w:pPr>
      <w:r>
        <w:t>4</w:t>
      </w:r>
      <w:r>
        <w:rPr>
          <w:rFonts w:hint="eastAsia"/>
        </w:rPr>
        <w:t>、投标</w:t>
      </w:r>
    </w:p>
    <w:p w14:paraId="4C95B8E4">
      <w:pPr>
        <w:pStyle w:val="7"/>
        <w:spacing w:line="360" w:lineRule="auto"/>
        <w:ind w:firstLine="420" w:firstLineChars="200"/>
      </w:pPr>
      <w:r>
        <w:t>应标通过的投标人</w:t>
      </w:r>
      <w:r>
        <w:rPr>
          <w:rFonts w:hint="eastAsia"/>
        </w:rPr>
        <w:t>，</w:t>
      </w:r>
      <w:r>
        <w:rPr>
          <w:rFonts w:hint="eastAsia"/>
          <w:b/>
        </w:rPr>
        <w:t>在投标截止时间前</w:t>
      </w:r>
      <w:r>
        <w:rPr>
          <w:rFonts w:hint="eastAsia"/>
        </w:rPr>
        <w:t>在e采通</w:t>
      </w:r>
      <w:r>
        <w:t>上传标书要求的资质文件、商务标文</w:t>
      </w:r>
      <w:r>
        <w:rPr>
          <w:rFonts w:hint="eastAsia"/>
        </w:rPr>
        <w:t>件。</w:t>
      </w:r>
    </w:p>
    <w:p w14:paraId="6E984410">
      <w:pPr>
        <w:pStyle w:val="7"/>
        <w:spacing w:line="360" w:lineRule="auto"/>
        <w:ind w:firstLine="422" w:firstLineChars="200"/>
        <w:rPr>
          <w:b/>
        </w:rPr>
      </w:pPr>
      <w:r>
        <w:rPr>
          <w:rFonts w:hint="eastAsia"/>
          <w:b/>
        </w:rPr>
        <w:t>投标截止时间：2</w:t>
      </w:r>
      <w:r>
        <w:rPr>
          <w:b/>
        </w:rPr>
        <w:t>02</w:t>
      </w:r>
      <w:r>
        <w:rPr>
          <w:rFonts w:hint="eastAsia"/>
          <w:b/>
          <w:lang w:val="en-US" w:eastAsia="zh-CN"/>
        </w:rPr>
        <w:t>5</w:t>
      </w:r>
      <w:r>
        <w:rPr>
          <w:rFonts w:hint="eastAsia"/>
          <w:b/>
        </w:rPr>
        <w:t>年</w:t>
      </w:r>
      <w:r>
        <w:rPr>
          <w:rFonts w:hint="eastAsia"/>
          <w:b/>
          <w:lang w:val="en-US" w:eastAsia="zh-CN"/>
        </w:rPr>
        <w:t>8</w:t>
      </w:r>
      <w:r>
        <w:rPr>
          <w:rFonts w:hint="eastAsia"/>
          <w:b/>
        </w:rPr>
        <w:t>月</w:t>
      </w:r>
      <w:r>
        <w:rPr>
          <w:rFonts w:hint="eastAsia"/>
          <w:b/>
          <w:lang w:val="en-US" w:eastAsia="zh-CN"/>
        </w:rPr>
        <w:t>23</w:t>
      </w:r>
      <w:r>
        <w:rPr>
          <w:rFonts w:hint="eastAsia"/>
          <w:b/>
        </w:rPr>
        <w:t>日。</w:t>
      </w:r>
    </w:p>
    <w:p w14:paraId="18A3732D">
      <w:pPr>
        <w:pStyle w:val="7"/>
        <w:spacing w:line="360" w:lineRule="auto"/>
        <w:ind w:firstLine="420" w:firstLineChars="200"/>
      </w:pPr>
      <w:r>
        <w:t>5</w:t>
      </w:r>
      <w:r>
        <w:rPr>
          <w:rFonts w:hint="eastAsia"/>
        </w:rPr>
        <w:t>、开标</w:t>
      </w:r>
    </w:p>
    <w:p w14:paraId="0C4D9815">
      <w:pPr>
        <w:pStyle w:val="7"/>
        <w:spacing w:line="360" w:lineRule="auto"/>
        <w:ind w:firstLine="422" w:firstLineChars="200"/>
        <w:rPr>
          <w:b/>
        </w:rPr>
      </w:pPr>
      <w:r>
        <w:rPr>
          <w:rFonts w:hint="eastAsia"/>
          <w:b/>
        </w:rPr>
        <w:t>开标时间：2</w:t>
      </w:r>
      <w:r>
        <w:rPr>
          <w:b/>
        </w:rPr>
        <w:t>02</w:t>
      </w:r>
      <w:r>
        <w:rPr>
          <w:rFonts w:hint="eastAsia"/>
          <w:b/>
          <w:lang w:val="en-US" w:eastAsia="zh-CN"/>
        </w:rPr>
        <w:t>5</w:t>
      </w:r>
      <w:r>
        <w:rPr>
          <w:rFonts w:hint="eastAsia"/>
          <w:b/>
        </w:rPr>
        <w:t>年</w:t>
      </w:r>
      <w:r>
        <w:rPr>
          <w:rFonts w:hint="eastAsia"/>
          <w:b/>
          <w:lang w:val="en-US" w:eastAsia="zh-CN"/>
        </w:rPr>
        <w:t>8</w:t>
      </w:r>
      <w:r>
        <w:rPr>
          <w:rFonts w:hint="eastAsia"/>
          <w:b/>
        </w:rPr>
        <w:t>月</w:t>
      </w:r>
      <w:r>
        <w:rPr>
          <w:rFonts w:hint="eastAsia"/>
          <w:b/>
          <w:lang w:val="en-US" w:eastAsia="zh-CN"/>
        </w:rPr>
        <w:t>25</w:t>
      </w:r>
      <w:r>
        <w:rPr>
          <w:rFonts w:hint="eastAsia"/>
          <w:b/>
        </w:rPr>
        <w:t>日上午9：</w:t>
      </w:r>
      <w:r>
        <w:rPr>
          <w:rFonts w:hint="eastAsia"/>
          <w:b/>
          <w:lang w:val="en-US" w:eastAsia="zh-CN"/>
        </w:rPr>
        <w:t>3</w:t>
      </w:r>
      <w:r>
        <w:rPr>
          <w:b/>
        </w:rPr>
        <w:t>0</w:t>
      </w:r>
      <w:r>
        <w:rPr>
          <w:rFonts w:hint="eastAsia"/>
          <w:b/>
        </w:rPr>
        <w:t>（若有变动另行通知）。</w:t>
      </w:r>
    </w:p>
    <w:p w14:paraId="5D462F8E">
      <w:pPr>
        <w:pStyle w:val="7"/>
        <w:spacing w:line="360" w:lineRule="auto"/>
        <w:ind w:left="426" w:leftChars="203"/>
        <w:rPr>
          <w:rFonts w:hint="eastAsia"/>
        </w:rPr>
      </w:pPr>
      <w:r>
        <w:rPr>
          <w:rFonts w:hint="eastAsia"/>
        </w:rPr>
        <w:t>开标地点：济南市章丘区世纪大道7</w:t>
      </w:r>
      <w:r>
        <w:t>777</w:t>
      </w:r>
      <w:r>
        <w:rPr>
          <w:rFonts w:hint="eastAsia"/>
        </w:rPr>
        <w:t>号中国重汽济南</w:t>
      </w:r>
      <w:r>
        <w:rPr>
          <w:rFonts w:hint="eastAsia"/>
          <w:lang w:val="en-US" w:eastAsia="zh-CN"/>
        </w:rPr>
        <w:t>发动机厂</w:t>
      </w:r>
      <w:r>
        <w:rPr>
          <w:rFonts w:hint="eastAsia"/>
        </w:rPr>
        <w:t>（若有变动另行通知）。</w:t>
      </w:r>
    </w:p>
    <w:bookmarkEnd w:id="2"/>
    <w:p w14:paraId="64F94CD8">
      <w:pPr>
        <w:pStyle w:val="7"/>
        <w:spacing w:line="360" w:lineRule="auto"/>
        <w:rPr>
          <w:rFonts w:ascii="黑体" w:eastAsia="黑体"/>
          <w:b/>
          <w:bCs/>
          <w:sz w:val="28"/>
        </w:rPr>
      </w:pPr>
      <w:r>
        <w:rPr>
          <w:rFonts w:hint="eastAsia" w:ascii="黑体" w:eastAsia="黑体"/>
          <w:b/>
          <w:bCs/>
          <w:sz w:val="28"/>
        </w:rPr>
        <w:t>五、获取招标文件</w:t>
      </w:r>
    </w:p>
    <w:p w14:paraId="28C57BED">
      <w:pPr>
        <w:pStyle w:val="7"/>
        <w:spacing w:line="360" w:lineRule="auto"/>
        <w:ind w:firstLine="405"/>
        <w:rPr>
          <w:rFonts w:hint="eastAsia"/>
        </w:rPr>
      </w:pPr>
      <w:r>
        <w:rPr>
          <w:rFonts w:hint="eastAsia"/>
        </w:rPr>
        <w:t>获取方式：投标方在中国重汽官网或山东省阳光采购平台自行下载招标公告。</w:t>
      </w:r>
    </w:p>
    <w:p w14:paraId="693CBAFA">
      <w:pPr>
        <w:pStyle w:val="7"/>
        <w:spacing w:line="360" w:lineRule="auto"/>
        <w:rPr>
          <w:rFonts w:ascii="黑体" w:eastAsia="黑体"/>
          <w:b/>
          <w:bCs/>
          <w:sz w:val="28"/>
        </w:rPr>
      </w:pPr>
      <w:r>
        <w:rPr>
          <w:rFonts w:hint="eastAsia" w:ascii="黑体" w:eastAsia="黑体"/>
          <w:b/>
          <w:bCs/>
          <w:sz w:val="28"/>
        </w:rPr>
        <w:t>六、投标须知</w:t>
      </w:r>
    </w:p>
    <w:p w14:paraId="72F4AEEE">
      <w:pPr>
        <w:pStyle w:val="7"/>
        <w:spacing w:line="360" w:lineRule="auto"/>
        <w:ind w:firstLine="422" w:firstLineChars="200"/>
        <w:rPr>
          <w:b/>
        </w:rPr>
      </w:pPr>
      <w:r>
        <w:rPr>
          <w:rFonts w:hint="eastAsia"/>
          <w:b/>
        </w:rPr>
        <w:t>1.合格投标人：</w:t>
      </w:r>
    </w:p>
    <w:p w14:paraId="21378F24">
      <w:pPr>
        <w:pStyle w:val="7"/>
        <w:spacing w:line="360" w:lineRule="auto"/>
        <w:ind w:firstLine="420" w:firstLineChars="200"/>
        <w:rPr>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14:paraId="43776305">
      <w:pPr>
        <w:pStyle w:val="7"/>
        <w:spacing w:line="360" w:lineRule="auto"/>
        <w:ind w:firstLine="282" w:firstLineChars="134"/>
        <w:rPr>
          <w:b/>
          <w:bCs/>
        </w:rPr>
      </w:pPr>
      <w:r>
        <w:rPr>
          <w:rFonts w:hint="eastAsia" w:hAnsi="宋体"/>
          <w:b/>
          <w:bCs/>
        </w:rPr>
        <w:t>*⑵</w:t>
      </w:r>
      <w:r>
        <w:rPr>
          <w:rFonts w:hint="eastAsia"/>
          <w:b/>
          <w:bCs/>
        </w:rPr>
        <w:t>公司成立三年以上（以营业执照成立日期到开标当日满</w:t>
      </w:r>
      <w:r>
        <w:rPr>
          <w:rFonts w:hint="eastAsia"/>
          <w:b/>
          <w:bCs/>
          <w:lang w:val="en-US" w:eastAsia="zh-CN"/>
        </w:rPr>
        <w:t>三</w:t>
      </w:r>
      <w:r>
        <w:rPr>
          <w:rFonts w:hint="eastAsia"/>
          <w:b/>
          <w:bCs/>
        </w:rPr>
        <w:t>年为准）；注册资金不少于</w:t>
      </w:r>
      <w:r>
        <w:rPr>
          <w:rFonts w:hint="eastAsia"/>
          <w:b/>
          <w:bCs/>
          <w:lang w:val="en-US" w:eastAsia="zh-CN"/>
        </w:rPr>
        <w:t>50</w:t>
      </w:r>
      <w:r>
        <w:rPr>
          <w:rFonts w:hint="eastAsia"/>
          <w:b/>
          <w:bCs/>
        </w:rPr>
        <w:t>万元</w:t>
      </w:r>
      <w:r>
        <w:rPr>
          <w:rFonts w:hint="eastAsia" w:hAnsi="宋体"/>
          <w:b/>
          <w:bCs/>
          <w:sz w:val="24"/>
        </w:rPr>
        <w:t>；</w:t>
      </w:r>
      <w:r>
        <w:rPr>
          <w:rFonts w:hint="eastAsia"/>
          <w:b/>
          <w:bCs/>
        </w:rPr>
        <w:t>经营范围满足招标项目需求；</w:t>
      </w:r>
    </w:p>
    <w:p w14:paraId="555722B0">
      <w:pPr>
        <w:pStyle w:val="7"/>
        <w:spacing w:line="360" w:lineRule="auto"/>
        <w:ind w:firstLine="282" w:firstLineChars="134"/>
        <w:rPr>
          <w:b/>
          <w:bCs/>
        </w:rPr>
      </w:pPr>
      <w:r>
        <w:rPr>
          <w:rFonts w:hint="eastAsia" w:hAnsi="宋体"/>
          <w:b/>
          <w:bCs/>
        </w:rPr>
        <w:t>*</w:t>
      </w:r>
      <w:r>
        <w:rPr>
          <w:rFonts w:hint="eastAsia"/>
          <w:b/>
          <w:bCs/>
        </w:rPr>
        <w:t>⑶投标人须提供具有统一社会信用代码的新版营业执照副本原件或复印件（加盖公章）；</w:t>
      </w:r>
    </w:p>
    <w:p w14:paraId="7DB88157">
      <w:pPr>
        <w:pStyle w:val="7"/>
        <w:spacing w:line="360" w:lineRule="auto"/>
        <w:ind w:firstLine="420" w:firstLineChars="200"/>
        <w:rPr>
          <w:b/>
        </w:rPr>
      </w:pPr>
      <w:r>
        <w:rPr>
          <w:rFonts w:hint="eastAsia" w:hAnsi="宋体"/>
        </w:rPr>
        <w:t>⑷</w:t>
      </w:r>
      <w:r>
        <w:rPr>
          <w:rFonts w:hint="eastAsia"/>
        </w:rPr>
        <w:t>具有良好的商业信誉，在国家企业信用信息公示系统中无行政处罚、列入经营异常名录和列入严重违法失信企业名单（黑名单）信息或上述信息已被移除。</w:t>
      </w:r>
    </w:p>
    <w:p w14:paraId="45A90359">
      <w:pPr>
        <w:pStyle w:val="7"/>
        <w:spacing w:line="360" w:lineRule="auto"/>
        <w:ind w:firstLine="420" w:firstLineChars="200"/>
      </w:pPr>
      <w:r>
        <w:rPr>
          <w:rFonts w:hint="eastAsia" w:hAnsi="宋体"/>
        </w:rPr>
        <w:t>⑸</w:t>
      </w:r>
      <w:r>
        <w:rPr>
          <w:rFonts w:hint="eastAsia"/>
        </w:rPr>
        <w:t>投标人在近两年内在经营活动中无违法记录。</w:t>
      </w:r>
    </w:p>
    <w:p w14:paraId="27A34D60">
      <w:pPr>
        <w:pStyle w:val="7"/>
        <w:spacing w:line="360" w:lineRule="auto"/>
        <w:ind w:firstLine="420" w:firstLineChars="200"/>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14:paraId="636F495B">
      <w:pPr>
        <w:pStyle w:val="7"/>
        <w:spacing w:line="360" w:lineRule="auto"/>
        <w:ind w:firstLine="420" w:firstLineChars="200"/>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657A5D65">
      <w:pPr>
        <w:spacing w:line="360" w:lineRule="auto"/>
        <w:ind w:firstLine="282" w:firstLineChars="134"/>
        <w:rPr>
          <w:rFonts w:ascii="宋体" w:hAnsi="Courier New"/>
          <w:b/>
          <w:bCs/>
        </w:rPr>
      </w:pPr>
      <w:r>
        <w:rPr>
          <w:rFonts w:hint="eastAsia" w:ascii="宋体" w:hAnsi="宋体"/>
          <w:b/>
          <w:bCs/>
        </w:rPr>
        <w:t>*⑻</w:t>
      </w:r>
      <w:r>
        <w:rPr>
          <w:rFonts w:hint="eastAsia" w:ascii="宋体" w:hAnsi="Courier New"/>
          <w:b/>
          <w:bCs/>
        </w:rPr>
        <w:t>投标人须提供20</w:t>
      </w:r>
      <w:r>
        <w:rPr>
          <w:rFonts w:hint="eastAsia" w:ascii="宋体" w:hAnsi="Courier New"/>
          <w:b/>
          <w:bCs/>
          <w:lang w:val="en-US" w:eastAsia="zh-CN"/>
        </w:rPr>
        <w:t>22</w:t>
      </w:r>
      <w:r>
        <w:rPr>
          <w:rFonts w:hint="eastAsia" w:ascii="宋体" w:hAnsi="Courier New"/>
          <w:b/>
          <w:bCs/>
        </w:rPr>
        <w:t>年、2</w:t>
      </w:r>
      <w:r>
        <w:rPr>
          <w:rFonts w:hint="eastAsia" w:ascii="宋体" w:hAnsi="Courier New"/>
          <w:b/>
          <w:bCs/>
          <w:lang w:val="en-US" w:eastAsia="zh-CN"/>
        </w:rPr>
        <w:t>023</w:t>
      </w:r>
      <w:r>
        <w:rPr>
          <w:rFonts w:hint="eastAsia" w:ascii="宋体" w:hAnsi="Courier New"/>
          <w:b/>
          <w:bCs/>
        </w:rPr>
        <w:t>年</w:t>
      </w:r>
      <w:r>
        <w:rPr>
          <w:rFonts w:hint="eastAsia" w:ascii="宋体" w:hAnsi="Courier New"/>
          <w:b/>
          <w:bCs/>
          <w:lang w:eastAsia="zh-CN"/>
        </w:rPr>
        <w:t>、</w:t>
      </w:r>
      <w:r>
        <w:rPr>
          <w:rFonts w:hint="eastAsia" w:ascii="宋体" w:hAnsi="Courier New"/>
          <w:b/>
          <w:bCs/>
          <w:lang w:val="en-US" w:eastAsia="zh-CN"/>
        </w:rPr>
        <w:t>2024年</w:t>
      </w:r>
      <w:r>
        <w:rPr>
          <w:rFonts w:hint="eastAsia" w:ascii="宋体" w:hAnsi="Courier New"/>
          <w:b/>
          <w:bCs/>
        </w:rPr>
        <w:t>三年的公司财务报表</w:t>
      </w:r>
      <w:r>
        <w:rPr>
          <w:rFonts w:hint="eastAsia" w:ascii="宋体" w:hAnsi="Courier New"/>
          <w:b/>
          <w:bCs/>
          <w:lang w:val="en-US" w:eastAsia="zh-CN"/>
        </w:rPr>
        <w:t>并加盖公章</w:t>
      </w:r>
      <w:r>
        <w:rPr>
          <w:rFonts w:hint="eastAsia" w:ascii="宋体" w:hAnsi="Courier New"/>
          <w:b/>
          <w:bCs/>
        </w:rPr>
        <w:t>。</w:t>
      </w:r>
    </w:p>
    <w:p w14:paraId="2DFB1C9B">
      <w:pPr>
        <w:spacing w:line="360" w:lineRule="auto"/>
        <w:ind w:firstLine="282" w:firstLineChars="134"/>
        <w:rPr>
          <w:rFonts w:ascii="宋体" w:hAnsi="Courier New"/>
          <w:b/>
          <w:bCs/>
        </w:rPr>
      </w:pPr>
      <w:r>
        <w:rPr>
          <w:rFonts w:hint="eastAsia" w:ascii="宋体" w:hAnsi="宋体"/>
          <w:b/>
          <w:bCs/>
        </w:rPr>
        <w:t>*⑼</w:t>
      </w:r>
      <w:r>
        <w:rPr>
          <w:rFonts w:hint="eastAsia" w:ascii="宋体" w:hAnsi="Courier New"/>
          <w:b/>
          <w:bCs/>
        </w:rPr>
        <w:t>投标人须提供法人授权委托书原件（在投标文件副本中可用复印件）及投标单位的法定代表人或授权代表的身份证原件及复印件（加盖公章）；</w:t>
      </w:r>
    </w:p>
    <w:p w14:paraId="17988190">
      <w:pPr>
        <w:pStyle w:val="7"/>
        <w:spacing w:line="360" w:lineRule="auto"/>
        <w:ind w:firstLine="420" w:firstLineChars="200"/>
      </w:pPr>
      <w:r>
        <w:rPr>
          <w:rFonts w:hint="eastAsia" w:hAnsi="宋体"/>
        </w:rPr>
        <w:t>⑽</w:t>
      </w:r>
      <w:r>
        <w:rPr>
          <w:rFonts w:hint="eastAsia"/>
        </w:rPr>
        <w:t>投标人须具有履行合同所必须的设备、财务、技术、服务等方面的资质和能力；</w:t>
      </w:r>
    </w:p>
    <w:p w14:paraId="2D7F9BDA">
      <w:pPr>
        <w:pStyle w:val="7"/>
        <w:spacing w:line="360" w:lineRule="auto"/>
        <w:ind w:firstLine="420" w:firstLineChars="200"/>
      </w:pPr>
      <w:r>
        <w:rPr>
          <w:rFonts w:hint="eastAsia" w:hAnsi="宋体"/>
        </w:rPr>
        <w:t>⑾</w:t>
      </w:r>
      <w:r>
        <w:rPr>
          <w:rFonts w:hint="eastAsia"/>
        </w:rPr>
        <w:t>投标人须具有完全履行招标文件的所有要求的能力；</w:t>
      </w:r>
    </w:p>
    <w:p w14:paraId="434EF0A2">
      <w:pPr>
        <w:pStyle w:val="7"/>
        <w:spacing w:line="360" w:lineRule="auto"/>
        <w:ind w:firstLine="420" w:firstLineChars="200"/>
      </w:pPr>
      <w:r>
        <w:rPr>
          <w:rFonts w:hint="eastAsia" w:hAnsi="宋体"/>
        </w:rPr>
        <w:t>⑿</w:t>
      </w:r>
      <w:r>
        <w:rPr>
          <w:rFonts w:hint="eastAsia"/>
        </w:rPr>
        <w:t>投标人须负责提供合理的便于运输的包装物，并承担相关费用；</w:t>
      </w:r>
    </w:p>
    <w:p w14:paraId="13237799">
      <w:pPr>
        <w:pStyle w:val="7"/>
        <w:spacing w:line="360" w:lineRule="auto"/>
        <w:ind w:firstLine="420" w:firstLineChars="200"/>
      </w:pPr>
      <w:r>
        <w:rPr>
          <w:rFonts w:hint="eastAsia" w:hAnsi="宋体"/>
        </w:rPr>
        <w:t>⒀</w:t>
      </w:r>
      <w:r>
        <w:rPr>
          <w:rFonts w:hint="eastAsia"/>
        </w:rPr>
        <w:t>投标人须认可招标人的工作指令，包括节、假日能正常开展工作的要求；</w:t>
      </w:r>
    </w:p>
    <w:p w14:paraId="7AE01501">
      <w:pPr>
        <w:pStyle w:val="7"/>
        <w:spacing w:line="360" w:lineRule="auto"/>
        <w:ind w:firstLine="420" w:firstLineChars="200"/>
      </w:pPr>
      <w:r>
        <w:rPr>
          <w:rFonts w:hint="eastAsia" w:hAnsi="宋体"/>
        </w:rPr>
        <w:t>⒁</w:t>
      </w:r>
      <w:r>
        <w:rPr>
          <w:rFonts w:hint="eastAsia"/>
        </w:rPr>
        <w:t>投标人须认可招标人终止合同后3个月退还履约保证金的招标要求；</w:t>
      </w:r>
    </w:p>
    <w:p w14:paraId="1AF80E02">
      <w:pPr>
        <w:pStyle w:val="7"/>
        <w:spacing w:line="360" w:lineRule="auto"/>
        <w:ind w:firstLine="420" w:firstLineChars="200"/>
      </w:pPr>
      <w:r>
        <w:rPr>
          <w:rFonts w:hint="eastAsia" w:hAnsi="宋体"/>
        </w:rPr>
        <w:t>⒂</w:t>
      </w:r>
      <w:r>
        <w:rPr>
          <w:rFonts w:hint="eastAsia"/>
        </w:rPr>
        <w:t>投标人必须是最终投标、签订合同的单位，不得以任何理由将已中标项目以任何形式转包给其他单位；</w:t>
      </w:r>
    </w:p>
    <w:p w14:paraId="20614E7B">
      <w:pPr>
        <w:pStyle w:val="7"/>
        <w:spacing w:line="360" w:lineRule="auto"/>
        <w:ind w:firstLine="420" w:firstLineChars="200"/>
      </w:pPr>
      <w:r>
        <w:rPr>
          <w:rFonts w:hint="eastAsia" w:hAnsi="宋体"/>
        </w:rPr>
        <w:t>⒃</w:t>
      </w:r>
      <w:r>
        <w:rPr>
          <w:rFonts w:hint="eastAsia"/>
        </w:rPr>
        <w:t>本次招标项目不接受联合体投标；</w:t>
      </w:r>
    </w:p>
    <w:p w14:paraId="03721A3B">
      <w:pPr>
        <w:spacing w:line="360" w:lineRule="auto"/>
        <w:ind w:firstLine="282" w:firstLineChars="134"/>
        <w:rPr>
          <w:rFonts w:ascii="宋体" w:hAnsi="宋体"/>
          <w:b/>
          <w:bCs/>
        </w:rPr>
      </w:pPr>
      <w:r>
        <w:rPr>
          <w:rFonts w:hint="eastAsia" w:ascii="宋体" w:hAnsi="宋体"/>
          <w:b/>
          <w:bCs/>
        </w:rPr>
        <w:t>*⒄投标人在向招标人出示《投标保证金缴纳凭证》后方可进行投标；</w:t>
      </w:r>
    </w:p>
    <w:p w14:paraId="751CA357">
      <w:pPr>
        <w:pStyle w:val="7"/>
        <w:spacing w:line="360" w:lineRule="auto"/>
        <w:ind w:firstLine="420" w:firstLineChars="200"/>
        <w:rPr>
          <w:rFonts w:hAnsi="宋体"/>
        </w:rPr>
      </w:pPr>
      <w:r>
        <w:rPr>
          <w:rFonts w:hint="eastAsia" w:hAnsi="宋体"/>
        </w:rPr>
        <w:t>(18)如为代理商投标，需获得生产厂家正式授权原件并具备售后服务承诺原件。</w:t>
      </w:r>
    </w:p>
    <w:p w14:paraId="35C5E8B4">
      <w:pPr>
        <w:pStyle w:val="7"/>
        <w:spacing w:line="360" w:lineRule="auto"/>
        <w:ind w:firstLine="420" w:firstLineChars="200"/>
        <w:rPr>
          <w:rFonts w:hAnsi="宋体"/>
        </w:rPr>
      </w:pPr>
      <w:r>
        <w:rPr>
          <w:rFonts w:hint="eastAsia" w:hAnsi="宋体"/>
        </w:rPr>
        <w:t>(19)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0A8CDB56">
      <w:pPr>
        <w:pStyle w:val="7"/>
        <w:spacing w:line="360" w:lineRule="auto"/>
        <w:rPr>
          <w:b/>
        </w:rPr>
      </w:pPr>
      <w:r>
        <w:rPr>
          <w:rFonts w:hint="eastAsia"/>
          <w:b/>
          <w:bCs/>
        </w:rPr>
        <w:t>注：上述带“</w:t>
      </w:r>
      <w:r>
        <w:rPr>
          <w:rFonts w:hint="eastAsia" w:hAnsi="宋体"/>
          <w:b/>
          <w:bCs/>
        </w:rPr>
        <w:t>*</w:t>
      </w:r>
      <w:r>
        <w:rPr>
          <w:rFonts w:hint="eastAsia"/>
          <w:b/>
          <w:bCs/>
        </w:rPr>
        <w:t>”项为必备的资格文件，在开标前核验（由投标人单独提供），缺一项按废标处理，其余文件开标后核验。</w:t>
      </w:r>
      <w:r>
        <w:rPr>
          <w:rFonts w:hint="eastAsia"/>
          <w:b/>
        </w:rPr>
        <w:t>逾期的投标文件招标人不予受理。</w:t>
      </w:r>
    </w:p>
    <w:p w14:paraId="44C1D799">
      <w:pPr>
        <w:pStyle w:val="7"/>
        <w:spacing w:line="360" w:lineRule="auto"/>
        <w:ind w:firstLine="422" w:firstLineChars="200"/>
        <w:rPr>
          <w:b/>
        </w:rPr>
      </w:pPr>
      <w:r>
        <w:rPr>
          <w:rFonts w:hint="eastAsia"/>
          <w:b/>
        </w:rPr>
        <w:t>2.投标文件格式组成</w:t>
      </w:r>
    </w:p>
    <w:p w14:paraId="435CCFDF">
      <w:pPr>
        <w:pStyle w:val="7"/>
        <w:spacing w:line="360" w:lineRule="auto"/>
        <w:ind w:right="-334" w:rightChars="-159" w:firstLine="422" w:firstLineChars="200"/>
        <w:rPr>
          <w:b/>
        </w:rPr>
      </w:pPr>
      <w:r>
        <w:rPr>
          <w:rFonts w:hint="eastAsia"/>
          <w:b/>
        </w:rPr>
        <w:t>2.1资质文件（独立封装在一个档案袋，一式两份，一正一副，正本所涉及的盖章和签字必须为原件）：</w:t>
      </w:r>
    </w:p>
    <w:p w14:paraId="3B790071">
      <w:pPr>
        <w:pStyle w:val="7"/>
        <w:spacing w:line="360" w:lineRule="auto"/>
        <w:ind w:firstLine="422" w:firstLineChars="200"/>
        <w:rPr>
          <w:b/>
        </w:rPr>
      </w:pPr>
      <w:r>
        <w:rPr>
          <w:rFonts w:hint="eastAsia"/>
          <w:b/>
        </w:rPr>
        <w:t>2.1.1</w:t>
      </w:r>
      <w:r>
        <w:rPr>
          <w:rFonts w:hint="eastAsia"/>
          <w:b/>
        </w:rPr>
        <w:tab/>
      </w:r>
      <w:r>
        <w:rPr>
          <w:rFonts w:hint="eastAsia"/>
          <w:b/>
        </w:rPr>
        <w:t>法定代表人身份证明</w:t>
      </w:r>
    </w:p>
    <w:p w14:paraId="05378640">
      <w:pPr>
        <w:pStyle w:val="7"/>
        <w:spacing w:line="360" w:lineRule="auto"/>
        <w:ind w:firstLine="422" w:firstLineChars="200"/>
        <w:rPr>
          <w:b/>
        </w:rPr>
      </w:pPr>
      <w:r>
        <w:rPr>
          <w:rFonts w:hint="eastAsia"/>
          <w:b/>
        </w:rPr>
        <w:t>2.1.2</w:t>
      </w:r>
      <w:r>
        <w:rPr>
          <w:rFonts w:hint="eastAsia"/>
          <w:b/>
        </w:rPr>
        <w:tab/>
      </w:r>
      <w:r>
        <w:rPr>
          <w:rFonts w:hint="eastAsia"/>
          <w:b/>
        </w:rPr>
        <w:t>法人授权委托书及身份证复印件；</w:t>
      </w:r>
    </w:p>
    <w:p w14:paraId="19D460DB">
      <w:pPr>
        <w:pStyle w:val="7"/>
        <w:spacing w:line="360" w:lineRule="auto"/>
        <w:ind w:firstLine="422" w:firstLineChars="200"/>
        <w:rPr>
          <w:b/>
        </w:rPr>
      </w:pPr>
      <w:r>
        <w:rPr>
          <w:rFonts w:hint="eastAsia"/>
          <w:b/>
        </w:rPr>
        <w:t>2.1.3</w:t>
      </w:r>
      <w:r>
        <w:rPr>
          <w:rFonts w:hint="eastAsia"/>
          <w:b/>
        </w:rPr>
        <w:tab/>
      </w:r>
      <w:r>
        <w:rPr>
          <w:rFonts w:hint="eastAsia"/>
          <w:b/>
        </w:rPr>
        <w:t>营业执照副本复印件；</w:t>
      </w:r>
    </w:p>
    <w:p w14:paraId="44AAD370">
      <w:pPr>
        <w:pStyle w:val="7"/>
        <w:spacing w:line="360" w:lineRule="auto"/>
        <w:ind w:firstLine="422" w:firstLineChars="200"/>
        <w:rPr>
          <w:b/>
        </w:rPr>
      </w:pPr>
      <w:r>
        <w:rPr>
          <w:rFonts w:hint="eastAsia"/>
          <w:b/>
        </w:rPr>
        <w:t>2.1.4</w:t>
      </w:r>
      <w:r>
        <w:rPr>
          <w:rFonts w:hint="eastAsia"/>
          <w:b/>
        </w:rPr>
        <w:tab/>
      </w:r>
      <w:r>
        <w:rPr>
          <w:rFonts w:hint="eastAsia"/>
          <w:b/>
        </w:rPr>
        <w:t>投标人应具有相应生产证明，若为代理商需具备厂家授权。</w:t>
      </w:r>
    </w:p>
    <w:p w14:paraId="3458AE30">
      <w:pPr>
        <w:pStyle w:val="7"/>
        <w:spacing w:line="360" w:lineRule="auto"/>
        <w:ind w:firstLine="422" w:firstLineChars="200"/>
        <w:rPr>
          <w:b/>
        </w:rPr>
      </w:pPr>
      <w:r>
        <w:rPr>
          <w:rFonts w:hint="eastAsia"/>
          <w:b/>
        </w:rPr>
        <w:t>2.1.5</w:t>
      </w:r>
      <w:r>
        <w:rPr>
          <w:rFonts w:hint="eastAsia"/>
          <w:b/>
        </w:rPr>
        <w:tab/>
      </w:r>
      <w:r>
        <w:rPr>
          <w:rFonts w:hint="eastAsia"/>
          <w:b/>
        </w:rPr>
        <w:t>证明投标人满足投标资料表中列出的业绩要求的文件：近三年(20</w:t>
      </w:r>
      <w:r>
        <w:rPr>
          <w:rFonts w:hint="eastAsia"/>
          <w:b/>
          <w:lang w:val="en-US" w:eastAsia="zh-CN"/>
        </w:rPr>
        <w:t>22</w:t>
      </w:r>
      <w:r>
        <w:rPr>
          <w:rFonts w:hint="eastAsia"/>
          <w:b/>
        </w:rPr>
        <w:t>年1月1日至今)至少有1项类似项目业绩及合同复印件（加盖公章，须有客户联系方式及联系人以供招标人核实确认）。</w:t>
      </w:r>
    </w:p>
    <w:p w14:paraId="133533A5">
      <w:pPr>
        <w:pStyle w:val="7"/>
        <w:spacing w:line="360" w:lineRule="auto"/>
        <w:ind w:firstLine="422" w:firstLineChars="200"/>
        <w:rPr>
          <w:b/>
        </w:rPr>
      </w:pPr>
      <w:r>
        <w:rPr>
          <w:rFonts w:hint="eastAsia"/>
          <w:b/>
        </w:rPr>
        <w:t>2.1.6</w:t>
      </w:r>
      <w:r>
        <w:rPr>
          <w:rFonts w:hint="eastAsia"/>
          <w:b/>
        </w:rPr>
        <w:tab/>
      </w:r>
      <w:r>
        <w:rPr>
          <w:rFonts w:hint="eastAsia"/>
          <w:b/>
          <w:bCs/>
        </w:rPr>
        <w:t>20</w:t>
      </w:r>
      <w:r>
        <w:rPr>
          <w:rFonts w:hint="eastAsia"/>
          <w:b/>
          <w:bCs/>
          <w:lang w:val="en-US" w:eastAsia="zh-CN"/>
        </w:rPr>
        <w:t>22</w:t>
      </w:r>
      <w:r>
        <w:rPr>
          <w:rFonts w:hint="eastAsia"/>
          <w:b/>
          <w:bCs/>
        </w:rPr>
        <w:t>年、202</w:t>
      </w:r>
      <w:r>
        <w:rPr>
          <w:rFonts w:hint="eastAsia"/>
          <w:b/>
          <w:bCs/>
          <w:lang w:val="en-US" w:eastAsia="zh-CN"/>
        </w:rPr>
        <w:t>3</w:t>
      </w:r>
      <w:r>
        <w:rPr>
          <w:rFonts w:hint="eastAsia"/>
          <w:b/>
          <w:bCs/>
        </w:rPr>
        <w:t>年、2</w:t>
      </w:r>
      <w:r>
        <w:rPr>
          <w:rFonts w:hint="eastAsia"/>
          <w:b/>
          <w:bCs/>
          <w:lang w:val="en-US" w:eastAsia="zh-CN"/>
        </w:rPr>
        <w:t>0</w:t>
      </w:r>
      <w:r>
        <w:rPr>
          <w:rFonts w:hint="eastAsia"/>
          <w:b/>
          <w:bCs/>
        </w:rPr>
        <w:t>2</w:t>
      </w:r>
      <w:r>
        <w:rPr>
          <w:rFonts w:hint="eastAsia"/>
          <w:b/>
          <w:bCs/>
          <w:lang w:val="en-US" w:eastAsia="zh-CN"/>
        </w:rPr>
        <w:t>4</w:t>
      </w:r>
      <w:r>
        <w:rPr>
          <w:rFonts w:hint="eastAsia"/>
          <w:b/>
          <w:bCs/>
        </w:rPr>
        <w:t>年三年的公司财务报表</w:t>
      </w:r>
      <w:r>
        <w:rPr>
          <w:rFonts w:hint="eastAsia"/>
          <w:b/>
          <w:bCs/>
          <w:lang w:val="en-US" w:eastAsia="zh-CN"/>
        </w:rPr>
        <w:t>并加盖公章</w:t>
      </w:r>
      <w:r>
        <w:rPr>
          <w:rFonts w:hint="eastAsia"/>
          <w:b/>
        </w:rPr>
        <w:t>；</w:t>
      </w:r>
    </w:p>
    <w:p w14:paraId="1D26BC55">
      <w:pPr>
        <w:pStyle w:val="7"/>
        <w:spacing w:line="360" w:lineRule="auto"/>
        <w:ind w:firstLine="422" w:firstLineChars="200"/>
        <w:rPr>
          <w:b/>
        </w:rPr>
      </w:pPr>
      <w:r>
        <w:rPr>
          <w:rFonts w:hint="eastAsia"/>
          <w:b/>
        </w:rPr>
        <w:t>2.1.7</w:t>
      </w:r>
      <w:r>
        <w:rPr>
          <w:rFonts w:hint="eastAsia"/>
          <w:b/>
        </w:rPr>
        <w:tab/>
      </w:r>
      <w:r>
        <w:rPr>
          <w:rFonts w:hint="eastAsia"/>
          <w:b/>
        </w:rPr>
        <w:t>招标文件中要求的其它资格证明文件。</w:t>
      </w:r>
    </w:p>
    <w:p w14:paraId="1BBB9616">
      <w:pPr>
        <w:pStyle w:val="7"/>
        <w:spacing w:line="360" w:lineRule="auto"/>
        <w:ind w:firstLine="422" w:firstLineChars="200"/>
        <w:rPr>
          <w:rFonts w:hint="eastAsia"/>
          <w:b/>
        </w:rPr>
      </w:pPr>
      <w:r>
        <w:rPr>
          <w:rFonts w:hint="eastAsia"/>
          <w:b/>
        </w:rPr>
        <w:t>2.2 商务</w:t>
      </w:r>
      <w:r>
        <w:rPr>
          <w:rFonts w:hint="eastAsia"/>
          <w:b/>
          <w:lang w:val="en-US" w:eastAsia="zh-CN"/>
        </w:rPr>
        <w:t>技术</w:t>
      </w:r>
      <w:r>
        <w:rPr>
          <w:rFonts w:hint="eastAsia"/>
          <w:b/>
        </w:rPr>
        <w:t>标（独立封装在一个档案袋，一式</w:t>
      </w:r>
      <w:r>
        <w:rPr>
          <w:rFonts w:hint="eastAsia"/>
          <w:b/>
          <w:lang w:val="en-US" w:eastAsia="zh-CN"/>
        </w:rPr>
        <w:t>三</w:t>
      </w:r>
      <w:r>
        <w:rPr>
          <w:rFonts w:hint="eastAsia"/>
          <w:b/>
        </w:rPr>
        <w:t>份，其中正本一份，副本</w:t>
      </w:r>
      <w:r>
        <w:rPr>
          <w:rFonts w:hint="eastAsia"/>
          <w:b/>
          <w:lang w:val="en-US" w:eastAsia="zh-CN"/>
        </w:rPr>
        <w:t>二</w:t>
      </w:r>
      <w:r>
        <w:rPr>
          <w:rFonts w:hint="eastAsia"/>
          <w:b/>
        </w:rPr>
        <w:t>份</w:t>
      </w:r>
      <w:r>
        <w:rPr>
          <w:rFonts w:hint="eastAsia"/>
          <w:b/>
          <w:lang w:eastAsia="zh-CN"/>
        </w:rPr>
        <w:t>。</w:t>
      </w:r>
      <w:r>
        <w:rPr>
          <w:rFonts w:hint="eastAsia"/>
          <w:b/>
        </w:rPr>
        <w:t>开标一览表仍需单独封装在一个</w:t>
      </w:r>
      <w:r>
        <w:rPr>
          <w:rFonts w:hint="eastAsia"/>
          <w:b/>
          <w:lang w:val="en-US" w:eastAsia="zh-CN"/>
        </w:rPr>
        <w:t>档案袋</w:t>
      </w:r>
      <w:r>
        <w:rPr>
          <w:rFonts w:hint="eastAsia"/>
          <w:b/>
        </w:rPr>
        <w:t>，一式两份）：</w:t>
      </w:r>
    </w:p>
    <w:p w14:paraId="23DFDC28">
      <w:pPr>
        <w:pStyle w:val="7"/>
        <w:spacing w:line="360" w:lineRule="auto"/>
        <w:ind w:firstLine="422" w:firstLineChars="200"/>
        <w:rPr>
          <w:b/>
        </w:rPr>
      </w:pPr>
      <w:r>
        <w:rPr>
          <w:rFonts w:hint="eastAsia"/>
          <w:b/>
        </w:rPr>
        <w:t>2.</w:t>
      </w:r>
      <w:r>
        <w:rPr>
          <w:rFonts w:hint="eastAsia"/>
          <w:b/>
          <w:lang w:val="en-US" w:eastAsia="zh-CN"/>
        </w:rPr>
        <w:t>2</w:t>
      </w:r>
      <w:r>
        <w:rPr>
          <w:rFonts w:hint="eastAsia"/>
          <w:b/>
        </w:rPr>
        <w:t>.1</w:t>
      </w:r>
      <w:r>
        <w:rPr>
          <w:rFonts w:hint="eastAsia"/>
          <w:b/>
        </w:rPr>
        <w:tab/>
      </w:r>
      <w:r>
        <w:rPr>
          <w:rFonts w:hint="eastAsia"/>
          <w:b/>
        </w:rPr>
        <w:t>投标函；</w:t>
      </w:r>
    </w:p>
    <w:p w14:paraId="266770C8">
      <w:pPr>
        <w:pStyle w:val="7"/>
        <w:spacing w:line="360" w:lineRule="auto"/>
        <w:ind w:firstLine="422" w:firstLineChars="200"/>
        <w:rPr>
          <w:b/>
        </w:rPr>
      </w:pPr>
      <w:r>
        <w:rPr>
          <w:rFonts w:hint="eastAsia"/>
          <w:b/>
        </w:rPr>
        <w:t>2.</w:t>
      </w:r>
      <w:r>
        <w:rPr>
          <w:rFonts w:hint="eastAsia"/>
          <w:b/>
          <w:lang w:val="en-US" w:eastAsia="zh-CN"/>
        </w:rPr>
        <w:t>2</w:t>
      </w:r>
      <w:r>
        <w:rPr>
          <w:rFonts w:hint="eastAsia"/>
          <w:b/>
        </w:rPr>
        <w:t>.2</w:t>
      </w:r>
      <w:r>
        <w:rPr>
          <w:rFonts w:hint="eastAsia"/>
          <w:b/>
        </w:rPr>
        <w:tab/>
      </w:r>
      <w:r>
        <w:rPr>
          <w:rFonts w:hint="eastAsia"/>
          <w:b/>
        </w:rPr>
        <w:t>开标一览表；</w:t>
      </w:r>
    </w:p>
    <w:p w14:paraId="632A6F6E">
      <w:pPr>
        <w:pStyle w:val="7"/>
        <w:spacing w:line="360" w:lineRule="auto"/>
        <w:ind w:firstLine="422" w:firstLineChars="200"/>
        <w:rPr>
          <w:b/>
        </w:rPr>
      </w:pPr>
      <w:r>
        <w:rPr>
          <w:rFonts w:hint="eastAsia"/>
          <w:b/>
        </w:rPr>
        <w:t>2.</w:t>
      </w:r>
      <w:r>
        <w:rPr>
          <w:rFonts w:hint="eastAsia"/>
          <w:b/>
          <w:lang w:val="en-US" w:eastAsia="zh-CN"/>
        </w:rPr>
        <w:t>2</w:t>
      </w:r>
      <w:r>
        <w:rPr>
          <w:rFonts w:hint="eastAsia"/>
          <w:b/>
        </w:rPr>
        <w:t>.3</w:t>
      </w:r>
      <w:r>
        <w:rPr>
          <w:rFonts w:hint="eastAsia"/>
          <w:b/>
        </w:rPr>
        <w:tab/>
      </w:r>
      <w:r>
        <w:rPr>
          <w:rFonts w:hint="eastAsia"/>
          <w:b/>
        </w:rPr>
        <w:t>投标货物分项报价表；</w:t>
      </w:r>
    </w:p>
    <w:p w14:paraId="0E207CD6">
      <w:pPr>
        <w:pStyle w:val="7"/>
        <w:spacing w:line="360" w:lineRule="auto"/>
        <w:ind w:firstLine="422" w:firstLineChars="200"/>
        <w:rPr>
          <w:rFonts w:hint="eastAsia"/>
          <w:b/>
        </w:rPr>
      </w:pPr>
      <w:r>
        <w:rPr>
          <w:rFonts w:hint="eastAsia"/>
          <w:b/>
        </w:rPr>
        <w:t>2.</w:t>
      </w:r>
      <w:r>
        <w:rPr>
          <w:rFonts w:hint="eastAsia"/>
          <w:b/>
          <w:lang w:val="en-US" w:eastAsia="zh-CN"/>
        </w:rPr>
        <w:t>2</w:t>
      </w:r>
      <w:r>
        <w:rPr>
          <w:rFonts w:hint="eastAsia"/>
          <w:b/>
        </w:rPr>
        <w:t>.4</w:t>
      </w:r>
      <w:r>
        <w:rPr>
          <w:rFonts w:hint="eastAsia"/>
          <w:b/>
        </w:rPr>
        <w:tab/>
      </w:r>
      <w:r>
        <w:rPr>
          <w:rFonts w:hint="eastAsia"/>
          <w:b/>
        </w:rPr>
        <w:t>商务条款偏离表；详见本招标文件“第二章 投标文件编制”，请投标人按格式要求进行填写。</w:t>
      </w:r>
    </w:p>
    <w:p w14:paraId="5E966A00">
      <w:pPr>
        <w:pStyle w:val="7"/>
        <w:spacing w:line="360" w:lineRule="auto"/>
        <w:ind w:firstLine="422" w:firstLineChars="200"/>
        <w:rPr>
          <w:b/>
        </w:rPr>
      </w:pPr>
      <w:r>
        <w:rPr>
          <w:rFonts w:hint="eastAsia"/>
          <w:b/>
        </w:rPr>
        <w:t>2.2.</w:t>
      </w:r>
      <w:r>
        <w:rPr>
          <w:rFonts w:hint="eastAsia"/>
          <w:b/>
          <w:lang w:val="en-US" w:eastAsia="zh-CN"/>
        </w:rPr>
        <w:t>5</w:t>
      </w:r>
      <w:r>
        <w:rPr>
          <w:rFonts w:hint="eastAsia"/>
          <w:b/>
        </w:rPr>
        <w:tab/>
      </w:r>
      <w:r>
        <w:rPr>
          <w:rFonts w:hint="eastAsia"/>
          <w:b/>
        </w:rPr>
        <w:t>技术规格偏离表；</w:t>
      </w:r>
    </w:p>
    <w:p w14:paraId="450A0BCE">
      <w:pPr>
        <w:pStyle w:val="7"/>
        <w:spacing w:line="360" w:lineRule="auto"/>
        <w:ind w:firstLine="422" w:firstLineChars="200"/>
        <w:rPr>
          <w:b/>
        </w:rPr>
      </w:pPr>
      <w:r>
        <w:rPr>
          <w:rFonts w:hint="eastAsia"/>
          <w:b/>
        </w:rPr>
        <w:t>2.2.</w:t>
      </w:r>
      <w:r>
        <w:rPr>
          <w:rFonts w:hint="eastAsia"/>
          <w:b/>
          <w:lang w:val="en-US" w:eastAsia="zh-CN"/>
        </w:rPr>
        <w:t>6</w:t>
      </w:r>
      <w:r>
        <w:rPr>
          <w:rFonts w:hint="eastAsia"/>
          <w:b/>
        </w:rPr>
        <w:tab/>
      </w:r>
      <w:r>
        <w:rPr>
          <w:rFonts w:hint="eastAsia"/>
          <w:b/>
          <w:lang w:val="en-US" w:eastAsia="zh-CN"/>
        </w:rPr>
        <w:t>工位器具</w:t>
      </w:r>
      <w:r>
        <w:rPr>
          <w:rFonts w:hint="eastAsia"/>
          <w:b/>
        </w:rPr>
        <w:t>技术性能、参数的描述；证明货物和服务与招标文件的要求相一致的文件，可以是文字资料、图纸和数据，它包括：</w:t>
      </w:r>
    </w:p>
    <w:p w14:paraId="467EAD9C">
      <w:pPr>
        <w:pStyle w:val="7"/>
        <w:spacing w:line="360" w:lineRule="auto"/>
        <w:ind w:firstLine="422" w:firstLineChars="200"/>
        <w:rPr>
          <w:b/>
        </w:rPr>
      </w:pPr>
      <w:r>
        <w:rPr>
          <w:rFonts w:hint="eastAsia"/>
          <w:b/>
        </w:rPr>
        <w:t>1）</w:t>
      </w:r>
      <w:r>
        <w:rPr>
          <w:rFonts w:hint="eastAsia"/>
          <w:b/>
          <w:lang w:val="en-US" w:eastAsia="zh-CN"/>
        </w:rPr>
        <w:t>工位器具</w:t>
      </w:r>
      <w:r>
        <w:rPr>
          <w:rFonts w:hint="eastAsia"/>
          <w:b/>
        </w:rPr>
        <w:t>主要技术指标和性能的详细说明；</w:t>
      </w:r>
    </w:p>
    <w:p w14:paraId="605FFD02">
      <w:pPr>
        <w:pStyle w:val="7"/>
        <w:spacing w:line="360" w:lineRule="auto"/>
        <w:ind w:firstLine="422" w:firstLineChars="200"/>
        <w:rPr>
          <w:b/>
        </w:rPr>
      </w:pPr>
      <w:r>
        <w:rPr>
          <w:rFonts w:hint="eastAsia"/>
          <w:b/>
        </w:rPr>
        <w:t>2）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6C903ECF">
      <w:pPr>
        <w:pStyle w:val="7"/>
        <w:spacing w:line="360" w:lineRule="auto"/>
        <w:ind w:firstLine="422" w:firstLineChars="200"/>
        <w:rPr>
          <w:rFonts w:hint="eastAsia"/>
          <w:b/>
        </w:rPr>
      </w:pPr>
      <w:r>
        <w:rPr>
          <w:rFonts w:hint="eastAsia"/>
          <w:b/>
        </w:rPr>
        <w:t>3）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5AA7EB32">
      <w:pPr>
        <w:pStyle w:val="7"/>
        <w:spacing w:line="360" w:lineRule="auto"/>
        <w:ind w:firstLine="422" w:firstLineChars="200"/>
        <w:rPr>
          <w:rFonts w:hint="eastAsia"/>
          <w:b/>
        </w:rPr>
      </w:pPr>
      <w:r>
        <w:rPr>
          <w:rFonts w:hint="eastAsia"/>
          <w:b/>
        </w:rPr>
        <w:t>2.</w:t>
      </w:r>
      <w:r>
        <w:rPr>
          <w:rFonts w:hint="eastAsia"/>
          <w:b/>
          <w:lang w:val="en-US" w:eastAsia="zh-CN"/>
        </w:rPr>
        <w:t>3</w:t>
      </w:r>
      <w:r>
        <w:rPr>
          <w:rFonts w:hint="eastAsia"/>
          <w:b/>
        </w:rPr>
        <w:t xml:space="preserve"> 所有投标文件需进行正规封装、胶装，不接受活页、散装等方式的投标文资料。所有投标文件均需提供电子版文件（不加密）统一存储在一个独立封装的U盘内（电子版要求详见第二章投标文件格式））。</w:t>
      </w:r>
    </w:p>
    <w:p w14:paraId="369BAE1E">
      <w:pPr>
        <w:pStyle w:val="7"/>
        <w:spacing w:line="360" w:lineRule="auto"/>
        <w:ind w:firstLine="422" w:firstLineChars="200"/>
        <w:rPr>
          <w:b/>
        </w:rPr>
      </w:pPr>
      <w:r>
        <w:rPr>
          <w:rFonts w:hint="eastAsia"/>
          <w:b/>
        </w:rPr>
        <w:t>3.报价：</w:t>
      </w:r>
    </w:p>
    <w:p w14:paraId="58EDB04A">
      <w:pPr>
        <w:pStyle w:val="7"/>
        <w:spacing w:line="360" w:lineRule="auto"/>
        <w:ind w:left="630" w:leftChars="200" w:hanging="210" w:hangingChars="1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w:t>
      </w:r>
    </w:p>
    <w:p w14:paraId="0EB48BA5">
      <w:pPr>
        <w:pStyle w:val="7"/>
        <w:spacing w:line="360" w:lineRule="auto"/>
        <w:ind w:firstLine="420" w:firstLineChars="200"/>
      </w:pPr>
      <w:r>
        <w:rPr>
          <w:rFonts w:hint="eastAsia"/>
        </w:rPr>
        <w:t>详见本招标书之“第二章 投标文件编制”之“三、投标文件格式要求”之“格式3”。</w:t>
      </w:r>
    </w:p>
    <w:p w14:paraId="640FFD45">
      <w:pPr>
        <w:spacing w:line="360" w:lineRule="auto"/>
        <w:ind w:firstLine="420" w:firstLineChars="200"/>
        <w:rPr>
          <w:rFonts w:ascii="宋体" w:hAnsi="Courier New"/>
        </w:rPr>
      </w:pPr>
      <w:r>
        <w:rPr>
          <w:rFonts w:hint="eastAsia" w:ascii="宋体" w:hAnsi="宋体"/>
        </w:rPr>
        <w:t>⑵</w:t>
      </w:r>
      <w:r>
        <w:rPr>
          <w:rFonts w:hint="eastAsia" w:ascii="宋体" w:hAnsi="Courier New"/>
        </w:rPr>
        <w:t>所有报价货币单位为：元（人民币），</w:t>
      </w:r>
      <w:r>
        <w:rPr>
          <w:rFonts w:hint="eastAsia" w:ascii="宋体" w:hAnsi="Courier New"/>
          <w:b/>
          <w:bCs/>
        </w:rPr>
        <w:t>含税</w:t>
      </w:r>
      <w:r>
        <w:rPr>
          <w:rFonts w:hint="eastAsia" w:ascii="宋体" w:hAnsi="Courier New"/>
          <w:b/>
          <w:bCs/>
          <w:lang w:val="en-US" w:eastAsia="zh-CN"/>
        </w:rPr>
        <w:t>/未税</w:t>
      </w:r>
      <w:r>
        <w:rPr>
          <w:rFonts w:hint="eastAsia" w:ascii="宋体" w:hAnsi="Courier New"/>
        </w:rPr>
        <w:t>；</w:t>
      </w:r>
    </w:p>
    <w:p w14:paraId="2CD5DA97">
      <w:pPr>
        <w:pStyle w:val="7"/>
        <w:spacing w:line="360" w:lineRule="auto"/>
        <w:ind w:firstLine="420" w:firstLineChars="200"/>
      </w:pPr>
      <w:r>
        <w:rPr>
          <w:rFonts w:hint="eastAsia" w:ascii="Calibri" w:hAnsi="宋体"/>
        </w:rPr>
        <w:t>⑶付款</w:t>
      </w:r>
      <w:r>
        <w:rPr>
          <w:rFonts w:hint="eastAsia" w:ascii="Calibri" w:hAnsi="Calibri"/>
        </w:rPr>
        <w:t>结算方式：</w:t>
      </w:r>
      <w:r>
        <w:rPr>
          <w:rFonts w:hint="eastAsia" w:ascii="Calibri" w:hAnsi="Calibri"/>
          <w:b/>
          <w:bCs/>
          <w:u w:val="single"/>
        </w:rPr>
        <w:t>半年期</w:t>
      </w:r>
      <w:r>
        <w:rPr>
          <w:rFonts w:hint="eastAsia" w:ascii="Calibri" w:hAnsi="Calibri"/>
          <w:b/>
          <w:bCs/>
          <w:u w:val="single"/>
          <w:lang w:val="en-US" w:eastAsia="zh-CN"/>
        </w:rPr>
        <w:t>商业</w:t>
      </w:r>
      <w:r>
        <w:rPr>
          <w:rFonts w:hint="eastAsia" w:ascii="Calibri" w:hAnsi="Calibri"/>
          <w:b/>
          <w:bCs/>
          <w:u w:val="single"/>
        </w:rPr>
        <w:t>汇票</w:t>
      </w:r>
      <w:r>
        <w:rPr>
          <w:rFonts w:hint="eastAsia"/>
          <w:b/>
          <w:u w:val="single"/>
        </w:rPr>
        <w:t>（包括银行承兑汇票和商业承兑汇票）</w:t>
      </w:r>
      <w:r>
        <w:rPr>
          <w:rFonts w:hint="eastAsia" w:ascii="Calibri" w:hAnsi="Calibri"/>
          <w:u w:val="single"/>
        </w:rPr>
        <w:t>，</w:t>
      </w:r>
      <w:r>
        <w:rPr>
          <w:rFonts w:hint="eastAsia" w:ascii="Calibri" w:hAnsi="Calibri"/>
        </w:rPr>
        <w:t>具体以双方最终签署的合同为准。</w:t>
      </w:r>
      <w:r>
        <w:rPr>
          <w:rFonts w:hint="eastAsia"/>
        </w:rPr>
        <w:t>验收合格后，开据合同总价的全额含税13%的增值税专用发票，发票挂账后付合同总价的90%，质保期满</w:t>
      </w:r>
      <w:r>
        <w:rPr>
          <w:rFonts w:hint="eastAsia"/>
          <w:lang w:val="en-US" w:eastAsia="zh-CN"/>
        </w:rPr>
        <w:t>后</w:t>
      </w:r>
      <w:r>
        <w:rPr>
          <w:rFonts w:hint="eastAsia"/>
        </w:rPr>
        <w:t>，支付剩余10% 。</w:t>
      </w:r>
    </w:p>
    <w:p w14:paraId="228E1E01">
      <w:pPr>
        <w:pStyle w:val="7"/>
        <w:spacing w:line="360" w:lineRule="auto"/>
        <w:ind w:firstLine="422" w:firstLineChars="200"/>
        <w:rPr>
          <w:b/>
        </w:rPr>
      </w:pPr>
      <w:r>
        <w:rPr>
          <w:rFonts w:hint="eastAsia"/>
          <w:b/>
        </w:rPr>
        <w:t>4.技术规范及服务</w:t>
      </w:r>
    </w:p>
    <w:p w14:paraId="769A1E98">
      <w:pPr>
        <w:pStyle w:val="7"/>
        <w:spacing w:line="360" w:lineRule="auto"/>
        <w:ind w:firstLine="420" w:firstLineChars="200"/>
      </w:pPr>
      <w:r>
        <w:rPr>
          <w:rFonts w:hint="eastAsia"/>
        </w:rPr>
        <w:t>⑴投标人应与招标人指派的答疑人员充分沟通，理解认可并接受相关技术规范及服务要求。</w:t>
      </w:r>
    </w:p>
    <w:p w14:paraId="209E14C2">
      <w:pPr>
        <w:pStyle w:val="7"/>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14:paraId="5B98E974">
      <w:pPr>
        <w:pStyle w:val="7"/>
        <w:spacing w:line="360" w:lineRule="auto"/>
        <w:ind w:firstLine="422" w:firstLineChars="200"/>
        <w:rPr>
          <w:b/>
        </w:rPr>
      </w:pPr>
      <w:r>
        <w:rPr>
          <w:rFonts w:hint="eastAsia"/>
          <w:b/>
        </w:rPr>
        <w:t>5.其他</w:t>
      </w:r>
    </w:p>
    <w:p w14:paraId="0BF0CEF7">
      <w:pPr>
        <w:pStyle w:val="7"/>
        <w:spacing w:line="360" w:lineRule="auto"/>
        <w:ind w:firstLine="420" w:firstLineChars="200"/>
      </w:pPr>
      <w:r>
        <w:rPr>
          <w:rFonts w:hint="eastAsia"/>
        </w:rPr>
        <w:t>投标人须认可招标人由于招标人上级集团公司政策变化引起的随时终止项目的要求。如投标人不认可、不接受，则投标人在本招标书“第二章 投标文件编制”之“相关条款偏离表（含商务偏离及技术偏离）”中注明“不接受”字，招标人将视之为主动弃标。</w:t>
      </w:r>
    </w:p>
    <w:p w14:paraId="7EB95B2A">
      <w:pPr>
        <w:pStyle w:val="7"/>
        <w:spacing w:line="360" w:lineRule="auto"/>
        <w:ind w:firstLine="420" w:firstLineChars="200"/>
      </w:pPr>
      <w:r>
        <w:rPr>
          <w:rFonts w:hint="eastAsia"/>
        </w:rPr>
        <w:t>其余未尽事宜，均按合同约定。</w:t>
      </w:r>
    </w:p>
    <w:p w14:paraId="141851BF">
      <w:pPr>
        <w:pStyle w:val="7"/>
        <w:spacing w:line="360" w:lineRule="auto"/>
        <w:ind w:firstLine="422" w:firstLineChars="200"/>
        <w:rPr>
          <w:b/>
        </w:rPr>
      </w:pPr>
      <w:r>
        <w:rPr>
          <w:rFonts w:hint="eastAsia"/>
          <w:b/>
        </w:rPr>
        <w:t>6.要求招标人或相关合同签订单位提供的配合，在标书文件中说明。</w:t>
      </w:r>
    </w:p>
    <w:p w14:paraId="2CBCFF41">
      <w:pPr>
        <w:pStyle w:val="7"/>
        <w:spacing w:line="360" w:lineRule="auto"/>
        <w:rPr>
          <w:rFonts w:ascii="黑体" w:eastAsia="黑体"/>
          <w:b/>
          <w:bCs/>
          <w:sz w:val="28"/>
        </w:rPr>
      </w:pPr>
      <w:r>
        <w:rPr>
          <w:rFonts w:hint="eastAsia" w:ascii="黑体" w:eastAsia="黑体"/>
          <w:b/>
          <w:bCs/>
          <w:sz w:val="28"/>
        </w:rPr>
        <w:t>七、投标、开标、评标</w:t>
      </w:r>
    </w:p>
    <w:p w14:paraId="5A0F20D0">
      <w:pPr>
        <w:pStyle w:val="7"/>
        <w:spacing w:line="360" w:lineRule="auto"/>
        <w:ind w:firstLine="420" w:firstLineChars="200"/>
      </w:pPr>
      <w:r>
        <w:rPr>
          <w:rFonts w:hint="eastAsia"/>
        </w:rPr>
        <w:t>1.投标保证金：</w:t>
      </w:r>
    </w:p>
    <w:p w14:paraId="1942A232">
      <w:pPr>
        <w:pStyle w:val="7"/>
        <w:spacing w:line="360" w:lineRule="auto"/>
        <w:ind w:firstLine="420" w:firstLineChars="200"/>
      </w:pPr>
      <w:r>
        <w:rPr>
          <w:rFonts w:hint="eastAsia" w:hAnsi="宋体"/>
        </w:rPr>
        <w:t>⑴</w:t>
      </w:r>
      <w:r>
        <w:rPr>
          <w:rFonts w:hint="eastAsia"/>
        </w:rPr>
        <w:t>投标人向招标人财务部门缴纳</w:t>
      </w:r>
      <w:r>
        <w:rPr>
          <w:rFonts w:hint="eastAsia"/>
          <w:u w:val="single"/>
        </w:rPr>
        <w:t>5000元</w:t>
      </w:r>
      <w:r>
        <w:rPr>
          <w:rFonts w:hint="eastAsia"/>
        </w:rPr>
        <w:t>（人民币），作为投标人本次投标的保证金</w:t>
      </w:r>
      <w:r>
        <w:rPr>
          <w:rFonts w:hint="eastAsia"/>
          <w:lang w:eastAsia="zh-CN"/>
        </w:rPr>
        <w:t>，</w:t>
      </w:r>
      <w:r>
        <w:rPr>
          <w:rFonts w:hint="eastAsia"/>
          <w:b/>
        </w:rPr>
        <w:t>应备注“中国重汽集团济南动力有限公司</w:t>
      </w:r>
      <w:r>
        <w:rPr>
          <w:rFonts w:hint="eastAsia"/>
          <w:b/>
          <w:lang w:val="en-US" w:eastAsia="zh-CN"/>
        </w:rPr>
        <w:t>发动机厂装调部工位</w:t>
      </w:r>
      <w:r>
        <w:rPr>
          <w:rFonts w:hint="eastAsia"/>
          <w:b/>
        </w:rPr>
        <w:t>器具</w:t>
      </w:r>
      <w:r>
        <w:rPr>
          <w:rFonts w:hint="eastAsia"/>
          <w:b/>
          <w:lang w:val="en-US" w:eastAsia="zh-CN"/>
        </w:rPr>
        <w:t>提升</w:t>
      </w:r>
      <w:r>
        <w:rPr>
          <w:rFonts w:hint="eastAsia"/>
          <w:b/>
        </w:rPr>
        <w:t>项目投标保证金”</w:t>
      </w:r>
      <w:r>
        <w:rPr>
          <w:rFonts w:hint="eastAsia"/>
        </w:rPr>
        <w:t>。</w:t>
      </w:r>
    </w:p>
    <w:p w14:paraId="0BA0BD9C">
      <w:pPr>
        <w:pStyle w:val="7"/>
        <w:spacing w:line="360" w:lineRule="auto"/>
        <w:ind w:firstLine="420" w:firstLineChars="200"/>
      </w:pPr>
      <w:r>
        <w:rPr>
          <w:rFonts w:hint="eastAsia" w:hAnsi="宋体"/>
        </w:rPr>
        <w:t>⑵</w:t>
      </w:r>
      <w:r>
        <w:rPr>
          <w:rFonts w:hint="eastAsia"/>
        </w:rPr>
        <w:t>缴纳方式：基本账户转账；</w:t>
      </w:r>
    </w:p>
    <w:p w14:paraId="197C6852">
      <w:pPr>
        <w:pStyle w:val="7"/>
        <w:spacing w:line="360" w:lineRule="auto"/>
        <w:ind w:firstLine="420" w:firstLineChars="200"/>
      </w:pPr>
      <w:r>
        <w:rPr>
          <w:rFonts w:hint="eastAsia" w:hAnsi="宋体"/>
        </w:rPr>
        <w:t>⑶</w:t>
      </w:r>
      <w:r>
        <w:rPr>
          <w:rFonts w:hint="eastAsia"/>
        </w:rPr>
        <w:t>接收单位：中国重汽集团济南动力有限公司；</w:t>
      </w:r>
    </w:p>
    <w:p w14:paraId="0199CCCA">
      <w:pPr>
        <w:pStyle w:val="7"/>
        <w:spacing w:line="360" w:lineRule="auto"/>
        <w:ind w:firstLine="420" w:firstLineChars="200"/>
      </w:pPr>
      <w:r>
        <w:rPr>
          <w:rFonts w:hint="eastAsia" w:hAnsi="宋体"/>
        </w:rPr>
        <w:t>⑷</w:t>
      </w:r>
      <w:r>
        <w:rPr>
          <w:rFonts w:hint="eastAsia"/>
        </w:rPr>
        <w:t>转账信息：</w:t>
      </w:r>
    </w:p>
    <w:tbl>
      <w:tblPr>
        <w:tblStyle w:val="13"/>
        <w:tblW w:w="0" w:type="auto"/>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C26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48C5302D">
            <w:pPr>
              <w:pStyle w:val="7"/>
              <w:ind w:firstLine="420" w:firstLineChars="200"/>
            </w:pPr>
            <w:r>
              <w:rPr>
                <w:rFonts w:hint="eastAsia"/>
              </w:rPr>
              <w:t>开户银行：中国银行</w:t>
            </w:r>
            <w:r>
              <w:rPr>
                <w:rFonts w:hint="eastAsia"/>
                <w:lang w:val="en-US" w:eastAsia="zh-CN"/>
              </w:rPr>
              <w:t>股份有限公司</w:t>
            </w:r>
            <w:r>
              <w:rPr>
                <w:rFonts w:hint="eastAsia"/>
              </w:rPr>
              <w:t>章丘支行</w:t>
            </w:r>
          </w:p>
        </w:tc>
      </w:tr>
      <w:tr w14:paraId="728D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0AAD6D20">
            <w:pPr>
              <w:pStyle w:val="7"/>
              <w:ind w:firstLine="420" w:firstLineChars="200"/>
              <w:rPr>
                <w:rFonts w:hint="default" w:eastAsia="宋体"/>
                <w:lang w:val="en-US" w:eastAsia="zh-CN"/>
              </w:rPr>
            </w:pPr>
            <w:r>
              <w:rPr>
                <w:rFonts w:hint="eastAsia"/>
              </w:rPr>
              <w:t>户名：中国重汽集团济南动力有限公司</w:t>
            </w:r>
            <w:r>
              <w:rPr>
                <w:rFonts w:hint="eastAsia"/>
                <w:lang w:val="en-US" w:eastAsia="zh-CN"/>
              </w:rPr>
              <w:t>发动机厂</w:t>
            </w:r>
          </w:p>
        </w:tc>
      </w:tr>
      <w:tr w14:paraId="72C6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1B5481E2">
            <w:pPr>
              <w:pStyle w:val="7"/>
              <w:ind w:firstLine="420" w:firstLineChars="200"/>
            </w:pPr>
            <w:r>
              <w:rPr>
                <w:rFonts w:hint="eastAsia"/>
              </w:rPr>
              <w:t>账号：2234 0557 4478</w:t>
            </w:r>
          </w:p>
        </w:tc>
      </w:tr>
    </w:tbl>
    <w:p w14:paraId="6C424965">
      <w:pPr>
        <w:pStyle w:val="7"/>
        <w:spacing w:line="360" w:lineRule="auto"/>
        <w:ind w:firstLine="420" w:firstLineChars="200"/>
      </w:pPr>
      <w:r>
        <w:rPr>
          <w:rFonts w:hint="eastAsia"/>
        </w:rPr>
        <w:t>⑸说明：</w:t>
      </w:r>
    </w:p>
    <w:p w14:paraId="15B645B8">
      <w:pPr>
        <w:pStyle w:val="7"/>
        <w:spacing w:line="360" w:lineRule="auto"/>
        <w:ind w:firstLine="420" w:firstLineChars="200"/>
      </w:pPr>
      <w:r>
        <w:rPr>
          <w:rFonts w:hint="eastAsia"/>
        </w:rPr>
        <w:t>(a)无正当理由随意放弃投标、</w:t>
      </w:r>
      <w:r>
        <w:t>撤销投标文件</w:t>
      </w:r>
      <w:r>
        <w:rPr>
          <w:rFonts w:hint="eastAsia"/>
        </w:rPr>
        <w:t>、</w:t>
      </w:r>
      <w:r>
        <w:t>中标后</w:t>
      </w:r>
      <w:r>
        <w:rPr>
          <w:rFonts w:hint="eastAsia"/>
        </w:rPr>
        <w:t>无</w:t>
      </w:r>
      <w:r>
        <w:t>正当理由</w:t>
      </w:r>
      <w:r>
        <w:rPr>
          <w:rFonts w:hint="eastAsia"/>
        </w:rPr>
        <w:t>拒签</w:t>
      </w:r>
      <w:r>
        <w:t>合同</w:t>
      </w:r>
      <w:r>
        <w:rPr>
          <w:rFonts w:hint="eastAsia"/>
        </w:rPr>
        <w:t>、</w:t>
      </w:r>
      <w:r>
        <w:t>在签订合同时向招标人</w:t>
      </w:r>
      <w:r>
        <w:rPr>
          <w:rFonts w:hint="eastAsia"/>
        </w:rPr>
        <w:t>或合同签订单位</w:t>
      </w:r>
      <w:r>
        <w:t>提出</w:t>
      </w:r>
      <w:r>
        <w:rPr>
          <w:rFonts w:hint="eastAsia"/>
        </w:rPr>
        <w:t>无理</w:t>
      </w:r>
      <w:r>
        <w:t>附加条件</w:t>
      </w:r>
      <w:r>
        <w:rPr>
          <w:rFonts w:hint="eastAsia"/>
        </w:rPr>
        <w:t>的，</w:t>
      </w:r>
      <w:r>
        <w:t>投标保证金不予返还</w:t>
      </w:r>
      <w:r>
        <w:rPr>
          <w:rFonts w:hint="eastAsia"/>
        </w:rPr>
        <w:t>，该投标人2</w:t>
      </w:r>
      <w:r>
        <w:t>年</w:t>
      </w:r>
      <w:r>
        <w:rPr>
          <w:rFonts w:hint="eastAsia"/>
        </w:rPr>
        <w:t>不得参与招标人组织的招投标项目。不存在以上违规情况的投标人，</w:t>
      </w:r>
      <w:r>
        <w:t>招标人</w:t>
      </w:r>
      <w:r>
        <w:rPr>
          <w:rFonts w:hint="eastAsia"/>
        </w:rPr>
        <w:t>按照退款程序，按投标人（除中标人外）所提供的</w:t>
      </w:r>
      <w:r>
        <w:rPr>
          <w:rFonts w:hint="eastAsia" w:hAnsi="宋体"/>
        </w:rPr>
        <w:t>投标保证金退付表</w:t>
      </w:r>
      <w:r>
        <w:rPr>
          <w:rFonts w:hint="eastAsia"/>
        </w:rPr>
        <w:t>退还</w:t>
      </w:r>
      <w:r>
        <w:t>投标保证金</w:t>
      </w:r>
      <w:r>
        <w:rPr>
          <w:rFonts w:hint="eastAsia"/>
        </w:rPr>
        <w:t>（本金，不计息）。</w:t>
      </w:r>
      <w:r>
        <w:rPr>
          <w:rFonts w:hint="eastAsia" w:hAnsi="宋体"/>
        </w:rPr>
        <w:t>（详见 “三、投标文件格式要求”之格式8相关要求）</w:t>
      </w:r>
    </w:p>
    <w:p w14:paraId="13876F8B">
      <w:pPr>
        <w:pStyle w:val="7"/>
        <w:spacing w:line="360" w:lineRule="auto"/>
        <w:ind w:firstLine="420" w:firstLineChars="200"/>
      </w:pPr>
      <w:r>
        <w:rPr>
          <w:rFonts w:hint="eastAsia"/>
        </w:rPr>
        <w:t>(b)投标人在向招标人出示《投标保证金缴纳凭证》后方可进行投标。</w:t>
      </w:r>
    </w:p>
    <w:p w14:paraId="2995A15F">
      <w:pPr>
        <w:pStyle w:val="7"/>
        <w:spacing w:line="360" w:lineRule="auto"/>
        <w:ind w:firstLine="420" w:firstLineChars="200"/>
        <w:rPr>
          <w:szCs w:val="22"/>
        </w:rPr>
      </w:pPr>
      <w:r>
        <w:rPr>
          <w:rFonts w:hint="eastAsia"/>
        </w:rPr>
        <w:t>(c)</w:t>
      </w:r>
      <w:r>
        <w:rPr>
          <w:rFonts w:hint="eastAsia"/>
          <w:szCs w:val="22"/>
        </w:rPr>
        <w:t>发生以下情况时，项目实施单位有权没收保证金：</w:t>
      </w:r>
    </w:p>
    <w:p w14:paraId="2F5A0CFE">
      <w:pPr>
        <w:pStyle w:val="7"/>
        <w:spacing w:line="360" w:lineRule="auto"/>
        <w:ind w:left="1260" w:leftChars="400" w:hanging="420" w:hangingChars="200"/>
        <w:rPr>
          <w:szCs w:val="22"/>
        </w:rPr>
      </w:pPr>
      <w:r>
        <w:rPr>
          <w:rFonts w:hint="eastAsia"/>
          <w:szCs w:val="22"/>
        </w:rPr>
        <w:t>a）截至开标前3天，投标人无正当理由且未以书面形式递交说明而在投标截止日不来投标的；</w:t>
      </w:r>
    </w:p>
    <w:p w14:paraId="2B81EDDC">
      <w:pPr>
        <w:pStyle w:val="7"/>
        <w:spacing w:line="360" w:lineRule="auto"/>
        <w:ind w:left="420" w:leftChars="200" w:firstLine="420" w:firstLineChars="200"/>
        <w:rPr>
          <w:szCs w:val="22"/>
        </w:rPr>
      </w:pPr>
      <w:r>
        <w:rPr>
          <w:rFonts w:hint="eastAsia"/>
          <w:szCs w:val="22"/>
        </w:rPr>
        <w:t>b）投标人递送投标文件后，无正当理由放弃投标的；</w:t>
      </w:r>
    </w:p>
    <w:p w14:paraId="71A4FE60">
      <w:pPr>
        <w:pStyle w:val="7"/>
        <w:spacing w:line="360" w:lineRule="auto"/>
        <w:ind w:left="420" w:leftChars="200" w:firstLine="420" w:firstLineChars="200"/>
        <w:rPr>
          <w:szCs w:val="22"/>
        </w:rPr>
      </w:pPr>
      <w:r>
        <w:rPr>
          <w:rFonts w:hint="eastAsia"/>
          <w:szCs w:val="22"/>
        </w:rPr>
        <w:t>c）自中标通知书发出之日起30日内，中标人无正当理由不签订合同的；</w:t>
      </w:r>
    </w:p>
    <w:p w14:paraId="53570F72">
      <w:pPr>
        <w:pStyle w:val="7"/>
        <w:spacing w:line="360" w:lineRule="auto"/>
        <w:ind w:left="420" w:leftChars="200" w:firstLine="420" w:firstLineChars="200"/>
        <w:rPr>
          <w:szCs w:val="22"/>
        </w:rPr>
      </w:pPr>
      <w:r>
        <w:rPr>
          <w:rFonts w:hint="eastAsia"/>
          <w:szCs w:val="22"/>
        </w:rPr>
        <w:t>d）投标人在投标过程中被查实有串标、围标、陪标等违规违纪行为的；</w:t>
      </w:r>
    </w:p>
    <w:p w14:paraId="6B8D77D1">
      <w:pPr>
        <w:pStyle w:val="7"/>
        <w:spacing w:line="360" w:lineRule="auto"/>
        <w:ind w:left="1050" w:leftChars="400" w:hanging="210" w:hangingChars="100"/>
        <w:rPr>
          <w:rFonts w:hint="eastAsia"/>
          <w:szCs w:val="22"/>
        </w:rPr>
      </w:pPr>
      <w:r>
        <w:rPr>
          <w:rFonts w:hint="eastAsia"/>
          <w:szCs w:val="22"/>
        </w:rPr>
        <w:t>e）投标人有违约违规行为或被投诉、举报的，在调查处理期间，保证金暂不退还，待调查处理结束后按有关规定处理。</w:t>
      </w:r>
    </w:p>
    <w:p w14:paraId="3D4877FE">
      <w:pPr>
        <w:pStyle w:val="7"/>
        <w:spacing w:line="360" w:lineRule="auto"/>
        <w:ind w:firstLine="420" w:firstLineChars="200"/>
      </w:pPr>
      <w:r>
        <w:rPr>
          <w:rFonts w:hint="eastAsia"/>
        </w:rPr>
        <w:t>2.开标</w:t>
      </w:r>
    </w:p>
    <w:p w14:paraId="0E2915C1">
      <w:pPr>
        <w:pStyle w:val="7"/>
        <w:spacing w:line="360" w:lineRule="auto"/>
        <w:ind w:firstLine="420" w:firstLineChars="200"/>
      </w:pPr>
      <w:r>
        <w:rPr>
          <w:rFonts w:hint="eastAsia"/>
        </w:rPr>
        <w:t>（1）本次招标的开标、评标由招标人依法组织实施，本次招标采用</w:t>
      </w:r>
      <w:r>
        <w:rPr>
          <w:rFonts w:hint="eastAsia"/>
          <w:lang w:val="en-US" w:eastAsia="zh-CN"/>
        </w:rPr>
        <w:t>商务</w:t>
      </w:r>
      <w:r>
        <w:rPr>
          <w:rFonts w:hint="eastAsia"/>
        </w:rPr>
        <w:t>技术标分级开标的模式。</w:t>
      </w:r>
    </w:p>
    <w:p w14:paraId="4C3B1E9F">
      <w:pPr>
        <w:pStyle w:val="7"/>
        <w:spacing w:line="360" w:lineRule="auto"/>
        <w:ind w:firstLine="420" w:firstLineChars="200"/>
      </w:pPr>
      <w:r>
        <w:rPr>
          <w:rFonts w:hint="eastAsia"/>
        </w:rPr>
        <w:t>（2）本项目开标时间和地点见投标人须知前附表。开标会议由招标人组织并主持。招标人邀请各投标人派员参加开标会议。投标人未参加开标的，视同认可开标结果。</w:t>
      </w:r>
    </w:p>
    <w:p w14:paraId="1E63A4AB">
      <w:pPr>
        <w:pStyle w:val="7"/>
        <w:spacing w:line="360" w:lineRule="auto"/>
        <w:ind w:firstLine="420" w:firstLineChars="200"/>
      </w:pPr>
      <w:r>
        <w:rPr>
          <w:rFonts w:hint="eastAsia"/>
        </w:rPr>
        <w:t>（3）开标程序</w:t>
      </w:r>
    </w:p>
    <w:p w14:paraId="7ACF0DA5">
      <w:pPr>
        <w:pStyle w:val="7"/>
        <w:numPr>
          <w:ilvl w:val="0"/>
          <w:numId w:val="2"/>
        </w:numPr>
        <w:tabs>
          <w:tab w:val="left" w:pos="840"/>
          <w:tab w:val="left" w:pos="1050"/>
        </w:tabs>
        <w:spacing w:line="360" w:lineRule="auto"/>
        <w:ind w:firstLine="215"/>
      </w:pPr>
      <w:r>
        <w:rPr>
          <w:rFonts w:hint="eastAsia"/>
        </w:rPr>
        <w:t>宣布开标会议开始。</w:t>
      </w:r>
    </w:p>
    <w:p w14:paraId="4591879D">
      <w:pPr>
        <w:pStyle w:val="7"/>
        <w:numPr>
          <w:ilvl w:val="0"/>
          <w:numId w:val="2"/>
        </w:numPr>
        <w:tabs>
          <w:tab w:val="left" w:pos="840"/>
          <w:tab w:val="left" w:pos="1050"/>
        </w:tabs>
        <w:spacing w:line="360" w:lineRule="auto"/>
        <w:ind w:firstLine="215"/>
      </w:pPr>
      <w:r>
        <w:rPr>
          <w:rFonts w:hint="eastAsia"/>
        </w:rPr>
        <w:t>介绍与会人员。</w:t>
      </w:r>
    </w:p>
    <w:p w14:paraId="75BFB504">
      <w:pPr>
        <w:pStyle w:val="7"/>
        <w:numPr>
          <w:ilvl w:val="0"/>
          <w:numId w:val="2"/>
        </w:numPr>
        <w:tabs>
          <w:tab w:val="left" w:pos="840"/>
          <w:tab w:val="left" w:pos="1050"/>
        </w:tabs>
        <w:spacing w:line="360" w:lineRule="auto"/>
        <w:ind w:firstLine="215"/>
      </w:pPr>
      <w:r>
        <w:rPr>
          <w:rFonts w:hint="eastAsia"/>
        </w:rPr>
        <w:t>核验投标人资格证件。</w:t>
      </w:r>
    </w:p>
    <w:p w14:paraId="16B0F875">
      <w:pPr>
        <w:pStyle w:val="7"/>
        <w:numPr>
          <w:ilvl w:val="0"/>
          <w:numId w:val="2"/>
        </w:numPr>
        <w:tabs>
          <w:tab w:val="left" w:pos="840"/>
          <w:tab w:val="left" w:pos="1050"/>
        </w:tabs>
        <w:spacing w:line="360" w:lineRule="auto"/>
        <w:ind w:firstLine="215"/>
      </w:pPr>
      <w:r>
        <w:rPr>
          <w:rFonts w:hint="eastAsia"/>
        </w:rPr>
        <w:t>投标人或投标人推选的代表对投标文件密封情况进行检查（投标人未参加开标会议的，视同认可投标文件密封完好）。</w:t>
      </w:r>
    </w:p>
    <w:p w14:paraId="0B37DF49">
      <w:pPr>
        <w:pStyle w:val="7"/>
        <w:numPr>
          <w:ilvl w:val="0"/>
          <w:numId w:val="2"/>
        </w:numPr>
        <w:tabs>
          <w:tab w:val="left" w:pos="840"/>
          <w:tab w:val="left" w:pos="1050"/>
        </w:tabs>
        <w:spacing w:line="360" w:lineRule="auto"/>
        <w:ind w:firstLine="215"/>
      </w:pPr>
      <w:r>
        <w:rPr>
          <w:rFonts w:hint="eastAsia"/>
        </w:rPr>
        <w:t>经确认无误后，由工作人员当众拆封，先拆启资质标书，商务技术标、开标一览表暂时不拆启，由招标人指定专人保管。</w:t>
      </w:r>
    </w:p>
    <w:p w14:paraId="0EFF2784">
      <w:pPr>
        <w:pStyle w:val="7"/>
        <w:numPr>
          <w:ilvl w:val="0"/>
          <w:numId w:val="2"/>
        </w:numPr>
        <w:tabs>
          <w:tab w:val="left" w:pos="840"/>
          <w:tab w:val="left" w:pos="1050"/>
        </w:tabs>
        <w:spacing w:line="360" w:lineRule="auto"/>
        <w:ind w:firstLine="215"/>
      </w:pPr>
      <w:r>
        <w:rPr>
          <w:rFonts w:hint="eastAsia"/>
          <w:b/>
          <w:bCs/>
          <w:u w:val="single"/>
        </w:rPr>
        <w:t>采用多轮谈判，合理最低价评标方式。</w:t>
      </w:r>
    </w:p>
    <w:p w14:paraId="7A0A908C">
      <w:pPr>
        <w:pStyle w:val="7"/>
        <w:numPr>
          <w:ilvl w:val="0"/>
          <w:numId w:val="2"/>
        </w:numPr>
        <w:tabs>
          <w:tab w:val="left" w:pos="840"/>
          <w:tab w:val="left" w:pos="1050"/>
        </w:tabs>
        <w:spacing w:line="360" w:lineRule="auto"/>
        <w:ind w:firstLine="215"/>
      </w:pPr>
      <w:r>
        <w:rPr>
          <w:rFonts w:hint="eastAsia"/>
          <w:b/>
        </w:rPr>
        <w:t>投标前请各投标方按照招标文件要求对项目方案进行充分准备，投标单位已默认认可上述开标、评标过程，无异议。招标人无义务对未入围投标方及未中标方做任何解释。</w:t>
      </w:r>
    </w:p>
    <w:p w14:paraId="0FFA128B">
      <w:pPr>
        <w:pStyle w:val="7"/>
        <w:spacing w:line="360" w:lineRule="auto"/>
        <w:ind w:firstLine="420" w:firstLineChars="200"/>
        <w:rPr>
          <w:rFonts w:hAnsi="宋体"/>
          <w:szCs w:val="21"/>
        </w:rPr>
      </w:pPr>
      <w:r>
        <w:rPr>
          <w:rFonts w:hint="eastAsia"/>
        </w:rPr>
        <w:t>(4)所有报价货币单位均为：元（人民币，含税</w:t>
      </w:r>
      <w:r>
        <w:rPr>
          <w:rFonts w:hint="eastAsia"/>
          <w:lang w:val="en-US" w:eastAsia="zh-CN"/>
        </w:rPr>
        <w:t>/未税</w:t>
      </w:r>
      <w:r>
        <w:rPr>
          <w:rFonts w:hint="eastAsia"/>
        </w:rPr>
        <w:t>）。</w:t>
      </w:r>
    </w:p>
    <w:p w14:paraId="45E125D2">
      <w:pPr>
        <w:pStyle w:val="7"/>
        <w:spacing w:line="360" w:lineRule="auto"/>
        <w:ind w:firstLine="420" w:firstLineChars="200"/>
        <w:rPr>
          <w:rFonts w:hAnsi="宋体"/>
          <w:szCs w:val="21"/>
        </w:rPr>
      </w:pPr>
    </w:p>
    <w:p w14:paraId="56C7EE7E">
      <w:pPr>
        <w:pStyle w:val="7"/>
        <w:spacing w:line="360" w:lineRule="auto"/>
        <w:rPr>
          <w:rFonts w:ascii="黑体" w:eastAsia="黑体"/>
          <w:b/>
          <w:bCs/>
          <w:sz w:val="28"/>
        </w:rPr>
      </w:pPr>
      <w:r>
        <w:rPr>
          <w:rFonts w:hint="eastAsia" w:ascii="黑体" w:eastAsia="黑体"/>
          <w:b/>
          <w:bCs/>
          <w:sz w:val="28"/>
        </w:rPr>
        <w:t>八、合同签订</w:t>
      </w:r>
    </w:p>
    <w:p w14:paraId="791F1A15">
      <w:pPr>
        <w:pStyle w:val="7"/>
        <w:spacing w:line="360" w:lineRule="auto"/>
        <w:ind w:firstLine="420" w:firstLineChars="200"/>
      </w:pPr>
      <w:r>
        <w:rPr>
          <w:rFonts w:hint="eastAsia"/>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737C5394">
      <w:pPr>
        <w:pStyle w:val="7"/>
        <w:spacing w:line="360" w:lineRule="auto"/>
        <w:ind w:firstLine="420" w:firstLineChars="200"/>
        <w:rPr>
          <w:rFonts w:hAnsi="宋体"/>
          <w:szCs w:val="21"/>
        </w:rPr>
      </w:pPr>
      <w:r>
        <w:rPr>
          <w:rFonts w:hint="eastAsia" w:hAnsi="宋体"/>
          <w:szCs w:val="21"/>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hAnsi="宋体"/>
          <w:szCs w:val="21"/>
        </w:rPr>
        <w:t>招标人有权取消其中标资格，招标人将从剩余投标人中依序重新确定中标人，或重新组织招标。</w:t>
      </w:r>
    </w:p>
    <w:p w14:paraId="506E0C13">
      <w:pPr>
        <w:pStyle w:val="7"/>
        <w:spacing w:line="360" w:lineRule="auto"/>
        <w:ind w:firstLine="420" w:firstLineChars="200"/>
        <w:rPr>
          <w:rFonts w:hAnsi="宋体"/>
          <w:szCs w:val="21"/>
        </w:rPr>
      </w:pPr>
      <w:r>
        <w:rPr>
          <w:rFonts w:hint="eastAsia" w:hAnsi="宋体"/>
          <w:szCs w:val="21"/>
        </w:rPr>
        <w:t>3.中标人应当按照合同约定的履约责任，需要时需</w:t>
      </w:r>
      <w:r>
        <w:rPr>
          <w:rFonts w:hint="eastAsia" w:hAnsi="宋体"/>
        </w:rPr>
        <w:t>向招标人指定的合同签订单位缴纳履约保证金XX万元（具体数额以合同约定为准），如中标人未按合同及其附件约定履行应承担的责任，招标人或招标人指定的合同签订单位有权扣除其履约保证金。</w:t>
      </w:r>
    </w:p>
    <w:p w14:paraId="4E87F2BA">
      <w:pPr>
        <w:pStyle w:val="7"/>
        <w:spacing w:line="360" w:lineRule="auto"/>
        <w:ind w:firstLine="420" w:firstLineChars="200"/>
        <w:rPr>
          <w:rFonts w:hAnsi="宋体"/>
          <w:szCs w:val="21"/>
        </w:rPr>
      </w:pPr>
      <w:r>
        <w:rPr>
          <w:rFonts w:hint="eastAsia" w:hAnsi="宋体"/>
          <w:szCs w:val="21"/>
        </w:rPr>
        <w:t>4.中标人应在保证质量的前提下完成中标项目，不得将中标项目转包或分包给他人，否则视为违约，招标人或相关单位有权解除合同。</w:t>
      </w:r>
    </w:p>
    <w:p w14:paraId="28C26461">
      <w:pPr>
        <w:pStyle w:val="7"/>
        <w:spacing w:line="360" w:lineRule="auto"/>
        <w:ind w:firstLine="420" w:firstLineChars="200"/>
        <w:rPr>
          <w:rFonts w:hAnsi="宋体"/>
          <w:szCs w:val="21"/>
        </w:rPr>
      </w:pPr>
      <w:r>
        <w:rPr>
          <w:rFonts w:hint="eastAsia" w:hAnsi="宋体"/>
          <w:szCs w:val="21"/>
        </w:rPr>
        <w:t>5.在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14:paraId="16E3266A">
      <w:pPr>
        <w:pStyle w:val="7"/>
        <w:spacing w:line="360" w:lineRule="auto"/>
        <w:ind w:firstLine="420" w:firstLineChars="200"/>
        <w:rPr>
          <w:rFonts w:hAnsi="宋体"/>
          <w:szCs w:val="21"/>
        </w:rPr>
      </w:pPr>
      <w:r>
        <w:rPr>
          <w:rFonts w:hint="eastAsia" w:hAnsi="宋体"/>
          <w:szCs w:val="21"/>
        </w:rPr>
        <w:t>6.招标人有权指定招标人的关联单位作为合同签订人，与中标人签署相关合同，且具体权利义务以双方最终签署的合同为准。</w:t>
      </w:r>
    </w:p>
    <w:p w14:paraId="1CEFC82A">
      <w:pPr>
        <w:pStyle w:val="7"/>
        <w:spacing w:line="360" w:lineRule="auto"/>
        <w:ind w:firstLine="420" w:firstLineChars="200"/>
        <w:rPr>
          <w:rFonts w:hint="eastAsia"/>
        </w:rPr>
      </w:pPr>
      <w:r>
        <w:rPr>
          <w:rFonts w:hint="eastAsia"/>
        </w:rPr>
        <w:t>7.中标人须认可招标人由于招标人上级集团公司政策变化引起的随时终止项目的要求。</w:t>
      </w:r>
    </w:p>
    <w:p w14:paraId="4A125298">
      <w:pPr>
        <w:pStyle w:val="7"/>
        <w:spacing w:line="360" w:lineRule="auto"/>
        <w:ind w:firstLine="420" w:firstLineChars="200"/>
        <w:rPr>
          <w:rFonts w:hint="eastAsia"/>
        </w:rPr>
      </w:pPr>
    </w:p>
    <w:p w14:paraId="452382BE">
      <w:pPr>
        <w:pStyle w:val="7"/>
        <w:spacing w:line="360" w:lineRule="auto"/>
        <w:rPr>
          <w:rFonts w:ascii="黑体" w:eastAsia="黑体"/>
          <w:b/>
          <w:bCs/>
          <w:sz w:val="28"/>
        </w:rPr>
      </w:pPr>
      <w:r>
        <w:rPr>
          <w:rFonts w:hint="eastAsia" w:ascii="黑体" w:eastAsia="黑体"/>
          <w:b/>
          <w:bCs/>
          <w:sz w:val="28"/>
        </w:rPr>
        <w:t>九、废标及终止招标</w:t>
      </w:r>
    </w:p>
    <w:p w14:paraId="2F8BDEE8">
      <w:pPr>
        <w:pStyle w:val="7"/>
        <w:spacing w:line="360" w:lineRule="auto"/>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C8B1D00">
      <w:pPr>
        <w:pStyle w:val="7"/>
        <w:spacing w:line="360" w:lineRule="auto"/>
        <w:ind w:firstLine="420" w:firstLineChars="0"/>
        <w:rPr>
          <w:rFonts w:hint="eastAsia" w:ascii="宋体" w:hAnsi="Courier New"/>
        </w:rPr>
      </w:pPr>
      <w:r>
        <w:rPr>
          <w:rFonts w:hint="eastAsia" w:ascii="宋体" w:hAnsi="Courier New"/>
        </w:rPr>
        <w:t>⑴投标人提供的有关资格、资质证明文件不合格、不真实或提供虚假投标材料；</w:t>
      </w:r>
    </w:p>
    <w:p w14:paraId="59B0FC79">
      <w:pPr>
        <w:pStyle w:val="7"/>
        <w:spacing w:line="360" w:lineRule="auto"/>
        <w:ind w:firstLine="420" w:firstLineChars="0"/>
        <w:rPr>
          <w:rFonts w:hint="eastAsia" w:ascii="宋体" w:hAnsi="Courier New"/>
        </w:rPr>
      </w:pPr>
      <w:r>
        <w:rPr>
          <w:rFonts w:hint="eastAsia" w:ascii="宋体" w:hAnsi="Courier New"/>
        </w:rPr>
        <w:t>⑵投标人在报价有效期内撤回投标；</w:t>
      </w:r>
    </w:p>
    <w:p w14:paraId="755BE82A">
      <w:pPr>
        <w:pStyle w:val="7"/>
        <w:spacing w:line="360" w:lineRule="auto"/>
        <w:ind w:firstLine="420" w:firstLineChars="0"/>
        <w:rPr>
          <w:rFonts w:hint="eastAsia" w:ascii="宋体" w:hAnsi="Courier New"/>
        </w:rPr>
      </w:pPr>
      <w:r>
        <w:rPr>
          <w:rFonts w:hint="eastAsia" w:ascii="宋体" w:hAnsi="Courier New"/>
        </w:rPr>
        <w:t>⑶在整个评标过程中，投标人有企图影响评标结果公正性的任何活动；</w:t>
      </w:r>
    </w:p>
    <w:p w14:paraId="2F5A783C">
      <w:pPr>
        <w:pStyle w:val="7"/>
        <w:spacing w:line="360" w:lineRule="auto"/>
        <w:ind w:firstLine="420" w:firstLineChars="0"/>
        <w:rPr>
          <w:rFonts w:hint="eastAsia" w:ascii="宋体" w:hAnsi="Courier New"/>
        </w:rPr>
      </w:pPr>
      <w:r>
        <w:rPr>
          <w:rFonts w:hint="eastAsia" w:ascii="宋体" w:hAnsi="Courier New"/>
        </w:rPr>
        <w:t>⑷投标人以任何方式诋毁其他投标人；</w:t>
      </w:r>
    </w:p>
    <w:p w14:paraId="0CF3B2CB">
      <w:pPr>
        <w:pStyle w:val="7"/>
        <w:spacing w:line="360" w:lineRule="auto"/>
        <w:ind w:firstLine="420" w:firstLineChars="0"/>
        <w:rPr>
          <w:rFonts w:hint="eastAsia" w:ascii="宋体" w:hAnsi="Courier New"/>
        </w:rPr>
      </w:pPr>
      <w:r>
        <w:rPr>
          <w:rFonts w:hint="eastAsia" w:ascii="宋体" w:hAnsi="Courier New"/>
        </w:rPr>
        <w:t>⑸投标人串通投标；</w:t>
      </w:r>
    </w:p>
    <w:p w14:paraId="1FDE7100">
      <w:pPr>
        <w:pStyle w:val="7"/>
        <w:spacing w:line="360" w:lineRule="auto"/>
        <w:ind w:firstLine="420" w:firstLineChars="0"/>
        <w:rPr>
          <w:rFonts w:hint="eastAsia" w:ascii="宋体" w:hAnsi="Courier New"/>
        </w:rPr>
      </w:pPr>
      <w:r>
        <w:rPr>
          <w:rFonts w:hint="eastAsia" w:ascii="宋体" w:hAnsi="Courier New"/>
        </w:rPr>
        <w:t>⑹投标人负责人为同一人或者存在控股、管理关系的不同单位；</w:t>
      </w:r>
    </w:p>
    <w:p w14:paraId="099211CD">
      <w:pPr>
        <w:pStyle w:val="7"/>
        <w:spacing w:line="360" w:lineRule="auto"/>
        <w:ind w:firstLine="420" w:firstLineChars="0"/>
        <w:rPr>
          <w:rFonts w:hint="eastAsia" w:ascii="宋体" w:hAnsi="Courier New"/>
        </w:rPr>
      </w:pPr>
      <w:r>
        <w:rPr>
          <w:rFonts w:hint="eastAsia" w:ascii="宋体" w:hAnsi="Courier New"/>
        </w:rPr>
        <w:t>⑺以他人名义投标或者以其他方式弄虚作假，骗取中标的；</w:t>
      </w:r>
    </w:p>
    <w:p w14:paraId="54448638">
      <w:pPr>
        <w:pStyle w:val="7"/>
        <w:spacing w:line="360" w:lineRule="auto"/>
        <w:ind w:firstLine="420" w:firstLineChars="0"/>
        <w:rPr>
          <w:rFonts w:hint="eastAsia" w:ascii="宋体" w:hAnsi="Courier New"/>
        </w:rPr>
      </w:pPr>
      <w:r>
        <w:rPr>
          <w:rFonts w:hint="eastAsia" w:ascii="宋体" w:hAnsi="Courier New"/>
        </w:rPr>
        <w:t>⑻中标人不按规定签订合同；</w:t>
      </w:r>
    </w:p>
    <w:p w14:paraId="5DE78371">
      <w:pPr>
        <w:pStyle w:val="7"/>
        <w:spacing w:line="360" w:lineRule="auto"/>
        <w:ind w:firstLine="420" w:firstLineChars="0"/>
        <w:rPr>
          <w:rFonts w:hint="eastAsia" w:ascii="宋体" w:hAnsi="Courier New"/>
        </w:rPr>
      </w:pPr>
      <w:r>
        <w:rPr>
          <w:rFonts w:hint="eastAsia" w:ascii="宋体" w:hAnsi="Courier New"/>
        </w:rPr>
        <w:t>⑼法律、法规规定的其他情况。</w:t>
      </w:r>
    </w:p>
    <w:p w14:paraId="617D310F">
      <w:pPr>
        <w:pStyle w:val="7"/>
        <w:spacing w:line="360" w:lineRule="auto"/>
        <w:ind w:firstLine="420" w:firstLineChars="0"/>
        <w:rPr>
          <w:rFonts w:hint="eastAsia" w:ascii="宋体" w:hAnsi="Courier New"/>
        </w:rPr>
      </w:pPr>
      <w:r>
        <w:rPr>
          <w:rFonts w:hint="eastAsia" w:ascii="宋体" w:hAnsi="Courier New"/>
        </w:rPr>
        <w:t>⑽对招标文件做出实质响应的投标人不足 3 家；</w:t>
      </w:r>
    </w:p>
    <w:p w14:paraId="5CB2FF92">
      <w:pPr>
        <w:pStyle w:val="7"/>
        <w:spacing w:line="360" w:lineRule="auto"/>
        <w:ind w:firstLine="420" w:firstLineChars="0"/>
        <w:rPr>
          <w:rFonts w:hint="eastAsia" w:ascii="宋体" w:hAnsi="Courier New"/>
        </w:rPr>
      </w:pPr>
      <w:r>
        <w:rPr>
          <w:rFonts w:hint="eastAsia" w:ascii="宋体" w:hAnsi="Courier New"/>
        </w:rPr>
        <w:t>⑾不同投标人的投标文件异常一致或投标报价呈规律性差异；</w:t>
      </w:r>
    </w:p>
    <w:p w14:paraId="4485A5AA">
      <w:pPr>
        <w:pStyle w:val="7"/>
        <w:spacing w:line="360" w:lineRule="auto"/>
        <w:ind w:firstLine="420" w:firstLineChars="0"/>
        <w:rPr>
          <w:rFonts w:hint="eastAsia" w:ascii="宋体" w:hAnsi="Courier New"/>
        </w:rPr>
      </w:pPr>
      <w:r>
        <w:rPr>
          <w:rFonts w:hint="eastAsia" w:ascii="宋体" w:hAnsi="Courier New"/>
        </w:rPr>
        <w:t>⑿投标人报价均超过项目预算；</w:t>
      </w:r>
    </w:p>
    <w:p w14:paraId="225F17D2">
      <w:pPr>
        <w:pStyle w:val="7"/>
        <w:spacing w:line="360" w:lineRule="auto"/>
        <w:ind w:firstLine="420" w:firstLineChars="0"/>
        <w:rPr>
          <w:rFonts w:hint="default" w:ascii="宋体" w:hAnsi="Courier New" w:eastAsia="宋体"/>
          <w:lang w:val="en-US" w:eastAsia="zh-CN"/>
        </w:rPr>
      </w:pPr>
      <w:r>
        <w:rPr>
          <w:rFonts w:hint="eastAsia" w:ascii="宋体" w:hAnsi="宋体" w:eastAsia="宋体" w:cs="宋体"/>
        </w:rPr>
        <w:t>⒀</w:t>
      </w:r>
      <w:r>
        <w:rPr>
          <w:rFonts w:hint="eastAsia"/>
          <w:lang w:val="en-US" w:eastAsia="zh-CN"/>
        </w:rPr>
        <w:t>投标人被举报、检举，并经招标方查实无误的</w:t>
      </w:r>
    </w:p>
    <w:p w14:paraId="210C6F6A">
      <w:pPr>
        <w:pStyle w:val="7"/>
        <w:spacing w:line="360" w:lineRule="auto"/>
        <w:rPr>
          <w:rFonts w:hint="eastAsia" w:ascii="宋体" w:hAnsi="Courier New"/>
        </w:rPr>
      </w:pPr>
      <w:r>
        <w:rPr>
          <w:rFonts w:hint="eastAsia" w:ascii="宋体" w:hAnsi="Courier New"/>
        </w:rPr>
        <w:t>2.出现下列情形之一，招标人有权否决所有投标人的投标，并终止招标。</w:t>
      </w:r>
    </w:p>
    <w:p w14:paraId="670E9CF4">
      <w:pPr>
        <w:pStyle w:val="7"/>
        <w:spacing w:line="360" w:lineRule="auto"/>
        <w:ind w:firstLine="420" w:firstLineChars="0"/>
        <w:rPr>
          <w:rFonts w:hint="eastAsia" w:ascii="宋体" w:hAnsi="Courier New"/>
        </w:rPr>
      </w:pPr>
      <w:r>
        <w:rPr>
          <w:rFonts w:hint="eastAsia" w:ascii="宋体" w:hAnsi="Courier New"/>
        </w:rPr>
        <w:t>⑴出现影响采购公正的违法、违规行为的。</w:t>
      </w:r>
    </w:p>
    <w:p w14:paraId="1B1EB772">
      <w:pPr>
        <w:pStyle w:val="7"/>
        <w:spacing w:line="360" w:lineRule="auto"/>
        <w:ind w:firstLine="420" w:firstLineChars="0"/>
        <w:rPr>
          <w:rFonts w:hint="eastAsia" w:ascii="宋体" w:hAnsi="Courier New"/>
        </w:rPr>
      </w:pPr>
      <w:r>
        <w:rPr>
          <w:rFonts w:hint="eastAsia" w:ascii="宋体" w:hAnsi="Courier New"/>
        </w:rPr>
        <w:t>⑵符合条件的投标人或者对招标文件做实质响应的投标人不足三家的。</w:t>
      </w:r>
    </w:p>
    <w:p w14:paraId="6BB25449">
      <w:pPr>
        <w:pStyle w:val="7"/>
        <w:spacing w:line="360" w:lineRule="auto"/>
        <w:ind w:firstLine="420" w:firstLineChars="0"/>
        <w:rPr>
          <w:rFonts w:hint="eastAsia" w:ascii="宋体" w:hAnsi="Courier New"/>
        </w:rPr>
      </w:pPr>
      <w:r>
        <w:rPr>
          <w:rFonts w:hint="eastAsia" w:ascii="宋体" w:hAnsi="Courier New"/>
        </w:rPr>
        <w:t>⑶评标委员会经评审，认为所有投标都不符合招标文件要求的。</w:t>
      </w:r>
    </w:p>
    <w:p w14:paraId="04F2CC8A">
      <w:pPr>
        <w:pStyle w:val="7"/>
        <w:spacing w:line="360" w:lineRule="auto"/>
        <w:ind w:firstLine="420" w:firstLineChars="0"/>
        <w:rPr>
          <w:rFonts w:hint="eastAsia" w:ascii="宋体" w:hAnsi="Courier New"/>
        </w:rPr>
      </w:pPr>
      <w:r>
        <w:rPr>
          <w:rFonts w:hint="eastAsia" w:ascii="宋体" w:hAnsi="Courier New"/>
        </w:rPr>
        <w:t>⑷因重大变故，采购任务取消的。</w:t>
      </w:r>
    </w:p>
    <w:p w14:paraId="691ABDF7">
      <w:pPr>
        <w:pStyle w:val="7"/>
        <w:spacing w:line="360" w:lineRule="auto"/>
        <w:ind w:firstLine="420" w:firstLineChars="0"/>
        <w:rPr>
          <w:rFonts w:hint="eastAsia" w:ascii="宋体" w:hAnsi="Courier New"/>
        </w:rPr>
      </w:pPr>
      <w:r>
        <w:rPr>
          <w:rFonts w:hint="eastAsia" w:ascii="宋体" w:hAnsi="Courier New"/>
        </w:rPr>
        <w:t>⑸招标人认为其他应终止招标的情形。</w:t>
      </w:r>
    </w:p>
    <w:p w14:paraId="1D81CC06">
      <w:pPr>
        <w:pStyle w:val="7"/>
        <w:spacing w:line="360" w:lineRule="auto"/>
        <w:rPr>
          <w:rFonts w:ascii="黑体" w:eastAsia="黑体"/>
          <w:b/>
          <w:bCs/>
          <w:sz w:val="28"/>
        </w:rPr>
      </w:pPr>
      <w:r>
        <w:rPr>
          <w:rFonts w:hint="eastAsia" w:ascii="黑体" w:eastAsia="黑体"/>
          <w:b/>
          <w:bCs/>
          <w:sz w:val="28"/>
        </w:rPr>
        <w:t>十、中标人瑕疵滞后发现的处理原则</w:t>
      </w:r>
    </w:p>
    <w:p w14:paraId="17A5A00E">
      <w:pPr>
        <w:spacing w:line="520" w:lineRule="exact"/>
        <w:ind w:right="2" w:firstLine="420" w:firstLineChars="200"/>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398123B9">
      <w:pPr>
        <w:spacing w:line="520" w:lineRule="exact"/>
        <w:ind w:right="2" w:firstLine="420" w:firstLineChars="200"/>
        <w:rPr>
          <w:rFonts w:ascii="宋体" w:hAnsi="Courier New"/>
        </w:rPr>
      </w:pPr>
    </w:p>
    <w:p w14:paraId="19B21606">
      <w:pPr>
        <w:pStyle w:val="7"/>
        <w:spacing w:line="360" w:lineRule="auto"/>
        <w:rPr>
          <w:rFonts w:ascii="黑体" w:eastAsia="黑体"/>
          <w:b/>
          <w:bCs/>
          <w:sz w:val="28"/>
        </w:rPr>
      </w:pPr>
      <w:r>
        <w:rPr>
          <w:rFonts w:hint="eastAsia" w:ascii="黑体" w:eastAsia="黑体"/>
          <w:b/>
          <w:bCs/>
          <w:sz w:val="28"/>
        </w:rPr>
        <w:t>十一、技术要求</w:t>
      </w:r>
    </w:p>
    <w:p w14:paraId="75D0F9A6">
      <w:pPr>
        <w:pStyle w:val="7"/>
        <w:spacing w:line="360" w:lineRule="auto"/>
        <w:ind w:left="420" w:hanging="420" w:hangingChars="200"/>
      </w:pPr>
      <w:r>
        <w:rPr>
          <w:rFonts w:hint="eastAsia"/>
        </w:rPr>
        <w:t xml:space="preserve">    见本招标文件“第三章 技术协议书”，附后。</w:t>
      </w:r>
    </w:p>
    <w:p w14:paraId="2663C4BF">
      <w:r>
        <w:rPr>
          <w:rFonts w:hint="eastAsia"/>
        </w:rPr>
        <w:br w:type="page"/>
      </w:r>
    </w:p>
    <w:p w14:paraId="1D5830F1">
      <w:pPr>
        <w:pStyle w:val="3"/>
        <w:bidi w:val="0"/>
        <w:jc w:val="center"/>
      </w:pPr>
      <w:bookmarkStart w:id="3" w:name="_Toc16818"/>
      <w:r>
        <w:rPr>
          <w:rFonts w:hint="eastAsia"/>
        </w:rPr>
        <w:t>第</w:t>
      </w:r>
      <w:r>
        <w:rPr>
          <w:rFonts w:hint="eastAsia"/>
          <w:lang w:val="en-US" w:eastAsia="zh-CN"/>
        </w:rPr>
        <w:t>二</w:t>
      </w:r>
      <w:r>
        <w:rPr>
          <w:rFonts w:hint="eastAsia"/>
        </w:rPr>
        <w:t xml:space="preserve">章  </w:t>
      </w:r>
      <w:r>
        <w:t>技术</w:t>
      </w:r>
      <w:bookmarkStart w:id="22" w:name="_GoBack"/>
      <w:bookmarkEnd w:id="22"/>
      <w:r>
        <w:rPr>
          <w:rFonts w:hint="eastAsia"/>
        </w:rPr>
        <w:t>协议</w:t>
      </w:r>
      <w:r>
        <w:t>书</w:t>
      </w:r>
      <w:bookmarkEnd w:id="3"/>
    </w:p>
    <w:p w14:paraId="705C5E52">
      <w:pPr>
        <w:pStyle w:val="2"/>
        <w:spacing w:before="120" w:after="120" w:line="324" w:lineRule="auto"/>
        <w:rPr>
          <w:rFonts w:hint="eastAsia" w:ascii="黑体" w:hAnsi="黑体" w:eastAsia="黑体" w:cs="黑体"/>
          <w:sz w:val="28"/>
          <w:szCs w:val="28"/>
        </w:rPr>
      </w:pPr>
      <w:bookmarkStart w:id="4" w:name="_Toc18520"/>
      <w:r>
        <w:rPr>
          <w:rFonts w:hint="eastAsia" w:ascii="黑体" w:hAnsi="黑体" w:eastAsia="黑体" w:cs="黑体"/>
          <w:sz w:val="28"/>
          <w:szCs w:val="28"/>
        </w:rPr>
        <w:t>一、供货范围</w:t>
      </w:r>
      <w:bookmarkEnd w:id="4"/>
    </w:p>
    <w:tbl>
      <w:tblPr>
        <w:tblStyle w:val="13"/>
        <w:tblW w:w="8094" w:type="dxa"/>
        <w:tblInd w:w="0" w:type="dxa"/>
        <w:tblLayout w:type="fixed"/>
        <w:tblCellMar>
          <w:top w:w="0" w:type="dxa"/>
          <w:left w:w="0" w:type="dxa"/>
          <w:bottom w:w="0" w:type="dxa"/>
          <w:right w:w="0" w:type="dxa"/>
        </w:tblCellMar>
      </w:tblPr>
      <w:tblGrid>
        <w:gridCol w:w="636"/>
        <w:gridCol w:w="2466"/>
        <w:gridCol w:w="2904"/>
        <w:gridCol w:w="864"/>
        <w:gridCol w:w="1224"/>
      </w:tblGrid>
      <w:tr w14:paraId="533B9DD0">
        <w:tblPrEx>
          <w:tblCellMar>
            <w:top w:w="0" w:type="dxa"/>
            <w:left w:w="0" w:type="dxa"/>
            <w:bottom w:w="0" w:type="dxa"/>
            <w:right w:w="0" w:type="dxa"/>
          </w:tblCellMar>
        </w:tblPrEx>
        <w:trPr>
          <w:trHeight w:val="281"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9D0319">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序号</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025C1C">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产品名称</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A4A19F">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工位器具名称</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5A2E33">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数量</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813536">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备注</w:t>
            </w:r>
          </w:p>
        </w:tc>
      </w:tr>
      <w:tr w14:paraId="371BED30">
        <w:tblPrEx>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C8EF94">
            <w:pPr>
              <w:widowControl/>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0"/>
                <w:sz w:val="21"/>
                <w:szCs w:val="21"/>
                <w:lang w:bidi="ar"/>
              </w:rPr>
              <w:t>1</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FCC4D8">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前端中间齿轮总成</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FDF135">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前端中间齿轮总成器具</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BE8BBB">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6AF973">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改制</w:t>
            </w:r>
          </w:p>
        </w:tc>
      </w:tr>
      <w:tr w14:paraId="11AC35B2">
        <w:tblPrEx>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CC5D86F">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bidi="ar"/>
              </w:rPr>
              <w:t>2</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88F4DD">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前端中间齿轮总成</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F1EC2E">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前端中间齿轮总成器具</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35393F">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F055CB">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新采购</w:t>
            </w:r>
          </w:p>
        </w:tc>
      </w:tr>
      <w:tr w14:paraId="5D1C7B29">
        <w:tblPrEx>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DE46EF">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bidi="ar"/>
              </w:rPr>
              <w:t>3</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7D07E51">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高压油泵驱动壳体</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D522C6">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高压油泵驱动壳体器具</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703C22">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09E4D2">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改制</w:t>
            </w:r>
          </w:p>
        </w:tc>
      </w:tr>
      <w:tr w14:paraId="44605DD6">
        <w:tblPrEx>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A8168A">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bidi="ar"/>
              </w:rPr>
              <w:t>4</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F5EC8C">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机油泵盖</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E25C21">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机油泵盖器具</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E4B7BE">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0D7E4C">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新采购</w:t>
            </w:r>
          </w:p>
        </w:tc>
      </w:tr>
      <w:tr w14:paraId="304A4DDB">
        <w:tblPrEx>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8822E7">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bidi="ar"/>
              </w:rPr>
              <w:t>5</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7D9FD7B">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活塞连杆总成</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FE23D0">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活塞连杆总成器具</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C2E7CC">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37309F">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新采购</w:t>
            </w:r>
          </w:p>
        </w:tc>
      </w:tr>
      <w:tr w14:paraId="24C1FE39">
        <w:tblPrEx>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1EA3E4">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bidi="ar"/>
              </w:rPr>
              <w:t>6</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C442085">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主线束支架</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2DF396">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主线束支架器具</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35C2E6">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71D61B">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改制</w:t>
            </w:r>
          </w:p>
        </w:tc>
      </w:tr>
      <w:tr w14:paraId="69041AAA">
        <w:tblPrEx>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1EC549">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bidi="ar"/>
              </w:rPr>
              <w:t>7</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8D8BA1">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混合器总成</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F19CD4">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混合器总成器具</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7687D8">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4771E5">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改制</w:t>
            </w:r>
          </w:p>
        </w:tc>
      </w:tr>
      <w:tr w14:paraId="64627055">
        <w:tblPrEx>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D61695">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bidi="ar"/>
              </w:rPr>
              <w:t>8</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9136C5">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不锈钢桌面</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E15B0C">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不锈钢桌面</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DFCA3F">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CBF0E82">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改制</w:t>
            </w:r>
          </w:p>
        </w:tc>
      </w:tr>
      <w:tr w14:paraId="626D68F8">
        <w:tblPrEx>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7D915E6">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bidi="ar"/>
              </w:rPr>
              <w:t>9</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D082C5">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不锈钢桌面</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EB4AFDB">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不锈钢桌面</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704FBB">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ABDCDE">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改制</w:t>
            </w:r>
          </w:p>
        </w:tc>
      </w:tr>
      <w:tr w14:paraId="185581D5">
        <w:tblPrEx>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682239">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bidi="ar"/>
              </w:rPr>
              <w:t>10</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119592">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不锈钢层板</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3268ED">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不锈钢层板</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E823B2">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25</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7FCE6A">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新采购</w:t>
            </w:r>
          </w:p>
        </w:tc>
      </w:tr>
      <w:tr w14:paraId="5402B24D">
        <w:tblPrEx>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24EB3DD">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bidi="ar"/>
              </w:rPr>
              <w:t>11</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1C9C64">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不锈钢层板</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354E81">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不锈钢层板</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244735">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35</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6C136A">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新采购</w:t>
            </w:r>
          </w:p>
        </w:tc>
      </w:tr>
      <w:tr w14:paraId="34D888F3">
        <w:tblPrEx>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9A1CB8">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bidi="ar"/>
              </w:rPr>
              <w:t>12</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61AEC9">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工作桌</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1D978D">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工作桌</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66BD16">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E04AEF">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新采购</w:t>
            </w:r>
          </w:p>
        </w:tc>
      </w:tr>
      <w:tr w14:paraId="3FF196C0">
        <w:tblPrEx>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84F48E">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bidi="ar"/>
              </w:rPr>
              <w:t>13</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EDF54A">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改制操作专用器具</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26E2994">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改制操作专用器具</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511BBE">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D900F39">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新采购</w:t>
            </w:r>
          </w:p>
        </w:tc>
      </w:tr>
      <w:tr w14:paraId="10F41118">
        <w:tblPrEx>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ACAB1E">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bidi="ar"/>
              </w:rPr>
              <w:t>14</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F37EB4">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风扇总成</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2D5DB6">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风扇总成工位器具</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ABC5DD5">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887C91">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新采购</w:t>
            </w:r>
          </w:p>
        </w:tc>
      </w:tr>
      <w:tr w14:paraId="1E93EB1E">
        <w:tblPrEx>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C602D2">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bidi="ar"/>
              </w:rPr>
              <w:t>15</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2356A68">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DCU</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C18B3A">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DCU周转料盒</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D41BA3">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100</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638637">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新采购</w:t>
            </w:r>
          </w:p>
        </w:tc>
      </w:tr>
      <w:tr w14:paraId="1490C336">
        <w:tblPrEx>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51E23C">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bidi="ar"/>
              </w:rPr>
              <w:t>16</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3D819F">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DCU</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6636EA">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DCU周转小车</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CD6806">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BAE655">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新采购</w:t>
            </w:r>
          </w:p>
        </w:tc>
      </w:tr>
      <w:tr w14:paraId="3E2019A4">
        <w:tblPrEx>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D633EB">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合计</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6A1A70">
            <w:pPr>
              <w:jc w:val="center"/>
              <w:rPr>
                <w:rFonts w:hint="eastAsia" w:ascii="宋体" w:hAnsi="宋体" w:eastAsia="宋体" w:cs="宋体"/>
                <w:color w:val="000000"/>
                <w:sz w:val="21"/>
                <w:szCs w:val="21"/>
              </w:rPr>
            </w:pP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26AA188">
            <w:pPr>
              <w:jc w:val="center"/>
              <w:rPr>
                <w:rFonts w:hint="eastAsia" w:ascii="宋体" w:hAnsi="宋体" w:eastAsia="宋体" w:cs="宋体"/>
                <w:color w:val="000000"/>
                <w:sz w:val="21"/>
                <w:szCs w:val="21"/>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11633C">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203</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792728">
            <w:pPr>
              <w:widowControl/>
              <w:jc w:val="center"/>
              <w:textAlignment w:val="center"/>
              <w:rPr>
                <w:rFonts w:hint="eastAsia" w:ascii="宋体" w:hAnsi="宋体" w:eastAsia="宋体" w:cs="宋体"/>
                <w:color w:val="000000"/>
                <w:kern w:val="0"/>
                <w:sz w:val="21"/>
                <w:szCs w:val="21"/>
                <w:lang w:bidi="ar"/>
              </w:rPr>
            </w:pPr>
          </w:p>
        </w:tc>
      </w:tr>
    </w:tbl>
    <w:p w14:paraId="6EAF7F06"/>
    <w:p w14:paraId="0446F76E">
      <w:pPr>
        <w:rPr>
          <w:sz w:val="28"/>
          <w:szCs w:val="28"/>
        </w:rPr>
      </w:pPr>
      <w:r>
        <w:rPr>
          <w:rFonts w:hint="eastAsia"/>
        </w:rPr>
        <w:t xml:space="preserve">  </w:t>
      </w:r>
      <w:r>
        <w:rPr>
          <w:rFonts w:hint="eastAsia"/>
          <w:sz w:val="21"/>
          <w:szCs w:val="21"/>
        </w:rPr>
        <w:t>本项目以交钥匙方式供货，包含工位器具的设计、制作、安装、货运等服务。</w:t>
      </w:r>
    </w:p>
    <w:p w14:paraId="3DF30331">
      <w:pPr>
        <w:pStyle w:val="2"/>
        <w:numPr>
          <w:ilvl w:val="0"/>
          <w:numId w:val="0"/>
        </w:numPr>
        <w:spacing w:before="120" w:after="120" w:line="360" w:lineRule="auto"/>
        <w:rPr>
          <w:rFonts w:ascii="宋体" w:hAnsi="宋体"/>
          <w:sz w:val="28"/>
          <w:szCs w:val="28"/>
        </w:rPr>
      </w:pPr>
      <w:bookmarkStart w:id="5" w:name="_Toc258918129"/>
      <w:bookmarkStart w:id="6" w:name="_Toc292356625"/>
      <w:bookmarkStart w:id="7" w:name="_Toc259792744"/>
      <w:bookmarkStart w:id="8" w:name="_Toc137705868"/>
      <w:bookmarkStart w:id="9" w:name="_Toc15021"/>
      <w:bookmarkStart w:id="10" w:name="_Toc516822572"/>
      <w:r>
        <w:rPr>
          <w:rFonts w:hint="eastAsia" w:ascii="黑体" w:hAnsi="黑体" w:eastAsia="黑体" w:cs="黑体"/>
          <w:b/>
          <w:bCs/>
          <w:kern w:val="44"/>
          <w:sz w:val="28"/>
          <w:szCs w:val="28"/>
          <w:lang w:val="en-US" w:eastAsia="zh-CN" w:bidi="ar-SA"/>
        </w:rPr>
        <w:t>二、</w:t>
      </w:r>
      <w:r>
        <w:rPr>
          <w:rFonts w:hint="eastAsia" w:ascii="黑体" w:hAnsi="黑体" w:eastAsia="黑体" w:cs="黑体"/>
          <w:sz w:val="28"/>
          <w:szCs w:val="28"/>
        </w:rPr>
        <w:t>技术要求</w:t>
      </w:r>
      <w:bookmarkEnd w:id="5"/>
      <w:bookmarkEnd w:id="6"/>
      <w:bookmarkEnd w:id="7"/>
      <w:bookmarkEnd w:id="8"/>
      <w:bookmarkEnd w:id="9"/>
      <w:bookmarkEnd w:id="10"/>
    </w:p>
    <w:p w14:paraId="530722F6">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i w:val="0"/>
          <w:iCs w:val="0"/>
          <w:color w:val="000000"/>
          <w:kern w:val="0"/>
          <w:sz w:val="22"/>
          <w:szCs w:val="22"/>
          <w:u w:val="none"/>
          <w:lang w:val="en-US" w:eastAsia="zh-CN" w:bidi="ar"/>
        </w:rPr>
        <w:t>前端中间齿轮总成器具</w:t>
      </w:r>
    </w:p>
    <w:p w14:paraId="29515056">
      <w:pPr>
        <w:rPr>
          <w:rFonts w:hint="eastAsia" w:ascii="宋体" w:hAnsi="宋体" w:eastAsia="宋体" w:cs="宋体"/>
          <w:color w:val="000000"/>
          <w:kern w:val="0"/>
          <w:sz w:val="21"/>
          <w:szCs w:val="21"/>
          <w:lang w:val="en-US" w:eastAsia="zh-CN" w:bidi="ar"/>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color w:val="000000"/>
          <w:kern w:val="0"/>
          <w:sz w:val="21"/>
          <w:szCs w:val="21"/>
          <w:lang w:val="en-US" w:eastAsia="zh-CN" w:bidi="ar"/>
        </w:rPr>
        <w:drawing>
          <wp:inline distT="0" distB="0" distL="114300" distR="114300">
            <wp:extent cx="2352040" cy="1200150"/>
            <wp:effectExtent l="0" t="0" r="10160" b="0"/>
            <wp:docPr id="3" name="图片 3" descr="E084F80A-0894-426e-90EB-4CD18C7AB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084F80A-0894-426e-90EB-4CD18C7AB1AB"/>
                    <pic:cNvPicPr>
                      <a:picLocks noChangeAspect="1"/>
                    </pic:cNvPicPr>
                  </pic:nvPicPr>
                  <pic:blipFill>
                    <a:blip r:embed="rId9"/>
                    <a:stretch>
                      <a:fillRect/>
                    </a:stretch>
                  </pic:blipFill>
                  <pic:spPr>
                    <a:xfrm>
                      <a:off x="0" y="0"/>
                      <a:ext cx="2352040" cy="1200150"/>
                    </a:xfrm>
                    <a:prstGeom prst="rect">
                      <a:avLst/>
                    </a:prstGeom>
                  </pic:spPr>
                </pic:pic>
              </a:graphicData>
            </a:graphic>
          </wp:inline>
        </w:drawing>
      </w:r>
    </w:p>
    <w:p w14:paraId="3F113C7B">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要求：</w:t>
      </w:r>
      <w:r>
        <w:rPr>
          <w:rFonts w:hint="eastAsia" w:ascii="宋体" w:hAnsi="宋体" w:cs="宋体"/>
          <w:color w:val="000000"/>
          <w:kern w:val="0"/>
          <w:sz w:val="21"/>
          <w:szCs w:val="21"/>
          <w:lang w:val="en-US" w:eastAsia="zh-CN" w:bidi="ar"/>
        </w:rPr>
        <w:t>复制现有工位器具限位块，材质改为聚氨酯（开模），限位块尺寸</w:t>
      </w:r>
      <w:r>
        <w:rPr>
          <w:rFonts w:hint="eastAsia" w:ascii="宋体" w:hAnsi="宋体" w:cs="宋体"/>
          <w:sz w:val="21"/>
          <w:szCs w:val="21"/>
          <w:lang w:val="en-US" w:eastAsia="zh-CN"/>
        </w:rPr>
        <w:t>50*30*40mm，共计225件</w:t>
      </w:r>
      <w:r>
        <w:rPr>
          <w:rFonts w:hint="eastAsia" w:ascii="宋体" w:hAnsi="宋体" w:cs="宋体"/>
          <w:color w:val="000000"/>
          <w:kern w:val="0"/>
          <w:sz w:val="21"/>
          <w:szCs w:val="21"/>
          <w:lang w:val="en-US" w:eastAsia="zh-CN" w:bidi="ar"/>
        </w:rPr>
        <w:t>，层板更换不锈钢板，尺寸1050*650*2mm，共计5张，更换器具围板、门帘。</w:t>
      </w:r>
    </w:p>
    <w:p w14:paraId="19DB2292">
      <w:pPr>
        <w:rPr>
          <w:rFonts w:hint="eastAsia" w:ascii="宋体" w:hAnsi="宋体" w:eastAsia="宋体" w:cs="宋体"/>
          <w:color w:val="000000"/>
          <w:kern w:val="0"/>
          <w:sz w:val="21"/>
          <w:szCs w:val="21"/>
          <w:lang w:val="en-US" w:eastAsia="zh-CN" w:bidi="ar"/>
        </w:rPr>
      </w:pPr>
      <w:r>
        <w:rPr>
          <w:rFonts w:hint="eastAsia" w:ascii="宋体" w:hAnsi="宋体" w:eastAsia="宋体" w:cs="宋体"/>
          <w:sz w:val="21"/>
          <w:szCs w:val="21"/>
        </w:rPr>
        <w:t>2.</w:t>
      </w:r>
      <w:r>
        <w:rPr>
          <w:rFonts w:hint="eastAsia" w:ascii="宋体" w:hAnsi="宋体" w:eastAsia="宋体" w:cs="宋体"/>
          <w:i w:val="0"/>
          <w:iCs w:val="0"/>
          <w:color w:val="000000"/>
          <w:kern w:val="0"/>
          <w:sz w:val="22"/>
          <w:szCs w:val="22"/>
          <w:u w:val="none"/>
          <w:lang w:val="en-US" w:eastAsia="zh-CN" w:bidi="ar"/>
        </w:rPr>
        <w:t>前端中间齿轮总成器具</w:t>
      </w:r>
    </w:p>
    <w:p w14:paraId="1C34EA98">
      <w:pPr>
        <w:rPr>
          <w:rFonts w:hint="eastAsia" w:ascii="宋体" w:hAnsi="宋体" w:eastAsia="宋体" w:cs="宋体"/>
          <w:color w:val="000000"/>
          <w:kern w:val="0"/>
          <w:sz w:val="21"/>
          <w:szCs w:val="21"/>
          <w:lang w:bidi="ar"/>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color w:val="000000"/>
          <w:kern w:val="0"/>
          <w:sz w:val="21"/>
          <w:szCs w:val="21"/>
          <w:lang w:bidi="ar"/>
        </w:rPr>
        <w:drawing>
          <wp:inline distT="0" distB="0" distL="114300" distR="114300">
            <wp:extent cx="2297430" cy="1179830"/>
            <wp:effectExtent l="0" t="0" r="7620" b="1270"/>
            <wp:docPr id="2" name="图片 2" descr="FF5680FE-8F33-4946-8CF8-3F14692132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F5680FE-8F33-4946-8CF8-3F14692132DE"/>
                    <pic:cNvPicPr>
                      <a:picLocks noChangeAspect="1"/>
                    </pic:cNvPicPr>
                  </pic:nvPicPr>
                  <pic:blipFill>
                    <a:blip r:embed="rId10"/>
                    <a:stretch>
                      <a:fillRect/>
                    </a:stretch>
                  </pic:blipFill>
                  <pic:spPr>
                    <a:xfrm>
                      <a:off x="0" y="0"/>
                      <a:ext cx="2297430" cy="1179830"/>
                    </a:xfrm>
                    <a:prstGeom prst="rect">
                      <a:avLst/>
                    </a:prstGeom>
                  </pic:spPr>
                </pic:pic>
              </a:graphicData>
            </a:graphic>
          </wp:inline>
        </w:drawing>
      </w:r>
    </w:p>
    <w:p w14:paraId="6EE2DE2E">
      <w:pP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要求：</w:t>
      </w:r>
      <w:r>
        <w:rPr>
          <w:rFonts w:hint="eastAsia" w:ascii="宋体" w:hAnsi="宋体" w:cs="宋体"/>
          <w:color w:val="000000"/>
          <w:kern w:val="0"/>
          <w:sz w:val="21"/>
          <w:szCs w:val="21"/>
          <w:lang w:val="en-US" w:eastAsia="zh-CN" w:bidi="ar"/>
        </w:rPr>
        <w:t>器具尺寸1200*800*1460mm，器具共5层，单面取件，每层放置15件，总器具容量75件，防护材料结合面使用聚氨酯（开模），层板使用不锈钢板；上掀结构；侧面、背面和顶面防护为灰色中空板，取件面用可粘灰色刀刮布；器具底部位置安装脚轮安装板及脚轮，器具侧面安装牵引钩、牵引座，上掀顶盖安装辅助布条。</w:t>
      </w:r>
    </w:p>
    <w:p w14:paraId="35219BF9">
      <w:pPr>
        <w:rPr>
          <w:rStyle w:val="15"/>
          <w:rFonts w:hint="eastAsia"/>
        </w:rPr>
      </w:pPr>
      <w:r>
        <w:rPr>
          <w:rFonts w:hint="eastAsia" w:ascii="宋体" w:hAnsi="宋体" w:eastAsia="宋体" w:cs="宋体"/>
          <w:color w:val="000000"/>
          <w:kern w:val="0"/>
          <w:sz w:val="21"/>
          <w:szCs w:val="21"/>
          <w:lang w:bidi="ar"/>
        </w:rPr>
        <w:t>3.</w:t>
      </w:r>
      <w:r>
        <w:rPr>
          <w:rFonts w:hint="eastAsia" w:ascii="宋体" w:hAnsi="宋体" w:eastAsia="宋体" w:cs="宋体"/>
          <w:i w:val="0"/>
          <w:iCs w:val="0"/>
          <w:color w:val="000000"/>
          <w:kern w:val="0"/>
          <w:sz w:val="22"/>
          <w:szCs w:val="22"/>
          <w:u w:val="none"/>
          <w:lang w:val="en-US" w:eastAsia="zh-CN" w:bidi="ar"/>
        </w:rPr>
        <w:t>高压油泵驱动壳体器具</w:t>
      </w:r>
    </w:p>
    <w:p w14:paraId="260A60F7">
      <w:pPr>
        <w:rPr>
          <w:rFonts w:hint="eastAsia" w:ascii="宋体" w:hAnsi="宋体" w:eastAsia="宋体" w:cs="宋体"/>
          <w:color w:val="000000"/>
          <w:kern w:val="0"/>
          <w:sz w:val="21"/>
          <w:szCs w:val="21"/>
          <w:lang w:bidi="ar"/>
        </w:rPr>
      </w:pPr>
      <w:r>
        <w:rPr>
          <w:rFonts w:hint="eastAsia" w:ascii="宋体" w:hAnsi="宋体" w:eastAsia="宋体" w:cs="宋体"/>
          <w:sz w:val="21"/>
          <w:szCs w:val="21"/>
          <w:lang w:val="en-US" w:eastAsia="zh-CN"/>
        </w:rPr>
        <w:t xml:space="preserve">  </w:t>
      </w:r>
      <w:r>
        <w:rPr>
          <w:rFonts w:hint="eastAsia" w:ascii="宋体" w:hAnsi="宋体" w:eastAsia="宋体" w:cs="宋体"/>
          <w:color w:val="000000"/>
          <w:kern w:val="0"/>
          <w:sz w:val="21"/>
          <w:szCs w:val="21"/>
          <w:lang w:bidi="ar"/>
        </w:rPr>
        <w:drawing>
          <wp:inline distT="0" distB="0" distL="114300" distR="114300">
            <wp:extent cx="2255520" cy="1144905"/>
            <wp:effectExtent l="0" t="0" r="11430" b="17145"/>
            <wp:docPr id="7" name="图片 7" descr="D66084A0-4639-4653-BE10-82EBC389F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66084A0-4639-4653-BE10-82EBC389F839"/>
                    <pic:cNvPicPr>
                      <a:picLocks noChangeAspect="1"/>
                    </pic:cNvPicPr>
                  </pic:nvPicPr>
                  <pic:blipFill>
                    <a:blip r:embed="rId11"/>
                    <a:stretch>
                      <a:fillRect/>
                    </a:stretch>
                  </pic:blipFill>
                  <pic:spPr>
                    <a:xfrm>
                      <a:off x="0" y="0"/>
                      <a:ext cx="2255520" cy="1144905"/>
                    </a:xfrm>
                    <a:prstGeom prst="rect">
                      <a:avLst/>
                    </a:prstGeom>
                  </pic:spPr>
                </pic:pic>
              </a:graphicData>
            </a:graphic>
          </wp:inline>
        </w:drawing>
      </w:r>
    </w:p>
    <w:p w14:paraId="7E2E716C">
      <w:pPr>
        <w:rPr>
          <w:rFonts w:hint="default" w:ascii="宋体" w:hAnsi="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要求：</w:t>
      </w:r>
      <w:r>
        <w:rPr>
          <w:rFonts w:hint="eastAsia" w:ascii="宋体" w:hAnsi="宋体" w:cs="宋体"/>
          <w:color w:val="000000"/>
          <w:kern w:val="0"/>
          <w:sz w:val="21"/>
          <w:szCs w:val="21"/>
          <w:lang w:val="en-US" w:eastAsia="zh-CN" w:bidi="ar"/>
        </w:rPr>
        <w:t>器具上掀顶盖去除中间横梁，竖向增加40*20*2mm加强筋，如图所示，避免产品磕碰。</w:t>
      </w:r>
    </w:p>
    <w:p w14:paraId="4C53BD7B">
      <w:pPr>
        <w:numPr>
          <w:ilvl w:val="0"/>
          <w:numId w:val="3"/>
        </w:numP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2"/>
          <w:szCs w:val="22"/>
          <w:u w:val="none"/>
          <w:lang w:val="en-US" w:eastAsia="zh-CN" w:bidi="ar"/>
        </w:rPr>
        <w:t>机油泵盖器具</w:t>
      </w:r>
    </w:p>
    <w:p w14:paraId="03807690">
      <w:pPr>
        <w:numPr>
          <w:ilvl w:val="0"/>
          <w:numId w:val="0"/>
        </w:numPr>
        <w:rPr>
          <w:rFonts w:hint="eastAsia" w:ascii="宋体" w:hAnsi="宋体" w:eastAsia="宋体" w:cs="宋体"/>
          <w:color w:val="000000"/>
          <w:kern w:val="0"/>
          <w:sz w:val="21"/>
          <w:szCs w:val="21"/>
          <w:lang w:eastAsia="zh-CN" w:bidi="ar"/>
        </w:rPr>
      </w:pPr>
      <w:r>
        <w:rPr>
          <w:rFonts w:hint="eastAsia" w:ascii="宋体" w:hAnsi="宋体" w:eastAsia="宋体" w:cs="宋体"/>
          <w:sz w:val="21"/>
          <w:szCs w:val="21"/>
          <w:lang w:val="en-US" w:eastAsia="zh-CN"/>
        </w:rPr>
        <w:t xml:space="preserve"> </w:t>
      </w:r>
      <w:r>
        <w:rPr>
          <w:rFonts w:hint="eastAsia" w:ascii="宋体" w:hAnsi="宋体" w:eastAsia="宋体" w:cs="宋体"/>
          <w:color w:val="000000"/>
          <w:kern w:val="0"/>
          <w:sz w:val="21"/>
          <w:szCs w:val="21"/>
          <w:lang w:eastAsia="zh-CN" w:bidi="ar"/>
        </w:rPr>
        <w:drawing>
          <wp:inline distT="0" distB="0" distL="114300" distR="114300">
            <wp:extent cx="2309495" cy="1173480"/>
            <wp:effectExtent l="0" t="0" r="14605" b="7620"/>
            <wp:docPr id="8" name="图片 8" descr="AD376FCE-6650-4b8f-A8AC-E20D0450D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D376FCE-6650-4b8f-A8AC-E20D0450D13F"/>
                    <pic:cNvPicPr>
                      <a:picLocks noChangeAspect="1"/>
                    </pic:cNvPicPr>
                  </pic:nvPicPr>
                  <pic:blipFill>
                    <a:blip r:embed="rId12"/>
                    <a:stretch>
                      <a:fillRect/>
                    </a:stretch>
                  </pic:blipFill>
                  <pic:spPr>
                    <a:xfrm>
                      <a:off x="0" y="0"/>
                      <a:ext cx="2309495" cy="1173480"/>
                    </a:xfrm>
                    <a:prstGeom prst="rect">
                      <a:avLst/>
                    </a:prstGeom>
                  </pic:spPr>
                </pic:pic>
              </a:graphicData>
            </a:graphic>
          </wp:inline>
        </w:drawing>
      </w:r>
    </w:p>
    <w:p w14:paraId="614D1165">
      <w:pPr>
        <w:keepNext w:val="0"/>
        <w:keepLines w:val="0"/>
        <w:widowControl/>
        <w:suppressLineNumbers w:val="0"/>
        <w:jc w:val="left"/>
        <w:rPr>
          <w:rFonts w:hint="default" w:ascii="宋体" w:hAnsi="宋体" w:cs="宋体"/>
          <w:color w:val="000000"/>
          <w:kern w:val="0"/>
          <w:sz w:val="21"/>
          <w:szCs w:val="21"/>
          <w:lang w:val="en-US" w:eastAsia="zh-CN" w:bidi="ar"/>
        </w:rPr>
      </w:pPr>
      <w:r>
        <w:rPr>
          <w:rFonts w:hint="eastAsia" w:ascii="宋体" w:hAnsi="宋体" w:eastAsia="宋体" w:cs="宋体"/>
          <w:color w:val="000000"/>
          <w:kern w:val="0"/>
          <w:sz w:val="21"/>
          <w:szCs w:val="21"/>
          <w:lang w:bidi="ar"/>
        </w:rPr>
        <w:t>要求：</w:t>
      </w:r>
      <w:r>
        <w:rPr>
          <w:rFonts w:hint="eastAsia" w:ascii="宋体" w:hAnsi="宋体" w:cs="宋体"/>
          <w:color w:val="000000"/>
          <w:kern w:val="0"/>
          <w:sz w:val="21"/>
          <w:szCs w:val="21"/>
          <w:lang w:val="en-US" w:eastAsia="zh-CN" w:bidi="ar"/>
        </w:rPr>
        <w:t>器具尺寸1100*600*1000mm-加扶⼿1250X600X1000mm，器具共2层，底层⾼300mm，⼆层⾼700mm，层板使用不锈钢板，层板固定，使用蜂窝板加聚氨酯隔离的方式存放零部件，蜂窝板上用聚氨酯分成9个小格，格⼦尺寸247*155*20mm，共放置18个蜂窝板，器具容量96件，器具底部位置安装脚轮安装板及脚轮。</w:t>
      </w:r>
    </w:p>
    <w:p w14:paraId="0AB712ED">
      <w:pPr>
        <w:numPr>
          <w:ilvl w:val="0"/>
          <w:numId w:val="3"/>
        </w:numPr>
        <w:ind w:left="0" w:leftChars="0" w:firstLine="0" w:firstLineChars="0"/>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活塞连杆总成器具</w:t>
      </w:r>
    </w:p>
    <w:p w14:paraId="24E9128F">
      <w:pPr>
        <w:numPr>
          <w:ilvl w:val="0"/>
          <w:numId w:val="0"/>
        </w:numPr>
        <w:ind w:leftChars="0"/>
        <w:rPr>
          <w:rFonts w:hint="eastAsia" w:ascii="宋体" w:hAnsi="宋体" w:eastAsia="宋体" w:cs="宋体"/>
          <w:color w:val="000000"/>
          <w:kern w:val="0"/>
          <w:sz w:val="21"/>
          <w:szCs w:val="21"/>
          <w:lang w:eastAsia="zh-CN" w:bidi="ar"/>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r>
        <w:rPr>
          <w:rFonts w:hint="eastAsia" w:ascii="宋体" w:hAnsi="宋体" w:eastAsia="宋体" w:cs="宋体"/>
          <w:color w:val="000000"/>
          <w:kern w:val="0"/>
          <w:sz w:val="21"/>
          <w:szCs w:val="21"/>
          <w:lang w:eastAsia="zh-CN" w:bidi="ar"/>
        </w:rPr>
        <w:drawing>
          <wp:inline distT="0" distB="0" distL="114300" distR="114300">
            <wp:extent cx="2266315" cy="1147445"/>
            <wp:effectExtent l="0" t="0" r="635" b="14605"/>
            <wp:docPr id="9" name="图片 9" descr="24E5EE39-434B-45ba-A128-B7EFAFBD0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4E5EE39-434B-45ba-A128-B7EFAFBD0CAB"/>
                    <pic:cNvPicPr>
                      <a:picLocks noChangeAspect="1"/>
                    </pic:cNvPicPr>
                  </pic:nvPicPr>
                  <pic:blipFill>
                    <a:blip r:embed="rId13"/>
                    <a:stretch>
                      <a:fillRect/>
                    </a:stretch>
                  </pic:blipFill>
                  <pic:spPr>
                    <a:xfrm>
                      <a:off x="0" y="0"/>
                      <a:ext cx="2266315" cy="1147445"/>
                    </a:xfrm>
                    <a:prstGeom prst="rect">
                      <a:avLst/>
                    </a:prstGeom>
                  </pic:spPr>
                </pic:pic>
              </a:graphicData>
            </a:graphic>
          </wp:inline>
        </w:drawing>
      </w:r>
    </w:p>
    <w:p w14:paraId="3C0D37C9">
      <w:pPr>
        <w:keepNext w:val="0"/>
        <w:keepLines w:val="0"/>
        <w:widowControl/>
        <w:suppressLineNumbers w:val="0"/>
        <w:jc w:val="left"/>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要求：</w:t>
      </w:r>
      <w:r>
        <w:rPr>
          <w:rFonts w:hint="eastAsia" w:ascii="宋体" w:hAnsi="宋体" w:cs="宋体"/>
          <w:color w:val="000000"/>
          <w:kern w:val="0"/>
          <w:sz w:val="21"/>
          <w:szCs w:val="21"/>
          <w:lang w:val="en-US" w:eastAsia="zh-CN" w:bidi="ar"/>
        </w:rPr>
        <w:t>器具尺寸1460*1100*1500mm，器具共3层，双面取件，每层放置1台套（6件），总器具容量6台套，防护材料结合面使用聚氨酯；底层⾼673mm，⼆层⾼873mm，顶层⾼1073mm；上掀结构；每层一个小托盘放置连杆盖，小托盘材料使用尼龙；侧面、背面和顶面防护为灰色中空板，取件面用可粘灰色刀刮布；器具底部位置安装脚轮安装板及脚轮，器具侧面安装牵引钩、牵引座，上掀顶盖安装辅助布条。</w:t>
      </w:r>
    </w:p>
    <w:p w14:paraId="3C187412">
      <w:pP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6.</w:t>
      </w:r>
      <w:r>
        <w:rPr>
          <w:rFonts w:hint="eastAsia" w:ascii="宋体" w:hAnsi="宋体" w:eastAsia="宋体" w:cs="宋体"/>
          <w:i w:val="0"/>
          <w:iCs w:val="0"/>
          <w:color w:val="000000"/>
          <w:kern w:val="0"/>
          <w:sz w:val="21"/>
          <w:szCs w:val="21"/>
          <w:u w:val="none"/>
          <w:lang w:val="en-US" w:eastAsia="zh-CN" w:bidi="ar"/>
        </w:rPr>
        <w:t>主线束支架器具</w:t>
      </w:r>
    </w:p>
    <w:p w14:paraId="2C415078">
      <w:pPr>
        <w:rPr>
          <w:rFonts w:hint="eastAsia" w:ascii="宋体" w:hAnsi="宋体" w:eastAsia="宋体" w:cs="宋体"/>
          <w:color w:val="000000"/>
          <w:kern w:val="0"/>
          <w:sz w:val="21"/>
          <w:szCs w:val="21"/>
          <w:lang w:bidi="ar"/>
        </w:rPr>
      </w:pPr>
      <w:r>
        <w:drawing>
          <wp:inline distT="0" distB="0" distL="114300" distR="114300">
            <wp:extent cx="1841500" cy="1694815"/>
            <wp:effectExtent l="0" t="0" r="6350" b="63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tretch>
                      <a:fillRect/>
                    </a:stretch>
                  </pic:blipFill>
                  <pic:spPr>
                    <a:xfrm>
                      <a:off x="0" y="0"/>
                      <a:ext cx="1841500" cy="1694815"/>
                    </a:xfrm>
                    <a:prstGeom prst="rect">
                      <a:avLst/>
                    </a:prstGeom>
                    <a:noFill/>
                    <a:ln w="9525">
                      <a:noFill/>
                    </a:ln>
                  </pic:spPr>
                </pic:pic>
              </a:graphicData>
            </a:graphic>
          </wp:inline>
        </w:drawing>
      </w:r>
    </w:p>
    <w:p w14:paraId="606A8603">
      <w:pPr>
        <w:rPr>
          <w:rFonts w:hint="eastAsia" w:ascii="宋体" w:hAnsi="宋体" w:cs="宋体"/>
          <w:color w:val="000000"/>
          <w:kern w:val="0"/>
          <w:sz w:val="21"/>
          <w:szCs w:val="21"/>
          <w:lang w:val="en-US" w:eastAsia="zh-CN" w:bidi="ar"/>
        </w:rPr>
      </w:pPr>
      <w:r>
        <w:rPr>
          <w:rFonts w:hint="eastAsia" w:ascii="宋体" w:hAnsi="宋体" w:eastAsia="宋体" w:cs="宋体"/>
          <w:color w:val="000000"/>
          <w:kern w:val="0"/>
          <w:sz w:val="21"/>
          <w:szCs w:val="21"/>
          <w:lang w:bidi="ar"/>
        </w:rPr>
        <w:t>要求：</w:t>
      </w:r>
      <w:r>
        <w:rPr>
          <w:rFonts w:hint="eastAsia" w:ascii="宋体" w:hAnsi="宋体" w:cs="宋体"/>
          <w:color w:val="000000"/>
          <w:kern w:val="0"/>
          <w:sz w:val="21"/>
          <w:szCs w:val="21"/>
          <w:lang w:val="en-US" w:eastAsia="zh-CN" w:bidi="ar"/>
        </w:rPr>
        <w:t>复制现有工位器具限位块，材质改为聚氨酯，限位块尺寸1000*40*55</w:t>
      </w:r>
      <w:r>
        <w:rPr>
          <w:rFonts w:hint="eastAsia" w:ascii="宋体" w:hAnsi="宋体" w:cs="宋体"/>
          <w:sz w:val="21"/>
          <w:szCs w:val="21"/>
          <w:lang w:val="en-US" w:eastAsia="zh-CN"/>
        </w:rPr>
        <w:t>mm，共计8件</w:t>
      </w:r>
      <w:r>
        <w:rPr>
          <w:rFonts w:hint="eastAsia" w:ascii="宋体" w:hAnsi="宋体" w:cs="宋体"/>
          <w:color w:val="000000"/>
          <w:kern w:val="0"/>
          <w:sz w:val="21"/>
          <w:szCs w:val="21"/>
          <w:lang w:val="en-US" w:eastAsia="zh-CN" w:bidi="ar"/>
        </w:rPr>
        <w:t>。</w:t>
      </w:r>
    </w:p>
    <w:p w14:paraId="7797649B">
      <w:pP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w:t>
      </w:r>
      <w:r>
        <w:rPr>
          <w:rFonts w:hint="eastAsia" w:ascii="宋体" w:hAnsi="宋体" w:eastAsia="宋体" w:cs="宋体"/>
          <w:i w:val="0"/>
          <w:iCs w:val="0"/>
          <w:color w:val="000000"/>
          <w:kern w:val="0"/>
          <w:sz w:val="21"/>
          <w:szCs w:val="21"/>
          <w:u w:val="none"/>
          <w:lang w:val="en-US" w:eastAsia="zh-CN" w:bidi="ar"/>
        </w:rPr>
        <w:t>混合器总成器具</w:t>
      </w:r>
      <w:r>
        <w:rPr>
          <w:rFonts w:hint="eastAsia" w:ascii="宋体" w:hAnsi="宋体" w:eastAsia="宋体" w:cs="宋体"/>
          <w:color w:val="000000"/>
          <w:kern w:val="0"/>
          <w:sz w:val="21"/>
          <w:szCs w:val="21"/>
          <w:lang w:bidi="ar"/>
        </w:rPr>
        <w:t xml:space="preserve"> </w:t>
      </w:r>
    </w:p>
    <w:p w14:paraId="761428EA">
      <w:pPr>
        <w:rPr>
          <w:rFonts w:hint="eastAsia" w:ascii="宋体" w:hAnsi="宋体" w:eastAsia="宋体" w:cs="宋体"/>
          <w:color w:val="000000"/>
          <w:kern w:val="0"/>
          <w:sz w:val="21"/>
          <w:szCs w:val="21"/>
          <w:lang w:bidi="ar"/>
        </w:rPr>
      </w:pPr>
      <w:r>
        <w:rPr>
          <w:rFonts w:hint="eastAsia" w:ascii="宋体" w:hAnsi="宋体" w:eastAsia="宋体" w:cs="宋体"/>
          <w:sz w:val="21"/>
          <w:szCs w:val="21"/>
        </w:rPr>
        <w:t xml:space="preserve"> </w:t>
      </w:r>
      <w:r>
        <w:drawing>
          <wp:inline distT="0" distB="0" distL="114300" distR="114300">
            <wp:extent cx="1266825" cy="1166495"/>
            <wp:effectExtent l="0" t="0" r="9525" b="1460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5"/>
                    <a:stretch>
                      <a:fillRect/>
                    </a:stretch>
                  </pic:blipFill>
                  <pic:spPr>
                    <a:xfrm>
                      <a:off x="0" y="0"/>
                      <a:ext cx="1266825" cy="1166495"/>
                    </a:xfrm>
                    <a:prstGeom prst="rect">
                      <a:avLst/>
                    </a:prstGeom>
                    <a:noFill/>
                    <a:ln w="9525">
                      <a:noFill/>
                    </a:ln>
                  </pic:spPr>
                </pic:pic>
              </a:graphicData>
            </a:graphic>
          </wp:inline>
        </w:drawing>
      </w:r>
    </w:p>
    <w:p w14:paraId="2B4913B9">
      <w:pPr>
        <w:rPr>
          <w:rFonts w:hint="default" w:ascii="宋体" w:hAnsi="宋体" w:cs="宋体"/>
          <w:color w:val="000000"/>
          <w:kern w:val="0"/>
          <w:sz w:val="21"/>
          <w:szCs w:val="21"/>
          <w:lang w:val="en-US" w:eastAsia="zh-CN" w:bidi="ar"/>
        </w:rPr>
      </w:pPr>
      <w:r>
        <w:rPr>
          <w:rFonts w:hint="eastAsia" w:ascii="宋体" w:hAnsi="宋体" w:eastAsia="宋体" w:cs="宋体"/>
          <w:color w:val="000000"/>
          <w:kern w:val="0"/>
          <w:sz w:val="21"/>
          <w:szCs w:val="21"/>
          <w:lang w:bidi="ar"/>
        </w:rPr>
        <w:t>要求：</w:t>
      </w:r>
      <w:r>
        <w:rPr>
          <w:rFonts w:hint="eastAsia" w:ascii="宋体" w:hAnsi="宋体" w:cs="宋体"/>
          <w:color w:val="000000"/>
          <w:kern w:val="0"/>
          <w:sz w:val="21"/>
          <w:szCs w:val="21"/>
          <w:lang w:val="en-US" w:eastAsia="zh-CN" w:bidi="ar"/>
        </w:rPr>
        <w:t>器具层板更换不锈钢板，尺寸1035*735*2mm，共计2张，尺寸1110*760*2mm，共计1张。</w:t>
      </w:r>
    </w:p>
    <w:p w14:paraId="2056B78A">
      <w:pP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r>
        <w:rPr>
          <w:rFonts w:hint="eastAsia" w:ascii="宋体" w:hAnsi="宋体" w:eastAsia="宋体" w:cs="宋体"/>
          <w:i w:val="0"/>
          <w:iCs w:val="0"/>
          <w:color w:val="000000"/>
          <w:kern w:val="0"/>
          <w:sz w:val="21"/>
          <w:szCs w:val="21"/>
          <w:u w:val="none"/>
          <w:lang w:val="en-US" w:eastAsia="zh-CN" w:bidi="ar"/>
        </w:rPr>
        <w:t>不锈钢桌面</w:t>
      </w:r>
      <w:r>
        <w:rPr>
          <w:rFonts w:hint="eastAsia" w:ascii="宋体" w:hAnsi="宋体" w:eastAsia="宋体" w:cs="宋体"/>
          <w:color w:val="000000"/>
          <w:kern w:val="0"/>
          <w:sz w:val="21"/>
          <w:szCs w:val="21"/>
          <w:lang w:bidi="ar"/>
        </w:rPr>
        <w:t xml:space="preserve"> </w:t>
      </w:r>
    </w:p>
    <w:p w14:paraId="69A2852D">
      <w:pP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eastAsia="zh-CN" w:bidi="ar"/>
        </w:rPr>
        <w:drawing>
          <wp:inline distT="0" distB="0" distL="114300" distR="114300">
            <wp:extent cx="978535" cy="1306830"/>
            <wp:effectExtent l="0" t="0" r="7620" b="12065"/>
            <wp:docPr id="14" name="图片 14" descr="8a2d74970f9fbe829b170d392e9db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a2d74970f9fbe829b170d392e9db993"/>
                    <pic:cNvPicPr>
                      <a:picLocks noChangeAspect="1"/>
                    </pic:cNvPicPr>
                  </pic:nvPicPr>
                  <pic:blipFill>
                    <a:blip r:embed="rId16"/>
                    <a:stretch>
                      <a:fillRect/>
                    </a:stretch>
                  </pic:blipFill>
                  <pic:spPr>
                    <a:xfrm rot="5400000">
                      <a:off x="0" y="0"/>
                      <a:ext cx="978535" cy="1306830"/>
                    </a:xfrm>
                    <a:prstGeom prst="rect">
                      <a:avLst/>
                    </a:prstGeom>
                  </pic:spPr>
                </pic:pic>
              </a:graphicData>
            </a:graphic>
          </wp:inline>
        </w:drawing>
      </w:r>
    </w:p>
    <w:p w14:paraId="4B90F113">
      <w:pPr>
        <w:rPr>
          <w:rFonts w:hint="default" w:ascii="宋体" w:hAnsi="宋体" w:eastAsia="宋体" w:cs="宋体"/>
          <w:b/>
          <w:bCs/>
          <w:color w:val="000000"/>
          <w:kern w:val="0"/>
          <w:sz w:val="21"/>
          <w:szCs w:val="21"/>
          <w:lang w:val="en-US" w:eastAsia="zh-CN" w:bidi="ar"/>
        </w:rPr>
      </w:pPr>
      <w:r>
        <w:rPr>
          <w:rFonts w:hint="eastAsia" w:ascii="宋体" w:hAnsi="宋体" w:eastAsia="宋体" w:cs="宋体"/>
          <w:color w:val="000000"/>
          <w:kern w:val="0"/>
          <w:sz w:val="21"/>
          <w:szCs w:val="21"/>
          <w:lang w:bidi="ar"/>
        </w:rPr>
        <w:t>要求：</w:t>
      </w:r>
      <w:r>
        <w:rPr>
          <w:rFonts w:hint="eastAsia" w:ascii="宋体" w:hAnsi="宋体" w:cs="宋体"/>
          <w:color w:val="000000"/>
          <w:kern w:val="0"/>
          <w:sz w:val="21"/>
          <w:szCs w:val="21"/>
          <w:lang w:val="en-US" w:eastAsia="zh-CN" w:bidi="ar"/>
        </w:rPr>
        <w:t>工作桌上铺设不锈钢，尺寸1200*705*2mm，共计1张。</w:t>
      </w:r>
    </w:p>
    <w:p w14:paraId="12A884C5">
      <w:pP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9.</w:t>
      </w:r>
      <w:r>
        <w:rPr>
          <w:rFonts w:hint="eastAsia" w:ascii="宋体" w:hAnsi="宋体" w:eastAsia="宋体" w:cs="宋体"/>
          <w:i w:val="0"/>
          <w:iCs w:val="0"/>
          <w:color w:val="000000"/>
          <w:kern w:val="0"/>
          <w:sz w:val="21"/>
          <w:szCs w:val="21"/>
          <w:u w:val="none"/>
          <w:lang w:val="en-US" w:eastAsia="zh-CN" w:bidi="ar"/>
        </w:rPr>
        <w:t>不锈钢桌面</w:t>
      </w:r>
    </w:p>
    <w:p w14:paraId="1F5E6BE9">
      <w:pP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eastAsia="zh-CN" w:bidi="ar"/>
        </w:rPr>
        <w:drawing>
          <wp:inline distT="0" distB="0" distL="114300" distR="114300">
            <wp:extent cx="954405" cy="1273810"/>
            <wp:effectExtent l="0" t="0" r="2540" b="17145"/>
            <wp:docPr id="15" name="图片 15" descr="8a2d74970f9fbe829b170d392e9db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a2d74970f9fbe829b170d392e9db993"/>
                    <pic:cNvPicPr>
                      <a:picLocks noChangeAspect="1"/>
                    </pic:cNvPicPr>
                  </pic:nvPicPr>
                  <pic:blipFill>
                    <a:blip r:embed="rId16"/>
                    <a:stretch>
                      <a:fillRect/>
                    </a:stretch>
                  </pic:blipFill>
                  <pic:spPr>
                    <a:xfrm rot="5400000">
                      <a:off x="0" y="0"/>
                      <a:ext cx="954405" cy="1273810"/>
                    </a:xfrm>
                    <a:prstGeom prst="rect">
                      <a:avLst/>
                    </a:prstGeom>
                  </pic:spPr>
                </pic:pic>
              </a:graphicData>
            </a:graphic>
          </wp:inline>
        </w:drawing>
      </w:r>
    </w:p>
    <w:p w14:paraId="6C8DF2A9">
      <w:pP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bidi="ar"/>
        </w:rPr>
        <w:t>要求：</w:t>
      </w:r>
      <w:r>
        <w:rPr>
          <w:rFonts w:hint="eastAsia" w:ascii="宋体" w:hAnsi="宋体" w:cs="宋体"/>
          <w:color w:val="000000"/>
          <w:kern w:val="0"/>
          <w:sz w:val="21"/>
          <w:szCs w:val="21"/>
          <w:lang w:val="en-US" w:eastAsia="zh-CN" w:bidi="ar"/>
        </w:rPr>
        <w:t>工作桌上铺设不锈钢，尺寸900*600*2mm，共计1张。</w:t>
      </w:r>
    </w:p>
    <w:p w14:paraId="1C3D6833">
      <w:pP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w:t>
      </w:r>
      <w:r>
        <w:rPr>
          <w:rFonts w:hint="eastAsia" w:ascii="宋体" w:hAnsi="宋体" w:eastAsia="宋体" w:cs="宋体"/>
          <w:i w:val="0"/>
          <w:iCs w:val="0"/>
          <w:color w:val="000000"/>
          <w:kern w:val="0"/>
          <w:sz w:val="21"/>
          <w:szCs w:val="21"/>
          <w:u w:val="none"/>
          <w:lang w:val="en-US" w:eastAsia="zh-CN" w:bidi="ar"/>
        </w:rPr>
        <w:t>不锈钢层板</w:t>
      </w:r>
    </w:p>
    <w:p w14:paraId="330C55F0">
      <w:pP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eastAsia="zh-CN" w:bidi="ar"/>
        </w:rPr>
        <w:drawing>
          <wp:inline distT="0" distB="0" distL="114300" distR="114300">
            <wp:extent cx="1177925" cy="1570990"/>
            <wp:effectExtent l="0" t="0" r="3175" b="10160"/>
            <wp:docPr id="18" name="图片 18" descr="3898d2dcd125ab80ef28ef44a09d2c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898d2dcd125ab80ef28ef44a09d2cdb"/>
                    <pic:cNvPicPr>
                      <a:picLocks noChangeAspect="1"/>
                    </pic:cNvPicPr>
                  </pic:nvPicPr>
                  <pic:blipFill>
                    <a:blip r:embed="rId17"/>
                    <a:stretch>
                      <a:fillRect/>
                    </a:stretch>
                  </pic:blipFill>
                  <pic:spPr>
                    <a:xfrm>
                      <a:off x="0" y="0"/>
                      <a:ext cx="1177925" cy="1570990"/>
                    </a:xfrm>
                    <a:prstGeom prst="rect">
                      <a:avLst/>
                    </a:prstGeom>
                  </pic:spPr>
                </pic:pic>
              </a:graphicData>
            </a:graphic>
          </wp:inline>
        </w:drawing>
      </w:r>
    </w:p>
    <w:p w14:paraId="26B89DCC">
      <w:pP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要求</w:t>
      </w: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周转箱内增加不锈钢层板进行防护，尺寸35.3*24.5*1.5mm，共计25张，不锈钢板去除一个角，便于拿取。</w:t>
      </w:r>
    </w:p>
    <w:p w14:paraId="61BB2D55">
      <w:pP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11.</w:t>
      </w:r>
      <w:r>
        <w:rPr>
          <w:rFonts w:hint="eastAsia" w:ascii="宋体" w:hAnsi="宋体" w:eastAsia="宋体" w:cs="宋体"/>
          <w:i w:val="0"/>
          <w:iCs w:val="0"/>
          <w:color w:val="000000"/>
          <w:kern w:val="0"/>
          <w:sz w:val="21"/>
          <w:szCs w:val="21"/>
          <w:u w:val="none"/>
          <w:lang w:val="en-US" w:eastAsia="zh-CN" w:bidi="ar"/>
        </w:rPr>
        <w:t>不锈钢层板</w:t>
      </w:r>
    </w:p>
    <w:p w14:paraId="75A4CD85">
      <w:pP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eastAsia="zh-CN" w:bidi="ar"/>
        </w:rPr>
        <w:drawing>
          <wp:inline distT="0" distB="0" distL="114300" distR="114300">
            <wp:extent cx="1199515" cy="1602105"/>
            <wp:effectExtent l="0" t="0" r="635" b="17145"/>
            <wp:docPr id="19" name="图片 19" descr="1557ce8b958fad30564ddc9c9db95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57ce8b958fad30564ddc9c9db9503b"/>
                    <pic:cNvPicPr>
                      <a:picLocks noChangeAspect="1"/>
                    </pic:cNvPicPr>
                  </pic:nvPicPr>
                  <pic:blipFill>
                    <a:blip r:embed="rId18"/>
                    <a:stretch>
                      <a:fillRect/>
                    </a:stretch>
                  </pic:blipFill>
                  <pic:spPr>
                    <a:xfrm>
                      <a:off x="0" y="0"/>
                      <a:ext cx="1199515" cy="1602105"/>
                    </a:xfrm>
                    <a:prstGeom prst="rect">
                      <a:avLst/>
                    </a:prstGeom>
                  </pic:spPr>
                </pic:pic>
              </a:graphicData>
            </a:graphic>
          </wp:inline>
        </w:drawing>
      </w:r>
    </w:p>
    <w:p w14:paraId="02E91F04">
      <w:pPr>
        <w:rPr>
          <w:rFonts w:hint="default" w:ascii="宋体" w:hAnsi="宋体" w:eastAsia="宋体" w:cs="宋体"/>
          <w:color w:val="000000"/>
          <w:kern w:val="0"/>
          <w:sz w:val="21"/>
          <w:szCs w:val="21"/>
          <w:lang w:val="en-US" w:bidi="ar"/>
        </w:rPr>
      </w:pPr>
      <w:r>
        <w:rPr>
          <w:rFonts w:hint="eastAsia" w:ascii="宋体" w:hAnsi="宋体" w:eastAsia="宋体" w:cs="宋体"/>
          <w:color w:val="000000"/>
          <w:kern w:val="0"/>
          <w:sz w:val="21"/>
          <w:szCs w:val="21"/>
          <w:lang w:bidi="ar"/>
        </w:rPr>
        <w:t>要求：</w:t>
      </w:r>
      <w:r>
        <w:rPr>
          <w:rFonts w:hint="eastAsia" w:ascii="宋体" w:hAnsi="宋体" w:cs="宋体"/>
          <w:color w:val="000000"/>
          <w:kern w:val="0"/>
          <w:sz w:val="21"/>
          <w:szCs w:val="21"/>
          <w:lang w:val="en-US" w:eastAsia="zh-CN" w:bidi="ar"/>
        </w:rPr>
        <w:t>周转箱内增加不锈钢层板进行防护，尺寸</w:t>
      </w:r>
      <w:r>
        <w:rPr>
          <w:rFonts w:hint="eastAsia" w:ascii="宋体" w:hAnsi="宋体" w:eastAsia="宋体" w:cs="宋体"/>
          <w:color w:val="000000"/>
          <w:kern w:val="0"/>
          <w:sz w:val="21"/>
          <w:szCs w:val="21"/>
          <w:lang w:bidi="ar"/>
        </w:rPr>
        <w:t>55.5*35.8*1.5</w:t>
      </w:r>
      <w:r>
        <w:rPr>
          <w:rFonts w:hint="eastAsia" w:ascii="宋体" w:hAnsi="宋体" w:cs="宋体"/>
          <w:color w:val="000000"/>
          <w:kern w:val="0"/>
          <w:sz w:val="21"/>
          <w:szCs w:val="21"/>
          <w:lang w:val="en-US" w:eastAsia="zh-CN" w:bidi="ar"/>
        </w:rPr>
        <w:t>mm，共计35张，不锈钢板去除一个角，便于拿取。</w:t>
      </w:r>
    </w:p>
    <w:p w14:paraId="1C7D0BE9">
      <w:pP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12.</w:t>
      </w:r>
      <w:r>
        <w:rPr>
          <w:rFonts w:hint="eastAsia" w:ascii="宋体" w:hAnsi="宋体" w:eastAsia="宋体" w:cs="宋体"/>
          <w:i w:val="0"/>
          <w:iCs w:val="0"/>
          <w:color w:val="000000"/>
          <w:kern w:val="0"/>
          <w:sz w:val="21"/>
          <w:szCs w:val="21"/>
          <w:u w:val="none"/>
          <w:lang w:val="en-US" w:eastAsia="zh-CN" w:bidi="ar"/>
        </w:rPr>
        <w:t>工作桌</w:t>
      </w:r>
    </w:p>
    <w:p w14:paraId="7DD1F34D">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149475" cy="1121410"/>
            <wp:effectExtent l="0" t="0" r="3175" b="2540"/>
            <wp:docPr id="12" name="图片 12" descr="D5F36810-65F6-4873-91A5-8F5D71BADB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5F36810-65F6-4873-91A5-8F5D71BADBE7"/>
                    <pic:cNvPicPr>
                      <a:picLocks noChangeAspect="1"/>
                    </pic:cNvPicPr>
                  </pic:nvPicPr>
                  <pic:blipFill>
                    <a:blip r:embed="rId19"/>
                    <a:stretch>
                      <a:fillRect/>
                    </a:stretch>
                  </pic:blipFill>
                  <pic:spPr>
                    <a:xfrm>
                      <a:off x="0" y="0"/>
                      <a:ext cx="2149475" cy="1121410"/>
                    </a:xfrm>
                    <a:prstGeom prst="rect">
                      <a:avLst/>
                    </a:prstGeom>
                  </pic:spPr>
                </pic:pic>
              </a:graphicData>
            </a:graphic>
          </wp:inline>
        </w:drawing>
      </w:r>
    </w:p>
    <w:p w14:paraId="161D70A5">
      <w:pPr>
        <w:keepNext w:val="0"/>
        <w:keepLines w:val="0"/>
        <w:widowControl/>
        <w:suppressLineNumbers w:val="0"/>
        <w:jc w:val="left"/>
        <w:rPr>
          <w:rFonts w:hint="default" w:ascii="宋体" w:hAnsi="宋体" w:cs="宋体"/>
          <w:sz w:val="21"/>
          <w:szCs w:val="21"/>
          <w:lang w:val="en-US" w:eastAsia="zh-CN"/>
        </w:rPr>
      </w:pPr>
      <w:r>
        <w:rPr>
          <w:rFonts w:hint="eastAsia" w:ascii="宋体" w:hAnsi="宋体" w:eastAsia="宋体" w:cs="宋体"/>
          <w:sz w:val="21"/>
          <w:szCs w:val="21"/>
        </w:rPr>
        <w:t>要求：</w:t>
      </w:r>
      <w:r>
        <w:rPr>
          <w:rFonts w:hint="eastAsia" w:ascii="宋体" w:hAnsi="宋体" w:cs="宋体"/>
          <w:sz w:val="21"/>
          <w:szCs w:val="21"/>
          <w:lang w:val="en-US" w:eastAsia="zh-CN"/>
        </w:rPr>
        <w:t>工作桌尺寸1200X900X800mm，共两层，层板使用不锈钢板，工作桌桌面按要求打四个贯穿孔。</w:t>
      </w:r>
    </w:p>
    <w:p w14:paraId="65ACC049">
      <w:pP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13.</w:t>
      </w:r>
      <w:r>
        <w:rPr>
          <w:rFonts w:hint="eastAsia" w:ascii="宋体" w:hAnsi="宋体" w:eastAsia="宋体" w:cs="宋体"/>
          <w:i w:val="0"/>
          <w:iCs w:val="0"/>
          <w:color w:val="000000"/>
          <w:kern w:val="0"/>
          <w:sz w:val="21"/>
          <w:szCs w:val="21"/>
          <w:u w:val="none"/>
          <w:lang w:val="en-US" w:eastAsia="zh-CN" w:bidi="ar"/>
        </w:rPr>
        <w:t>改制操作专用器具</w:t>
      </w:r>
    </w:p>
    <w:p w14:paraId="0C93F714">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127250" cy="1101725"/>
            <wp:effectExtent l="0" t="0" r="6350" b="3175"/>
            <wp:docPr id="4" name="图片 4" descr="174C034F-FDF0-460d-B1C0-FA7E7C01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C034F-FDF0-460d-B1C0-FA7E7C018097"/>
                    <pic:cNvPicPr>
                      <a:picLocks noChangeAspect="1"/>
                    </pic:cNvPicPr>
                  </pic:nvPicPr>
                  <pic:blipFill>
                    <a:blip r:embed="rId20"/>
                    <a:stretch>
                      <a:fillRect/>
                    </a:stretch>
                  </pic:blipFill>
                  <pic:spPr>
                    <a:xfrm>
                      <a:off x="0" y="0"/>
                      <a:ext cx="2127250" cy="1101725"/>
                    </a:xfrm>
                    <a:prstGeom prst="rect">
                      <a:avLst/>
                    </a:prstGeom>
                  </pic:spPr>
                </pic:pic>
              </a:graphicData>
            </a:graphic>
          </wp:inline>
        </w:drawing>
      </w:r>
    </w:p>
    <w:p w14:paraId="184085F9">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要求：</w:t>
      </w:r>
      <w:r>
        <w:rPr>
          <w:rFonts w:hint="eastAsia" w:ascii="宋体" w:hAnsi="宋体" w:cs="宋体"/>
          <w:color w:val="000000"/>
          <w:kern w:val="0"/>
          <w:sz w:val="21"/>
          <w:szCs w:val="21"/>
          <w:lang w:val="en-US" w:eastAsia="zh-CN" w:bidi="ar"/>
        </w:rPr>
        <w:t>器具尺寸900X600X1000mm-加扶⼿1050X600X1000mm，器具共3层，底层⾼174mm，⼆层⾼454mm，顶层⾼734mm，层板使用不锈钢板，上掀结构，侧面、背面防护为灰色中空板，器具底部位置安装脚轮安装板及脚轮。</w:t>
      </w:r>
    </w:p>
    <w:p w14:paraId="6F102BA8">
      <w:pP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14.</w:t>
      </w:r>
      <w:r>
        <w:rPr>
          <w:rFonts w:hint="eastAsia" w:ascii="宋体" w:hAnsi="宋体" w:eastAsia="宋体" w:cs="宋体"/>
          <w:i w:val="0"/>
          <w:iCs w:val="0"/>
          <w:color w:val="000000"/>
          <w:kern w:val="0"/>
          <w:sz w:val="21"/>
          <w:szCs w:val="21"/>
          <w:u w:val="none"/>
          <w:lang w:val="en-US" w:eastAsia="zh-CN" w:bidi="ar"/>
        </w:rPr>
        <w:t>风扇总成工位器具</w:t>
      </w:r>
    </w:p>
    <w:p w14:paraId="09B7AA13">
      <w:pP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eastAsia="zh-CN" w:bidi="ar"/>
        </w:rPr>
        <w:drawing>
          <wp:inline distT="0" distB="0" distL="114300" distR="114300">
            <wp:extent cx="2214880" cy="1163955"/>
            <wp:effectExtent l="0" t="0" r="13970" b="17145"/>
            <wp:docPr id="5" name="图片 5" descr="2B5BF5BA-56CD-420c-B297-3A3B96805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B5BF5BA-56CD-420c-B297-3A3B9680520B"/>
                    <pic:cNvPicPr>
                      <a:picLocks noChangeAspect="1"/>
                    </pic:cNvPicPr>
                  </pic:nvPicPr>
                  <pic:blipFill>
                    <a:blip r:embed="rId21"/>
                    <a:stretch>
                      <a:fillRect/>
                    </a:stretch>
                  </pic:blipFill>
                  <pic:spPr>
                    <a:xfrm>
                      <a:off x="0" y="0"/>
                      <a:ext cx="2214880" cy="1163955"/>
                    </a:xfrm>
                    <a:prstGeom prst="rect">
                      <a:avLst/>
                    </a:prstGeom>
                  </pic:spPr>
                </pic:pic>
              </a:graphicData>
            </a:graphic>
          </wp:inline>
        </w:drawing>
      </w:r>
    </w:p>
    <w:p w14:paraId="71610F20">
      <w:pPr>
        <w:keepNext w:val="0"/>
        <w:keepLines w:val="0"/>
        <w:widowControl/>
        <w:suppressLineNumbers w:val="0"/>
        <w:jc w:val="left"/>
        <w:rPr>
          <w:rFonts w:hint="default" w:ascii="宋体" w:hAnsi="宋体" w:eastAsia="宋体" w:cs="宋体"/>
          <w:color w:val="000000"/>
          <w:kern w:val="0"/>
          <w:sz w:val="21"/>
          <w:szCs w:val="21"/>
          <w:lang w:val="en-US" w:bidi="ar"/>
        </w:rPr>
      </w:pPr>
      <w:r>
        <w:rPr>
          <w:rFonts w:hint="eastAsia" w:ascii="宋体" w:hAnsi="宋体" w:eastAsia="宋体" w:cs="宋体"/>
          <w:color w:val="000000"/>
          <w:kern w:val="0"/>
          <w:sz w:val="21"/>
          <w:szCs w:val="21"/>
          <w:lang w:bidi="ar"/>
        </w:rPr>
        <w:t>要求：</w:t>
      </w:r>
      <w:r>
        <w:rPr>
          <w:rFonts w:hint="eastAsia" w:ascii="宋体" w:hAnsi="宋体" w:cs="宋体"/>
          <w:color w:val="000000"/>
          <w:kern w:val="0"/>
          <w:sz w:val="21"/>
          <w:szCs w:val="21"/>
          <w:lang w:val="en-US" w:eastAsia="zh-CN" w:bidi="ar"/>
        </w:rPr>
        <w:t>器具尺寸1460X900X1000mm，器具容量6件，器具整体使用碳钢，防护材料使用聚氨酯，器具取件面增加挡杆。</w:t>
      </w:r>
    </w:p>
    <w:p w14:paraId="0FA2516B">
      <w:pP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15.</w:t>
      </w:r>
      <w:r>
        <w:rPr>
          <w:rFonts w:hint="eastAsia" w:ascii="宋体" w:hAnsi="宋体" w:eastAsia="宋体" w:cs="宋体"/>
          <w:i w:val="0"/>
          <w:iCs w:val="0"/>
          <w:color w:val="000000"/>
          <w:kern w:val="0"/>
          <w:sz w:val="21"/>
          <w:szCs w:val="21"/>
          <w:u w:val="none"/>
          <w:lang w:val="en-US" w:eastAsia="zh-CN" w:bidi="ar"/>
        </w:rPr>
        <w:t>DCU周转料盒</w:t>
      </w:r>
    </w:p>
    <w:p w14:paraId="6DB692F9">
      <w:pP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eastAsia="zh-CN" w:bidi="ar"/>
        </w:rPr>
        <w:drawing>
          <wp:inline distT="0" distB="0" distL="114300" distR="114300">
            <wp:extent cx="2226310" cy="1161415"/>
            <wp:effectExtent l="0" t="0" r="2540" b="635"/>
            <wp:docPr id="6" name="图片 6" descr="A67E54E2-DFA2-4308-830A-0C31E6ABF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67E54E2-DFA2-4308-830A-0C31E6ABF255"/>
                    <pic:cNvPicPr>
                      <a:picLocks noChangeAspect="1"/>
                    </pic:cNvPicPr>
                  </pic:nvPicPr>
                  <pic:blipFill>
                    <a:blip r:embed="rId22"/>
                    <a:stretch>
                      <a:fillRect/>
                    </a:stretch>
                  </pic:blipFill>
                  <pic:spPr>
                    <a:xfrm>
                      <a:off x="0" y="0"/>
                      <a:ext cx="2226310" cy="1161415"/>
                    </a:xfrm>
                    <a:prstGeom prst="rect">
                      <a:avLst/>
                    </a:prstGeom>
                  </pic:spPr>
                </pic:pic>
              </a:graphicData>
            </a:graphic>
          </wp:inline>
        </w:drawing>
      </w:r>
    </w:p>
    <w:p w14:paraId="6F3E272F">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要求：</w:t>
      </w:r>
      <w:r>
        <w:rPr>
          <w:rFonts w:hint="eastAsia" w:ascii="宋体" w:hAnsi="宋体" w:cs="宋体"/>
          <w:color w:val="000000"/>
          <w:kern w:val="0"/>
          <w:sz w:val="21"/>
          <w:szCs w:val="21"/>
          <w:lang w:val="en-US" w:eastAsia="zh-CN" w:bidi="ar"/>
        </w:rPr>
        <w:t>料盒尺寸620*500*260mm，器具容量20件，料盒内隔断使用PE材质，料盒框架使用PP材质，料盒两侧开槽便于拿取，料盒顶部增加防尘帘。</w:t>
      </w:r>
    </w:p>
    <w:p w14:paraId="6008ED88">
      <w:pP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16.</w:t>
      </w:r>
      <w:r>
        <w:rPr>
          <w:rFonts w:hint="eastAsia" w:ascii="宋体" w:hAnsi="宋体" w:eastAsia="宋体" w:cs="宋体"/>
          <w:i w:val="0"/>
          <w:iCs w:val="0"/>
          <w:color w:val="000000"/>
          <w:kern w:val="0"/>
          <w:sz w:val="21"/>
          <w:szCs w:val="21"/>
          <w:u w:val="none"/>
          <w:lang w:val="en-US" w:eastAsia="zh-CN" w:bidi="ar"/>
        </w:rPr>
        <w:t>DCU周转小车</w:t>
      </w:r>
    </w:p>
    <w:p w14:paraId="54917CB7">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366645" cy="1203960"/>
            <wp:effectExtent l="0" t="0" r="14605" b="15240"/>
            <wp:docPr id="13" name="图片 13" descr="AD4850D0-4B80-4f60-BDEF-B7A6EEA51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D4850D0-4B80-4f60-BDEF-B7A6EEA51DB8"/>
                    <pic:cNvPicPr>
                      <a:picLocks noChangeAspect="1"/>
                    </pic:cNvPicPr>
                  </pic:nvPicPr>
                  <pic:blipFill>
                    <a:blip r:embed="rId23"/>
                    <a:stretch>
                      <a:fillRect/>
                    </a:stretch>
                  </pic:blipFill>
                  <pic:spPr>
                    <a:xfrm>
                      <a:off x="0" y="0"/>
                      <a:ext cx="2366645" cy="1203960"/>
                    </a:xfrm>
                    <a:prstGeom prst="rect">
                      <a:avLst/>
                    </a:prstGeom>
                  </pic:spPr>
                </pic:pic>
              </a:graphicData>
            </a:graphic>
          </wp:inline>
        </w:drawing>
      </w:r>
    </w:p>
    <w:p w14:paraId="754D8752">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要求：</w:t>
      </w:r>
      <w:r>
        <w:rPr>
          <w:rFonts w:hint="eastAsia" w:ascii="宋体" w:hAnsi="宋体" w:cs="宋体"/>
          <w:color w:val="000000"/>
          <w:kern w:val="0"/>
          <w:sz w:val="21"/>
          <w:szCs w:val="21"/>
          <w:lang w:val="en-US" w:eastAsia="zh-CN" w:bidi="ar"/>
        </w:rPr>
        <w:t>周转小车尺寸730X600X440mm，底层⾼180mm，⼆层⾼440mm，周转小车材质需满足防静电要求。</w:t>
      </w:r>
    </w:p>
    <w:p w14:paraId="6C7286E1">
      <w:pPr>
        <w:spacing w:line="360" w:lineRule="auto"/>
        <w:rPr>
          <w:rFonts w:hint="eastAsia" w:ascii="黑体" w:hAnsi="黑体" w:eastAsia="黑体" w:cs="黑体"/>
          <w:b/>
          <w:bCs w:val="0"/>
          <w:sz w:val="28"/>
          <w:szCs w:val="28"/>
        </w:rPr>
      </w:pPr>
      <w:r>
        <w:rPr>
          <w:rFonts w:hint="eastAsia" w:ascii="黑体" w:hAnsi="黑体" w:eastAsia="黑体" w:cs="黑体"/>
          <w:b/>
          <w:bCs w:val="0"/>
          <w:sz w:val="28"/>
          <w:szCs w:val="28"/>
        </w:rPr>
        <w:t>三、通用要求</w:t>
      </w:r>
    </w:p>
    <w:p w14:paraId="1CD3A3A8">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1.工位器具设计制作符合《零部件包装技术规范》的相关要求。</w:t>
      </w:r>
    </w:p>
    <w:p w14:paraId="37B76F60">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2.供货地点：中国重汽济南发动厂。</w:t>
      </w:r>
    </w:p>
    <w:p w14:paraId="627D3FFF">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3.交货日期：合同签订后50个日历日。</w:t>
      </w:r>
    </w:p>
    <w:p w14:paraId="7A5B0F3E">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4.</w:t>
      </w:r>
      <w:r>
        <w:rPr>
          <w:rFonts w:hint="eastAsia" w:ascii="宋体" w:hAnsi="宋体" w:cs="宋体"/>
          <w:color w:val="000000"/>
          <w:kern w:val="0"/>
          <w:sz w:val="21"/>
          <w:szCs w:val="21"/>
          <w:lang w:val="en-US" w:eastAsia="zh-CN" w:bidi="ar"/>
        </w:rPr>
        <w:t>招标方提供器具方案图纸，如有需要</w:t>
      </w:r>
      <w:r>
        <w:rPr>
          <w:rFonts w:hint="eastAsia" w:ascii="宋体" w:hAnsi="宋体" w:cs="宋体"/>
          <w:color w:val="000000"/>
          <w:kern w:val="0"/>
          <w:sz w:val="21"/>
          <w:szCs w:val="21"/>
          <w:lang w:bidi="ar"/>
        </w:rPr>
        <w:t>投标人</w:t>
      </w:r>
      <w:r>
        <w:rPr>
          <w:rFonts w:hint="eastAsia" w:ascii="宋体" w:hAnsi="宋体" w:cs="宋体"/>
          <w:color w:val="000000"/>
          <w:kern w:val="0"/>
          <w:sz w:val="21"/>
          <w:szCs w:val="21"/>
          <w:lang w:val="en-US" w:eastAsia="zh-CN" w:bidi="ar"/>
        </w:rPr>
        <w:t>可</w:t>
      </w:r>
      <w:r>
        <w:rPr>
          <w:rFonts w:hint="eastAsia" w:ascii="宋体" w:hAnsi="宋体" w:cs="宋体"/>
          <w:color w:val="000000"/>
          <w:kern w:val="0"/>
          <w:sz w:val="21"/>
          <w:szCs w:val="21"/>
          <w:lang w:bidi="ar"/>
        </w:rPr>
        <w:t>到中国重汽济南发动机厂进行产品样件测量。</w:t>
      </w:r>
    </w:p>
    <w:p w14:paraId="68B16573">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5</w:t>
      </w:r>
      <w:r>
        <w:rPr>
          <w:rFonts w:hint="eastAsia" w:ascii="宋体" w:hAnsi="宋体" w:cs="宋体"/>
          <w:color w:val="000000"/>
          <w:kern w:val="0"/>
          <w:sz w:val="21"/>
          <w:szCs w:val="21"/>
          <w:lang w:bidi="ar"/>
        </w:rPr>
        <w:t>.合同签订后投标人需3日内完成详细进度计划，并提交至招标人进行审核；</w:t>
      </w:r>
    </w:p>
    <w:p w14:paraId="236B5081">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6</w:t>
      </w:r>
      <w:r>
        <w:rPr>
          <w:rFonts w:hint="eastAsia" w:ascii="宋体" w:hAnsi="宋体" w:cs="宋体"/>
          <w:color w:val="000000"/>
          <w:kern w:val="0"/>
          <w:sz w:val="21"/>
          <w:szCs w:val="21"/>
          <w:lang w:bidi="ar"/>
        </w:rPr>
        <w:t>.投标人每周一提交上周工作进度报告，详细说明该周工作完成的情况并附上相应的器具维修进展图片。</w:t>
      </w:r>
    </w:p>
    <w:p w14:paraId="616798C5">
      <w:pPr>
        <w:ind w:firstLine="420" w:firstLineChars="200"/>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7</w:t>
      </w:r>
      <w:r>
        <w:rPr>
          <w:rFonts w:hint="eastAsia" w:ascii="宋体" w:hAnsi="宋体" w:cs="宋体"/>
          <w:color w:val="000000"/>
          <w:kern w:val="0"/>
          <w:sz w:val="21"/>
          <w:szCs w:val="21"/>
          <w:lang w:bidi="ar"/>
        </w:rPr>
        <w:t>.推进计划要受控，招标人有权根据项目推进进度确定、修改先期采购品种、数量、交货地点。</w:t>
      </w:r>
    </w:p>
    <w:p w14:paraId="15344EED">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8</w:t>
      </w:r>
      <w:r>
        <w:rPr>
          <w:rFonts w:hint="eastAsia" w:ascii="宋体" w:hAnsi="宋体" w:cs="宋体"/>
          <w:color w:val="000000"/>
          <w:kern w:val="0"/>
          <w:sz w:val="21"/>
          <w:szCs w:val="21"/>
          <w:lang w:bidi="ar"/>
        </w:rPr>
        <w:t>.新增工位器具外观颜色按照</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val="en-US" w:eastAsia="zh-CN" w:bidi="ar"/>
        </w:rPr>
        <w:t>零部件包装技术规范</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bidi="ar"/>
        </w:rPr>
        <w:t>执行，</w:t>
      </w:r>
      <w:r>
        <w:rPr>
          <w:rFonts w:hint="eastAsia" w:ascii="宋体" w:hAnsi="宋体" w:cs="宋体"/>
          <w:color w:val="000000"/>
          <w:kern w:val="0"/>
          <w:sz w:val="21"/>
          <w:szCs w:val="21"/>
          <w:lang w:val="en-US" w:eastAsia="zh-CN" w:bidi="ar"/>
        </w:rPr>
        <w:t>本体</w:t>
      </w:r>
      <w:r>
        <w:rPr>
          <w:rFonts w:hint="eastAsia" w:ascii="宋体" w:hAnsi="宋体" w:cs="宋体"/>
          <w:color w:val="000000"/>
          <w:kern w:val="0"/>
          <w:sz w:val="21"/>
          <w:szCs w:val="21"/>
          <w:lang w:bidi="ar"/>
        </w:rPr>
        <w:t>为浅灰色RAL 7035；PU聚氨酯块颜色为黄色RAL 1018。</w:t>
      </w:r>
    </w:p>
    <w:p w14:paraId="34082B30">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9</w:t>
      </w:r>
      <w:r>
        <w:rPr>
          <w:rFonts w:hint="eastAsia" w:ascii="宋体" w:hAnsi="宋体" w:cs="宋体"/>
          <w:color w:val="000000"/>
          <w:kern w:val="0"/>
          <w:sz w:val="21"/>
          <w:szCs w:val="21"/>
          <w:lang w:bidi="ar"/>
        </w:rPr>
        <w:t>.所有工位器具的上掀层在掀开与合上过程中碰撞位置要增加防护；上掀层安装双侧气弹簧，气弹簧带自锁功能，开启力量适中，一侧失效，另一侧可以支撑。</w:t>
      </w:r>
    </w:p>
    <w:p w14:paraId="69479D4B">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10</w:t>
      </w:r>
      <w:r>
        <w:rPr>
          <w:rFonts w:hint="eastAsia" w:ascii="宋体" w:hAnsi="宋体" w:cs="宋体"/>
          <w:color w:val="000000"/>
          <w:kern w:val="0"/>
          <w:sz w:val="21"/>
          <w:szCs w:val="21"/>
          <w:lang w:bidi="ar"/>
        </w:rPr>
        <w:t>.器具主体采用40*40*t3方管和40*20*t3矩形管，翻转层采用30*20*t2矩形管和25*25*t2方管。所有工位器具制作完成后，必须满足招标方实际使用要求，在运输过程中不得造成产品件掉落、磕碰。</w:t>
      </w:r>
    </w:p>
    <w:p w14:paraId="52CA6B67">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11</w:t>
      </w:r>
      <w:r>
        <w:rPr>
          <w:rFonts w:hint="eastAsia" w:ascii="宋体" w:hAnsi="宋体" w:cs="宋体"/>
          <w:color w:val="000000"/>
          <w:kern w:val="0"/>
          <w:sz w:val="21"/>
          <w:szCs w:val="21"/>
          <w:lang w:bidi="ar"/>
        </w:rPr>
        <w:t>.工位器具底座四角安装防撞块，聚氨酯块厚度10mm，颜色为黄色RAL1018，安装后与工位器具底梁上平面平齐。</w:t>
      </w:r>
    </w:p>
    <w:p w14:paraId="14730E85">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12</w:t>
      </w:r>
      <w:r>
        <w:rPr>
          <w:rFonts w:hint="eastAsia" w:ascii="宋体" w:hAnsi="宋体" w:cs="宋体"/>
          <w:color w:val="000000"/>
          <w:kern w:val="0"/>
          <w:sz w:val="21"/>
          <w:szCs w:val="21"/>
          <w:lang w:bidi="ar"/>
        </w:rPr>
        <w:t>.器具标识按照指定要求喷涂，专用工位器具名称及编码分别喷涂在工位器具背面最下侧横梁左侧和右侧对齐，字体黑体，字号125，字高约30mm，字体为蓝色RAL5010。</w:t>
      </w:r>
    </w:p>
    <w:p w14:paraId="6EDD33AC">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13.所有工位器具新增不锈钢板为304拉丝不锈钢</w:t>
      </w:r>
    </w:p>
    <w:p w14:paraId="5182BA7A">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w:t>
      </w:r>
      <w:r>
        <w:rPr>
          <w:rFonts w:hint="eastAsia" w:ascii="宋体" w:hAnsi="宋体" w:cs="宋体"/>
          <w:color w:val="000000"/>
          <w:kern w:val="0"/>
          <w:sz w:val="21"/>
          <w:szCs w:val="21"/>
          <w:lang w:val="en-US" w:eastAsia="zh-CN" w:bidi="ar"/>
        </w:rPr>
        <w:t>4</w:t>
      </w:r>
      <w:r>
        <w:rPr>
          <w:rFonts w:hint="eastAsia" w:ascii="宋体" w:hAnsi="宋体" w:cs="宋体"/>
          <w:color w:val="000000"/>
          <w:kern w:val="0"/>
          <w:sz w:val="21"/>
          <w:szCs w:val="21"/>
          <w:lang w:bidi="ar"/>
        </w:rPr>
        <w:t>.所有工位器具的防护要达到高密封等级测试，不得存在缝隙，检查方式由招标方提供。</w:t>
      </w:r>
    </w:p>
    <w:p w14:paraId="4D175E47">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w:t>
      </w:r>
      <w:r>
        <w:rPr>
          <w:rFonts w:hint="eastAsia" w:ascii="宋体" w:hAnsi="宋体" w:cs="宋体"/>
          <w:color w:val="000000"/>
          <w:kern w:val="0"/>
          <w:sz w:val="21"/>
          <w:szCs w:val="21"/>
          <w:lang w:val="en-US" w:eastAsia="zh-CN" w:bidi="ar"/>
        </w:rPr>
        <w:t>5</w:t>
      </w:r>
      <w:r>
        <w:rPr>
          <w:rFonts w:hint="eastAsia" w:ascii="宋体" w:hAnsi="宋体" w:cs="宋体"/>
          <w:color w:val="000000"/>
          <w:kern w:val="0"/>
          <w:sz w:val="21"/>
          <w:szCs w:val="21"/>
          <w:lang w:bidi="ar"/>
        </w:rPr>
        <w:t>.所有工位器具的焊接要求、尺寸精度等要求按照中国重汽集团《零部件包装技术规范》执行。</w:t>
      </w:r>
    </w:p>
    <w:p w14:paraId="5AF9D50C">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w:t>
      </w:r>
      <w:r>
        <w:rPr>
          <w:rFonts w:hint="eastAsia" w:ascii="宋体" w:hAnsi="宋体" w:cs="宋体"/>
          <w:color w:val="000000"/>
          <w:kern w:val="0"/>
          <w:sz w:val="21"/>
          <w:szCs w:val="21"/>
          <w:lang w:val="en-US" w:eastAsia="zh-CN" w:bidi="ar"/>
        </w:rPr>
        <w:t>6</w:t>
      </w:r>
      <w:r>
        <w:rPr>
          <w:rFonts w:hint="eastAsia" w:ascii="宋体" w:hAnsi="宋体" w:cs="宋体"/>
          <w:color w:val="000000"/>
          <w:kern w:val="0"/>
          <w:sz w:val="21"/>
          <w:szCs w:val="21"/>
          <w:lang w:bidi="ar"/>
        </w:rPr>
        <w:t xml:space="preserve">.所有工位器具的尺寸严格按照上述技术要求中规格尺寸制作。 </w:t>
      </w:r>
    </w:p>
    <w:p w14:paraId="6CF062BC">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w:t>
      </w:r>
      <w:r>
        <w:rPr>
          <w:rFonts w:hint="eastAsia" w:ascii="宋体" w:hAnsi="宋体" w:cs="宋体"/>
          <w:color w:val="000000"/>
          <w:kern w:val="0"/>
          <w:sz w:val="21"/>
          <w:szCs w:val="21"/>
          <w:lang w:val="en-US" w:eastAsia="zh-CN" w:bidi="ar"/>
        </w:rPr>
        <w:t>7.</w:t>
      </w:r>
      <w:r>
        <w:rPr>
          <w:rFonts w:hint="eastAsia" w:ascii="宋体" w:hAnsi="宋体" w:cs="宋体"/>
          <w:color w:val="000000"/>
          <w:kern w:val="0"/>
          <w:sz w:val="21"/>
          <w:szCs w:val="21"/>
          <w:lang w:bidi="ar"/>
        </w:rPr>
        <w:t>上述招标内容，招标方有权更改招标货物数量、方案、种类等内容，报价单中需含单项报价。</w:t>
      </w:r>
    </w:p>
    <w:p w14:paraId="70DD962C">
      <w:pPr>
        <w:ind w:firstLine="420" w:firstLineChars="200"/>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 xml:space="preserve">18.投标方需提供工位器具三维数模，三维数模应与批量制作器具一致，三维图编辑版本应支持catia、creo、SolidWorks、UG等主流三维软件进行再编辑，或通用格式如STP 等。 </w:t>
      </w:r>
    </w:p>
    <w:p w14:paraId="22421C76">
      <w:pPr>
        <w:rPr>
          <w:rFonts w:hint="eastAsia" w:ascii="黑体" w:hAnsi="黑体" w:eastAsia="黑体" w:cs="黑体"/>
          <w:b/>
          <w:bCs w:val="0"/>
          <w:sz w:val="28"/>
          <w:szCs w:val="28"/>
        </w:rPr>
      </w:pPr>
      <w:r>
        <w:rPr>
          <w:rFonts w:hint="eastAsia" w:ascii="黑体" w:hAnsi="黑体" w:eastAsia="黑体" w:cs="黑体"/>
          <w:b/>
          <w:bCs w:val="0"/>
          <w:sz w:val="28"/>
          <w:szCs w:val="28"/>
        </w:rPr>
        <w:t>四、服务范围及要求</w:t>
      </w:r>
    </w:p>
    <w:p w14:paraId="01B873D6">
      <w:pPr>
        <w:ind w:firstLine="420" w:firstLineChars="200"/>
        <w:rPr>
          <w:rFonts w:ascii="宋体" w:hAnsi="宋体" w:cs="宋体"/>
          <w:color w:val="000000"/>
          <w:kern w:val="0"/>
          <w:sz w:val="21"/>
          <w:szCs w:val="21"/>
          <w:lang w:bidi="ar"/>
        </w:rPr>
      </w:pPr>
      <w:bookmarkStart w:id="11" w:name="_Toc519526979"/>
      <w:r>
        <w:rPr>
          <w:rFonts w:hint="eastAsia" w:ascii="宋体" w:hAnsi="宋体" w:cs="宋体"/>
          <w:color w:val="000000"/>
          <w:kern w:val="0"/>
          <w:sz w:val="21"/>
          <w:szCs w:val="21"/>
          <w:lang w:bidi="ar"/>
        </w:rPr>
        <w:t>1.方案规划、器具设计</w:t>
      </w:r>
      <w:bookmarkEnd w:id="11"/>
    </w:p>
    <w:p w14:paraId="6BEC42D2">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招标人向投标人提供相关的产品参数、产品样件等，以方便投标人进行本项目方案设计。投标人对招标人提供的所有产品样件和图纸资料保密，不得以任何方式提供给第三方，如有相关资料外泄，必定追究投标人法律责任。</w:t>
      </w:r>
    </w:p>
    <w:p w14:paraId="4E037A12">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器具加工前设计变更不收费，器具在制作样件过程中招标人提出要求的器具改动时，不涉及到外框尺寸、结构形式的改动不收费，整体框架及大的结构调整变化超过1次时，该样件按照1台收取费用，投标人须重新制作样件。</w:t>
      </w:r>
    </w:p>
    <w:p w14:paraId="562C28CE">
      <w:pPr>
        <w:rPr>
          <w:rFonts w:ascii="宋体" w:hAnsi="宋体" w:cs="宋体"/>
          <w:color w:val="000000"/>
          <w:kern w:val="0"/>
          <w:sz w:val="21"/>
          <w:szCs w:val="21"/>
          <w:lang w:bidi="ar"/>
        </w:rPr>
      </w:pPr>
      <w:r>
        <w:rPr>
          <w:rFonts w:hint="eastAsia" w:ascii="宋体" w:hAnsi="宋体" w:cs="宋体"/>
          <w:color w:val="000000"/>
          <w:kern w:val="0"/>
          <w:sz w:val="21"/>
          <w:szCs w:val="21"/>
          <w:lang w:bidi="ar"/>
        </w:rPr>
        <w:t>（3）投标人有责任在项目实施过程中对其正确性、适合性提出修改和完善的意见和建议，但所有修改和完善必须得到招标人的同意。任何技术偏离，均需书面通知招标人，经过招标人同意后方可实施。</w:t>
      </w:r>
    </w:p>
    <w:p w14:paraId="576A87FC">
      <w:pPr>
        <w:ind w:firstLine="420" w:firstLineChars="200"/>
        <w:rPr>
          <w:rFonts w:ascii="宋体" w:hAnsi="宋体" w:cs="宋体"/>
          <w:color w:val="000000"/>
          <w:kern w:val="0"/>
          <w:sz w:val="21"/>
          <w:szCs w:val="21"/>
          <w:lang w:bidi="ar"/>
        </w:rPr>
      </w:pPr>
      <w:bookmarkStart w:id="12" w:name="_Toc519526980"/>
      <w:r>
        <w:rPr>
          <w:rFonts w:hint="eastAsia" w:ascii="宋体" w:hAnsi="宋体" w:cs="宋体"/>
          <w:color w:val="000000"/>
          <w:kern w:val="0"/>
          <w:sz w:val="21"/>
          <w:szCs w:val="21"/>
          <w:lang w:bidi="ar"/>
        </w:rPr>
        <w:t>2.器具制作</w:t>
      </w:r>
      <w:bookmarkEnd w:id="12"/>
    </w:p>
    <w:p w14:paraId="66E4D037">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工位器具方案评审完成后，投标人可进行器具样件制作，每一种器具样件投标人必须及时交付至招标人进行评审确认，评审内容包括：器具的质量、规格、性能、外观是否满足技术协议、合同规定的要求。评审会签确认合格后，投标人可进行批量制作。</w:t>
      </w:r>
    </w:p>
    <w:p w14:paraId="289BE208">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（2）投标人在设计、制作过程中发现与招标人要求不符或确实达不到要求的及其它存在的技术问题，应及时以书面形式通知招标人。</w:t>
      </w:r>
    </w:p>
    <w:p w14:paraId="69B6AA8D">
      <w:pPr>
        <w:ind w:firstLine="420" w:firstLineChars="200"/>
        <w:rPr>
          <w:rFonts w:ascii="宋体" w:hAnsi="宋体" w:cs="宋体"/>
          <w:color w:val="000000"/>
          <w:kern w:val="0"/>
          <w:sz w:val="21"/>
          <w:szCs w:val="21"/>
          <w:lang w:bidi="ar"/>
        </w:rPr>
      </w:pPr>
      <w:bookmarkStart w:id="13" w:name="_Toc519526981"/>
      <w:r>
        <w:rPr>
          <w:rFonts w:hint="eastAsia" w:ascii="宋体" w:hAnsi="宋体" w:cs="宋体"/>
          <w:color w:val="000000"/>
          <w:kern w:val="0"/>
          <w:sz w:val="21"/>
          <w:szCs w:val="21"/>
          <w:lang w:bidi="ar"/>
        </w:rPr>
        <w:t>3.器具运输</w:t>
      </w:r>
      <w:bookmarkEnd w:id="13"/>
    </w:p>
    <w:p w14:paraId="0CC44C1B">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（1）清单：投标人需提供发货总清单方便招标人核对，提供分箱发货清单方便核对；提供到货验收单以便记录货物状态。</w:t>
      </w:r>
    </w:p>
    <w:p w14:paraId="54C089F3">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（2）投标人应考虑所运输器具、工装稳固牢靠，长途运输，防潮、防雨、防锈、防震、防粗暴装卸，能整体吊装和叉运，确保安全及完整；包装箱体积要符合道路运输要求。</w:t>
      </w:r>
    </w:p>
    <w:p w14:paraId="4DB69363">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（3）投标人负责将产品安全运至合同中指定的交货地点并负责与装卸搬运相关的一切事项。投标人应选择符合合同目的的运输方式，并提前两个工作日告知招标人预计到达时间。</w:t>
      </w:r>
    </w:p>
    <w:p w14:paraId="17DAF3FF">
      <w:pPr>
        <w:ind w:firstLine="420" w:firstLineChars="200"/>
        <w:rPr>
          <w:rFonts w:ascii="宋体" w:hAnsi="宋体" w:cs="宋体"/>
          <w:color w:val="000000"/>
          <w:kern w:val="0"/>
          <w:sz w:val="21"/>
          <w:szCs w:val="21"/>
          <w:lang w:bidi="ar"/>
        </w:rPr>
      </w:pPr>
      <w:bookmarkStart w:id="14" w:name="_Toc519526982"/>
      <w:r>
        <w:rPr>
          <w:rFonts w:hint="eastAsia" w:ascii="宋体" w:hAnsi="宋体" w:cs="宋体"/>
          <w:color w:val="000000"/>
          <w:kern w:val="0"/>
          <w:sz w:val="21"/>
          <w:szCs w:val="21"/>
          <w:lang w:bidi="ar"/>
        </w:rPr>
        <w:t>4.器具交货</w:t>
      </w:r>
      <w:bookmarkEnd w:id="14"/>
    </w:p>
    <w:p w14:paraId="1A6B8202">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（1）招标人、投标人双方代表共同目检器具外观、清点器具数量是否与发货单一致，填入《到货验收单》。</w:t>
      </w:r>
    </w:p>
    <w:p w14:paraId="744F36F8">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（2）器具质量和数量的检查按发运清单核对并记入《到货验收单》。</w:t>
      </w:r>
    </w:p>
    <w:p w14:paraId="375C6D10">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（3）专用工位器具需提供作业指导文件。</w:t>
      </w:r>
    </w:p>
    <w:p w14:paraId="6384AF14">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5.器具评审验收</w:t>
      </w:r>
    </w:p>
    <w:p w14:paraId="3CBD787C">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（1）投标人以书面信函通知招标人，验收前三天书面提交工位器具的最终版清单。经招标人确认达到预验收条件后即通知投标人组织人员验收，招标人派相应人员参加。</w:t>
      </w:r>
    </w:p>
    <w:p w14:paraId="635EC727">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（2）验收地点：中国重汽集团济南发动机厂指定地点。</w:t>
      </w:r>
    </w:p>
    <w:p w14:paraId="34A03A9D">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3）验收内容：验收以技术协议及合同（含变更）、图纸方案、投标文件（含询标答疑）、会签纪要等文件为依据进行。主要验收内容：工位器具种类、结构、数量、主要零部件、重量、质量、焊接、装配、喷涂等。</w:t>
      </w:r>
    </w:p>
    <w:p w14:paraId="1CE47CF6">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（4）投标人提供相应的验收用的检测工量具和仪器，器具预验收后，由双方授权代表签署预验收报告书。</w:t>
      </w:r>
    </w:p>
    <w:p w14:paraId="222D6CA3">
      <w:pPr>
        <w:ind w:firstLine="420" w:firstLineChars="200"/>
        <w:rPr>
          <w:rFonts w:ascii="宋体" w:hAnsi="宋体" w:cs="宋体"/>
          <w:color w:val="000000"/>
          <w:kern w:val="0"/>
          <w:sz w:val="21"/>
          <w:szCs w:val="21"/>
          <w:lang w:bidi="ar"/>
        </w:rPr>
      </w:pPr>
      <w:bookmarkStart w:id="15" w:name="_Toc26857"/>
      <w:bookmarkStart w:id="16" w:name="_Toc519526988"/>
      <w:bookmarkStart w:id="17" w:name="_Toc12351"/>
      <w:bookmarkStart w:id="18" w:name="_Toc339268557"/>
      <w:r>
        <w:rPr>
          <w:rFonts w:hint="eastAsia" w:ascii="宋体" w:hAnsi="宋体" w:cs="宋体"/>
          <w:color w:val="000000"/>
          <w:kern w:val="0"/>
          <w:sz w:val="21"/>
          <w:szCs w:val="21"/>
          <w:lang w:val="en-US" w:eastAsia="zh-CN" w:bidi="ar"/>
        </w:rPr>
        <w:t>6</w:t>
      </w:r>
      <w:r>
        <w:rPr>
          <w:rFonts w:hint="eastAsia" w:ascii="宋体" w:hAnsi="宋体" w:cs="宋体"/>
          <w:color w:val="000000"/>
          <w:kern w:val="0"/>
          <w:sz w:val="21"/>
          <w:szCs w:val="21"/>
          <w:lang w:bidi="ar"/>
        </w:rPr>
        <w:t>.质保及售后服务</w:t>
      </w:r>
      <w:bookmarkEnd w:id="15"/>
      <w:bookmarkEnd w:id="16"/>
    </w:p>
    <w:p w14:paraId="594EB130">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（1）投标人在招标人现场调试、试生产阶段，须协助招标人技术及物流人员进行器具的使用指导及问题解决。</w:t>
      </w:r>
    </w:p>
    <w:p w14:paraId="37B36A50">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（2）工位器具质保期为1年。</w:t>
      </w:r>
    </w:p>
    <w:p w14:paraId="54D20460">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（3）投标人按照合同约定对质保期内的易损件、质保许诺进行无偿维修</w:t>
      </w:r>
      <w:bookmarkEnd w:id="17"/>
      <w:bookmarkEnd w:id="18"/>
      <w:r>
        <w:rPr>
          <w:rFonts w:hint="eastAsia" w:ascii="宋体" w:hAnsi="宋体" w:cs="宋体"/>
          <w:color w:val="000000"/>
          <w:kern w:val="0"/>
          <w:sz w:val="21"/>
          <w:szCs w:val="21"/>
          <w:lang w:bidi="ar"/>
        </w:rPr>
        <w:t>、维护、更换，不能影响招标人使用；投标人在质保期内至少做一次维护处理达到目视化要求，器具质保期内出现质量问题（非人为损坏）必须全部换新。</w:t>
      </w:r>
    </w:p>
    <w:p w14:paraId="5EAE7686">
      <w:pPr>
        <w:ind w:firstLine="420" w:firstLineChars="200"/>
        <w:rPr>
          <w:rFonts w:ascii="宋体" w:hAnsi="宋体" w:cs="宋体"/>
          <w:color w:val="000000"/>
          <w:kern w:val="0"/>
          <w:sz w:val="28"/>
          <w:szCs w:val="28"/>
          <w:lang w:bidi="ar"/>
        </w:rPr>
      </w:pPr>
      <w:r>
        <w:rPr>
          <w:rFonts w:hint="eastAsia" w:ascii="宋体" w:hAnsi="宋体" w:cs="宋体"/>
          <w:color w:val="000000"/>
          <w:kern w:val="0"/>
          <w:sz w:val="21"/>
          <w:szCs w:val="21"/>
          <w:lang w:bidi="ar"/>
        </w:rPr>
        <w:t>（4）质保期外，投标人有义务解答招标人所提出的技术问题并提供技术支持，可提供优质的售后服务及优惠的备件服务。</w:t>
      </w:r>
    </w:p>
    <w:p w14:paraId="419BCBEA">
      <w:pPr>
        <w:rPr>
          <w:rFonts w:ascii="宋体" w:hAnsi="宋体" w:cs="宋体"/>
          <w:b/>
          <w:bCs/>
          <w:color w:val="000000"/>
          <w:kern w:val="0"/>
          <w:sz w:val="28"/>
          <w:szCs w:val="28"/>
          <w:lang w:bidi="ar"/>
        </w:rPr>
      </w:pPr>
      <w:r>
        <w:rPr>
          <w:rFonts w:hint="eastAsia" w:ascii="黑体" w:hAnsi="黑体" w:eastAsia="黑体" w:cs="黑体"/>
          <w:b/>
          <w:bCs/>
          <w:color w:val="000000"/>
          <w:kern w:val="0"/>
          <w:sz w:val="28"/>
          <w:szCs w:val="28"/>
          <w:lang w:bidi="ar"/>
        </w:rPr>
        <w:t>五、评标说明</w:t>
      </w:r>
    </w:p>
    <w:p w14:paraId="432B99BF">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本次招标不承诺低价者中标，需根据评标小组综合考虑投标方案、产品质量、到货期、售后服务、送货及时性和厂家类似产品送货能力等进行评标。</w:t>
      </w:r>
    </w:p>
    <w:p w14:paraId="465D8982">
      <w:pPr>
        <w:rPr>
          <w:rFonts w:hint="eastAsia" w:ascii="黑体" w:hAnsi="黑体" w:eastAsia="黑体" w:cs="黑体"/>
          <w:b/>
          <w:bCs/>
          <w:color w:val="000000"/>
          <w:kern w:val="0"/>
          <w:sz w:val="28"/>
          <w:szCs w:val="28"/>
          <w:lang w:bidi="ar"/>
        </w:rPr>
      </w:pPr>
      <w:bookmarkStart w:id="19" w:name="_Toc28422"/>
      <w:bookmarkStart w:id="20" w:name="_Toc16840903"/>
      <w:r>
        <w:rPr>
          <w:rFonts w:hint="eastAsia" w:ascii="黑体" w:hAnsi="黑体" w:eastAsia="黑体" w:cs="黑体"/>
          <w:b/>
          <w:bCs/>
          <w:color w:val="000000"/>
          <w:kern w:val="0"/>
          <w:sz w:val="28"/>
          <w:szCs w:val="28"/>
          <w:lang w:bidi="ar"/>
        </w:rPr>
        <w:t>六</w:t>
      </w:r>
      <w:r>
        <w:rPr>
          <w:rFonts w:hint="eastAsia" w:ascii="黑体" w:hAnsi="黑体" w:eastAsia="黑体" w:cs="黑体"/>
          <w:b/>
          <w:bCs/>
          <w:color w:val="000000"/>
          <w:kern w:val="0"/>
          <w:sz w:val="28"/>
          <w:szCs w:val="28"/>
          <w:lang w:eastAsia="zh-CN" w:bidi="ar"/>
        </w:rPr>
        <w:t>、</w:t>
      </w:r>
      <w:r>
        <w:rPr>
          <w:rFonts w:hint="eastAsia" w:ascii="黑体" w:hAnsi="黑体" w:eastAsia="黑体" w:cs="黑体"/>
          <w:b/>
          <w:bCs/>
          <w:color w:val="000000"/>
          <w:kern w:val="0"/>
          <w:sz w:val="28"/>
          <w:szCs w:val="28"/>
          <w:lang w:bidi="ar"/>
        </w:rPr>
        <w:t>质保期</w:t>
      </w:r>
      <w:bookmarkEnd w:id="19"/>
      <w:bookmarkStart w:id="21" w:name="_Toc264716753"/>
      <w:r>
        <w:rPr>
          <w:rFonts w:hint="eastAsia" w:ascii="黑体" w:hAnsi="黑体" w:eastAsia="黑体" w:cs="黑体"/>
          <w:b/>
          <w:bCs/>
          <w:color w:val="000000"/>
          <w:kern w:val="0"/>
          <w:sz w:val="28"/>
          <w:szCs w:val="28"/>
          <w:lang w:bidi="ar"/>
        </w:rPr>
        <w:t>及售后服务</w:t>
      </w:r>
      <w:bookmarkEnd w:id="20"/>
      <w:bookmarkEnd w:id="21"/>
    </w:p>
    <w:p w14:paraId="5F7028E9">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终验收合格后，质保期一年。在正常使用的情况下，器具出现故障，在接到通知后4小时以内予以答复，并在24小时以内派出服务人员，无偿维修；在质保期满后，投标方在接到通知后4小时以内予以答复，并在24小时以内派出服务人员。</w:t>
      </w:r>
    </w:p>
    <w:p w14:paraId="025D037D">
      <w:pPr>
        <w:rPr>
          <w:rFonts w:hint="eastAsia" w:ascii="宋体" w:hAnsi="宋体" w:cs="宋体"/>
          <w:color w:val="000000"/>
          <w:kern w:val="0"/>
          <w:sz w:val="21"/>
          <w:szCs w:val="21"/>
          <w:lang w:eastAsia="zh-CN" w:bidi="ar"/>
        </w:rPr>
      </w:pPr>
      <w:r>
        <w:rPr>
          <w:rFonts w:hint="eastAsia" w:ascii="宋体" w:hAnsi="宋体" w:cs="宋体"/>
          <w:color w:val="000000"/>
          <w:kern w:val="0"/>
          <w:sz w:val="21"/>
          <w:szCs w:val="21"/>
          <w:lang w:bidi="ar"/>
        </w:rPr>
        <w:t>标书答疑：</w:t>
      </w:r>
      <w:r>
        <w:rPr>
          <w:rFonts w:hint="eastAsia" w:ascii="宋体" w:hAnsi="宋体" w:cs="宋体"/>
          <w:color w:val="000000"/>
          <w:kern w:val="0"/>
          <w:sz w:val="21"/>
          <w:szCs w:val="21"/>
          <w:lang w:val="en-US" w:eastAsia="zh-CN" w:bidi="ar"/>
        </w:rPr>
        <w:t>崔士虎</w:t>
      </w:r>
      <w:r>
        <w:rPr>
          <w:rFonts w:hint="eastAsia" w:ascii="宋体" w:hAnsi="宋体" w:cs="宋体"/>
          <w:color w:val="000000"/>
          <w:kern w:val="0"/>
          <w:sz w:val="21"/>
          <w:szCs w:val="21"/>
          <w:lang w:bidi="ar"/>
        </w:rPr>
        <w:t xml:space="preserve">           联系电话：</w:t>
      </w:r>
      <w:r>
        <w:rPr>
          <w:rFonts w:hint="eastAsia" w:ascii="宋体" w:hAnsi="宋体" w:cs="宋体"/>
          <w:color w:val="000000"/>
          <w:kern w:val="0"/>
          <w:sz w:val="21"/>
          <w:szCs w:val="21"/>
          <w:lang w:eastAsia="zh-CN" w:bidi="ar"/>
        </w:rPr>
        <w:t>15105314615</w:t>
      </w:r>
    </w:p>
    <w:p w14:paraId="76CE5029">
      <w:pPr>
        <w:rPr>
          <w:rFonts w:hint="eastAsia" w:ascii="宋体" w:hAnsi="宋体" w:cs="宋体"/>
          <w:color w:val="000000"/>
          <w:kern w:val="0"/>
          <w:sz w:val="21"/>
          <w:szCs w:val="21"/>
          <w:lang w:eastAsia="zh-CN" w:bidi="ar"/>
        </w:rPr>
      </w:pPr>
      <w:r>
        <w:rPr>
          <w:rFonts w:hint="eastAsia" w:ascii="宋体" w:hAnsi="宋体" w:cs="宋体"/>
          <w:color w:val="000000"/>
          <w:kern w:val="0"/>
          <w:sz w:val="21"/>
          <w:szCs w:val="21"/>
          <w:lang w:eastAsia="zh-CN" w:bidi="ar"/>
        </w:rPr>
        <w:br w:type="page"/>
      </w:r>
    </w:p>
    <w:p w14:paraId="52F6239A">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w:t>
      </w:r>
      <w:r>
        <w:rPr>
          <w:rFonts w:hint="eastAsia" w:ascii="宋体" w:hAnsi="宋体" w:eastAsia="宋体" w:cs="宋体"/>
          <w:b/>
          <w:bCs/>
          <w:color w:val="000000"/>
          <w:sz w:val="24"/>
          <w:szCs w:val="24"/>
          <w:lang w:val="en-US" w:eastAsia="zh-CN"/>
        </w:rPr>
        <w:t xml:space="preserve"> SRM非生产供应商注册操作手册</w:t>
      </w:r>
    </w:p>
    <w:p w14:paraId="01D08A49">
      <w:pPr>
        <w:pStyle w:val="7"/>
        <w:rPr>
          <w:rFonts w:hint="eastAsia" w:eastAsia="宋体"/>
          <w:lang w:val="en-US" w:eastAsia="zh-CN"/>
        </w:rPr>
      </w:pPr>
    </w:p>
    <w:p w14:paraId="6A5B0F52">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5912D479">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0A10D99">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6D953827">
      <w:pPr>
        <w:snapToGrid w:val="0"/>
        <w:spacing w:line="312" w:lineRule="auto"/>
      </w:pPr>
      <w:r>
        <w:drawing>
          <wp:inline distT="0" distB="0" distL="0" distR="0">
            <wp:extent cx="5760085" cy="2933065"/>
            <wp:effectExtent l="0" t="0" r="635" b="825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4"/>
                    <a:stretch>
                      <a:fillRect/>
                    </a:stretch>
                  </pic:blipFill>
                  <pic:spPr>
                    <a:xfrm>
                      <a:off x="0" y="0"/>
                      <a:ext cx="5760085" cy="2933377"/>
                    </a:xfrm>
                    <a:prstGeom prst="rect">
                      <a:avLst/>
                    </a:prstGeom>
                  </pic:spPr>
                </pic:pic>
              </a:graphicData>
            </a:graphic>
          </wp:inline>
        </w:drawing>
      </w:r>
    </w:p>
    <w:p w14:paraId="1BE1EE4A">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125C2D82">
      <w:pPr>
        <w:snapToGrid w:val="0"/>
        <w:spacing w:line="312" w:lineRule="auto"/>
      </w:pPr>
      <w:r>
        <w:drawing>
          <wp:inline distT="0" distB="0" distL="0" distR="0">
            <wp:extent cx="5760085" cy="2766695"/>
            <wp:effectExtent l="0" t="0" r="635" b="698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5"/>
                    <a:stretch>
                      <a:fillRect/>
                    </a:stretch>
                  </pic:blipFill>
                  <pic:spPr>
                    <a:xfrm>
                      <a:off x="0" y="0"/>
                      <a:ext cx="5760085" cy="2766707"/>
                    </a:xfrm>
                    <a:prstGeom prst="rect">
                      <a:avLst/>
                    </a:prstGeom>
                  </pic:spPr>
                </pic:pic>
              </a:graphicData>
            </a:graphic>
          </wp:inline>
        </w:drawing>
      </w:r>
    </w:p>
    <w:p w14:paraId="6A540D8A">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2E17EC4C">
      <w:pPr>
        <w:snapToGrid w:val="0"/>
        <w:spacing w:line="312" w:lineRule="auto"/>
      </w:pPr>
      <w:r>
        <w:drawing>
          <wp:inline distT="0" distB="0" distL="0" distR="0">
            <wp:extent cx="5760085" cy="2869565"/>
            <wp:effectExtent l="0" t="0" r="635" b="1079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6"/>
                    <a:stretch>
                      <a:fillRect/>
                    </a:stretch>
                  </pic:blipFill>
                  <pic:spPr>
                    <a:xfrm>
                      <a:off x="0" y="0"/>
                      <a:ext cx="5760085" cy="2870054"/>
                    </a:xfrm>
                    <a:prstGeom prst="rect">
                      <a:avLst/>
                    </a:prstGeom>
                  </pic:spPr>
                </pic:pic>
              </a:graphicData>
            </a:graphic>
          </wp:inline>
        </w:drawing>
      </w:r>
    </w:p>
    <w:p w14:paraId="083CED8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37DE8017">
      <w:pPr>
        <w:snapToGrid w:val="0"/>
        <w:spacing w:line="312" w:lineRule="auto"/>
      </w:pPr>
      <w:r>
        <w:drawing>
          <wp:inline distT="0" distB="0" distL="0" distR="0">
            <wp:extent cx="5760085" cy="2853055"/>
            <wp:effectExtent l="0" t="0" r="635" b="1206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7"/>
                    <a:stretch>
                      <a:fillRect/>
                    </a:stretch>
                  </pic:blipFill>
                  <pic:spPr>
                    <a:xfrm>
                      <a:off x="0" y="0"/>
                      <a:ext cx="5760085" cy="2853375"/>
                    </a:xfrm>
                    <a:prstGeom prst="rect">
                      <a:avLst/>
                    </a:prstGeom>
                  </pic:spPr>
                </pic:pic>
              </a:graphicData>
            </a:graphic>
          </wp:inline>
        </w:drawing>
      </w:r>
    </w:p>
    <w:p w14:paraId="02AF22BE">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1116E2CD">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14:paraId="6C672DF0">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4971B386">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14:paraId="57D31227">
      <w:pPr>
        <w:pStyle w:val="7"/>
        <w:rPr>
          <w:rFonts w:hint="default"/>
          <w:lang w:val="en-US" w:eastAsia="zh-CN"/>
        </w:rPr>
      </w:pPr>
    </w:p>
    <w:p w14:paraId="74A66A72">
      <w:pPr>
        <w:snapToGrid/>
        <w:spacing w:before="0" w:after="0" w:line="240" w:lineRule="auto"/>
        <w:ind w:left="0" w:right="0" w:firstLine="0"/>
        <w:jc w:val="both"/>
      </w:pPr>
      <w:r>
        <w:drawing>
          <wp:inline distT="0" distB="0" distL="0" distR="0">
            <wp:extent cx="5760085" cy="2809875"/>
            <wp:effectExtent l="0" t="0" r="635" b="952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8"/>
                    <a:stretch>
                      <a:fillRect/>
                    </a:stretch>
                  </pic:blipFill>
                  <pic:spPr>
                    <a:xfrm>
                      <a:off x="0" y="0"/>
                      <a:ext cx="5760085" cy="2810122"/>
                    </a:xfrm>
                    <a:prstGeom prst="rect">
                      <a:avLst/>
                    </a:prstGeom>
                  </pic:spPr>
                </pic:pic>
              </a:graphicData>
            </a:graphic>
          </wp:inline>
        </w:drawing>
      </w:r>
    </w:p>
    <w:p w14:paraId="2964D6AC">
      <w:pPr>
        <w:pStyle w:val="7"/>
      </w:pPr>
      <w:r>
        <w:drawing>
          <wp:inline distT="0" distB="0" distL="0" distR="0">
            <wp:extent cx="5760085" cy="2820035"/>
            <wp:effectExtent l="0" t="0" r="635" b="1460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9"/>
                    <a:stretch>
                      <a:fillRect/>
                    </a:stretch>
                  </pic:blipFill>
                  <pic:spPr>
                    <a:xfrm>
                      <a:off x="0" y="0"/>
                      <a:ext cx="5760085" cy="2820042"/>
                    </a:xfrm>
                    <a:prstGeom prst="rect">
                      <a:avLst/>
                    </a:prstGeom>
                  </pic:spPr>
                </pic:pic>
              </a:graphicData>
            </a:graphic>
          </wp:inline>
        </w:drawing>
      </w:r>
    </w:p>
    <w:p w14:paraId="2DB5833D">
      <w:pPr>
        <w:pStyle w:val="7"/>
      </w:pPr>
    </w:p>
    <w:p w14:paraId="659E95AC">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CF2A6F0">
      <w:pPr>
        <w:pStyle w:val="7"/>
        <w:rPr>
          <w:rFonts w:hint="eastAsia" w:eastAsia="宋体"/>
          <w:lang w:eastAsia="zh-CN"/>
        </w:rPr>
        <w:sectPr>
          <w:footerReference r:id="rId4" w:type="first"/>
          <w:footerReference r:id="rId3" w:type="default"/>
          <w:pgSz w:w="11906" w:h="16838"/>
          <w:pgMar w:top="1588" w:right="1418" w:bottom="1134" w:left="1418"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14:paraId="2A79FCAF">
      <w:pPr>
        <w:pStyle w:val="7"/>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附件2</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571EC2AD">
      <w:pPr>
        <w:snapToGrid/>
        <w:spacing w:before="0" w:after="0" w:line="360" w:lineRule="auto"/>
        <w:ind w:left="0" w:right="0" w:firstLine="0"/>
        <w:jc w:val="both"/>
        <w:rPr>
          <w:rStyle w:val="17"/>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17"/>
          <w:rFonts w:hint="eastAsia" w:ascii="宋体" w:hAnsi="宋体" w:eastAsia="宋体" w:cs="宋体"/>
          <w:sz w:val="24"/>
          <w:szCs w:val="24"/>
        </w:rPr>
        <w:fldChar w:fldCharType="begin"/>
      </w:r>
      <w:r>
        <w:rPr>
          <w:rStyle w:val="1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17"/>
          <w:rFonts w:hint="eastAsia" w:ascii="宋体" w:hAnsi="宋体" w:eastAsia="宋体" w:cs="宋体"/>
          <w:sz w:val="24"/>
          <w:szCs w:val="24"/>
        </w:rPr>
        <w:fldChar w:fldCharType="separate"/>
      </w:r>
      <w:r>
        <w:rPr>
          <w:rStyle w:val="17"/>
          <w:rFonts w:hint="eastAsia" w:ascii="宋体" w:hAnsi="宋体" w:eastAsia="宋体" w:cs="宋体"/>
          <w:sz w:val="24"/>
          <w:szCs w:val="24"/>
        </w:rPr>
        <w:t>http://ecaitong.sinotruk.com:8012/</w:t>
      </w:r>
      <w:r>
        <w:rPr>
          <w:rStyle w:val="17"/>
          <w:rFonts w:hint="eastAsia" w:ascii="宋体" w:hAnsi="宋体" w:eastAsia="宋体" w:cs="宋体"/>
          <w:sz w:val="24"/>
          <w:szCs w:val="24"/>
        </w:rPr>
        <w:fldChar w:fldCharType="end"/>
      </w:r>
      <w:r>
        <w:rPr>
          <w:rStyle w:val="17"/>
          <w:rFonts w:hint="eastAsia" w:ascii="宋体" w:hAnsi="宋体" w:eastAsia="宋体" w:cs="宋体"/>
          <w:sz w:val="24"/>
          <w:szCs w:val="24"/>
          <w:lang w:eastAsia="zh-CN"/>
        </w:rPr>
        <w:t>（</w:t>
      </w:r>
      <w:r>
        <w:rPr>
          <w:rStyle w:val="17"/>
          <w:rFonts w:hint="eastAsia" w:ascii="宋体" w:hAnsi="宋体" w:eastAsia="宋体" w:cs="宋体"/>
          <w:sz w:val="24"/>
          <w:szCs w:val="24"/>
          <w:lang w:val="en-US" w:eastAsia="zh-CN"/>
        </w:rPr>
        <w:t>以下内容可能非最新版本，仅供参考，请登录系统网址后，点检查看最新版供应商手册</w:t>
      </w:r>
      <w:r>
        <w:rPr>
          <w:rStyle w:val="17"/>
          <w:rFonts w:hint="eastAsia" w:ascii="宋体" w:hAnsi="宋体" w:eastAsia="宋体" w:cs="宋体"/>
          <w:sz w:val="24"/>
          <w:szCs w:val="24"/>
          <w:lang w:eastAsia="zh-CN"/>
        </w:rPr>
        <w:t>）</w:t>
      </w:r>
    </w:p>
    <w:p w14:paraId="4C1D25E8">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6350" t="6350" r="19050" b="698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1905"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30"/>
                    <a:stretch>
                      <a:fillRect/>
                    </a:stretch>
                  </pic:blipFill>
                  <pic:spPr>
                    <a:xfrm>
                      <a:off x="0" y="0"/>
                      <a:ext cx="4067175" cy="4876800"/>
                    </a:xfrm>
                    <a:prstGeom prst="rect">
                      <a:avLst/>
                    </a:prstGeom>
                    <a:noFill/>
                    <a:ln>
                      <a:noFill/>
                    </a:ln>
                  </pic:spPr>
                </pic:pic>
              </a:graphicData>
            </a:graphic>
          </wp:inline>
        </w:drawing>
      </w:r>
    </w:p>
    <w:p w14:paraId="42868690">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6159AA1B">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14:paraId="09BC6737">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0D9ED2C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6EC9E05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6A52BADB">
      <w:pPr>
        <w:snapToGrid/>
        <w:spacing w:before="0" w:after="0" w:line="240" w:lineRule="auto"/>
        <w:ind w:left="0" w:right="0"/>
        <w:jc w:val="both"/>
      </w:pPr>
      <w:r>
        <w:drawing>
          <wp:inline distT="0" distB="0" distL="0" distR="0">
            <wp:extent cx="5760085" cy="2269490"/>
            <wp:effectExtent l="0" t="0" r="635" b="1270"/>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1"/>
                    <a:stretch>
                      <a:fillRect/>
                    </a:stretch>
                  </pic:blipFill>
                  <pic:spPr>
                    <a:xfrm>
                      <a:off x="0" y="0"/>
                      <a:ext cx="5760085" cy="2269864"/>
                    </a:xfrm>
                    <a:prstGeom prst="rect">
                      <a:avLst/>
                    </a:prstGeom>
                  </pic:spPr>
                </pic:pic>
              </a:graphicData>
            </a:graphic>
          </wp:inline>
        </w:drawing>
      </w:r>
    </w:p>
    <w:p w14:paraId="04D6687B">
      <w:pPr>
        <w:snapToGrid/>
        <w:spacing w:before="0" w:after="0" w:line="240" w:lineRule="auto"/>
        <w:ind w:left="0" w:right="0"/>
        <w:jc w:val="both"/>
      </w:pPr>
    </w:p>
    <w:p w14:paraId="0DAC2CF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4D6C842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0B29B06A">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635" b="825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2"/>
                    <a:stretch>
                      <a:fillRect/>
                    </a:stretch>
                  </pic:blipFill>
                  <pic:spPr>
                    <a:xfrm>
                      <a:off x="0" y="0"/>
                      <a:ext cx="5760085" cy="2125673"/>
                    </a:xfrm>
                    <a:prstGeom prst="rect">
                      <a:avLst/>
                    </a:prstGeom>
                  </pic:spPr>
                </pic:pic>
              </a:graphicData>
            </a:graphic>
          </wp:inline>
        </w:drawing>
      </w:r>
    </w:p>
    <w:p w14:paraId="5A439788">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13E75915">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4764E49D">
      <w:pPr>
        <w:pStyle w:val="7"/>
      </w:pPr>
    </w:p>
    <w:p w14:paraId="2E26936C">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1430" b="133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33"/>
                    <a:stretch>
                      <a:fillRect/>
                    </a:stretch>
                  </pic:blipFill>
                  <pic:spPr>
                    <a:xfrm>
                      <a:off x="0" y="0"/>
                      <a:ext cx="5490210" cy="2669498"/>
                    </a:xfrm>
                    <a:prstGeom prst="rect">
                      <a:avLst/>
                    </a:prstGeom>
                  </pic:spPr>
                </pic:pic>
              </a:graphicData>
            </a:graphic>
          </wp:inline>
        </w:drawing>
      </w:r>
    </w:p>
    <w:p w14:paraId="6D264B3A">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1D76E31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53D986E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14:paraId="124BA7D6">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1430" b="3810"/>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34"/>
                    <a:stretch>
                      <a:fillRect/>
                    </a:stretch>
                  </pic:blipFill>
                  <pic:spPr>
                    <a:xfrm>
                      <a:off x="0" y="0"/>
                      <a:ext cx="5490210" cy="1992743"/>
                    </a:xfrm>
                    <a:prstGeom prst="rect">
                      <a:avLst/>
                    </a:prstGeom>
                  </pic:spPr>
                </pic:pic>
              </a:graphicData>
            </a:graphic>
          </wp:inline>
        </w:drawing>
      </w:r>
    </w:p>
    <w:p w14:paraId="4AE98EE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23282EF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5F285BE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4D1D19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6F7025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11763A2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14:paraId="13B2C200">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1430" b="63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35"/>
                    <a:stretch>
                      <a:fillRect/>
                    </a:stretch>
                  </pic:blipFill>
                  <pic:spPr>
                    <a:xfrm>
                      <a:off x="0" y="0"/>
                      <a:ext cx="5490210" cy="2544669"/>
                    </a:xfrm>
                    <a:prstGeom prst="rect">
                      <a:avLst/>
                    </a:prstGeom>
                  </pic:spPr>
                </pic:pic>
              </a:graphicData>
            </a:graphic>
          </wp:inline>
        </w:drawing>
      </w:r>
    </w:p>
    <w:p w14:paraId="2F26F93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5BA06F5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74D523D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25D03F23">
      <w:pPr>
        <w:pStyle w:val="7"/>
        <w:spacing w:line="360" w:lineRule="auto"/>
        <w:jc w:val="center"/>
        <w:rPr>
          <w:rFonts w:ascii="黑体" w:eastAsia="黑体"/>
          <w:b/>
          <w:bCs/>
          <w:sz w:val="36"/>
          <w:szCs w:val="36"/>
        </w:rPr>
      </w:pPr>
      <w:r>
        <w:drawing>
          <wp:inline distT="0" distB="0" distL="0" distR="0">
            <wp:extent cx="5760085" cy="1956435"/>
            <wp:effectExtent l="0" t="0" r="635" b="952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36"/>
                    <a:stretch>
                      <a:fillRect/>
                    </a:stretch>
                  </pic:blipFill>
                  <pic:spPr>
                    <a:xfrm>
                      <a:off x="0" y="0"/>
                      <a:ext cx="5760085" cy="1956600"/>
                    </a:xfrm>
                    <a:prstGeom prst="rect">
                      <a:avLst/>
                    </a:prstGeom>
                  </pic:spPr>
                </pic:pic>
              </a:graphicData>
            </a:graphic>
          </wp:inline>
        </w:drawing>
      </w:r>
    </w:p>
    <w:p w14:paraId="307232A4">
      <w:pPr>
        <w:pStyle w:val="7"/>
        <w:spacing w:line="360" w:lineRule="auto"/>
        <w:ind w:firstLine="562" w:firstLineChars="200"/>
        <w:rPr>
          <w:rFonts w:hAnsi="宋体"/>
          <w:b/>
          <w:bCs/>
          <w:sz w:val="28"/>
          <w:szCs w:val="28"/>
        </w:rPr>
      </w:pPr>
    </w:p>
    <w:p w14:paraId="2C77225C"/>
    <w:p w14:paraId="053B3E4C"/>
    <w:p w14:paraId="2422C987">
      <w:pPr>
        <w:pStyle w:val="7"/>
        <w:spacing w:line="360" w:lineRule="auto"/>
        <w:rPr>
          <w:rFonts w:hAnsi="宋体"/>
          <w:b/>
          <w:sz w:val="24"/>
          <w:szCs w:val="24"/>
        </w:rPr>
      </w:pPr>
    </w:p>
    <w:p w14:paraId="28179879"/>
    <w:p w14:paraId="1FFD8745">
      <w:pPr>
        <w:rPr>
          <w:rFonts w:hint="eastAsia" w:ascii="宋体" w:hAnsi="宋体" w:cs="宋体"/>
          <w:color w:val="000000"/>
          <w:kern w:val="0"/>
          <w:sz w:val="21"/>
          <w:szCs w:val="21"/>
          <w:lang w:eastAsia="zh-CN" w:bidi="ar"/>
        </w:rPr>
      </w:pPr>
    </w:p>
    <w:p w14:paraId="58847E3C"/>
    <w:sectPr>
      <w:footerReference r:id="rId7" w:type="first"/>
      <w:headerReference r:id="rId5" w:type="default"/>
      <w:footerReference r:id="rId6" w:type="default"/>
      <w:pgSz w:w="11906" w:h="16838"/>
      <w:pgMar w:top="1701" w:right="1418" w:bottom="1134" w:left="1418" w:header="851" w:footer="896"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8C07A">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64DFD3">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5C64DFD3">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39FFB">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376D2E">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3376D2E">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D7595">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E7825">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60DE7825">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76A01">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AA13E5">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6</w:t>
                          </w:r>
                          <w:r>
                            <w:fldChar w:fldCharType="end"/>
                          </w:r>
                          <w:r>
                            <w:rPr>
                              <w:rFonts w:hint="eastAsia"/>
                            </w:rP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sM8x8IBAACP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TkGhBujwkLl34y6gg1FcM5FUbTTuVFeHwvWQ//0fY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LDPMfCAQAAjwMAAA4AAAAAAAAAAQAgAAAAHgEAAGRycy9lMm9Eb2MueG1sUEsF&#10;BgAAAAAGAAYAWQEAAFIFAAAAAA==&#10;">
              <v:fill on="f" focussize="0,0"/>
              <v:stroke on="f"/>
              <v:imagedata o:title=""/>
              <o:lock v:ext="edit" aspectratio="f"/>
              <v:textbox inset="0mm,0mm,0mm,0mm" style="mso-fit-shape-to-text:t;">
                <w:txbxContent>
                  <w:p w14:paraId="6DAA13E5">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6</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6A9E8">
    <w:pPr>
      <w:pStyle w:val="10"/>
      <w:rPr>
        <w:rFonts w:ascii="楷体_GB2312" w:eastAsia="楷体_GB2312"/>
        <w:sz w:val="28"/>
        <w:szCs w:val="28"/>
      </w:rPr>
    </w:pPr>
    <w:r>
      <w:drawing>
        <wp:anchor distT="0" distB="0" distL="114300" distR="114300" simplePos="0" relativeHeight="251660288"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485039"/>
    <w:multiLevelType w:val="singleLevel"/>
    <w:tmpl w:val="A6485039"/>
    <w:lvl w:ilvl="0" w:tentative="0">
      <w:start w:val="4"/>
      <w:numFmt w:val="decimal"/>
      <w:lvlText w:val="%1."/>
      <w:lvlJc w:val="left"/>
      <w:pPr>
        <w:tabs>
          <w:tab w:val="left" w:pos="312"/>
        </w:tabs>
      </w:pPr>
    </w:lvl>
  </w:abstractNum>
  <w:abstractNum w:abstractNumId="1">
    <w:nsid w:val="A804D1EA"/>
    <w:multiLevelType w:val="singleLevel"/>
    <w:tmpl w:val="A804D1EA"/>
    <w:lvl w:ilvl="0" w:tentative="0">
      <w:start w:val="1"/>
      <w:numFmt w:val="lowerLetter"/>
      <w:lvlText w:val="%1."/>
      <w:lvlJc w:val="left"/>
      <w:pPr>
        <w:ind w:left="425" w:hanging="425"/>
      </w:pPr>
      <w:rPr>
        <w:rFonts w:hint="default"/>
      </w:rPr>
    </w:lvl>
  </w:abstractNum>
  <w:abstractNum w:abstractNumId="2">
    <w:nsid w:val="1C6D036B"/>
    <w:multiLevelType w:val="singleLevel"/>
    <w:tmpl w:val="1C6D036B"/>
    <w:lvl w:ilvl="0" w:tentative="0">
      <w:start w:val="3"/>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VlMDk0M2Y0MDA3NzkxMDU1YjZjYjk3YjgyNzI2MDAifQ=="/>
  </w:docVars>
  <w:rsids>
    <w:rsidRoot w:val="00311D67"/>
    <w:rsid w:val="000D4FD2"/>
    <w:rsid w:val="00111040"/>
    <w:rsid w:val="00173B01"/>
    <w:rsid w:val="00187302"/>
    <w:rsid w:val="001A7CC4"/>
    <w:rsid w:val="001B6146"/>
    <w:rsid w:val="001D2265"/>
    <w:rsid w:val="00236EA8"/>
    <w:rsid w:val="002A7265"/>
    <w:rsid w:val="002B50E2"/>
    <w:rsid w:val="002D0DC9"/>
    <w:rsid w:val="002D14E7"/>
    <w:rsid w:val="003030D0"/>
    <w:rsid w:val="00311D67"/>
    <w:rsid w:val="00322B1E"/>
    <w:rsid w:val="00351994"/>
    <w:rsid w:val="004307D4"/>
    <w:rsid w:val="0043666C"/>
    <w:rsid w:val="00447133"/>
    <w:rsid w:val="00447948"/>
    <w:rsid w:val="0045103B"/>
    <w:rsid w:val="00481559"/>
    <w:rsid w:val="004B48CF"/>
    <w:rsid w:val="00514D1D"/>
    <w:rsid w:val="005623ED"/>
    <w:rsid w:val="00566BDE"/>
    <w:rsid w:val="005C16AE"/>
    <w:rsid w:val="005E2DA0"/>
    <w:rsid w:val="005F3A83"/>
    <w:rsid w:val="00632C22"/>
    <w:rsid w:val="006368C9"/>
    <w:rsid w:val="00656AE5"/>
    <w:rsid w:val="006C5190"/>
    <w:rsid w:val="007028A8"/>
    <w:rsid w:val="007368FB"/>
    <w:rsid w:val="007445A4"/>
    <w:rsid w:val="007F58B7"/>
    <w:rsid w:val="00815667"/>
    <w:rsid w:val="0082684A"/>
    <w:rsid w:val="00956DA1"/>
    <w:rsid w:val="00993D53"/>
    <w:rsid w:val="009E7C7C"/>
    <w:rsid w:val="00A36DEE"/>
    <w:rsid w:val="00B67156"/>
    <w:rsid w:val="00B674B3"/>
    <w:rsid w:val="00B73D8C"/>
    <w:rsid w:val="00C11423"/>
    <w:rsid w:val="00C2783B"/>
    <w:rsid w:val="00CB0675"/>
    <w:rsid w:val="00D06AC7"/>
    <w:rsid w:val="00D353D9"/>
    <w:rsid w:val="00D42998"/>
    <w:rsid w:val="00D724DA"/>
    <w:rsid w:val="00D745C8"/>
    <w:rsid w:val="00DA5665"/>
    <w:rsid w:val="00DF5306"/>
    <w:rsid w:val="00F146C3"/>
    <w:rsid w:val="00F5199B"/>
    <w:rsid w:val="00F775B6"/>
    <w:rsid w:val="00FA407C"/>
    <w:rsid w:val="00FF71E0"/>
    <w:rsid w:val="018E3C76"/>
    <w:rsid w:val="01A35F62"/>
    <w:rsid w:val="021624F0"/>
    <w:rsid w:val="03B24C65"/>
    <w:rsid w:val="04446BFE"/>
    <w:rsid w:val="04536280"/>
    <w:rsid w:val="04D25BF3"/>
    <w:rsid w:val="04E868E9"/>
    <w:rsid w:val="04FF3EDA"/>
    <w:rsid w:val="05460355"/>
    <w:rsid w:val="054B5371"/>
    <w:rsid w:val="05A16326"/>
    <w:rsid w:val="066B1996"/>
    <w:rsid w:val="06A20FC1"/>
    <w:rsid w:val="07524795"/>
    <w:rsid w:val="07830646"/>
    <w:rsid w:val="07CF6FC9"/>
    <w:rsid w:val="083A2978"/>
    <w:rsid w:val="08C81BDC"/>
    <w:rsid w:val="08FC69FB"/>
    <w:rsid w:val="09DD7A85"/>
    <w:rsid w:val="0A206F4A"/>
    <w:rsid w:val="0AAE7477"/>
    <w:rsid w:val="0AE0030A"/>
    <w:rsid w:val="0BA57E19"/>
    <w:rsid w:val="0CA51E7E"/>
    <w:rsid w:val="0CA8115C"/>
    <w:rsid w:val="0CD1251B"/>
    <w:rsid w:val="0D2B61BA"/>
    <w:rsid w:val="0E417312"/>
    <w:rsid w:val="0E5A0431"/>
    <w:rsid w:val="0E6D6E03"/>
    <w:rsid w:val="0EE04C33"/>
    <w:rsid w:val="108D51C0"/>
    <w:rsid w:val="109A0F5B"/>
    <w:rsid w:val="10B73B4C"/>
    <w:rsid w:val="140C2BE6"/>
    <w:rsid w:val="14103A0E"/>
    <w:rsid w:val="14127AFF"/>
    <w:rsid w:val="14210E72"/>
    <w:rsid w:val="154A304E"/>
    <w:rsid w:val="15C47CD0"/>
    <w:rsid w:val="15D35412"/>
    <w:rsid w:val="16BF7B2A"/>
    <w:rsid w:val="16D82EA4"/>
    <w:rsid w:val="17B64C50"/>
    <w:rsid w:val="181131C3"/>
    <w:rsid w:val="184F47E3"/>
    <w:rsid w:val="18B2264C"/>
    <w:rsid w:val="18F408FB"/>
    <w:rsid w:val="1974604F"/>
    <w:rsid w:val="199E226F"/>
    <w:rsid w:val="19CD2723"/>
    <w:rsid w:val="1A093702"/>
    <w:rsid w:val="1BB447B5"/>
    <w:rsid w:val="1BCD0437"/>
    <w:rsid w:val="1BEF577F"/>
    <w:rsid w:val="1C071B9A"/>
    <w:rsid w:val="1CA4563B"/>
    <w:rsid w:val="1CF2347F"/>
    <w:rsid w:val="1D0325CD"/>
    <w:rsid w:val="1DAF0034"/>
    <w:rsid w:val="1E23790F"/>
    <w:rsid w:val="1E540B49"/>
    <w:rsid w:val="1E837601"/>
    <w:rsid w:val="1ECC167F"/>
    <w:rsid w:val="1EEC6415"/>
    <w:rsid w:val="1FD11079"/>
    <w:rsid w:val="21FC47A8"/>
    <w:rsid w:val="23304328"/>
    <w:rsid w:val="239A339D"/>
    <w:rsid w:val="23AB72AF"/>
    <w:rsid w:val="242629A5"/>
    <w:rsid w:val="243D0FCB"/>
    <w:rsid w:val="24B914AA"/>
    <w:rsid w:val="24D37387"/>
    <w:rsid w:val="25863B7E"/>
    <w:rsid w:val="265F189A"/>
    <w:rsid w:val="278A18D2"/>
    <w:rsid w:val="28696BCC"/>
    <w:rsid w:val="28EB6E35"/>
    <w:rsid w:val="2916010A"/>
    <w:rsid w:val="29665177"/>
    <w:rsid w:val="29726380"/>
    <w:rsid w:val="29C831C6"/>
    <w:rsid w:val="29F260FF"/>
    <w:rsid w:val="2BB807BB"/>
    <w:rsid w:val="2C406FD0"/>
    <w:rsid w:val="2CC118F2"/>
    <w:rsid w:val="2D32459D"/>
    <w:rsid w:val="2DAA3A2C"/>
    <w:rsid w:val="2DD6639E"/>
    <w:rsid w:val="2E9029E9"/>
    <w:rsid w:val="2E904F74"/>
    <w:rsid w:val="2E950EB3"/>
    <w:rsid w:val="2EF75A9F"/>
    <w:rsid w:val="2F860BD0"/>
    <w:rsid w:val="2F9417A6"/>
    <w:rsid w:val="30AA32C9"/>
    <w:rsid w:val="30E80D36"/>
    <w:rsid w:val="31E03F47"/>
    <w:rsid w:val="32C817FF"/>
    <w:rsid w:val="33236E1E"/>
    <w:rsid w:val="33296D05"/>
    <w:rsid w:val="33C8566C"/>
    <w:rsid w:val="33E225D2"/>
    <w:rsid w:val="351729F7"/>
    <w:rsid w:val="35723714"/>
    <w:rsid w:val="362F5B1E"/>
    <w:rsid w:val="365E6403"/>
    <w:rsid w:val="36AD2EE7"/>
    <w:rsid w:val="36B44586"/>
    <w:rsid w:val="388108CA"/>
    <w:rsid w:val="397877DC"/>
    <w:rsid w:val="39884580"/>
    <w:rsid w:val="398D374A"/>
    <w:rsid w:val="39AF118B"/>
    <w:rsid w:val="3A152DD0"/>
    <w:rsid w:val="3A176FF5"/>
    <w:rsid w:val="3A767BDD"/>
    <w:rsid w:val="3AAB7332"/>
    <w:rsid w:val="3B4C67EE"/>
    <w:rsid w:val="3C116C7C"/>
    <w:rsid w:val="3CA05C4E"/>
    <w:rsid w:val="3CAF1E6A"/>
    <w:rsid w:val="3E0F1D04"/>
    <w:rsid w:val="3E257732"/>
    <w:rsid w:val="3E4C417F"/>
    <w:rsid w:val="3ECB7A3F"/>
    <w:rsid w:val="3EDB7908"/>
    <w:rsid w:val="3FF51CD6"/>
    <w:rsid w:val="407D1619"/>
    <w:rsid w:val="4110479E"/>
    <w:rsid w:val="42047811"/>
    <w:rsid w:val="42C41CCB"/>
    <w:rsid w:val="42F73E67"/>
    <w:rsid w:val="438374A9"/>
    <w:rsid w:val="43910FDA"/>
    <w:rsid w:val="457E188B"/>
    <w:rsid w:val="47482E79"/>
    <w:rsid w:val="474B14E7"/>
    <w:rsid w:val="47937AFA"/>
    <w:rsid w:val="479F2D31"/>
    <w:rsid w:val="487D096B"/>
    <w:rsid w:val="48E05138"/>
    <w:rsid w:val="4A461D62"/>
    <w:rsid w:val="4A573C13"/>
    <w:rsid w:val="4B5D4A84"/>
    <w:rsid w:val="4B9E4777"/>
    <w:rsid w:val="4C5A26CE"/>
    <w:rsid w:val="4C675BBA"/>
    <w:rsid w:val="4DE52F3F"/>
    <w:rsid w:val="512322CB"/>
    <w:rsid w:val="51F15F26"/>
    <w:rsid w:val="524B254A"/>
    <w:rsid w:val="52554B27"/>
    <w:rsid w:val="536308D8"/>
    <w:rsid w:val="54742E0A"/>
    <w:rsid w:val="54CD13DD"/>
    <w:rsid w:val="56966B5A"/>
    <w:rsid w:val="56C803A2"/>
    <w:rsid w:val="57296B9C"/>
    <w:rsid w:val="57861882"/>
    <w:rsid w:val="57867279"/>
    <w:rsid w:val="588B6399"/>
    <w:rsid w:val="59F40895"/>
    <w:rsid w:val="5A2055FA"/>
    <w:rsid w:val="5A8C7770"/>
    <w:rsid w:val="5AED326B"/>
    <w:rsid w:val="5B56563C"/>
    <w:rsid w:val="5B64488A"/>
    <w:rsid w:val="5C2869E8"/>
    <w:rsid w:val="5C7A7CF7"/>
    <w:rsid w:val="5D2A430C"/>
    <w:rsid w:val="5D5F6981"/>
    <w:rsid w:val="5D83037A"/>
    <w:rsid w:val="5D850596"/>
    <w:rsid w:val="5DBB5AAE"/>
    <w:rsid w:val="5EB3266E"/>
    <w:rsid w:val="5EE21FC6"/>
    <w:rsid w:val="5F020751"/>
    <w:rsid w:val="5F403AD4"/>
    <w:rsid w:val="5FE50959"/>
    <w:rsid w:val="602C06B9"/>
    <w:rsid w:val="60F70BD0"/>
    <w:rsid w:val="61146848"/>
    <w:rsid w:val="62A07BD3"/>
    <w:rsid w:val="63CE7BDC"/>
    <w:rsid w:val="63E1404C"/>
    <w:rsid w:val="64414AEB"/>
    <w:rsid w:val="650E377A"/>
    <w:rsid w:val="653A4873"/>
    <w:rsid w:val="6681470E"/>
    <w:rsid w:val="66B71094"/>
    <w:rsid w:val="67655782"/>
    <w:rsid w:val="67D16185"/>
    <w:rsid w:val="67DD1928"/>
    <w:rsid w:val="68A51D30"/>
    <w:rsid w:val="68BC704A"/>
    <w:rsid w:val="693E442C"/>
    <w:rsid w:val="69DA52E1"/>
    <w:rsid w:val="69FC398E"/>
    <w:rsid w:val="6AA30757"/>
    <w:rsid w:val="6B4078AA"/>
    <w:rsid w:val="6C7A503E"/>
    <w:rsid w:val="6C9661F8"/>
    <w:rsid w:val="6CEA37F0"/>
    <w:rsid w:val="6D5D0FA8"/>
    <w:rsid w:val="6D8617C0"/>
    <w:rsid w:val="6DD14B62"/>
    <w:rsid w:val="6F1E7F02"/>
    <w:rsid w:val="70891D8E"/>
    <w:rsid w:val="709548ED"/>
    <w:rsid w:val="70AD70EB"/>
    <w:rsid w:val="70FC6687"/>
    <w:rsid w:val="712E25DE"/>
    <w:rsid w:val="71AA1EB1"/>
    <w:rsid w:val="72C35F13"/>
    <w:rsid w:val="74773CC9"/>
    <w:rsid w:val="756A737D"/>
    <w:rsid w:val="757123EB"/>
    <w:rsid w:val="75777601"/>
    <w:rsid w:val="75CF3FC9"/>
    <w:rsid w:val="764D4548"/>
    <w:rsid w:val="77114867"/>
    <w:rsid w:val="7725095F"/>
    <w:rsid w:val="77B70EF4"/>
    <w:rsid w:val="78947EDD"/>
    <w:rsid w:val="78B31503"/>
    <w:rsid w:val="79605B96"/>
    <w:rsid w:val="79E132BF"/>
    <w:rsid w:val="79E13D52"/>
    <w:rsid w:val="7A5576CA"/>
    <w:rsid w:val="7AC26B95"/>
    <w:rsid w:val="7B08209A"/>
    <w:rsid w:val="7C5F0BC0"/>
    <w:rsid w:val="7D344D95"/>
    <w:rsid w:val="7DA10A6D"/>
    <w:rsid w:val="7DBF0B02"/>
    <w:rsid w:val="7E553791"/>
    <w:rsid w:val="7EC86CA9"/>
    <w:rsid w:val="7F4B202A"/>
    <w:rsid w:val="7FA53D6A"/>
    <w:rsid w:val="7FF10E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5">
    <w:name w:val="Default Paragraph Font"/>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rPr>
      <w:rFonts w:ascii="仿宋_GB2312" w:eastAsia="仿宋_GB2312"/>
      <w:sz w:val="32"/>
    </w:rPr>
  </w:style>
  <w:style w:type="paragraph" w:styleId="6">
    <w:name w:val="Body Text Indent"/>
    <w:basedOn w:val="1"/>
    <w:qFormat/>
    <w:uiPriority w:val="0"/>
    <w:pPr>
      <w:spacing w:line="440" w:lineRule="exact"/>
      <w:ind w:firstLine="6191" w:firstLineChars="1713"/>
    </w:pPr>
    <w:rPr>
      <w:rFonts w:ascii="楷体_GB2312" w:eastAsia="楷体_GB2312"/>
      <w:b/>
      <w:sz w:val="36"/>
      <w:szCs w:val="52"/>
    </w:rPr>
  </w:style>
  <w:style w:type="paragraph" w:styleId="7">
    <w:name w:val="Plain Text"/>
    <w:basedOn w:val="1"/>
    <w:qFormat/>
    <w:uiPriority w:val="0"/>
    <w:rPr>
      <w:rFonts w:ascii="宋体" w:hAnsi="Courier New"/>
    </w:rPr>
  </w:style>
  <w:style w:type="paragraph" w:styleId="8">
    <w:name w:val="Body Text Indent 2"/>
    <w:basedOn w:val="1"/>
    <w:qFormat/>
    <w:uiPriority w:val="0"/>
    <w:pPr>
      <w:spacing w:after="120" w:line="480" w:lineRule="auto"/>
      <w:ind w:left="420" w:leftChars="200"/>
    </w:p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2">
    <w:name w:val="toc 2"/>
    <w:basedOn w:val="1"/>
    <w:next w:val="1"/>
    <w:uiPriority w:val="0"/>
    <w:pPr>
      <w:ind w:left="420" w:left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Hyperlink"/>
    <w:basedOn w:val="15"/>
    <w:semiHidden/>
    <w:qFormat/>
    <w:uiPriority w:val="99"/>
    <w:rPr>
      <w:rFonts w:cs="Times New Roman"/>
      <w:color w:val="1F4F88"/>
      <w:u w:val="none"/>
    </w:rPr>
  </w:style>
  <w:style w:type="character" w:customStyle="1" w:styleId="18">
    <w:name w:val="font01"/>
    <w:basedOn w:val="15"/>
    <w:qFormat/>
    <w:uiPriority w:val="0"/>
    <w:rPr>
      <w:rFonts w:hint="eastAsia" w:ascii="宋体" w:hAnsi="宋体" w:eastAsia="宋体" w:cs="宋体"/>
      <w:color w:val="000000"/>
      <w:sz w:val="21"/>
      <w:szCs w:val="21"/>
      <w:u w:val="none"/>
    </w:rPr>
  </w:style>
  <w:style w:type="paragraph" w:styleId="1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E6F7C4-77F9-48EA-97DF-DE373446CE36}">
  <ds:schemaRefs/>
</ds:datastoreItem>
</file>

<file path=docProps/app.xml><?xml version="1.0" encoding="utf-8"?>
<Properties xmlns="http://schemas.openxmlformats.org/officeDocument/2006/extended-properties" xmlns:vt="http://schemas.openxmlformats.org/officeDocument/2006/docPropsVTypes">
  <Template>Normal</Template>
  <Pages>22</Pages>
  <Words>8623</Words>
  <Characters>9049</Characters>
  <Lines>156</Lines>
  <Paragraphs>43</Paragraphs>
  <TotalTime>54</TotalTime>
  <ScaleCrop>false</ScaleCrop>
  <LinksUpToDate>false</LinksUpToDate>
  <CharactersWithSpaces>9833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2021-04-03T07:48:00Z</dcterms:created>
  <dc:creator>zjc</dc:creator>
  <cp:lastModifiedBy>stars</cp:lastModifiedBy>
  <cp:lastPrinted>2022-11-21T05:35:00Z</cp:lastPrinted>
  <dcterms:modified xsi:type="dcterms:W3CDTF">2025-08-11T05:12:13Z</dcterms:modified>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F426EF212E4A4CFEAD76491110A200B1_13</vt:lpwstr>
  </property>
  <property fmtid="{D5CDD505-2E9C-101B-9397-08002B2CF9AE}" pid="4" name="KSOTemplateDocerSaveRecord">
    <vt:lpwstr>eyJoZGlkIjoiMTZlYWUxNWY1MTU3YjdmYzU1YTc3Y2E4YmQ1M2NjODgiLCJ1c2VySWQiOiIyNzM4ODgyMTUifQ==</vt:lpwstr>
  </property>
</Properties>
</file>