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8"/>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2026年零星改造及维修</w:t>
      </w:r>
      <w:r>
        <w:rPr>
          <w:rFonts w:hint="eastAsia" w:ascii="宋体" w:hAnsi="宋体"/>
          <w:sz w:val="44"/>
          <w:szCs w:val="24"/>
        </w:rPr>
        <w:t>项目</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36"/>
          <w:szCs w:val="24"/>
        </w:rPr>
      </w:pPr>
    </w:p>
    <w:p>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pPr>
        <w:adjustRightInd w:val="0"/>
        <w:snapToGrid w:val="0"/>
        <w:spacing w:line="360" w:lineRule="auto"/>
        <w:jc w:val="center"/>
        <w:rPr>
          <w:rFonts w:ascii="宋体" w:hAnsi="宋体"/>
          <w:sz w:val="36"/>
          <w:szCs w:val="24"/>
        </w:rPr>
      </w:pP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4</w:t>
      </w:r>
      <w:r>
        <w:rPr>
          <w:rFonts w:hint="eastAsia" w:ascii="宋体" w:hAnsi="宋体"/>
          <w:sz w:val="32"/>
          <w:szCs w:val="24"/>
          <w:u w:val="single"/>
        </w:rPr>
        <w:t>月</w:t>
      </w:r>
    </w:p>
    <w:p>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pPr>
            <w:pStyle w:val="72"/>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pPr>
            <w:pStyle w:val="24"/>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4"/>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4"/>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24"/>
            <w:adjustRightInd w:val="0"/>
            <w:snapToGrid w:val="0"/>
            <w:spacing w:line="360" w:lineRule="auto"/>
            <w:rPr>
              <w:sz w:val="24"/>
              <w:szCs w:val="24"/>
            </w:rPr>
          </w:pPr>
          <w:r>
            <w:rPr>
              <w:rFonts w:hint="eastAsia"/>
              <w:bCs/>
              <w:kern w:val="44"/>
              <w:sz w:val="24"/>
              <w:szCs w:val="24"/>
            </w:rPr>
            <w:fldChar w:fldCharType="end"/>
          </w:r>
        </w:p>
      </w:sdtContent>
    </w:sdt>
    <w:p>
      <w:pPr>
        <w:pStyle w:val="18"/>
        <w:tabs>
          <w:tab w:val="left" w:pos="2940"/>
        </w:tabs>
        <w:adjustRightInd w:val="0"/>
        <w:snapToGrid w:val="0"/>
        <w:spacing w:line="360" w:lineRule="auto"/>
        <w:jc w:val="left"/>
        <w:rPr>
          <w:rFonts w:hAnsi="宋体"/>
          <w:sz w:val="24"/>
          <w:szCs w:val="24"/>
        </w:rPr>
      </w:pPr>
      <w:r>
        <w:rPr>
          <w:rFonts w:hAnsi="宋体"/>
          <w:sz w:val="24"/>
          <w:szCs w:val="24"/>
        </w:rPr>
        <w:tab/>
      </w:r>
    </w:p>
    <w:p>
      <w:pPr>
        <w:pStyle w:val="18"/>
        <w:adjustRightInd w:val="0"/>
        <w:snapToGrid w:val="0"/>
        <w:spacing w:line="360" w:lineRule="auto"/>
        <w:jc w:val="left"/>
        <w:rPr>
          <w:rFonts w:hAnsi="宋体"/>
          <w:sz w:val="24"/>
          <w:szCs w:val="24"/>
        </w:rPr>
      </w:pPr>
    </w:p>
    <w:p>
      <w:pPr>
        <w:pStyle w:val="18"/>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pPr>
        <w:pStyle w:val="75"/>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pPr>
        <w:pStyle w:val="76"/>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pPr>
        <w:pStyle w:val="80"/>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2026年零星改造及维修</w:t>
      </w:r>
    </w:p>
    <w:p>
      <w:pPr>
        <w:pStyle w:val="80"/>
        <w:numPr>
          <w:ilvl w:val="0"/>
          <w:numId w:val="9"/>
        </w:numPr>
        <w:adjustRightInd w:val="0"/>
        <w:snapToGrid w:val="0"/>
        <w:rPr>
          <w:rFonts w:hAnsi="宋体"/>
          <w:sz w:val="24"/>
          <w:szCs w:val="24"/>
        </w:rPr>
      </w:pPr>
      <w:r>
        <w:rPr>
          <w:rFonts w:hint="eastAsia" w:hAnsi="宋体"/>
          <w:sz w:val="24"/>
          <w:szCs w:val="24"/>
        </w:rPr>
        <w:t>项目编号：</w:t>
      </w:r>
    </w:p>
    <w:p>
      <w:pPr>
        <w:pStyle w:val="80"/>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pPr>
        <w:pStyle w:val="80"/>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项目概况：重汽（重庆）轻型汽车有限公司位于重庆市江津区双福生产基地在进行生产经营活动中，需对厂区内所有建筑物、构筑物及辅助设施的维修、维护工程；所有公用动力及管网设施的维修、维护工程；所有零星改造工程：指仅限单项工程概算5万元以下的改造工程进行采购。</w:t>
      </w:r>
    </w:p>
    <w:p>
      <w:pPr>
        <w:pStyle w:val="80"/>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pPr>
        <w:pStyle w:val="80"/>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pPr>
        <w:pStyle w:val="80"/>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sz w:val="24"/>
          <w:szCs w:val="24"/>
          <w:lang w:val="en-US" w:eastAsia="zh-CN"/>
        </w:rPr>
        <w:t>58</w:t>
      </w:r>
      <w:r>
        <w:rPr>
          <w:rFonts w:hint="eastAsia" w:hAnsi="宋体"/>
          <w:sz w:val="24"/>
          <w:szCs w:val="24"/>
        </w:rPr>
        <w:t>万元（未税</w:t>
      </w:r>
      <w:r>
        <w:rPr>
          <w:rFonts w:hint="eastAsia" w:hAnsi="宋体" w:cs="仿宋_GB2312"/>
          <w:bCs/>
          <w:color w:val="000000" w:themeColor="text1"/>
          <w:sz w:val="24"/>
          <w:szCs w:val="24"/>
          <w14:textFill>
            <w14:solidFill>
              <w14:schemeClr w14:val="tx1"/>
            </w14:solidFill>
          </w14:textFill>
        </w:rPr>
        <w:t>）</w:t>
      </w:r>
      <w:r>
        <w:rPr>
          <w:rFonts w:hint="eastAsia" w:hAnsi="宋体"/>
          <w:sz w:val="24"/>
          <w:szCs w:val="24"/>
        </w:rPr>
        <w:t>。</w:t>
      </w:r>
    </w:p>
    <w:p>
      <w:pPr>
        <w:pStyle w:val="80"/>
        <w:numPr>
          <w:ilvl w:val="0"/>
          <w:numId w:val="9"/>
        </w:numPr>
        <w:adjustRightInd w:val="0"/>
        <w:snapToGrid w:val="0"/>
        <w:rPr>
          <w:rFonts w:hAnsi="宋体"/>
          <w:sz w:val="24"/>
          <w:szCs w:val="24"/>
        </w:rPr>
      </w:pPr>
      <w:r>
        <w:rPr>
          <w:rFonts w:hAnsi="宋体"/>
          <w:sz w:val="24"/>
          <w:szCs w:val="24"/>
        </w:rPr>
        <w:t>资金来源：企业自筹，已落实。</w:t>
      </w:r>
    </w:p>
    <w:p>
      <w:pPr>
        <w:pStyle w:val="80"/>
        <w:numPr>
          <w:ilvl w:val="0"/>
          <w:numId w:val="9"/>
        </w:numPr>
        <w:adjustRightInd w:val="0"/>
        <w:snapToGrid w:val="0"/>
        <w:rPr>
          <w:rFonts w:hAnsi="宋体"/>
          <w:sz w:val="24"/>
          <w:szCs w:val="24"/>
        </w:rPr>
      </w:pPr>
      <w:r>
        <w:rPr>
          <w:rFonts w:hint="eastAsia" w:hAnsi="宋体"/>
          <w:sz w:val="24"/>
          <w:szCs w:val="24"/>
        </w:rPr>
        <w:t>招标人信息：</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41"/>
          <w:rFonts w:hint="eastAsia"/>
        </w:rPr>
        <w:t>xieqin@sinotruk.com</w:t>
      </w:r>
      <w:r>
        <w:rPr>
          <w:rFonts w:hint="eastAsia"/>
        </w:rPr>
        <w:fldChar w:fldCharType="end"/>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甘朝勇</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电话：13983298715</w:t>
      </w:r>
    </w:p>
    <w:p>
      <w:pPr>
        <w:adjustRightInd w:val="0"/>
        <w:snapToGrid w:val="0"/>
        <w:spacing w:line="360" w:lineRule="auto"/>
        <w:ind w:left="420" w:leftChars="200"/>
        <w:jc w:val="left"/>
        <w:rPr>
          <w:rFonts w:hint="eastAsia" w:ascii="宋体" w:hAnsi="宋体"/>
          <w:sz w:val="24"/>
          <w:szCs w:val="24"/>
        </w:rPr>
      </w:pPr>
      <w:r>
        <w:rPr>
          <w:rFonts w:hint="eastAsia" w:ascii="宋体" w:hAnsi="宋体"/>
          <w:sz w:val="24"/>
          <w:szCs w:val="24"/>
        </w:rPr>
        <w:t>邮箱：ganchaoyong@sinotruk.com</w:t>
      </w:r>
    </w:p>
    <w:bookmarkEnd w:id="3"/>
    <w:p>
      <w:pPr>
        <w:pStyle w:val="76"/>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pPr>
        <w:numPr>
          <w:ilvl w:val="0"/>
          <w:numId w:val="10"/>
        </w:numPr>
        <w:spacing w:line="360" w:lineRule="auto"/>
        <w:rPr>
          <w:rFonts w:hint="eastAsia" w:ascii="宋体" w:hAnsi="宋体" w:eastAsia="宋体" w:cs="Times New Roman"/>
          <w:kern w:val="2"/>
          <w:sz w:val="24"/>
          <w:szCs w:val="24"/>
          <w:lang w:val="en-US" w:eastAsia="zh-CN" w:bidi="ar-SA"/>
        </w:rPr>
      </w:pPr>
      <w:bookmarkStart w:id="5" w:name="OLE_LINK2"/>
      <w:r>
        <w:rPr>
          <w:rFonts w:hint="eastAsia" w:ascii="宋体" w:hAnsi="宋体" w:eastAsia="宋体" w:cs="Times New Roman"/>
          <w:kern w:val="2"/>
          <w:sz w:val="24"/>
          <w:szCs w:val="24"/>
          <w:lang w:val="en-US" w:eastAsia="zh-CN" w:bidi="ar-SA"/>
        </w:rPr>
        <w:t>投标人必须具有有效营业执照，其经营范围必须满足本项目实施的要求，并依法取得有关资质许可、项目授权。注册资本500万元以上，具有建筑工程施工总承包三级及以上、建筑装饰装修工程专业总承包三级及以上、钢结构工程专业承包三级及以上建筑企业资质证书等</w:t>
      </w:r>
      <w:r>
        <w:rPr>
          <w:rFonts w:hint="eastAsia" w:ascii="宋体" w:hAnsi="宋体" w:cs="Times New Roman"/>
          <w:kern w:val="2"/>
          <w:sz w:val="24"/>
          <w:szCs w:val="24"/>
          <w:lang w:val="en-US" w:eastAsia="zh-CN" w:bidi="ar-SA"/>
        </w:rPr>
        <w:t>，三个资质证书必须同时具备</w:t>
      </w:r>
      <w:r>
        <w:rPr>
          <w:rFonts w:hint="eastAsia" w:ascii="宋体" w:hAnsi="宋体" w:eastAsia="宋体" w:cs="Times New Roman"/>
          <w:kern w:val="2"/>
          <w:sz w:val="24"/>
          <w:szCs w:val="24"/>
          <w:lang w:val="en-US" w:eastAsia="zh-CN" w:bidi="ar-SA"/>
        </w:rPr>
        <w:t>。</w:t>
      </w:r>
    </w:p>
    <w:p>
      <w:pPr>
        <w:numPr>
          <w:ilvl w:val="0"/>
          <w:numId w:val="0"/>
        </w:numPr>
        <w:spacing w:line="360" w:lineRule="auto"/>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2.投标人应有足够的从事本项目的专业人员队伍。</w:t>
      </w:r>
    </w:p>
    <w:p>
      <w:pPr>
        <w:numPr>
          <w:ilvl w:val="0"/>
          <w:numId w:val="0"/>
        </w:numPr>
        <w:spacing w:line="360" w:lineRule="auto"/>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3.投标方满足技术、质量、资金等要求，财务状况良好、经营稳定，具有全面履约的能力。</w:t>
      </w:r>
    </w:p>
    <w:p>
      <w:pPr>
        <w:numPr>
          <w:ilvl w:val="0"/>
          <w:numId w:val="0"/>
        </w:numPr>
        <w:spacing w:line="360" w:lineRule="auto"/>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4.</w:t>
      </w:r>
      <w:r>
        <w:rPr>
          <w:rFonts w:hint="eastAsia" w:ascii="宋体" w:hAnsi="宋体" w:eastAsia="宋体" w:cs="Times New Roman"/>
          <w:kern w:val="2"/>
          <w:sz w:val="24"/>
          <w:szCs w:val="24"/>
          <w:lang w:val="en-US" w:eastAsia="zh-CN" w:bidi="ar-SA"/>
        </w:rPr>
        <w:t>投标方有专业售后服务团队，满足我司售后服务要求。</w:t>
      </w:r>
    </w:p>
    <w:p>
      <w:pPr>
        <w:numPr>
          <w:ilvl w:val="0"/>
          <w:numId w:val="0"/>
        </w:numPr>
        <w:spacing w:line="360" w:lineRule="auto"/>
        <w:rPr>
          <w:rFonts w:hint="eastAsia" w:ascii="宋体" w:hAnsi="宋体" w:cs="Times New Roman"/>
          <w:sz w:val="24"/>
          <w:szCs w:val="24"/>
          <w:lang w:val="en-US" w:eastAsia="zh-CN"/>
        </w:rPr>
      </w:pPr>
      <w:r>
        <w:rPr>
          <w:rFonts w:hint="eastAsia" w:ascii="宋体" w:hAnsi="宋体" w:cs="Times New Roman"/>
          <w:kern w:val="2"/>
          <w:sz w:val="24"/>
          <w:szCs w:val="24"/>
          <w:lang w:val="en-US" w:eastAsia="zh-CN" w:bidi="ar-SA"/>
        </w:rPr>
        <w:t>5.</w:t>
      </w:r>
      <w:r>
        <w:rPr>
          <w:rFonts w:hint="eastAsia" w:ascii="宋体" w:hAnsi="宋体" w:eastAsia="宋体" w:cs="Times New Roman"/>
          <w:kern w:val="2"/>
          <w:sz w:val="24"/>
          <w:szCs w:val="24"/>
          <w:lang w:val="en-US" w:eastAsia="zh-CN" w:bidi="ar-SA"/>
        </w:rPr>
        <w:t>投标方信誉良好，无违法违规等不良行为，近三</w:t>
      </w:r>
      <w:r>
        <w:rPr>
          <w:rFonts w:hint="eastAsia" w:ascii="宋体" w:hAnsi="宋体" w:cs="Times New Roman"/>
          <w:sz w:val="24"/>
          <w:szCs w:val="24"/>
          <w:lang w:val="en-US" w:eastAsia="zh-CN"/>
        </w:rPr>
        <w:t>年内无违法及重大违规记录，未受到过消防部门、应急部门的处罚；</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6.无招标违规、谎报年度报告信息、提供虚假资质资料等行为或其他行政处罚记录。</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7.投标方的直接或间接股东、法定代表人、董事、监事、高管非重汽员工及其亲属。</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8.没有被中国重汽集团列入黑名单。</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9.法律法规对合格投标方的其他要求、规定。</w:t>
      </w:r>
    </w:p>
    <w:p>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10.不接受联合体投标。</w:t>
      </w:r>
    </w:p>
    <w:bookmarkEnd w:id="5"/>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pPr>
        <w:pStyle w:val="80"/>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4</w:t>
      </w:r>
      <w:r>
        <w:rPr>
          <w:rFonts w:hint="eastAsia" w:hAnsi="宋体"/>
          <w:sz w:val="24"/>
          <w:szCs w:val="24"/>
          <w:u w:val="single"/>
        </w:rPr>
        <w:t>月</w:t>
      </w:r>
      <w:r>
        <w:rPr>
          <w:rFonts w:hint="eastAsia" w:hAnsi="宋体"/>
          <w:sz w:val="24"/>
          <w:szCs w:val="24"/>
          <w:u w:val="single"/>
          <w:lang w:val="en-US" w:eastAsia="zh-CN"/>
        </w:rPr>
        <w:t>3</w:t>
      </w:r>
      <w:r>
        <w:rPr>
          <w:rFonts w:hint="eastAsia" w:hAnsi="宋体"/>
          <w:sz w:val="24"/>
          <w:szCs w:val="24"/>
          <w:u w:val="single"/>
        </w:rPr>
        <w:t>日；</w:t>
      </w:r>
    </w:p>
    <w:p>
      <w:pPr>
        <w:pStyle w:val="80"/>
        <w:numPr>
          <w:ilvl w:val="0"/>
          <w:numId w:val="11"/>
        </w:numPr>
        <w:adjustRightInd w:val="0"/>
        <w:snapToGrid w:val="0"/>
        <w:rPr>
          <w:rFonts w:hAnsi="宋体"/>
          <w:sz w:val="24"/>
          <w:szCs w:val="24"/>
        </w:rPr>
      </w:pPr>
      <w:r>
        <w:rPr>
          <w:rFonts w:hint="eastAsia" w:hAnsi="宋体"/>
          <w:sz w:val="24"/>
          <w:szCs w:val="24"/>
        </w:rPr>
        <w:t>投标报名</w:t>
      </w:r>
    </w:p>
    <w:p>
      <w:pPr>
        <w:pStyle w:val="80"/>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4</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10</w:t>
      </w:r>
      <w:r>
        <w:rPr>
          <w:rFonts w:hint="eastAsia" w:hAnsi="宋体" w:cs="宋体"/>
          <w:sz w:val="24"/>
          <w:szCs w:val="24"/>
          <w:highlight w:val="none"/>
          <w:u w:val="single"/>
        </w:rPr>
        <w:t>日17:00:00（北京时间）</w:t>
      </w:r>
      <w:r>
        <w:rPr>
          <w:rFonts w:hint="eastAsia" w:hAnsi="宋体"/>
          <w:sz w:val="24"/>
          <w:szCs w:val="24"/>
          <w:u w:val="single"/>
        </w:rPr>
        <w:t>；</w:t>
      </w:r>
    </w:p>
    <w:p>
      <w:pPr>
        <w:pStyle w:val="80"/>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pPr>
        <w:pStyle w:val="80"/>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pPr>
        <w:pStyle w:val="80"/>
        <w:numPr>
          <w:ilvl w:val="0"/>
          <w:numId w:val="11"/>
        </w:numPr>
        <w:adjustRightInd w:val="0"/>
        <w:snapToGrid w:val="0"/>
        <w:rPr>
          <w:rFonts w:hAnsi="宋体"/>
          <w:sz w:val="24"/>
          <w:szCs w:val="24"/>
        </w:rPr>
      </w:pPr>
      <w:r>
        <w:rPr>
          <w:rFonts w:hint="eastAsia" w:hAnsi="宋体"/>
          <w:sz w:val="24"/>
          <w:szCs w:val="24"/>
        </w:rPr>
        <w:t>招标文件获取</w:t>
      </w:r>
    </w:p>
    <w:p>
      <w:pPr>
        <w:pStyle w:val="80"/>
        <w:numPr>
          <w:ilvl w:val="1"/>
          <w:numId w:val="13"/>
        </w:numPr>
        <w:adjustRightInd w:val="0"/>
        <w:snapToGrid w:val="0"/>
        <w:ind w:left="420"/>
        <w:rPr>
          <w:rFonts w:hAnsi="宋体"/>
          <w:sz w:val="24"/>
          <w:szCs w:val="24"/>
        </w:rPr>
      </w:pPr>
      <w:r>
        <w:rPr>
          <w:rFonts w:hint="eastAsia" w:hAnsi="宋体"/>
          <w:sz w:val="24"/>
          <w:szCs w:val="24"/>
        </w:rPr>
        <w:t>获取时间：报名成功后；</w:t>
      </w:r>
    </w:p>
    <w:p>
      <w:pPr>
        <w:pStyle w:val="80"/>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pPr>
        <w:pStyle w:val="80"/>
        <w:numPr>
          <w:ilvl w:val="0"/>
          <w:numId w:val="11"/>
        </w:numPr>
        <w:adjustRightInd w:val="0"/>
        <w:snapToGrid w:val="0"/>
        <w:rPr>
          <w:rFonts w:hAnsi="宋体"/>
          <w:sz w:val="24"/>
          <w:szCs w:val="24"/>
        </w:rPr>
      </w:pPr>
      <w:r>
        <w:rPr>
          <w:rFonts w:hint="eastAsia" w:hAnsi="宋体"/>
          <w:sz w:val="24"/>
          <w:szCs w:val="24"/>
        </w:rPr>
        <w:t>疑问提交</w:t>
      </w:r>
    </w:p>
    <w:p>
      <w:pPr>
        <w:pStyle w:val="80"/>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4</w:t>
      </w:r>
      <w:r>
        <w:rPr>
          <w:rFonts w:hint="eastAsia" w:hAnsi="宋体"/>
          <w:sz w:val="24"/>
          <w:szCs w:val="24"/>
          <w:u w:val="single"/>
        </w:rPr>
        <w:t>月</w:t>
      </w:r>
      <w:r>
        <w:rPr>
          <w:rFonts w:hint="eastAsia" w:hAnsi="宋体"/>
          <w:sz w:val="24"/>
          <w:szCs w:val="24"/>
          <w:u w:val="single"/>
          <w:lang w:val="en-US" w:eastAsia="zh-CN"/>
        </w:rPr>
        <w:t>12</w:t>
      </w:r>
      <w:r>
        <w:rPr>
          <w:rFonts w:hint="eastAsia" w:hAnsi="宋体"/>
          <w:sz w:val="24"/>
          <w:szCs w:val="24"/>
          <w:u w:val="single"/>
        </w:rPr>
        <w:t>日17:00:00（北京时间）；</w:t>
      </w:r>
    </w:p>
    <w:p>
      <w:pPr>
        <w:pStyle w:val="80"/>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pPr>
        <w:pStyle w:val="80"/>
        <w:numPr>
          <w:ilvl w:val="0"/>
          <w:numId w:val="11"/>
        </w:numPr>
        <w:adjustRightInd w:val="0"/>
        <w:snapToGrid w:val="0"/>
        <w:rPr>
          <w:rFonts w:hAnsi="宋体"/>
          <w:sz w:val="24"/>
          <w:szCs w:val="24"/>
        </w:rPr>
      </w:pPr>
      <w:r>
        <w:rPr>
          <w:rFonts w:hint="eastAsia" w:hAnsi="宋体"/>
          <w:sz w:val="24"/>
          <w:szCs w:val="24"/>
        </w:rPr>
        <w:t>答疑、澄清和修改文件的获取</w:t>
      </w:r>
    </w:p>
    <w:p>
      <w:pPr>
        <w:pStyle w:val="80"/>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4</w:t>
      </w:r>
      <w:r>
        <w:rPr>
          <w:rFonts w:hint="eastAsia" w:hAnsi="宋体"/>
          <w:sz w:val="24"/>
          <w:szCs w:val="24"/>
          <w:highlight w:val="none"/>
          <w:u w:val="single"/>
        </w:rPr>
        <w:t>月</w:t>
      </w:r>
      <w:r>
        <w:rPr>
          <w:rFonts w:hint="eastAsia" w:hAnsi="宋体"/>
          <w:sz w:val="24"/>
          <w:szCs w:val="24"/>
          <w:highlight w:val="none"/>
          <w:u w:val="single"/>
          <w:lang w:val="en-US" w:eastAsia="zh-CN"/>
        </w:rPr>
        <w:t>13</w:t>
      </w:r>
      <w:r>
        <w:rPr>
          <w:rFonts w:hint="eastAsia" w:hAnsi="宋体"/>
          <w:sz w:val="24"/>
          <w:szCs w:val="24"/>
          <w:highlight w:val="none"/>
          <w:u w:val="single"/>
        </w:rPr>
        <w:t>日17:00前；</w:t>
      </w:r>
    </w:p>
    <w:p>
      <w:pPr>
        <w:pStyle w:val="80"/>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pPr>
        <w:pStyle w:val="76"/>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pPr>
        <w:pStyle w:val="80"/>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pPr>
        <w:pStyle w:val="80"/>
        <w:numPr>
          <w:ilvl w:val="0"/>
          <w:numId w:val="17"/>
        </w:numPr>
        <w:adjustRightInd w:val="0"/>
        <w:snapToGrid w:val="0"/>
        <w:rPr>
          <w:rFonts w:hint="eastAsia" w:ascii="宋体" w:hAnsi="宋体" w:eastAsia="宋体" w:cs="Times New Roman"/>
          <w:kern w:val="2"/>
          <w:sz w:val="24"/>
          <w:szCs w:val="24"/>
          <w:lang w:val="en-US" w:eastAsia="zh-CN" w:bidi="ar-SA"/>
        </w:rPr>
      </w:pPr>
      <w:r>
        <w:rPr>
          <w:rFonts w:hint="eastAsia" w:hAnsi="宋体" w:cs="黑体"/>
          <w:bCs/>
          <w:sz w:val="24"/>
          <w:szCs w:val="24"/>
        </w:rPr>
        <w:t>资质文件</w:t>
      </w:r>
    </w:p>
    <w:p>
      <w:pPr>
        <w:pStyle w:val="80"/>
        <w:numPr>
          <w:ilvl w:val="0"/>
          <w:numId w:val="18"/>
        </w:numPr>
        <w:adjustRightInd w:val="0"/>
        <w:snapToGrid w:val="0"/>
        <w:ind w:left="420" w:leftChars="200"/>
        <w:rPr>
          <w:rFonts w:hAnsi="宋体"/>
          <w:sz w:val="24"/>
          <w:szCs w:val="24"/>
        </w:rPr>
      </w:pPr>
      <w:r>
        <w:rPr>
          <w:rFonts w:hint="eastAsia" w:hAnsi="宋体"/>
          <w:sz w:val="24"/>
          <w:szCs w:val="24"/>
          <w:lang w:val="en-US" w:eastAsia="zh-CN"/>
        </w:rPr>
        <w:t>具有</w:t>
      </w:r>
      <w:r>
        <w:rPr>
          <w:rFonts w:hint="eastAsia" w:ascii="宋体" w:hAnsi="宋体" w:eastAsia="宋体" w:cs="Times New Roman"/>
          <w:kern w:val="2"/>
          <w:sz w:val="24"/>
          <w:szCs w:val="24"/>
          <w:lang w:val="en-US" w:eastAsia="zh-CN" w:bidi="ar-SA"/>
        </w:rPr>
        <w:t>建筑工程施工总承包三级及以上、建筑装饰装修工程专业总承包三级及以上、钢结构工程专业承包三级及以上建筑企业资质证书等</w:t>
      </w:r>
      <w:r>
        <w:rPr>
          <w:rFonts w:hint="eastAsia" w:ascii="宋体" w:hAnsi="宋体" w:cs="Times New Roman"/>
          <w:kern w:val="2"/>
          <w:sz w:val="24"/>
          <w:szCs w:val="24"/>
          <w:lang w:val="en-US" w:eastAsia="zh-CN" w:bidi="ar-SA"/>
        </w:rPr>
        <w:t>，三个资质证书必须同时具备</w:t>
      </w:r>
      <w:r>
        <w:rPr>
          <w:rFonts w:hint="eastAsia" w:ascii="宋体" w:hAnsi="宋体" w:eastAsia="宋体" w:cs="Times New Roman"/>
          <w:kern w:val="2"/>
          <w:sz w:val="24"/>
          <w:szCs w:val="24"/>
          <w:lang w:val="en-US" w:eastAsia="zh-CN" w:bidi="ar-SA"/>
        </w:rPr>
        <w:t>。</w:t>
      </w:r>
    </w:p>
    <w:p>
      <w:pPr>
        <w:pStyle w:val="80"/>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pPr>
        <w:pStyle w:val="80"/>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pPr>
        <w:pStyle w:val="80"/>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pPr>
        <w:pStyle w:val="80"/>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pPr>
        <w:pStyle w:val="80"/>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pPr>
        <w:pStyle w:val="80"/>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pPr>
        <w:pStyle w:val="80"/>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pPr>
        <w:pStyle w:val="80"/>
        <w:numPr>
          <w:ilvl w:val="0"/>
          <w:numId w:val="18"/>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pPr>
        <w:pStyle w:val="80"/>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pPr>
        <w:pStyle w:val="80"/>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pPr>
        <w:pStyle w:val="80"/>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pPr>
        <w:pStyle w:val="80"/>
        <w:numPr>
          <w:ilvl w:val="0"/>
          <w:numId w:val="17"/>
        </w:numPr>
        <w:adjustRightInd w:val="0"/>
        <w:snapToGrid w:val="0"/>
        <w:rPr>
          <w:rFonts w:hAnsi="宋体" w:cs="黑体"/>
          <w:bCs/>
          <w:sz w:val="24"/>
          <w:szCs w:val="24"/>
        </w:rPr>
      </w:pPr>
      <w:r>
        <w:rPr>
          <w:rFonts w:hint="eastAsia" w:hAnsi="宋体" w:cs="黑体"/>
          <w:bCs/>
          <w:sz w:val="24"/>
          <w:szCs w:val="24"/>
        </w:rPr>
        <w:t>商务标</w:t>
      </w:r>
    </w:p>
    <w:p>
      <w:pPr>
        <w:pStyle w:val="80"/>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pPr>
        <w:pStyle w:val="80"/>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pPr>
        <w:pStyle w:val="80"/>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pPr>
        <w:pStyle w:val="80"/>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pPr>
        <w:pStyle w:val="76"/>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pPr>
        <w:pStyle w:val="80"/>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pPr>
        <w:pStyle w:val="80"/>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4</w:t>
      </w:r>
      <w:r>
        <w:rPr>
          <w:rFonts w:hint="eastAsia" w:hAnsi="宋体"/>
          <w:sz w:val="24"/>
          <w:szCs w:val="24"/>
          <w:highlight w:val="none"/>
          <w:u w:val="single"/>
        </w:rPr>
        <w:t>月</w:t>
      </w:r>
      <w:r>
        <w:rPr>
          <w:rFonts w:hint="eastAsia" w:hAnsi="宋体"/>
          <w:sz w:val="24"/>
          <w:szCs w:val="24"/>
          <w:highlight w:val="none"/>
          <w:u w:val="single"/>
          <w:lang w:val="en-US" w:eastAsia="zh-CN"/>
        </w:rPr>
        <w:t>16</w:t>
      </w:r>
      <w:r>
        <w:rPr>
          <w:rFonts w:hint="eastAsia" w:hAnsi="宋体"/>
          <w:sz w:val="24"/>
          <w:szCs w:val="24"/>
          <w:highlight w:val="none"/>
          <w:u w:val="single"/>
        </w:rPr>
        <w:t>日17:00:00（北京时间）</w:t>
      </w:r>
    </w:p>
    <w:p>
      <w:pPr>
        <w:pStyle w:val="76"/>
        <w:adjustRightInd w:val="0"/>
        <w:snapToGrid w:val="0"/>
        <w:ind w:left="0" w:firstLine="0"/>
        <w:jc w:val="left"/>
        <w:outlineLvl w:val="9"/>
        <w:rPr>
          <w:rFonts w:ascii="宋体" w:hAnsi="宋体" w:eastAsia="宋体"/>
          <w:sz w:val="24"/>
          <w:szCs w:val="24"/>
        </w:rPr>
      </w:pPr>
      <w:bookmarkStart w:id="6" w:name="_Toc47976601"/>
      <w:r>
        <w:rPr>
          <w:rFonts w:hint="eastAsia" w:ascii="宋体" w:hAnsi="宋体" w:eastAsia="宋体"/>
          <w:sz w:val="24"/>
          <w:szCs w:val="24"/>
        </w:rPr>
        <w:t>投标保证金收取、缴纳有效期及罚没</w:t>
      </w:r>
    </w:p>
    <w:p>
      <w:pPr>
        <w:pStyle w:val="76"/>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pPr>
        <w:pStyle w:val="80"/>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pPr>
        <w:pStyle w:val="80"/>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pPr>
        <w:pStyle w:val="80"/>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pPr>
        <w:pStyle w:val="80"/>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10000</w:t>
      </w:r>
      <w:r>
        <w:rPr>
          <w:rFonts w:hint="eastAsia" w:hAnsi="宋体"/>
          <w:sz w:val="24"/>
          <w:szCs w:val="24"/>
        </w:rPr>
        <w:t>元</w:t>
      </w:r>
    </w:p>
    <w:p>
      <w:pPr>
        <w:pStyle w:val="80"/>
        <w:adjustRightInd w:val="0"/>
        <w:snapToGrid w:val="0"/>
        <w:ind w:left="420" w:leftChars="200"/>
        <w:rPr>
          <w:rFonts w:hAnsi="宋体"/>
          <w:sz w:val="24"/>
          <w:szCs w:val="24"/>
        </w:rPr>
      </w:pPr>
      <w:r>
        <w:rPr>
          <w:rFonts w:hint="eastAsia" w:hAnsi="宋体"/>
          <w:sz w:val="24"/>
          <w:szCs w:val="24"/>
        </w:rPr>
        <w:t>单位名称：重汽（重庆）轻型汽车有限公司</w:t>
      </w:r>
    </w:p>
    <w:p>
      <w:pPr>
        <w:pStyle w:val="80"/>
        <w:adjustRightInd w:val="0"/>
        <w:snapToGrid w:val="0"/>
        <w:ind w:left="420" w:leftChars="200"/>
        <w:rPr>
          <w:rFonts w:hAnsi="宋体"/>
          <w:sz w:val="24"/>
          <w:szCs w:val="24"/>
        </w:rPr>
      </w:pPr>
      <w:r>
        <w:rPr>
          <w:rFonts w:hint="eastAsia" w:hAnsi="宋体"/>
          <w:sz w:val="24"/>
          <w:szCs w:val="24"/>
        </w:rPr>
        <w:t>收款账号：8112501012801267437</w:t>
      </w:r>
    </w:p>
    <w:p>
      <w:pPr>
        <w:pStyle w:val="80"/>
        <w:adjustRightInd w:val="0"/>
        <w:snapToGrid w:val="0"/>
        <w:ind w:left="420" w:leftChars="200"/>
        <w:rPr>
          <w:rFonts w:hAnsi="宋体"/>
          <w:sz w:val="24"/>
          <w:szCs w:val="24"/>
        </w:rPr>
      </w:pPr>
      <w:r>
        <w:rPr>
          <w:rFonts w:hint="eastAsia" w:hAnsi="宋体"/>
          <w:sz w:val="24"/>
          <w:szCs w:val="24"/>
        </w:rPr>
        <w:t>开户行名称：中信银行济南舜耕支行</w:t>
      </w:r>
    </w:p>
    <w:p>
      <w:pPr>
        <w:pStyle w:val="80"/>
        <w:adjustRightInd w:val="0"/>
        <w:snapToGrid w:val="0"/>
        <w:ind w:left="420" w:leftChars="200"/>
        <w:rPr>
          <w:rFonts w:hAnsi="宋体"/>
          <w:sz w:val="24"/>
          <w:szCs w:val="24"/>
        </w:rPr>
      </w:pPr>
      <w:r>
        <w:rPr>
          <w:rFonts w:hint="eastAsia" w:hAnsi="宋体"/>
          <w:sz w:val="24"/>
          <w:szCs w:val="24"/>
        </w:rPr>
        <w:t>开户行行号：302451037264</w:t>
      </w:r>
    </w:p>
    <w:p>
      <w:pPr>
        <w:pStyle w:val="80"/>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pPr>
        <w:pStyle w:val="80"/>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4</w:t>
      </w:r>
      <w:r>
        <w:rPr>
          <w:rFonts w:hint="eastAsia" w:hAnsi="宋体" w:eastAsia="答疑"/>
          <w:sz w:val="24"/>
          <w:szCs w:val="24"/>
          <w:highlight w:val="none"/>
          <w:u w:val="single"/>
        </w:rPr>
        <w:t>月</w:t>
      </w:r>
      <w:r>
        <w:rPr>
          <w:rFonts w:hint="eastAsia" w:hAnsi="宋体"/>
          <w:sz w:val="24"/>
          <w:szCs w:val="24"/>
          <w:highlight w:val="none"/>
          <w:u w:val="single"/>
          <w:lang w:val="en-US" w:eastAsia="zh-CN"/>
        </w:rPr>
        <w:t>16</w:t>
      </w:r>
      <w:r>
        <w:rPr>
          <w:rFonts w:hint="eastAsia" w:hAnsi="宋体" w:eastAsia="答疑"/>
          <w:sz w:val="24"/>
          <w:szCs w:val="24"/>
          <w:highlight w:val="none"/>
          <w:u w:val="single"/>
        </w:rPr>
        <w:t>日17:00:00（北京时间）</w:t>
      </w:r>
    </w:p>
    <w:p>
      <w:pPr>
        <w:pStyle w:val="76"/>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pPr>
        <w:pStyle w:val="76"/>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pPr>
        <w:pStyle w:val="80"/>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pPr>
        <w:pStyle w:val="80"/>
        <w:numPr>
          <w:ilvl w:val="0"/>
          <w:numId w:val="23"/>
        </w:numPr>
        <w:adjustRightInd w:val="0"/>
        <w:snapToGrid w:val="0"/>
        <w:rPr>
          <w:rFonts w:hAnsi="宋体"/>
          <w:sz w:val="24"/>
          <w:szCs w:val="24"/>
        </w:rPr>
      </w:pPr>
      <w:r>
        <w:rPr>
          <w:rFonts w:hint="eastAsia" w:hAnsi="宋体"/>
          <w:sz w:val="24"/>
          <w:szCs w:val="24"/>
        </w:rPr>
        <w:t>供应商在响应文件中提供虚假材料的；</w:t>
      </w:r>
    </w:p>
    <w:p>
      <w:pPr>
        <w:pStyle w:val="80"/>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pPr>
        <w:pStyle w:val="80"/>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pPr>
        <w:pStyle w:val="80"/>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pPr>
        <w:pStyle w:val="80"/>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pPr>
        <w:pStyle w:val="80"/>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pPr>
        <w:pStyle w:val="80"/>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6"/>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pPr>
        <w:pStyle w:val="80"/>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4</w:t>
      </w:r>
      <w:r>
        <w:rPr>
          <w:rFonts w:hint="eastAsia" w:hAnsi="宋体" w:cs="宋体"/>
          <w:sz w:val="24"/>
          <w:szCs w:val="24"/>
          <w:highlight w:val="none"/>
        </w:rPr>
        <w:t>月</w:t>
      </w:r>
      <w:r>
        <w:rPr>
          <w:rFonts w:hint="eastAsia" w:hAnsi="宋体" w:cs="宋体"/>
          <w:sz w:val="24"/>
          <w:szCs w:val="24"/>
          <w:highlight w:val="none"/>
          <w:lang w:val="en-US" w:eastAsia="zh-CN"/>
        </w:rPr>
        <w:t>17</w:t>
      </w:r>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pPr>
        <w:pStyle w:val="80"/>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pPr>
        <w:pStyle w:val="80"/>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pPr>
        <w:pStyle w:val="76"/>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4"/>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维修实施方案</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1）整体方案完整可行，含日常维保、应急抢修、施工组织、验收移交全理财。（针对性强，编制完整得25-30分）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2）方案较完整，流程基本清晰、满足需求（得20-25分）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3）方案简单、缺失关键环节，针对性一般（得10-20分）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4）未提供者（得0分）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技术于质量保障措施</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1）质量标准明确、工艺规范、材料管控、验收节点清晰，措施可靠（得25-30分）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2）质量措施较为完善，基本满足要求（得18-25分）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3）措施简单，质量控制不足（得1-18分）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4）无措施（得0分）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bl>
    <w:p/>
    <w:tbl>
      <w:tblPr>
        <w:tblStyle w:val="34"/>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安全文明与环保措施</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1）安全制度、现场防护、动火/高空/用电规范、文明施工、降噪防尘齐全（得12-20分）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2）措施齐全、基本满足要求（8-12分）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3）措施缺失较多，存在风险（得1-8分）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4）无措施（得0分）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20</w:t>
            </w:r>
          </w:p>
        </w:tc>
        <w:tc>
          <w:tcPr>
            <w:tcW w:w="854" w:type="dxa"/>
            <w:tcBorders>
              <w:top w:val="single" w:color="000000" w:sz="4" w:space="0"/>
              <w:left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1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人员与资源配置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1）项目负责人/技改等持证齐全，固定班组、工具设备、备品备件充足（得7-10分）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2）人员设备基本满足，无明显短板（得4-7分）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3）配置不足、难以保障响应（得1-3分）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4）未提供（得0分）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1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5</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响应与售后服务</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1）响应时间≤30分钟、到场≤1小时，急修限时完成，回访保修完善（得4-5分）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2）响应及时，售后基本满足要求（得2-3分）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3）响应慢、承诺不明确（得1分）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4）未提供（得0分）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1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6</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重难点应对与预案</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1）识别现场难点，有停水停电、夜间施工、交叉作业等预案（得4-5分）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2）有简单预案（得1-3分）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3）未提供（得0分）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bl>
    <w:p>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pPr>
        <w:pStyle w:val="76"/>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pPr>
        <w:pStyle w:val="80"/>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pPr>
        <w:pStyle w:val="80"/>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pPr>
        <w:pStyle w:val="80"/>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pPr>
        <w:pStyle w:val="76"/>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80"/>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pPr>
        <w:pStyle w:val="80"/>
        <w:numPr>
          <w:ilvl w:val="1"/>
          <w:numId w:val="28"/>
        </w:numPr>
        <w:adjustRightInd w:val="0"/>
        <w:snapToGrid w:val="0"/>
        <w:rPr>
          <w:rFonts w:hAnsi="宋体"/>
          <w:sz w:val="24"/>
          <w:szCs w:val="24"/>
        </w:rPr>
      </w:pPr>
      <w:r>
        <w:rPr>
          <w:rFonts w:hint="eastAsia" w:hAnsi="宋体"/>
          <w:sz w:val="24"/>
          <w:szCs w:val="24"/>
        </w:rPr>
        <w:t>投标人在报价有效期内撤回投标；</w:t>
      </w:r>
    </w:p>
    <w:p>
      <w:pPr>
        <w:pStyle w:val="80"/>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pPr>
        <w:pStyle w:val="80"/>
        <w:numPr>
          <w:ilvl w:val="1"/>
          <w:numId w:val="28"/>
        </w:numPr>
        <w:adjustRightInd w:val="0"/>
        <w:snapToGrid w:val="0"/>
        <w:rPr>
          <w:rFonts w:hAnsi="宋体"/>
          <w:sz w:val="24"/>
          <w:szCs w:val="24"/>
        </w:rPr>
      </w:pPr>
      <w:r>
        <w:rPr>
          <w:rFonts w:hint="eastAsia" w:hAnsi="宋体"/>
          <w:sz w:val="24"/>
          <w:szCs w:val="24"/>
        </w:rPr>
        <w:t>投标人以任何方式诋毁其他投标人；</w:t>
      </w:r>
    </w:p>
    <w:p>
      <w:pPr>
        <w:pStyle w:val="80"/>
        <w:numPr>
          <w:ilvl w:val="1"/>
          <w:numId w:val="28"/>
        </w:numPr>
        <w:adjustRightInd w:val="0"/>
        <w:snapToGrid w:val="0"/>
        <w:rPr>
          <w:rFonts w:hAnsi="宋体"/>
          <w:sz w:val="24"/>
          <w:szCs w:val="24"/>
        </w:rPr>
      </w:pPr>
      <w:r>
        <w:rPr>
          <w:rFonts w:hint="eastAsia" w:hAnsi="宋体"/>
          <w:sz w:val="24"/>
          <w:szCs w:val="24"/>
        </w:rPr>
        <w:t>投标人串通投标；</w:t>
      </w:r>
    </w:p>
    <w:p>
      <w:pPr>
        <w:pStyle w:val="80"/>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pPr>
        <w:pStyle w:val="80"/>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pPr>
        <w:pStyle w:val="80"/>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pPr>
        <w:pStyle w:val="80"/>
        <w:numPr>
          <w:ilvl w:val="1"/>
          <w:numId w:val="28"/>
        </w:numPr>
        <w:adjustRightInd w:val="0"/>
        <w:snapToGrid w:val="0"/>
        <w:rPr>
          <w:rFonts w:hAnsi="宋体"/>
          <w:sz w:val="24"/>
          <w:szCs w:val="24"/>
        </w:rPr>
      </w:pPr>
      <w:r>
        <w:rPr>
          <w:rFonts w:hint="eastAsia" w:hAnsi="宋体"/>
          <w:sz w:val="24"/>
          <w:szCs w:val="24"/>
        </w:rPr>
        <w:t>有效投标不足三家；</w:t>
      </w:r>
    </w:p>
    <w:p>
      <w:pPr>
        <w:pStyle w:val="80"/>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pPr>
        <w:pStyle w:val="80"/>
        <w:numPr>
          <w:ilvl w:val="1"/>
          <w:numId w:val="28"/>
        </w:numPr>
        <w:adjustRightInd w:val="0"/>
        <w:snapToGrid w:val="0"/>
        <w:rPr>
          <w:rFonts w:hAnsi="宋体"/>
          <w:sz w:val="24"/>
          <w:szCs w:val="24"/>
        </w:rPr>
      </w:pPr>
      <w:r>
        <w:rPr>
          <w:rFonts w:hint="eastAsia" w:hAnsi="宋体"/>
          <w:sz w:val="24"/>
          <w:szCs w:val="24"/>
        </w:rPr>
        <w:t>投标人报价均超过最高限价的；</w:t>
      </w:r>
    </w:p>
    <w:p>
      <w:pPr>
        <w:pStyle w:val="80"/>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pPr>
        <w:pStyle w:val="80"/>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pPr>
        <w:pStyle w:val="80"/>
        <w:numPr>
          <w:ilvl w:val="1"/>
          <w:numId w:val="28"/>
        </w:numPr>
        <w:adjustRightInd w:val="0"/>
        <w:snapToGrid w:val="0"/>
        <w:rPr>
          <w:rFonts w:hAnsi="宋体"/>
          <w:sz w:val="24"/>
          <w:szCs w:val="24"/>
        </w:rPr>
      </w:pPr>
      <w:r>
        <w:rPr>
          <w:rFonts w:hint="eastAsia" w:hAnsi="宋体"/>
          <w:sz w:val="24"/>
          <w:szCs w:val="24"/>
        </w:rPr>
        <w:t>法律、法规规定的其他情况。</w:t>
      </w:r>
    </w:p>
    <w:p>
      <w:pPr>
        <w:pStyle w:val="76"/>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7" w:name="OLE_LINK27"/>
      <w:bookmarkStart w:id="8" w:name="OLE_LINK29"/>
      <w:bookmarkStart w:id="9" w:name="OLE_LINK26"/>
      <w:bookmarkStart w:id="10" w:name="OLE_LINK25"/>
      <w:bookmarkStart w:id="11" w:name="OLE_LINK28"/>
      <w:r>
        <w:rPr>
          <w:rFonts w:hint="eastAsia" w:ascii="宋体" w:hAnsi="宋体" w:cs="宋体"/>
          <w:sz w:val="24"/>
          <w:szCs w:val="24"/>
        </w:rPr>
        <w:t>；</w:t>
      </w:r>
      <w:bookmarkEnd w:id="7"/>
      <w:bookmarkEnd w:id="8"/>
      <w:bookmarkEnd w:id="9"/>
      <w:bookmarkEnd w:id="10"/>
      <w:bookmarkEnd w:id="11"/>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pPr>
        <w:pStyle w:val="76"/>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pPr>
        <w:pStyle w:val="76"/>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pPr>
        <w:pStyle w:val="80"/>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ascii="宋体" w:hAnsi="宋体" w:eastAsia="宋体" w:cs="Times New Roman"/>
          <w:sz w:val="24"/>
          <w:szCs w:val="24"/>
          <w:lang w:val="en-US"/>
        </w:rPr>
        <w:t>半年期商业汇票（包括银行承兑汇票和商业承兑汇票）</w:t>
      </w:r>
      <w:r>
        <w:rPr>
          <w:rFonts w:hint="eastAsia" w:ascii="宋体" w:hAnsi="宋体" w:eastAsia="宋体" w:cs="Times New Roman"/>
          <w:sz w:val="24"/>
          <w:szCs w:val="24"/>
        </w:rPr>
        <w:t>；</w:t>
      </w:r>
    </w:p>
    <w:p>
      <w:pPr>
        <w:pStyle w:val="80"/>
        <w:numPr>
          <w:ilvl w:val="0"/>
          <w:numId w:val="31"/>
        </w:numPr>
        <w:adjustRightInd w:val="0"/>
        <w:snapToGrid w:val="0"/>
        <w:rPr>
          <w:rFonts w:hint="eastAsia" w:ascii="宋体" w:hAnsi="宋体" w:eastAsia="宋体" w:cs="Times New Roman"/>
          <w:sz w:val="24"/>
          <w:szCs w:val="24"/>
          <w:lang w:val="en-US"/>
        </w:rPr>
      </w:pPr>
      <w:r>
        <w:rPr>
          <w:rFonts w:hint="eastAsia" w:hAnsi="宋体"/>
          <w:sz w:val="24"/>
          <w:szCs w:val="24"/>
        </w:rPr>
        <w:t>付款</w:t>
      </w:r>
      <w:r>
        <w:rPr>
          <w:rFonts w:hint="eastAsia" w:ascii="宋体" w:hAnsi="宋体" w:eastAsia="宋体" w:cs="Times New Roman"/>
          <w:sz w:val="24"/>
          <w:szCs w:val="24"/>
          <w:lang w:val="en-US"/>
        </w:rPr>
        <w:t>节点：每季度结算一次，</w:t>
      </w:r>
      <w:r>
        <w:rPr>
          <w:rFonts w:hint="eastAsia" w:ascii="宋体" w:hAnsi="宋体" w:eastAsia="宋体" w:cs="Times New Roman"/>
          <w:sz w:val="24"/>
          <w:szCs w:val="24"/>
          <w:lang w:val="en-US" w:eastAsia="zh-CN"/>
        </w:rPr>
        <w:t>季度结算金额=</w:t>
      </w:r>
      <w:r>
        <w:rPr>
          <w:rFonts w:hint="eastAsia" w:ascii="宋体" w:hAnsi="宋体" w:eastAsia="宋体" w:cs="Times New Roman"/>
          <w:sz w:val="24"/>
          <w:szCs w:val="24"/>
          <w:lang w:val="en-US"/>
        </w:rPr>
        <w:t>维修总额</w:t>
      </w:r>
      <w:r>
        <w:rPr>
          <w:rFonts w:hint="eastAsia" w:ascii="宋体" w:hAnsi="宋体" w:eastAsia="宋体" w:cs="Times New Roman"/>
          <w:sz w:val="24"/>
          <w:szCs w:val="24"/>
          <w:lang w:val="en-US" w:eastAsia="zh-CN"/>
        </w:rPr>
        <w:t>*(1-当月信息价下浮比例）*（1-结算整体让利系数），</w:t>
      </w:r>
      <w:r>
        <w:rPr>
          <w:rFonts w:hint="eastAsia" w:ascii="宋体" w:hAnsi="宋体" w:eastAsia="宋体" w:cs="Times New Roman"/>
          <w:sz w:val="24"/>
          <w:szCs w:val="24"/>
          <w:lang w:val="en-US"/>
        </w:rPr>
        <w:t>每季度</w:t>
      </w:r>
      <w:r>
        <w:rPr>
          <w:rFonts w:hint="eastAsia" w:ascii="宋体" w:hAnsi="宋体" w:eastAsia="宋体" w:cs="Times New Roman"/>
          <w:sz w:val="24"/>
          <w:szCs w:val="24"/>
          <w:lang w:val="en-US" w:eastAsia="zh-CN"/>
        </w:rPr>
        <w:t>完工项目结算审计完成后</w:t>
      </w:r>
      <w:r>
        <w:rPr>
          <w:rFonts w:hint="eastAsia" w:ascii="宋体" w:hAnsi="宋体" w:eastAsia="宋体" w:cs="Times New Roman"/>
          <w:sz w:val="24"/>
          <w:szCs w:val="24"/>
          <w:lang w:val="en-US"/>
        </w:rPr>
        <w:t>，招标人次月组织验收，验收合格后通知中标方开具有效增值税发票到招标人财务挂账，挂账后次月</w:t>
      </w:r>
      <w:r>
        <w:rPr>
          <w:rFonts w:hint="eastAsia" w:ascii="宋体" w:hAnsi="宋体" w:eastAsia="宋体" w:cs="Times New Roman"/>
          <w:sz w:val="24"/>
          <w:szCs w:val="24"/>
          <w:lang w:val="en-US" w:eastAsia="zh-CN"/>
        </w:rPr>
        <w:t>支付97%项目款，结算审计完成之日起满1年质保期后无息支付剩余3%质保金；</w:t>
      </w:r>
      <w:bookmarkStart w:id="27" w:name="_GoBack"/>
      <w:bookmarkEnd w:id="27"/>
    </w:p>
    <w:p>
      <w:pPr>
        <w:pStyle w:val="80"/>
        <w:numPr>
          <w:ilvl w:val="0"/>
          <w:numId w:val="31"/>
        </w:numPr>
        <w:adjustRightInd w:val="0"/>
        <w:snapToGrid w:val="0"/>
        <w:rPr>
          <w:rFonts w:hint="eastAsia" w:ascii="宋体" w:hAnsi="宋体" w:eastAsia="宋体" w:cs="Times New Roman"/>
          <w:sz w:val="24"/>
          <w:szCs w:val="24"/>
          <w:lang w:val="en-US"/>
        </w:rPr>
      </w:pPr>
      <w:r>
        <w:rPr>
          <w:rFonts w:hint="eastAsia" w:ascii="宋体" w:hAnsi="宋体" w:eastAsia="宋体" w:cs="Times New Roman"/>
          <w:sz w:val="24"/>
          <w:szCs w:val="24"/>
          <w:lang w:val="en-US" w:eastAsia="zh-CN"/>
        </w:rPr>
        <w:t>工程结算审计，由发包人委托造价咨询单位审计或自行审计，单次送审金额20万元及以上项目：对审计差额超过5%的部分，按审减额的5%计取审计费，由承包人支付；审增部分按实际审增额的5%计取审计费，由承包人支付给造价咨询单位，并出具审计费用结清单；单次送审金额20万元以下项目：送审金额*0.05%+（送审金额-审定金额）*1.0%，由承包人支付给造价咨询单位，并出具审计费用结清单。</w:t>
      </w:r>
    </w:p>
    <w:p>
      <w:pPr>
        <w:pStyle w:val="80"/>
        <w:adjustRightInd w:val="0"/>
        <w:snapToGrid w:val="0"/>
        <w:rPr>
          <w:rFonts w:hAnsi="宋体"/>
          <w:b/>
          <w:bCs/>
          <w:sz w:val="24"/>
          <w:szCs w:val="24"/>
        </w:rPr>
      </w:pPr>
      <w:r>
        <w:rPr>
          <w:rFonts w:hint="eastAsia" w:hAnsi="宋体"/>
          <w:b/>
          <w:bCs/>
          <w:sz w:val="24"/>
          <w:szCs w:val="24"/>
        </w:rPr>
        <w:t>付款方式及节点不允许偏离。</w:t>
      </w:r>
    </w:p>
    <w:p>
      <w:pPr>
        <w:pStyle w:val="76"/>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2" w:name="_Toc47976607"/>
    </w:p>
    <w:p>
      <w:pPr>
        <w:widowControl/>
        <w:adjustRightInd w:val="0"/>
        <w:snapToGrid w:val="0"/>
        <w:spacing w:line="360" w:lineRule="auto"/>
        <w:jc w:val="left"/>
        <w:rPr>
          <w:rFonts w:ascii="宋体" w:hAnsi="宋体"/>
          <w:b/>
          <w:bCs/>
          <w:sz w:val="24"/>
          <w:szCs w:val="24"/>
        </w:rPr>
      </w:pPr>
      <w:bookmarkStart w:id="13" w:name="_Toc16839"/>
      <w:r>
        <w:rPr>
          <w:rFonts w:ascii="宋体" w:hAnsi="宋体"/>
          <w:sz w:val="24"/>
          <w:szCs w:val="24"/>
        </w:rPr>
        <w:br w:type="page"/>
      </w:r>
    </w:p>
    <w:p>
      <w:pPr>
        <w:pStyle w:val="75"/>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2"/>
      <w:r>
        <w:rPr>
          <w:rFonts w:hint="eastAsia" w:ascii="宋体" w:hAnsi="宋体" w:eastAsia="宋体"/>
          <w:sz w:val="24"/>
          <w:szCs w:val="24"/>
        </w:rPr>
        <w:t>技术标书</w:t>
      </w:r>
      <w:bookmarkEnd w:id="13"/>
    </w:p>
    <w:p>
      <w:pPr>
        <w:adjustRightInd w:val="0"/>
        <w:snapToGrid w:val="0"/>
        <w:spacing w:line="360" w:lineRule="auto"/>
        <w:jc w:val="center"/>
        <w:rPr>
          <w:rFonts w:ascii="宋体" w:hAnsi="宋体"/>
          <w:sz w:val="24"/>
          <w:szCs w:val="24"/>
        </w:rPr>
      </w:pPr>
      <w:r>
        <w:rPr>
          <w:rFonts w:hint="eastAsia" w:ascii="宋体" w:hAnsi="宋体"/>
          <w:sz w:val="24"/>
          <w:szCs w:val="24"/>
          <w:lang w:val="en-US" w:eastAsia="zh-CN"/>
        </w:rPr>
        <w:t>2026年零星改造及维修</w:t>
      </w:r>
      <w:r>
        <w:rPr>
          <w:rFonts w:hint="eastAsia" w:ascii="宋体" w:hAnsi="宋体"/>
          <w:sz w:val="24"/>
          <w:szCs w:val="24"/>
        </w:rPr>
        <w:t>技术要求</w:t>
      </w:r>
    </w:p>
    <w:p>
      <w:pPr>
        <w:pStyle w:val="76"/>
        <w:numPr>
          <w:ilvl w:val="0"/>
          <w:numId w:val="0"/>
        </w:numPr>
        <w:adjustRightInd w:val="0"/>
        <w:snapToGrid w:val="0"/>
        <w:ind w:leftChars="0"/>
        <w:jc w:val="left"/>
        <w:outlineLvl w:val="9"/>
        <w:rPr>
          <w:rFonts w:hint="eastAsia" w:ascii="宋体" w:hAnsi="宋体" w:eastAsia="宋体"/>
          <w:sz w:val="24"/>
          <w:szCs w:val="24"/>
          <w:lang w:val="en-US" w:eastAsia="zh-CN"/>
        </w:rPr>
      </w:pPr>
      <w:r>
        <w:rPr>
          <w:rFonts w:hint="eastAsia" w:ascii="宋体" w:hAnsi="宋体" w:eastAsia="宋体"/>
          <w:sz w:val="24"/>
          <w:szCs w:val="24"/>
          <w:lang w:val="en-US" w:eastAsia="zh-CN"/>
        </w:rPr>
        <w:t>一、施工内容及工期</w:t>
      </w:r>
    </w:p>
    <w:p>
      <w:pPr>
        <w:pStyle w:val="76"/>
        <w:numPr>
          <w:ilvl w:val="0"/>
          <w:numId w:val="0"/>
        </w:numPr>
        <w:adjustRightInd w:val="0"/>
        <w:snapToGrid w:val="0"/>
        <w:ind w:leftChars="0"/>
        <w:jc w:val="left"/>
        <w:outlineLvl w:val="9"/>
        <w:rPr>
          <w:rFonts w:hint="eastAsia" w:ascii="宋体" w:hAnsi="宋体" w:eastAsia="宋体"/>
          <w:b w:val="0"/>
          <w:bCs w:val="0"/>
          <w:sz w:val="24"/>
          <w:szCs w:val="24"/>
          <w:lang w:val="en-US" w:eastAsia="zh-CN"/>
        </w:rPr>
      </w:pPr>
      <w:r>
        <w:rPr>
          <w:rFonts w:hint="eastAsia" w:ascii="宋体" w:hAnsi="宋体" w:eastAsia="宋体"/>
          <w:b w:val="0"/>
          <w:bCs w:val="0"/>
          <w:sz w:val="24"/>
          <w:szCs w:val="24"/>
          <w:lang w:val="en-US" w:eastAsia="zh-CN"/>
        </w:rPr>
        <w:t>1.施工内容：</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1.1 厂区内所有建筑物、构筑物及辅助设施的维修、维护工程；</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1.2 厂区内所有公用动力及管网设施的维修、维护工程；</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1.3 厂区内所有零星改造工程：指仅限单项工程概算5万元以下的改造工程；</w:t>
      </w:r>
    </w:p>
    <w:p>
      <w:pPr>
        <w:pStyle w:val="80"/>
        <w:numPr>
          <w:ilvl w:val="0"/>
          <w:numId w:val="0"/>
        </w:numPr>
        <w:adjustRightInd w:val="0"/>
        <w:snapToGrid w:val="0"/>
        <w:ind w:leftChars="0"/>
        <w:rPr>
          <w:rFonts w:hint="eastAsia" w:hAnsi="宋体"/>
          <w:sz w:val="24"/>
          <w:szCs w:val="24"/>
          <w:lang w:val="en-US" w:eastAsia="zh-CN"/>
        </w:rPr>
      </w:pPr>
      <w:bookmarkStart w:id="14" w:name="_Toc49845978"/>
      <w:bookmarkStart w:id="15" w:name="_Toc26357121"/>
      <w:bookmarkStart w:id="16" w:name="_Toc27758110"/>
      <w:bookmarkStart w:id="17" w:name="_Toc25694_WPSOffice_Level2"/>
      <w:r>
        <w:rPr>
          <w:rFonts w:hint="eastAsia" w:hAnsi="宋体"/>
          <w:sz w:val="24"/>
          <w:szCs w:val="24"/>
          <w:lang w:val="en-US" w:eastAsia="zh-CN"/>
        </w:rPr>
        <w:t>2.工期：发包人根据实际维修内容做出具体安排。</w:t>
      </w:r>
    </w:p>
    <w:p>
      <w:pPr>
        <w:pStyle w:val="76"/>
        <w:numPr>
          <w:ilvl w:val="0"/>
          <w:numId w:val="0"/>
        </w:numPr>
        <w:adjustRightInd w:val="0"/>
        <w:snapToGrid w:val="0"/>
        <w:ind w:leftChars="0"/>
        <w:jc w:val="left"/>
        <w:outlineLvl w:val="9"/>
        <w:rPr>
          <w:rFonts w:hint="eastAsia" w:ascii="宋体" w:hAnsi="宋体" w:eastAsia="宋体"/>
          <w:sz w:val="24"/>
          <w:szCs w:val="24"/>
          <w:lang w:val="en-US" w:eastAsia="zh-CN"/>
        </w:rPr>
      </w:pPr>
      <w:r>
        <w:rPr>
          <w:rFonts w:hint="eastAsia" w:ascii="宋体" w:hAnsi="宋体" w:eastAsia="宋体" w:cs="Times New Roman"/>
          <w:b/>
          <w:bCs/>
          <w:kern w:val="2"/>
          <w:sz w:val="24"/>
          <w:szCs w:val="24"/>
          <w:lang w:val="en-US" w:eastAsia="zh-CN" w:bidi="ar-SA"/>
        </w:rPr>
        <w:t>二、施工</w:t>
      </w:r>
      <w:r>
        <w:rPr>
          <w:rFonts w:hint="eastAsia" w:ascii="宋体" w:hAnsi="宋体" w:eastAsia="宋体"/>
          <w:sz w:val="24"/>
          <w:szCs w:val="24"/>
          <w:lang w:val="en-US" w:eastAsia="zh-CN"/>
        </w:rPr>
        <w:t>技术质量要求</w:t>
      </w:r>
      <w:bookmarkEnd w:id="14"/>
      <w:bookmarkEnd w:id="15"/>
      <w:bookmarkEnd w:id="16"/>
    </w:p>
    <w:p>
      <w:pPr>
        <w:pStyle w:val="80"/>
        <w:numPr>
          <w:ilvl w:val="0"/>
          <w:numId w:val="0"/>
        </w:numPr>
        <w:adjustRightInd w:val="0"/>
        <w:snapToGrid w:val="0"/>
        <w:ind w:leftChars="0" w:firstLine="480" w:firstLineChars="200"/>
        <w:rPr>
          <w:rFonts w:hint="eastAsia" w:hAnsi="宋体"/>
          <w:sz w:val="24"/>
          <w:szCs w:val="24"/>
          <w:lang w:val="en-US" w:eastAsia="zh-CN"/>
        </w:rPr>
      </w:pPr>
      <w:r>
        <w:rPr>
          <w:rFonts w:hint="eastAsia" w:hAnsi="宋体"/>
          <w:sz w:val="24"/>
          <w:szCs w:val="24"/>
          <w:lang w:val="en-US" w:eastAsia="zh-CN"/>
        </w:rPr>
        <w:t>工程技术质量要求：工程质量达到合格及以上等级标准。技术质量标准的评定以现行国家、地方政府以及行业的质量检验评定标准为依据。包括但不限于以下标准及法律规范：《中华人民共和国建筑法》、《建设工程质量管理条例》（国务院令第279号）、《房屋建筑和市政基础设施工程竣工验收规定》（建质[2013]171号）、《建筑工程施工质量评价标准》（GB/T 50375-2016）、《建筑工程施工质量验收统一标准》（GB50300-2013）、《建筑外墙防水工程技术规程》（JGJ/T235-2011）、《混凝土结构工程施工质量验收规范》（GB50204-2015）、《建筑装饰装修工程质量验收规范》（GB50210-2018 ）、《电气装置安装工程电缆线路施工及验收规范》（GB 50168-2018）、《电气装置安装工程低压电器施工及验收规范》（GB 50254-2014）等。</w:t>
      </w:r>
    </w:p>
    <w:bookmarkEnd w:id="17"/>
    <w:p>
      <w:pPr>
        <w:pStyle w:val="76"/>
        <w:numPr>
          <w:ilvl w:val="0"/>
          <w:numId w:val="0"/>
        </w:numPr>
        <w:adjustRightInd w:val="0"/>
        <w:snapToGrid w:val="0"/>
        <w:ind w:leftChars="0"/>
        <w:jc w:val="left"/>
        <w:outlineLvl w:val="9"/>
        <w:rPr>
          <w:rFonts w:hint="eastAsia" w:ascii="宋体" w:hAnsi="宋体" w:eastAsia="宋体"/>
          <w:sz w:val="24"/>
          <w:szCs w:val="24"/>
          <w:lang w:val="en-US" w:eastAsia="zh-CN"/>
        </w:rPr>
      </w:pPr>
      <w:bookmarkStart w:id="18" w:name="_Toc11939_WPSOffice_Level2"/>
      <w:r>
        <w:rPr>
          <w:rFonts w:hint="eastAsia" w:ascii="宋体" w:hAnsi="宋体" w:eastAsia="宋体"/>
          <w:sz w:val="24"/>
          <w:szCs w:val="24"/>
          <w:lang w:val="en-US" w:eastAsia="zh-CN"/>
        </w:rPr>
        <w:t>三、施工要求</w:t>
      </w:r>
      <w:bookmarkEnd w:id="18"/>
    </w:p>
    <w:p>
      <w:pPr>
        <w:pStyle w:val="76"/>
        <w:numPr>
          <w:ilvl w:val="0"/>
          <w:numId w:val="0"/>
        </w:numPr>
        <w:adjustRightInd w:val="0"/>
        <w:snapToGrid w:val="0"/>
        <w:ind w:leftChars="0"/>
        <w:jc w:val="left"/>
        <w:outlineLvl w:val="9"/>
        <w:rPr>
          <w:rFonts w:hint="eastAsia" w:hAnsi="宋体"/>
          <w:b w:val="0"/>
          <w:bCs w:val="0"/>
          <w:sz w:val="24"/>
          <w:szCs w:val="24"/>
          <w:lang w:val="en-US" w:eastAsia="zh-CN"/>
        </w:rPr>
      </w:pPr>
      <w:r>
        <w:rPr>
          <w:rFonts w:hint="eastAsia" w:ascii="宋体" w:hAnsi="宋体" w:eastAsia="宋体"/>
          <w:b w:val="0"/>
          <w:bCs w:val="0"/>
          <w:sz w:val="24"/>
          <w:szCs w:val="24"/>
          <w:lang w:val="en-US" w:eastAsia="zh-CN"/>
        </w:rPr>
        <w:t>1.施工方在施工中要严格按照国家、行业标准和企业规范，并随时接受甲方的检查。</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2.施工方在施工中必须严格按施工工艺要求操作，保证施工质量。</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3.施工过程中的水、电、气等能源均由甲方免费提供。</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4.对进场的材料、备件、半成品（构件）必须是国内知名厂家的产品。必须符合合同要求和国家有关标准，具有出厂合格证，注明厂名、产品型号、规格、出厂日期和检查编号等。材料管理应按以下规定执行：</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a)材料型号规格应符合标书要求，如有偏离只能优于标书标准。</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b)材料质量应符合国家或部颁标准。每批材料应有合格证或质保书。</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c)材料进场前，施工方必须将材料的出厂合格证（注明厂名、产品型号、规格、出厂日期和检查编号等）和质量保证书交由甲方认可。进口材料必须有商品检验单复印件，未经商检不得使用。</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d)甲方可以对施工方使用的材料进行查验，发现与技术文件要求不一致的，施工方承担按照报价书上写明的单价的假一罚三的违约金，但是经甲方确认其性能无差异或更为优越者除外。</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5.施工方使用代用材料或更换外购设备，必须经过甲方同意，要以设计修改通知单为依据。</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6.对施工中完成的阶段成果（隐蔽工程、分项工程、主要部位），由施工方提出申请，甲方组织检验和验收，签署阶段成果检验验收记录。</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7.如果在施工或调试过程中发生质量事故，施工方应及时查明原因，制订解决方案，并以书面形式报告甲方，并按商定的处理方案实施。</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8.如果施工方不能满足质量要求而被甲方责令停工超过三次，甲方有权要求施工方停工并撤出施工现场。本合同终止，施工方承担违约责任。</w:t>
      </w:r>
    </w:p>
    <w:p>
      <w:pPr>
        <w:pStyle w:val="76"/>
        <w:numPr>
          <w:ilvl w:val="0"/>
          <w:numId w:val="0"/>
        </w:numPr>
        <w:adjustRightInd w:val="0"/>
        <w:snapToGrid w:val="0"/>
        <w:ind w:leftChars="0"/>
        <w:jc w:val="left"/>
        <w:outlineLvl w:val="9"/>
        <w:rPr>
          <w:rFonts w:hint="eastAsia" w:ascii="宋体" w:hAnsi="宋体" w:eastAsia="宋体"/>
          <w:sz w:val="24"/>
          <w:szCs w:val="24"/>
          <w:lang w:val="en-US" w:eastAsia="zh-CN"/>
        </w:rPr>
      </w:pPr>
      <w:r>
        <w:rPr>
          <w:rFonts w:hint="eastAsia" w:ascii="宋体" w:hAnsi="宋体" w:eastAsia="宋体"/>
          <w:sz w:val="24"/>
          <w:szCs w:val="24"/>
          <w:lang w:val="en-US" w:eastAsia="zh-CN"/>
        </w:rPr>
        <w:t>四、工程进度</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1.施工方必须听候甲方的施工安排。</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2.甲方将随时检查和监督施工方施工进度执行情况，并协调各方，使外部环境条件能满足施工要求。</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3.由于施工方原因而未能按甲方规定的时间按期交工验收，施工方要承担违约责任和经济处罚。</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4.施工方要尽可能的做好保障工期的各种预案，对于遇重污染天气，市政府要求的停产停工造成的工期延误情况，由施工方自行承担。</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5.对于甲方安排的突发性紧急抢修工作，施工方需在接到甲方通知后一小时内到场，全力配合，对于拒不执行的，甲方有权进行处罚或终止合同。</w:t>
      </w:r>
    </w:p>
    <w:p>
      <w:pPr>
        <w:pStyle w:val="76"/>
        <w:numPr>
          <w:ilvl w:val="0"/>
          <w:numId w:val="0"/>
        </w:numPr>
        <w:adjustRightInd w:val="0"/>
        <w:snapToGrid w:val="0"/>
        <w:ind w:leftChars="0"/>
        <w:jc w:val="left"/>
        <w:outlineLvl w:val="9"/>
        <w:rPr>
          <w:rFonts w:hint="eastAsia" w:ascii="宋体" w:hAnsi="宋体" w:eastAsia="宋体"/>
          <w:sz w:val="24"/>
          <w:szCs w:val="24"/>
          <w:lang w:val="en-US" w:eastAsia="zh-CN"/>
        </w:rPr>
      </w:pPr>
      <w:r>
        <w:rPr>
          <w:rFonts w:hint="eastAsia" w:ascii="宋体" w:hAnsi="宋体" w:eastAsia="宋体"/>
          <w:sz w:val="24"/>
          <w:szCs w:val="24"/>
          <w:lang w:val="en-US" w:eastAsia="zh-CN"/>
        </w:rPr>
        <w:t>五、文明施工</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1.施工方应建立文明施工管理制度，保证施工现场井然有序。</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2.施工方在施工过程中应负责对现场的一切设施和施工工程的成品、半成品进行保护并承担费用。</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3.施工方应有统一着装（工作服），费用由施工方负担。</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4.施工方甲方存在交叉作业的情况下，应保证甲方工作的正常进行。</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5.施工方的施工设备、工具箱和材料等不允许堆放在通道上。施工方制作的半成品、部件等未安装前应码放整齐。</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6.施工方应保持本单位施工区域内的清洁卫生，每天下午下班后必须整理、清扫干净施工的设备和场地，废料集中放置，垃圾倒在指定地方。</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7.凡使用电焊机、切割机、砂轮机等设备作业时，应注意周围环境，避免焊渣、火星乱溅而影响他人作业或损坏设备及地面。</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8.施工方应安排好其施工人员的食宿，保证施工人员的身体健康，费用施工方自理。</w:t>
      </w:r>
    </w:p>
    <w:p>
      <w:pPr>
        <w:pStyle w:val="76"/>
        <w:numPr>
          <w:ilvl w:val="0"/>
          <w:numId w:val="0"/>
        </w:numPr>
        <w:adjustRightInd w:val="0"/>
        <w:snapToGrid w:val="0"/>
        <w:ind w:leftChars="0"/>
        <w:jc w:val="left"/>
        <w:outlineLvl w:val="9"/>
        <w:rPr>
          <w:rFonts w:hint="eastAsia" w:ascii="宋体" w:hAnsi="宋体" w:eastAsia="宋体"/>
          <w:sz w:val="24"/>
          <w:szCs w:val="24"/>
          <w:lang w:val="en-US" w:eastAsia="zh-CN"/>
        </w:rPr>
      </w:pPr>
      <w:r>
        <w:rPr>
          <w:rFonts w:hint="eastAsia" w:ascii="宋体" w:hAnsi="宋体" w:eastAsia="宋体"/>
          <w:sz w:val="24"/>
          <w:szCs w:val="24"/>
          <w:lang w:val="en-US" w:eastAsia="zh-CN"/>
        </w:rPr>
        <w:t>六、安全要求</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1.施工方必须与发包人签订《相关方EHS协议（A类）》，并按要求执行；</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2.施工方应对其施工人员进行安全教育，并对他们的安全负责，保证施工现场的各项作业均遵守相关的国家安全标准规范，严禁违章操作。</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3.施工方要遵守甲方单位内部的各项规章制度，按要求办理各种安全、出入等手续，接收安全监督和考核，手续费用由施工方负担。</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4.施工单位在施工前必须到甲方有关部门办理接电、动火手续，现场施工人员必须备有接电、动火手续复印件，以备有关部门检查。</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5.工程开工前, 施工方应为项目人员生命财产办理保险，支付保险费用。如果因施工方未办理保险而造成的任何损失全部由施工方负责。</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6.施工人员进入施工现场必须穿戴安全帽、工作服和工作鞋，特殊工种要配置相应的劳保服装和工具。</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7.施工方应在其施工区域内设置安全警示标志，特殊区域、特殊位置应专门设置有针对性的安全警示标志。</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8.施工方应由专业电工负责本单位施工所用设备的临时供电和线路的安全检查。在施工现场，非电工人员不得擅自插接电源。</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9.施工过程中凡利用厂房建筑结构作为起吊或搬运设备承力点时，必须书面申请并得到批准后方可操作。如果未经过批准或超负荷使用，责任人将承担发生的一切后果。</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10.电、焊、气割、起重、升降机、登高架设作业、汽车驾驶等特殊工种必须持有国家相关部门颁发的特种作业人员操作证上岗，决不允许无证人员上岗操作。涉及危险作业（动火、有限空间、临时线、高空作业等）的必须按照甲方相关规定办理审批手续。</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11.电焊机、切割机、砂轮机、气瓶等设备应按安全标准规范合理摆放、固定和使用。</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12.高空作业应有安全保护措施。对生产过程中的吊装、运输等危险性较大的工作必须责任到人，并派专人指挥。起吊重物时必须先检查吊具、吊索的工作状态，捆扎牢固，有棱角的物件加垫物，防止磨损或割断绳索。</w:t>
      </w:r>
    </w:p>
    <w:p>
      <w:pPr>
        <w:pStyle w:val="76"/>
        <w:numPr>
          <w:ilvl w:val="0"/>
          <w:numId w:val="0"/>
        </w:numPr>
        <w:adjustRightInd w:val="0"/>
        <w:snapToGrid w:val="0"/>
        <w:ind w:leftChars="0"/>
        <w:jc w:val="left"/>
        <w:outlineLvl w:val="9"/>
        <w:rPr>
          <w:rFonts w:hint="eastAsia" w:ascii="宋体" w:hAnsi="宋体" w:eastAsia="宋体"/>
          <w:sz w:val="24"/>
          <w:szCs w:val="24"/>
          <w:lang w:val="en-US" w:eastAsia="zh-CN"/>
        </w:rPr>
      </w:pPr>
      <w:r>
        <w:rPr>
          <w:rFonts w:hint="eastAsia" w:ascii="宋体" w:hAnsi="宋体" w:eastAsia="宋体"/>
          <w:sz w:val="24"/>
          <w:szCs w:val="24"/>
          <w:lang w:val="en-US" w:eastAsia="zh-CN"/>
        </w:rPr>
        <w:t>七、环保要求</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1.现场需作降尘处理，防止扬尘污染环境。</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2.严禁将污水排放至雨水管道。</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3.施工过程中产生的固废、危废由施工方按照国家法律法规的相关要求寻找具备资质的第三方规范处置。</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4.对于重污染天气，施工方应遵循市政府的停产停工要求。</w:t>
      </w:r>
    </w:p>
    <w:p>
      <w:pPr>
        <w:pStyle w:val="76"/>
        <w:numPr>
          <w:ilvl w:val="0"/>
          <w:numId w:val="0"/>
        </w:numPr>
        <w:adjustRightInd w:val="0"/>
        <w:snapToGrid w:val="0"/>
        <w:ind w:leftChars="0"/>
        <w:jc w:val="left"/>
        <w:outlineLvl w:val="9"/>
        <w:rPr>
          <w:rFonts w:hint="eastAsia" w:ascii="宋体" w:hAnsi="宋体" w:eastAsia="宋体"/>
          <w:sz w:val="24"/>
          <w:szCs w:val="24"/>
          <w:lang w:val="en-US" w:eastAsia="zh-CN"/>
        </w:rPr>
      </w:pPr>
      <w:r>
        <w:rPr>
          <w:rFonts w:hint="eastAsia" w:ascii="宋体" w:hAnsi="宋体" w:eastAsia="宋体"/>
          <w:sz w:val="24"/>
          <w:szCs w:val="24"/>
          <w:lang w:val="en-US" w:eastAsia="zh-CN"/>
        </w:rPr>
        <w:t>八、质保期</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根据《建设工程质量管理条例》及有关规定，工程的质量保修期如下：</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1.地基基础工程和主体结构工程为设计文件规定的工程合理使用年限；</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2.零星屋面防水工程、有防水要求的卫生间、房间和外墙面的防渗为1年；</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3.零星装修工程为1 年；</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4.电气管线、给排水管道、设备安装工程为1年；</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5.供热与供冷系统为1 个采暖期、供冷期；</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6.给排水设施、道路等配套工程为1年；</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 xml:space="preserve">7.其他项目保修期限约定如下：    </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质量保修期自工程竣工验收合格之日起计算。</w:t>
      </w:r>
    </w:p>
    <w:p>
      <w:pPr>
        <w:pStyle w:val="76"/>
        <w:numPr>
          <w:ilvl w:val="0"/>
          <w:numId w:val="0"/>
        </w:numPr>
        <w:adjustRightInd w:val="0"/>
        <w:snapToGrid w:val="0"/>
        <w:ind w:leftChars="0"/>
        <w:jc w:val="left"/>
        <w:outlineLvl w:val="9"/>
        <w:rPr>
          <w:rFonts w:hint="eastAsia" w:ascii="宋体" w:hAnsi="宋体" w:eastAsia="宋体"/>
          <w:sz w:val="24"/>
          <w:szCs w:val="24"/>
          <w:lang w:val="en-US" w:eastAsia="zh-CN"/>
        </w:rPr>
      </w:pPr>
      <w:r>
        <w:rPr>
          <w:rFonts w:hint="eastAsia" w:ascii="宋体" w:hAnsi="宋体" w:eastAsia="宋体"/>
          <w:sz w:val="24"/>
          <w:szCs w:val="24"/>
          <w:lang w:val="en-US" w:eastAsia="zh-CN"/>
        </w:rPr>
        <w:t>九、其他</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1.投标人承诺对参与该项目所获得的与招标人产品相关的所有信息都予以保密，并承担与此相关的所有法律责任。</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2.其余未尽事宜，投标人应与招标人指派的答疑人员充分沟通，理解认可并接受相关技术规范及服务要求。</w:t>
      </w:r>
    </w:p>
    <w:p>
      <w:pPr>
        <w:pStyle w:val="76"/>
        <w:numPr>
          <w:ilvl w:val="0"/>
          <w:numId w:val="0"/>
        </w:numPr>
        <w:adjustRightInd w:val="0"/>
        <w:snapToGrid w:val="0"/>
        <w:ind w:leftChars="0"/>
        <w:jc w:val="left"/>
        <w:outlineLvl w:val="9"/>
        <w:rPr>
          <w:rFonts w:hint="eastAsia" w:ascii="宋体" w:hAnsi="宋体" w:eastAsia="宋体"/>
          <w:sz w:val="24"/>
          <w:szCs w:val="24"/>
          <w:highlight w:val="none"/>
          <w:lang w:val="en-US" w:eastAsia="zh-CN"/>
        </w:rPr>
      </w:pPr>
      <w:r>
        <w:rPr>
          <w:rFonts w:hint="eastAsia" w:ascii="宋体" w:hAnsi="宋体" w:eastAsia="宋体"/>
          <w:sz w:val="24"/>
          <w:szCs w:val="24"/>
          <w:highlight w:val="none"/>
          <w:lang w:val="en-US" w:eastAsia="zh-CN"/>
        </w:rPr>
        <w:t>十、结算依据</w:t>
      </w:r>
    </w:p>
    <w:p>
      <w:pPr>
        <w:pStyle w:val="80"/>
        <w:numPr>
          <w:ilvl w:val="0"/>
          <w:numId w:val="0"/>
        </w:numPr>
        <w:adjustRightInd w:val="0"/>
        <w:snapToGrid w:val="0"/>
        <w:ind w:leftChars="0"/>
        <w:rPr>
          <w:rFonts w:hint="eastAsia" w:ascii="宋体" w:hAnsi="宋体" w:eastAsia="宋体" w:cs="Times New Roman"/>
          <w:b w:val="0"/>
          <w:bCs w:val="0"/>
          <w:kern w:val="2"/>
          <w:sz w:val="24"/>
          <w:szCs w:val="24"/>
          <w:highlight w:val="none"/>
          <w:lang w:val="en-US" w:eastAsia="zh-CN" w:bidi="ar-SA"/>
        </w:rPr>
      </w:pPr>
      <w:r>
        <w:rPr>
          <w:rFonts w:hint="eastAsia" w:ascii="宋体" w:hAnsi="宋体" w:eastAsia="宋体" w:cs="Times New Roman"/>
          <w:b w:val="0"/>
          <w:bCs w:val="0"/>
          <w:kern w:val="2"/>
          <w:sz w:val="24"/>
          <w:szCs w:val="24"/>
          <w:highlight w:val="none"/>
          <w:lang w:val="en-US" w:eastAsia="zh-CN" w:bidi="ar-SA"/>
        </w:rPr>
        <w:t>1.日常零星维修项目按照全费用定额组价税前整体让利加税金（税率【9】%）方式进行结算：让利系数为【  】%，执行2018版《重庆市建筑工程计价定额》、2018版《重庆市安装工程计价定额》、2018版《重庆市装饰工程计价定额》、2018版《重庆市建设工程费用定额》2020版价目表；工程类别：建筑、装饰、市政、园林绿化、修缮执行Ⅲ类取费，安装执行相应工业安装取费，材料及零星用工价格按照当月信息价下浮【 】%执行，信息价之外的材料价格或定额缺项部分由承包人每季度提出书面报价，按照价值工程部审核确认的《供货材料清单》价格执行。</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2.工程量依据图纸、工程变更、签证等资料据实结算。承包人在工程竣工验收前，项目实施过程中及时办理完成图纸、工程变更、签证的工程量确认手续。</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3.《供货材料清单》确认价格与市场价格明细偏离时，审计机构进行结算审计时，有权对其进行修正。</w:t>
      </w:r>
    </w:p>
    <w:p>
      <w:pPr>
        <w:pStyle w:val="80"/>
        <w:numPr>
          <w:ilvl w:val="0"/>
          <w:numId w:val="0"/>
        </w:numPr>
        <w:adjustRightInd w:val="0"/>
        <w:snapToGrid w:val="0"/>
        <w:ind w:leftChars="0"/>
        <w:rPr>
          <w:rFonts w:hint="eastAsia" w:hAnsi="宋体"/>
          <w:sz w:val="24"/>
          <w:szCs w:val="24"/>
          <w:lang w:val="en-US" w:eastAsia="zh-CN"/>
        </w:rPr>
      </w:pPr>
      <w:r>
        <w:rPr>
          <w:rFonts w:hint="eastAsia" w:hAnsi="宋体"/>
          <w:sz w:val="24"/>
          <w:szCs w:val="24"/>
          <w:lang w:val="en-US" w:eastAsia="zh-CN"/>
        </w:rPr>
        <w:t>4.维修施工中所发生的水电费不再计取扣除。</w:t>
      </w:r>
    </w:p>
    <w:p>
      <w:pPr>
        <w:pStyle w:val="80"/>
        <w:numPr>
          <w:ilvl w:val="0"/>
          <w:numId w:val="0"/>
        </w:numPr>
        <w:adjustRightInd w:val="0"/>
        <w:snapToGrid w:val="0"/>
        <w:ind w:leftChars="0"/>
        <w:rPr>
          <w:rFonts w:hint="eastAsia" w:hAnsi="宋体"/>
          <w:sz w:val="24"/>
          <w:szCs w:val="24"/>
          <w:highlight w:val="none"/>
          <w:lang w:val="en-US" w:eastAsia="zh-CN"/>
        </w:rPr>
      </w:pPr>
      <w:r>
        <w:rPr>
          <w:rFonts w:hint="eastAsia" w:hAnsi="宋体"/>
          <w:sz w:val="24"/>
          <w:szCs w:val="24"/>
          <w:highlight w:val="none"/>
          <w:lang w:val="en-US" w:eastAsia="zh-CN"/>
        </w:rPr>
        <w:t>5.</w:t>
      </w:r>
      <w:bookmarkStart w:id="19" w:name="OLE_LINK1"/>
      <w:r>
        <w:rPr>
          <w:rFonts w:hint="eastAsia" w:hAnsi="宋体"/>
          <w:sz w:val="24"/>
          <w:szCs w:val="24"/>
          <w:highlight w:val="none"/>
          <w:lang w:val="en-US" w:eastAsia="zh-CN"/>
        </w:rPr>
        <w:t>工程结算审计，</w:t>
      </w:r>
      <w:bookmarkEnd w:id="19"/>
      <w:r>
        <w:rPr>
          <w:rFonts w:hint="eastAsia" w:hAnsi="宋体"/>
          <w:sz w:val="24"/>
          <w:szCs w:val="24"/>
          <w:highlight w:val="none"/>
          <w:lang w:val="en-US" w:eastAsia="zh-CN"/>
        </w:rPr>
        <w:t>由发包人委托造价咨询单位审计或自行审计，单次送审金额20万元及以上项目：对审计差额超过5%的部分，按审减额的5%计取审计费，由承包人支付；审增部分按实际审增额的5%计取审计费，由承包人支付给造价咨询单位，并出具审计费用结清单；单次送审金额20万元以下项目：送审金额*0.05%+（送审金额-审定金额）*1.0%，由承包人支付给造价咨询单位，并出具审计费用结清单。</w:t>
      </w:r>
    </w:p>
    <w:p>
      <w:pPr>
        <w:pStyle w:val="18"/>
        <w:spacing w:line="360" w:lineRule="auto"/>
        <w:ind w:firstLine="480" w:firstLineChars="200"/>
        <w:jc w:val="both"/>
        <w:rPr>
          <w:rFonts w:hint="eastAsia" w:ascii="宋体" w:hAnsi="宋体" w:eastAsia="宋体" w:cs="仿宋_GB2312"/>
          <w:bCs/>
          <w:sz w:val="24"/>
          <w:szCs w:val="24"/>
          <w:lang w:val="en-US" w:eastAsia="zh-CN"/>
        </w:rPr>
      </w:pPr>
    </w:p>
    <w:p>
      <w:pPr>
        <w:pStyle w:val="18"/>
        <w:numPr>
          <w:ilvl w:val="0"/>
          <w:numId w:val="0"/>
        </w:numPr>
        <w:spacing w:line="360" w:lineRule="auto"/>
        <w:ind w:firstLine="883" w:firstLineChars="200"/>
        <w:jc w:val="left"/>
        <w:rPr>
          <w:rFonts w:hint="eastAsia" w:hAnsi="宋体"/>
          <w:b w:val="0"/>
          <w:bCs w:val="0"/>
          <w:sz w:val="24"/>
          <w:szCs w:val="24"/>
          <w:highlight w:val="none"/>
          <w:lang w:val="en-US" w:eastAsia="zh-CN"/>
        </w:rPr>
      </w:pPr>
      <w:r>
        <w:rPr>
          <w:rFonts w:hint="eastAsia" w:ascii="Calibri" w:hAnsi="Calibri"/>
          <w:b/>
          <w:bCs/>
          <w:kern w:val="44"/>
          <w:sz w:val="44"/>
          <w:szCs w:val="44"/>
        </w:rPr>
        <w:br w:type="page"/>
      </w:r>
    </w:p>
    <w:p>
      <w:pPr>
        <w:pStyle w:val="75"/>
        <w:adjustRightInd w:val="0"/>
        <w:snapToGrid w:val="0"/>
        <w:jc w:val="left"/>
        <w:outlineLvl w:val="9"/>
        <w:rPr>
          <w:rFonts w:ascii="宋体" w:hAnsi="宋体" w:eastAsia="宋体"/>
          <w:color w:val="000000"/>
          <w:sz w:val="24"/>
          <w:szCs w:val="24"/>
        </w:rPr>
      </w:pPr>
      <w:bookmarkStart w:id="20" w:name="_Toc47976615"/>
      <w:bookmarkStart w:id="21" w:name="_Toc16500"/>
      <w:r>
        <w:rPr>
          <w:rFonts w:hint="eastAsia" w:ascii="宋体" w:hAnsi="宋体" w:eastAsia="宋体"/>
          <w:sz w:val="24"/>
          <w:szCs w:val="24"/>
        </w:rPr>
        <w:t>第三部分　</w:t>
      </w:r>
      <w:bookmarkEnd w:id="20"/>
      <w:r>
        <w:rPr>
          <w:rFonts w:hint="eastAsia" w:ascii="宋体" w:hAnsi="宋体" w:eastAsia="宋体"/>
          <w:sz w:val="24"/>
          <w:szCs w:val="24"/>
        </w:rPr>
        <w:t>投标文件附件</w:t>
      </w:r>
      <w:bookmarkEnd w:id="21"/>
    </w:p>
    <w:p>
      <w:pPr>
        <w:pStyle w:val="18"/>
        <w:adjustRightInd w:val="0"/>
        <w:snapToGrid w:val="0"/>
        <w:spacing w:line="360" w:lineRule="auto"/>
        <w:jc w:val="left"/>
        <w:rPr>
          <w:rFonts w:hAnsi="宋体"/>
          <w:sz w:val="24"/>
          <w:szCs w:val="24"/>
        </w:rPr>
      </w:pPr>
    </w:p>
    <w:p>
      <w:pPr>
        <w:pStyle w:val="76"/>
        <w:numPr>
          <w:ilvl w:val="0"/>
          <w:numId w:val="0"/>
        </w:numPr>
        <w:adjustRightInd w:val="0"/>
        <w:snapToGrid w:val="0"/>
        <w:jc w:val="left"/>
        <w:outlineLvl w:val="9"/>
        <w:rPr>
          <w:rFonts w:ascii="宋体" w:hAnsi="宋体" w:eastAsia="宋体" w:cs="宋体"/>
          <w:sz w:val="24"/>
          <w:szCs w:val="24"/>
        </w:rPr>
      </w:pPr>
      <w:bookmarkStart w:id="22" w:name="_Toc47976618"/>
      <w:bookmarkStart w:id="23" w:name="_Toc29366865"/>
      <w:bookmarkStart w:id="24" w:name="_Toc29366869"/>
      <w:r>
        <w:rPr>
          <w:rFonts w:hint="eastAsia" w:ascii="宋体" w:hAnsi="宋体" w:eastAsia="宋体" w:cs="宋体"/>
          <w:sz w:val="24"/>
          <w:szCs w:val="24"/>
        </w:rPr>
        <w:t>附件1 法定代表人授权委托书</w:t>
      </w:r>
    </w:p>
    <w:bookmarkEnd w:id="22"/>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2026年零星改造及维修</w:t>
      </w:r>
      <w:r>
        <w:rPr>
          <w:rFonts w:hint="eastAsia" w:ascii="宋体" w:hAnsi="宋体"/>
          <w:b/>
          <w:bCs/>
          <w:color w:val="000000"/>
          <w:sz w:val="24"/>
          <w:szCs w:val="24"/>
          <w:u w:val="single"/>
        </w:rPr>
        <w:t xml:space="preserve">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4"/>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b/>
          <w:bCs/>
          <w:color w:val="000000"/>
          <w:sz w:val="24"/>
          <w:szCs w:val="24"/>
        </w:rPr>
      </w:pPr>
    </w:p>
    <w:p>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pPr>
        <w:adjustRightInd w:val="0"/>
        <w:snapToGrid w:val="0"/>
        <w:spacing w:line="360" w:lineRule="auto"/>
        <w:jc w:val="left"/>
        <w:rPr>
          <w:rFonts w:ascii="宋体" w:hAnsi="宋体"/>
          <w:b/>
          <w:bCs/>
          <w:sz w:val="24"/>
          <w:szCs w:val="24"/>
        </w:rPr>
      </w:pPr>
    </w:p>
    <w:p>
      <w:pPr>
        <w:adjustRightInd w:val="0"/>
        <w:snapToGrid w:val="0"/>
        <w:spacing w:line="360" w:lineRule="auto"/>
        <w:jc w:val="both"/>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2026年零星改造及维修</w:t>
      </w:r>
      <w:r>
        <w:rPr>
          <w:rFonts w:hint="eastAsia" w:ascii="宋体" w:hAnsi="宋体" w:cs="宋体"/>
          <w:b/>
          <w:bCs/>
          <w:sz w:val="24"/>
          <w:szCs w:val="24"/>
          <w:u w:val="single"/>
        </w:rPr>
        <w:t>项目</w:t>
      </w:r>
    </w:p>
    <w:p>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23"/>
    <w:bookmarkEnd w:id="24"/>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6"/>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pPr>
        <w:pStyle w:val="76"/>
        <w:numPr>
          <w:ilvl w:val="0"/>
          <w:numId w:val="0"/>
        </w:numPr>
        <w:adjustRightInd w:val="0"/>
        <w:snapToGrid w:val="0"/>
        <w:jc w:val="left"/>
        <w:outlineLvl w:val="9"/>
        <w:rPr>
          <w:rFonts w:ascii="宋体" w:hAnsi="宋体" w:eastAsia="宋体" w:cs="宋体"/>
          <w:sz w:val="24"/>
          <w:szCs w:val="24"/>
        </w:rPr>
      </w:pPr>
      <w:bookmarkStart w:id="25" w:name="_Toc47976616"/>
      <w:bookmarkStart w:id="26" w:name="_Toc4225"/>
      <w:r>
        <w:rPr>
          <w:rFonts w:hint="eastAsia" w:ascii="宋体" w:hAnsi="宋体" w:eastAsia="宋体" w:cs="宋体"/>
          <w:sz w:val="24"/>
          <w:szCs w:val="24"/>
        </w:rPr>
        <w:t>附件</w:t>
      </w:r>
      <w:bookmarkEnd w:id="25"/>
      <w:bookmarkEnd w:id="26"/>
      <w:r>
        <w:rPr>
          <w:rFonts w:ascii="宋体" w:hAnsi="宋体" w:eastAsia="宋体" w:cs="宋体"/>
          <w:sz w:val="24"/>
          <w:szCs w:val="24"/>
        </w:rPr>
        <w:t>4</w:t>
      </w:r>
      <w:r>
        <w:rPr>
          <w:rFonts w:hint="eastAsia" w:ascii="宋体" w:hAnsi="宋体" w:eastAsia="宋体" w:cs="宋体"/>
          <w:sz w:val="24"/>
          <w:szCs w:val="24"/>
        </w:rPr>
        <w:t xml:space="preserve"> 投标函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pPr>
        <w:adjustRightInd w:val="0"/>
        <w:snapToGrid w:val="0"/>
        <w:spacing w:line="360" w:lineRule="auto"/>
        <w:jc w:val="center"/>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2026年零星改造及维修</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pPr>
        <w:pStyle w:val="66"/>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pPr>
        <w:pStyle w:val="66"/>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pPr>
        <w:pStyle w:val="66"/>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pPr>
        <w:pStyle w:val="66"/>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pPr>
        <w:pStyle w:val="66"/>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pPr>
        <w:pStyle w:val="66"/>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pPr>
        <w:pStyle w:val="80"/>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4"/>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是否偏离</w:t>
            </w:r>
          </w:p>
          <w:p>
            <w:pPr>
              <w:adjustRightInd w:val="0"/>
              <w:snapToGrid w:val="0"/>
              <w:jc w:val="left"/>
              <w:rPr>
                <w:rFonts w:ascii="宋体" w:hAnsi="宋体"/>
                <w:b/>
                <w:sz w:val="24"/>
                <w:szCs w:val="24"/>
              </w:rPr>
            </w:pPr>
            <w:r>
              <w:rPr>
                <w:rFonts w:hint="eastAsia" w:ascii="宋体" w:hAnsi="宋体" w:cs="宋体"/>
                <w:b/>
                <w:sz w:val="24"/>
                <w:szCs w:val="24"/>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pPr>
        <w:pStyle w:val="2"/>
        <w:adjustRightInd w:val="0"/>
        <w:snapToGrid w:val="0"/>
        <w:spacing w:line="360" w:lineRule="auto"/>
        <w:jc w:val="left"/>
        <w:rPr>
          <w:rFonts w:ascii="宋体" w:hAnsi="宋体" w:eastAsia="宋体"/>
          <w:sz w:val="24"/>
          <w:szCs w:val="24"/>
        </w:rPr>
      </w:pPr>
    </w:p>
    <w:p>
      <w:pPr>
        <w:pStyle w:val="80"/>
        <w:adjustRightInd w:val="0"/>
        <w:snapToGrid w:val="0"/>
        <w:rPr>
          <w:rFonts w:hAnsi="宋体"/>
          <w:sz w:val="24"/>
          <w:szCs w:val="24"/>
        </w:rPr>
      </w:pPr>
    </w:p>
    <w:p>
      <w:pPr>
        <w:pStyle w:val="80"/>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pPr>
        <w:adjustRightInd w:val="0"/>
        <w:snapToGrid w:val="0"/>
        <w:spacing w:line="360" w:lineRule="auto"/>
        <w:jc w:val="left"/>
        <w:rPr>
          <w:rFonts w:ascii="宋体" w:hAnsi="宋体"/>
          <w:b/>
          <w:sz w:val="24"/>
          <w:szCs w:val="24"/>
        </w:rPr>
      </w:pPr>
    </w:p>
    <w:p>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pPr>
        <w:pStyle w:val="2"/>
        <w:adjustRightInd w:val="0"/>
        <w:snapToGrid w:val="0"/>
        <w:spacing w:line="360" w:lineRule="auto"/>
        <w:jc w:val="left"/>
        <w:rPr>
          <w:rFonts w:ascii="宋体" w:hAnsi="宋体" w:eastAsia="宋体"/>
          <w:b/>
          <w:sz w:val="24"/>
          <w:szCs w:val="24"/>
        </w:rPr>
      </w:pPr>
    </w:p>
    <w:p>
      <w:pPr>
        <w:pStyle w:val="2"/>
        <w:adjustRightInd w:val="0"/>
        <w:snapToGrid w:val="0"/>
        <w:spacing w:line="360" w:lineRule="auto"/>
        <w:jc w:val="left"/>
        <w:rPr>
          <w:rFonts w:ascii="宋体" w:hAnsi="宋体" w:eastAsia="宋体"/>
          <w:b/>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pPr>
        <w:adjustRightInd w:val="0"/>
        <w:snapToGrid w:val="0"/>
        <w:spacing w:line="360" w:lineRule="auto"/>
        <w:jc w:val="left"/>
        <w:rPr>
          <w:rFonts w:ascii="宋体" w:hAnsi="宋体"/>
          <w:sz w:val="24"/>
          <w:szCs w:val="24"/>
        </w:rPr>
      </w:pPr>
      <w:r>
        <w:rPr>
          <w:rFonts w:ascii="宋体" w:hAnsi="宋体"/>
          <w:sz w:val="24"/>
          <w:szCs w:val="24"/>
        </w:rPr>
        <w:t xml:space="preserve">地址：      </w:t>
      </w:r>
    </w:p>
    <w:p>
      <w:pPr>
        <w:adjustRightInd w:val="0"/>
        <w:snapToGrid w:val="0"/>
        <w:spacing w:line="360" w:lineRule="auto"/>
        <w:jc w:val="left"/>
        <w:rPr>
          <w:rFonts w:ascii="宋体" w:hAnsi="宋体"/>
          <w:sz w:val="24"/>
          <w:szCs w:val="24"/>
        </w:rPr>
      </w:pPr>
      <w:r>
        <w:rPr>
          <w:rFonts w:ascii="宋体" w:hAnsi="宋体"/>
          <w:sz w:val="24"/>
          <w:szCs w:val="24"/>
        </w:rPr>
        <w:t xml:space="preserve">开户行：     </w:t>
      </w:r>
    </w:p>
    <w:p>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pPr>
        <w:pStyle w:val="76"/>
        <w:numPr>
          <w:ilvl w:val="0"/>
          <w:numId w:val="0"/>
        </w:numPr>
        <w:adjustRightInd w:val="0"/>
        <w:snapToGrid w:val="0"/>
        <w:jc w:val="left"/>
        <w:outlineLvl w:val="9"/>
        <w:rPr>
          <w:rFonts w:ascii="宋体" w:hAnsi="宋体" w:eastAsia="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br w:type="page"/>
      </w:r>
    </w:p>
    <w:p>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pPr>
        <w:adjustRightInd w:val="0"/>
        <w:snapToGrid w:val="0"/>
        <w:spacing w:line="360" w:lineRule="auto"/>
        <w:jc w:val="left"/>
        <w:rPr>
          <w:rFonts w:ascii="宋体" w:hAnsi="宋体" w:cs="宋体"/>
          <w:sz w:val="24"/>
          <w:szCs w:val="24"/>
        </w:rPr>
      </w:pPr>
    </w:p>
    <w:p>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pPr>
        <w:numPr>
          <w:ilvl w:val="0"/>
          <w:numId w:val="33"/>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pPr>
        <w:pStyle w:val="18"/>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color w:val="000000"/>
          <w:sz w:val="24"/>
          <w:szCs w:val="24"/>
        </w:rPr>
      </w:pP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pPr>
        <w:pStyle w:val="18"/>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pPr>
        <w:pStyle w:val="18"/>
        <w:adjustRightInd w:val="0"/>
        <w:snapToGrid w:val="0"/>
        <w:spacing w:line="360" w:lineRule="auto"/>
        <w:jc w:val="left"/>
        <w:rPr>
          <w:rFonts w:hAnsi="宋体"/>
          <w:sz w:val="24"/>
          <w:szCs w:val="24"/>
        </w:rPr>
      </w:pPr>
    </w:p>
    <w:p>
      <w:pPr>
        <w:pStyle w:val="18"/>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pPr>
        <w:pStyle w:val="18"/>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pPr>
        <w:pStyle w:val="76"/>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41"/>
          <w:rFonts w:hint="eastAsia" w:ascii="宋体" w:hAnsi="宋体" w:cs="宋体"/>
          <w:sz w:val="24"/>
          <w:szCs w:val="24"/>
        </w:rPr>
        <w:t>https://ecaitong.sinotruk.com:8012/</w:t>
      </w:r>
      <w:r>
        <w:rPr>
          <w:rStyle w:val="41"/>
          <w:rFonts w:hint="eastAsia" w:ascii="宋体" w:hAnsi="宋体" w:cs="宋体"/>
          <w:sz w:val="24"/>
          <w:szCs w:val="24"/>
        </w:rPr>
        <w:fldChar w:fldCharType="end"/>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pPr>
        <w:pStyle w:val="18"/>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pPr>
        <w:pStyle w:val="9"/>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pPr>
        <w:pStyle w:val="9"/>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pPr>
        <w:pStyle w:val="80"/>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
    <w:altName w:val="Times New Roman"/>
    <w:panose1 w:val="00000000000000000000"/>
    <w:charset w:val="00"/>
    <w:family w:val="roman"/>
    <w:pitch w:val="default"/>
    <w:sig w:usb0="00000000" w:usb1="00000000" w:usb2="00000000" w:usb3="00000000" w:csb0="0000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pPr>
          <w:pStyle w:val="22"/>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framePr w:wrap="around" w:vAnchor="text" w:hAnchor="margin" w:xAlign="center" w:y="1"/>
      <w:rPr>
        <w:rStyle w:val="38"/>
      </w:rPr>
    </w:pPr>
    <w:r>
      <w:fldChar w:fldCharType="begin"/>
    </w:r>
    <w:r>
      <w:rPr>
        <w:rStyle w:val="38"/>
      </w:rPr>
      <w:instrText xml:space="preserve">PAGE  </w:instrText>
    </w:r>
    <w:r>
      <w:fldChar w:fldCharType="end"/>
    </w:r>
  </w:p>
  <w:p>
    <w:pPr>
      <w:pStyle w:val="2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2"/>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2"/>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9"/>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5"/>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E7B065C"/>
    <w:multiLevelType w:val="multilevel"/>
    <w:tmpl w:val="1E7B065C"/>
    <w:lvl w:ilvl="0" w:tentative="0">
      <w:start w:val="1"/>
      <w:numFmt w:val="decimal"/>
      <w:pStyle w:val="100"/>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698CAE0"/>
    <w:multiLevelType w:val="singleLevel"/>
    <w:tmpl w:val="4698CAE0"/>
    <w:lvl w:ilvl="0" w:tentative="0">
      <w:start w:val="1"/>
      <w:numFmt w:val="decimal"/>
      <w:lvlText w:val="%1."/>
      <w:lvlJc w:val="left"/>
      <w:pPr>
        <w:tabs>
          <w:tab w:val="left" w:pos="312"/>
        </w:tabs>
      </w:pPr>
    </w:lvl>
  </w:abstractNum>
  <w:abstractNum w:abstractNumId="22">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CB32FC8"/>
    <w:multiLevelType w:val="multilevel"/>
    <w:tmpl w:val="4CB32FC8"/>
    <w:lvl w:ilvl="0" w:tentative="0">
      <w:start w:val="1"/>
      <w:numFmt w:val="upperLetter"/>
      <w:pStyle w:val="10"/>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4">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520018B0"/>
    <w:multiLevelType w:val="multilevel"/>
    <w:tmpl w:val="520018B0"/>
    <w:lvl w:ilvl="0" w:tentative="0">
      <w:start w:val="1"/>
      <w:numFmt w:val="decimal"/>
      <w:pStyle w:val="78"/>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0F40FB"/>
    <w:multiLevelType w:val="multilevel"/>
    <w:tmpl w:val="560F40FB"/>
    <w:lvl w:ilvl="0" w:tentative="0">
      <w:start w:val="1"/>
      <w:numFmt w:val="lowerLetter"/>
      <w:pStyle w:val="105"/>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D20133"/>
    <w:multiLevelType w:val="multilevel"/>
    <w:tmpl w:val="56D20133"/>
    <w:lvl w:ilvl="0" w:tentative="0">
      <w:start w:val="1"/>
      <w:numFmt w:val="chineseCountingThousand"/>
      <w:pStyle w:val="77"/>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8">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6A6EAE"/>
    <w:multiLevelType w:val="multilevel"/>
    <w:tmpl w:val="656A6EAE"/>
    <w:lvl w:ilvl="0" w:tentative="0">
      <w:start w:val="1"/>
      <w:numFmt w:val="chineseCountingThousand"/>
      <w:pStyle w:val="76"/>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2">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3"/>
  </w:num>
  <w:num w:numId="2">
    <w:abstractNumId w:val="31"/>
  </w:num>
  <w:num w:numId="3">
    <w:abstractNumId w:val="27"/>
  </w:num>
  <w:num w:numId="4">
    <w:abstractNumId w:val="25"/>
  </w:num>
  <w:num w:numId="5">
    <w:abstractNumId w:val="6"/>
  </w:num>
  <w:num w:numId="6">
    <w:abstractNumId w:val="9"/>
  </w:num>
  <w:num w:numId="7">
    <w:abstractNumId w:val="11"/>
  </w:num>
  <w:num w:numId="8">
    <w:abstractNumId w:val="26"/>
  </w:num>
  <w:num w:numId="9">
    <w:abstractNumId w:val="28"/>
  </w:num>
  <w:num w:numId="10">
    <w:abstractNumId w:val="21"/>
  </w:num>
  <w:num w:numId="11">
    <w:abstractNumId w:val="7"/>
  </w:num>
  <w:num w:numId="12">
    <w:abstractNumId w:val="20"/>
  </w:num>
  <w:num w:numId="13">
    <w:abstractNumId w:val="22"/>
  </w:num>
  <w:num w:numId="14">
    <w:abstractNumId w:val="3"/>
  </w:num>
  <w:num w:numId="15">
    <w:abstractNumId w:val="5"/>
  </w:num>
  <w:num w:numId="16">
    <w:abstractNumId w:val="1"/>
  </w:num>
  <w:num w:numId="17">
    <w:abstractNumId w:val="30"/>
  </w:num>
  <w:num w:numId="18">
    <w:abstractNumId w:val="18"/>
  </w:num>
  <w:num w:numId="19">
    <w:abstractNumId w:val="10"/>
  </w:num>
  <w:num w:numId="20">
    <w:abstractNumId w:val="24"/>
  </w:num>
  <w:num w:numId="21">
    <w:abstractNumId w:val="4"/>
  </w:num>
  <w:num w:numId="22">
    <w:abstractNumId w:val="13"/>
  </w:num>
  <w:num w:numId="23">
    <w:abstractNumId w:val="8"/>
  </w:num>
  <w:num w:numId="24">
    <w:abstractNumId w:val="29"/>
  </w:num>
  <w:num w:numId="25">
    <w:abstractNumId w:val="17"/>
  </w:num>
  <w:num w:numId="26">
    <w:abstractNumId w:val="32"/>
  </w:num>
  <w:num w:numId="27">
    <w:abstractNumId w:val="0"/>
  </w:num>
  <w:num w:numId="28">
    <w:abstractNumId w:val="14"/>
  </w:num>
  <w:num w:numId="29">
    <w:abstractNumId w:val="15"/>
  </w:num>
  <w:num w:numId="30">
    <w:abstractNumId w:val="16"/>
  </w:num>
  <w:num w:numId="31">
    <w:abstractNumId w:val="19"/>
  </w:num>
  <w:num w:numId="32">
    <w:abstractNumId w:val="12"/>
  </w:num>
  <w:num w:numId="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2"/>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A486315"/>
    <w:rsid w:val="0A63147A"/>
    <w:rsid w:val="0A81331A"/>
    <w:rsid w:val="0ADB2EF0"/>
    <w:rsid w:val="0ADD4CBE"/>
    <w:rsid w:val="0C83309C"/>
    <w:rsid w:val="0CB51572"/>
    <w:rsid w:val="0DE73E36"/>
    <w:rsid w:val="0E1E5070"/>
    <w:rsid w:val="0E4D31E3"/>
    <w:rsid w:val="0E530E38"/>
    <w:rsid w:val="10DC2AA3"/>
    <w:rsid w:val="10FA7C8C"/>
    <w:rsid w:val="11B74D66"/>
    <w:rsid w:val="12F64B6E"/>
    <w:rsid w:val="130B198F"/>
    <w:rsid w:val="13B54178"/>
    <w:rsid w:val="13FA68E0"/>
    <w:rsid w:val="15BB1367"/>
    <w:rsid w:val="16040658"/>
    <w:rsid w:val="160B29C0"/>
    <w:rsid w:val="16413C1E"/>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A32342"/>
    <w:rsid w:val="32C207BF"/>
    <w:rsid w:val="3380787D"/>
    <w:rsid w:val="33822A0F"/>
    <w:rsid w:val="34F565D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9D2397"/>
    <w:rsid w:val="418D0CE6"/>
    <w:rsid w:val="41A5482C"/>
    <w:rsid w:val="4275481E"/>
    <w:rsid w:val="428B617A"/>
    <w:rsid w:val="42947BD5"/>
    <w:rsid w:val="42CE288A"/>
    <w:rsid w:val="433D7BDC"/>
    <w:rsid w:val="437E1813"/>
    <w:rsid w:val="43A427AA"/>
    <w:rsid w:val="43F95365"/>
    <w:rsid w:val="444E2202"/>
    <w:rsid w:val="45354CBC"/>
    <w:rsid w:val="45BD47FC"/>
    <w:rsid w:val="45CC5FB2"/>
    <w:rsid w:val="46B75BA8"/>
    <w:rsid w:val="46E91D19"/>
    <w:rsid w:val="48C97955"/>
    <w:rsid w:val="49880C8F"/>
    <w:rsid w:val="4A8835F7"/>
    <w:rsid w:val="4B592E71"/>
    <w:rsid w:val="4BDD25B9"/>
    <w:rsid w:val="4C142ECC"/>
    <w:rsid w:val="4CD32C8D"/>
    <w:rsid w:val="4DF75369"/>
    <w:rsid w:val="4EA23B01"/>
    <w:rsid w:val="4EB0217D"/>
    <w:rsid w:val="4F482E54"/>
    <w:rsid w:val="4F8B220C"/>
    <w:rsid w:val="504F4EAF"/>
    <w:rsid w:val="516C4BAA"/>
    <w:rsid w:val="51D51447"/>
    <w:rsid w:val="52B9239A"/>
    <w:rsid w:val="52D52A7F"/>
    <w:rsid w:val="547601D5"/>
    <w:rsid w:val="54BD78FD"/>
    <w:rsid w:val="552A3C28"/>
    <w:rsid w:val="555A2DA3"/>
    <w:rsid w:val="56901A99"/>
    <w:rsid w:val="58A86DDE"/>
    <w:rsid w:val="58EA204C"/>
    <w:rsid w:val="59154AD7"/>
    <w:rsid w:val="5A542AB4"/>
    <w:rsid w:val="5ADF548D"/>
    <w:rsid w:val="5B547A6B"/>
    <w:rsid w:val="5BF95104"/>
    <w:rsid w:val="5C4627AE"/>
    <w:rsid w:val="5C4934B3"/>
    <w:rsid w:val="5C9249CA"/>
    <w:rsid w:val="5D5C60B4"/>
    <w:rsid w:val="5D8073BF"/>
    <w:rsid w:val="5F4F52F9"/>
    <w:rsid w:val="60651FB9"/>
    <w:rsid w:val="614E12EC"/>
    <w:rsid w:val="616D6769"/>
    <w:rsid w:val="629E3C71"/>
    <w:rsid w:val="63A37F94"/>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0DC30B4"/>
    <w:rsid w:val="71F00129"/>
    <w:rsid w:val="71FE41EB"/>
    <w:rsid w:val="72895F2E"/>
    <w:rsid w:val="72C02EBE"/>
    <w:rsid w:val="72C507AD"/>
    <w:rsid w:val="72D028D8"/>
    <w:rsid w:val="745D47C3"/>
    <w:rsid w:val="751B1584"/>
    <w:rsid w:val="75341FA7"/>
    <w:rsid w:val="764F7753"/>
    <w:rsid w:val="76AC3757"/>
    <w:rsid w:val="77D4005C"/>
    <w:rsid w:val="78292927"/>
    <w:rsid w:val="78E42452"/>
    <w:rsid w:val="78F93F69"/>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6">
    <w:name w:val="heading 1"/>
    <w:basedOn w:val="1"/>
    <w:next w:val="1"/>
    <w:link w:val="71"/>
    <w:semiHidden/>
    <w:qFormat/>
    <w:uiPriority w:val="0"/>
    <w:pPr>
      <w:keepNext/>
      <w:keepLines/>
      <w:spacing w:before="340" w:after="330" w:line="578" w:lineRule="auto"/>
      <w:outlineLvl w:val="0"/>
    </w:pPr>
    <w:rPr>
      <w:b/>
      <w:bCs/>
      <w:kern w:val="44"/>
      <w:sz w:val="44"/>
      <w:szCs w:val="44"/>
    </w:rPr>
  </w:style>
  <w:style w:type="paragraph" w:styleId="7">
    <w:name w:val="heading 2"/>
    <w:basedOn w:val="1"/>
    <w:next w:val="1"/>
    <w:link w:val="85"/>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8">
    <w:name w:val="heading 3"/>
    <w:basedOn w:val="1"/>
    <w:next w:val="1"/>
    <w:link w:val="115"/>
    <w:semiHidden/>
    <w:qFormat/>
    <w:uiPriority w:val="0"/>
    <w:pPr>
      <w:keepNext/>
      <w:keepLines/>
      <w:spacing w:line="416" w:lineRule="auto"/>
      <w:outlineLvl w:val="2"/>
    </w:pPr>
    <w:rPr>
      <w:b/>
      <w:bCs/>
      <w:sz w:val="32"/>
      <w:szCs w:val="32"/>
    </w:rPr>
  </w:style>
  <w:style w:type="paragraph" w:styleId="9">
    <w:name w:val="heading 4"/>
    <w:basedOn w:val="1"/>
    <w:next w:val="1"/>
    <w:link w:val="81"/>
    <w:semiHidden/>
    <w:qFormat/>
    <w:uiPriority w:val="0"/>
    <w:pPr>
      <w:keepNext/>
      <w:keepLines/>
      <w:spacing w:line="360" w:lineRule="auto"/>
      <w:outlineLvl w:val="3"/>
    </w:pPr>
    <w:rPr>
      <w:rFonts w:ascii="Arial" w:hAnsi="Arial"/>
      <w:b/>
      <w:bCs/>
      <w:szCs w:val="28"/>
    </w:rPr>
  </w:style>
  <w:style w:type="paragraph" w:styleId="10">
    <w:name w:val="heading 5"/>
    <w:basedOn w:val="1"/>
    <w:next w:val="1"/>
    <w:link w:val="82"/>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6">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45"/>
    <w:semiHidden/>
    <w:qFormat/>
    <w:uiPriority w:val="98"/>
    <w:rPr>
      <w:rFonts w:ascii="仿宋_GB2312" w:eastAsia="仿宋_GB2312"/>
      <w:sz w:val="32"/>
    </w:rPr>
  </w:style>
  <w:style w:type="paragraph" w:customStyle="1" w:styleId="3">
    <w:name w:val="一级条标题"/>
    <w:basedOn w:val="4"/>
    <w:next w:val="5"/>
    <w:qFormat/>
    <w:uiPriority w:val="0"/>
    <w:pPr>
      <w:tabs>
        <w:tab w:val="left" w:pos="360"/>
        <w:tab w:val="left" w:pos="840"/>
      </w:tabs>
      <w:ind w:hanging="840"/>
      <w:outlineLvl w:val="1"/>
    </w:pPr>
  </w:style>
  <w:style w:type="paragraph" w:customStyle="1" w:styleId="4">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5">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paragraph" w:styleId="11">
    <w:name w:val="E-mail Signature"/>
    <w:basedOn w:val="1"/>
    <w:link w:val="108"/>
    <w:semiHidden/>
    <w:qFormat/>
    <w:uiPriority w:val="99"/>
    <w:pPr>
      <w:spacing w:after="200" w:line="276" w:lineRule="auto"/>
      <w:jc w:val="left"/>
    </w:pPr>
    <w:rPr>
      <w:rFonts w:ascii="Calibri" w:hAnsi="Calibri"/>
      <w:kern w:val="0"/>
      <w:szCs w:val="21"/>
    </w:rPr>
  </w:style>
  <w:style w:type="paragraph" w:styleId="12">
    <w:name w:val="caption"/>
    <w:basedOn w:val="1"/>
    <w:next w:val="1"/>
    <w:semiHidden/>
    <w:qFormat/>
    <w:uiPriority w:val="98"/>
    <w:pPr>
      <w:spacing w:before="152" w:after="160"/>
    </w:pPr>
    <w:rPr>
      <w:rFonts w:ascii="Arial" w:hAnsi="Arial" w:eastAsia="黑体" w:cs="Arial"/>
      <w:sz w:val="20"/>
    </w:rPr>
  </w:style>
  <w:style w:type="paragraph" w:styleId="13">
    <w:name w:val="Document Map"/>
    <w:basedOn w:val="1"/>
    <w:link w:val="97"/>
    <w:semiHidden/>
    <w:qFormat/>
    <w:uiPriority w:val="0"/>
    <w:pPr>
      <w:adjustRightInd w:val="0"/>
      <w:spacing w:line="312" w:lineRule="atLeast"/>
      <w:textAlignment w:val="baseline"/>
    </w:pPr>
    <w:rPr>
      <w:rFonts w:ascii="宋体"/>
      <w:kern w:val="0"/>
      <w:sz w:val="18"/>
      <w:szCs w:val="18"/>
    </w:rPr>
  </w:style>
  <w:style w:type="paragraph" w:styleId="14">
    <w:name w:val="annotation text"/>
    <w:basedOn w:val="1"/>
    <w:link w:val="49"/>
    <w:qFormat/>
    <w:uiPriority w:val="99"/>
    <w:pPr>
      <w:jc w:val="left"/>
    </w:pPr>
  </w:style>
  <w:style w:type="paragraph" w:styleId="15">
    <w:name w:val="index 6"/>
    <w:basedOn w:val="1"/>
    <w:next w:val="1"/>
    <w:qFormat/>
    <w:uiPriority w:val="0"/>
    <w:rPr>
      <w:rFonts w:ascii="宋体" w:hAnsi="宋体"/>
      <w:color w:val="000000"/>
      <w:sz w:val="20"/>
      <w:szCs w:val="20"/>
    </w:rPr>
  </w:style>
  <w:style w:type="paragraph" w:styleId="16">
    <w:name w:val="Body Text Indent"/>
    <w:basedOn w:val="1"/>
    <w:next w:val="1"/>
    <w:link w:val="52"/>
    <w:semiHidden/>
    <w:qFormat/>
    <w:uiPriority w:val="0"/>
    <w:pPr>
      <w:spacing w:after="120"/>
      <w:ind w:left="420" w:leftChars="200"/>
    </w:pPr>
    <w:rPr>
      <w:rFonts w:ascii="Calibri" w:hAnsi="Calibri"/>
      <w:szCs w:val="22"/>
    </w:rPr>
  </w:style>
  <w:style w:type="paragraph" w:styleId="17">
    <w:name w:val="toc 3"/>
    <w:basedOn w:val="1"/>
    <w:next w:val="1"/>
    <w:semiHidden/>
    <w:qFormat/>
    <w:uiPriority w:val="39"/>
    <w:pPr>
      <w:adjustRightInd w:val="0"/>
      <w:spacing w:line="312" w:lineRule="atLeast"/>
      <w:ind w:left="840" w:leftChars="400"/>
      <w:textAlignment w:val="baseline"/>
    </w:pPr>
    <w:rPr>
      <w:kern w:val="0"/>
      <w:sz w:val="24"/>
    </w:rPr>
  </w:style>
  <w:style w:type="paragraph" w:styleId="18">
    <w:name w:val="Plain Text"/>
    <w:basedOn w:val="1"/>
    <w:link w:val="54"/>
    <w:qFormat/>
    <w:uiPriority w:val="0"/>
    <w:rPr>
      <w:rFonts w:ascii="宋体" w:hAnsi="Courier New"/>
    </w:rPr>
  </w:style>
  <w:style w:type="paragraph" w:styleId="19">
    <w:name w:val="Date"/>
    <w:basedOn w:val="1"/>
    <w:next w:val="1"/>
    <w:link w:val="91"/>
    <w:semiHidden/>
    <w:qFormat/>
    <w:uiPriority w:val="0"/>
    <w:pPr>
      <w:adjustRightInd w:val="0"/>
      <w:spacing w:line="312" w:lineRule="atLeast"/>
      <w:ind w:left="100" w:leftChars="2500"/>
      <w:textAlignment w:val="baseline"/>
    </w:pPr>
    <w:rPr>
      <w:kern w:val="0"/>
      <w:sz w:val="24"/>
    </w:rPr>
  </w:style>
  <w:style w:type="paragraph" w:styleId="20">
    <w:name w:val="Body Text Indent 2"/>
    <w:basedOn w:val="1"/>
    <w:link w:val="90"/>
    <w:semiHidden/>
    <w:qFormat/>
    <w:uiPriority w:val="0"/>
    <w:pPr>
      <w:adjustRightInd w:val="0"/>
      <w:spacing w:after="120" w:line="480" w:lineRule="auto"/>
      <w:ind w:left="420" w:leftChars="200"/>
      <w:textAlignment w:val="baseline"/>
    </w:pPr>
    <w:rPr>
      <w:kern w:val="0"/>
      <w:sz w:val="24"/>
    </w:rPr>
  </w:style>
  <w:style w:type="paragraph" w:styleId="21">
    <w:name w:val="Balloon Text"/>
    <w:basedOn w:val="1"/>
    <w:link w:val="51"/>
    <w:semiHidden/>
    <w:qFormat/>
    <w:uiPriority w:val="0"/>
    <w:rPr>
      <w:sz w:val="18"/>
      <w:szCs w:val="18"/>
    </w:rPr>
  </w:style>
  <w:style w:type="paragraph" w:styleId="22">
    <w:name w:val="footer"/>
    <w:basedOn w:val="1"/>
    <w:link w:val="46"/>
    <w:qFormat/>
    <w:uiPriority w:val="99"/>
    <w:pPr>
      <w:tabs>
        <w:tab w:val="center" w:pos="4153"/>
        <w:tab w:val="right" w:pos="8306"/>
      </w:tabs>
      <w:snapToGrid w:val="0"/>
      <w:jc w:val="left"/>
    </w:pPr>
    <w:rPr>
      <w:sz w:val="18"/>
      <w:szCs w:val="18"/>
    </w:rPr>
  </w:style>
  <w:style w:type="paragraph" w:styleId="23">
    <w:name w:val="header"/>
    <w:basedOn w:val="1"/>
    <w:link w:val="56"/>
    <w:semiHidden/>
    <w:qFormat/>
    <w:uiPriority w:val="0"/>
    <w:pPr>
      <w:pBdr>
        <w:bottom w:val="single" w:color="auto" w:sz="6" w:space="1"/>
      </w:pBdr>
      <w:tabs>
        <w:tab w:val="center" w:pos="4153"/>
        <w:tab w:val="right" w:pos="8306"/>
      </w:tabs>
      <w:snapToGrid w:val="0"/>
      <w:jc w:val="center"/>
    </w:pPr>
    <w:rPr>
      <w:sz w:val="18"/>
      <w:szCs w:val="18"/>
    </w:rPr>
  </w:style>
  <w:style w:type="paragraph" w:styleId="24">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5">
    <w:name w:val="List"/>
    <w:basedOn w:val="1"/>
    <w:qFormat/>
    <w:uiPriority w:val="0"/>
    <w:pPr>
      <w:ind w:left="200" w:hanging="200" w:hangingChars="200"/>
    </w:pPr>
    <w:rPr>
      <w:szCs w:val="21"/>
    </w:rPr>
  </w:style>
  <w:style w:type="paragraph" w:styleId="26">
    <w:name w:val="Body Text Indent 3"/>
    <w:basedOn w:val="1"/>
    <w:link w:val="87"/>
    <w:semiHidden/>
    <w:qFormat/>
    <w:uiPriority w:val="0"/>
    <w:pPr>
      <w:spacing w:line="360" w:lineRule="auto"/>
      <w:ind w:left="1347" w:leftChars="413" w:hanging="480" w:hangingChars="200"/>
    </w:pPr>
    <w:rPr>
      <w:rFonts w:ascii="宋体" w:hAnsi="宋体"/>
      <w:color w:val="FF0000"/>
      <w:sz w:val="24"/>
      <w:szCs w:val="24"/>
    </w:rPr>
  </w:style>
  <w:style w:type="paragraph" w:styleId="27">
    <w:name w:val="index 9"/>
    <w:basedOn w:val="1"/>
    <w:next w:val="1"/>
    <w:semiHidden/>
    <w:qFormat/>
    <w:uiPriority w:val="98"/>
    <w:pPr>
      <w:ind w:left="1600" w:leftChars="1600"/>
    </w:pPr>
  </w:style>
  <w:style w:type="paragraph" w:styleId="28">
    <w:name w:val="toc 2"/>
    <w:basedOn w:val="1"/>
    <w:next w:val="1"/>
    <w:qFormat/>
    <w:uiPriority w:val="39"/>
    <w:pPr>
      <w:ind w:left="420" w:leftChars="200"/>
    </w:pPr>
  </w:style>
  <w:style w:type="paragraph" w:styleId="29">
    <w:name w:val="Message Header"/>
    <w:basedOn w:val="1"/>
    <w:link w:val="112"/>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30">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31">
    <w:name w:val="Title"/>
    <w:basedOn w:val="1"/>
    <w:next w:val="1"/>
    <w:link w:val="74"/>
    <w:semiHidden/>
    <w:qFormat/>
    <w:uiPriority w:val="0"/>
    <w:pPr>
      <w:spacing w:before="240" w:after="60"/>
      <w:jc w:val="center"/>
      <w:outlineLvl w:val="0"/>
    </w:pPr>
    <w:rPr>
      <w:rFonts w:eastAsia="黑体" w:asciiTheme="majorHAnsi" w:hAnsiTheme="majorHAnsi" w:cstheme="majorBidi"/>
      <w:b/>
      <w:bCs/>
      <w:sz w:val="36"/>
      <w:szCs w:val="32"/>
    </w:rPr>
  </w:style>
  <w:style w:type="paragraph" w:styleId="32">
    <w:name w:val="annotation subject"/>
    <w:basedOn w:val="14"/>
    <w:next w:val="14"/>
    <w:link w:val="57"/>
    <w:semiHidden/>
    <w:qFormat/>
    <w:uiPriority w:val="98"/>
    <w:rPr>
      <w:b/>
      <w:bCs/>
    </w:rPr>
  </w:style>
  <w:style w:type="paragraph" w:styleId="33">
    <w:name w:val="Body Text First Indent 2"/>
    <w:basedOn w:val="16"/>
    <w:next w:val="28"/>
    <w:qFormat/>
    <w:uiPriority w:val="0"/>
    <w:pPr>
      <w:spacing w:line="276" w:lineRule="auto"/>
      <w:ind w:left="200" w:firstLine="200" w:firstLineChars="200"/>
      <w:jc w:val="left"/>
    </w:pPr>
  </w:style>
  <w:style w:type="table" w:styleId="35">
    <w:name w:val="Table Grid"/>
    <w:basedOn w:val="3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7">
    <w:name w:val="Strong"/>
    <w:semiHidden/>
    <w:qFormat/>
    <w:uiPriority w:val="98"/>
    <w:rPr>
      <w:b/>
    </w:rPr>
  </w:style>
  <w:style w:type="character" w:styleId="38">
    <w:name w:val="page number"/>
    <w:basedOn w:val="36"/>
    <w:semiHidden/>
    <w:qFormat/>
    <w:uiPriority w:val="0"/>
  </w:style>
  <w:style w:type="character" w:styleId="39">
    <w:name w:val="FollowedHyperlink"/>
    <w:semiHidden/>
    <w:qFormat/>
    <w:uiPriority w:val="98"/>
    <w:rPr>
      <w:color w:val="800080"/>
      <w:u w:val="single"/>
    </w:rPr>
  </w:style>
  <w:style w:type="character" w:styleId="40">
    <w:name w:val="Emphasis"/>
    <w:semiHidden/>
    <w:qFormat/>
    <w:uiPriority w:val="98"/>
    <w:rPr>
      <w:i/>
      <w:iCs/>
    </w:rPr>
  </w:style>
  <w:style w:type="character" w:styleId="41">
    <w:name w:val="Hyperlink"/>
    <w:basedOn w:val="36"/>
    <w:qFormat/>
    <w:uiPriority w:val="99"/>
    <w:rPr>
      <w:rFonts w:cs="Times New Roman"/>
      <w:color w:val="1F4F88"/>
      <w:u w:val="none"/>
    </w:rPr>
  </w:style>
  <w:style w:type="character" w:styleId="42">
    <w:name w:val="annotation reference"/>
    <w:semiHidden/>
    <w:qFormat/>
    <w:uiPriority w:val="98"/>
    <w:rPr>
      <w:sz w:val="21"/>
      <w:szCs w:val="21"/>
    </w:rPr>
  </w:style>
  <w:style w:type="character" w:customStyle="1" w:styleId="43">
    <w:name w:val="Char Char3"/>
    <w:semiHidden/>
    <w:qFormat/>
    <w:uiPriority w:val="98"/>
    <w:rPr>
      <w:rFonts w:ascii="宋体" w:hAnsi="Courier New" w:eastAsia="宋体"/>
      <w:kern w:val="2"/>
      <w:sz w:val="21"/>
      <w:lang w:val="en-US" w:eastAsia="zh-CN" w:bidi="ar-SA"/>
    </w:rPr>
  </w:style>
  <w:style w:type="character" w:customStyle="1" w:styleId="44">
    <w:name w:val="纯文本 Char"/>
    <w:semiHidden/>
    <w:qFormat/>
    <w:uiPriority w:val="98"/>
    <w:rPr>
      <w:rFonts w:ascii="宋体" w:hAnsi="Courier New" w:eastAsia="宋体"/>
      <w:kern w:val="2"/>
      <w:sz w:val="21"/>
      <w:lang w:val="en-US" w:eastAsia="zh-CN" w:bidi="ar-SA"/>
    </w:rPr>
  </w:style>
  <w:style w:type="character" w:customStyle="1" w:styleId="45">
    <w:name w:val="正文文本 字符"/>
    <w:link w:val="2"/>
    <w:semiHidden/>
    <w:qFormat/>
    <w:uiPriority w:val="98"/>
    <w:rPr>
      <w:rFonts w:ascii="仿宋_GB2312" w:eastAsia="仿宋_GB2312"/>
      <w:kern w:val="2"/>
      <w:sz w:val="32"/>
    </w:rPr>
  </w:style>
  <w:style w:type="character" w:customStyle="1" w:styleId="46">
    <w:name w:val="页脚 字符"/>
    <w:link w:val="22"/>
    <w:qFormat/>
    <w:uiPriority w:val="99"/>
    <w:rPr>
      <w:kern w:val="2"/>
      <w:sz w:val="18"/>
      <w:szCs w:val="18"/>
    </w:rPr>
  </w:style>
  <w:style w:type="character" w:customStyle="1" w:styleId="47">
    <w:name w:val="标题 3 字符"/>
    <w:semiHidden/>
    <w:qFormat/>
    <w:uiPriority w:val="0"/>
    <w:rPr>
      <w:b/>
      <w:bCs/>
      <w:kern w:val="2"/>
      <w:sz w:val="32"/>
      <w:szCs w:val="32"/>
    </w:rPr>
  </w:style>
  <w:style w:type="character" w:customStyle="1" w:styleId="48">
    <w:name w:val="正文文本 Char"/>
    <w:semiHidden/>
    <w:qFormat/>
    <w:uiPriority w:val="98"/>
    <w:rPr>
      <w:rFonts w:ascii="仿宋_GB2312" w:eastAsia="仿宋_GB2312"/>
      <w:kern w:val="2"/>
      <w:sz w:val="32"/>
    </w:rPr>
  </w:style>
  <w:style w:type="character" w:customStyle="1" w:styleId="49">
    <w:name w:val="批注文字 字符"/>
    <w:link w:val="14"/>
    <w:qFormat/>
    <w:uiPriority w:val="99"/>
    <w:rPr>
      <w:kern w:val="2"/>
      <w:sz w:val="21"/>
    </w:rPr>
  </w:style>
  <w:style w:type="character" w:customStyle="1" w:styleId="50">
    <w:name w:val="apple-converted-space"/>
    <w:basedOn w:val="36"/>
    <w:semiHidden/>
    <w:qFormat/>
    <w:uiPriority w:val="98"/>
  </w:style>
  <w:style w:type="character" w:customStyle="1" w:styleId="51">
    <w:name w:val="批注框文本 字符"/>
    <w:link w:val="21"/>
    <w:semiHidden/>
    <w:qFormat/>
    <w:uiPriority w:val="98"/>
    <w:rPr>
      <w:kern w:val="2"/>
      <w:sz w:val="18"/>
      <w:szCs w:val="18"/>
    </w:rPr>
  </w:style>
  <w:style w:type="character" w:customStyle="1" w:styleId="52">
    <w:name w:val="正文文本缩进 字符"/>
    <w:link w:val="16"/>
    <w:semiHidden/>
    <w:qFormat/>
    <w:uiPriority w:val="0"/>
    <w:rPr>
      <w:rFonts w:ascii="Calibri" w:hAnsi="Calibri"/>
      <w:kern w:val="2"/>
      <w:sz w:val="21"/>
      <w:szCs w:val="22"/>
    </w:rPr>
  </w:style>
  <w:style w:type="character" w:customStyle="1" w:styleId="53">
    <w:name w:val="Char Char5"/>
    <w:semiHidden/>
    <w:qFormat/>
    <w:uiPriority w:val="98"/>
    <w:rPr>
      <w:rFonts w:ascii="宋体" w:hAnsi="Courier New" w:eastAsia="宋体"/>
      <w:kern w:val="2"/>
      <w:sz w:val="21"/>
      <w:lang w:val="en-US" w:eastAsia="zh-CN" w:bidi="ar-SA"/>
    </w:rPr>
  </w:style>
  <w:style w:type="character" w:customStyle="1" w:styleId="54">
    <w:name w:val="纯文本 字符1"/>
    <w:link w:val="18"/>
    <w:semiHidden/>
    <w:qFormat/>
    <w:uiPriority w:val="0"/>
    <w:rPr>
      <w:rFonts w:ascii="宋体" w:hAnsi="Courier New"/>
      <w:kern w:val="2"/>
      <w:sz w:val="21"/>
    </w:rPr>
  </w:style>
  <w:style w:type="character" w:customStyle="1" w:styleId="55">
    <w:name w:val="纯文本 字符"/>
    <w:semiHidden/>
    <w:qFormat/>
    <w:uiPriority w:val="98"/>
    <w:rPr>
      <w:rFonts w:ascii="宋体" w:hAnsi="Courier New" w:eastAsia="宋体"/>
    </w:rPr>
  </w:style>
  <w:style w:type="character" w:customStyle="1" w:styleId="56">
    <w:name w:val="页眉 字符"/>
    <w:link w:val="23"/>
    <w:semiHidden/>
    <w:qFormat/>
    <w:uiPriority w:val="0"/>
    <w:rPr>
      <w:kern w:val="2"/>
      <w:sz w:val="18"/>
      <w:szCs w:val="18"/>
    </w:rPr>
  </w:style>
  <w:style w:type="character" w:customStyle="1" w:styleId="57">
    <w:name w:val="批注主题 字符"/>
    <w:link w:val="32"/>
    <w:semiHidden/>
    <w:qFormat/>
    <w:uiPriority w:val="98"/>
    <w:rPr>
      <w:b/>
      <w:bCs/>
      <w:kern w:val="2"/>
      <w:sz w:val="21"/>
    </w:rPr>
  </w:style>
  <w:style w:type="character" w:customStyle="1" w:styleId="58">
    <w:name w:val="Char Char2"/>
    <w:semiHidden/>
    <w:qFormat/>
    <w:uiPriority w:val="98"/>
    <w:rPr>
      <w:rFonts w:ascii="宋体" w:hAnsi="Courier New" w:cs="宋体"/>
      <w:kern w:val="2"/>
      <w:sz w:val="21"/>
      <w:szCs w:val="21"/>
    </w:rPr>
  </w:style>
  <w:style w:type="character" w:customStyle="1" w:styleId="59">
    <w:name w:val="HTML Markup"/>
    <w:semiHidden/>
    <w:qFormat/>
    <w:uiPriority w:val="98"/>
    <w:rPr>
      <w:vanish/>
      <w:color w:val="FF0000"/>
    </w:rPr>
  </w:style>
  <w:style w:type="character" w:customStyle="1" w:styleId="60">
    <w:name w:val="纯文本 Char3"/>
    <w:semiHidden/>
    <w:qFormat/>
    <w:uiPriority w:val="98"/>
    <w:rPr>
      <w:rFonts w:ascii="宋体" w:hAnsi="Courier New" w:eastAsia="宋体"/>
      <w:kern w:val="2"/>
      <w:sz w:val="21"/>
      <w:lang w:val="en-US" w:eastAsia="zh-CN" w:bidi="ar-SA"/>
    </w:rPr>
  </w:style>
  <w:style w:type="character" w:customStyle="1" w:styleId="61">
    <w:name w:val="正文文本缩进 Char"/>
    <w:link w:val="62"/>
    <w:semiHidden/>
    <w:qFormat/>
    <w:uiPriority w:val="98"/>
    <w:rPr>
      <w:kern w:val="2"/>
      <w:sz w:val="21"/>
    </w:rPr>
  </w:style>
  <w:style w:type="paragraph" w:customStyle="1" w:styleId="62">
    <w:name w:val="正文文本缩进1"/>
    <w:basedOn w:val="1"/>
    <w:link w:val="61"/>
    <w:semiHidden/>
    <w:qFormat/>
    <w:uiPriority w:val="98"/>
    <w:pPr>
      <w:spacing w:after="120"/>
      <w:ind w:left="420" w:leftChars="200"/>
    </w:pPr>
  </w:style>
  <w:style w:type="paragraph" w:customStyle="1" w:styleId="63">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4">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5">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6">
    <w:name w:val="List Paragraph"/>
    <w:basedOn w:val="1"/>
    <w:qFormat/>
    <w:uiPriority w:val="34"/>
    <w:pPr>
      <w:ind w:firstLine="420" w:firstLineChars="200"/>
    </w:pPr>
    <w:rPr>
      <w:rFonts w:ascii="Calibri" w:hAnsi="Calibri"/>
      <w:szCs w:val="22"/>
    </w:rPr>
  </w:style>
  <w:style w:type="paragraph" w:customStyle="1" w:styleId="67">
    <w:name w:val="列出段落1"/>
    <w:basedOn w:val="1"/>
    <w:semiHidden/>
    <w:qFormat/>
    <w:uiPriority w:val="98"/>
    <w:pPr>
      <w:ind w:firstLine="420" w:firstLineChars="200"/>
    </w:pPr>
    <w:rPr>
      <w:rFonts w:ascii="Calibri" w:hAnsi="Calibri"/>
      <w:szCs w:val="22"/>
    </w:rPr>
  </w:style>
  <w:style w:type="paragraph" w:customStyle="1" w:styleId="68">
    <w:name w:val="二级列表 Char"/>
    <w:basedOn w:val="1"/>
    <w:semiHidden/>
    <w:qFormat/>
    <w:uiPriority w:val="98"/>
    <w:rPr>
      <w:rFonts w:ascii="Calibri" w:hAnsi="Calibri"/>
    </w:rPr>
  </w:style>
  <w:style w:type="paragraph" w:customStyle="1" w:styleId="69">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70">
    <w:name w:val="style61"/>
    <w:semiHidden/>
    <w:qFormat/>
    <w:uiPriority w:val="98"/>
  </w:style>
  <w:style w:type="character" w:customStyle="1" w:styleId="71">
    <w:name w:val="标题 1 字符"/>
    <w:basedOn w:val="36"/>
    <w:link w:val="6"/>
    <w:semiHidden/>
    <w:qFormat/>
    <w:uiPriority w:val="0"/>
    <w:rPr>
      <w:b/>
      <w:bCs/>
      <w:kern w:val="44"/>
      <w:sz w:val="44"/>
      <w:szCs w:val="44"/>
    </w:rPr>
  </w:style>
  <w:style w:type="paragraph" w:customStyle="1" w:styleId="72">
    <w:name w:val="TOC 标题1"/>
    <w:basedOn w:val="6"/>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3">
    <w:name w:val="标题 2 字符"/>
    <w:basedOn w:val="36"/>
    <w:semiHidden/>
    <w:qFormat/>
    <w:uiPriority w:val="0"/>
    <w:rPr>
      <w:rFonts w:asciiTheme="majorHAnsi" w:hAnsiTheme="majorHAnsi" w:eastAsiaTheme="majorEastAsia" w:cstheme="majorBidi"/>
      <w:b/>
      <w:bCs/>
      <w:kern w:val="2"/>
      <w:sz w:val="32"/>
      <w:szCs w:val="32"/>
    </w:rPr>
  </w:style>
  <w:style w:type="character" w:customStyle="1" w:styleId="74">
    <w:name w:val="标题 字符"/>
    <w:basedOn w:val="36"/>
    <w:link w:val="31"/>
    <w:semiHidden/>
    <w:qFormat/>
    <w:uiPriority w:val="0"/>
    <w:rPr>
      <w:rFonts w:eastAsia="黑体" w:asciiTheme="majorHAnsi" w:hAnsiTheme="majorHAnsi" w:cstheme="majorBidi"/>
      <w:b/>
      <w:bCs/>
      <w:kern w:val="2"/>
      <w:sz w:val="36"/>
      <w:szCs w:val="32"/>
    </w:rPr>
  </w:style>
  <w:style w:type="paragraph" w:customStyle="1" w:styleId="75">
    <w:name w:val="章节"/>
    <w:basedOn w:val="18"/>
    <w:qFormat/>
    <w:uiPriority w:val="0"/>
    <w:pPr>
      <w:spacing w:line="360" w:lineRule="auto"/>
      <w:jc w:val="center"/>
      <w:outlineLvl w:val="0"/>
    </w:pPr>
    <w:rPr>
      <w:rFonts w:ascii="黑体" w:eastAsia="黑体"/>
      <w:b/>
      <w:bCs/>
      <w:sz w:val="36"/>
      <w:szCs w:val="36"/>
    </w:rPr>
  </w:style>
  <w:style w:type="paragraph" w:customStyle="1" w:styleId="76">
    <w:name w:val="一级标题"/>
    <w:basedOn w:val="18"/>
    <w:qFormat/>
    <w:uiPriority w:val="1"/>
    <w:pPr>
      <w:numPr>
        <w:ilvl w:val="0"/>
        <w:numId w:val="2"/>
      </w:numPr>
      <w:spacing w:line="360" w:lineRule="auto"/>
      <w:ind w:left="420"/>
      <w:outlineLvl w:val="1"/>
    </w:pPr>
    <w:rPr>
      <w:rFonts w:ascii="黑体" w:eastAsia="黑体"/>
      <w:b/>
      <w:bCs/>
      <w:sz w:val="28"/>
    </w:rPr>
  </w:style>
  <w:style w:type="paragraph" w:customStyle="1" w:styleId="77">
    <w:name w:val="（二）级标题"/>
    <w:basedOn w:val="18"/>
    <w:qFormat/>
    <w:uiPriority w:val="2"/>
    <w:pPr>
      <w:numPr>
        <w:ilvl w:val="0"/>
        <w:numId w:val="3"/>
      </w:numPr>
      <w:spacing w:line="360" w:lineRule="auto"/>
      <w:outlineLvl w:val="2"/>
    </w:pPr>
    <w:rPr>
      <w:b/>
    </w:rPr>
  </w:style>
  <w:style w:type="paragraph" w:customStyle="1" w:styleId="78">
    <w:name w:val="3级标题"/>
    <w:basedOn w:val="18"/>
    <w:link w:val="106"/>
    <w:qFormat/>
    <w:uiPriority w:val="3"/>
    <w:pPr>
      <w:numPr>
        <w:ilvl w:val="0"/>
        <w:numId w:val="4"/>
      </w:numPr>
      <w:spacing w:line="360" w:lineRule="auto"/>
      <w:outlineLvl w:val="3"/>
    </w:pPr>
    <w:rPr>
      <w:b/>
    </w:rPr>
  </w:style>
  <w:style w:type="paragraph" w:customStyle="1" w:styleId="79">
    <w:name w:val="（4）级标题"/>
    <w:basedOn w:val="18"/>
    <w:qFormat/>
    <w:uiPriority w:val="8"/>
    <w:pPr>
      <w:numPr>
        <w:ilvl w:val="0"/>
        <w:numId w:val="5"/>
      </w:numPr>
      <w:spacing w:line="360" w:lineRule="auto"/>
      <w:outlineLvl w:val="4"/>
    </w:pPr>
  </w:style>
  <w:style w:type="paragraph" w:customStyle="1" w:styleId="80">
    <w:name w:val="标书正文"/>
    <w:basedOn w:val="18"/>
    <w:link w:val="101"/>
    <w:qFormat/>
    <w:uiPriority w:val="9"/>
    <w:pPr>
      <w:spacing w:line="360" w:lineRule="auto"/>
      <w:jc w:val="left"/>
    </w:pPr>
  </w:style>
  <w:style w:type="character" w:customStyle="1" w:styleId="81">
    <w:name w:val="标题 4 字符"/>
    <w:basedOn w:val="36"/>
    <w:link w:val="9"/>
    <w:semiHidden/>
    <w:qFormat/>
    <w:uiPriority w:val="0"/>
    <w:rPr>
      <w:rFonts w:ascii="Arial" w:hAnsi="Arial"/>
      <w:b/>
      <w:bCs/>
      <w:kern w:val="2"/>
      <w:sz w:val="21"/>
      <w:szCs w:val="28"/>
    </w:rPr>
  </w:style>
  <w:style w:type="character" w:customStyle="1" w:styleId="82">
    <w:name w:val="标题 5 字符"/>
    <w:basedOn w:val="36"/>
    <w:link w:val="10"/>
    <w:semiHidden/>
    <w:qFormat/>
    <w:uiPriority w:val="0"/>
    <w:rPr>
      <w:rFonts w:ascii="宋体" w:hAnsi="宋体"/>
      <w:bCs/>
      <w:iCs/>
      <w:color w:val="000000"/>
      <w:sz w:val="28"/>
      <w:szCs w:val="28"/>
    </w:rPr>
  </w:style>
  <w:style w:type="paragraph" w:customStyle="1" w:styleId="83">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4">
    <w:name w:val="case31"/>
    <w:qFormat/>
    <w:uiPriority w:val="0"/>
    <w:rPr>
      <w:rFonts w:hint="default" w:ascii="ˎ̥" w:hAnsi="ˎ̥"/>
      <w:sz w:val="21"/>
      <w:szCs w:val="21"/>
    </w:rPr>
  </w:style>
  <w:style w:type="character" w:customStyle="1" w:styleId="85">
    <w:name w:val="标题 2 字符1"/>
    <w:link w:val="7"/>
    <w:qFormat/>
    <w:uiPriority w:val="0"/>
    <w:rPr>
      <w:rFonts w:ascii="宋体" w:hAnsi="宋体"/>
      <w:bCs/>
      <w:sz w:val="24"/>
      <w:szCs w:val="32"/>
    </w:rPr>
  </w:style>
  <w:style w:type="character" w:customStyle="1" w:styleId="86">
    <w:name w:val="标题 Char"/>
    <w:qFormat/>
    <w:uiPriority w:val="0"/>
    <w:rPr>
      <w:rFonts w:ascii="宋体" w:hAnsi="宋体" w:cs="Times New Roman"/>
      <w:b/>
      <w:bCs/>
      <w:sz w:val="24"/>
      <w:szCs w:val="32"/>
    </w:rPr>
  </w:style>
  <w:style w:type="character" w:customStyle="1" w:styleId="87">
    <w:name w:val="正文文本缩进 3 字符"/>
    <w:basedOn w:val="36"/>
    <w:link w:val="26"/>
    <w:semiHidden/>
    <w:qFormat/>
    <w:uiPriority w:val="0"/>
    <w:rPr>
      <w:rFonts w:ascii="宋体" w:hAnsi="宋体"/>
      <w:color w:val="FF0000"/>
      <w:kern w:val="2"/>
      <w:sz w:val="24"/>
      <w:szCs w:val="24"/>
    </w:rPr>
  </w:style>
  <w:style w:type="paragraph" w:customStyle="1" w:styleId="88">
    <w:name w:val="_Style 4"/>
    <w:basedOn w:val="6"/>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9">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90">
    <w:name w:val="正文文本缩进 2 字符"/>
    <w:basedOn w:val="36"/>
    <w:link w:val="20"/>
    <w:semiHidden/>
    <w:qFormat/>
    <w:uiPriority w:val="0"/>
    <w:rPr>
      <w:sz w:val="24"/>
    </w:rPr>
  </w:style>
  <w:style w:type="character" w:customStyle="1" w:styleId="91">
    <w:name w:val="日期 字符"/>
    <w:basedOn w:val="36"/>
    <w:link w:val="19"/>
    <w:semiHidden/>
    <w:qFormat/>
    <w:uiPriority w:val="0"/>
    <w:rPr>
      <w:sz w:val="24"/>
    </w:rPr>
  </w:style>
  <w:style w:type="paragraph" w:customStyle="1" w:styleId="92">
    <w:name w:val="Char1 Char Char Char Char Char Char"/>
    <w:basedOn w:val="1"/>
    <w:qFormat/>
    <w:uiPriority w:val="0"/>
    <w:rPr>
      <w:rFonts w:ascii="Tahoma" w:hAnsi="Tahoma"/>
      <w:sz w:val="24"/>
    </w:rPr>
  </w:style>
  <w:style w:type="paragraph" w:customStyle="1" w:styleId="93">
    <w:name w:val="样式1"/>
    <w:basedOn w:val="1"/>
    <w:qFormat/>
    <w:uiPriority w:val="0"/>
    <w:pPr>
      <w:adjustRightInd w:val="0"/>
      <w:spacing w:line="420" w:lineRule="auto"/>
      <w:jc w:val="center"/>
      <w:textAlignment w:val="baseline"/>
    </w:pPr>
    <w:rPr>
      <w:rFonts w:ascii="宋体"/>
      <w:kern w:val="0"/>
      <w:sz w:val="24"/>
    </w:rPr>
  </w:style>
  <w:style w:type="paragraph" w:customStyle="1" w:styleId="94">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5">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6">
    <w:name w:val="文档结构图 字符"/>
    <w:basedOn w:val="36"/>
    <w:semiHidden/>
    <w:qFormat/>
    <w:uiPriority w:val="98"/>
    <w:rPr>
      <w:rFonts w:ascii="Microsoft YaHei UI" w:eastAsia="Microsoft YaHei UI"/>
      <w:kern w:val="2"/>
      <w:sz w:val="18"/>
      <w:szCs w:val="18"/>
    </w:rPr>
  </w:style>
  <w:style w:type="character" w:customStyle="1" w:styleId="97">
    <w:name w:val="文档结构图 字符1"/>
    <w:basedOn w:val="36"/>
    <w:link w:val="13"/>
    <w:semiHidden/>
    <w:qFormat/>
    <w:uiPriority w:val="0"/>
    <w:rPr>
      <w:rFonts w:ascii="宋体"/>
      <w:sz w:val="18"/>
      <w:szCs w:val="18"/>
    </w:rPr>
  </w:style>
  <w:style w:type="paragraph" w:customStyle="1" w:styleId="98">
    <w:name w:val="表格"/>
    <w:basedOn w:val="1"/>
    <w:link w:val="99"/>
    <w:qFormat/>
    <w:uiPriority w:val="10"/>
    <w:rPr>
      <w:rFonts w:ascii="宋体" w:hAnsi="宋体"/>
      <w:szCs w:val="30"/>
    </w:rPr>
  </w:style>
  <w:style w:type="character" w:customStyle="1" w:styleId="99">
    <w:name w:val="表格 字符"/>
    <w:basedOn w:val="36"/>
    <w:link w:val="98"/>
    <w:qFormat/>
    <w:uiPriority w:val="10"/>
    <w:rPr>
      <w:rFonts w:ascii="宋体" w:hAnsi="宋体"/>
      <w:kern w:val="2"/>
      <w:sz w:val="21"/>
      <w:szCs w:val="30"/>
    </w:rPr>
  </w:style>
  <w:style w:type="paragraph" w:customStyle="1" w:styleId="100">
    <w:name w:val="5）级标题"/>
    <w:basedOn w:val="80"/>
    <w:link w:val="102"/>
    <w:qFormat/>
    <w:uiPriority w:val="11"/>
    <w:pPr>
      <w:numPr>
        <w:ilvl w:val="0"/>
        <w:numId w:val="7"/>
      </w:numPr>
      <w:ind w:firstLine="0"/>
    </w:pPr>
  </w:style>
  <w:style w:type="character" w:customStyle="1" w:styleId="101">
    <w:name w:val="标书正文 字符"/>
    <w:basedOn w:val="54"/>
    <w:link w:val="80"/>
    <w:qFormat/>
    <w:uiPriority w:val="9"/>
    <w:rPr>
      <w:rFonts w:ascii="宋体" w:hAnsi="Courier New"/>
      <w:kern w:val="2"/>
      <w:sz w:val="21"/>
    </w:rPr>
  </w:style>
  <w:style w:type="character" w:customStyle="1" w:styleId="102">
    <w:name w:val="5）级标题 字符"/>
    <w:basedOn w:val="101"/>
    <w:link w:val="100"/>
    <w:qFormat/>
    <w:uiPriority w:val="11"/>
    <w:rPr>
      <w:rFonts w:ascii="宋体" w:hAnsi="Courier New"/>
      <w:kern w:val="2"/>
      <w:sz w:val="21"/>
    </w:rPr>
  </w:style>
  <w:style w:type="paragraph" w:customStyle="1" w:styleId="103">
    <w:name w:val="样式 标题 4 + 段前: 5 磅 段后: 5 磅 行距: 单倍行距"/>
    <w:next w:val="27"/>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4">
    <w:name w:val="不明显强调1"/>
    <w:basedOn w:val="36"/>
    <w:qFormat/>
    <w:uiPriority w:val="19"/>
    <w:rPr>
      <w:rFonts w:eastAsia="宋体"/>
      <w:i/>
      <w:iCs/>
      <w:color w:val="auto"/>
      <w:sz w:val="21"/>
    </w:rPr>
  </w:style>
  <w:style w:type="paragraph" w:customStyle="1" w:styleId="105">
    <w:name w:val="⑥级标题"/>
    <w:basedOn w:val="78"/>
    <w:link w:val="107"/>
    <w:qFormat/>
    <w:uiPriority w:val="12"/>
    <w:pPr>
      <w:numPr>
        <w:numId w:val="8"/>
      </w:numPr>
    </w:pPr>
  </w:style>
  <w:style w:type="character" w:customStyle="1" w:styleId="106">
    <w:name w:val="3级标题 字符"/>
    <w:basedOn w:val="54"/>
    <w:link w:val="78"/>
    <w:qFormat/>
    <w:uiPriority w:val="3"/>
    <w:rPr>
      <w:rFonts w:ascii="宋体" w:hAnsi="Courier New"/>
      <w:b/>
      <w:kern w:val="2"/>
      <w:sz w:val="21"/>
    </w:rPr>
  </w:style>
  <w:style w:type="character" w:customStyle="1" w:styleId="107">
    <w:name w:val="⑥级标题 字符"/>
    <w:basedOn w:val="106"/>
    <w:link w:val="105"/>
    <w:qFormat/>
    <w:uiPriority w:val="12"/>
    <w:rPr>
      <w:rFonts w:ascii="宋体" w:hAnsi="Courier New"/>
      <w:kern w:val="2"/>
      <w:sz w:val="21"/>
    </w:rPr>
  </w:style>
  <w:style w:type="character" w:customStyle="1" w:styleId="108">
    <w:name w:val="电子邮件签名 字符"/>
    <w:link w:val="11"/>
    <w:semiHidden/>
    <w:qFormat/>
    <w:locked/>
    <w:uiPriority w:val="99"/>
    <w:rPr>
      <w:sz w:val="21"/>
      <w:szCs w:val="21"/>
    </w:rPr>
  </w:style>
  <w:style w:type="character" w:customStyle="1" w:styleId="109">
    <w:name w:val="电子邮件签名 字符1"/>
    <w:basedOn w:val="36"/>
    <w:semiHidden/>
    <w:qFormat/>
    <w:uiPriority w:val="98"/>
    <w:rPr>
      <w:rFonts w:ascii="Times New Roman" w:hAnsi="Times New Roman"/>
      <w:kern w:val="2"/>
      <w:sz w:val="21"/>
    </w:rPr>
  </w:style>
  <w:style w:type="character" w:customStyle="1" w:styleId="110">
    <w:name w:val="HR正文 Char"/>
    <w:link w:val="111"/>
    <w:qFormat/>
    <w:uiPriority w:val="0"/>
    <w:rPr>
      <w:kern w:val="2"/>
      <w:sz w:val="24"/>
      <w:szCs w:val="24"/>
    </w:rPr>
  </w:style>
  <w:style w:type="paragraph" w:customStyle="1" w:styleId="111">
    <w:name w:val="HR正文"/>
    <w:basedOn w:val="1"/>
    <w:link w:val="110"/>
    <w:qFormat/>
    <w:uiPriority w:val="0"/>
    <w:pPr>
      <w:spacing w:line="300" w:lineRule="auto"/>
      <w:ind w:firstLine="200" w:firstLineChars="200"/>
    </w:pPr>
    <w:rPr>
      <w:rFonts w:ascii="Calibri" w:hAnsi="Calibri"/>
      <w:sz w:val="24"/>
      <w:szCs w:val="24"/>
    </w:rPr>
  </w:style>
  <w:style w:type="character" w:customStyle="1" w:styleId="112">
    <w:name w:val="信息标题 字符"/>
    <w:link w:val="29"/>
    <w:semiHidden/>
    <w:qFormat/>
    <w:locked/>
    <w:uiPriority w:val="99"/>
    <w:rPr>
      <w:rFonts w:ascii="Cambria" w:hAnsi="Cambria" w:cs="Cambria"/>
      <w:sz w:val="24"/>
      <w:szCs w:val="24"/>
      <w:shd w:val="pct20" w:color="auto" w:fill="auto"/>
    </w:rPr>
  </w:style>
  <w:style w:type="character" w:customStyle="1" w:styleId="113">
    <w:name w:val="信息标题 字符1"/>
    <w:basedOn w:val="36"/>
    <w:semiHidden/>
    <w:qFormat/>
    <w:uiPriority w:val="98"/>
    <w:rPr>
      <w:rFonts w:asciiTheme="majorHAnsi" w:hAnsiTheme="majorHAnsi" w:eastAsiaTheme="majorEastAsia" w:cstheme="majorBidi"/>
      <w:kern w:val="2"/>
      <w:sz w:val="24"/>
      <w:szCs w:val="24"/>
      <w:shd w:val="pct20" w:color="auto" w:fill="auto"/>
    </w:rPr>
  </w:style>
  <w:style w:type="character" w:customStyle="1" w:styleId="114">
    <w:name w:val="页眉 Char1"/>
    <w:semiHidden/>
    <w:qFormat/>
    <w:locked/>
    <w:uiPriority w:val="0"/>
    <w:rPr>
      <w:rFonts w:ascii="Calibri" w:hAnsi="Calibri"/>
      <w:sz w:val="18"/>
      <w:szCs w:val="18"/>
    </w:rPr>
  </w:style>
  <w:style w:type="character" w:customStyle="1" w:styleId="115">
    <w:name w:val="标题 3 字符1"/>
    <w:link w:val="8"/>
    <w:qFormat/>
    <w:uiPriority w:val="0"/>
    <w:rPr>
      <w:b/>
      <w:sz w:val="32"/>
    </w:rPr>
  </w:style>
  <w:style w:type="paragraph" w:customStyle="1" w:styleId="116">
    <w:name w:val="Table Paragraph"/>
    <w:basedOn w:val="1"/>
    <w:qFormat/>
    <w:uiPriority w:val="1"/>
    <w:rPr>
      <w:rFonts w:ascii="宋体" w:hAnsi="宋体" w:cs="宋体"/>
    </w:rPr>
  </w:style>
  <w:style w:type="table" w:customStyle="1" w:styleId="117">
    <w:name w:val="Table Normal"/>
    <w:qFormat/>
    <w:uiPriority w:val="0"/>
    <w:tblPr>
      <w:tblCellMar>
        <w:top w:w="0" w:type="dxa"/>
        <w:left w:w="0" w:type="dxa"/>
        <w:bottom w:w="0" w:type="dxa"/>
        <w:right w:w="0" w:type="dxa"/>
      </w:tblCellMar>
    </w:tblPr>
  </w:style>
  <w:style w:type="paragraph" w:styleId="118">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9">
    <w:name w:val="font11"/>
    <w:basedOn w:val="36"/>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27</Pages>
  <Words>11338</Words>
  <Characters>11911</Characters>
  <Lines>79</Lines>
  <Paragraphs>22</Paragraphs>
  <TotalTime>35</TotalTime>
  <ScaleCrop>false</ScaleCrop>
  <LinksUpToDate>false</LinksUpToDate>
  <CharactersWithSpaces>13187</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2026-04-02T07:30:10Z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C0E52DBF9FCB4F07BC67952552803439_13</vt:lpwstr>
  </property>
  <property fmtid="{D5CDD505-2E9C-101B-9397-08002B2CF9AE}" pid="4" name="KSOTemplateDocerSaveRecord">
    <vt:lpwstr>eyJoZGlkIjoiMGUyZDBjMzQyNzBlOGY1Yzg4YzhkYzMzZWVhYjI3M2UifQ==</vt:lpwstr>
  </property>
</Properties>
</file>