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2CC0DA56">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济南车桥公司驱动桥总成产能提升</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-新增螺柱焊机项目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FSCZB2025120046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15</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济南车桥公司驱动桥总成产能提升-新增螺柱焊机项目</w:t>
      </w:r>
    </w:p>
    <w:p w14:paraId="15020D03">
      <w:pPr>
        <w:pStyle w:val="73"/>
      </w:pPr>
      <w:r>
        <w:rPr>
          <w:rFonts w:hint="eastAsia"/>
        </w:rPr>
        <w:t>项目编号：</w:t>
      </w:r>
      <w:r>
        <w:rPr>
          <w:rFonts w:hint="eastAsia"/>
          <w:highlight w:val="yellow"/>
        </w:rPr>
        <w:t xml:space="preserve"> FSCZB2025120046</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济南车桥公司驱动桥总成产能提升-新增螺柱焊机项目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19</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24</w:t>
      </w:r>
      <w:r>
        <w:rPr>
          <w:rFonts w:hint="eastAsia" w:ascii="宋体" w:hAnsi="宋体" w:eastAsia="宋体" w:cs="宋体"/>
          <w:sz w:val="21"/>
          <w:szCs w:val="21"/>
          <w:highlight w:val="yellow"/>
        </w:rPr>
        <w:t>日9:00:00</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2B0A2BE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DF15943">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3B952B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066A2C4A">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bookmarkStart w:id="220" w:name="_GoBack"/>
      <w:r>
        <w:rPr>
          <w:rFonts w:ascii="宋体" w:hAnsi="宋体" w:eastAsia="宋体" w:cs="宋体"/>
          <w:sz w:val="24"/>
          <w:szCs w:val="24"/>
        </w:rPr>
        <w:t>刘延民</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ascii="宋体" w:hAnsi="宋体" w:eastAsia="宋体" w:cs="宋体"/>
          <w:sz w:val="24"/>
          <w:szCs w:val="24"/>
        </w:rPr>
        <w:t>15275120878</w:t>
      </w:r>
    </w:p>
    <w:p w14:paraId="0424277F">
      <w:pPr>
        <w:pStyle w:val="72"/>
        <w:numPr>
          <w:ilvl w:val="0"/>
          <w:numId w:val="0"/>
        </w:numPr>
        <w:ind w:leftChars="0" w:firstLine="422" w:firstLineChars="200"/>
      </w:pPr>
      <w:r>
        <w:rPr>
          <w:rFonts w:hint="eastAsia" w:ascii="宋体" w:hAnsi="宋体" w:eastAsia="宋体" w:cs="宋体"/>
          <w:b/>
          <w:bCs/>
          <w:sz w:val="21"/>
          <w:szCs w:val="21"/>
        </w:rPr>
        <w:t>邮箱：</w:t>
      </w:r>
      <w:r>
        <w:rPr>
          <w:rFonts w:ascii="宋体" w:hAnsi="宋体" w:eastAsia="宋体" w:cs="宋体"/>
          <w:sz w:val="24"/>
          <w:szCs w:val="24"/>
        </w:rPr>
        <w:t>liuyanmin@sinotruk.com</w:t>
      </w:r>
      <w:bookmarkEnd w:id="220"/>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15</w:t>
      </w:r>
      <w:r>
        <w:rPr>
          <w:rFonts w:hint="eastAsia"/>
        </w:rPr>
        <w:t>日</w:t>
      </w:r>
    </w:p>
    <w:p w14:paraId="04C96706">
      <w:pPr>
        <w:pStyle w:val="76"/>
      </w:pPr>
    </w:p>
    <w:p w14:paraId="3D820EEC">
      <w:pPr>
        <w:pStyle w:val="71"/>
      </w:pPr>
      <w:bookmarkStart w:id="5" w:name="_Toc47976595"/>
      <w:bookmarkStart w:id="6" w:name="_Toc7753"/>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p>
    <w:tbl>
      <w:tblPr>
        <w:tblStyle w:val="30"/>
        <w:tblpPr w:leftFromText="180" w:rightFromText="180" w:vertAnchor="text" w:tblpXSpec="center" w:tblpY="1"/>
        <w:tblOverlap w:val="never"/>
        <w:tblW w:w="7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745"/>
        <w:gridCol w:w="776"/>
        <w:gridCol w:w="832"/>
        <w:gridCol w:w="749"/>
        <w:gridCol w:w="1548"/>
        <w:gridCol w:w="1026"/>
      </w:tblGrid>
      <w:tr w14:paraId="0208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5" w:type="dxa"/>
            <w:noWrap w:val="0"/>
            <w:vAlign w:val="center"/>
          </w:tcPr>
          <w:p w14:paraId="1DB262B7">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序号</w:t>
            </w:r>
          </w:p>
        </w:tc>
        <w:tc>
          <w:tcPr>
            <w:tcW w:w="1745" w:type="dxa"/>
            <w:noWrap w:val="0"/>
            <w:vAlign w:val="center"/>
          </w:tcPr>
          <w:p w14:paraId="01EACD27">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名称</w:t>
            </w:r>
          </w:p>
        </w:tc>
        <w:tc>
          <w:tcPr>
            <w:tcW w:w="776" w:type="dxa"/>
            <w:noWrap w:val="0"/>
            <w:vAlign w:val="center"/>
          </w:tcPr>
          <w:p w14:paraId="7DAACBCB">
            <w:pPr>
              <w:pStyle w:val="62"/>
              <w:adjustRightInd w:val="0"/>
              <w:snapToGrid w:val="0"/>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规格</w:t>
            </w:r>
          </w:p>
        </w:tc>
        <w:tc>
          <w:tcPr>
            <w:tcW w:w="832" w:type="dxa"/>
            <w:noWrap w:val="0"/>
            <w:vAlign w:val="center"/>
          </w:tcPr>
          <w:p w14:paraId="4D6BCAB9">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数量</w:t>
            </w:r>
          </w:p>
        </w:tc>
        <w:tc>
          <w:tcPr>
            <w:tcW w:w="749" w:type="dxa"/>
            <w:noWrap w:val="0"/>
            <w:vAlign w:val="center"/>
          </w:tcPr>
          <w:p w14:paraId="15252B35">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单位</w:t>
            </w:r>
          </w:p>
        </w:tc>
        <w:tc>
          <w:tcPr>
            <w:tcW w:w="1548" w:type="dxa"/>
            <w:noWrap w:val="0"/>
            <w:vAlign w:val="bottom"/>
          </w:tcPr>
          <w:p w14:paraId="694C4F1D">
            <w:pPr>
              <w:pStyle w:val="16"/>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安装地点/服务对象</w:t>
            </w:r>
          </w:p>
        </w:tc>
        <w:tc>
          <w:tcPr>
            <w:tcW w:w="1026" w:type="dxa"/>
            <w:noWrap w:val="0"/>
            <w:vAlign w:val="center"/>
          </w:tcPr>
          <w:p w14:paraId="5A6F8F35">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供货</w:t>
            </w:r>
          </w:p>
          <w:p w14:paraId="3433E7D8">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方式</w:t>
            </w:r>
          </w:p>
        </w:tc>
      </w:tr>
      <w:tr w14:paraId="499B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75" w:type="dxa"/>
            <w:noWrap w:val="0"/>
            <w:vAlign w:val="center"/>
          </w:tcPr>
          <w:p w14:paraId="51E31EE7">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c>
          <w:tcPr>
            <w:tcW w:w="1745" w:type="dxa"/>
            <w:noWrap w:val="0"/>
            <w:vAlign w:val="center"/>
          </w:tcPr>
          <w:p w14:paraId="67D8DA3C">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螺柱焊机</w:t>
            </w:r>
          </w:p>
        </w:tc>
        <w:tc>
          <w:tcPr>
            <w:tcW w:w="776" w:type="dxa"/>
            <w:noWrap w:val="0"/>
            <w:vAlign w:val="center"/>
          </w:tcPr>
          <w:p w14:paraId="695679A9">
            <w:pPr>
              <w:pStyle w:val="62"/>
              <w:adjustRightInd w:val="0"/>
              <w:snapToGrid w:val="0"/>
              <w:ind w:firstLine="0" w:firstLineChars="0"/>
              <w:jc w:val="center"/>
              <w:rPr>
                <w:rFonts w:hint="eastAsia" w:ascii="仿宋" w:hAnsi="仿宋" w:eastAsia="仿宋" w:cs="仿宋"/>
                <w:sz w:val="24"/>
                <w:szCs w:val="24"/>
              </w:rPr>
            </w:pPr>
          </w:p>
        </w:tc>
        <w:tc>
          <w:tcPr>
            <w:tcW w:w="832" w:type="dxa"/>
            <w:noWrap w:val="0"/>
            <w:vAlign w:val="center"/>
          </w:tcPr>
          <w:p w14:paraId="363A1E14">
            <w:pPr>
              <w:pStyle w:val="62"/>
              <w:adjustRightInd w:val="0"/>
              <w:snapToGrid w:val="0"/>
              <w:ind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49" w:type="dxa"/>
            <w:noWrap w:val="0"/>
            <w:vAlign w:val="center"/>
          </w:tcPr>
          <w:p w14:paraId="507300C9">
            <w:pPr>
              <w:pStyle w:val="62"/>
              <w:adjustRightInd w:val="0"/>
              <w:snapToGrid w:val="0"/>
              <w:ind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1548" w:type="dxa"/>
            <w:noWrap w:val="0"/>
            <w:vAlign w:val="bottom"/>
          </w:tcPr>
          <w:p w14:paraId="23113D94">
            <w:pPr>
              <w:pStyle w:val="16"/>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车桥公司驱动桥部</w:t>
            </w:r>
          </w:p>
        </w:tc>
        <w:tc>
          <w:tcPr>
            <w:tcW w:w="1026" w:type="dxa"/>
            <w:noWrap w:val="0"/>
            <w:vAlign w:val="center"/>
          </w:tcPr>
          <w:p w14:paraId="56103C77">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交钥匙</w:t>
            </w:r>
          </w:p>
        </w:tc>
      </w:tr>
    </w:tbl>
    <w:p w14:paraId="0C7BCDB9">
      <w:pPr>
        <w:pStyle w:val="76"/>
        <w:numPr>
          <w:ilvl w:val="0"/>
          <w:numId w:val="0"/>
        </w:numPr>
        <w:ind w:leftChars="0"/>
      </w:pP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68FA32C">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100</w:t>
      </w:r>
      <w:r>
        <w:rPr>
          <w:rFonts w:hint="eastAsia" w:hAnsi="宋体" w:eastAsia="宋体" w:cs="宋体"/>
          <w:color w:val="000000"/>
          <w:sz w:val="24"/>
          <w:szCs w:val="24"/>
        </w:rPr>
        <w:t>万人民币（或等值其他货币）；公司成立三年以上（以营业执照成立日期到开标当日满三年为准），且经营范围满足招标人需求；并在人员、设备、资金等方面具有承担本项目的能力；</w:t>
      </w:r>
    </w:p>
    <w:p w14:paraId="62826F52">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39CDDD4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074686B4">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03F1464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6BD013F1">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44A1FE38">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019E2763">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0CCE674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731660EE">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5807AD27">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25575BF6">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0F084D0B">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13.</w:t>
      </w:r>
      <w:r>
        <w:rPr>
          <w:rFonts w:hint="eastAsia" w:hAnsi="宋体" w:eastAsia="宋体" w:cs="宋体"/>
          <w:color w:val="000000"/>
          <w:kern w:val="2"/>
          <w:sz w:val="24"/>
          <w:szCs w:val="24"/>
          <w:highlight w:val="none"/>
          <w:lang w:val="en-US" w:eastAsia="zh-CN" w:bidi="ar-SA"/>
        </w:rPr>
        <w:t>投标单位需为设备制造单位</w:t>
      </w:r>
      <w:r>
        <w:rPr>
          <w:rFonts w:hint="eastAsia" w:hAnsi="宋体" w:eastAsia="宋体" w:cs="宋体"/>
          <w:color w:val="000000"/>
          <w:sz w:val="24"/>
          <w:szCs w:val="24"/>
        </w:rPr>
        <w:t>；</w:t>
      </w:r>
    </w:p>
    <w:p w14:paraId="486626A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7B938EB0">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186D2288">
      <w:pPr>
        <w:pStyle w:val="14"/>
        <w:ind w:firstLine="480" w:firstLineChars="200"/>
        <w:rPr>
          <w:rFonts w:hint="eastAsia" w:cs="Times New Roman"/>
          <w:b/>
          <w:bCs w:val="0"/>
          <w:strike w:val="0"/>
          <w:dstrike w:val="0"/>
          <w:color w:val="FF0000"/>
          <w:highlight w:val="none"/>
          <w:lang w:val="en-US" w:eastAsia="zh-CN"/>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15</w:t>
      </w:r>
      <w:r>
        <w:rPr>
          <w:rFonts w:hint="eastAsia" w:ascii="宋体" w:hAnsi="Courier New" w:eastAsia="宋体" w:cs="Times New Roman"/>
          <w:highlight w:val="yellow"/>
          <w:lang w:val="en-US" w:eastAsia="zh-CN"/>
        </w:rPr>
        <w:t>日</w:t>
      </w:r>
    </w:p>
    <w:p w14:paraId="6696BE44">
      <w:pPr>
        <w:pStyle w:val="76"/>
        <w:numPr>
          <w:ilvl w:val="0"/>
          <w:numId w:val="14"/>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23F0372F">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19</w:t>
      </w:r>
      <w:r>
        <w:rPr>
          <w:rFonts w:hint="eastAsia"/>
          <w:highlight w:val="yellow"/>
        </w:rPr>
        <w:t>日</w:t>
      </w:r>
    </w:p>
    <w:p w14:paraId="17A6C50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19</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19</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4"/>
        </w:numPr>
        <w:jc w:val="both"/>
        <w:rPr>
          <w:highlight w:val="yellow"/>
        </w:rPr>
      </w:pPr>
      <w:r>
        <w:rPr>
          <w:rFonts w:hint="eastAsia"/>
          <w:highlight w:val="yellow"/>
        </w:rPr>
        <w:t>报名方式：在“中国重汽e采通”平台报名</w:t>
      </w:r>
    </w:p>
    <w:p w14:paraId="7098D466">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19</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2</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6D87D854">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11 </w:t>
      </w:r>
      <w:r>
        <w:rPr>
          <w:rFonts w:hint="eastAsia" w:cs="Times New Roman"/>
          <w:b w:val="0"/>
          <w:bCs/>
          <w:highlight w:val="none"/>
        </w:rPr>
        <w:t>万元（含税），超过投标限价无法投标。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44000553">
      <w:pPr>
        <w:pStyle w:val="75"/>
        <w:numPr>
          <w:ilvl w:val="0"/>
          <w:numId w:val="20"/>
        </w:numPr>
        <w:rPr>
          <w:bCs/>
        </w:rPr>
      </w:pPr>
      <w:r>
        <w:rPr>
          <w:rFonts w:hint="eastAsia"/>
          <w:bCs/>
        </w:rPr>
        <w:t>联系人及联系方式：郭朝琛/</w:t>
      </w:r>
      <w:r>
        <w:rPr>
          <w:rFonts w:hint="eastAsia"/>
          <w:bCs/>
          <w:lang w:val="en-US" w:eastAsia="zh-CN"/>
        </w:rPr>
        <w:t>17860606311</w:t>
      </w:r>
    </w:p>
    <w:p w14:paraId="25B755AD">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24</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07F4369A">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24</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24</w:t>
      </w:r>
      <w:r>
        <w:rPr>
          <w:rFonts w:hint="eastAsia" w:ascii="宋体" w:hAnsi="宋体" w:eastAsia="宋体" w:cs="宋体"/>
          <w:b w:val="0"/>
          <w:bCs w:val="0"/>
          <w:sz w:val="21"/>
          <w:szCs w:val="21"/>
          <w:highlight w:val="yellow"/>
        </w:rPr>
        <w:t>日9:00:00</w:t>
      </w:r>
    </w:p>
    <w:p w14:paraId="63BC9474">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本次招标原则上合理最低价中标。本着公平、公正、公开的原则，选择合理最低价确定中标人，对未中标单位不做任何解释。</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6"/>
      <w:bookmarkStart w:id="12" w:name="OLE_LINK27"/>
      <w:bookmarkStart w:id="13" w:name="OLE_LINK29"/>
      <w:bookmarkStart w:id="14" w:name="OLE_LINK25"/>
      <w:bookmarkStart w:id="15" w:name="OLE_LINK28"/>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32AC39AF">
      <w:pPr>
        <w:pStyle w:val="62"/>
        <w:keepNext w:val="0"/>
        <w:keepLines w:val="0"/>
        <w:pageBreakBefore w:val="0"/>
        <w:widowControl w:val="0"/>
        <w:numPr>
          <w:ilvl w:val="0"/>
          <w:numId w:val="28"/>
        </w:numPr>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其他付款节点：</w:t>
      </w:r>
    </w:p>
    <w:p w14:paraId="1636829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3:6:1 ：</w:t>
      </w:r>
    </w:p>
    <w:p w14:paraId="443CC84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A.设备全部到货后，中标人提交金额为合同价款30%的收据并提供合同价款30%的增值税专用发票（含复印件二份），经招标人依照财务制度审核通过后30日支付；</w:t>
      </w:r>
    </w:p>
    <w:p w14:paraId="6ADB209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14:paraId="737DCC1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14:paraId="6E0D7439">
      <w:pPr>
        <w:pStyle w:val="72"/>
        <w:rPr>
          <w:rFonts w:hint="eastAsia"/>
          <w:lang w:val="en-US" w:eastAsia="zh-CN"/>
        </w:rPr>
      </w:pPr>
      <w:r>
        <w:rPr>
          <w:rFonts w:hint="eastAsia"/>
          <w:lang w:val="en-US" w:eastAsia="zh-CN"/>
        </w:rPr>
        <w:t>本次招标最终解释权归重汽（济南）车桥有限公司。</w:t>
      </w:r>
    </w:p>
    <w:p w14:paraId="1FB6CA61">
      <w:pPr>
        <w:pStyle w:val="71"/>
        <w:jc w:val="center"/>
        <w:rPr>
          <w:rFonts w:hint="default" w:eastAsia="黑体"/>
          <w:lang w:val="en-US" w:eastAsia="zh-CN"/>
        </w:rPr>
      </w:pPr>
      <w:bookmarkStart w:id="16" w:name="_Toc47976607"/>
      <w:bookmarkStart w:id="17" w:name="_Toc1910"/>
      <w:r>
        <w:rPr>
          <w:rFonts w:hint="eastAsia"/>
        </w:rPr>
        <w:t>第二部分　</w:t>
      </w:r>
      <w:bookmarkEnd w:id="16"/>
      <w:r>
        <w:rPr>
          <w:rFonts w:hint="eastAsia"/>
          <w:lang w:val="en-US" w:eastAsia="zh-CN"/>
        </w:rPr>
        <w:t>技术标书</w:t>
      </w:r>
      <w:bookmarkEnd w:id="17"/>
    </w:p>
    <w:p w14:paraId="6EAF53D3">
      <w:pPr>
        <w:spacing w:line="480" w:lineRule="exact"/>
        <w:ind w:firstLine="377" w:firstLineChars="118"/>
        <w:rPr>
          <w:rFonts w:hint="eastAsia" w:ascii="仿宋" w:hAnsi="仿宋" w:eastAsia="仿宋" w:cs="仿宋"/>
          <w:sz w:val="32"/>
          <w:szCs w:val="32"/>
          <w:lang w:bidi="ar"/>
        </w:rPr>
      </w:pPr>
    </w:p>
    <w:p w14:paraId="3E410EE2">
      <w:pPr>
        <w:spacing w:line="480" w:lineRule="exact"/>
        <w:ind w:firstLine="377" w:firstLineChars="118"/>
        <w:rPr>
          <w:rFonts w:hint="eastAsia" w:ascii="仿宋" w:hAnsi="仿宋" w:eastAsia="仿宋" w:cs="仿宋"/>
          <w:sz w:val="32"/>
          <w:szCs w:val="32"/>
          <w:lang w:bidi="ar"/>
        </w:rPr>
      </w:pPr>
    </w:p>
    <w:p w14:paraId="584E30CE">
      <w:pPr>
        <w:spacing w:line="480" w:lineRule="exact"/>
        <w:ind w:firstLine="377" w:firstLineChars="118"/>
        <w:rPr>
          <w:rFonts w:hint="eastAsia" w:ascii="仿宋" w:hAnsi="仿宋" w:eastAsia="仿宋" w:cs="仿宋"/>
          <w:sz w:val="32"/>
          <w:szCs w:val="32"/>
          <w:lang w:bidi="ar"/>
        </w:rPr>
      </w:pPr>
    </w:p>
    <w:p w14:paraId="3518A9F7">
      <w:pPr>
        <w:spacing w:line="480" w:lineRule="exact"/>
        <w:ind w:firstLine="379" w:firstLineChars="118"/>
        <w:rPr>
          <w:rFonts w:hint="eastAsia" w:ascii="仿宋" w:hAnsi="仿宋" w:eastAsia="仿宋" w:cs="仿宋"/>
          <w:b/>
          <w:bCs/>
          <w:sz w:val="32"/>
          <w:szCs w:val="32"/>
          <w:u w:val="single"/>
        </w:rPr>
      </w:pPr>
      <w:r>
        <w:rPr>
          <w:rFonts w:hint="eastAsia" w:ascii="仿宋" w:hAnsi="仿宋" w:eastAsia="仿宋" w:cs="仿宋"/>
          <w:b/>
          <w:bCs/>
          <w:sz w:val="32"/>
          <w:szCs w:val="32"/>
          <w:lang w:bidi="ar"/>
        </w:rPr>
        <w:t>项目名称：</w:t>
      </w:r>
      <w:r>
        <w:rPr>
          <w:rFonts w:hint="eastAsia" w:ascii="仿宋" w:hAnsi="仿宋" w:eastAsia="仿宋" w:cs="仿宋"/>
          <w:sz w:val="32"/>
          <w:szCs w:val="32"/>
          <w:highlight w:val="none"/>
          <w:u w:val="single"/>
          <w:lang w:val="en-US" w:eastAsia="zh-CN"/>
        </w:rPr>
        <w:t xml:space="preserve"> </w:t>
      </w:r>
      <w:r>
        <w:rPr>
          <w:rFonts w:hint="eastAsia" w:ascii="仿宋" w:hAnsi="仿宋" w:eastAsia="仿宋" w:cs="仿宋"/>
          <w:b/>
          <w:bCs/>
          <w:sz w:val="32"/>
          <w:szCs w:val="32"/>
          <w:highlight w:val="none"/>
          <w:u w:val="single"/>
          <w:lang w:val="en-US" w:eastAsia="zh-CN"/>
        </w:rPr>
        <w:t xml:space="preserve">驱动桥总成产能提升技改项目 </w:t>
      </w:r>
    </w:p>
    <w:p w14:paraId="7B4F303E">
      <w:pPr>
        <w:spacing w:line="480" w:lineRule="exact"/>
        <w:ind w:firstLine="379" w:firstLineChars="118"/>
        <w:rPr>
          <w:rFonts w:hint="eastAsia" w:ascii="仿宋" w:hAnsi="仿宋" w:eastAsia="仿宋" w:cs="仿宋"/>
          <w:b/>
          <w:bCs/>
          <w:sz w:val="32"/>
          <w:szCs w:val="32"/>
        </w:rPr>
      </w:pPr>
    </w:p>
    <w:p w14:paraId="1F9A1404">
      <w:pPr>
        <w:spacing w:line="480" w:lineRule="exact"/>
        <w:ind w:firstLine="379" w:firstLineChars="118"/>
        <w:rPr>
          <w:rFonts w:hint="eastAsia" w:ascii="仿宋" w:hAnsi="仿宋" w:eastAsia="仿宋" w:cs="仿宋"/>
          <w:b/>
          <w:bCs/>
          <w:sz w:val="32"/>
          <w:szCs w:val="32"/>
        </w:rPr>
      </w:pPr>
    </w:p>
    <w:p w14:paraId="104EB4C9">
      <w:pPr>
        <w:spacing w:line="480" w:lineRule="exact"/>
        <w:ind w:firstLine="379" w:firstLineChars="118"/>
        <w:rPr>
          <w:rFonts w:hint="eastAsia" w:ascii="仿宋" w:hAnsi="仿宋" w:eastAsia="仿宋" w:cs="仿宋"/>
          <w:b/>
          <w:bCs/>
          <w:sz w:val="32"/>
          <w:szCs w:val="32"/>
        </w:rPr>
      </w:pPr>
      <w:r>
        <w:rPr>
          <w:rFonts w:hint="eastAsia" w:ascii="仿宋" w:hAnsi="仿宋" w:eastAsia="仿宋" w:cs="仿宋"/>
          <w:b/>
          <w:bCs/>
          <w:sz w:val="32"/>
          <w:szCs w:val="32"/>
          <w:lang w:bidi="ar"/>
        </w:rPr>
        <w:t>货物名称：</w:t>
      </w:r>
      <w:r>
        <w:rPr>
          <w:rFonts w:hint="eastAsia" w:ascii="仿宋" w:hAnsi="仿宋" w:eastAsia="仿宋" w:cs="仿宋"/>
          <w:b/>
          <w:bCs/>
          <w:sz w:val="32"/>
          <w:szCs w:val="32"/>
          <w:u w:val="single"/>
          <w:lang w:val="en-US" w:eastAsia="zh-CN" w:bidi="ar"/>
        </w:rPr>
        <w:t xml:space="preserve">     螺柱焊机       </w:t>
      </w:r>
      <w:r>
        <w:rPr>
          <w:rFonts w:hint="eastAsia" w:ascii="仿宋" w:hAnsi="仿宋" w:eastAsia="仿宋" w:cs="仿宋"/>
          <w:b/>
          <w:bCs/>
          <w:sz w:val="32"/>
          <w:szCs w:val="32"/>
          <w:u w:val="single"/>
          <w:lang w:bidi="ar"/>
        </w:rPr>
        <w:t xml:space="preserve"> </w:t>
      </w:r>
    </w:p>
    <w:p w14:paraId="0FE526A5">
      <w:pPr>
        <w:spacing w:line="480" w:lineRule="exact"/>
        <w:ind w:firstLine="379" w:firstLineChars="118"/>
        <w:rPr>
          <w:rFonts w:hint="eastAsia" w:ascii="仿宋" w:hAnsi="仿宋" w:eastAsia="仿宋" w:cs="仿宋"/>
          <w:b/>
          <w:bCs/>
          <w:sz w:val="32"/>
          <w:szCs w:val="32"/>
          <w:u w:val="single"/>
        </w:rPr>
      </w:pPr>
    </w:p>
    <w:p w14:paraId="43ABE591">
      <w:pPr>
        <w:spacing w:line="480" w:lineRule="exact"/>
        <w:ind w:firstLine="379" w:firstLineChars="118"/>
        <w:rPr>
          <w:rFonts w:hint="eastAsia" w:ascii="仿宋" w:hAnsi="仿宋" w:eastAsia="仿宋" w:cs="仿宋"/>
          <w:b/>
          <w:bCs/>
          <w:sz w:val="32"/>
          <w:szCs w:val="32"/>
          <w:u w:val="single"/>
        </w:rPr>
      </w:pPr>
    </w:p>
    <w:p w14:paraId="61F8603E">
      <w:pPr>
        <w:spacing w:line="480" w:lineRule="exact"/>
        <w:ind w:firstLine="379" w:firstLineChars="118"/>
        <w:rPr>
          <w:rFonts w:hint="eastAsia" w:ascii="仿宋" w:hAnsi="仿宋" w:eastAsia="仿宋" w:cs="仿宋"/>
          <w:b/>
          <w:bCs/>
          <w:sz w:val="32"/>
          <w:szCs w:val="32"/>
          <w:u w:val="single"/>
        </w:rPr>
      </w:pPr>
    </w:p>
    <w:p w14:paraId="7A84E03B">
      <w:pPr>
        <w:spacing w:line="480" w:lineRule="exact"/>
        <w:ind w:firstLine="379" w:firstLineChars="118"/>
        <w:rPr>
          <w:rFonts w:hint="eastAsia" w:ascii="仿宋" w:hAnsi="仿宋" w:eastAsia="仿宋" w:cs="仿宋"/>
          <w:b/>
          <w:bCs/>
          <w:sz w:val="32"/>
          <w:szCs w:val="32"/>
          <w:u w:val="single"/>
        </w:rPr>
      </w:pPr>
    </w:p>
    <w:p w14:paraId="1F3EC82A">
      <w:pPr>
        <w:spacing w:line="480" w:lineRule="exact"/>
        <w:ind w:firstLine="379" w:firstLineChars="118"/>
        <w:rPr>
          <w:rFonts w:hint="eastAsia" w:ascii="仿宋" w:hAnsi="仿宋" w:eastAsia="仿宋" w:cs="仿宋"/>
          <w:b/>
          <w:bCs/>
          <w:sz w:val="32"/>
          <w:szCs w:val="32"/>
          <w:u w:val="single"/>
        </w:rPr>
      </w:pPr>
    </w:p>
    <w:p w14:paraId="70C70730">
      <w:pPr>
        <w:spacing w:line="480" w:lineRule="exact"/>
        <w:ind w:firstLine="379" w:firstLineChars="118"/>
        <w:rPr>
          <w:rFonts w:hint="eastAsia" w:ascii="仿宋" w:hAnsi="仿宋" w:eastAsia="仿宋" w:cs="仿宋"/>
          <w:b/>
          <w:bCs/>
          <w:sz w:val="32"/>
          <w:szCs w:val="32"/>
          <w:u w:val="single"/>
        </w:rPr>
      </w:pPr>
    </w:p>
    <w:p w14:paraId="477B6E4F">
      <w:pPr>
        <w:spacing w:line="480" w:lineRule="exact"/>
        <w:ind w:firstLine="379" w:firstLineChars="118"/>
        <w:rPr>
          <w:rFonts w:hint="eastAsia" w:ascii="仿宋" w:hAnsi="仿宋" w:eastAsia="仿宋" w:cs="仿宋"/>
          <w:b/>
          <w:bCs/>
          <w:sz w:val="32"/>
          <w:szCs w:val="32"/>
          <w:u w:val="single"/>
        </w:rPr>
      </w:pPr>
    </w:p>
    <w:p w14:paraId="1AACC500">
      <w:pPr>
        <w:spacing w:line="480" w:lineRule="exact"/>
        <w:ind w:firstLine="379" w:firstLineChars="118"/>
        <w:rPr>
          <w:rFonts w:hint="eastAsia" w:ascii="仿宋" w:hAnsi="仿宋" w:eastAsia="仿宋" w:cs="仿宋"/>
          <w:b/>
          <w:bCs/>
          <w:sz w:val="32"/>
          <w:szCs w:val="32"/>
          <w:u w:val="single"/>
        </w:rPr>
      </w:pPr>
    </w:p>
    <w:p w14:paraId="7E5E6555">
      <w:pPr>
        <w:spacing w:line="480" w:lineRule="exact"/>
        <w:ind w:firstLine="379" w:firstLineChars="118"/>
        <w:rPr>
          <w:rFonts w:hint="eastAsia" w:ascii="仿宋" w:hAnsi="仿宋" w:eastAsia="仿宋" w:cs="仿宋"/>
          <w:b/>
          <w:bCs/>
          <w:sz w:val="32"/>
          <w:szCs w:val="32"/>
          <w:u w:val="single"/>
        </w:rPr>
      </w:pPr>
    </w:p>
    <w:p w14:paraId="61530F28">
      <w:pPr>
        <w:tabs>
          <w:tab w:val="left" w:pos="3675"/>
        </w:tabs>
        <w:spacing w:line="480" w:lineRule="exact"/>
        <w:ind w:firstLine="379" w:firstLineChars="118"/>
        <w:rPr>
          <w:rFonts w:hint="eastAsia" w:ascii="仿宋" w:hAnsi="仿宋" w:eastAsia="仿宋" w:cs="仿宋"/>
          <w:b/>
          <w:bCs/>
          <w:sz w:val="32"/>
          <w:szCs w:val="32"/>
          <w:u w:val="single"/>
        </w:rPr>
      </w:pPr>
    </w:p>
    <w:p w14:paraId="0EEABA87">
      <w:pPr>
        <w:tabs>
          <w:tab w:val="left" w:pos="3675"/>
        </w:tabs>
        <w:spacing w:line="480" w:lineRule="exact"/>
        <w:ind w:firstLine="379" w:firstLineChars="118"/>
        <w:rPr>
          <w:rFonts w:hint="eastAsia" w:ascii="仿宋" w:hAnsi="仿宋" w:eastAsia="仿宋" w:cs="仿宋"/>
          <w:b/>
          <w:bCs/>
          <w:sz w:val="32"/>
          <w:szCs w:val="32"/>
        </w:rPr>
      </w:pPr>
    </w:p>
    <w:p w14:paraId="35DFBD49">
      <w:pPr>
        <w:tabs>
          <w:tab w:val="left" w:pos="3675"/>
        </w:tabs>
        <w:spacing w:line="480" w:lineRule="exact"/>
        <w:ind w:firstLine="379" w:firstLineChars="118"/>
        <w:rPr>
          <w:rFonts w:hint="eastAsia" w:ascii="仿宋" w:hAnsi="仿宋" w:eastAsia="仿宋" w:cs="仿宋"/>
          <w:b/>
          <w:bCs/>
          <w:sz w:val="32"/>
          <w:szCs w:val="32"/>
        </w:rPr>
      </w:pPr>
    </w:p>
    <w:p w14:paraId="056778BD">
      <w:pPr>
        <w:spacing w:line="480" w:lineRule="exact"/>
        <w:ind w:firstLine="379" w:firstLineChars="118"/>
        <w:rPr>
          <w:rFonts w:hint="eastAsia" w:ascii="仿宋" w:hAnsi="仿宋" w:eastAsia="仿宋" w:cs="仿宋"/>
          <w:b/>
          <w:bCs/>
          <w:sz w:val="32"/>
          <w:szCs w:val="32"/>
        </w:rPr>
      </w:pPr>
    </w:p>
    <w:p w14:paraId="68ABE594">
      <w:pPr>
        <w:spacing w:line="480" w:lineRule="exact"/>
        <w:ind w:firstLine="379" w:firstLineChars="118"/>
        <w:jc w:val="center"/>
        <w:rPr>
          <w:rFonts w:hint="eastAsia" w:ascii="仿宋" w:hAnsi="仿宋" w:eastAsia="仿宋" w:cs="仿宋"/>
          <w:b/>
          <w:bCs/>
          <w:sz w:val="32"/>
          <w:szCs w:val="32"/>
        </w:rPr>
      </w:pPr>
      <w:r>
        <w:rPr>
          <w:rFonts w:hint="eastAsia" w:ascii="仿宋" w:hAnsi="仿宋" w:eastAsia="仿宋" w:cs="仿宋"/>
          <w:b/>
          <w:bCs/>
          <w:sz w:val="32"/>
          <w:szCs w:val="32"/>
          <w:lang w:bidi="ar"/>
        </w:rPr>
        <w:t>项目单位技术负责人签名：</w:t>
      </w:r>
    </w:p>
    <w:p w14:paraId="308FA5CE">
      <w:pPr>
        <w:spacing w:line="480" w:lineRule="exact"/>
        <w:ind w:firstLine="379" w:firstLineChars="118"/>
        <w:jc w:val="center"/>
        <w:rPr>
          <w:rFonts w:hint="eastAsia" w:ascii="仿宋" w:hAnsi="仿宋" w:eastAsia="仿宋" w:cs="仿宋"/>
          <w:b/>
          <w:bCs/>
          <w:sz w:val="32"/>
          <w:szCs w:val="32"/>
        </w:rPr>
      </w:pPr>
    </w:p>
    <w:p w14:paraId="285F6E7F">
      <w:pPr>
        <w:spacing w:line="480" w:lineRule="exact"/>
        <w:ind w:firstLine="379" w:firstLineChars="118"/>
        <w:jc w:val="center"/>
        <w:rPr>
          <w:rFonts w:hint="eastAsia" w:ascii="仿宋" w:hAnsi="仿宋" w:eastAsia="仿宋" w:cs="仿宋"/>
          <w:b/>
          <w:bCs/>
          <w:sz w:val="32"/>
          <w:szCs w:val="32"/>
        </w:rPr>
      </w:pPr>
    </w:p>
    <w:p w14:paraId="206FD22B">
      <w:pPr>
        <w:spacing w:line="480" w:lineRule="exact"/>
        <w:ind w:firstLine="379" w:firstLineChars="118"/>
        <w:jc w:val="center"/>
        <w:rPr>
          <w:rFonts w:hint="eastAsia" w:ascii="仿宋" w:hAnsi="仿宋" w:eastAsia="仿宋" w:cs="仿宋"/>
          <w:b/>
          <w:bCs/>
          <w:sz w:val="32"/>
          <w:szCs w:val="32"/>
        </w:rPr>
      </w:pPr>
      <w:r>
        <w:rPr>
          <w:rFonts w:hint="eastAsia" w:ascii="仿宋" w:hAnsi="仿宋" w:eastAsia="仿宋" w:cs="仿宋"/>
          <w:b/>
          <w:bCs/>
          <w:sz w:val="32"/>
          <w:szCs w:val="32"/>
          <w:lang w:bidi="ar"/>
        </w:rPr>
        <w:t>时间： 202</w:t>
      </w:r>
      <w:r>
        <w:rPr>
          <w:rFonts w:hint="eastAsia" w:ascii="仿宋" w:hAnsi="仿宋" w:eastAsia="仿宋" w:cs="仿宋"/>
          <w:b/>
          <w:bCs/>
          <w:sz w:val="32"/>
          <w:szCs w:val="32"/>
          <w:lang w:val="en-US" w:eastAsia="zh-CN" w:bidi="ar"/>
        </w:rPr>
        <w:t>5</w:t>
      </w:r>
      <w:r>
        <w:rPr>
          <w:rFonts w:hint="eastAsia" w:ascii="仿宋" w:hAnsi="仿宋" w:eastAsia="仿宋" w:cs="仿宋"/>
          <w:b/>
          <w:bCs/>
          <w:sz w:val="32"/>
          <w:szCs w:val="32"/>
          <w:lang w:bidi="ar"/>
        </w:rPr>
        <w:t>年</w:t>
      </w:r>
      <w:r>
        <w:rPr>
          <w:rFonts w:hint="eastAsia" w:ascii="仿宋" w:hAnsi="仿宋" w:eastAsia="仿宋" w:cs="仿宋"/>
          <w:b/>
          <w:bCs/>
          <w:sz w:val="32"/>
          <w:szCs w:val="32"/>
          <w:lang w:val="en-US" w:eastAsia="zh-CN" w:bidi="ar"/>
        </w:rPr>
        <w:t>11</w:t>
      </w:r>
      <w:r>
        <w:rPr>
          <w:rFonts w:hint="eastAsia" w:ascii="仿宋" w:hAnsi="仿宋" w:eastAsia="仿宋" w:cs="仿宋"/>
          <w:b/>
          <w:bCs/>
          <w:sz w:val="32"/>
          <w:szCs w:val="32"/>
          <w:lang w:bidi="ar"/>
        </w:rPr>
        <w:t>月</w:t>
      </w:r>
      <w:r>
        <w:rPr>
          <w:rFonts w:hint="eastAsia" w:ascii="仿宋" w:hAnsi="仿宋" w:eastAsia="仿宋" w:cs="仿宋"/>
          <w:b/>
          <w:bCs/>
          <w:sz w:val="32"/>
          <w:szCs w:val="32"/>
          <w:lang w:val="en-US" w:eastAsia="zh-CN" w:bidi="ar"/>
        </w:rPr>
        <w:t>22</w:t>
      </w:r>
      <w:r>
        <w:rPr>
          <w:rFonts w:hint="eastAsia" w:ascii="仿宋" w:hAnsi="仿宋" w:eastAsia="仿宋" w:cs="仿宋"/>
          <w:b/>
          <w:bCs/>
          <w:sz w:val="32"/>
          <w:szCs w:val="32"/>
          <w:lang w:bidi="ar"/>
        </w:rPr>
        <w:t>日</w:t>
      </w:r>
    </w:p>
    <w:p w14:paraId="63F76EE3">
      <w:pPr>
        <w:spacing w:line="480" w:lineRule="exact"/>
        <w:ind w:firstLine="379" w:firstLineChars="118"/>
        <w:jc w:val="center"/>
        <w:rPr>
          <w:rFonts w:hint="eastAsia" w:ascii="仿宋" w:hAnsi="仿宋" w:eastAsia="仿宋" w:cs="仿宋"/>
          <w:b/>
          <w:bCs/>
          <w:sz w:val="32"/>
          <w:szCs w:val="32"/>
        </w:rPr>
      </w:pPr>
    </w:p>
    <w:p w14:paraId="2C92A435">
      <w:pPr>
        <w:spacing w:line="480" w:lineRule="exact"/>
        <w:ind w:firstLine="379" w:firstLineChars="118"/>
        <w:jc w:val="center"/>
        <w:rPr>
          <w:rFonts w:hint="eastAsia" w:ascii="仿宋" w:hAnsi="仿宋" w:eastAsia="仿宋" w:cs="仿宋"/>
          <w:b/>
          <w:bCs/>
          <w:sz w:val="32"/>
          <w:szCs w:val="32"/>
        </w:rPr>
      </w:pPr>
    </w:p>
    <w:p w14:paraId="4EC7F3C8">
      <w:pPr>
        <w:spacing w:line="480" w:lineRule="exact"/>
        <w:ind w:firstLine="379" w:firstLineChars="118"/>
        <w:jc w:val="center"/>
        <w:rPr>
          <w:rFonts w:hint="eastAsia" w:ascii="仿宋" w:hAnsi="仿宋" w:eastAsia="仿宋" w:cs="仿宋"/>
          <w:b/>
          <w:bCs/>
          <w:sz w:val="32"/>
          <w:szCs w:val="32"/>
        </w:rPr>
      </w:pPr>
    </w:p>
    <w:p w14:paraId="6365E345">
      <w:pPr>
        <w:spacing w:line="480" w:lineRule="exact"/>
        <w:ind w:firstLine="379" w:firstLineChars="118"/>
        <w:jc w:val="center"/>
        <w:rPr>
          <w:rFonts w:hint="eastAsia" w:ascii="仿宋" w:hAnsi="仿宋" w:eastAsia="仿宋" w:cs="仿宋"/>
          <w:b/>
          <w:bCs/>
          <w:sz w:val="32"/>
          <w:szCs w:val="32"/>
        </w:rPr>
      </w:pPr>
    </w:p>
    <w:p w14:paraId="55D748D7">
      <w:pPr>
        <w:spacing w:line="480" w:lineRule="exact"/>
        <w:ind w:firstLine="379" w:firstLineChars="118"/>
        <w:jc w:val="center"/>
        <w:rPr>
          <w:rFonts w:hint="eastAsia" w:ascii="仿宋" w:hAnsi="仿宋" w:eastAsia="仿宋" w:cs="仿宋"/>
          <w:b/>
          <w:bCs/>
          <w:sz w:val="32"/>
          <w:szCs w:val="32"/>
        </w:rPr>
      </w:pPr>
      <w:r>
        <w:rPr>
          <w:rFonts w:hint="eastAsia" w:ascii="仿宋" w:hAnsi="仿宋" w:eastAsia="仿宋" w:cs="仿宋"/>
          <w:b/>
          <w:bCs/>
          <w:sz w:val="32"/>
          <w:szCs w:val="32"/>
          <w:lang w:bidi="ar"/>
        </w:rPr>
        <w:t>（项目单位公章）</w:t>
      </w:r>
    </w:p>
    <w:p w14:paraId="138066B3">
      <w:pPr>
        <w:jc w:val="center"/>
        <w:rPr>
          <w:rFonts w:hint="eastAsia" w:ascii="宋体" w:hAnsi="宋体"/>
          <w:color w:val="000000"/>
          <w:sz w:val="32"/>
          <w:szCs w:val="32"/>
        </w:rPr>
      </w:pPr>
    </w:p>
    <w:p w14:paraId="7F52FF61">
      <w:pPr>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目录</w:t>
      </w:r>
    </w:p>
    <w:p w14:paraId="5280DD16">
      <w:pPr>
        <w:pStyle w:val="111"/>
        <w:tabs>
          <w:tab w:val="right" w:leader="dot" w:pos="8392"/>
        </w:tabs>
        <w:spacing w:line="360" w:lineRule="auto"/>
        <w:rPr>
          <w:rFonts w:hint="eastAsia" w:ascii="仿宋" w:hAnsi="仿宋" w:eastAsia="仿宋" w:cs="仿宋"/>
          <w:sz w:val="24"/>
          <w:szCs w:val="24"/>
        </w:rPr>
      </w:pPr>
      <w:r>
        <w:rPr>
          <w:rFonts w:hint="eastAsia" w:ascii="仿宋" w:hAnsi="仿宋" w:eastAsia="仿宋" w:cs="仿宋"/>
          <w:b/>
          <w:bCs/>
          <w:sz w:val="24"/>
          <w:szCs w:val="24"/>
        </w:rPr>
        <w:fldChar w:fldCharType="begin"/>
      </w:r>
      <w:r>
        <w:rPr>
          <w:rFonts w:hint="eastAsia" w:ascii="仿宋" w:hAnsi="仿宋" w:eastAsia="仿宋" w:cs="仿宋"/>
          <w:sz w:val="24"/>
          <w:szCs w:val="24"/>
        </w:rPr>
        <w:instrText xml:space="preserve"> HYPERLINK \l _Toc20954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第一章  采购货物概况</w:t>
      </w:r>
      <w:r>
        <w:rPr>
          <w:rFonts w:hint="eastAsia" w:ascii="仿宋" w:hAnsi="仿宋" w:eastAsia="仿宋" w:cs="仿宋"/>
          <w:b/>
          <w:bCs/>
          <w:sz w:val="24"/>
          <w:szCs w:val="24"/>
        </w:rPr>
        <w:tab/>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p>
    <w:p w14:paraId="710B4EBF">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_Toc829 </w:instrText>
      </w:r>
      <w:r>
        <w:rPr>
          <w:rFonts w:hint="eastAsia" w:ascii="仿宋" w:hAnsi="仿宋" w:eastAsia="仿宋" w:cs="仿宋"/>
          <w:sz w:val="24"/>
          <w:szCs w:val="24"/>
        </w:rPr>
        <w:fldChar w:fldCharType="separate"/>
      </w:r>
      <w:r>
        <w:rPr>
          <w:rFonts w:hint="eastAsia" w:ascii="仿宋" w:hAnsi="仿宋" w:eastAsia="仿宋" w:cs="仿宋"/>
          <w:sz w:val="24"/>
          <w:szCs w:val="24"/>
        </w:rPr>
        <w:t>第一节  使用环境</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p>
    <w:p w14:paraId="495C2C27">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_Toc15781 </w:instrText>
      </w:r>
      <w:r>
        <w:rPr>
          <w:rFonts w:hint="eastAsia" w:ascii="仿宋" w:hAnsi="仿宋" w:eastAsia="仿宋" w:cs="仿宋"/>
          <w:sz w:val="24"/>
          <w:szCs w:val="24"/>
        </w:rPr>
        <w:fldChar w:fldCharType="separate"/>
      </w:r>
      <w:r>
        <w:rPr>
          <w:rFonts w:hint="eastAsia" w:ascii="仿宋" w:hAnsi="仿宋" w:eastAsia="仿宋" w:cs="仿宋"/>
          <w:sz w:val="24"/>
          <w:szCs w:val="24"/>
        </w:rPr>
        <w:t>第二节  采购货物概况</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p>
    <w:p w14:paraId="29EEAB93">
      <w:pPr>
        <w:pStyle w:val="111"/>
        <w:tabs>
          <w:tab w:val="right" w:leader="dot" w:pos="8392"/>
        </w:tabs>
        <w:spacing w:line="360" w:lineRule="auto"/>
        <w:rPr>
          <w:rFonts w:hint="eastAsia" w:ascii="仿宋" w:hAnsi="仿宋" w:eastAsia="仿宋" w:cs="仿宋"/>
          <w:sz w:val="24"/>
          <w:szCs w:val="24"/>
        </w:rPr>
      </w:pPr>
      <w:r>
        <w:rPr>
          <w:rFonts w:hint="eastAsia" w:ascii="仿宋" w:hAnsi="仿宋" w:eastAsia="仿宋" w:cs="仿宋"/>
          <w:b/>
          <w:bCs/>
          <w:sz w:val="24"/>
          <w:szCs w:val="24"/>
        </w:rPr>
        <w:fldChar w:fldCharType="begin"/>
      </w:r>
      <w:r>
        <w:rPr>
          <w:rFonts w:hint="eastAsia" w:ascii="仿宋" w:hAnsi="仿宋" w:eastAsia="仿宋" w:cs="仿宋"/>
          <w:sz w:val="24"/>
          <w:szCs w:val="24"/>
        </w:rPr>
        <w:instrText xml:space="preserve"> HYPERLINK \l _Toc552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第二章  技术要求</w:t>
      </w:r>
      <w:r>
        <w:rPr>
          <w:rFonts w:hint="eastAsia" w:ascii="仿宋" w:hAnsi="仿宋" w:eastAsia="仿宋" w:cs="仿宋"/>
          <w:b/>
          <w:bCs/>
          <w:sz w:val="24"/>
          <w:szCs w:val="24"/>
        </w:rPr>
        <w:tab/>
      </w:r>
      <w:r>
        <w:rPr>
          <w:rFonts w:hint="eastAsia" w:ascii="仿宋" w:hAnsi="仿宋" w:eastAsia="仿宋" w:cs="仿宋"/>
          <w:b/>
          <w:bCs/>
          <w:sz w:val="24"/>
          <w:szCs w:val="24"/>
        </w:rPr>
        <w:t>2</w:t>
      </w:r>
      <w:r>
        <w:rPr>
          <w:rFonts w:hint="eastAsia" w:ascii="仿宋" w:hAnsi="仿宋" w:eastAsia="仿宋" w:cs="仿宋"/>
          <w:b/>
          <w:bCs/>
          <w:sz w:val="24"/>
          <w:szCs w:val="24"/>
        </w:rPr>
        <w:fldChar w:fldCharType="end"/>
      </w:r>
    </w:p>
    <w:p w14:paraId="20E6F33C">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_Toc31513 </w:instrText>
      </w:r>
      <w:r>
        <w:rPr>
          <w:rFonts w:hint="eastAsia" w:ascii="仿宋" w:hAnsi="仿宋" w:eastAsia="仿宋" w:cs="仿宋"/>
          <w:sz w:val="24"/>
          <w:szCs w:val="24"/>
        </w:rPr>
        <w:fldChar w:fldCharType="separate"/>
      </w:r>
      <w:r>
        <w:rPr>
          <w:rFonts w:hint="eastAsia" w:ascii="仿宋" w:hAnsi="仿宋" w:eastAsia="仿宋" w:cs="仿宋"/>
          <w:sz w:val="24"/>
          <w:szCs w:val="24"/>
        </w:rPr>
        <w:t>一、基本要求</w:t>
      </w:r>
      <w:r>
        <w:rPr>
          <w:rFonts w:hint="eastAsia" w:ascii="仿宋" w:hAnsi="仿宋" w:eastAsia="仿宋" w:cs="仿宋"/>
          <w:sz w:val="24"/>
          <w:szCs w:val="24"/>
        </w:rPr>
        <w:tab/>
      </w:r>
      <w:r>
        <w:rPr>
          <w:rFonts w:hint="eastAsia" w:ascii="仿宋" w:hAnsi="仿宋" w:eastAsia="仿宋" w:cs="仿宋"/>
          <w:sz w:val="24"/>
          <w:szCs w:val="24"/>
        </w:rPr>
        <w:t>2</w:t>
      </w:r>
      <w:r>
        <w:rPr>
          <w:rFonts w:hint="eastAsia" w:ascii="仿宋" w:hAnsi="仿宋" w:eastAsia="仿宋" w:cs="仿宋"/>
          <w:sz w:val="24"/>
          <w:szCs w:val="24"/>
        </w:rPr>
        <w:fldChar w:fldCharType="end"/>
      </w:r>
    </w:p>
    <w:p w14:paraId="34E7377E">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_Toc6088 </w:instrText>
      </w:r>
      <w:r>
        <w:rPr>
          <w:rFonts w:hint="eastAsia" w:ascii="仿宋" w:hAnsi="仿宋" w:eastAsia="仿宋" w:cs="仿宋"/>
          <w:sz w:val="24"/>
          <w:szCs w:val="24"/>
        </w:rPr>
        <w:fldChar w:fldCharType="separate"/>
      </w:r>
      <w:r>
        <w:rPr>
          <w:rFonts w:hint="eastAsia" w:ascii="仿宋" w:hAnsi="仿宋" w:eastAsia="仿宋" w:cs="仿宋"/>
          <w:sz w:val="24"/>
          <w:szCs w:val="24"/>
        </w:rPr>
        <w:t>二、技术规范</w:t>
      </w:r>
      <w:r>
        <w:rPr>
          <w:rFonts w:hint="eastAsia" w:ascii="仿宋" w:hAnsi="仿宋" w:eastAsia="仿宋" w:cs="仿宋"/>
          <w:sz w:val="24"/>
          <w:szCs w:val="24"/>
        </w:rPr>
        <w:tab/>
      </w:r>
      <w:r>
        <w:rPr>
          <w:rFonts w:hint="eastAsia" w:ascii="仿宋" w:hAnsi="仿宋" w:eastAsia="仿宋" w:cs="仿宋"/>
          <w:sz w:val="24"/>
          <w:szCs w:val="24"/>
        </w:rPr>
        <w:t>4</w:t>
      </w:r>
      <w:r>
        <w:rPr>
          <w:rFonts w:hint="eastAsia" w:ascii="仿宋" w:hAnsi="仿宋" w:eastAsia="仿宋" w:cs="仿宋"/>
          <w:sz w:val="24"/>
          <w:szCs w:val="24"/>
        </w:rPr>
        <w:fldChar w:fldCharType="end"/>
      </w:r>
    </w:p>
    <w:p w14:paraId="7225D593">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_Toc23141 </w:instrText>
      </w:r>
      <w:r>
        <w:rPr>
          <w:rFonts w:hint="eastAsia" w:ascii="仿宋" w:hAnsi="仿宋" w:eastAsia="仿宋" w:cs="仿宋"/>
          <w:sz w:val="24"/>
          <w:szCs w:val="24"/>
        </w:rPr>
        <w:fldChar w:fldCharType="separate"/>
      </w:r>
      <w:r>
        <w:rPr>
          <w:rFonts w:hint="eastAsia" w:ascii="仿宋" w:hAnsi="仿宋" w:eastAsia="仿宋" w:cs="仿宋"/>
          <w:sz w:val="24"/>
          <w:szCs w:val="24"/>
        </w:rPr>
        <w:t>三、特别提示</w:t>
      </w:r>
      <w:r>
        <w:rPr>
          <w:rFonts w:hint="eastAsia" w:ascii="仿宋" w:hAnsi="仿宋" w:eastAsia="仿宋" w:cs="仿宋"/>
          <w:sz w:val="24"/>
          <w:szCs w:val="24"/>
        </w:rPr>
        <w:tab/>
      </w:r>
      <w:r>
        <w:rPr>
          <w:rFonts w:hint="eastAsia" w:ascii="仿宋" w:hAnsi="仿宋" w:eastAsia="仿宋" w:cs="仿宋"/>
          <w:sz w:val="24"/>
          <w:szCs w:val="24"/>
        </w:rPr>
        <w:t>18</w:t>
      </w:r>
      <w:r>
        <w:rPr>
          <w:rFonts w:hint="eastAsia" w:ascii="仿宋" w:hAnsi="仿宋" w:eastAsia="仿宋" w:cs="仿宋"/>
          <w:sz w:val="24"/>
          <w:szCs w:val="24"/>
        </w:rPr>
        <w:fldChar w:fldCharType="end"/>
      </w:r>
    </w:p>
    <w:p w14:paraId="3E027E5F">
      <w:pPr>
        <w:pStyle w:val="111"/>
        <w:tabs>
          <w:tab w:val="right" w:leader="dot" w:pos="8392"/>
        </w:tabs>
        <w:spacing w:line="360" w:lineRule="auto"/>
        <w:rPr>
          <w:rFonts w:hint="eastAsia" w:ascii="仿宋" w:hAnsi="仿宋" w:eastAsia="仿宋" w:cs="仿宋"/>
          <w:sz w:val="24"/>
          <w:szCs w:val="24"/>
        </w:rPr>
      </w:pPr>
      <w:r>
        <w:rPr>
          <w:rFonts w:hint="eastAsia" w:ascii="仿宋" w:hAnsi="仿宋" w:eastAsia="仿宋" w:cs="仿宋"/>
          <w:b/>
          <w:bCs/>
          <w:sz w:val="24"/>
          <w:szCs w:val="24"/>
        </w:rPr>
        <w:fldChar w:fldCharType="begin"/>
      </w:r>
      <w:r>
        <w:rPr>
          <w:rFonts w:hint="eastAsia" w:ascii="仿宋" w:hAnsi="仿宋" w:eastAsia="仿宋" w:cs="仿宋"/>
          <w:sz w:val="24"/>
          <w:szCs w:val="24"/>
        </w:rPr>
        <w:instrText xml:space="preserve"> HYPERLINK \l _Toc31489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第三章  供货范围及供货方式</w:t>
      </w:r>
      <w:r>
        <w:rPr>
          <w:rFonts w:hint="eastAsia" w:ascii="仿宋" w:hAnsi="仿宋" w:eastAsia="仿宋" w:cs="仿宋"/>
          <w:b/>
          <w:bCs/>
          <w:sz w:val="24"/>
          <w:szCs w:val="24"/>
        </w:rPr>
        <w:tab/>
      </w:r>
      <w:r>
        <w:rPr>
          <w:rFonts w:hint="eastAsia" w:ascii="仿宋" w:hAnsi="仿宋" w:eastAsia="仿宋" w:cs="仿宋"/>
          <w:b/>
          <w:bCs/>
          <w:sz w:val="24"/>
          <w:szCs w:val="24"/>
        </w:rPr>
        <w:t>18</w:t>
      </w:r>
      <w:r>
        <w:rPr>
          <w:rFonts w:hint="eastAsia" w:ascii="仿宋" w:hAnsi="仿宋" w:eastAsia="仿宋" w:cs="仿宋"/>
          <w:b/>
          <w:bCs/>
          <w:sz w:val="24"/>
          <w:szCs w:val="24"/>
        </w:rPr>
        <w:fldChar w:fldCharType="end"/>
      </w:r>
    </w:p>
    <w:p w14:paraId="03742D86">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_Toc2181 </w:instrText>
      </w:r>
      <w:r>
        <w:rPr>
          <w:rFonts w:hint="eastAsia" w:ascii="仿宋" w:hAnsi="仿宋" w:eastAsia="仿宋" w:cs="仿宋"/>
          <w:sz w:val="24"/>
          <w:szCs w:val="24"/>
        </w:rPr>
        <w:fldChar w:fldCharType="separate"/>
      </w:r>
      <w:r>
        <w:rPr>
          <w:rFonts w:hint="eastAsia" w:ascii="仿宋" w:hAnsi="仿宋" w:eastAsia="仿宋" w:cs="仿宋"/>
          <w:sz w:val="24"/>
          <w:szCs w:val="24"/>
        </w:rPr>
        <w:t>第一节  供货范围</w:t>
      </w:r>
      <w:r>
        <w:rPr>
          <w:rFonts w:hint="eastAsia" w:ascii="仿宋" w:hAnsi="仿宋" w:eastAsia="仿宋" w:cs="仿宋"/>
          <w:sz w:val="24"/>
          <w:szCs w:val="24"/>
        </w:rPr>
        <w:tab/>
      </w:r>
      <w:r>
        <w:rPr>
          <w:rFonts w:hint="eastAsia" w:ascii="仿宋" w:hAnsi="仿宋" w:eastAsia="仿宋" w:cs="仿宋"/>
          <w:sz w:val="24"/>
          <w:szCs w:val="24"/>
        </w:rPr>
        <w:t>18</w:t>
      </w:r>
      <w:r>
        <w:rPr>
          <w:rFonts w:hint="eastAsia" w:ascii="仿宋" w:hAnsi="仿宋" w:eastAsia="仿宋" w:cs="仿宋"/>
          <w:sz w:val="24"/>
          <w:szCs w:val="24"/>
        </w:rPr>
        <w:fldChar w:fldCharType="end"/>
      </w:r>
    </w:p>
    <w:p w14:paraId="66975C98">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_Toc22494 </w:instrText>
      </w:r>
      <w:r>
        <w:rPr>
          <w:rFonts w:hint="eastAsia" w:ascii="仿宋" w:hAnsi="仿宋" w:eastAsia="仿宋" w:cs="仿宋"/>
          <w:sz w:val="24"/>
          <w:szCs w:val="24"/>
        </w:rPr>
        <w:fldChar w:fldCharType="separate"/>
      </w:r>
      <w:r>
        <w:rPr>
          <w:rFonts w:hint="eastAsia" w:ascii="仿宋" w:hAnsi="仿宋" w:eastAsia="仿宋" w:cs="仿宋"/>
          <w:sz w:val="24"/>
          <w:szCs w:val="24"/>
        </w:rPr>
        <w:t>第二节  供货方式</w:t>
      </w:r>
      <w:r>
        <w:rPr>
          <w:rFonts w:hint="eastAsia" w:ascii="仿宋" w:hAnsi="仿宋" w:eastAsia="仿宋" w:cs="仿宋"/>
          <w:sz w:val="24"/>
          <w:szCs w:val="24"/>
        </w:rPr>
        <w:tab/>
      </w:r>
      <w:r>
        <w:rPr>
          <w:rFonts w:hint="eastAsia" w:ascii="仿宋" w:hAnsi="仿宋" w:eastAsia="仿宋" w:cs="仿宋"/>
          <w:sz w:val="24"/>
          <w:szCs w:val="24"/>
        </w:rPr>
        <w:t>20</w:t>
      </w:r>
      <w:r>
        <w:rPr>
          <w:rFonts w:hint="eastAsia" w:ascii="仿宋" w:hAnsi="仿宋" w:eastAsia="仿宋" w:cs="仿宋"/>
          <w:sz w:val="24"/>
          <w:szCs w:val="24"/>
        </w:rPr>
        <w:fldChar w:fldCharType="end"/>
      </w:r>
    </w:p>
    <w:p w14:paraId="619CDB18">
      <w:pPr>
        <w:pStyle w:val="111"/>
        <w:tabs>
          <w:tab w:val="right" w:leader="dot" w:pos="8392"/>
        </w:tabs>
        <w:spacing w:line="360" w:lineRule="auto"/>
        <w:rPr>
          <w:rFonts w:hint="eastAsia" w:ascii="仿宋" w:hAnsi="仿宋" w:eastAsia="仿宋" w:cs="仿宋"/>
          <w:sz w:val="24"/>
          <w:szCs w:val="24"/>
        </w:rPr>
      </w:pPr>
      <w:r>
        <w:rPr>
          <w:rFonts w:hint="eastAsia" w:ascii="仿宋" w:hAnsi="仿宋" w:eastAsia="仿宋" w:cs="仿宋"/>
          <w:b/>
          <w:bCs/>
          <w:sz w:val="24"/>
          <w:szCs w:val="24"/>
        </w:rPr>
        <w:fldChar w:fldCharType="begin"/>
      </w:r>
      <w:r>
        <w:rPr>
          <w:rFonts w:hint="eastAsia" w:ascii="仿宋" w:hAnsi="仿宋" w:eastAsia="仿宋" w:cs="仿宋"/>
          <w:sz w:val="24"/>
          <w:szCs w:val="24"/>
        </w:rPr>
        <w:instrText xml:space="preserve"> HYPERLINK \l _Toc28754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第四章  售中售后服务</w:t>
      </w:r>
      <w:r>
        <w:rPr>
          <w:rFonts w:hint="eastAsia" w:ascii="仿宋" w:hAnsi="仿宋" w:eastAsia="仿宋" w:cs="仿宋"/>
          <w:b/>
          <w:bCs/>
          <w:sz w:val="24"/>
          <w:szCs w:val="24"/>
        </w:rPr>
        <w:tab/>
      </w:r>
      <w:r>
        <w:rPr>
          <w:rFonts w:hint="eastAsia" w:ascii="仿宋" w:hAnsi="仿宋" w:eastAsia="仿宋" w:cs="仿宋"/>
          <w:b/>
          <w:bCs/>
          <w:sz w:val="24"/>
          <w:szCs w:val="24"/>
        </w:rPr>
        <w:t>22</w:t>
      </w:r>
      <w:r>
        <w:rPr>
          <w:rFonts w:hint="eastAsia" w:ascii="仿宋" w:hAnsi="仿宋" w:eastAsia="仿宋" w:cs="仿宋"/>
          <w:b/>
          <w:bCs/>
          <w:sz w:val="24"/>
          <w:szCs w:val="24"/>
        </w:rPr>
        <w:fldChar w:fldCharType="end"/>
      </w:r>
    </w:p>
    <w:p w14:paraId="7BE77960">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_Toc2283 </w:instrText>
      </w:r>
      <w:r>
        <w:rPr>
          <w:rFonts w:hint="eastAsia" w:ascii="仿宋" w:hAnsi="仿宋" w:eastAsia="仿宋" w:cs="仿宋"/>
          <w:sz w:val="24"/>
          <w:szCs w:val="24"/>
        </w:rPr>
        <w:fldChar w:fldCharType="separate"/>
      </w:r>
      <w:r>
        <w:rPr>
          <w:rFonts w:hint="eastAsia" w:ascii="仿宋" w:hAnsi="仿宋" w:eastAsia="仿宋" w:cs="仿宋"/>
          <w:sz w:val="24"/>
          <w:szCs w:val="24"/>
        </w:rPr>
        <w:t>1  技术及培训服务</w:t>
      </w:r>
      <w:r>
        <w:rPr>
          <w:rFonts w:hint="eastAsia" w:ascii="仿宋" w:hAnsi="仿宋" w:eastAsia="仿宋" w:cs="仿宋"/>
          <w:sz w:val="24"/>
          <w:szCs w:val="24"/>
        </w:rPr>
        <w:tab/>
      </w:r>
      <w:r>
        <w:rPr>
          <w:rFonts w:hint="eastAsia" w:ascii="仿宋" w:hAnsi="仿宋" w:eastAsia="仿宋" w:cs="仿宋"/>
          <w:sz w:val="24"/>
          <w:szCs w:val="24"/>
        </w:rPr>
        <w:t>22</w:t>
      </w:r>
      <w:r>
        <w:rPr>
          <w:rFonts w:hint="eastAsia" w:ascii="仿宋" w:hAnsi="仿宋" w:eastAsia="仿宋" w:cs="仿宋"/>
          <w:sz w:val="24"/>
          <w:szCs w:val="24"/>
        </w:rPr>
        <w:fldChar w:fldCharType="end"/>
      </w:r>
    </w:p>
    <w:p w14:paraId="67C9BD92">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_Toc30963 </w:instrText>
      </w:r>
      <w:r>
        <w:rPr>
          <w:rFonts w:hint="eastAsia" w:ascii="仿宋" w:hAnsi="仿宋" w:eastAsia="仿宋" w:cs="仿宋"/>
          <w:sz w:val="24"/>
          <w:szCs w:val="24"/>
        </w:rPr>
        <w:fldChar w:fldCharType="separate"/>
      </w:r>
      <w:r>
        <w:rPr>
          <w:rFonts w:hint="eastAsia" w:ascii="仿宋" w:hAnsi="仿宋" w:eastAsia="仿宋" w:cs="仿宋"/>
          <w:sz w:val="24"/>
          <w:szCs w:val="24"/>
        </w:rPr>
        <w:t>2  安装调试服务</w:t>
      </w:r>
      <w:r>
        <w:rPr>
          <w:rFonts w:hint="eastAsia" w:ascii="仿宋" w:hAnsi="仿宋" w:eastAsia="仿宋" w:cs="仿宋"/>
          <w:sz w:val="24"/>
          <w:szCs w:val="24"/>
        </w:rPr>
        <w:tab/>
      </w:r>
      <w:r>
        <w:rPr>
          <w:rFonts w:hint="eastAsia" w:ascii="仿宋" w:hAnsi="仿宋" w:eastAsia="仿宋" w:cs="仿宋"/>
          <w:sz w:val="24"/>
          <w:szCs w:val="24"/>
        </w:rPr>
        <w:t>23</w:t>
      </w:r>
      <w:r>
        <w:rPr>
          <w:rFonts w:hint="eastAsia" w:ascii="仿宋" w:hAnsi="仿宋" w:eastAsia="仿宋" w:cs="仿宋"/>
          <w:sz w:val="24"/>
          <w:szCs w:val="24"/>
        </w:rPr>
        <w:fldChar w:fldCharType="end"/>
      </w:r>
    </w:p>
    <w:p w14:paraId="0123CA5D">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_Toc7248 </w:instrText>
      </w:r>
      <w:r>
        <w:rPr>
          <w:rFonts w:hint="eastAsia" w:ascii="仿宋" w:hAnsi="仿宋" w:eastAsia="仿宋" w:cs="仿宋"/>
          <w:sz w:val="24"/>
          <w:szCs w:val="24"/>
        </w:rPr>
        <w:fldChar w:fldCharType="separate"/>
      </w:r>
      <w:r>
        <w:rPr>
          <w:rFonts w:hint="eastAsia" w:ascii="仿宋" w:hAnsi="仿宋" w:eastAsia="仿宋" w:cs="仿宋"/>
          <w:sz w:val="24"/>
          <w:szCs w:val="24"/>
        </w:rPr>
        <w:t>3  验收服务</w:t>
      </w:r>
      <w:r>
        <w:rPr>
          <w:rFonts w:hint="eastAsia" w:ascii="仿宋" w:hAnsi="仿宋" w:eastAsia="仿宋" w:cs="仿宋"/>
          <w:sz w:val="24"/>
          <w:szCs w:val="24"/>
        </w:rPr>
        <w:tab/>
      </w:r>
      <w:r>
        <w:rPr>
          <w:rFonts w:hint="eastAsia" w:ascii="仿宋" w:hAnsi="仿宋" w:eastAsia="仿宋" w:cs="仿宋"/>
          <w:sz w:val="24"/>
          <w:szCs w:val="24"/>
        </w:rPr>
        <w:t>23</w:t>
      </w:r>
      <w:r>
        <w:rPr>
          <w:rFonts w:hint="eastAsia" w:ascii="仿宋" w:hAnsi="仿宋" w:eastAsia="仿宋" w:cs="仿宋"/>
          <w:sz w:val="24"/>
          <w:szCs w:val="24"/>
        </w:rPr>
        <w:fldChar w:fldCharType="end"/>
      </w:r>
    </w:p>
    <w:p w14:paraId="264477A6">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_Toc13578 </w:instrText>
      </w:r>
      <w:r>
        <w:rPr>
          <w:rFonts w:hint="eastAsia" w:ascii="仿宋" w:hAnsi="仿宋" w:eastAsia="仿宋" w:cs="仿宋"/>
          <w:sz w:val="24"/>
          <w:szCs w:val="24"/>
        </w:rPr>
        <w:fldChar w:fldCharType="separate"/>
      </w:r>
      <w:r>
        <w:rPr>
          <w:rFonts w:hint="eastAsia" w:ascii="仿宋" w:hAnsi="仿宋" w:eastAsia="仿宋" w:cs="仿宋"/>
          <w:sz w:val="24"/>
          <w:szCs w:val="24"/>
        </w:rPr>
        <w:t>4  售后服务</w:t>
      </w:r>
      <w:r>
        <w:rPr>
          <w:rFonts w:hint="eastAsia" w:ascii="仿宋" w:hAnsi="仿宋" w:eastAsia="仿宋" w:cs="仿宋"/>
          <w:sz w:val="24"/>
          <w:szCs w:val="24"/>
        </w:rPr>
        <w:tab/>
      </w:r>
      <w:r>
        <w:rPr>
          <w:rFonts w:hint="eastAsia" w:ascii="仿宋" w:hAnsi="仿宋" w:eastAsia="仿宋" w:cs="仿宋"/>
          <w:sz w:val="24"/>
          <w:szCs w:val="24"/>
        </w:rPr>
        <w:t>23</w:t>
      </w:r>
      <w:r>
        <w:rPr>
          <w:rFonts w:hint="eastAsia" w:ascii="仿宋" w:hAnsi="仿宋" w:eastAsia="仿宋" w:cs="仿宋"/>
          <w:sz w:val="24"/>
          <w:szCs w:val="24"/>
        </w:rPr>
        <w:fldChar w:fldCharType="end"/>
      </w:r>
    </w:p>
    <w:p w14:paraId="1FDCCBD9">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_Toc2781 </w:instrText>
      </w:r>
      <w:r>
        <w:rPr>
          <w:rFonts w:hint="eastAsia" w:ascii="仿宋" w:hAnsi="仿宋" w:eastAsia="仿宋" w:cs="仿宋"/>
          <w:sz w:val="24"/>
          <w:szCs w:val="24"/>
        </w:rPr>
        <w:fldChar w:fldCharType="separate"/>
      </w:r>
      <w:r>
        <w:rPr>
          <w:rFonts w:hint="eastAsia" w:ascii="仿宋" w:hAnsi="仿宋" w:eastAsia="仿宋" w:cs="仿宋"/>
          <w:sz w:val="24"/>
          <w:szCs w:val="24"/>
        </w:rPr>
        <w:t>5  其它服务</w:t>
      </w:r>
      <w:r>
        <w:rPr>
          <w:rFonts w:hint="eastAsia" w:ascii="仿宋" w:hAnsi="仿宋" w:eastAsia="仿宋" w:cs="仿宋"/>
          <w:sz w:val="24"/>
          <w:szCs w:val="24"/>
        </w:rPr>
        <w:tab/>
      </w:r>
      <w:r>
        <w:rPr>
          <w:rFonts w:hint="eastAsia" w:ascii="仿宋" w:hAnsi="仿宋" w:eastAsia="仿宋" w:cs="仿宋"/>
          <w:sz w:val="24"/>
          <w:szCs w:val="24"/>
        </w:rPr>
        <w:t>24</w:t>
      </w:r>
      <w:r>
        <w:rPr>
          <w:rFonts w:hint="eastAsia" w:ascii="仿宋" w:hAnsi="仿宋" w:eastAsia="仿宋" w:cs="仿宋"/>
          <w:sz w:val="24"/>
          <w:szCs w:val="24"/>
        </w:rPr>
        <w:fldChar w:fldCharType="end"/>
      </w:r>
    </w:p>
    <w:p w14:paraId="5F4A8A28">
      <w:pPr>
        <w:pStyle w:val="111"/>
        <w:tabs>
          <w:tab w:val="right" w:leader="dot" w:pos="8392"/>
        </w:tabs>
        <w:spacing w:line="360" w:lineRule="auto"/>
        <w:rPr>
          <w:rFonts w:hint="eastAsia" w:ascii="仿宋" w:hAnsi="仿宋" w:eastAsia="仿宋" w:cs="仿宋"/>
          <w:sz w:val="24"/>
          <w:szCs w:val="24"/>
        </w:rPr>
      </w:pPr>
      <w:r>
        <w:rPr>
          <w:rFonts w:hint="eastAsia" w:ascii="仿宋" w:hAnsi="仿宋" w:eastAsia="仿宋" w:cs="仿宋"/>
          <w:b/>
          <w:bCs/>
          <w:sz w:val="24"/>
          <w:szCs w:val="24"/>
        </w:rPr>
        <w:fldChar w:fldCharType="begin"/>
      </w:r>
      <w:r>
        <w:rPr>
          <w:rFonts w:hint="eastAsia" w:ascii="仿宋" w:hAnsi="仿宋" w:eastAsia="仿宋" w:cs="仿宋"/>
          <w:sz w:val="24"/>
          <w:szCs w:val="24"/>
        </w:rPr>
        <w:instrText xml:space="preserve"> HYPERLINK \l _Toc28687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第五章  预验收和终验收</w:t>
      </w:r>
      <w:r>
        <w:rPr>
          <w:rFonts w:hint="eastAsia" w:ascii="仿宋" w:hAnsi="仿宋" w:eastAsia="仿宋" w:cs="仿宋"/>
          <w:b/>
          <w:bCs/>
          <w:sz w:val="24"/>
          <w:szCs w:val="24"/>
        </w:rPr>
        <w:tab/>
      </w:r>
      <w:r>
        <w:rPr>
          <w:rFonts w:hint="eastAsia" w:ascii="仿宋" w:hAnsi="仿宋" w:eastAsia="仿宋" w:cs="仿宋"/>
          <w:b/>
          <w:bCs/>
          <w:sz w:val="24"/>
          <w:szCs w:val="24"/>
        </w:rPr>
        <w:t>24</w:t>
      </w:r>
      <w:r>
        <w:rPr>
          <w:rFonts w:hint="eastAsia" w:ascii="仿宋" w:hAnsi="仿宋" w:eastAsia="仿宋" w:cs="仿宋"/>
          <w:b/>
          <w:bCs/>
          <w:sz w:val="24"/>
          <w:szCs w:val="24"/>
        </w:rPr>
        <w:fldChar w:fldCharType="end"/>
      </w:r>
    </w:p>
    <w:p w14:paraId="10608FEF">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_Toc30827 </w:instrText>
      </w:r>
      <w:r>
        <w:rPr>
          <w:rFonts w:hint="eastAsia" w:ascii="仿宋" w:hAnsi="仿宋" w:eastAsia="仿宋" w:cs="仿宋"/>
          <w:sz w:val="24"/>
          <w:szCs w:val="24"/>
        </w:rPr>
        <w:fldChar w:fldCharType="separate"/>
      </w:r>
      <w:r>
        <w:rPr>
          <w:rFonts w:hint="eastAsia" w:ascii="仿宋" w:hAnsi="仿宋" w:eastAsia="仿宋" w:cs="仿宋"/>
          <w:sz w:val="24"/>
          <w:szCs w:val="24"/>
        </w:rPr>
        <w:t>1  验收的一般约定</w:t>
      </w:r>
      <w:r>
        <w:rPr>
          <w:rFonts w:hint="eastAsia" w:ascii="仿宋" w:hAnsi="仿宋" w:eastAsia="仿宋" w:cs="仿宋"/>
          <w:sz w:val="24"/>
          <w:szCs w:val="24"/>
        </w:rPr>
        <w:tab/>
      </w:r>
      <w:r>
        <w:rPr>
          <w:rFonts w:hint="eastAsia" w:ascii="仿宋" w:hAnsi="仿宋" w:eastAsia="仿宋" w:cs="仿宋"/>
          <w:sz w:val="24"/>
          <w:szCs w:val="24"/>
        </w:rPr>
        <w:t>24</w:t>
      </w:r>
      <w:r>
        <w:rPr>
          <w:rFonts w:hint="eastAsia" w:ascii="仿宋" w:hAnsi="仿宋" w:eastAsia="仿宋" w:cs="仿宋"/>
          <w:sz w:val="24"/>
          <w:szCs w:val="24"/>
        </w:rPr>
        <w:fldChar w:fldCharType="end"/>
      </w:r>
    </w:p>
    <w:p w14:paraId="472B0976">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_Toc13235 </w:instrText>
      </w:r>
      <w:r>
        <w:rPr>
          <w:rFonts w:hint="eastAsia" w:ascii="仿宋" w:hAnsi="仿宋" w:eastAsia="仿宋" w:cs="仿宋"/>
          <w:sz w:val="24"/>
          <w:szCs w:val="24"/>
        </w:rPr>
        <w:fldChar w:fldCharType="separate"/>
      </w:r>
      <w:r>
        <w:rPr>
          <w:rFonts w:hint="eastAsia" w:ascii="仿宋" w:hAnsi="仿宋" w:eastAsia="仿宋" w:cs="仿宋"/>
          <w:sz w:val="24"/>
          <w:szCs w:val="24"/>
        </w:rPr>
        <w:t>2  检验</w:t>
      </w:r>
      <w:r>
        <w:rPr>
          <w:rFonts w:hint="eastAsia" w:ascii="仿宋" w:hAnsi="仿宋" w:eastAsia="仿宋" w:cs="仿宋"/>
          <w:sz w:val="24"/>
          <w:szCs w:val="24"/>
        </w:rPr>
        <w:tab/>
      </w:r>
      <w:r>
        <w:rPr>
          <w:rFonts w:hint="eastAsia" w:ascii="仿宋" w:hAnsi="仿宋" w:eastAsia="仿宋" w:cs="仿宋"/>
          <w:sz w:val="24"/>
          <w:szCs w:val="24"/>
        </w:rPr>
        <w:t>24</w:t>
      </w:r>
      <w:r>
        <w:rPr>
          <w:rFonts w:hint="eastAsia" w:ascii="仿宋" w:hAnsi="仿宋" w:eastAsia="仿宋" w:cs="仿宋"/>
          <w:sz w:val="24"/>
          <w:szCs w:val="24"/>
        </w:rPr>
        <w:fldChar w:fldCharType="end"/>
      </w:r>
    </w:p>
    <w:p w14:paraId="05D29676">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_Toc20533 </w:instrText>
      </w:r>
      <w:r>
        <w:rPr>
          <w:rFonts w:hint="eastAsia" w:ascii="仿宋" w:hAnsi="仿宋" w:eastAsia="仿宋" w:cs="仿宋"/>
          <w:sz w:val="24"/>
          <w:szCs w:val="24"/>
        </w:rPr>
        <w:fldChar w:fldCharType="separate"/>
      </w:r>
      <w:r>
        <w:rPr>
          <w:rFonts w:hint="eastAsia" w:ascii="仿宋" w:hAnsi="仿宋" w:eastAsia="仿宋" w:cs="仿宋"/>
          <w:sz w:val="24"/>
          <w:szCs w:val="24"/>
        </w:rPr>
        <w:t>3  验收条件</w:t>
      </w:r>
      <w:r>
        <w:rPr>
          <w:rFonts w:hint="eastAsia" w:ascii="仿宋" w:hAnsi="仿宋" w:eastAsia="仿宋" w:cs="仿宋"/>
          <w:sz w:val="24"/>
          <w:szCs w:val="24"/>
        </w:rPr>
        <w:tab/>
      </w:r>
      <w:r>
        <w:rPr>
          <w:rFonts w:hint="eastAsia" w:ascii="仿宋" w:hAnsi="仿宋" w:eastAsia="仿宋" w:cs="仿宋"/>
          <w:sz w:val="24"/>
          <w:szCs w:val="24"/>
        </w:rPr>
        <w:t>24</w:t>
      </w:r>
      <w:r>
        <w:rPr>
          <w:rFonts w:hint="eastAsia" w:ascii="仿宋" w:hAnsi="仿宋" w:eastAsia="仿宋" w:cs="仿宋"/>
          <w:sz w:val="24"/>
          <w:szCs w:val="24"/>
        </w:rPr>
        <w:fldChar w:fldCharType="end"/>
      </w:r>
    </w:p>
    <w:p w14:paraId="047F3D92">
      <w:pPr>
        <w:pStyle w:val="112"/>
        <w:tabs>
          <w:tab w:val="right" w:leader="dot" w:pos="8392"/>
        </w:tabs>
        <w:spacing w:line="360" w:lineRule="auto"/>
        <w:ind w:left="42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_Toc27981 </w:instrText>
      </w:r>
      <w:r>
        <w:rPr>
          <w:rFonts w:hint="eastAsia" w:ascii="仿宋" w:hAnsi="仿宋" w:eastAsia="仿宋" w:cs="仿宋"/>
          <w:sz w:val="24"/>
          <w:szCs w:val="24"/>
        </w:rPr>
        <w:fldChar w:fldCharType="separate"/>
      </w:r>
      <w:r>
        <w:rPr>
          <w:rFonts w:hint="eastAsia" w:ascii="仿宋" w:hAnsi="仿宋" w:eastAsia="仿宋" w:cs="仿宋"/>
          <w:sz w:val="24"/>
          <w:szCs w:val="24"/>
        </w:rPr>
        <w:t>4  终验收基本要求</w:t>
      </w:r>
      <w:r>
        <w:rPr>
          <w:rFonts w:hint="eastAsia" w:ascii="仿宋" w:hAnsi="仿宋" w:eastAsia="仿宋" w:cs="仿宋"/>
          <w:sz w:val="24"/>
          <w:szCs w:val="24"/>
        </w:rPr>
        <w:tab/>
      </w:r>
      <w:r>
        <w:rPr>
          <w:rFonts w:hint="eastAsia" w:ascii="仿宋" w:hAnsi="仿宋" w:eastAsia="仿宋" w:cs="仿宋"/>
          <w:sz w:val="24"/>
          <w:szCs w:val="24"/>
        </w:rPr>
        <w:t>26</w:t>
      </w:r>
      <w:r>
        <w:rPr>
          <w:rFonts w:hint="eastAsia" w:ascii="仿宋" w:hAnsi="仿宋" w:eastAsia="仿宋" w:cs="仿宋"/>
          <w:sz w:val="24"/>
          <w:szCs w:val="24"/>
        </w:rPr>
        <w:fldChar w:fldCharType="end"/>
      </w:r>
    </w:p>
    <w:p w14:paraId="4A9D6C43">
      <w:pPr>
        <w:pStyle w:val="111"/>
        <w:tabs>
          <w:tab w:val="right" w:leader="dot" w:pos="8392"/>
        </w:tabs>
        <w:spacing w:line="360" w:lineRule="auto"/>
        <w:rPr>
          <w:rFonts w:hint="eastAsia" w:ascii="仿宋" w:hAnsi="仿宋" w:eastAsia="仿宋" w:cs="仿宋"/>
          <w:sz w:val="24"/>
          <w:szCs w:val="24"/>
        </w:rPr>
      </w:pPr>
      <w:r>
        <w:rPr>
          <w:rFonts w:hint="eastAsia" w:ascii="仿宋" w:hAnsi="仿宋" w:eastAsia="仿宋" w:cs="仿宋"/>
          <w:b/>
          <w:bCs/>
          <w:sz w:val="24"/>
          <w:szCs w:val="24"/>
        </w:rPr>
        <w:fldChar w:fldCharType="begin"/>
      </w:r>
      <w:r>
        <w:rPr>
          <w:rFonts w:hint="eastAsia" w:ascii="仿宋" w:hAnsi="仿宋" w:eastAsia="仿宋" w:cs="仿宋"/>
          <w:sz w:val="24"/>
          <w:szCs w:val="24"/>
        </w:rPr>
        <w:instrText xml:space="preserve"> HYPERLINK \l _Toc25886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第六章  投标技术文件一般要求</w:t>
      </w:r>
      <w:r>
        <w:rPr>
          <w:rFonts w:hint="eastAsia" w:ascii="仿宋" w:hAnsi="仿宋" w:eastAsia="仿宋" w:cs="仿宋"/>
          <w:b/>
          <w:bCs/>
          <w:sz w:val="24"/>
          <w:szCs w:val="24"/>
        </w:rPr>
        <w:tab/>
      </w:r>
      <w:r>
        <w:rPr>
          <w:rFonts w:hint="eastAsia" w:ascii="仿宋" w:hAnsi="仿宋" w:eastAsia="仿宋" w:cs="仿宋"/>
          <w:b/>
          <w:bCs/>
          <w:sz w:val="24"/>
          <w:szCs w:val="24"/>
        </w:rPr>
        <w:t>26</w:t>
      </w:r>
      <w:r>
        <w:rPr>
          <w:rFonts w:hint="eastAsia" w:ascii="仿宋" w:hAnsi="仿宋" w:eastAsia="仿宋" w:cs="仿宋"/>
          <w:b/>
          <w:bCs/>
          <w:sz w:val="24"/>
          <w:szCs w:val="24"/>
        </w:rPr>
        <w:fldChar w:fldCharType="end"/>
      </w:r>
    </w:p>
    <w:p w14:paraId="52492B64">
      <w:pPr>
        <w:pStyle w:val="111"/>
        <w:tabs>
          <w:tab w:val="right" w:leader="dot" w:pos="8392"/>
        </w:tabs>
        <w:spacing w:line="360" w:lineRule="auto"/>
      </w:pPr>
      <w:r>
        <w:rPr>
          <w:rFonts w:hint="eastAsia" w:ascii="仿宋" w:hAnsi="仿宋" w:eastAsia="仿宋" w:cs="仿宋"/>
          <w:b/>
          <w:bCs/>
          <w:sz w:val="24"/>
          <w:szCs w:val="24"/>
        </w:rPr>
        <w:fldChar w:fldCharType="begin"/>
      </w:r>
      <w:r>
        <w:rPr>
          <w:rFonts w:hint="eastAsia" w:ascii="仿宋" w:hAnsi="仿宋" w:eastAsia="仿宋" w:cs="仿宋"/>
          <w:sz w:val="24"/>
          <w:szCs w:val="24"/>
        </w:rPr>
        <w:instrText xml:space="preserve"> HYPERLINK \l _Toc15612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第七章  其它要求</w:t>
      </w:r>
      <w:r>
        <w:rPr>
          <w:rFonts w:hint="eastAsia" w:ascii="仿宋" w:hAnsi="仿宋" w:eastAsia="仿宋" w:cs="仿宋"/>
          <w:b/>
          <w:bCs/>
          <w:sz w:val="24"/>
          <w:szCs w:val="24"/>
        </w:rPr>
        <w:tab/>
      </w:r>
      <w:r>
        <w:rPr>
          <w:rFonts w:hint="eastAsia" w:ascii="仿宋" w:hAnsi="仿宋" w:eastAsia="仿宋" w:cs="仿宋"/>
          <w:b/>
          <w:bCs/>
          <w:sz w:val="24"/>
          <w:szCs w:val="24"/>
        </w:rPr>
        <w:t>27</w:t>
      </w:r>
      <w:r>
        <w:rPr>
          <w:rFonts w:hint="eastAsia" w:ascii="仿宋" w:hAnsi="仿宋" w:eastAsia="仿宋" w:cs="仿宋"/>
          <w:b/>
          <w:bCs/>
          <w:sz w:val="24"/>
          <w:szCs w:val="24"/>
        </w:rPr>
        <w:fldChar w:fldCharType="end"/>
      </w:r>
    </w:p>
    <w:p w14:paraId="55EB4AFC">
      <w:pPr>
        <w:spacing w:line="880" w:lineRule="exact"/>
        <w:jc w:val="center"/>
        <w:rPr>
          <w:rFonts w:hAnsi="宋体"/>
          <w:b/>
          <w:bCs/>
          <w:spacing w:val="-8"/>
          <w:sz w:val="28"/>
          <w:szCs w:val="28"/>
        </w:rPr>
      </w:pPr>
    </w:p>
    <w:p w14:paraId="6AD78704">
      <w:pPr>
        <w:pStyle w:val="2"/>
        <w:spacing w:line="360" w:lineRule="auto"/>
        <w:jc w:val="center"/>
        <w:rPr>
          <w:rFonts w:hint="eastAsia" w:ascii="仿宋" w:hAnsi="仿宋" w:eastAsia="仿宋" w:cs="仿宋"/>
          <w:bCs w:val="0"/>
          <w:sz w:val="24"/>
          <w:szCs w:val="24"/>
        </w:rPr>
        <w:sectPr>
          <w:pgSz w:w="11906" w:h="16838"/>
          <w:pgMar w:top="1417" w:right="1757" w:bottom="1423" w:left="1757" w:header="851" w:footer="992" w:gutter="0"/>
          <w:pgNumType w:fmt="numberInDash" w:start="1"/>
          <w:cols w:space="720" w:num="1"/>
          <w:docGrid w:type="lines" w:linePitch="312" w:charSpace="0"/>
        </w:sectPr>
      </w:pPr>
      <w:bookmarkStart w:id="18" w:name="_Toc293006055"/>
      <w:bookmarkEnd w:id="18"/>
      <w:bookmarkStart w:id="19" w:name="_Toc22845"/>
      <w:bookmarkStart w:id="20" w:name="_Toc293006052"/>
      <w:bookmarkStart w:id="21" w:name="_Toc169605881"/>
    </w:p>
    <w:p w14:paraId="76DD1661">
      <w:pPr>
        <w:pStyle w:val="2"/>
        <w:spacing w:line="360" w:lineRule="auto"/>
        <w:jc w:val="center"/>
        <w:rPr>
          <w:rFonts w:hint="eastAsia" w:ascii="仿宋" w:hAnsi="仿宋" w:eastAsia="仿宋" w:cs="仿宋"/>
          <w:bCs w:val="0"/>
          <w:sz w:val="24"/>
          <w:szCs w:val="24"/>
        </w:rPr>
      </w:pPr>
      <w:bookmarkStart w:id="22" w:name="_Toc28778"/>
      <w:bookmarkStart w:id="23" w:name="_Toc20954"/>
      <w:bookmarkStart w:id="24" w:name="_Toc16694"/>
      <w:r>
        <w:rPr>
          <w:rFonts w:hint="eastAsia" w:ascii="仿宋" w:hAnsi="仿宋" w:eastAsia="仿宋" w:cs="仿宋"/>
          <w:bCs w:val="0"/>
          <w:sz w:val="24"/>
          <w:szCs w:val="24"/>
        </w:rPr>
        <w:t>第一章  采购货物概况</w:t>
      </w:r>
      <w:bookmarkEnd w:id="19"/>
      <w:bookmarkEnd w:id="20"/>
      <w:bookmarkEnd w:id="22"/>
      <w:bookmarkEnd w:id="23"/>
      <w:bookmarkEnd w:id="24"/>
    </w:p>
    <w:p w14:paraId="456865E1">
      <w:pPr>
        <w:pStyle w:val="4"/>
        <w:spacing w:line="360" w:lineRule="auto"/>
        <w:jc w:val="center"/>
        <w:rPr>
          <w:rFonts w:hint="eastAsia" w:ascii="仿宋" w:hAnsi="仿宋" w:eastAsia="仿宋" w:cs="仿宋"/>
          <w:bCs w:val="0"/>
          <w:sz w:val="24"/>
          <w:szCs w:val="24"/>
        </w:rPr>
      </w:pPr>
      <w:bookmarkStart w:id="25" w:name="_Toc293006053"/>
      <w:bookmarkStart w:id="26" w:name="_Toc829"/>
      <w:bookmarkStart w:id="27" w:name="_Toc4562"/>
      <w:bookmarkStart w:id="28" w:name="_Toc19667"/>
      <w:bookmarkStart w:id="29" w:name="_Toc25589"/>
      <w:r>
        <w:rPr>
          <w:rFonts w:hint="eastAsia" w:ascii="仿宋" w:hAnsi="仿宋" w:eastAsia="仿宋" w:cs="仿宋"/>
          <w:bCs w:val="0"/>
          <w:sz w:val="24"/>
          <w:szCs w:val="24"/>
        </w:rPr>
        <w:t>第一节  使用环境</w:t>
      </w:r>
      <w:bookmarkEnd w:id="25"/>
      <w:bookmarkEnd w:id="26"/>
      <w:bookmarkEnd w:id="27"/>
      <w:bookmarkEnd w:id="28"/>
      <w:bookmarkEnd w:id="29"/>
    </w:p>
    <w:p w14:paraId="4094F110">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一、项目名称：</w:t>
      </w:r>
      <w:r>
        <w:rPr>
          <w:rFonts w:hint="eastAsia" w:ascii="仿宋" w:hAnsi="仿宋" w:eastAsia="仿宋" w:cs="仿宋"/>
          <w:sz w:val="32"/>
          <w:szCs w:val="32"/>
          <w:highlight w:val="none"/>
          <w:u w:val="single"/>
          <w:lang w:val="en-US" w:eastAsia="zh-CN"/>
        </w:rPr>
        <w:t xml:space="preserve"> </w:t>
      </w:r>
      <w:r>
        <w:rPr>
          <w:rFonts w:hint="eastAsia" w:ascii="仿宋" w:hAnsi="仿宋" w:eastAsia="仿宋" w:cs="仿宋"/>
          <w:sz w:val="24"/>
          <w:szCs w:val="24"/>
          <w:u w:val="single"/>
          <w:shd w:val="clear" w:color="FFFFFF" w:fill="D9D9D9"/>
          <w:lang w:val="en-US" w:eastAsia="zh-CN"/>
        </w:rPr>
        <w:t xml:space="preserve">驱动桥总成产能提升技改 </w:t>
      </w:r>
      <w:r>
        <w:rPr>
          <w:rFonts w:hint="eastAsia" w:ascii="仿宋" w:hAnsi="仿宋" w:eastAsia="仿宋" w:cs="仿宋"/>
          <w:sz w:val="24"/>
          <w:szCs w:val="24"/>
          <w:u w:val="single"/>
          <w:shd w:val="clear" w:color="FFFFFF" w:fill="D9D9D9"/>
        </w:rPr>
        <w:t>项目</w:t>
      </w:r>
      <w:r>
        <w:rPr>
          <w:rFonts w:hint="eastAsia" w:ascii="仿宋" w:hAnsi="仿宋" w:eastAsia="仿宋" w:cs="仿宋"/>
          <w:sz w:val="24"/>
          <w:szCs w:val="24"/>
          <w:u w:val="single"/>
          <w:shd w:val="clear" w:color="FFFFFF" w:fill="D9D9D9"/>
          <w:lang w:val="en-US" w:eastAsia="zh-CN"/>
        </w:rPr>
        <w:t xml:space="preserve">  </w:t>
      </w:r>
    </w:p>
    <w:p w14:paraId="299E9B4E">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二、建设地点：</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山东省济南市历城区世纪大道757号（工地）</w:t>
      </w:r>
      <w:r>
        <w:rPr>
          <w:rFonts w:hint="eastAsia" w:ascii="仿宋" w:hAnsi="仿宋" w:eastAsia="仿宋" w:cs="仿宋"/>
          <w:sz w:val="24"/>
          <w:szCs w:val="24"/>
          <w:u w:val="single"/>
          <w:lang w:val="en-US" w:eastAsia="zh-CN"/>
        </w:rPr>
        <w:t xml:space="preserve">    </w:t>
      </w:r>
    </w:p>
    <w:p w14:paraId="3E1425D5">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三、使用地点：</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山东省济南市历城区世纪大道757号（室内）</w:t>
      </w:r>
      <w:r>
        <w:rPr>
          <w:rFonts w:hint="eastAsia" w:ascii="仿宋" w:hAnsi="仿宋" w:eastAsia="仿宋" w:cs="仿宋"/>
          <w:sz w:val="24"/>
          <w:szCs w:val="24"/>
          <w:u w:val="single"/>
          <w:lang w:val="en-US" w:eastAsia="zh-CN"/>
        </w:rPr>
        <w:t xml:space="preserve">    </w:t>
      </w:r>
    </w:p>
    <w:p w14:paraId="1D690B3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四、工作制度：全年工作</w:t>
      </w:r>
      <w:r>
        <w:rPr>
          <w:rFonts w:hint="eastAsia" w:ascii="仿宋" w:hAnsi="仿宋" w:eastAsia="仿宋" w:cs="仿宋"/>
          <w:sz w:val="24"/>
          <w:szCs w:val="24"/>
          <w:shd w:val="clear" w:color="FFFFFF" w:fill="D9D9D9"/>
        </w:rPr>
        <w:t>300</w:t>
      </w:r>
      <w:r>
        <w:rPr>
          <w:rFonts w:hint="eastAsia" w:ascii="仿宋" w:hAnsi="仿宋" w:eastAsia="仿宋" w:cs="仿宋"/>
          <w:sz w:val="24"/>
          <w:szCs w:val="24"/>
        </w:rPr>
        <w:t>天、</w:t>
      </w:r>
      <w:r>
        <w:rPr>
          <w:rFonts w:hint="eastAsia" w:ascii="仿宋" w:hAnsi="仿宋" w:eastAsia="仿宋" w:cs="仿宋"/>
          <w:sz w:val="24"/>
          <w:szCs w:val="24"/>
          <w:shd w:val="clear" w:color="FFFFFF" w:fill="D9D9D9"/>
          <w:lang w:val="en-US" w:eastAsia="zh-CN"/>
        </w:rPr>
        <w:t>2</w:t>
      </w:r>
      <w:r>
        <w:rPr>
          <w:rFonts w:hint="eastAsia" w:ascii="仿宋" w:hAnsi="仿宋" w:eastAsia="仿宋" w:cs="仿宋"/>
          <w:sz w:val="24"/>
          <w:szCs w:val="24"/>
        </w:rPr>
        <w:t>班制、设备年时基数</w:t>
      </w:r>
      <w:r>
        <w:rPr>
          <w:rFonts w:hint="eastAsia" w:ascii="仿宋" w:hAnsi="仿宋" w:eastAsia="仿宋" w:cs="仿宋"/>
          <w:sz w:val="24"/>
          <w:szCs w:val="24"/>
          <w:shd w:val="clear" w:color="FFFFFF" w:fill="D9D9D9"/>
        </w:rPr>
        <w:t>7200</w:t>
      </w:r>
      <w:r>
        <w:rPr>
          <w:rFonts w:hint="eastAsia" w:ascii="仿宋" w:hAnsi="仿宋" w:eastAsia="仿宋" w:cs="仿宋"/>
          <w:sz w:val="24"/>
          <w:szCs w:val="24"/>
        </w:rPr>
        <w:t>小时。</w:t>
      </w:r>
    </w:p>
    <w:p w14:paraId="18EDEF6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五、使用地点区域自然环境：</w:t>
      </w:r>
    </w:p>
    <w:p w14:paraId="742E962E">
      <w:pPr>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1、</w:t>
      </w:r>
      <w:r>
        <w:rPr>
          <w:rFonts w:hint="eastAsia" w:ascii="仿宋" w:hAnsi="仿宋" w:eastAsia="仿宋" w:cs="仿宋"/>
          <w:bCs/>
          <w:sz w:val="24"/>
          <w:szCs w:val="24"/>
        </w:rPr>
        <w:t>海拨高度：1000m以下</w:t>
      </w:r>
    </w:p>
    <w:p w14:paraId="56D24467">
      <w:pPr>
        <w:spacing w:line="360" w:lineRule="auto"/>
        <w:ind w:firstLine="480" w:firstLineChars="200"/>
        <w:rPr>
          <w:rFonts w:hint="eastAsia" w:ascii="仿宋" w:hAnsi="仿宋" w:eastAsia="仿宋" w:cs="仿宋"/>
          <w:sz w:val="24"/>
          <w:szCs w:val="24"/>
        </w:rPr>
      </w:pPr>
      <w:r>
        <w:rPr>
          <w:rFonts w:hint="eastAsia" w:ascii="仿宋" w:hAnsi="仿宋" w:eastAsia="仿宋" w:cs="仿宋"/>
          <w:bCs/>
          <w:sz w:val="24"/>
          <w:szCs w:val="24"/>
        </w:rPr>
        <w:t>2、</w:t>
      </w:r>
      <w:r>
        <w:rPr>
          <w:rFonts w:hint="eastAsia" w:ascii="仿宋" w:hAnsi="仿宋" w:eastAsia="仿宋" w:cs="仿宋"/>
          <w:sz w:val="24"/>
          <w:szCs w:val="24"/>
        </w:rPr>
        <w:t>环境温度：室外极端最低温度-19.7℃、极端最高温度42.5℃，昼夜最大温</w:t>
      </w:r>
      <w:r>
        <w:rPr>
          <w:rFonts w:hint="eastAsia" w:ascii="仿宋" w:hAnsi="仿宋" w:eastAsia="仿宋" w:cs="仿宋"/>
          <w:bCs/>
          <w:sz w:val="24"/>
          <w:szCs w:val="24"/>
        </w:rPr>
        <w:t>差25℃；室内温度5～42℃。</w:t>
      </w:r>
    </w:p>
    <w:p w14:paraId="37211AF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3、相对湿度：年平均59%，</w:t>
      </w:r>
      <w:r>
        <w:rPr>
          <w:rFonts w:hint="eastAsia" w:ascii="仿宋" w:hAnsi="仿宋" w:eastAsia="仿宋" w:cs="仿宋"/>
          <w:bCs/>
          <w:sz w:val="24"/>
          <w:szCs w:val="24"/>
        </w:rPr>
        <w:t>最大95%、最小15%。</w:t>
      </w:r>
    </w:p>
    <w:p w14:paraId="164FB84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六、能源环境： </w:t>
      </w:r>
    </w:p>
    <w:p w14:paraId="3E30AAD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1、电力：中国制式，供电电压380V±15% / 220V±15%，供电频率50Hz±2%。</w:t>
      </w:r>
    </w:p>
    <w:p w14:paraId="0EDA165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2、给水：市政自来水</w:t>
      </w:r>
    </w:p>
    <w:p w14:paraId="01C22C5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3、压缩空气：0.4～0.6MPa</w:t>
      </w:r>
    </w:p>
    <w:p w14:paraId="5458C88F">
      <w:pPr>
        <w:pStyle w:val="4"/>
        <w:spacing w:line="360" w:lineRule="auto"/>
        <w:jc w:val="center"/>
        <w:rPr>
          <w:rFonts w:hint="eastAsia" w:ascii="仿宋" w:hAnsi="仿宋" w:eastAsia="仿宋" w:cs="仿宋"/>
          <w:b w:val="0"/>
          <w:sz w:val="24"/>
          <w:szCs w:val="24"/>
        </w:rPr>
      </w:pPr>
      <w:bookmarkStart w:id="30" w:name="_Toc293006054"/>
      <w:bookmarkStart w:id="31" w:name="_Toc16223"/>
      <w:bookmarkStart w:id="32" w:name="_Toc15781"/>
      <w:bookmarkStart w:id="33" w:name="_Toc14455"/>
      <w:bookmarkStart w:id="34" w:name="_Toc314"/>
      <w:r>
        <w:rPr>
          <w:rFonts w:hint="eastAsia" w:ascii="仿宋" w:hAnsi="仿宋" w:eastAsia="仿宋" w:cs="仿宋"/>
          <w:bCs w:val="0"/>
          <w:sz w:val="24"/>
          <w:szCs w:val="24"/>
        </w:rPr>
        <w:t>第二节  采购货物概况</w:t>
      </w:r>
      <w:bookmarkEnd w:id="30"/>
      <w:bookmarkEnd w:id="31"/>
      <w:bookmarkEnd w:id="32"/>
      <w:bookmarkEnd w:id="33"/>
      <w:bookmarkEnd w:id="34"/>
    </w:p>
    <w:p w14:paraId="2A9486F8">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一、货物（或生产线）名称：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螺柱焊机</w:t>
      </w:r>
      <w:r>
        <w:rPr>
          <w:rFonts w:hint="eastAsia" w:ascii="仿宋" w:hAnsi="仿宋" w:eastAsia="仿宋" w:cs="仿宋"/>
          <w:sz w:val="24"/>
          <w:szCs w:val="24"/>
          <w:u w:val="single"/>
        </w:rPr>
        <w:t xml:space="preserve">        </w:t>
      </w:r>
    </w:p>
    <w:p w14:paraId="2E2E5DCA">
      <w:pPr>
        <w:spacing w:line="360" w:lineRule="auto"/>
        <w:ind w:firstLine="482" w:firstLineChars="200"/>
        <w:rPr>
          <w:rFonts w:hint="eastAsia" w:ascii="仿宋" w:hAnsi="仿宋" w:eastAsia="仿宋" w:cs="仿宋"/>
          <w:sz w:val="24"/>
          <w:szCs w:val="24"/>
          <w:lang w:val="en-US" w:eastAsia="zh-CN"/>
        </w:rPr>
      </w:pPr>
      <w:r>
        <w:rPr>
          <w:rFonts w:hint="eastAsia" w:ascii="仿宋" w:hAnsi="仿宋" w:eastAsia="仿宋" w:cs="仿宋"/>
          <w:b/>
          <w:bCs/>
          <w:sz w:val="24"/>
          <w:szCs w:val="24"/>
        </w:rPr>
        <w:t>二、货物（或生产线）数量：</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1台</w:t>
      </w:r>
      <w:r>
        <w:rPr>
          <w:rFonts w:hint="eastAsia" w:ascii="仿宋" w:hAnsi="仿宋" w:eastAsia="仿宋" w:cs="仿宋"/>
          <w:sz w:val="24"/>
          <w:szCs w:val="24"/>
          <w:u w:val="single"/>
        </w:rPr>
        <w:t xml:space="preserve">（详见下表）   </w:t>
      </w:r>
      <w:r>
        <w:rPr>
          <w:rFonts w:hint="eastAsia" w:ascii="仿宋" w:hAnsi="仿宋" w:eastAsia="仿宋" w:cs="仿宋"/>
          <w:sz w:val="24"/>
          <w:szCs w:val="24"/>
          <w:u w:val="single"/>
          <w:lang w:val="en-US" w:eastAsia="zh-CN"/>
        </w:rPr>
        <w:t xml:space="preserve"> </w:t>
      </w:r>
    </w:p>
    <w:p w14:paraId="4901891D">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三、</w:t>
      </w:r>
      <w:bookmarkStart w:id="35" w:name="_Toc28930"/>
      <w:r>
        <w:rPr>
          <w:rFonts w:hint="eastAsia" w:ascii="仿宋" w:hAnsi="仿宋" w:eastAsia="仿宋" w:cs="仿宋"/>
          <w:b/>
          <w:bCs/>
          <w:sz w:val="24"/>
          <w:szCs w:val="24"/>
        </w:rPr>
        <w:t>采购货物（或生产线）主要构成一览表</w:t>
      </w:r>
      <w:bookmarkEnd w:id="35"/>
    </w:p>
    <w:tbl>
      <w:tblPr>
        <w:tblStyle w:val="30"/>
        <w:tblpPr w:leftFromText="180" w:rightFromText="180" w:vertAnchor="text" w:tblpXSpec="center" w:tblpY="1"/>
        <w:tblOverlap w:val="never"/>
        <w:tblW w:w="7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745"/>
        <w:gridCol w:w="776"/>
        <w:gridCol w:w="832"/>
        <w:gridCol w:w="749"/>
        <w:gridCol w:w="1548"/>
        <w:gridCol w:w="1026"/>
      </w:tblGrid>
      <w:tr w14:paraId="5825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5" w:type="dxa"/>
            <w:noWrap w:val="0"/>
            <w:vAlign w:val="center"/>
          </w:tcPr>
          <w:p w14:paraId="79C48AE3">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序号</w:t>
            </w:r>
          </w:p>
        </w:tc>
        <w:tc>
          <w:tcPr>
            <w:tcW w:w="1745" w:type="dxa"/>
            <w:noWrap w:val="0"/>
            <w:vAlign w:val="center"/>
          </w:tcPr>
          <w:p w14:paraId="066BE36D">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名称</w:t>
            </w:r>
          </w:p>
        </w:tc>
        <w:tc>
          <w:tcPr>
            <w:tcW w:w="776" w:type="dxa"/>
            <w:noWrap w:val="0"/>
            <w:vAlign w:val="center"/>
          </w:tcPr>
          <w:p w14:paraId="50211333">
            <w:pPr>
              <w:pStyle w:val="62"/>
              <w:adjustRightInd w:val="0"/>
              <w:snapToGrid w:val="0"/>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规格</w:t>
            </w:r>
          </w:p>
        </w:tc>
        <w:tc>
          <w:tcPr>
            <w:tcW w:w="832" w:type="dxa"/>
            <w:noWrap w:val="0"/>
            <w:vAlign w:val="center"/>
          </w:tcPr>
          <w:p w14:paraId="45BF3E95">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数量</w:t>
            </w:r>
          </w:p>
        </w:tc>
        <w:tc>
          <w:tcPr>
            <w:tcW w:w="749" w:type="dxa"/>
            <w:noWrap w:val="0"/>
            <w:vAlign w:val="center"/>
          </w:tcPr>
          <w:p w14:paraId="4F2A1E84">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单位</w:t>
            </w:r>
          </w:p>
        </w:tc>
        <w:tc>
          <w:tcPr>
            <w:tcW w:w="1548" w:type="dxa"/>
            <w:noWrap w:val="0"/>
            <w:vAlign w:val="bottom"/>
          </w:tcPr>
          <w:p w14:paraId="1DFA32E6">
            <w:pPr>
              <w:pStyle w:val="16"/>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安装地点/服务对象</w:t>
            </w:r>
          </w:p>
        </w:tc>
        <w:tc>
          <w:tcPr>
            <w:tcW w:w="1026" w:type="dxa"/>
            <w:noWrap w:val="0"/>
            <w:vAlign w:val="center"/>
          </w:tcPr>
          <w:p w14:paraId="53656C58">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供货</w:t>
            </w:r>
          </w:p>
          <w:p w14:paraId="4A65724C">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方式</w:t>
            </w:r>
          </w:p>
        </w:tc>
      </w:tr>
      <w:tr w14:paraId="45B8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75" w:type="dxa"/>
            <w:noWrap w:val="0"/>
            <w:vAlign w:val="center"/>
          </w:tcPr>
          <w:p w14:paraId="1D577423">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c>
          <w:tcPr>
            <w:tcW w:w="1745" w:type="dxa"/>
            <w:noWrap w:val="0"/>
            <w:vAlign w:val="center"/>
          </w:tcPr>
          <w:p w14:paraId="2B3CAA51">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螺柱焊机</w:t>
            </w:r>
          </w:p>
        </w:tc>
        <w:tc>
          <w:tcPr>
            <w:tcW w:w="776" w:type="dxa"/>
            <w:noWrap w:val="0"/>
            <w:vAlign w:val="center"/>
          </w:tcPr>
          <w:p w14:paraId="21399219">
            <w:pPr>
              <w:pStyle w:val="62"/>
              <w:adjustRightInd w:val="0"/>
              <w:snapToGrid w:val="0"/>
              <w:ind w:firstLine="0" w:firstLineChars="0"/>
              <w:jc w:val="center"/>
              <w:rPr>
                <w:rFonts w:hint="eastAsia" w:ascii="仿宋" w:hAnsi="仿宋" w:eastAsia="仿宋" w:cs="仿宋"/>
                <w:sz w:val="24"/>
                <w:szCs w:val="24"/>
              </w:rPr>
            </w:pPr>
          </w:p>
        </w:tc>
        <w:tc>
          <w:tcPr>
            <w:tcW w:w="832" w:type="dxa"/>
            <w:noWrap w:val="0"/>
            <w:vAlign w:val="center"/>
          </w:tcPr>
          <w:p w14:paraId="68800A8F">
            <w:pPr>
              <w:pStyle w:val="62"/>
              <w:adjustRightInd w:val="0"/>
              <w:snapToGrid w:val="0"/>
              <w:ind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49" w:type="dxa"/>
            <w:noWrap w:val="0"/>
            <w:vAlign w:val="center"/>
          </w:tcPr>
          <w:p w14:paraId="3579755A">
            <w:pPr>
              <w:pStyle w:val="62"/>
              <w:adjustRightInd w:val="0"/>
              <w:snapToGrid w:val="0"/>
              <w:ind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1548" w:type="dxa"/>
            <w:noWrap w:val="0"/>
            <w:vAlign w:val="bottom"/>
          </w:tcPr>
          <w:p w14:paraId="473D2261">
            <w:pPr>
              <w:pStyle w:val="16"/>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车桥公司驱动桥部</w:t>
            </w:r>
          </w:p>
        </w:tc>
        <w:tc>
          <w:tcPr>
            <w:tcW w:w="1026" w:type="dxa"/>
            <w:noWrap w:val="0"/>
            <w:vAlign w:val="center"/>
          </w:tcPr>
          <w:p w14:paraId="38864B32">
            <w:pPr>
              <w:pStyle w:val="62"/>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交钥匙</w:t>
            </w:r>
          </w:p>
        </w:tc>
      </w:tr>
    </w:tbl>
    <w:p w14:paraId="50AA2CDA">
      <w:pPr>
        <w:spacing w:line="360" w:lineRule="auto"/>
        <w:ind w:firstLine="420" w:firstLineChars="175"/>
        <w:rPr>
          <w:rFonts w:hint="eastAsia" w:ascii="仿宋" w:hAnsi="仿宋" w:eastAsia="仿宋" w:cs="仿宋"/>
          <w:sz w:val="24"/>
          <w:szCs w:val="24"/>
        </w:rPr>
      </w:pPr>
      <w:r>
        <w:rPr>
          <w:rFonts w:hint="eastAsia" w:ascii="仿宋" w:hAnsi="仿宋" w:eastAsia="仿宋" w:cs="仿宋"/>
          <w:sz w:val="24"/>
          <w:szCs w:val="24"/>
        </w:rPr>
        <w:t>备注：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1C27CDD3">
      <w:pPr>
        <w:spacing w:line="360" w:lineRule="auto"/>
        <w:ind w:firstLine="420" w:firstLineChars="175"/>
        <w:rPr>
          <w:rFonts w:hint="eastAsia" w:ascii="仿宋" w:hAnsi="仿宋" w:eastAsia="仿宋" w:cs="仿宋"/>
          <w:bCs/>
          <w:color w:val="000000"/>
          <w:kern w:val="44"/>
          <w:sz w:val="24"/>
          <w:szCs w:val="24"/>
        </w:rPr>
      </w:pPr>
      <w:r>
        <w:rPr>
          <w:rFonts w:hint="eastAsia" w:ascii="仿宋" w:hAnsi="仿宋" w:eastAsia="仿宋" w:cs="仿宋"/>
          <w:sz w:val="24"/>
          <w:szCs w:val="24"/>
        </w:rPr>
        <w:t>②  本表“供货方式”指：交钥匙方式——包括设计、制造、运输、定点卸货、安装、调试和协助验收以及约定培训等。</w:t>
      </w:r>
    </w:p>
    <w:p w14:paraId="6631B4DD">
      <w:pPr>
        <w:pStyle w:val="113"/>
        <w:spacing w:line="360" w:lineRule="auto"/>
        <w:ind w:firstLine="422" w:firstLineChars="175"/>
        <w:rPr>
          <w:rFonts w:hint="eastAsia" w:ascii="仿宋" w:hAnsi="仿宋" w:eastAsia="仿宋" w:cs="仿宋"/>
          <w:sz w:val="24"/>
        </w:rPr>
      </w:pPr>
      <w:bookmarkStart w:id="36" w:name="_Toc13610"/>
      <w:bookmarkStart w:id="37" w:name="_Toc8072"/>
      <w:bookmarkStart w:id="38" w:name="_Toc552"/>
      <w:bookmarkStart w:id="39" w:name="_Toc9209"/>
      <w:r>
        <w:rPr>
          <w:rFonts w:hint="eastAsia" w:ascii="仿宋" w:hAnsi="仿宋" w:eastAsia="仿宋" w:cs="仿宋"/>
          <w:b/>
          <w:bCs w:val="0"/>
          <w:kern w:val="2"/>
          <w:sz w:val="24"/>
        </w:rPr>
        <w:t>第二章  技术要求</w:t>
      </w:r>
      <w:bookmarkEnd w:id="36"/>
      <w:bookmarkEnd w:id="37"/>
      <w:bookmarkEnd w:id="38"/>
      <w:bookmarkEnd w:id="39"/>
    </w:p>
    <w:p w14:paraId="1AB01255">
      <w:pPr>
        <w:keepNext w:val="0"/>
        <w:keepLines w:val="0"/>
        <w:pageBreakBefore w:val="0"/>
        <w:widowControl w:val="0"/>
        <w:kinsoku/>
        <w:wordWrap/>
        <w:overflowPunct/>
        <w:topLinePunct w:val="0"/>
        <w:autoSpaceDE/>
        <w:autoSpaceDN/>
        <w:bidi w:val="0"/>
        <w:adjustRightInd/>
        <w:spacing w:line="360" w:lineRule="auto"/>
        <w:ind w:firstLine="420" w:firstLineChars="175"/>
        <w:textAlignment w:val="auto"/>
        <w:outlineLvl w:val="1"/>
        <w:rPr>
          <w:rFonts w:hint="eastAsia" w:ascii="仿宋" w:hAnsi="仿宋" w:eastAsia="仿宋" w:cs="仿宋"/>
          <w:sz w:val="24"/>
          <w:szCs w:val="24"/>
        </w:rPr>
      </w:pPr>
      <w:bookmarkStart w:id="40" w:name="_Toc23505"/>
      <w:bookmarkStart w:id="41" w:name="_Toc31513"/>
      <w:bookmarkStart w:id="42" w:name="_Toc13510"/>
      <w:bookmarkStart w:id="43" w:name="_Toc18530"/>
      <w:r>
        <w:rPr>
          <w:rFonts w:hint="eastAsia" w:ascii="仿宋" w:hAnsi="仿宋" w:eastAsia="仿宋" w:cs="仿宋"/>
          <w:sz w:val="24"/>
          <w:szCs w:val="24"/>
        </w:rPr>
        <w:t>一、基本要求</w:t>
      </w:r>
      <w:bookmarkEnd w:id="40"/>
      <w:bookmarkEnd w:id="41"/>
      <w:bookmarkEnd w:id="42"/>
      <w:bookmarkEnd w:id="43"/>
    </w:p>
    <w:p w14:paraId="018D2E9D">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 投标方所供的货物（或生产线），必须符合中国最新版的法律、法规和相关标准、规范的要求，符合项目所在地政府有关特殊要求。</w:t>
      </w:r>
    </w:p>
    <w:p w14:paraId="0AD85BB4">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1.2 投标方所供货物（或生产线）涉及的、招标方有权使用的专利权技术以及知识产权保护的其它技术等，应保证招标方不因此受到任何侵权指控以及实际损失。</w:t>
      </w:r>
    </w:p>
    <w:p w14:paraId="437AE611">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1.3 投标方应保证所供货物（或生产线）的先进性、可靠性、经济性和实用性，并为全新货物（或设备）,并具有该货物(或设备)所有功能的永久使用权。</w:t>
      </w:r>
    </w:p>
    <w:p w14:paraId="748126DF">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1.4 投标方应满足招标方提出的各项技术要求，必要时应当免费提供技术承诺或担保。</w:t>
      </w:r>
    </w:p>
    <w:p w14:paraId="6D7D5481">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★1.5 投标方应保证所供货物（或设备）必须符合当前国家或地方最新安全、环保、职业健康最新法律、法规及《机械制造企业安全生产标准化</w:t>
      </w:r>
      <w:r>
        <w:rPr>
          <w:rFonts w:hint="eastAsia" w:ascii="仿宋" w:hAnsi="仿宋" w:eastAsia="仿宋" w:cs="仿宋"/>
          <w:sz w:val="24"/>
          <w:szCs w:val="24"/>
          <w:highlight w:val="none"/>
          <w:lang w:eastAsia="zh-CN"/>
        </w:rPr>
        <w:t>规范</w:t>
      </w:r>
      <w:r>
        <w:rPr>
          <w:rFonts w:hint="eastAsia" w:ascii="仿宋" w:hAnsi="仿宋" w:eastAsia="仿宋" w:cs="仿宋"/>
          <w:sz w:val="24"/>
          <w:szCs w:val="24"/>
          <w:highlight w:val="none"/>
        </w:rPr>
        <w:t>》各项要求 。确保货物在使用管理过程中满足《职业健康安全管理体系》、《环境管理体系》等方面的国家标准、规范及地方规章要求</w:t>
      </w:r>
      <w:r>
        <w:rPr>
          <w:rFonts w:hint="eastAsia" w:ascii="仿宋" w:hAnsi="仿宋" w:eastAsia="仿宋" w:cs="仿宋"/>
          <w:color w:val="0000FF"/>
          <w:sz w:val="24"/>
          <w:szCs w:val="24"/>
          <w:highlight w:val="none"/>
        </w:rPr>
        <w:t>。</w:t>
      </w:r>
    </w:p>
    <w:p w14:paraId="1B4D9789">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★1.6 投标方应保证所供货物（或设备）为中国公布的非淘汰货物（或设备），并为中国指定或规定的主管部门认可的环保型和节能型货物（或设备）。招标的中标货物不接受试验品（提供证据），还应是原产地的货物。</w:t>
      </w:r>
    </w:p>
    <w:p w14:paraId="06BF1A3E">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 设备用能设计基本要求</w:t>
      </w:r>
    </w:p>
    <w:p w14:paraId="79ADC420">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1.7.1 任何用能设备均应遵循《能源管理体系要求》（ISO 50001:2018）、《能源管理体系 机械制造企业认证要求》（RB/T 119-2015）的相关规定，并在《能源管理体系要求》下开展设备的采购、维护、保养、淘汰更换等工作。</w:t>
      </w:r>
    </w:p>
    <w:p w14:paraId="3B6A24DC">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1.7.2 为方便用能设备的计量统计，新增采购设备应在《用能单位能源计量器具配备和管理通则》（GB17167-2006）指导下配备符合相应要求的能源计量器具。</w:t>
      </w:r>
    </w:p>
    <w:p w14:paraId="09961B85">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4B28F74F">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14:paraId="4CE82328">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1.7.5 供方应确保设备的附属各类机电设备、设施（如：电机、风机、电器控制系统、润滑、保温隔热、照明等等）符合国家现行的相关专项标准要求。</w:t>
      </w:r>
    </w:p>
    <w:p w14:paraId="7FDE1ADA">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1.8 投标方应保证所供货物（或生产线）的完整性和成套性，能保证货物（或生产线）的正常运行、使用。</w:t>
      </w:r>
    </w:p>
    <w:p w14:paraId="43E7B745">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1.9 投标方应对招标方采购的货物（或生产线）所涉及的技术、产能等信息负有保密义务，特殊项目应当无条件签署保密协议。</w:t>
      </w:r>
    </w:p>
    <w:p w14:paraId="5AE24C31">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 设备使用仪表和自控设备要求：</w:t>
      </w:r>
    </w:p>
    <w:p w14:paraId="23FCB302">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bookmarkStart w:id="44" w:name="_Toc30944"/>
      <w:bookmarkStart w:id="45" w:name="_Toc5010"/>
      <w:bookmarkStart w:id="46" w:name="_Toc2908"/>
      <w:bookmarkStart w:id="47" w:name="_Toc7044"/>
      <w:bookmarkStart w:id="48" w:name="_Toc31111"/>
      <w:bookmarkStart w:id="49" w:name="_Toc5025"/>
      <w:r>
        <w:rPr>
          <w:rFonts w:hint="eastAsia" w:ascii="仿宋" w:hAnsi="仿宋" w:eastAsia="仿宋" w:cs="仿宋"/>
          <w:sz w:val="24"/>
          <w:szCs w:val="24"/>
          <w:highlight w:val="none"/>
        </w:rPr>
        <w:t>1.10.1 设备使用仪表通用技术要求:</w:t>
      </w:r>
      <w:bookmarkEnd w:id="44"/>
      <w:bookmarkEnd w:id="45"/>
      <w:bookmarkEnd w:id="46"/>
      <w:bookmarkEnd w:id="47"/>
      <w:bookmarkEnd w:id="48"/>
      <w:bookmarkEnd w:id="49"/>
    </w:p>
    <w:p w14:paraId="2EEEE6A2">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1.10.1.1 投标人及供货商应保证所提供的仪表和自控设备，完全符合或高于本文通用技术要求及相应产品技术规范的要求，并应保证其供应产品在本工程指明的环境条件下能够长期安全、正常地运行。 </w:t>
      </w:r>
    </w:p>
    <w:p w14:paraId="1E170397">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4B28C259">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5DF04D5F">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bookmarkStart w:id="50" w:name="_Toc26032"/>
      <w:bookmarkStart w:id="51" w:name="_Toc5075"/>
      <w:bookmarkStart w:id="52" w:name="_Toc9364"/>
      <w:bookmarkStart w:id="53" w:name="_Toc581"/>
      <w:bookmarkStart w:id="54" w:name="_Toc32105"/>
      <w:bookmarkStart w:id="55" w:name="_Toc16669"/>
      <w:r>
        <w:rPr>
          <w:rFonts w:hint="eastAsia" w:ascii="仿宋" w:hAnsi="仿宋" w:eastAsia="仿宋" w:cs="仿宋"/>
          <w:sz w:val="24"/>
          <w:szCs w:val="24"/>
          <w:highlight w:val="none"/>
        </w:rPr>
        <w:t>1.10.2 准确度要求: </w:t>
      </w:r>
      <w:bookmarkEnd w:id="50"/>
      <w:bookmarkEnd w:id="51"/>
      <w:bookmarkEnd w:id="52"/>
      <w:bookmarkEnd w:id="53"/>
      <w:bookmarkEnd w:id="54"/>
      <w:bookmarkEnd w:id="55"/>
    </w:p>
    <w:p w14:paraId="653609F6">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60987936">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467CFAB4">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1.10.2.3 项目验收时，投标方提供测量功能设备及计量器具资质合格证书，招标方根据实际情况进行相关复检，复检合格视为合格。</w:t>
      </w:r>
    </w:p>
    <w:p w14:paraId="4958A069">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bookmarkStart w:id="56" w:name="_Toc5510"/>
      <w:bookmarkStart w:id="57" w:name="_Toc1291"/>
      <w:bookmarkStart w:id="58" w:name="_Toc31048"/>
      <w:bookmarkStart w:id="59" w:name="_Toc8799"/>
      <w:bookmarkStart w:id="60" w:name="_Toc28774"/>
      <w:bookmarkStart w:id="61" w:name="_Toc25422"/>
      <w:r>
        <w:rPr>
          <w:rFonts w:hint="eastAsia" w:ascii="仿宋" w:hAnsi="仿宋" w:eastAsia="仿宋" w:cs="仿宋"/>
          <w:sz w:val="24"/>
          <w:szCs w:val="24"/>
          <w:highlight w:val="none"/>
        </w:rPr>
        <w:t>1.10.3 材质要求: </w:t>
      </w:r>
      <w:bookmarkEnd w:id="56"/>
      <w:bookmarkEnd w:id="57"/>
      <w:bookmarkEnd w:id="58"/>
      <w:bookmarkEnd w:id="59"/>
      <w:bookmarkEnd w:id="60"/>
      <w:bookmarkEnd w:id="61"/>
    </w:p>
    <w:p w14:paraId="65E7B6C9">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7C3D1781">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1.10.2.4涉及安全、工艺参数的传感器应可拆卸并具备送检条件，还应至少备份一个传感器送检期间使用，不影响设备正常使用。</w:t>
      </w:r>
    </w:p>
    <w:p w14:paraId="5FFC077B">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★1.11投标方所供设备应按“交钥匙工程”要求。</w:t>
      </w:r>
    </w:p>
    <w:p w14:paraId="0246F047">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bookmarkStart w:id="62" w:name="_Hlk69924518"/>
      <w:r>
        <w:rPr>
          <w:rFonts w:hint="eastAsia" w:ascii="仿宋" w:hAnsi="仿宋" w:eastAsia="仿宋" w:cs="仿宋"/>
          <w:sz w:val="24"/>
          <w:szCs w:val="24"/>
          <w:highlight w:val="none"/>
        </w:rPr>
        <w:t>2 执行标准</w:t>
      </w:r>
    </w:p>
    <w:bookmarkEnd w:id="62"/>
    <w:p w14:paraId="16F7F48B">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  招标方此处所列标准仅为涉及的主要标准，而且不保证其为最新版执行标准；投标方应当在投标文件中予以补充和完善。</w:t>
      </w:r>
    </w:p>
    <w:p w14:paraId="786FF007">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2.2  投标方需要执行的标准，应当以所供设备通过招标方将来组织的最终验收之日后需要执行的标准。</w:t>
      </w:r>
    </w:p>
    <w:p w14:paraId="4DE2C7AE">
      <w:pPr>
        <w:pStyle w:val="16"/>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2.3  涉及的主要标准表（包含但不限于）</w:t>
      </w:r>
    </w:p>
    <w:tbl>
      <w:tblPr>
        <w:tblStyle w:val="30"/>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5FD3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top"/>
          </w:tcPr>
          <w:p w14:paraId="526FC8F9">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序号</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1105D229">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标准名称</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376E4C4A">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标准编号</w:t>
            </w:r>
          </w:p>
        </w:tc>
        <w:tc>
          <w:tcPr>
            <w:tcW w:w="660" w:type="dxa"/>
            <w:tcBorders>
              <w:top w:val="single" w:color="auto" w:sz="4" w:space="0"/>
              <w:left w:val="single" w:color="auto" w:sz="4" w:space="0"/>
              <w:bottom w:val="single" w:color="auto" w:sz="4" w:space="0"/>
              <w:right w:val="single" w:color="auto" w:sz="4" w:space="0"/>
            </w:tcBorders>
            <w:noWrap w:val="0"/>
            <w:vAlign w:val="top"/>
          </w:tcPr>
          <w:p w14:paraId="4897C149">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备注</w:t>
            </w:r>
          </w:p>
        </w:tc>
      </w:tr>
      <w:tr w14:paraId="45D0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13243D3">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1</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0E78B01E">
            <w:pPr>
              <w:spacing w:line="360" w:lineRule="exact"/>
              <w:rPr>
                <w:rFonts w:ascii="仿宋" w:hAnsi="仿宋" w:eastAsia="仿宋" w:cs="仿宋"/>
                <w:sz w:val="24"/>
                <w:szCs w:val="24"/>
                <w:highlight w:val="none"/>
              </w:rPr>
            </w:pPr>
            <w:r>
              <w:rPr>
                <w:rFonts w:hint="eastAsia" w:ascii="仿宋" w:hAnsi="仿宋" w:eastAsia="仿宋" w:cs="仿宋"/>
                <w:sz w:val="24"/>
                <w:szCs w:val="24"/>
                <w:highlight w:val="none"/>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112CDC99">
            <w:pPr>
              <w:spacing w:line="360" w:lineRule="exact"/>
              <w:rPr>
                <w:rFonts w:ascii="仿宋" w:hAnsi="仿宋" w:eastAsia="仿宋" w:cs="仿宋"/>
                <w:sz w:val="24"/>
                <w:szCs w:val="24"/>
                <w:highlight w:val="none"/>
              </w:rPr>
            </w:pPr>
            <w:r>
              <w:rPr>
                <w:rFonts w:hint="eastAsia" w:ascii="仿宋" w:hAnsi="仿宋" w:eastAsia="仿宋" w:cs="仿宋"/>
                <w:sz w:val="24"/>
                <w:szCs w:val="24"/>
                <w:highlight w:val="none"/>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noWrap w:val="0"/>
            <w:vAlign w:val="top"/>
          </w:tcPr>
          <w:p w14:paraId="496CDBAF">
            <w:pPr>
              <w:spacing w:line="360" w:lineRule="exact"/>
              <w:rPr>
                <w:rFonts w:ascii="仿宋" w:hAnsi="仿宋" w:eastAsia="仿宋" w:cs="仿宋"/>
                <w:color w:val="FF0000"/>
                <w:sz w:val="24"/>
                <w:szCs w:val="24"/>
                <w:highlight w:val="none"/>
              </w:rPr>
            </w:pPr>
          </w:p>
        </w:tc>
      </w:tr>
      <w:tr w14:paraId="610C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784F607D">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2</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4FF1E12D">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7756009A">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21A544F9">
            <w:pPr>
              <w:rPr>
                <w:rFonts w:ascii="仿宋" w:hAnsi="仿宋" w:eastAsia="仿宋" w:cs="仿宋"/>
                <w:sz w:val="24"/>
                <w:szCs w:val="24"/>
                <w:highlight w:val="none"/>
              </w:rPr>
            </w:pPr>
          </w:p>
        </w:tc>
      </w:tr>
      <w:tr w14:paraId="64D7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AB01BA9">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3</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88C72F7">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58FE7FAA">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35266A13">
            <w:pPr>
              <w:rPr>
                <w:rFonts w:ascii="仿宋" w:hAnsi="仿宋" w:eastAsia="仿宋" w:cs="仿宋"/>
                <w:sz w:val="24"/>
                <w:szCs w:val="24"/>
                <w:highlight w:val="none"/>
              </w:rPr>
            </w:pPr>
          </w:p>
        </w:tc>
      </w:tr>
      <w:tr w14:paraId="047B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CDC1322">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4</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39C26E39">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1F883736">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GB15760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1CA5DCF8">
            <w:pPr>
              <w:rPr>
                <w:rFonts w:ascii="仿宋" w:hAnsi="仿宋" w:eastAsia="仿宋" w:cs="仿宋"/>
                <w:sz w:val="24"/>
                <w:szCs w:val="24"/>
                <w:highlight w:val="none"/>
              </w:rPr>
            </w:pPr>
          </w:p>
        </w:tc>
      </w:tr>
      <w:tr w14:paraId="54C2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252AEDE">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5</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5BA7AB2E">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6D2D5FB5">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GB/T9061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10EE233A">
            <w:pPr>
              <w:rPr>
                <w:rFonts w:ascii="仿宋" w:hAnsi="仿宋" w:eastAsia="仿宋" w:cs="仿宋"/>
                <w:sz w:val="24"/>
                <w:szCs w:val="24"/>
                <w:highlight w:val="none"/>
              </w:rPr>
            </w:pPr>
          </w:p>
        </w:tc>
      </w:tr>
      <w:tr w14:paraId="4134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F64E63E">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6</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4400058">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339B05CA">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GB5226</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744BD97F">
            <w:pPr>
              <w:rPr>
                <w:rFonts w:ascii="仿宋" w:hAnsi="仿宋" w:eastAsia="仿宋" w:cs="仿宋"/>
                <w:sz w:val="24"/>
                <w:szCs w:val="24"/>
                <w:highlight w:val="none"/>
              </w:rPr>
            </w:pPr>
          </w:p>
        </w:tc>
      </w:tr>
      <w:tr w14:paraId="7D31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24CC8226">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7</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2909653B">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fldChar w:fldCharType="begin"/>
            </w:r>
            <w:r>
              <w:rPr>
                <w:rFonts w:hint="eastAsia" w:ascii="仿宋" w:hAnsi="仿宋" w:eastAsia="仿宋" w:cs="仿宋"/>
                <w:sz w:val="24"/>
                <w:szCs w:val="24"/>
                <w:highlight w:val="none"/>
                <w:lang w:bidi="ar"/>
              </w:rPr>
              <w:instrText xml:space="preserve"> HYPERLINK "http://wenku.baidu.com/view/db95ac1014791711cc791788.html" \t "F:/工艺工程部/项目/2021年固定资产投资/工艺院批复项目/标书/_blank" </w:instrText>
            </w:r>
            <w:r>
              <w:rPr>
                <w:rFonts w:hint="eastAsia" w:ascii="仿宋" w:hAnsi="仿宋" w:eastAsia="仿宋" w:cs="仿宋"/>
                <w:sz w:val="24"/>
                <w:szCs w:val="24"/>
                <w:highlight w:val="none"/>
                <w:lang w:bidi="ar"/>
              </w:rPr>
              <w:fldChar w:fldCharType="separate"/>
            </w:r>
            <w:r>
              <w:rPr>
                <w:rFonts w:hint="eastAsia" w:ascii="仿宋" w:hAnsi="仿宋" w:eastAsia="仿宋" w:cs="仿宋"/>
                <w:sz w:val="24"/>
                <w:szCs w:val="24"/>
                <w:highlight w:val="none"/>
                <w:lang w:bidi="ar"/>
              </w:rPr>
              <w:t>机械设备防护罩安全标准</w:t>
            </w:r>
            <w:r>
              <w:rPr>
                <w:rFonts w:hint="eastAsia" w:ascii="仿宋" w:hAnsi="仿宋" w:eastAsia="仿宋" w:cs="仿宋"/>
                <w:sz w:val="24"/>
                <w:szCs w:val="24"/>
                <w:highlight w:val="none"/>
                <w:lang w:bidi="ar"/>
              </w:rPr>
              <w:fldChar w:fldCharType="end"/>
            </w:r>
          </w:p>
        </w:tc>
        <w:tc>
          <w:tcPr>
            <w:tcW w:w="2081" w:type="dxa"/>
            <w:tcBorders>
              <w:top w:val="single" w:color="auto" w:sz="4" w:space="0"/>
              <w:left w:val="single" w:color="auto" w:sz="4" w:space="0"/>
              <w:bottom w:val="single" w:color="auto" w:sz="4" w:space="0"/>
              <w:right w:val="single" w:color="auto" w:sz="4" w:space="0"/>
            </w:tcBorders>
            <w:noWrap w:val="0"/>
            <w:vAlign w:val="top"/>
          </w:tcPr>
          <w:p w14:paraId="3C78550B">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1B1BB68F">
            <w:pPr>
              <w:rPr>
                <w:rFonts w:ascii="仿宋" w:hAnsi="仿宋" w:eastAsia="仿宋" w:cs="仿宋"/>
                <w:sz w:val="24"/>
                <w:szCs w:val="24"/>
                <w:highlight w:val="none"/>
              </w:rPr>
            </w:pPr>
          </w:p>
        </w:tc>
      </w:tr>
      <w:tr w14:paraId="248B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7B37E960">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8</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3BF11367">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4C2BE802">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w:t>
            </w:r>
            <w:r>
              <w:rPr>
                <w:rFonts w:hint="eastAsia" w:ascii="仿宋" w:hAnsi="仿宋" w:eastAsia="仿宋" w:cs="仿宋"/>
                <w:sz w:val="24"/>
                <w:szCs w:val="24"/>
                <w:highlight w:val="none"/>
                <w:lang w:bidi="ar"/>
              </w:rPr>
              <w:t>23821-20</w:t>
            </w:r>
            <w:r>
              <w:rPr>
                <w:rFonts w:hint="eastAsia" w:ascii="仿宋" w:hAnsi="仿宋" w:eastAsia="仿宋" w:cs="仿宋"/>
                <w:sz w:val="24"/>
                <w:szCs w:val="24"/>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0DC3701B">
            <w:pPr>
              <w:rPr>
                <w:rFonts w:ascii="仿宋" w:hAnsi="仿宋" w:eastAsia="仿宋" w:cs="仿宋"/>
                <w:sz w:val="24"/>
                <w:szCs w:val="24"/>
                <w:highlight w:val="none"/>
              </w:rPr>
            </w:pPr>
          </w:p>
        </w:tc>
      </w:tr>
      <w:tr w14:paraId="7DDD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11DF6CB">
            <w:pPr>
              <w:spacing w:line="360" w:lineRule="exact"/>
              <w:jc w:val="center"/>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59891B1F">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0A705078">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/T19671</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5500A068">
            <w:pPr>
              <w:rPr>
                <w:rFonts w:ascii="仿宋" w:hAnsi="仿宋" w:eastAsia="仿宋" w:cs="仿宋"/>
                <w:sz w:val="24"/>
                <w:szCs w:val="24"/>
                <w:highlight w:val="none"/>
              </w:rPr>
            </w:pPr>
          </w:p>
        </w:tc>
      </w:tr>
      <w:tr w14:paraId="3D3D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63647D5">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10</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2AD41012">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0EB957BB">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/T30574</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45E5BEFB">
            <w:pPr>
              <w:rPr>
                <w:rFonts w:ascii="仿宋" w:hAnsi="仿宋" w:eastAsia="仿宋" w:cs="仿宋"/>
                <w:sz w:val="24"/>
                <w:szCs w:val="24"/>
                <w:highlight w:val="none"/>
              </w:rPr>
            </w:pPr>
          </w:p>
        </w:tc>
      </w:tr>
      <w:tr w14:paraId="2766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3A13CD14">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11</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7128C214">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6FC2CFE8">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GB/T 17888-2020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0335FD95">
            <w:pPr>
              <w:rPr>
                <w:rFonts w:ascii="仿宋" w:hAnsi="仿宋" w:eastAsia="仿宋" w:cs="仿宋"/>
                <w:sz w:val="24"/>
                <w:szCs w:val="24"/>
                <w:highlight w:val="none"/>
              </w:rPr>
            </w:pPr>
          </w:p>
        </w:tc>
      </w:tr>
      <w:tr w14:paraId="62CE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23BB22C1">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12</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0EE4EE0">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《工业企业设计</w:t>
            </w:r>
            <w:r>
              <w:rPr>
                <w:rFonts w:hint="eastAsia" w:ascii="仿宋" w:hAnsi="仿宋" w:eastAsia="仿宋" w:cs="仿宋"/>
                <w:sz w:val="24"/>
                <w:szCs w:val="24"/>
                <w:highlight w:val="none"/>
                <w:lang w:eastAsia="zh-CN" w:bidi="ar"/>
              </w:rPr>
              <w:t>卫生标准</w:t>
            </w:r>
            <w:r>
              <w:rPr>
                <w:rFonts w:hint="eastAsia" w:ascii="仿宋" w:hAnsi="仿宋" w:eastAsia="仿宋" w:cs="仿宋"/>
                <w:sz w:val="24"/>
                <w:szCs w:val="24"/>
                <w:highlight w:val="none"/>
                <w:lang w:bidi="ar"/>
              </w:rPr>
              <w:t>》</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506ACD4B">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Z 1</w:t>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2002</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660215A0">
            <w:pPr>
              <w:rPr>
                <w:rFonts w:ascii="仿宋" w:hAnsi="仿宋" w:eastAsia="仿宋" w:cs="仿宋"/>
                <w:sz w:val="24"/>
                <w:szCs w:val="24"/>
                <w:highlight w:val="none"/>
              </w:rPr>
            </w:pPr>
          </w:p>
        </w:tc>
      </w:tr>
      <w:tr w14:paraId="2670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41FE442">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13</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0AB8C81F">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510847FB">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/T500</w:t>
            </w:r>
            <w:r>
              <w:rPr>
                <w:rFonts w:hint="eastAsia" w:ascii="仿宋" w:hAnsi="仿宋" w:eastAsia="仿宋" w:cs="仿宋"/>
                <w:sz w:val="24"/>
                <w:szCs w:val="24"/>
                <w:highlight w:val="none"/>
                <w:lang w:bidi="ar"/>
              </w:rPr>
              <w:t>87-</w:t>
            </w:r>
            <w:r>
              <w:rPr>
                <w:rFonts w:hint="eastAsia" w:ascii="仿宋" w:hAnsi="仿宋" w:eastAsia="仿宋" w:cs="仿宋"/>
                <w:sz w:val="24"/>
                <w:szCs w:val="24"/>
                <w:highlight w:val="none"/>
                <w:lang w:val="en-US" w:eastAsia="zh-CN" w:bidi="ar"/>
              </w:rPr>
              <w:t>2013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5B8A7A68">
            <w:pPr>
              <w:rPr>
                <w:rFonts w:ascii="仿宋" w:hAnsi="仿宋" w:eastAsia="仿宋" w:cs="仿宋"/>
                <w:sz w:val="24"/>
                <w:szCs w:val="24"/>
                <w:highlight w:val="none"/>
              </w:rPr>
            </w:pPr>
          </w:p>
        </w:tc>
      </w:tr>
      <w:tr w14:paraId="7C7B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1A5A54A8">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14</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1DAD8A72">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07FC2ED5">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1517FDB3">
            <w:pPr>
              <w:rPr>
                <w:rFonts w:ascii="仿宋" w:hAnsi="仿宋" w:eastAsia="仿宋" w:cs="仿宋"/>
                <w:sz w:val="24"/>
                <w:szCs w:val="24"/>
                <w:highlight w:val="none"/>
              </w:rPr>
            </w:pPr>
          </w:p>
        </w:tc>
      </w:tr>
      <w:tr w14:paraId="6F7F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2B9F71AC">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15</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357DBE8D">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7302270D">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0B49B4D0">
            <w:pPr>
              <w:rPr>
                <w:rFonts w:ascii="仿宋" w:hAnsi="仿宋" w:eastAsia="仿宋" w:cs="仿宋"/>
                <w:sz w:val="24"/>
                <w:szCs w:val="24"/>
                <w:highlight w:val="none"/>
              </w:rPr>
            </w:pPr>
          </w:p>
        </w:tc>
      </w:tr>
      <w:tr w14:paraId="334F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F2CC034">
            <w:pPr>
              <w:spacing w:line="360" w:lineRule="exact"/>
              <w:jc w:val="center"/>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6</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2F61F0C5">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167A364D">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4FA68AB2">
            <w:pPr>
              <w:rPr>
                <w:rFonts w:ascii="仿宋" w:hAnsi="仿宋" w:eastAsia="仿宋" w:cs="仿宋"/>
                <w:sz w:val="24"/>
                <w:szCs w:val="24"/>
                <w:highlight w:val="none"/>
              </w:rPr>
            </w:pPr>
          </w:p>
        </w:tc>
      </w:tr>
      <w:tr w14:paraId="1663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63AC783">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17</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6F087D9C">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42DA1048">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421B6DDA">
            <w:pPr>
              <w:rPr>
                <w:rFonts w:ascii="仿宋" w:hAnsi="仿宋" w:eastAsia="仿宋" w:cs="仿宋"/>
                <w:sz w:val="24"/>
                <w:szCs w:val="24"/>
                <w:highlight w:val="none"/>
              </w:rPr>
            </w:pPr>
          </w:p>
        </w:tc>
      </w:tr>
      <w:tr w14:paraId="3482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70087297">
            <w:pPr>
              <w:spacing w:line="360" w:lineRule="exact"/>
              <w:jc w:val="center"/>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8</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4B4D185E">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63A43856">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3CF05598">
            <w:pPr>
              <w:rPr>
                <w:rFonts w:ascii="仿宋" w:hAnsi="仿宋" w:eastAsia="仿宋" w:cs="仿宋"/>
                <w:sz w:val="24"/>
                <w:szCs w:val="24"/>
                <w:highlight w:val="none"/>
              </w:rPr>
            </w:pPr>
          </w:p>
        </w:tc>
      </w:tr>
      <w:tr w14:paraId="41E8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E6F72DF">
            <w:pPr>
              <w:spacing w:line="360" w:lineRule="exact"/>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70FE6FA6">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高耗能落后机电设备（产品）淘汰目录（第</w:t>
            </w:r>
            <w:r>
              <w:rPr>
                <w:rFonts w:hint="eastAsia" w:ascii="仿宋" w:hAnsi="仿宋" w:eastAsia="仿宋" w:cs="仿宋"/>
                <w:sz w:val="24"/>
                <w:szCs w:val="24"/>
                <w:highlight w:val="none"/>
                <w:lang w:val="en-US" w:eastAsia="zh-CN" w:bidi="ar"/>
              </w:rPr>
              <w:t>四</w:t>
            </w:r>
            <w:r>
              <w:rPr>
                <w:rFonts w:hint="eastAsia" w:ascii="仿宋" w:hAnsi="仿宋" w:eastAsia="仿宋" w:cs="仿宋"/>
                <w:sz w:val="24"/>
                <w:szCs w:val="24"/>
                <w:highlight w:val="none"/>
                <w:lang w:bidi="ar"/>
              </w:rPr>
              <w:t>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1DDC0E88">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67D3FD06">
            <w:pPr>
              <w:rPr>
                <w:rFonts w:ascii="仿宋" w:hAnsi="仿宋" w:eastAsia="仿宋" w:cs="仿宋"/>
                <w:sz w:val="24"/>
                <w:szCs w:val="24"/>
                <w:highlight w:val="none"/>
              </w:rPr>
            </w:pPr>
          </w:p>
        </w:tc>
      </w:tr>
      <w:tr w14:paraId="13C0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75232F68">
            <w:pPr>
              <w:spacing w:line="360" w:lineRule="exact"/>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20</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3A7945CD">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2FC3E5C1">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30F959E5">
            <w:pPr>
              <w:rPr>
                <w:rFonts w:ascii="仿宋" w:hAnsi="仿宋" w:eastAsia="仿宋" w:cs="仿宋"/>
                <w:sz w:val="24"/>
                <w:szCs w:val="24"/>
                <w:highlight w:val="none"/>
              </w:rPr>
            </w:pPr>
          </w:p>
        </w:tc>
      </w:tr>
      <w:tr w14:paraId="7B71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2E3212A">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21</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5F6A616E">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0641A72B">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76455BBE">
            <w:pPr>
              <w:rPr>
                <w:rFonts w:ascii="仿宋" w:hAnsi="仿宋" w:eastAsia="仿宋" w:cs="仿宋"/>
                <w:sz w:val="24"/>
                <w:szCs w:val="24"/>
                <w:highlight w:val="none"/>
              </w:rPr>
            </w:pPr>
          </w:p>
        </w:tc>
      </w:tr>
      <w:tr w14:paraId="5D92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DAC1FDD">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22</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413B1771">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5A5368AF">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Z/T189.8-2007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1D4D6415">
            <w:pPr>
              <w:rPr>
                <w:rFonts w:ascii="仿宋" w:hAnsi="仿宋" w:eastAsia="仿宋" w:cs="仿宋"/>
                <w:sz w:val="24"/>
                <w:szCs w:val="24"/>
                <w:highlight w:val="none"/>
              </w:rPr>
            </w:pPr>
          </w:p>
        </w:tc>
      </w:tr>
      <w:tr w14:paraId="33E5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600944A">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23</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1A94ABF6">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产品验收实施规范</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57F0011A">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JB/T 10825-2008</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5F89E388">
            <w:pPr>
              <w:rPr>
                <w:rFonts w:ascii="仿宋" w:hAnsi="仿宋" w:eastAsia="仿宋" w:cs="仿宋"/>
                <w:sz w:val="24"/>
                <w:szCs w:val="24"/>
                <w:highlight w:val="none"/>
              </w:rPr>
            </w:pPr>
          </w:p>
        </w:tc>
      </w:tr>
      <w:tr w14:paraId="5124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54B66C3A">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24</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481E46A2">
            <w:pPr>
              <w:spacing w:line="360" w:lineRule="exact"/>
              <w:jc w:val="lef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工业机器人电气设备及系统 通用技术条件</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05B31C57">
            <w:pPr>
              <w:spacing w:line="360" w:lineRule="exact"/>
              <w:jc w:val="lef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w:t>
            </w:r>
            <w:r>
              <w:rPr>
                <w:rFonts w:hint="eastAsia" w:ascii="仿宋" w:hAnsi="仿宋" w:eastAsia="仿宋" w:cs="仿宋"/>
                <w:sz w:val="24"/>
                <w:szCs w:val="24"/>
                <w:highlight w:val="none"/>
                <w:lang w:val="en-US" w:eastAsia="zh-CN" w:bidi="ar"/>
              </w:rPr>
              <w:t xml:space="preserve"> 39463</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2FCDDB55">
            <w:pPr>
              <w:rPr>
                <w:rFonts w:ascii="仿宋" w:hAnsi="仿宋" w:eastAsia="仿宋" w:cs="仿宋"/>
                <w:sz w:val="24"/>
                <w:szCs w:val="24"/>
                <w:highlight w:val="none"/>
              </w:rPr>
            </w:pPr>
          </w:p>
        </w:tc>
      </w:tr>
      <w:tr w14:paraId="582D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1BE5905B">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25</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7B108661">
            <w:pPr>
              <w:spacing w:line="360" w:lineRule="exact"/>
              <w:jc w:val="lef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工业机器人控制单元的信息安全通用要求</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4406F8CD">
            <w:pPr>
              <w:spacing w:line="360" w:lineRule="exact"/>
              <w:jc w:val="lef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w:t>
            </w:r>
            <w:r>
              <w:rPr>
                <w:rFonts w:hint="eastAsia" w:ascii="仿宋" w:hAnsi="仿宋" w:eastAsia="仿宋" w:cs="仿宋"/>
                <w:sz w:val="24"/>
                <w:szCs w:val="24"/>
                <w:highlight w:val="none"/>
                <w:lang w:val="en-US" w:eastAsia="zh-CN" w:bidi="ar"/>
              </w:rPr>
              <w:t xml:space="preserve"> 39404</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61F7C76F">
            <w:pPr>
              <w:rPr>
                <w:rFonts w:ascii="仿宋" w:hAnsi="仿宋" w:eastAsia="仿宋" w:cs="仿宋"/>
                <w:sz w:val="24"/>
                <w:szCs w:val="24"/>
                <w:highlight w:val="none"/>
              </w:rPr>
            </w:pPr>
          </w:p>
        </w:tc>
      </w:tr>
      <w:tr w14:paraId="79D7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9BD4062">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26</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5455CF8A">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抓握型夹持器物体搬运 词汇和特性表示</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2E768B72">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19400-2003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1EC44899">
            <w:pPr>
              <w:rPr>
                <w:rFonts w:ascii="仿宋" w:hAnsi="仿宋" w:eastAsia="仿宋" w:cs="仿宋"/>
                <w:sz w:val="24"/>
                <w:szCs w:val="24"/>
                <w:highlight w:val="none"/>
              </w:rPr>
            </w:pPr>
          </w:p>
        </w:tc>
      </w:tr>
      <w:tr w14:paraId="64FD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1C27CE1C">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27</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0AB9EFAA">
            <w:pPr>
              <w:spacing w:line="360" w:lineRule="exact"/>
              <w:jc w:val="lef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面向人机协作的工业机器人设计规范</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3C7148CB">
            <w:pP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w:t>
            </w:r>
            <w:r>
              <w:rPr>
                <w:rFonts w:hint="eastAsia" w:ascii="仿宋" w:hAnsi="仿宋" w:eastAsia="仿宋" w:cs="仿宋"/>
                <w:sz w:val="24"/>
                <w:szCs w:val="24"/>
                <w:highlight w:val="none"/>
                <w:lang w:val="en-US" w:eastAsia="zh-CN" w:bidi="ar"/>
              </w:rPr>
              <w:t xml:space="preserve"> 39402</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0A5CAA57">
            <w:pPr>
              <w:rPr>
                <w:rFonts w:ascii="仿宋" w:hAnsi="仿宋" w:eastAsia="仿宋" w:cs="仿宋"/>
                <w:sz w:val="24"/>
                <w:szCs w:val="24"/>
                <w:highlight w:val="none"/>
              </w:rPr>
            </w:pPr>
          </w:p>
        </w:tc>
      </w:tr>
      <w:tr w14:paraId="07C6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98D0E5F">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28</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E94DC5F">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性能规范及其试验方法</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2360EE82">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12642-2001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38D0AD03">
            <w:pPr>
              <w:rPr>
                <w:rFonts w:ascii="仿宋" w:hAnsi="仿宋" w:eastAsia="仿宋" w:cs="仿宋"/>
                <w:sz w:val="24"/>
                <w:szCs w:val="24"/>
                <w:highlight w:val="none"/>
              </w:rPr>
            </w:pPr>
          </w:p>
        </w:tc>
      </w:tr>
      <w:tr w14:paraId="354E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32E9C724">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29</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42A0F0E">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词汇</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5EB5203B">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12643-1997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4F8DA089">
            <w:pPr>
              <w:rPr>
                <w:rFonts w:ascii="仿宋" w:hAnsi="仿宋" w:eastAsia="仿宋" w:cs="仿宋"/>
                <w:sz w:val="24"/>
                <w:szCs w:val="24"/>
                <w:highlight w:val="none"/>
              </w:rPr>
            </w:pPr>
          </w:p>
        </w:tc>
      </w:tr>
      <w:tr w14:paraId="23BB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3E56B535">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30</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1D4C56C7">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特性表示</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67030B27">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12644-2001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3383C19B">
            <w:pPr>
              <w:rPr>
                <w:rFonts w:ascii="仿宋" w:hAnsi="仿宋" w:eastAsia="仿宋" w:cs="仿宋"/>
                <w:sz w:val="24"/>
                <w:szCs w:val="24"/>
                <w:highlight w:val="none"/>
              </w:rPr>
            </w:pPr>
          </w:p>
        </w:tc>
      </w:tr>
      <w:tr w14:paraId="100F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CF0202E">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31</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3CE6D8FE">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坐标系和运动命名原则</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6BE5E3C1">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16977-2005</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049C99E5">
            <w:pPr>
              <w:rPr>
                <w:rFonts w:ascii="仿宋" w:hAnsi="仿宋" w:eastAsia="仿宋" w:cs="仿宋"/>
                <w:sz w:val="24"/>
                <w:szCs w:val="24"/>
                <w:highlight w:val="none"/>
              </w:rPr>
            </w:pPr>
          </w:p>
        </w:tc>
      </w:tr>
      <w:tr w14:paraId="2185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41AAD83">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32</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3DD7D5E2">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安全实施规范</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7A2AC30A">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20867-2007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2B6A1349">
            <w:pPr>
              <w:rPr>
                <w:rFonts w:ascii="仿宋" w:hAnsi="仿宋" w:eastAsia="仿宋" w:cs="仿宋"/>
                <w:sz w:val="24"/>
                <w:szCs w:val="24"/>
                <w:highlight w:val="none"/>
              </w:rPr>
            </w:pPr>
          </w:p>
        </w:tc>
      </w:tr>
      <w:tr w14:paraId="6663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1576CA78">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33</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273198DA">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电磁相容性试验方法和性能评估准则指南</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1BE9851D">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19397-2003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6AA732DD">
            <w:pPr>
              <w:rPr>
                <w:rFonts w:ascii="仿宋" w:hAnsi="仿宋" w:eastAsia="仿宋" w:cs="仿宋"/>
                <w:sz w:val="24"/>
                <w:szCs w:val="24"/>
                <w:highlight w:val="none"/>
              </w:rPr>
            </w:pPr>
          </w:p>
        </w:tc>
      </w:tr>
      <w:tr w14:paraId="1084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6F8BFDB">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34</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36E2147">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3046D55C">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17888-2020</w:t>
            </w:r>
          </w:p>
        </w:tc>
        <w:tc>
          <w:tcPr>
            <w:tcW w:w="660" w:type="dxa"/>
            <w:tcBorders>
              <w:top w:val="single" w:color="auto" w:sz="4" w:space="0"/>
              <w:left w:val="single" w:color="auto" w:sz="4" w:space="0"/>
              <w:bottom w:val="single" w:color="auto" w:sz="4" w:space="0"/>
              <w:right w:val="single" w:color="auto" w:sz="4" w:space="0"/>
            </w:tcBorders>
            <w:noWrap w:val="0"/>
            <w:vAlign w:val="top"/>
          </w:tcPr>
          <w:p w14:paraId="06A97875">
            <w:pPr>
              <w:rPr>
                <w:rFonts w:ascii="仿宋" w:hAnsi="仿宋" w:eastAsia="仿宋" w:cs="仿宋"/>
                <w:sz w:val="24"/>
                <w:szCs w:val="24"/>
                <w:highlight w:val="none"/>
              </w:rPr>
            </w:pPr>
          </w:p>
        </w:tc>
      </w:tr>
    </w:tbl>
    <w:p w14:paraId="5A6D5B4F">
      <w:pPr>
        <w:spacing w:line="360" w:lineRule="exact"/>
        <w:rPr>
          <w:rFonts w:ascii="仿宋" w:hAnsi="仿宋" w:eastAsia="仿宋" w:cs="仿宋"/>
          <w:sz w:val="24"/>
          <w:szCs w:val="24"/>
          <w:highlight w:val="none"/>
        </w:rPr>
      </w:pPr>
      <w:r>
        <w:rPr>
          <w:rFonts w:hint="eastAsia" w:ascii="仿宋" w:hAnsi="仿宋" w:eastAsia="仿宋" w:cs="仿宋"/>
          <w:sz w:val="24"/>
          <w:szCs w:val="24"/>
          <w:highlight w:val="none"/>
          <w:lang w:bidi="ar"/>
        </w:rPr>
        <w:t>备注：1、如果有采用国际标准的货物，其执行标准由投标方提供、招标方确认。</w:t>
      </w:r>
    </w:p>
    <w:p w14:paraId="11C11536">
      <w:pPr>
        <w:pStyle w:val="12"/>
        <w:spacing w:line="360" w:lineRule="auto"/>
        <w:ind w:leftChars="0"/>
        <w:jc w:val="left"/>
        <w:outlineLvl w:val="2"/>
        <w:rPr>
          <w:rFonts w:hint="eastAsia" w:ascii="仿宋" w:hAnsi="仿宋" w:eastAsia="仿宋" w:cs="仿宋"/>
          <w:b/>
          <w:bCs/>
          <w:sz w:val="24"/>
          <w:szCs w:val="24"/>
        </w:rPr>
      </w:pPr>
      <w:r>
        <w:rPr>
          <w:rFonts w:hint="eastAsia" w:ascii="仿宋" w:hAnsi="仿宋" w:eastAsia="仿宋" w:cs="仿宋"/>
          <w:b/>
          <w:bCs/>
          <w:sz w:val="24"/>
          <w:szCs w:val="24"/>
        </w:rPr>
        <w:t>二</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技术</w:t>
      </w:r>
      <w:r>
        <w:rPr>
          <w:rFonts w:hint="eastAsia" w:ascii="仿宋" w:hAnsi="仿宋" w:eastAsia="仿宋" w:cs="仿宋"/>
          <w:b/>
          <w:bCs/>
          <w:sz w:val="24"/>
          <w:szCs w:val="24"/>
        </w:rPr>
        <w:t>要求</w:t>
      </w:r>
    </w:p>
    <w:p w14:paraId="3FCEB82F">
      <w:pPr>
        <w:pStyle w:val="6"/>
        <w:keepNext w:val="0"/>
        <w:keepLines w:val="0"/>
        <w:numPr>
          <w:ilvl w:val="0"/>
          <w:numId w:val="29"/>
        </w:numPr>
        <w:spacing w:line="360" w:lineRule="auto"/>
        <w:jc w:val="left"/>
        <w:rPr>
          <w:rFonts w:hint="eastAsia" w:ascii="仿宋" w:hAnsi="仿宋" w:eastAsia="仿宋" w:cs="仿宋"/>
          <w:bCs w:val="0"/>
          <w:sz w:val="24"/>
          <w:szCs w:val="24"/>
        </w:rPr>
      </w:pPr>
      <w:bookmarkStart w:id="63" w:name="_Toc28917"/>
      <w:bookmarkStart w:id="64" w:name="_Toc23141"/>
      <w:r>
        <w:rPr>
          <w:rFonts w:hint="eastAsia" w:ascii="仿宋" w:hAnsi="仿宋" w:eastAsia="仿宋" w:cs="仿宋"/>
          <w:bCs w:val="0"/>
          <w:sz w:val="24"/>
          <w:szCs w:val="24"/>
        </w:rPr>
        <w:t>工艺要求</w:t>
      </w:r>
    </w:p>
    <w:p w14:paraId="5B4224E7">
      <w:pPr>
        <w:pStyle w:val="14"/>
        <w:spacing w:line="360" w:lineRule="auto"/>
        <w:jc w:val="left"/>
        <w:outlineLvl w:val="0"/>
        <w:rPr>
          <w:rFonts w:hint="eastAsia" w:ascii="仿宋" w:hAnsi="仿宋" w:eastAsia="仿宋" w:cs="仿宋"/>
          <w:sz w:val="24"/>
          <w:szCs w:val="24"/>
        </w:rPr>
      </w:pPr>
      <w:r>
        <w:rPr>
          <w:rFonts w:hint="eastAsia" w:ascii="仿宋" w:hAnsi="仿宋" w:eastAsia="仿宋" w:cs="仿宋"/>
          <w:sz w:val="24"/>
          <w:szCs w:val="24"/>
        </w:rPr>
        <w:t>1.1技术规范</w:t>
      </w:r>
    </w:p>
    <w:p w14:paraId="110F6728">
      <w:pPr>
        <w:pStyle w:val="14"/>
        <w:spacing w:line="360" w:lineRule="auto"/>
        <w:ind w:firstLine="480" w:firstLineChars="200"/>
        <w:jc w:val="left"/>
        <w:outlineLvl w:val="0"/>
        <w:rPr>
          <w:rFonts w:hint="eastAsia" w:ascii="仿宋" w:hAnsi="仿宋" w:eastAsia="仿宋" w:cs="仿宋"/>
          <w:sz w:val="24"/>
          <w:szCs w:val="24"/>
        </w:rPr>
      </w:pPr>
      <w:r>
        <w:rPr>
          <w:rFonts w:hint="eastAsia" w:ascii="仿宋" w:hAnsi="仿宋" w:eastAsia="仿宋" w:cs="仿宋"/>
          <w:sz w:val="24"/>
          <w:szCs w:val="24"/>
        </w:rPr>
        <w:t>（1）产品状态：</w:t>
      </w:r>
      <w:r>
        <w:rPr>
          <w:rFonts w:hint="eastAsia" w:ascii="仿宋" w:hAnsi="仿宋" w:eastAsia="仿宋" w:cs="仿宋"/>
          <w:sz w:val="24"/>
          <w:szCs w:val="24"/>
          <w:lang w:val="en-US" w:eastAsia="zh-CN"/>
        </w:rPr>
        <w:t>驱动</w:t>
      </w:r>
      <w:r>
        <w:rPr>
          <w:rFonts w:hint="eastAsia" w:ascii="仿宋" w:hAnsi="仿宋" w:eastAsia="仿宋" w:cs="仿宋"/>
          <w:sz w:val="24"/>
          <w:szCs w:val="24"/>
        </w:rPr>
        <w:t>桥总成板簧面朝下放置在装配台架上，如下所示：</w:t>
      </w:r>
    </w:p>
    <w:p w14:paraId="4FC1F4C7">
      <w:pPr>
        <w:pStyle w:val="14"/>
        <w:spacing w:line="360" w:lineRule="auto"/>
        <w:jc w:val="center"/>
        <w:outlineLvl w:val="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574665" cy="1399540"/>
            <wp:effectExtent l="0" t="0" r="63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574665" cy="1399540"/>
                    </a:xfrm>
                    <a:prstGeom prst="rect">
                      <a:avLst/>
                    </a:prstGeom>
                    <a:noFill/>
                    <a:ln>
                      <a:noFill/>
                    </a:ln>
                  </pic:spPr>
                </pic:pic>
              </a:graphicData>
            </a:graphic>
          </wp:inline>
        </w:drawing>
      </w:r>
    </w:p>
    <w:p w14:paraId="0919701E">
      <w:pPr>
        <w:pStyle w:val="14"/>
        <w:numPr>
          <w:ilvl w:val="0"/>
          <w:numId w:val="30"/>
        </w:num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节拍要求：</w:t>
      </w:r>
      <w:r>
        <w:rPr>
          <w:rFonts w:hint="eastAsia" w:ascii="仿宋" w:hAnsi="仿宋" w:eastAsia="仿宋" w:cs="仿宋"/>
          <w:sz w:val="24"/>
          <w:szCs w:val="24"/>
          <w:lang w:val="en-US" w:eastAsia="zh-CN"/>
        </w:rPr>
        <w:t>6颗螺钉装夹及焊接螺钉</w:t>
      </w:r>
      <w:r>
        <w:rPr>
          <w:rFonts w:hint="eastAsia" w:ascii="仿宋" w:hAnsi="仿宋" w:eastAsia="仿宋" w:cs="仿宋"/>
          <w:sz w:val="24"/>
          <w:szCs w:val="24"/>
        </w:rPr>
        <w:t>节拍≤60s。</w:t>
      </w:r>
    </w:p>
    <w:p w14:paraId="41D6ABC3">
      <w:pPr>
        <w:pStyle w:val="14"/>
        <w:spacing w:line="360" w:lineRule="auto"/>
        <w:outlineLvl w:val="0"/>
        <w:rPr>
          <w:rFonts w:hint="eastAsia" w:ascii="仿宋" w:hAnsi="仿宋" w:eastAsia="仿宋" w:cs="仿宋"/>
          <w:sz w:val="24"/>
          <w:szCs w:val="24"/>
        </w:rPr>
      </w:pPr>
      <w:r>
        <w:rPr>
          <w:rFonts w:hint="eastAsia" w:ascii="仿宋" w:hAnsi="仿宋" w:eastAsia="仿宋" w:cs="仿宋"/>
          <w:sz w:val="24"/>
          <w:szCs w:val="24"/>
        </w:rPr>
        <w:t>1.2工艺流程说明</w:t>
      </w:r>
    </w:p>
    <w:p w14:paraId="0345C6B8">
      <w:pPr>
        <w:pStyle w:val="14"/>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（1）人工</w:t>
      </w:r>
      <w:r>
        <w:rPr>
          <w:rFonts w:hint="eastAsia" w:ascii="仿宋" w:hAnsi="仿宋" w:eastAsia="仿宋" w:cs="仿宋"/>
          <w:sz w:val="24"/>
          <w:szCs w:val="24"/>
          <w:lang w:val="en-US" w:eastAsia="zh-CN"/>
        </w:rPr>
        <w:t>桥总成吊至装配架上</w:t>
      </w:r>
      <w:r>
        <w:rPr>
          <w:rFonts w:hint="eastAsia" w:ascii="仿宋" w:hAnsi="仿宋" w:eastAsia="仿宋" w:cs="仿宋"/>
          <w:sz w:val="24"/>
          <w:szCs w:val="24"/>
        </w:rPr>
        <w:t>，并</w:t>
      </w:r>
      <w:r>
        <w:rPr>
          <w:rFonts w:hint="eastAsia" w:ascii="仿宋" w:hAnsi="仿宋" w:eastAsia="仿宋" w:cs="仿宋"/>
          <w:sz w:val="24"/>
          <w:szCs w:val="24"/>
          <w:lang w:val="en-US" w:eastAsia="zh-CN"/>
        </w:rPr>
        <w:t>调整桥总成将焊接面向上</w:t>
      </w:r>
      <w:r>
        <w:rPr>
          <w:rFonts w:hint="eastAsia" w:ascii="仿宋" w:hAnsi="仿宋" w:eastAsia="仿宋" w:cs="仿宋"/>
          <w:sz w:val="24"/>
          <w:szCs w:val="24"/>
        </w:rPr>
        <w:t>；</w:t>
      </w:r>
    </w:p>
    <w:p w14:paraId="2CC27711">
      <w:pPr>
        <w:pStyle w:val="14"/>
        <w:spacing w:line="360" w:lineRule="auto"/>
        <w:ind w:firstLine="480" w:firstLineChars="200"/>
        <w:outlineLvl w:val="0"/>
        <w:rPr>
          <w:rFonts w:hint="eastAsia" w:ascii="仿宋" w:hAnsi="仿宋" w:eastAsia="仿宋" w:cs="仿宋"/>
          <w:sz w:val="24"/>
          <w:szCs w:val="24"/>
          <w:lang w:val="en-US" w:eastAsia="zh-CN"/>
        </w:rPr>
      </w:pPr>
      <w:r>
        <w:rPr>
          <w:rFonts w:hint="eastAsia" w:ascii="仿宋" w:hAnsi="仿宋" w:eastAsia="仿宋" w:cs="仿宋"/>
          <w:sz w:val="24"/>
          <w:szCs w:val="24"/>
        </w:rPr>
        <w:t>（2）启动</w:t>
      </w:r>
      <w:r>
        <w:rPr>
          <w:rFonts w:hint="eastAsia" w:ascii="仿宋" w:hAnsi="仿宋" w:eastAsia="仿宋" w:cs="仿宋"/>
          <w:sz w:val="24"/>
          <w:szCs w:val="24"/>
          <w:lang w:val="en-US" w:eastAsia="zh-CN"/>
        </w:rPr>
        <w:t>螺柱焊机</w:t>
      </w:r>
      <w:r>
        <w:rPr>
          <w:rFonts w:hint="eastAsia" w:ascii="仿宋" w:hAnsi="仿宋" w:eastAsia="仿宋" w:cs="仿宋"/>
          <w:sz w:val="24"/>
          <w:szCs w:val="24"/>
        </w:rPr>
        <w:t>，</w:t>
      </w:r>
      <w:r>
        <w:rPr>
          <w:rFonts w:hint="eastAsia" w:ascii="仿宋" w:hAnsi="仿宋" w:eastAsia="仿宋" w:cs="仿宋"/>
          <w:sz w:val="24"/>
          <w:szCs w:val="24"/>
          <w:lang w:val="en-US" w:eastAsia="zh-CN"/>
        </w:rPr>
        <w:t>人工装填螺钉后对准指定位置进行焊接，按上述要求重复六次。</w:t>
      </w:r>
    </w:p>
    <w:p w14:paraId="169C60BB">
      <w:pPr>
        <w:pStyle w:val="14"/>
        <w:spacing w:line="360" w:lineRule="auto"/>
        <w:ind w:firstLine="480" w:firstLineChars="200"/>
        <w:outlineLvl w:val="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（3）班前使用扭矩扳手对焊接螺柱进行检验。</w:t>
      </w:r>
    </w:p>
    <w:p w14:paraId="2CDA25E9">
      <w:pPr>
        <w:pStyle w:val="14"/>
        <w:spacing w:line="360" w:lineRule="auto"/>
        <w:outlineLvl w:val="0"/>
        <w:rPr>
          <w:rFonts w:hint="eastAsia" w:ascii="仿宋" w:hAnsi="仿宋" w:eastAsia="仿宋" w:cs="仿宋"/>
          <w:color w:val="auto"/>
          <w:sz w:val="24"/>
          <w:szCs w:val="24"/>
        </w:rPr>
      </w:pPr>
      <w:r>
        <w:rPr>
          <w:rFonts w:hint="eastAsia" w:ascii="仿宋" w:hAnsi="仿宋" w:eastAsia="仿宋" w:cs="仿宋"/>
          <w:color w:val="auto"/>
          <w:sz w:val="24"/>
          <w:szCs w:val="24"/>
        </w:rPr>
        <w:t>2、设备基本要求</w:t>
      </w:r>
    </w:p>
    <w:p w14:paraId="6CA2AB6B">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 螺柱焊机技术要求：</w:t>
      </w:r>
    </w:p>
    <w:p w14:paraId="4A389158">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最大输出功率≥120kVA；</w:t>
      </w:r>
    </w:p>
    <w:p w14:paraId="1DD67211">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焊接电流可调（0-1800A）；</w:t>
      </w:r>
    </w:p>
    <w:p w14:paraId="6678874E">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焊接导电时间可在0-1000ms间调整，调整精度0.1ms，</w:t>
      </w:r>
    </w:p>
    <w:p w14:paraId="0BA28269">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电源要求：380V±10%，50Hz；</w:t>
      </w:r>
    </w:p>
    <w:p w14:paraId="60DCFB82">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可焊接螺柱直径：3-8mm；</w:t>
      </w:r>
    </w:p>
    <w:p w14:paraId="18E22164">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满足桥壳带底漆焊接要求，漆膜厚度约30-50μm；</w:t>
      </w:r>
    </w:p>
    <w:p w14:paraId="03DE573E">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螺柱焊接熔深≥3mm，焊接螺柱测试力矩≥9Nm（螺栓规格M6）；</w:t>
      </w:r>
    </w:p>
    <w:p w14:paraId="3185FC90">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焊接频率15-60个/分钟。</w:t>
      </w:r>
    </w:p>
    <w:p w14:paraId="6DE2BE9A">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 焊枪技术要求</w:t>
      </w:r>
    </w:p>
    <w:p w14:paraId="0546F30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焊枪满足焊接技术要求，可装夹M3-M8各规格螺钉进行焊接且装夹长度可调整，夹嘴采用易导电耐高温材质，夹嘴损耗时可快速更换。焊枪焊接位置增加防飞溅保护，避免焊接时电流过大导致飞溅对操作者造成伤害。</w:t>
      </w:r>
    </w:p>
    <w:p w14:paraId="69F924A6">
      <w:pPr>
        <w:pStyle w:val="14"/>
        <w:spacing w:line="360" w:lineRule="auto"/>
        <w:outlineLvl w:val="0"/>
        <w:rPr>
          <w:rFonts w:hint="eastAsia" w:ascii="仿宋" w:hAnsi="仿宋" w:eastAsia="仿宋" w:cs="仿宋"/>
          <w:sz w:val="24"/>
          <w:szCs w:val="24"/>
        </w:rPr>
      </w:pPr>
      <w:r>
        <w:rPr>
          <w:rFonts w:hint="eastAsia" w:ascii="仿宋" w:hAnsi="仿宋" w:eastAsia="仿宋" w:cs="仿宋"/>
          <w:sz w:val="24"/>
          <w:szCs w:val="24"/>
        </w:rPr>
        <w:t>2.3设备配置要求</w:t>
      </w:r>
    </w:p>
    <w:p w14:paraId="07CEB1B3">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设备</w:t>
      </w:r>
      <w:r>
        <w:rPr>
          <w:rFonts w:hint="eastAsia" w:ascii="仿宋" w:hAnsi="仿宋" w:eastAsia="仿宋" w:cs="仿宋"/>
          <w:sz w:val="24"/>
          <w:szCs w:val="24"/>
        </w:rPr>
        <w:t>设计制造及使用应符合ISO</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5393标准；</w:t>
      </w:r>
    </w:p>
    <w:p w14:paraId="4D202620">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所有零部件和各种仪表的计量单位全部采用国际单位标准（SI）标准；</w:t>
      </w:r>
    </w:p>
    <w:p w14:paraId="6A52AED8">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中标方</w:t>
      </w:r>
      <w:r>
        <w:rPr>
          <w:rFonts w:hint="eastAsia" w:ascii="仿宋" w:hAnsi="仿宋" w:eastAsia="仿宋" w:cs="仿宋"/>
          <w:color w:val="auto"/>
          <w:sz w:val="24"/>
          <w:szCs w:val="24"/>
        </w:rPr>
        <w:t>所提供的产品必须是全新的、同类产品中最先进的可靠的产品；</w:t>
      </w:r>
    </w:p>
    <w:p w14:paraId="4B3F1849">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设备必须考虑作业姿势、使用空间、紧固速度等因素，必须满足</w:t>
      </w:r>
      <w:r>
        <w:rPr>
          <w:rFonts w:hint="eastAsia" w:ascii="仿宋" w:hAnsi="仿宋" w:eastAsia="仿宋" w:cs="仿宋"/>
          <w:sz w:val="24"/>
          <w:szCs w:val="24"/>
          <w:lang w:val="en-US" w:eastAsia="zh-CN"/>
        </w:rPr>
        <w:t>工艺</w:t>
      </w:r>
      <w:r>
        <w:rPr>
          <w:rFonts w:hint="eastAsia" w:ascii="仿宋" w:hAnsi="仿宋" w:eastAsia="仿宋" w:cs="仿宋"/>
          <w:sz w:val="24"/>
          <w:szCs w:val="24"/>
        </w:rPr>
        <w:t>生产节拍</w:t>
      </w:r>
      <w:r>
        <w:rPr>
          <w:rFonts w:hint="eastAsia" w:ascii="仿宋" w:hAnsi="仿宋" w:eastAsia="仿宋" w:cs="仿宋"/>
          <w:sz w:val="24"/>
          <w:szCs w:val="24"/>
          <w:lang w:eastAsia="zh-CN"/>
        </w:rPr>
        <w:t>；</w:t>
      </w:r>
    </w:p>
    <w:p w14:paraId="49A4FD35">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设备使用过程中存在防飞溅保护，避免造成人员伤害；</w:t>
      </w:r>
    </w:p>
    <w:p w14:paraId="32E6C8C7">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所选设备操作界面及附属软件、说明书等为中文；</w:t>
      </w:r>
    </w:p>
    <w:p w14:paraId="605885C5">
      <w:pPr>
        <w:pStyle w:val="14"/>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投标人应提供设备的第三方检定校准报告，检定费用应由投标人自行承担。</w:t>
      </w:r>
    </w:p>
    <w:p w14:paraId="7183E927">
      <w:pPr>
        <w:pStyle w:val="14"/>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2.4 </w:t>
      </w:r>
      <w:r>
        <w:rPr>
          <w:rFonts w:hint="eastAsia" w:ascii="仿宋" w:hAnsi="仿宋" w:eastAsia="仿宋" w:cs="仿宋"/>
          <w:color w:val="auto"/>
          <w:sz w:val="24"/>
          <w:szCs w:val="24"/>
        </w:rPr>
        <w:t>维护保养要求</w:t>
      </w:r>
    </w:p>
    <w:p w14:paraId="572D1868">
      <w:pPr>
        <w:pStyle w:val="14"/>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工具首次标定由投标方找国家认可的第三方检测机构标定，</w:t>
      </w:r>
      <w:r>
        <w:rPr>
          <w:rFonts w:hint="eastAsia" w:ascii="仿宋" w:hAnsi="仿宋" w:eastAsia="仿宋" w:cs="仿宋"/>
          <w:b w:val="0"/>
          <w:bCs w:val="0"/>
          <w:color w:val="auto"/>
          <w:sz w:val="24"/>
          <w:szCs w:val="24"/>
          <w:lang w:val="en-US" w:eastAsia="zh-CN"/>
        </w:rPr>
        <w:t>并</w:t>
      </w:r>
      <w:r>
        <w:rPr>
          <w:rFonts w:hint="eastAsia" w:ascii="仿宋" w:hAnsi="仿宋" w:eastAsia="仿宋" w:cs="仿宋"/>
          <w:b w:val="0"/>
          <w:bCs w:val="0"/>
          <w:color w:val="auto"/>
          <w:sz w:val="24"/>
          <w:szCs w:val="24"/>
        </w:rPr>
        <w:t>提供检定校准报告；</w:t>
      </w:r>
    </w:p>
    <w:p w14:paraId="5B866FA4">
      <w:pPr>
        <w:pStyle w:val="14"/>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工具维保：验收前对设备免费保养和备件更换；验收后质保期内一年内提供免费维保；</w:t>
      </w:r>
      <w:r>
        <w:rPr>
          <w:rFonts w:hint="eastAsia" w:ascii="仿宋" w:hAnsi="仿宋" w:eastAsia="仿宋" w:cs="仿宋"/>
          <w:b w:val="0"/>
          <w:bCs w:val="0"/>
          <w:color w:val="auto"/>
          <w:sz w:val="24"/>
          <w:szCs w:val="24"/>
          <w:lang w:val="en-US" w:eastAsia="zh-CN"/>
        </w:rPr>
        <w:t>工具维修保养次数根据工具的使用频次确定，一年质保期到期前，应免费进行批量维护保养；</w:t>
      </w:r>
    </w:p>
    <w:p w14:paraId="60BB396B">
      <w:pPr>
        <w:pStyle w:val="14"/>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工具保养：明确质保期到期后5年内工具的维保价格；</w:t>
      </w:r>
    </w:p>
    <w:p w14:paraId="027D3780">
      <w:pPr>
        <w:pStyle w:val="14"/>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备件价格：承诺维修备件零整比不大于2（单件备件价格不超过整机50%），并提供易损备件明细及价格用于后续5年内备件定价；</w:t>
      </w:r>
    </w:p>
    <w:p w14:paraId="3E4EFBE7">
      <w:pPr>
        <w:pStyle w:val="14"/>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sz w:val="24"/>
          <w:szCs w:val="24"/>
          <w:highlight w:val="yellow"/>
        </w:rPr>
      </w:pPr>
      <w:r>
        <w:rPr>
          <w:rFonts w:hint="eastAsia" w:ascii="仿宋" w:hAnsi="仿宋" w:eastAsia="仿宋" w:cs="仿宋"/>
          <w:b w:val="0"/>
          <w:bCs w:val="0"/>
          <w:color w:val="auto"/>
          <w:sz w:val="24"/>
          <w:szCs w:val="24"/>
        </w:rPr>
        <w:t>投标方需对招标方人员工装、设备、工具的基本结构、工作原理、操作内容（常见故障及排除方法）进行专项培训；</w:t>
      </w:r>
    </w:p>
    <w:p w14:paraId="3F6FCC12">
      <w:pPr>
        <w:pStyle w:val="14"/>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sz w:val="24"/>
          <w:szCs w:val="24"/>
          <w:highlight w:val="yellow"/>
        </w:rPr>
      </w:pPr>
      <w:r>
        <w:rPr>
          <w:rFonts w:hint="eastAsia" w:ascii="仿宋" w:hAnsi="仿宋" w:eastAsia="仿宋" w:cs="仿宋"/>
          <w:b w:val="0"/>
          <w:bCs w:val="0"/>
          <w:color w:val="auto"/>
          <w:sz w:val="24"/>
          <w:szCs w:val="24"/>
        </w:rPr>
        <w:t>投标方需对招标方人员涉及的工具维修、保养、性能标定项目和要求进行专项培训</w:t>
      </w:r>
      <w:r>
        <w:rPr>
          <w:rFonts w:hint="eastAsia" w:ascii="仿宋" w:hAnsi="仿宋" w:eastAsia="仿宋" w:cs="仿宋"/>
          <w:b w:val="0"/>
          <w:bCs w:val="0"/>
          <w:color w:val="auto"/>
          <w:sz w:val="24"/>
          <w:szCs w:val="24"/>
          <w:lang w:eastAsia="zh-CN"/>
        </w:rPr>
        <w:t>；</w:t>
      </w:r>
    </w:p>
    <w:p w14:paraId="17606596">
      <w:pPr>
        <w:pStyle w:val="14"/>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sz w:val="24"/>
          <w:szCs w:val="24"/>
          <w:highlight w:val="yellow"/>
        </w:rPr>
      </w:pPr>
      <w:r>
        <w:rPr>
          <w:rFonts w:hint="eastAsia" w:ascii="仿宋" w:hAnsi="仿宋" w:eastAsia="仿宋" w:cs="仿宋"/>
          <w:b w:val="0"/>
          <w:bCs w:val="0"/>
          <w:color w:val="auto"/>
          <w:sz w:val="24"/>
          <w:szCs w:val="24"/>
        </w:rPr>
        <w:t>维修维保响应：</w:t>
      </w:r>
      <w:r>
        <w:rPr>
          <w:rFonts w:hint="eastAsia" w:ascii="仿宋" w:hAnsi="仿宋" w:eastAsia="仿宋" w:cs="仿宋"/>
          <w:b w:val="0"/>
          <w:bCs w:val="0"/>
          <w:color w:val="auto"/>
          <w:sz w:val="24"/>
          <w:szCs w:val="24"/>
          <w:lang w:val="en-US" w:eastAsia="zh-CN"/>
        </w:rPr>
        <w:t>建议维修维保响应时间为一周，特殊情况需说明</w:t>
      </w:r>
      <w:r>
        <w:rPr>
          <w:rFonts w:hint="eastAsia" w:ascii="仿宋" w:hAnsi="仿宋" w:eastAsia="仿宋" w:cs="仿宋"/>
          <w:b w:val="0"/>
          <w:bCs w:val="0"/>
          <w:color w:val="auto"/>
          <w:sz w:val="24"/>
          <w:szCs w:val="24"/>
          <w:lang w:eastAsia="zh-CN"/>
        </w:rPr>
        <w:t>。</w:t>
      </w:r>
    </w:p>
    <w:p w14:paraId="2A8A37FB">
      <w:pPr>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3、安全及环保要求</w:t>
      </w:r>
    </w:p>
    <w:p w14:paraId="1106C3A9">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1投标方所供的货物（或生产线），必须符合中国最新版的安全</w:t>
      </w:r>
      <w:r>
        <w:rPr>
          <w:rFonts w:hint="eastAsia" w:ascii="仿宋" w:hAnsi="仿宋" w:eastAsia="仿宋" w:cs="仿宋"/>
          <w:b w:val="0"/>
          <w:bCs w:val="0"/>
          <w:color w:val="auto"/>
          <w:sz w:val="24"/>
          <w:szCs w:val="24"/>
          <w:highlight w:val="none"/>
          <w:lang w:eastAsia="zh-CN"/>
        </w:rPr>
        <w:t>、环保、消防及职业健康的</w:t>
      </w:r>
      <w:r>
        <w:rPr>
          <w:rFonts w:hint="eastAsia" w:ascii="仿宋" w:hAnsi="仿宋" w:eastAsia="仿宋" w:cs="仿宋"/>
          <w:b w:val="0"/>
          <w:bCs w:val="0"/>
          <w:color w:val="auto"/>
          <w:sz w:val="24"/>
          <w:szCs w:val="24"/>
          <w:highlight w:val="none"/>
        </w:rPr>
        <w:t>法律、法规要求，符合行业安全标准及项目所在地政府有关特殊要求。</w:t>
      </w:r>
    </w:p>
    <w:p w14:paraId="578B5AFC">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.2 货物（或生产线）应完整且所有的零部件应该安装安全、牢固，外观无损伤，所有的焊缝饱满、无残渣等缺陷且符合国家及行业相关标准。</w:t>
      </w:r>
    </w:p>
    <w:p w14:paraId="4A67E164">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.3 对生产线存在安全</w:t>
      </w:r>
      <w:r>
        <w:rPr>
          <w:rFonts w:hint="eastAsia" w:ascii="仿宋" w:hAnsi="仿宋" w:eastAsia="仿宋" w:cs="仿宋"/>
          <w:b w:val="0"/>
          <w:bCs w:val="0"/>
          <w:color w:val="auto"/>
          <w:sz w:val="24"/>
          <w:szCs w:val="24"/>
          <w:highlight w:val="none"/>
          <w:lang w:val="en-US" w:eastAsia="zh-CN"/>
        </w:rPr>
        <w:t>风险</w:t>
      </w:r>
      <w:r>
        <w:rPr>
          <w:rFonts w:hint="eastAsia" w:ascii="仿宋" w:hAnsi="仿宋" w:eastAsia="仿宋" w:cs="仿宋"/>
          <w:b w:val="0"/>
          <w:bCs w:val="0"/>
          <w:color w:val="auto"/>
          <w:sz w:val="24"/>
          <w:szCs w:val="24"/>
          <w:highlight w:val="none"/>
        </w:rPr>
        <w:t>的工位必须采取安全措施，如：线体防护板、高温防护、光栅等。</w:t>
      </w:r>
    </w:p>
    <w:p w14:paraId="61D58442">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.4 从安全生产的角度考虑各单元及工位应设有急停按钮，并有明显标识。设置位置在物料入口以及出口位置:需要对机器进行干预的位置，例如有保持一运行控制装置的工位;所有设计为人机交互的位置(如装料/卸料区),急停开关必须为红色，且有清晰的标签；按钮操作应灵活、可靠、无卡阻。</w:t>
      </w:r>
    </w:p>
    <w:p w14:paraId="6C64D973">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.5 单元操作面板上有上电按钮和急停按钮，上电后可对系统进行操作。</w:t>
      </w:r>
    </w:p>
    <w:p w14:paraId="44E7C6D0">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.6 所有电气安装和施工均应符合我国现行行业标准（规范）</w:t>
      </w:r>
      <w:r>
        <w:rPr>
          <w:rFonts w:hint="eastAsia" w:ascii="仿宋" w:hAnsi="仿宋" w:eastAsia="仿宋" w:cs="仿宋"/>
          <w:b w:val="0"/>
          <w:bCs w:val="0"/>
          <w:color w:val="auto"/>
          <w:sz w:val="24"/>
          <w:szCs w:val="24"/>
          <w:highlight w:val="none"/>
          <w:lang w:eastAsia="zh-CN"/>
        </w:rPr>
        <w:t>，电器柜需张贴当心触电警示标识</w:t>
      </w:r>
      <w:r>
        <w:rPr>
          <w:rFonts w:hint="eastAsia" w:ascii="仿宋" w:hAnsi="仿宋" w:eastAsia="仿宋" w:cs="仿宋"/>
          <w:b w:val="0"/>
          <w:bCs w:val="0"/>
          <w:color w:val="auto"/>
          <w:sz w:val="24"/>
          <w:szCs w:val="24"/>
          <w:highlight w:val="none"/>
        </w:rPr>
        <w:t>。</w:t>
      </w:r>
    </w:p>
    <w:p w14:paraId="4D3133AE">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.7 投标方必须提供所供设备相应的安全操作规程和安全事项的说明书，危险化学品“一书一签”；负责对招标方相关人员开展“四新”安全培训。</w:t>
      </w:r>
    </w:p>
    <w:p w14:paraId="179BF0A9">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.8货物（或生产线）应运行稳定、可靠、安全，无非正常变形，非正常振动，无异常声音；无漏水、漏液、漏气（汽）、漏电等现象。</w:t>
      </w:r>
    </w:p>
    <w:p w14:paraId="4153A4B4">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.9 所有的管路和线缆等，接头应完全正确、可靠地联接；应排列有序（正确、牢固、整齐），有必要的防护，无皱褶、收缩和裂缝等不良现象。</w:t>
      </w:r>
    </w:p>
    <w:p w14:paraId="706E131E">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.10地线联接和地极符合国际（ISO/IEC）标准规范</w:t>
      </w:r>
      <w:r>
        <w:rPr>
          <w:rFonts w:hint="eastAsia" w:ascii="仿宋" w:hAnsi="仿宋" w:eastAsia="仿宋" w:cs="仿宋"/>
          <w:b w:val="0"/>
          <w:bCs w:val="0"/>
          <w:color w:val="auto"/>
          <w:sz w:val="24"/>
          <w:szCs w:val="24"/>
          <w:highlight w:val="none"/>
          <w:lang w:eastAsia="zh-CN"/>
        </w:rPr>
        <w:t>，电器柜需张贴当心触电警示标识</w:t>
      </w:r>
      <w:r>
        <w:rPr>
          <w:rFonts w:hint="eastAsia" w:ascii="仿宋" w:hAnsi="仿宋" w:eastAsia="仿宋" w:cs="仿宋"/>
          <w:b w:val="0"/>
          <w:bCs w:val="0"/>
          <w:color w:val="auto"/>
          <w:sz w:val="24"/>
          <w:szCs w:val="24"/>
          <w:highlight w:val="none"/>
        </w:rPr>
        <w:t>。</w:t>
      </w:r>
    </w:p>
    <w:p w14:paraId="37669CD9">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.11货物（或生产线）正常运行时，噪声等环境影响因素满足国家（《工作场所物理因素测量噪声》GBZ/T 189.8-2007. 噪音≤80dB(A)（距设备一米处测量））和当地环保主管部门规定</w:t>
      </w:r>
      <w:r>
        <w:rPr>
          <w:rFonts w:hint="eastAsia" w:ascii="仿宋" w:hAnsi="仿宋" w:eastAsia="仿宋" w:cs="仿宋"/>
          <w:b w:val="0"/>
          <w:bCs w:val="0"/>
          <w:color w:val="auto"/>
          <w:sz w:val="24"/>
          <w:szCs w:val="24"/>
          <w:highlight w:val="none"/>
          <w:lang w:eastAsia="zh-CN"/>
        </w:rPr>
        <w:t>。</w:t>
      </w:r>
    </w:p>
    <w:p w14:paraId="22523222">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验收时，投标方须提供由第三方监测机构出具的噪音合格监测报告。</w:t>
      </w:r>
      <w:r>
        <w:rPr>
          <w:rFonts w:hint="eastAsia" w:ascii="仿宋" w:hAnsi="仿宋" w:eastAsia="仿宋" w:cs="仿宋"/>
          <w:b w:val="0"/>
          <w:bCs w:val="0"/>
          <w:color w:val="auto"/>
          <w:sz w:val="24"/>
          <w:szCs w:val="24"/>
          <w:highlight w:val="none"/>
          <w:lang w:val="en-US" w:eastAsia="zh-CN"/>
        </w:rPr>
        <w:t>监测机构具备监测资质，且招标方认可。</w:t>
      </w:r>
    </w:p>
    <w:p w14:paraId="561017C7">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.12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47ED7A6A">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.13 涉及需要进行环保、职业卫生强制检测的项目（设备、设施），应由中标方提供权威第三方检测机构出具的完工检测报告。</w:t>
      </w:r>
    </w:p>
    <w:p w14:paraId="6CAA4543">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.14 特种设备应提供济南市特种设备检验研究院出具的首次检验报告，招标方协助中标方办理相关注册登记手续。</w:t>
      </w:r>
    </w:p>
    <w:p w14:paraId="1B5AA56F">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.15机器人作业区域安全防护。</w:t>
      </w:r>
      <w:r>
        <w:rPr>
          <w:rFonts w:hint="eastAsia" w:ascii="仿宋" w:hAnsi="仿宋" w:eastAsia="仿宋" w:cs="仿宋"/>
          <w:b w:val="0"/>
          <w:bCs w:val="0"/>
          <w:color w:val="auto"/>
          <w:sz w:val="24"/>
          <w:szCs w:val="24"/>
          <w:highlight w:val="none"/>
          <w:lang w:val="en-US" w:eastAsia="zh-CN"/>
        </w:rPr>
        <w:t>机器人作业区域需安装</w:t>
      </w:r>
      <w:r>
        <w:rPr>
          <w:rFonts w:hint="eastAsia" w:ascii="仿宋" w:hAnsi="仿宋" w:eastAsia="仿宋" w:cs="仿宋"/>
          <w:b w:val="0"/>
          <w:bCs w:val="0"/>
          <w:color w:val="auto"/>
          <w:sz w:val="24"/>
          <w:szCs w:val="24"/>
          <w:highlight w:val="none"/>
        </w:rPr>
        <w:t>安全防护</w:t>
      </w:r>
      <w:r>
        <w:rPr>
          <w:rFonts w:hint="eastAsia" w:ascii="仿宋" w:hAnsi="仿宋" w:eastAsia="仿宋" w:cs="仿宋"/>
          <w:b w:val="0"/>
          <w:bCs w:val="0"/>
          <w:color w:val="auto"/>
          <w:sz w:val="24"/>
          <w:szCs w:val="24"/>
          <w:highlight w:val="none"/>
          <w:lang w:val="en-US" w:eastAsia="zh-CN"/>
        </w:rPr>
        <w:t>隔离，安全防护隔离</w:t>
      </w:r>
      <w:r>
        <w:rPr>
          <w:rFonts w:hint="eastAsia" w:ascii="仿宋" w:hAnsi="仿宋" w:eastAsia="仿宋" w:cs="仿宋"/>
          <w:b w:val="0"/>
          <w:bCs w:val="0"/>
          <w:color w:val="auto"/>
          <w:sz w:val="24"/>
          <w:szCs w:val="24"/>
          <w:highlight w:val="none"/>
        </w:rPr>
        <w:t>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14:paraId="09C41372">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16</w:t>
      </w:r>
      <w:r>
        <w:rPr>
          <w:rFonts w:hint="eastAsia" w:ascii="仿宋" w:hAnsi="仿宋" w:eastAsia="仿宋" w:cs="仿宋"/>
          <w:b w:val="0"/>
          <w:bCs w:val="0"/>
          <w:color w:val="auto"/>
          <w:sz w:val="24"/>
          <w:szCs w:val="24"/>
          <w:highlight w:val="none"/>
        </w:rPr>
        <w:t>投标方所投货物外观颜色标准按招标方提供的标准《Q/ZZ 30070—2020》或双方书面约定的标准执行。</w:t>
      </w:r>
    </w:p>
    <w:p w14:paraId="1AA8BF65">
      <w:pPr>
        <w:pStyle w:val="11"/>
        <w:rPr>
          <w:rFonts w:hint="default" w:ascii="仿宋" w:hAnsi="仿宋" w:eastAsia="仿宋" w:cs="仿宋"/>
          <w:sz w:val="24"/>
          <w:szCs w:val="24"/>
          <w:lang w:val="en-US" w:eastAsia="zh-CN"/>
        </w:rPr>
      </w:pPr>
    </w:p>
    <w:p w14:paraId="2C3F4346">
      <w:pPr>
        <w:spacing w:line="360" w:lineRule="auto"/>
        <w:jc w:val="left"/>
        <w:outlineLvl w:val="1"/>
        <w:rPr>
          <w:rFonts w:hint="eastAsia" w:ascii="仿宋" w:hAnsi="仿宋" w:eastAsia="仿宋" w:cs="仿宋"/>
          <w:b/>
          <w:bCs/>
          <w:sz w:val="24"/>
          <w:szCs w:val="24"/>
        </w:rPr>
      </w:pPr>
      <w:r>
        <w:rPr>
          <w:rFonts w:hint="eastAsia" w:ascii="仿宋" w:hAnsi="仿宋" w:eastAsia="仿宋" w:cs="仿宋"/>
          <w:b/>
          <w:bCs/>
          <w:sz w:val="24"/>
          <w:szCs w:val="24"/>
        </w:rPr>
        <w:t>三、特别提示</w:t>
      </w:r>
      <w:bookmarkEnd w:id="63"/>
      <w:bookmarkEnd w:id="64"/>
    </w:p>
    <w:p w14:paraId="7A2DB02B">
      <w:pPr>
        <w:pStyle w:val="12"/>
        <w:spacing w:line="360" w:lineRule="auto"/>
        <w:ind w:left="0" w:leftChars="0" w:firstLine="480" w:firstLineChars="200"/>
        <w:jc w:val="left"/>
        <w:rPr>
          <w:rFonts w:hint="eastAsia" w:ascii="仿宋" w:hAnsi="仿宋" w:eastAsia="仿宋" w:cs="仿宋"/>
          <w:sz w:val="24"/>
          <w:szCs w:val="24"/>
        </w:rPr>
      </w:pPr>
      <w:r>
        <w:rPr>
          <w:rFonts w:hint="eastAsia" w:ascii="仿宋" w:hAnsi="仿宋" w:eastAsia="仿宋" w:cs="仿宋"/>
          <w:sz w:val="24"/>
          <w:szCs w:val="24"/>
        </w:rPr>
        <w:t>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3C4C015C">
      <w:pPr>
        <w:pStyle w:val="12"/>
        <w:spacing w:line="360" w:lineRule="auto"/>
        <w:ind w:left="0" w:leftChars="0" w:firstLine="480" w:firstLineChars="200"/>
        <w:jc w:val="left"/>
        <w:rPr>
          <w:rFonts w:hint="eastAsia" w:ascii="仿宋" w:hAnsi="仿宋" w:eastAsia="仿宋" w:cs="仿宋"/>
          <w:sz w:val="24"/>
          <w:szCs w:val="24"/>
        </w:rPr>
      </w:pPr>
      <w:r>
        <w:rPr>
          <w:rFonts w:hint="eastAsia" w:ascii="仿宋" w:hAnsi="仿宋" w:eastAsia="仿宋" w:cs="仿宋"/>
          <w:sz w:val="24"/>
          <w:szCs w:val="24"/>
        </w:rPr>
        <w:t>2、本技术要求所使用的标准、规范等，如与投标方所执行的标准、规范不一致时，应按高于本技术要求所列的标准、规范执行，并在投标文件“技术偏离”中予以说明。</w:t>
      </w:r>
    </w:p>
    <w:p w14:paraId="6924D0F6">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3、投标方认为所供货物（或生产线）必需由招标方配备、解决或提供的其它要求，如设备基础隔振和减振设施、软化水、洁净气源等，均应在投标文件“技术偏离”中予以充分说明。</w:t>
      </w:r>
    </w:p>
    <w:p w14:paraId="2BF85446">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4、投标文件中，针对“特别提示”条款所做的回应，将作为投标方能否中标的重要依据</w:t>
      </w:r>
      <w:bookmarkEnd w:id="21"/>
      <w:r>
        <w:rPr>
          <w:rFonts w:hint="eastAsia" w:ascii="仿宋" w:hAnsi="仿宋" w:eastAsia="仿宋" w:cs="仿宋"/>
          <w:sz w:val="24"/>
          <w:szCs w:val="24"/>
        </w:rPr>
        <w:t>。</w:t>
      </w:r>
    </w:p>
    <w:p w14:paraId="1FD4144C">
      <w:pPr>
        <w:spacing w:line="360" w:lineRule="auto"/>
        <w:ind w:firstLine="2650" w:firstLineChars="1100"/>
        <w:outlineLvl w:val="0"/>
        <w:rPr>
          <w:rFonts w:hint="eastAsia" w:ascii="仿宋" w:hAnsi="仿宋" w:eastAsia="仿宋" w:cs="仿宋"/>
          <w:b/>
          <w:sz w:val="24"/>
          <w:szCs w:val="24"/>
        </w:rPr>
      </w:pPr>
      <w:bookmarkStart w:id="65" w:name="_Toc25412"/>
      <w:bookmarkStart w:id="66" w:name="_Toc29724"/>
      <w:bookmarkStart w:id="67" w:name="_Toc31489"/>
      <w:bookmarkStart w:id="68" w:name="_Toc28983"/>
      <w:r>
        <w:rPr>
          <w:rFonts w:hint="eastAsia" w:ascii="仿宋" w:hAnsi="仿宋" w:eastAsia="仿宋" w:cs="仿宋"/>
          <w:b/>
          <w:sz w:val="24"/>
          <w:szCs w:val="24"/>
        </w:rPr>
        <w:t>第三章  供货范围及供货方式</w:t>
      </w:r>
      <w:bookmarkEnd w:id="65"/>
      <w:bookmarkEnd w:id="66"/>
      <w:bookmarkEnd w:id="67"/>
      <w:bookmarkEnd w:id="68"/>
    </w:p>
    <w:p w14:paraId="7935BD6E">
      <w:pPr>
        <w:pStyle w:val="3"/>
        <w:spacing w:before="120" w:after="120" w:line="360" w:lineRule="auto"/>
        <w:jc w:val="center"/>
        <w:rPr>
          <w:rFonts w:hint="eastAsia" w:ascii="仿宋" w:hAnsi="仿宋" w:eastAsia="仿宋" w:cs="仿宋"/>
          <w:b w:val="0"/>
          <w:sz w:val="24"/>
          <w:szCs w:val="24"/>
        </w:rPr>
      </w:pPr>
      <w:bookmarkStart w:id="69" w:name="_Toc2181"/>
      <w:bookmarkStart w:id="70" w:name="_Toc31880"/>
      <w:bookmarkStart w:id="71" w:name="_Toc133783971"/>
      <w:bookmarkStart w:id="72" w:name="_Toc15242"/>
      <w:bookmarkStart w:id="73" w:name="_Toc403466187"/>
      <w:bookmarkStart w:id="74" w:name="_Toc20545"/>
      <w:r>
        <w:rPr>
          <w:rFonts w:hint="eastAsia" w:ascii="仿宋" w:hAnsi="仿宋" w:eastAsia="仿宋" w:cs="仿宋"/>
          <w:b w:val="0"/>
          <w:sz w:val="24"/>
          <w:szCs w:val="24"/>
        </w:rPr>
        <w:t>第一节  供货范围</w:t>
      </w:r>
      <w:bookmarkEnd w:id="69"/>
      <w:bookmarkEnd w:id="70"/>
      <w:bookmarkEnd w:id="71"/>
      <w:bookmarkEnd w:id="72"/>
      <w:bookmarkEnd w:id="73"/>
      <w:bookmarkEnd w:id="74"/>
    </w:p>
    <w:p w14:paraId="4C267A57">
      <w:pPr>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1  主要供货范围</w:t>
      </w:r>
    </w:p>
    <w:p w14:paraId="3D14484D">
      <w:pPr>
        <w:pStyle w:val="26"/>
        <w:snapToGrid w:val="0"/>
        <w:spacing w:line="360" w:lineRule="auto"/>
        <w:ind w:left="6" w:firstLine="474"/>
        <w:rPr>
          <w:rFonts w:hint="eastAsia" w:ascii="仿宋" w:hAnsi="仿宋" w:eastAsia="仿宋" w:cs="仿宋"/>
        </w:rPr>
      </w:pPr>
      <w:r>
        <w:rPr>
          <w:rFonts w:hint="eastAsia" w:ascii="仿宋" w:hAnsi="仿宋" w:eastAsia="仿宋" w:cs="仿宋"/>
          <w:szCs w:val="24"/>
        </w:rPr>
        <w:t xml:space="preserve">  </w:t>
      </w:r>
      <w:r>
        <w:rPr>
          <w:rFonts w:hint="eastAsia" w:ascii="仿宋" w:hAnsi="仿宋" w:eastAsia="仿宋" w:cs="仿宋"/>
          <w:kern w:val="0"/>
          <w:szCs w:val="24"/>
          <w:lang w:bidi="ar"/>
        </w:rPr>
        <w:t>1.1招标方只提供所需厂房、货物（或生产线）的</w:t>
      </w:r>
      <w:r>
        <w:rPr>
          <w:rFonts w:hint="eastAsia" w:ascii="仿宋" w:hAnsi="仿宋" w:eastAsia="仿宋" w:cs="仿宋"/>
          <w:kern w:val="0"/>
          <w:szCs w:val="24"/>
          <w:lang w:val="en-US" w:eastAsia="zh-CN" w:bidi="ar"/>
        </w:rPr>
        <w:t>测试</w:t>
      </w:r>
      <w:r>
        <w:rPr>
          <w:rFonts w:hint="eastAsia" w:ascii="仿宋" w:hAnsi="仿宋" w:eastAsia="仿宋" w:cs="仿宋"/>
          <w:kern w:val="0"/>
          <w:szCs w:val="24"/>
          <w:lang w:bidi="ar"/>
        </w:rPr>
        <w:t>基础。</w:t>
      </w:r>
    </w:p>
    <w:p w14:paraId="1858857F">
      <w:pPr>
        <w:pStyle w:val="26"/>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1.2招标方只负责提供符合本技术标书中“采购货物概况”和“使用环境”章节所列明品质的电力、自来水、压缩空气、蒸汽、天然气（或煤气）管线至系统接口。如，供电至系统电力接口的接线端，水、气、汽等供至系统联接法兰外端（不含联接所需螺栓等紧固件和其它必需配件）。</w:t>
      </w:r>
    </w:p>
    <w:p w14:paraId="14B561EC">
      <w:pPr>
        <w:pStyle w:val="26"/>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1.3投标方应提供包括货物（或生产线）正常运行所必需的全套连线设备、材料等；如：联接法兰外端面（含联接螺栓）之内的、电气系统接口压线板（插座等）之内的设备、材料等；</w:t>
      </w:r>
    </w:p>
    <w:p w14:paraId="6BE3195F">
      <w:pPr>
        <w:pStyle w:val="26"/>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59661EF9">
      <w:pPr>
        <w:pStyle w:val="26"/>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1.5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59FEB247">
      <w:pPr>
        <w:pStyle w:val="26"/>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1.6投标方应提供包括为保证货物（或生产线）自身正常运行所必需的、适应使用地点条件的通风、冷却、降温系统等。</w:t>
      </w:r>
    </w:p>
    <w:p w14:paraId="4DDE2AAE">
      <w:pPr>
        <w:pStyle w:val="26"/>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067E2D11">
      <w:pPr>
        <w:pStyle w:val="26"/>
        <w:snapToGrid w:val="0"/>
        <w:spacing w:line="360" w:lineRule="auto"/>
        <w:ind w:left="6" w:firstLine="474"/>
      </w:pPr>
      <w:r>
        <w:rPr>
          <w:rFonts w:hint="eastAsia" w:ascii="仿宋" w:hAnsi="仿宋" w:eastAsia="仿宋" w:cs="仿宋"/>
          <w:szCs w:val="24"/>
          <w:lang w:bidi="ar"/>
        </w:rPr>
        <w:t>1.8投标方应提供货物（或生产线）维修所必需的专用工具，并在投标报价部分说明数量。</w:t>
      </w:r>
    </w:p>
    <w:p w14:paraId="5AC239ED">
      <w:pPr>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2  备品备件、易损件和专用耗材供货范围</w:t>
      </w:r>
    </w:p>
    <w:p w14:paraId="0DA5D59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  招标方招标文件所指备品备件、易损件和专用耗材，是招标方为保证设备质保期之后正常运行一年所自备自用的备品备件、易损件和专用耗材。</w:t>
      </w:r>
    </w:p>
    <w:p w14:paraId="3F1145F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  投标方按照招标文件要求提供、或投标方认为招标方应当储备的备品备件、易损件和专用耗材，投标方应当在投标报价部分分别说明所列备品备件、易损件和专用耗材的使用时间。</w:t>
      </w:r>
    </w:p>
    <w:p w14:paraId="0423BDA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2.3  投标方应提供易损件和专用耗材的制造图纸及其技术要求等资料。</w:t>
      </w:r>
    </w:p>
    <w:p w14:paraId="3E5EA02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  投标文件中，应当有备品备件、易损件和专用耗材的详细清单（内容包括名称、型号、规格、单位、数量、生产厂家、单价、总价等）。机床和机器人的主要参数、配置表、关键件和进口外购明细表、随机附明细表、技术文件明细表等。</w:t>
      </w:r>
    </w:p>
    <w:p w14:paraId="2296904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  备品备件、易损件和专用耗材的费用应分类单列，并计入投标总报价之内。</w:t>
      </w:r>
    </w:p>
    <w:p w14:paraId="46977BBC">
      <w:pPr>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3  技术资料供货范围</w:t>
      </w:r>
    </w:p>
    <w:p w14:paraId="142C92F5">
      <w:pPr>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3.1  投标方须负责在</w:t>
      </w:r>
      <w:r>
        <w:rPr>
          <w:rFonts w:hint="eastAsia" w:ascii="仿宋" w:hAnsi="仿宋" w:eastAsia="仿宋" w:cs="仿宋"/>
          <w:bCs/>
          <w:sz w:val="24"/>
          <w:szCs w:val="24"/>
        </w:rPr>
        <w:t>合同签订后</w:t>
      </w:r>
      <w:r>
        <w:rPr>
          <w:rFonts w:hint="eastAsia" w:ascii="仿宋" w:hAnsi="仿宋" w:eastAsia="仿宋" w:cs="仿宋"/>
          <w:bCs/>
          <w:sz w:val="24"/>
          <w:szCs w:val="24"/>
          <w:u w:val="single"/>
          <w:shd w:val="pct10" w:color="auto" w:fill="FFFFFF"/>
        </w:rPr>
        <w:t xml:space="preserve">  15  </w:t>
      </w:r>
      <w:r>
        <w:rPr>
          <w:rFonts w:hint="eastAsia" w:ascii="仿宋" w:hAnsi="仿宋" w:eastAsia="仿宋" w:cs="仿宋"/>
          <w:bCs/>
          <w:sz w:val="24"/>
          <w:szCs w:val="24"/>
        </w:rPr>
        <w:t>个日历日内，提供设备基础及相关的设计、制作所需的纸质及电子版资料；电子版文件应当能够使用常用版本软件可以阅读甚至使用，进口货物、设备应有中外文对照。</w:t>
      </w:r>
    </w:p>
    <w:p w14:paraId="07F15264">
      <w:pPr>
        <w:spacing w:line="360" w:lineRule="auto"/>
        <w:ind w:firstLine="480" w:firstLineChars="200"/>
        <w:rPr>
          <w:rFonts w:hint="eastAsia" w:ascii="仿宋" w:hAnsi="仿宋" w:eastAsia="仿宋" w:cs="仿宋"/>
          <w:sz w:val="24"/>
          <w:szCs w:val="24"/>
        </w:rPr>
      </w:pPr>
      <w:r>
        <w:rPr>
          <w:rFonts w:hint="eastAsia" w:ascii="仿宋" w:hAnsi="仿宋" w:eastAsia="仿宋" w:cs="仿宋"/>
          <w:bCs/>
          <w:sz w:val="24"/>
          <w:szCs w:val="24"/>
        </w:rPr>
        <w:t>3.2  投标方应同时提出</w:t>
      </w:r>
      <w:r>
        <w:rPr>
          <w:rFonts w:hint="eastAsia" w:ascii="仿宋" w:hAnsi="仿宋" w:eastAsia="仿宋" w:cs="仿宋"/>
          <w:sz w:val="24"/>
          <w:szCs w:val="24"/>
        </w:rPr>
        <w:t>对厂房、基础、公用设施、消防、环保等超出招标文件、投标文件、答疑文件、技术交流文件、技术协议书和合同等规定的、有特殊需要的解释、说明和要求。</w:t>
      </w:r>
    </w:p>
    <w:p w14:paraId="4D3DA18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  投标方须负责在预验收前，</w:t>
      </w:r>
      <w:r>
        <w:rPr>
          <w:rFonts w:hint="eastAsia" w:ascii="仿宋" w:hAnsi="仿宋" w:eastAsia="仿宋" w:cs="仿宋"/>
          <w:bCs/>
          <w:sz w:val="24"/>
          <w:szCs w:val="24"/>
        </w:rPr>
        <w:t>提供设备各部分的功能描述文件、图片、影像等资料（进口设备应有中外文对照）。</w:t>
      </w:r>
    </w:p>
    <w:p w14:paraId="43E9E6D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3.4  投标方须负责在终验收前，提供招标方为保证设备正常运行所需后续自制的工装、吊（挂）具明细及其图纸、具体技术要求等资料（如果供货范围包含该部分实物）。</w:t>
      </w:r>
    </w:p>
    <w:p w14:paraId="00CB635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3.5  投标方须负责在终验收前，提供确定的而且质保期之后招标方维修所需要的、可以自行采购的外购件、外协件、电气元件及主要原材料的供货厂家明细表。</w:t>
      </w:r>
    </w:p>
    <w:p w14:paraId="02B4C80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3.6  投标方须负责在在终验收前，提供包括设备的备品备件、易损件和专用耗材规定的图纸及技术参数、技术要求等资料。</w:t>
      </w:r>
    </w:p>
    <w:p w14:paraId="2202C1D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3.7  投标方须负责在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24FEF24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3.8  投标方须负责在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6E635E7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3.9  本条款所列的技术资料、图片、影像等，投标方应各提供5套，其中2套为电子版U盘；每份技术文件应装有目录清单。</w:t>
      </w:r>
    </w:p>
    <w:p w14:paraId="21B505C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3.10  本条款所列要求，如招标方认为投标方提供的资料不能满足要求时，有权要求投标方免费补充或增加。</w:t>
      </w:r>
    </w:p>
    <w:p w14:paraId="0CE5B242">
      <w:pPr>
        <w:pStyle w:val="3"/>
        <w:spacing w:before="120" w:after="120" w:line="360" w:lineRule="auto"/>
        <w:jc w:val="center"/>
        <w:rPr>
          <w:rFonts w:hint="eastAsia" w:ascii="仿宋" w:hAnsi="仿宋" w:eastAsia="仿宋" w:cs="仿宋"/>
          <w:b w:val="0"/>
          <w:sz w:val="24"/>
          <w:szCs w:val="24"/>
        </w:rPr>
      </w:pPr>
      <w:bookmarkStart w:id="75" w:name="_Toc5369"/>
      <w:bookmarkStart w:id="76" w:name="_Toc133783972"/>
      <w:bookmarkStart w:id="77" w:name="_Toc403466188"/>
      <w:bookmarkStart w:id="78" w:name="_Toc31181"/>
      <w:bookmarkStart w:id="79" w:name="_Toc22494"/>
      <w:bookmarkStart w:id="80" w:name="_Toc27444"/>
      <w:r>
        <w:rPr>
          <w:rFonts w:hint="eastAsia" w:ascii="仿宋" w:hAnsi="仿宋" w:eastAsia="仿宋" w:cs="仿宋"/>
          <w:b w:val="0"/>
          <w:sz w:val="24"/>
          <w:szCs w:val="24"/>
        </w:rPr>
        <w:t>第二节  供货方式</w:t>
      </w:r>
      <w:bookmarkEnd w:id="75"/>
      <w:bookmarkEnd w:id="76"/>
      <w:bookmarkEnd w:id="77"/>
      <w:bookmarkEnd w:id="78"/>
      <w:bookmarkEnd w:id="79"/>
      <w:bookmarkEnd w:id="80"/>
    </w:p>
    <w:p w14:paraId="0C3CF346">
      <w:pPr>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1  供货地点及款项支付</w:t>
      </w:r>
    </w:p>
    <w:p w14:paraId="35D9819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1.1本项目建设工地:山东省济南市历城区世纪大道757号重汽（济南）车桥有限公司。</w:t>
      </w:r>
    </w:p>
    <w:p w14:paraId="28953662">
      <w:pPr>
        <w:spacing w:line="360" w:lineRule="auto"/>
        <w:ind w:firstLine="480" w:firstLineChars="200"/>
        <w:jc w:val="left"/>
        <w:outlineLvl w:val="2"/>
        <w:rPr>
          <w:rFonts w:hint="eastAsia" w:ascii="仿宋" w:hAnsi="仿宋" w:eastAsia="仿宋" w:cs="仿宋"/>
          <w:sz w:val="24"/>
          <w:szCs w:val="24"/>
        </w:rPr>
      </w:pPr>
      <w:r>
        <w:rPr>
          <w:rFonts w:hint="eastAsia" w:ascii="仿宋" w:hAnsi="仿宋" w:eastAsia="仿宋" w:cs="仿宋"/>
          <w:sz w:val="24"/>
          <w:szCs w:val="24"/>
        </w:rPr>
        <w:t>2  供货时间</w:t>
      </w:r>
    </w:p>
    <w:p w14:paraId="3EFF4A76">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2.1  投标方应自</w:t>
      </w:r>
      <w:r>
        <w:rPr>
          <w:rFonts w:hint="eastAsia" w:ascii="仿宋" w:hAnsi="仿宋" w:eastAsia="仿宋" w:cs="仿宋"/>
          <w:sz w:val="24"/>
          <w:szCs w:val="24"/>
          <w:lang w:val="en-US" w:eastAsia="zh-CN"/>
        </w:rPr>
        <w:t>合同签定</w:t>
      </w:r>
      <w:r>
        <w:rPr>
          <w:rFonts w:hint="eastAsia" w:ascii="仿宋" w:hAnsi="仿宋" w:eastAsia="仿宋" w:cs="仿宋"/>
          <w:sz w:val="24"/>
          <w:szCs w:val="24"/>
        </w:rPr>
        <w:t>之日起，</w:t>
      </w:r>
      <w:r>
        <w:rPr>
          <w:rFonts w:hint="eastAsia" w:ascii="仿宋" w:hAnsi="仿宋" w:eastAsia="仿宋" w:cs="仿宋"/>
          <w:sz w:val="24"/>
          <w:szCs w:val="24"/>
          <w:lang w:val="en-US" w:eastAsia="zh-CN"/>
        </w:rPr>
        <w:t>螺柱焊机</w:t>
      </w:r>
      <w:r>
        <w:rPr>
          <w:rFonts w:hint="eastAsia" w:ascii="仿宋" w:hAnsi="仿宋" w:eastAsia="仿宋" w:cs="仿宋"/>
          <w:sz w:val="24"/>
          <w:szCs w:val="24"/>
        </w:rPr>
        <w:t>需在</w:t>
      </w:r>
      <w:r>
        <w:rPr>
          <w:rFonts w:hint="eastAsia" w:ascii="仿宋" w:hAnsi="仿宋" w:eastAsia="仿宋" w:cs="仿宋"/>
          <w:sz w:val="24"/>
          <w:szCs w:val="24"/>
          <w:highlight w:val="yellow"/>
          <w:u w:val="single"/>
          <w:shd w:val="pct10" w:color="auto" w:fill="FFFFFF"/>
        </w:rPr>
        <w:t xml:space="preserve"> </w:t>
      </w:r>
      <w:r>
        <w:rPr>
          <w:rFonts w:hint="eastAsia" w:ascii="仿宋" w:hAnsi="仿宋" w:eastAsia="仿宋" w:cs="仿宋"/>
          <w:sz w:val="24"/>
          <w:szCs w:val="24"/>
          <w:highlight w:val="yellow"/>
          <w:u w:val="single"/>
          <w:shd w:val="pct10" w:color="auto" w:fill="FFFFFF"/>
          <w:lang w:val="en-US" w:eastAsia="zh-CN"/>
        </w:rPr>
        <w:t>20</w:t>
      </w:r>
      <w:r>
        <w:rPr>
          <w:rFonts w:hint="eastAsia" w:ascii="仿宋" w:hAnsi="仿宋" w:eastAsia="仿宋" w:cs="仿宋"/>
          <w:sz w:val="24"/>
          <w:szCs w:val="24"/>
          <w:highlight w:val="yellow"/>
          <w:u w:val="single"/>
          <w:shd w:val="pct10" w:color="auto" w:fill="FFFFFF"/>
        </w:rPr>
        <w:t xml:space="preserve"> </w:t>
      </w:r>
      <w:r>
        <w:rPr>
          <w:rFonts w:hint="eastAsia" w:ascii="仿宋" w:hAnsi="仿宋" w:eastAsia="仿宋" w:cs="仿宋"/>
          <w:sz w:val="24"/>
          <w:szCs w:val="24"/>
        </w:rPr>
        <w:t>个日历日之内交货至供货地点</w:t>
      </w:r>
    </w:p>
    <w:p w14:paraId="2D19F0F3">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2.2  接续</w:t>
      </w:r>
      <w:r>
        <w:rPr>
          <w:rFonts w:hint="eastAsia" w:ascii="仿宋" w:hAnsi="仿宋" w:eastAsia="仿宋" w:cs="仿宋"/>
          <w:sz w:val="24"/>
          <w:szCs w:val="24"/>
          <w:highlight w:val="yellow"/>
          <w:u w:val="single"/>
          <w:shd w:val="pct10" w:color="auto" w:fill="FFFFFF"/>
        </w:rPr>
        <w:t xml:space="preserve">  </w:t>
      </w:r>
      <w:r>
        <w:rPr>
          <w:rFonts w:hint="eastAsia" w:ascii="仿宋" w:hAnsi="仿宋" w:eastAsia="仿宋" w:cs="仿宋"/>
          <w:sz w:val="24"/>
          <w:szCs w:val="24"/>
          <w:highlight w:val="yellow"/>
          <w:u w:val="single"/>
          <w:shd w:val="pct10" w:color="auto" w:fill="FFFFFF"/>
          <w:lang w:val="en-US" w:eastAsia="zh-CN"/>
        </w:rPr>
        <w:t>5</w:t>
      </w:r>
      <w:r>
        <w:rPr>
          <w:rFonts w:hint="eastAsia" w:ascii="仿宋" w:hAnsi="仿宋" w:eastAsia="仿宋" w:cs="仿宋"/>
          <w:sz w:val="24"/>
          <w:szCs w:val="24"/>
          <w:highlight w:val="yellow"/>
          <w:u w:val="single"/>
          <w:shd w:val="pct10" w:color="auto" w:fill="FFFFFF"/>
        </w:rPr>
        <w:t xml:space="preserve">  </w:t>
      </w:r>
      <w:r>
        <w:rPr>
          <w:rFonts w:hint="eastAsia" w:ascii="仿宋" w:hAnsi="仿宋" w:eastAsia="仿宋" w:cs="仿宋"/>
          <w:sz w:val="24"/>
          <w:szCs w:val="24"/>
        </w:rPr>
        <w:t>个日历日之内安装调试完毕；</w:t>
      </w:r>
    </w:p>
    <w:p w14:paraId="45D14920">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2.3  接续</w:t>
      </w:r>
      <w:r>
        <w:rPr>
          <w:rFonts w:hint="eastAsia" w:ascii="仿宋" w:hAnsi="仿宋" w:eastAsia="仿宋" w:cs="仿宋"/>
          <w:sz w:val="24"/>
          <w:szCs w:val="24"/>
          <w:highlight w:val="yellow"/>
          <w:u w:val="single"/>
          <w:shd w:val="pct10" w:color="auto" w:fill="FFFFFF"/>
        </w:rPr>
        <w:t xml:space="preserve">  </w:t>
      </w:r>
      <w:r>
        <w:rPr>
          <w:rFonts w:hint="eastAsia" w:ascii="仿宋" w:hAnsi="仿宋" w:eastAsia="仿宋" w:cs="仿宋"/>
          <w:sz w:val="24"/>
          <w:szCs w:val="24"/>
          <w:highlight w:val="yellow"/>
          <w:u w:val="single"/>
          <w:shd w:val="pct10" w:color="auto" w:fill="FFFFFF"/>
          <w:lang w:val="en-US" w:eastAsia="zh-CN"/>
        </w:rPr>
        <w:t xml:space="preserve">30  </w:t>
      </w:r>
      <w:r>
        <w:rPr>
          <w:rFonts w:hint="eastAsia" w:ascii="仿宋" w:hAnsi="仿宋" w:eastAsia="仿宋" w:cs="仿宋"/>
          <w:sz w:val="24"/>
          <w:szCs w:val="24"/>
        </w:rPr>
        <w:t>个日历日之内完成（或协助完成）终验收。</w:t>
      </w:r>
    </w:p>
    <w:p w14:paraId="5EAD9B03">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2.4  投标方应当提供详细的工期计划。</w:t>
      </w:r>
    </w:p>
    <w:p w14:paraId="4013A56C">
      <w:pPr>
        <w:spacing w:line="360" w:lineRule="auto"/>
        <w:ind w:firstLine="480" w:firstLineChars="200"/>
        <w:jc w:val="left"/>
        <w:rPr>
          <w:rFonts w:hint="eastAsia" w:ascii="仿宋" w:hAnsi="仿宋" w:eastAsia="仿宋" w:cs="仿宋"/>
          <w:sz w:val="24"/>
          <w:szCs w:val="24"/>
        </w:rPr>
      </w:pPr>
      <w:bookmarkStart w:id="81" w:name="_Hlk58764844"/>
      <w:r>
        <w:rPr>
          <w:rFonts w:hint="eastAsia" w:ascii="仿宋" w:hAnsi="仿宋" w:eastAsia="仿宋" w:cs="仿宋"/>
          <w:sz w:val="24"/>
          <w:szCs w:val="24"/>
        </w:rPr>
        <w:t>2.5  设备终验收结束后，招标方投入生产使用时，投标方应当提供</w:t>
      </w:r>
      <w:r>
        <w:rPr>
          <w:rFonts w:hint="eastAsia" w:ascii="仿宋" w:hAnsi="仿宋" w:eastAsia="仿宋" w:cs="仿宋"/>
          <w:sz w:val="24"/>
          <w:szCs w:val="24"/>
          <w:highlight w:val="yellow"/>
        </w:rPr>
        <w:t xml:space="preserve"> </w:t>
      </w:r>
      <w:r>
        <w:rPr>
          <w:rFonts w:hint="eastAsia" w:ascii="仿宋" w:hAnsi="仿宋" w:eastAsia="仿宋" w:cs="仿宋"/>
          <w:sz w:val="24"/>
          <w:szCs w:val="24"/>
          <w:highlight w:val="yellow"/>
          <w:lang w:val="en-US" w:eastAsia="zh-CN"/>
        </w:rPr>
        <w:t>9</w:t>
      </w:r>
      <w:r>
        <w:rPr>
          <w:rFonts w:hint="eastAsia" w:ascii="仿宋" w:hAnsi="仿宋" w:eastAsia="仿宋" w:cs="仿宋"/>
          <w:sz w:val="24"/>
          <w:szCs w:val="24"/>
          <w:highlight w:val="yellow"/>
          <w:u w:val="single"/>
          <w:lang w:val="en-US" w:eastAsia="zh-CN"/>
        </w:rPr>
        <w:t>0</w:t>
      </w:r>
      <w:r>
        <w:rPr>
          <w:rFonts w:hint="eastAsia" w:ascii="仿宋" w:hAnsi="仿宋" w:eastAsia="仿宋" w:cs="仿宋"/>
          <w:sz w:val="24"/>
          <w:szCs w:val="24"/>
        </w:rPr>
        <w:t>个工作日的陪同生产人员（投标方的设备终验收调试人员）。</w:t>
      </w:r>
      <w:bookmarkEnd w:id="81"/>
    </w:p>
    <w:p w14:paraId="6B3F32E3">
      <w:pPr>
        <w:spacing w:line="360" w:lineRule="auto"/>
        <w:ind w:firstLine="480" w:firstLineChars="200"/>
        <w:jc w:val="left"/>
        <w:outlineLvl w:val="2"/>
        <w:rPr>
          <w:rFonts w:hint="eastAsia" w:ascii="仿宋" w:hAnsi="仿宋" w:eastAsia="仿宋" w:cs="仿宋"/>
          <w:sz w:val="24"/>
          <w:szCs w:val="24"/>
        </w:rPr>
      </w:pPr>
      <w:r>
        <w:rPr>
          <w:rFonts w:hint="eastAsia" w:ascii="仿宋" w:hAnsi="仿宋" w:eastAsia="仿宋" w:cs="仿宋"/>
          <w:sz w:val="24"/>
          <w:szCs w:val="24"/>
        </w:rPr>
        <w:t>3  质保期</w:t>
      </w:r>
    </w:p>
    <w:p w14:paraId="54D0B3D6">
      <w:pPr>
        <w:spacing w:line="360" w:lineRule="auto"/>
        <w:ind w:firstLine="440"/>
        <w:rPr>
          <w:rFonts w:hint="eastAsia" w:ascii="仿宋" w:hAnsi="仿宋" w:eastAsia="仿宋" w:cs="仿宋"/>
          <w:sz w:val="24"/>
          <w:szCs w:val="24"/>
        </w:rPr>
      </w:pPr>
      <w:r>
        <w:rPr>
          <w:rFonts w:hint="eastAsia" w:ascii="仿宋" w:hAnsi="仿宋" w:eastAsia="仿宋" w:cs="仿宋"/>
          <w:sz w:val="24"/>
          <w:szCs w:val="24"/>
        </w:rPr>
        <w:t>3.1  投标方所提供设备涉及的全部供货范围内的设备、材料、零配件和工器具等，除合同特别约定外，其质保期均自终验收签字生效之日起</w:t>
      </w:r>
      <w:r>
        <w:rPr>
          <w:rFonts w:hint="eastAsia" w:ascii="仿宋" w:hAnsi="仿宋" w:eastAsia="仿宋" w:cs="仿宋"/>
          <w:sz w:val="24"/>
          <w:szCs w:val="24"/>
          <w:u w:val="single"/>
        </w:rPr>
        <w:t xml:space="preserve"> </w:t>
      </w:r>
      <w:r>
        <w:rPr>
          <w:rFonts w:hint="eastAsia" w:ascii="仿宋" w:hAnsi="仿宋" w:eastAsia="仿宋" w:cs="仿宋"/>
          <w:sz w:val="24"/>
          <w:szCs w:val="24"/>
          <w:u w:val="single"/>
          <w:shd w:val="pct10" w:color="auto" w:fill="FFFFFF"/>
        </w:rPr>
        <w:t xml:space="preserve"> 12 </w:t>
      </w:r>
      <w:r>
        <w:rPr>
          <w:rFonts w:hint="eastAsia" w:ascii="仿宋" w:hAnsi="仿宋" w:eastAsia="仿宋" w:cs="仿宋"/>
          <w:sz w:val="24"/>
          <w:szCs w:val="24"/>
        </w:rPr>
        <w:t>个月。</w:t>
      </w:r>
      <w:r>
        <w:rPr>
          <w:rFonts w:hint="eastAsia" w:ascii="仿宋" w:hAnsi="仿宋" w:eastAsia="仿宋" w:cs="仿宋"/>
          <w:spacing w:val="20"/>
          <w:kern w:val="10"/>
          <w:sz w:val="24"/>
          <w:szCs w:val="24"/>
        </w:rPr>
        <w:t>其中控制电器部分</w:t>
      </w:r>
      <w:r>
        <w:rPr>
          <w:rFonts w:hint="eastAsia" w:ascii="仿宋" w:hAnsi="仿宋" w:eastAsia="仿宋" w:cs="仿宋"/>
          <w:sz w:val="24"/>
          <w:szCs w:val="24"/>
        </w:rPr>
        <w:t>质保期在</w:t>
      </w:r>
      <w:r>
        <w:rPr>
          <w:rFonts w:hint="eastAsia" w:ascii="仿宋" w:hAnsi="仿宋" w:eastAsia="仿宋" w:cs="仿宋"/>
          <w:sz w:val="24"/>
          <w:szCs w:val="24"/>
          <w:u w:val="single"/>
          <w:shd w:val="pct10" w:color="auto" w:fill="FFFFFF"/>
        </w:rPr>
        <w:t>12</w:t>
      </w:r>
      <w:r>
        <w:rPr>
          <w:rFonts w:hint="eastAsia" w:ascii="仿宋" w:hAnsi="仿宋" w:eastAsia="仿宋" w:cs="仿宋"/>
          <w:spacing w:val="20"/>
          <w:kern w:val="10"/>
          <w:sz w:val="24"/>
          <w:szCs w:val="24"/>
        </w:rPr>
        <w:t>个月以上。</w:t>
      </w:r>
    </w:p>
    <w:p w14:paraId="0C21F803">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3.2  质保期之内，如果设备出现关键设备、总成、零部件或者多处一般设备、总成、零部件的更换或维修行为，则质保期自更换或维修行为结束、设备能够正常运行使用之日起重新计算。</w:t>
      </w:r>
    </w:p>
    <w:p w14:paraId="2BAAD384">
      <w:pPr>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4  包装</w:t>
      </w:r>
    </w:p>
    <w:p w14:paraId="08F72F31">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  投标方所提供货物（或设备）的包装，应遵照国家标准和有关包装、包皮的技术条件，或按照最好的商业惯例进行包装。</w:t>
      </w:r>
    </w:p>
    <w:p w14:paraId="6C62030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  包装应能满足所需要采取的运输方式（船运、汽运或铁路运输）、多次吊装卸装、卸货以及长期露天堆放要求，应能防止雨淋、受潮、生锈、腐蚀、受振、受磁以及机械和化学因素等引起的损坏。</w:t>
      </w:r>
    </w:p>
    <w:p w14:paraId="2D0CD82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4.3  投标方所提供货物（或设备）的包装，应能防止其一般性被窃或受外力破坏；一般不得采用有大缝隙的板条包装。</w:t>
      </w:r>
    </w:p>
    <w:p w14:paraId="3AB1BE67">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4.4  投标方应对包装件做必要的加固和固定，以防止运输可能造成的损坏。</w:t>
      </w:r>
    </w:p>
    <w:p w14:paraId="56F4EEF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4.5  每个包装件应有装箱单，并至少标明名称、型号规格、数量、净重和毛重、投标方（或供货商）名称和制造日期等相关内容。</w:t>
      </w:r>
    </w:p>
    <w:p w14:paraId="4DF12BCE">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4.6  每个包装箱应有明显标志，并具有中文书写的合同号、装运标志、发货和到货地点名称、发货人和收货人名称、设备名称和项目号、箱号和外型尺寸等内容。</w:t>
      </w:r>
    </w:p>
    <w:p w14:paraId="05FE8092">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4.7  投标方还应按照不同的装运要求在包装箱上标明“小心轻放”、“箭头向上”、“防潮”、“防磁”、“不准平放”等标志，以及其它适用的国标通用标志。</w:t>
      </w:r>
    </w:p>
    <w:p w14:paraId="27904328">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4.9  包装箱应连续编号，不应出现重复编号。</w:t>
      </w:r>
    </w:p>
    <w:p w14:paraId="126354AB">
      <w:pPr>
        <w:adjustRightInd w:val="0"/>
        <w:snapToGrid w:val="0"/>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5  运输</w:t>
      </w:r>
    </w:p>
    <w:p w14:paraId="014BD9D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投标方应负责将货物（或设备）运到目的地，并必须做到货物（或设备）在任何运输过程中不受损坏和遗失。</w:t>
      </w:r>
    </w:p>
    <w:p w14:paraId="71C2EBB4">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5.2  同批货物（或设备）应统一包装、编号运输。</w:t>
      </w:r>
    </w:p>
    <w:p w14:paraId="5E15986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5.3  一般情况下，经由铁路、公路运输的包装件尺寸和重量不应超过国家所规定的尺寸限制。特殊情况应予以说明。</w:t>
      </w:r>
    </w:p>
    <w:p w14:paraId="383E6B9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5.4  在每批货物（或设备）发出后，投标方应立即通知</w:t>
      </w:r>
    </w:p>
    <w:p w14:paraId="2C28687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招标方；通知中应指明：合同号、货运单号、件数、重量和货物（或设备）发出日期等相关内容。</w:t>
      </w:r>
    </w:p>
    <w:p w14:paraId="0DDB14D3">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5.5  货物（或设备）运抵招标方现场后，投标方应负责货物（或设备）的卸货、搬运、保管等事宜；或按照合同约定。</w:t>
      </w:r>
      <w:bookmarkStart w:id="82" w:name="_Toc403466189"/>
      <w:bookmarkStart w:id="83" w:name="_Toc133783973"/>
    </w:p>
    <w:p w14:paraId="0DE194C2">
      <w:pPr>
        <w:adjustRightInd w:val="0"/>
        <w:snapToGrid w:val="0"/>
        <w:spacing w:line="360" w:lineRule="auto"/>
        <w:ind w:firstLine="3132" w:firstLineChars="1300"/>
        <w:outlineLvl w:val="0"/>
        <w:rPr>
          <w:rFonts w:hint="eastAsia" w:ascii="仿宋" w:hAnsi="仿宋" w:eastAsia="仿宋" w:cs="仿宋"/>
          <w:b/>
          <w:sz w:val="24"/>
          <w:szCs w:val="24"/>
        </w:rPr>
      </w:pPr>
      <w:bookmarkStart w:id="84" w:name="_Toc28754"/>
      <w:bookmarkStart w:id="85" w:name="_Toc22117"/>
      <w:bookmarkStart w:id="86" w:name="_Toc11176"/>
      <w:bookmarkStart w:id="87" w:name="_Toc24179"/>
      <w:r>
        <w:rPr>
          <w:rFonts w:hint="eastAsia" w:ascii="仿宋" w:hAnsi="仿宋" w:eastAsia="仿宋" w:cs="仿宋"/>
          <w:b/>
          <w:sz w:val="24"/>
          <w:szCs w:val="24"/>
        </w:rPr>
        <w:t>第四章  售中售后服务</w:t>
      </w:r>
      <w:bookmarkEnd w:id="82"/>
      <w:bookmarkEnd w:id="83"/>
      <w:bookmarkEnd w:id="84"/>
      <w:bookmarkEnd w:id="85"/>
      <w:bookmarkEnd w:id="86"/>
      <w:bookmarkEnd w:id="87"/>
    </w:p>
    <w:p w14:paraId="09B05DB2">
      <w:pPr>
        <w:adjustRightInd w:val="0"/>
        <w:snapToGrid w:val="0"/>
        <w:spacing w:line="360" w:lineRule="auto"/>
        <w:ind w:firstLine="480" w:firstLineChars="200"/>
        <w:outlineLvl w:val="1"/>
        <w:rPr>
          <w:rFonts w:hint="eastAsia" w:ascii="仿宋" w:hAnsi="仿宋" w:eastAsia="仿宋" w:cs="仿宋"/>
          <w:sz w:val="24"/>
          <w:szCs w:val="24"/>
        </w:rPr>
      </w:pPr>
      <w:bookmarkStart w:id="88" w:name="_Toc13346"/>
      <w:bookmarkStart w:id="89" w:name="_Toc1046"/>
      <w:bookmarkStart w:id="90" w:name="_Toc2283"/>
      <w:bookmarkStart w:id="91" w:name="_Toc6165"/>
      <w:r>
        <w:rPr>
          <w:rFonts w:hint="eastAsia" w:ascii="仿宋" w:hAnsi="仿宋" w:eastAsia="仿宋" w:cs="仿宋"/>
          <w:sz w:val="24"/>
          <w:szCs w:val="24"/>
        </w:rPr>
        <w:t>1  技术及培训服务</w:t>
      </w:r>
      <w:bookmarkEnd w:id="88"/>
      <w:bookmarkEnd w:id="89"/>
      <w:bookmarkEnd w:id="90"/>
      <w:bookmarkEnd w:id="91"/>
    </w:p>
    <w:p w14:paraId="10924D6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1.1  </w:t>
      </w:r>
      <w:bookmarkStart w:id="92" w:name="_Hlk58764965"/>
      <w:r>
        <w:rPr>
          <w:rFonts w:hint="eastAsia" w:ascii="仿宋" w:hAnsi="仿宋" w:eastAsia="仿宋" w:cs="仿宋"/>
          <w:sz w:val="24"/>
          <w:szCs w:val="24"/>
        </w:rPr>
        <w:t>投标方应负责对招标方不少于</w:t>
      </w:r>
      <w:r>
        <w:rPr>
          <w:rFonts w:hint="eastAsia" w:ascii="仿宋" w:hAnsi="仿宋" w:eastAsia="仿宋" w:cs="仿宋"/>
          <w:sz w:val="24"/>
          <w:szCs w:val="24"/>
          <w:u w:val="single"/>
          <w:shd w:val="pct10" w:color="auto" w:fill="FFFFFF"/>
        </w:rPr>
        <w:t xml:space="preserve">  3  </w:t>
      </w:r>
      <w:r>
        <w:rPr>
          <w:rFonts w:hint="eastAsia" w:ascii="仿宋" w:hAnsi="仿宋" w:eastAsia="仿宋" w:cs="仿宋"/>
          <w:sz w:val="24"/>
          <w:szCs w:val="24"/>
        </w:rPr>
        <w:t>名工程技术人员（工艺、机械维修、电气维修）与</w:t>
      </w:r>
      <w:r>
        <w:rPr>
          <w:rFonts w:hint="eastAsia" w:ascii="仿宋" w:hAnsi="仿宋" w:eastAsia="仿宋" w:cs="仿宋"/>
          <w:sz w:val="24"/>
          <w:szCs w:val="24"/>
          <w:u w:val="single"/>
          <w:shd w:val="pct10" w:color="auto" w:fill="FFFFFF"/>
        </w:rPr>
        <w:t xml:space="preserve"> 3-5名  </w:t>
      </w:r>
      <w:r>
        <w:rPr>
          <w:rFonts w:hint="eastAsia" w:ascii="仿宋" w:hAnsi="仿宋" w:eastAsia="仿宋" w:cs="仿宋"/>
          <w:sz w:val="24"/>
          <w:szCs w:val="24"/>
        </w:rPr>
        <w:t>操作人员在投标方现场进行预验收的同时提供不少于</w:t>
      </w:r>
      <w:r>
        <w:rPr>
          <w:rFonts w:hint="eastAsia" w:ascii="仿宋" w:hAnsi="仿宋" w:eastAsia="仿宋" w:cs="仿宋"/>
          <w:sz w:val="24"/>
          <w:szCs w:val="24"/>
          <w:u w:val="single"/>
          <w:shd w:val="pct10" w:color="auto" w:fill="FFFFFF"/>
        </w:rPr>
        <w:t xml:space="preserve">  7  </w:t>
      </w:r>
      <w:r>
        <w:rPr>
          <w:rFonts w:hint="eastAsia" w:ascii="仿宋" w:hAnsi="仿宋" w:eastAsia="仿宋" w:cs="仿宋"/>
          <w:sz w:val="24"/>
          <w:szCs w:val="24"/>
        </w:rPr>
        <w:t>个工作日的免费专题培训，培训内容为理论、技术和操作、维修等方面的技术指导和问题解答。</w:t>
      </w:r>
      <w:bookmarkEnd w:id="92"/>
    </w:p>
    <w:p w14:paraId="4A61DF0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  投标方应负责在招标方设备使用现场，进行1～2次免费的技术指导和培训，并接受招标方有关人员的技术咨询。</w:t>
      </w:r>
    </w:p>
    <w:p w14:paraId="009DB5B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  投标方应免费提供一定数量的培训资料。</w:t>
      </w:r>
    </w:p>
    <w:p w14:paraId="1A6F66B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1.4  投标方应按要求，免费积极协助和提供招标方以及招标方所委托的工程设计单位有关人员所需要的、与设备有关的工程设计资料、技术咨询等。</w:t>
      </w:r>
    </w:p>
    <w:p w14:paraId="52E034AF">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  若投标方提供的设备涉及到外购外协货物、而且该货物的技术质量等较为关键时，投标方应能得到配套厂家的技术支持，并免费为招标方提供技术服务。</w:t>
      </w:r>
    </w:p>
    <w:p w14:paraId="3CD98B7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4B7866F2">
      <w:pPr>
        <w:adjustRightInd w:val="0"/>
        <w:snapToGrid w:val="0"/>
        <w:spacing w:line="360" w:lineRule="auto"/>
        <w:ind w:firstLine="480" w:firstLineChars="200"/>
        <w:outlineLvl w:val="1"/>
        <w:rPr>
          <w:rFonts w:hint="eastAsia" w:ascii="仿宋" w:hAnsi="仿宋" w:eastAsia="仿宋" w:cs="仿宋"/>
          <w:sz w:val="24"/>
          <w:szCs w:val="24"/>
        </w:rPr>
      </w:pPr>
      <w:bookmarkStart w:id="93" w:name="_Toc16995"/>
      <w:bookmarkStart w:id="94" w:name="_Toc25698"/>
      <w:bookmarkStart w:id="95" w:name="_Toc30963"/>
      <w:bookmarkStart w:id="96" w:name="_Toc11927"/>
      <w:r>
        <w:rPr>
          <w:rFonts w:hint="eastAsia" w:ascii="仿宋" w:hAnsi="仿宋" w:eastAsia="仿宋" w:cs="仿宋"/>
          <w:sz w:val="24"/>
          <w:szCs w:val="24"/>
        </w:rPr>
        <w:t>2  安装调试服务</w:t>
      </w:r>
      <w:bookmarkEnd w:id="93"/>
      <w:bookmarkEnd w:id="94"/>
      <w:bookmarkEnd w:id="95"/>
      <w:bookmarkEnd w:id="96"/>
    </w:p>
    <w:p w14:paraId="75A8FE14">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  根据设备的要求，调试可分空载和负载两个阶段进行；招标方将予以积极配合，协助投标方达到设备的各项技术指标和性能要求。</w:t>
      </w:r>
    </w:p>
    <w:p w14:paraId="0719D3F1">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  安装调试与验收期间，若投标方提供的设备涉及到外购外协货物、而且该货物的技术质量等较为关键时，投标方应能得到配套厂家的技术支持，并免费为招标方提供安装使用现场的指导与协调。</w:t>
      </w:r>
    </w:p>
    <w:p w14:paraId="0362BC6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  投标方提供收费的或免费的、指导安装调试或负责安装调试，至少应在投标文件的报价章节中，予以明确说明</w:t>
      </w:r>
      <w:bookmarkStart w:id="97" w:name="_Hlk58765060"/>
      <w:r>
        <w:rPr>
          <w:rFonts w:hint="eastAsia" w:ascii="仿宋" w:hAnsi="仿宋" w:eastAsia="仿宋" w:cs="仿宋"/>
          <w:sz w:val="24"/>
          <w:szCs w:val="24"/>
        </w:rPr>
        <w:t>，如不明确说明均视为免费。</w:t>
      </w:r>
      <w:bookmarkEnd w:id="97"/>
      <w:bookmarkStart w:id="98" w:name="_Hlk58765074"/>
    </w:p>
    <w:p w14:paraId="7E52E7B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  在与招标方机床设备进行自动化对接时实施时提供免费的技术服务支持，不得设置技术障碍，确保投标方的生产线自动化项目与招标方的设备的顺利实施对接。</w:t>
      </w:r>
      <w:bookmarkEnd w:id="98"/>
    </w:p>
    <w:p w14:paraId="4F09D8A6">
      <w:pPr>
        <w:adjustRightInd w:val="0"/>
        <w:snapToGrid w:val="0"/>
        <w:spacing w:line="360" w:lineRule="auto"/>
        <w:ind w:firstLine="480" w:firstLineChars="200"/>
        <w:outlineLvl w:val="1"/>
        <w:rPr>
          <w:rFonts w:hint="eastAsia" w:ascii="仿宋" w:hAnsi="仿宋" w:eastAsia="仿宋" w:cs="仿宋"/>
          <w:sz w:val="24"/>
          <w:szCs w:val="24"/>
        </w:rPr>
      </w:pPr>
      <w:bookmarkStart w:id="99" w:name="_Toc14836"/>
      <w:bookmarkStart w:id="100" w:name="_Toc7248"/>
      <w:bookmarkStart w:id="101" w:name="_Toc23335"/>
      <w:bookmarkStart w:id="102" w:name="_Toc14343"/>
      <w:r>
        <w:rPr>
          <w:rFonts w:hint="eastAsia" w:ascii="仿宋" w:hAnsi="仿宋" w:eastAsia="仿宋" w:cs="仿宋"/>
          <w:sz w:val="24"/>
          <w:szCs w:val="24"/>
        </w:rPr>
        <w:t>3  验收服务</w:t>
      </w:r>
      <w:bookmarkEnd w:id="99"/>
      <w:bookmarkEnd w:id="100"/>
      <w:bookmarkEnd w:id="101"/>
      <w:bookmarkEnd w:id="102"/>
    </w:p>
    <w:p w14:paraId="0B4A4A5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  投标方在招标方现场进行的设备的预验收和终验收配合或指导，应当是免费的。</w:t>
      </w:r>
    </w:p>
    <w:p w14:paraId="24E980CE">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  设备验收时，若投标方提供的设备涉及到外购外协货物、而且该货物的技术质量等较为关键时，投标方应能得到配套厂家的技术支持，并免费为招标方提供使用现场验收的配合或指导。</w:t>
      </w:r>
    </w:p>
    <w:p w14:paraId="0DE2A26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6B2B50F3">
      <w:pPr>
        <w:adjustRightInd w:val="0"/>
        <w:snapToGrid w:val="0"/>
        <w:spacing w:line="360" w:lineRule="auto"/>
        <w:ind w:firstLine="480" w:firstLineChars="200"/>
        <w:outlineLvl w:val="1"/>
        <w:rPr>
          <w:rFonts w:hint="eastAsia" w:ascii="仿宋" w:hAnsi="仿宋" w:eastAsia="仿宋" w:cs="仿宋"/>
          <w:sz w:val="24"/>
          <w:szCs w:val="24"/>
        </w:rPr>
      </w:pPr>
      <w:bookmarkStart w:id="103" w:name="_Toc21973"/>
      <w:bookmarkStart w:id="104" w:name="_Toc31808"/>
      <w:bookmarkStart w:id="105" w:name="_Toc12789"/>
      <w:bookmarkStart w:id="106" w:name="_Toc13578"/>
      <w:r>
        <w:rPr>
          <w:rFonts w:hint="eastAsia" w:ascii="仿宋" w:hAnsi="仿宋" w:eastAsia="仿宋" w:cs="仿宋"/>
          <w:sz w:val="24"/>
          <w:szCs w:val="24"/>
        </w:rPr>
        <w:t>4  售后服务</w:t>
      </w:r>
      <w:bookmarkEnd w:id="103"/>
      <w:bookmarkEnd w:id="104"/>
      <w:bookmarkEnd w:id="105"/>
      <w:bookmarkEnd w:id="106"/>
    </w:p>
    <w:p w14:paraId="53C70638">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  所有的售后服务均由投标方受理。如果发生问题并且收到报告，投标方应当在2小时内予以答复。</w:t>
      </w:r>
    </w:p>
    <w:p w14:paraId="4BF24331">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  如发现所提供的设备存在问题，需要投标方解决或配合解决时：在质保期之内，应在接到通知后</w:t>
      </w:r>
      <w:r>
        <w:rPr>
          <w:rFonts w:hint="eastAsia" w:ascii="仿宋" w:hAnsi="仿宋" w:eastAsia="仿宋" w:cs="仿宋"/>
          <w:sz w:val="24"/>
          <w:szCs w:val="24"/>
          <w:u w:val="single"/>
          <w:shd w:val="pct10" w:color="auto" w:fill="FFFFFF"/>
        </w:rPr>
        <w:t xml:space="preserve"> 2 </w:t>
      </w:r>
      <w:r>
        <w:rPr>
          <w:rFonts w:hint="eastAsia" w:ascii="仿宋" w:hAnsi="仿宋" w:eastAsia="仿宋" w:cs="仿宋"/>
          <w:sz w:val="24"/>
          <w:szCs w:val="24"/>
        </w:rPr>
        <w:t>小时给予回复，如需到达现场，接到通知后</w:t>
      </w:r>
      <w:r>
        <w:rPr>
          <w:rFonts w:hint="eastAsia" w:ascii="仿宋" w:hAnsi="仿宋" w:eastAsia="仿宋" w:cs="仿宋"/>
          <w:sz w:val="24"/>
          <w:szCs w:val="24"/>
          <w:u w:val="single"/>
          <w:shd w:val="pct10" w:color="auto" w:fill="FFFFFF"/>
        </w:rPr>
        <w:t xml:space="preserve">  24   </w:t>
      </w:r>
      <w:r>
        <w:rPr>
          <w:rFonts w:hint="eastAsia" w:ascii="仿宋" w:hAnsi="仿宋" w:eastAsia="仿宋" w:cs="仿宋"/>
          <w:sz w:val="24"/>
          <w:szCs w:val="24"/>
        </w:rPr>
        <w:t>小时内派有关人员到达现场；在质保期之外，应在接到通知后</w:t>
      </w:r>
      <w:r>
        <w:rPr>
          <w:rFonts w:hint="eastAsia" w:ascii="仿宋" w:hAnsi="仿宋" w:eastAsia="仿宋" w:cs="仿宋"/>
          <w:sz w:val="24"/>
          <w:szCs w:val="24"/>
          <w:u w:val="single"/>
          <w:shd w:val="pct10" w:color="auto" w:fill="FFFFFF"/>
        </w:rPr>
        <w:t xml:space="preserve"> 4 </w:t>
      </w:r>
      <w:r>
        <w:rPr>
          <w:rFonts w:hint="eastAsia" w:ascii="仿宋" w:hAnsi="仿宋" w:eastAsia="仿宋" w:cs="仿宋"/>
          <w:sz w:val="24"/>
          <w:szCs w:val="24"/>
        </w:rPr>
        <w:t>小时给予回复，如需到达现场，接到通知后</w:t>
      </w:r>
      <w:r>
        <w:rPr>
          <w:rFonts w:hint="eastAsia" w:ascii="仿宋" w:hAnsi="仿宋" w:eastAsia="仿宋" w:cs="仿宋"/>
          <w:sz w:val="24"/>
          <w:szCs w:val="24"/>
          <w:u w:val="single"/>
          <w:shd w:val="pct10" w:color="auto" w:fill="FFFFFF"/>
        </w:rPr>
        <w:t xml:space="preserve">  48  </w:t>
      </w:r>
      <w:r>
        <w:rPr>
          <w:rFonts w:hint="eastAsia" w:ascii="仿宋" w:hAnsi="仿宋" w:eastAsia="仿宋" w:cs="仿宋"/>
          <w:sz w:val="24"/>
          <w:szCs w:val="24"/>
        </w:rPr>
        <w:t>小时内派有关人员到达现场。</w:t>
      </w:r>
    </w:p>
    <w:p w14:paraId="65A80368">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4.3  投标方派往招标方使用现场的人员，应具有较高的业务素质；现场解决问题时，不得无故拖延或推迟，应为招标方提供最佳的服务。</w:t>
      </w:r>
    </w:p>
    <w:p w14:paraId="59674378">
      <w:pPr>
        <w:adjustRightInd w:val="0"/>
        <w:snapToGrid w:val="0"/>
        <w:spacing w:line="360" w:lineRule="auto"/>
        <w:ind w:firstLine="480" w:firstLineChars="200"/>
        <w:outlineLvl w:val="1"/>
        <w:rPr>
          <w:rFonts w:hint="eastAsia" w:ascii="仿宋" w:hAnsi="仿宋" w:eastAsia="仿宋" w:cs="仿宋"/>
          <w:sz w:val="24"/>
          <w:szCs w:val="24"/>
        </w:rPr>
      </w:pPr>
      <w:bookmarkStart w:id="107" w:name="_Toc18220"/>
      <w:bookmarkStart w:id="108" w:name="_Toc3902"/>
      <w:bookmarkStart w:id="109" w:name="_Toc21765"/>
      <w:bookmarkStart w:id="110" w:name="_Toc2781"/>
      <w:r>
        <w:rPr>
          <w:rFonts w:hint="eastAsia" w:ascii="仿宋" w:hAnsi="仿宋" w:eastAsia="仿宋" w:cs="仿宋"/>
          <w:sz w:val="24"/>
          <w:szCs w:val="24"/>
        </w:rPr>
        <w:t>5  其它服务</w:t>
      </w:r>
      <w:bookmarkEnd w:id="107"/>
      <w:bookmarkEnd w:id="108"/>
      <w:bookmarkEnd w:id="109"/>
      <w:bookmarkEnd w:id="110"/>
    </w:p>
    <w:p w14:paraId="529BAA02">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若投标方所提供设备有需要进口的，投标方一般应自行、自费办理；必要时，招标方和投标方共同办理。</w:t>
      </w:r>
    </w:p>
    <w:p w14:paraId="65D0367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5.2  除招标文件、投标文件、答疑文件、技术协议、合同等约定之外，投标方应免费负责必要的或强制性的设备的检验、试验、化验等直接费用。</w:t>
      </w:r>
    </w:p>
    <w:p w14:paraId="78945D5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5.3  本章节条款所列“免费”，并非指定不可收费，而是指招标文件、投标文件、答疑文件、技术交流文件、技术协议书和合同等范围之外，投标方不可另行收取的费用。</w:t>
      </w:r>
    </w:p>
    <w:p w14:paraId="70C0EE3D">
      <w:pPr>
        <w:spacing w:line="360" w:lineRule="auto"/>
        <w:ind w:firstLine="480" w:firstLineChars="200"/>
        <w:rPr>
          <w:rFonts w:hint="eastAsia" w:ascii="仿宋" w:hAnsi="仿宋" w:eastAsia="仿宋" w:cs="仿宋"/>
          <w:sz w:val="24"/>
          <w:szCs w:val="24"/>
        </w:rPr>
      </w:pPr>
      <w:bookmarkStart w:id="111" w:name="_Hlk58765133"/>
      <w:r>
        <w:rPr>
          <w:rFonts w:hint="eastAsia" w:ascii="仿宋" w:hAnsi="仿宋" w:eastAsia="仿宋" w:cs="仿宋"/>
          <w:sz w:val="24"/>
          <w:szCs w:val="24"/>
        </w:rPr>
        <w:t>5.4  投标方提供设备出保质期后，售后服务费用及计算方式。</w:t>
      </w:r>
    </w:p>
    <w:bookmarkEnd w:id="111"/>
    <w:p w14:paraId="10107EC7">
      <w:pPr>
        <w:pStyle w:val="2"/>
        <w:spacing w:before="120" w:after="120" w:line="360" w:lineRule="auto"/>
        <w:jc w:val="center"/>
        <w:rPr>
          <w:rFonts w:hint="eastAsia" w:ascii="仿宋" w:hAnsi="仿宋" w:eastAsia="仿宋" w:cs="仿宋"/>
          <w:bCs w:val="0"/>
          <w:sz w:val="24"/>
          <w:szCs w:val="24"/>
        </w:rPr>
      </w:pPr>
      <w:bookmarkStart w:id="112" w:name="_Toc28687"/>
      <w:bookmarkStart w:id="113" w:name="_Toc982"/>
      <w:bookmarkStart w:id="114" w:name="_Toc133783974"/>
      <w:bookmarkStart w:id="115" w:name="_Toc9975"/>
      <w:bookmarkStart w:id="116" w:name="_Toc29100"/>
      <w:bookmarkStart w:id="117" w:name="_Toc403466190"/>
      <w:r>
        <w:rPr>
          <w:rFonts w:hint="eastAsia" w:ascii="仿宋" w:hAnsi="仿宋" w:eastAsia="仿宋" w:cs="仿宋"/>
          <w:bCs w:val="0"/>
          <w:sz w:val="24"/>
          <w:szCs w:val="24"/>
        </w:rPr>
        <w:t>第五章  预验收和终验收</w:t>
      </w:r>
      <w:bookmarkEnd w:id="112"/>
      <w:bookmarkEnd w:id="113"/>
      <w:bookmarkEnd w:id="114"/>
      <w:bookmarkEnd w:id="115"/>
      <w:bookmarkEnd w:id="116"/>
      <w:bookmarkEnd w:id="117"/>
    </w:p>
    <w:p w14:paraId="028088E3">
      <w:pPr>
        <w:spacing w:line="360" w:lineRule="auto"/>
        <w:ind w:firstLine="480" w:firstLineChars="200"/>
        <w:outlineLvl w:val="1"/>
        <w:rPr>
          <w:rFonts w:hint="eastAsia" w:ascii="仿宋" w:hAnsi="仿宋" w:eastAsia="仿宋" w:cs="仿宋"/>
          <w:sz w:val="24"/>
          <w:szCs w:val="24"/>
        </w:rPr>
      </w:pPr>
      <w:bookmarkStart w:id="118" w:name="_Toc24227"/>
      <w:bookmarkStart w:id="119" w:name="_Toc15708"/>
      <w:bookmarkStart w:id="120" w:name="_Toc30827"/>
      <w:bookmarkStart w:id="121" w:name="_Toc21764"/>
      <w:r>
        <w:rPr>
          <w:rFonts w:hint="eastAsia" w:ascii="仿宋" w:hAnsi="仿宋" w:eastAsia="仿宋" w:cs="仿宋"/>
          <w:sz w:val="24"/>
          <w:szCs w:val="24"/>
        </w:rPr>
        <w:t>1  验收的一般约定</w:t>
      </w:r>
      <w:bookmarkEnd w:id="118"/>
      <w:bookmarkEnd w:id="119"/>
      <w:bookmarkEnd w:id="120"/>
      <w:bookmarkEnd w:id="121"/>
    </w:p>
    <w:p w14:paraId="2E6FA2F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  验收标准一般以技术协议书和合同规定验收。</w:t>
      </w:r>
    </w:p>
    <w:p w14:paraId="07534AA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  如果验收过程中，发现招标文件、投标文件、答疑文件、技术交流文件等与技术协议书、合同存在差异，原则上以涉及条款中对买方最有利条款为验收依据。</w:t>
      </w:r>
    </w:p>
    <w:p w14:paraId="3B65F7B8">
      <w:pPr>
        <w:adjustRightInd w:val="0"/>
        <w:snapToGrid w:val="0"/>
        <w:spacing w:line="360" w:lineRule="auto"/>
        <w:ind w:firstLine="480" w:firstLineChars="200"/>
        <w:outlineLvl w:val="1"/>
        <w:rPr>
          <w:rFonts w:hint="eastAsia" w:ascii="仿宋" w:hAnsi="仿宋" w:eastAsia="仿宋" w:cs="仿宋"/>
          <w:sz w:val="24"/>
          <w:szCs w:val="24"/>
        </w:rPr>
      </w:pPr>
      <w:bookmarkStart w:id="122" w:name="_Toc6920"/>
      <w:bookmarkStart w:id="123" w:name="_Toc13235"/>
      <w:bookmarkStart w:id="124" w:name="_Toc21740"/>
      <w:bookmarkStart w:id="125" w:name="_Toc13440"/>
      <w:r>
        <w:rPr>
          <w:rFonts w:hint="eastAsia" w:ascii="仿宋" w:hAnsi="仿宋" w:eastAsia="仿宋" w:cs="仿宋"/>
          <w:sz w:val="24"/>
          <w:szCs w:val="24"/>
        </w:rPr>
        <w:t>2  检验</w:t>
      </w:r>
      <w:bookmarkEnd w:id="122"/>
      <w:bookmarkEnd w:id="123"/>
      <w:bookmarkEnd w:id="124"/>
      <w:bookmarkEnd w:id="125"/>
    </w:p>
    <w:p w14:paraId="611A163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  国产设备的检验由卖买双方按照合同要求或在制造现场进行。</w:t>
      </w:r>
    </w:p>
    <w:p w14:paraId="6E459CC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  进口设备的检验按照下述要求进行：</w:t>
      </w:r>
    </w:p>
    <w:p w14:paraId="14F532F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2.1.1  进口设备发货前，卖方应对设备的质量、型号、规格、性能和数量/重量作精密、全面的检验，并出具证明书，证明所供设备符合合同规定。</w:t>
      </w:r>
    </w:p>
    <w:p w14:paraId="6F1E66AF">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2.1.2  卖方应依据合同规定的要求，提供买卖双方达成一致的设备的验收标准和装箱单，作为买方检验的依据。</w:t>
      </w:r>
    </w:p>
    <w:p w14:paraId="621416E3">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2.1.3  进口设备到达目的地后，买方有权申请中国商品检验检疫局进行检验，如发现设备的品质及规格与合同或发票不符，除买方的责任外，买方有权在设备到达卸货目的地后180个日历日内，根据中国商品检验检疫局出具的证明书向卖方提出索赔，因索赔所发生的一切费用(包括检验检疫费等)均由卖方承担。</w:t>
      </w:r>
    </w:p>
    <w:p w14:paraId="3F1C2376">
      <w:pPr>
        <w:adjustRightInd w:val="0"/>
        <w:snapToGrid w:val="0"/>
        <w:spacing w:line="360" w:lineRule="auto"/>
        <w:ind w:firstLine="480" w:firstLineChars="200"/>
        <w:outlineLvl w:val="1"/>
        <w:rPr>
          <w:rFonts w:hint="eastAsia" w:ascii="仿宋" w:hAnsi="仿宋" w:eastAsia="仿宋" w:cs="仿宋"/>
          <w:sz w:val="24"/>
          <w:szCs w:val="24"/>
        </w:rPr>
      </w:pPr>
      <w:bookmarkStart w:id="126" w:name="_Toc23498"/>
      <w:bookmarkStart w:id="127" w:name="_Toc20533"/>
      <w:bookmarkStart w:id="128" w:name="_Toc6450"/>
      <w:bookmarkStart w:id="129" w:name="_Toc18888"/>
      <w:r>
        <w:rPr>
          <w:rFonts w:hint="eastAsia" w:ascii="仿宋" w:hAnsi="仿宋" w:eastAsia="仿宋" w:cs="仿宋"/>
          <w:sz w:val="24"/>
          <w:szCs w:val="24"/>
        </w:rPr>
        <w:t>3  验收条件</w:t>
      </w:r>
      <w:bookmarkEnd w:id="126"/>
      <w:bookmarkEnd w:id="127"/>
      <w:bookmarkEnd w:id="128"/>
      <w:bookmarkEnd w:id="129"/>
    </w:p>
    <w:p w14:paraId="681C3F54">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7F82C48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买卖双方按照合同约定执行了合同，同时设备完成了试运行并经检验合格，则具备验收条件。</w:t>
      </w:r>
    </w:p>
    <w:p w14:paraId="452AC48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  预验收一般条件</w:t>
      </w:r>
    </w:p>
    <w:p w14:paraId="6372B88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3.1.1  卖方已经按照“供货范围”要求提供了预验收资料，并且资料齐全、完整和有效。</w:t>
      </w:r>
    </w:p>
    <w:p w14:paraId="46AFE933">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3.1.2  设备应运行稳定、可靠、安全，无非正常变形，非正常振动，无异常声音；无漏水、漏液、漏气（汽）、漏电等现象。运动的零部件（如链条、联轴器、离合器、主轴、工作台等）动作平稳、灵活运动准确。</w:t>
      </w:r>
    </w:p>
    <w:p w14:paraId="72D7391E">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3.1.3  设备应完整且所有的零部件应该安装牢固，外观无损伤，所有的焊缝饱满、无残渣等缺陷。</w:t>
      </w:r>
    </w:p>
    <w:p w14:paraId="1318051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3.1.4  一般情况下，所有的管路和线缆等，接头应完全正确、可靠地联接；应排列有序（正确、牢固、整齐），有必要的防护，无皱褶、收缩和裂缝等不良现象。</w:t>
      </w:r>
    </w:p>
    <w:p w14:paraId="135F5D0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3.1.5  设备的润滑系统工作正常、可靠，润滑点易于到达。</w:t>
      </w:r>
    </w:p>
    <w:p w14:paraId="051B42E8">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3.1.6  使用的压力容器、电气等应具备合格证（如果有压力容器）。</w:t>
      </w:r>
    </w:p>
    <w:p w14:paraId="23A40FB6">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3.1.7  设备的油漆质量应饱满、有光泽，无掉漆、无色差、无“桔皮”等不良现象（特殊标志除外）。</w:t>
      </w:r>
    </w:p>
    <w:p w14:paraId="2312D153">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3.1.8  设备标牌完整、清晰、明确。</w:t>
      </w:r>
    </w:p>
    <w:p w14:paraId="75758C23">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3.1.9  地线联接和地极符合国际（ISO/IEC）标准规范。</w:t>
      </w:r>
    </w:p>
    <w:p w14:paraId="5792DCF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3.1.10  设备的安全要求符合中国最新的相关法律、法规、标准和规范以及合同要求，并递交相关检测报告。</w:t>
      </w:r>
    </w:p>
    <w:p w14:paraId="00CBF8D8">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w:t>
      </w:r>
      <w:r>
        <w:rPr>
          <w:rFonts w:ascii="仿宋" w:hAnsi="仿宋" w:eastAsia="仿宋" w:cs="仿宋"/>
          <w:sz w:val="24"/>
          <w:szCs w:val="24"/>
        </w:rPr>
        <w:t>.1.11</w:t>
      </w:r>
      <w:r>
        <w:rPr>
          <w:rFonts w:hint="eastAsia" w:ascii="仿宋" w:hAnsi="仿宋" w:eastAsia="仿宋" w:cs="仿宋"/>
          <w:sz w:val="24"/>
          <w:szCs w:val="24"/>
        </w:rPr>
        <w:t>预验收试件的发放</w:t>
      </w:r>
      <w:r>
        <w:rPr>
          <w:rFonts w:hint="eastAsia" w:ascii="仿宋" w:hAnsi="仿宋" w:eastAsia="仿宋" w:cs="仿宋"/>
          <w:sz w:val="24"/>
          <w:szCs w:val="24"/>
          <w:lang w:val="en-US" w:eastAsia="zh-CN"/>
        </w:rPr>
        <w:t>品种和数量</w:t>
      </w:r>
      <w:r>
        <w:rPr>
          <w:rFonts w:hint="eastAsia" w:ascii="仿宋" w:hAnsi="仿宋" w:eastAsia="仿宋" w:cs="仿宋"/>
          <w:sz w:val="24"/>
          <w:szCs w:val="24"/>
        </w:rPr>
        <w:t>由技术协议约定</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试件运输及包装费用由中标方承担</w:t>
      </w:r>
      <w:r>
        <w:rPr>
          <w:rFonts w:hint="eastAsia" w:ascii="仿宋" w:hAnsi="仿宋" w:eastAsia="仿宋" w:cs="仿宋"/>
          <w:sz w:val="24"/>
          <w:szCs w:val="24"/>
        </w:rPr>
        <w:t>。</w:t>
      </w:r>
    </w:p>
    <w:p w14:paraId="0E44CD6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  终验收一般条件</w:t>
      </w:r>
    </w:p>
    <w:p w14:paraId="6A048F7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3.2.1  经过预验收而且没有出现新的质量问题，或者满足预验收条款。</w:t>
      </w:r>
    </w:p>
    <w:p w14:paraId="622882C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3.2.2  设备安装调试完毕，并至少经过了验收要求的负荷试运行。</w:t>
      </w:r>
    </w:p>
    <w:p w14:paraId="358D2C9F">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3.2.3  设备正常运行时，噪声等环境影响因素满足国家和当地环保主管部门规定，安全措施落实、有效。</w:t>
      </w:r>
    </w:p>
    <w:p w14:paraId="4615CEAF">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3.2.4  计量仪器、仪表配套合理，采用中国的法定计量单位，计量准确、灵敏可靠。保证设计指标和仪器说明书的参数的实现。</w:t>
      </w:r>
    </w:p>
    <w:p w14:paraId="2329C70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3.2.5  试运行期间或之后无维修、调整等行为（特殊情况除外）。</w:t>
      </w:r>
    </w:p>
    <w:p w14:paraId="1A79107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3.2.6  设备质量、技术性能等，达到签定的技术协议书和合同规定的终验收标准。 </w:t>
      </w:r>
    </w:p>
    <w:p w14:paraId="2F90EF8F">
      <w:pPr>
        <w:spacing w:line="360" w:lineRule="auto"/>
        <w:ind w:firstLine="480" w:firstLineChars="200"/>
        <w:outlineLvl w:val="1"/>
        <w:rPr>
          <w:rFonts w:hint="eastAsia" w:ascii="仿宋" w:hAnsi="仿宋" w:eastAsia="仿宋" w:cs="仿宋"/>
          <w:sz w:val="24"/>
          <w:szCs w:val="24"/>
        </w:rPr>
      </w:pPr>
      <w:bookmarkStart w:id="130" w:name="_Toc24766"/>
      <w:bookmarkStart w:id="131" w:name="_Toc27981"/>
      <w:bookmarkStart w:id="132" w:name="_Toc5922"/>
      <w:bookmarkStart w:id="133" w:name="_Toc17057"/>
      <w:r>
        <w:rPr>
          <w:rFonts w:hint="eastAsia" w:ascii="仿宋" w:hAnsi="仿宋" w:eastAsia="仿宋" w:cs="仿宋"/>
          <w:sz w:val="24"/>
          <w:szCs w:val="24"/>
        </w:rPr>
        <w:t>4  终验收基本要求</w:t>
      </w:r>
      <w:bookmarkEnd w:id="130"/>
      <w:bookmarkEnd w:id="131"/>
      <w:bookmarkEnd w:id="132"/>
      <w:bookmarkEnd w:id="133"/>
    </w:p>
    <w:p w14:paraId="7B1E8618">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  设备允许情况下，一般先连续空运转</w:t>
      </w:r>
      <w:r>
        <w:rPr>
          <w:rFonts w:hint="eastAsia" w:ascii="仿宋" w:hAnsi="仿宋" w:eastAsia="仿宋" w:cs="仿宋"/>
          <w:sz w:val="24"/>
          <w:szCs w:val="24"/>
          <w:u w:val="single"/>
          <w:shd w:val="pct10" w:color="auto" w:fill="FFFFFF"/>
        </w:rPr>
        <w:t xml:space="preserve">   2   </w:t>
      </w:r>
      <w:r>
        <w:rPr>
          <w:rFonts w:hint="eastAsia" w:ascii="仿宋" w:hAnsi="仿宋" w:eastAsia="仿宋" w:cs="仿宋"/>
          <w:sz w:val="24"/>
          <w:szCs w:val="24"/>
        </w:rPr>
        <w:t>小时，然后再进行负荷运行。</w:t>
      </w:r>
    </w:p>
    <w:p w14:paraId="2A77C78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  负荷运行时，设备应连续运行</w:t>
      </w:r>
      <w:r>
        <w:rPr>
          <w:rFonts w:hint="eastAsia" w:ascii="仿宋" w:hAnsi="仿宋" w:eastAsia="仿宋" w:cs="仿宋"/>
          <w:sz w:val="24"/>
          <w:szCs w:val="24"/>
          <w:u w:val="single"/>
          <w:shd w:val="pct10" w:color="auto" w:fill="FFFFFF"/>
        </w:rPr>
        <w:t xml:space="preserve">  5  </w:t>
      </w:r>
      <w:r>
        <w:rPr>
          <w:rFonts w:hint="eastAsia" w:ascii="仿宋" w:hAnsi="仿宋" w:eastAsia="仿宋" w:cs="仿宋"/>
          <w:sz w:val="24"/>
          <w:szCs w:val="24"/>
        </w:rPr>
        <w:t>天，</w:t>
      </w:r>
      <w:r>
        <w:rPr>
          <w:rFonts w:hint="eastAsia" w:ascii="仿宋" w:hAnsi="仿宋" w:eastAsia="仿宋" w:cs="仿宋"/>
          <w:sz w:val="24"/>
          <w:szCs w:val="24"/>
          <w:lang w:val="en-US" w:eastAsia="zh-CN"/>
        </w:rPr>
        <w:t>测试数量不小于</w:t>
      </w:r>
      <w:r>
        <w:rPr>
          <w:rFonts w:hint="eastAsia" w:ascii="仿宋" w:hAnsi="仿宋" w:eastAsia="仿宋" w:cs="仿宋"/>
          <w:sz w:val="24"/>
          <w:szCs w:val="24"/>
          <w:u w:val="single"/>
          <w:lang w:val="en-US" w:eastAsia="zh-CN"/>
        </w:rPr>
        <w:t>50</w:t>
      </w:r>
      <w:r>
        <w:rPr>
          <w:rFonts w:hint="eastAsia" w:ascii="仿宋" w:hAnsi="仿宋" w:eastAsia="仿宋" w:cs="仿宋"/>
          <w:sz w:val="24"/>
          <w:szCs w:val="24"/>
          <w:lang w:val="en-US" w:eastAsia="zh-CN"/>
        </w:rPr>
        <w:t>件，其中1天</w:t>
      </w:r>
      <w:r>
        <w:rPr>
          <w:rFonts w:hint="eastAsia" w:ascii="仿宋" w:hAnsi="仿宋" w:eastAsia="仿宋" w:cs="仿宋"/>
          <w:sz w:val="24"/>
          <w:szCs w:val="24"/>
        </w:rPr>
        <w:t>连续</w:t>
      </w:r>
      <w:r>
        <w:rPr>
          <w:rFonts w:hint="eastAsia" w:ascii="仿宋" w:hAnsi="仿宋" w:eastAsia="仿宋" w:cs="仿宋"/>
          <w:sz w:val="24"/>
          <w:szCs w:val="24"/>
          <w:lang w:val="en-US" w:eastAsia="zh-CN"/>
        </w:rPr>
        <w:t>测试</w:t>
      </w:r>
      <w:r>
        <w:rPr>
          <w:rFonts w:hint="eastAsia" w:ascii="仿宋" w:hAnsi="仿宋" w:eastAsia="仿宋" w:cs="仿宋"/>
          <w:sz w:val="24"/>
          <w:szCs w:val="24"/>
          <w:u w:val="single"/>
        </w:rPr>
        <w:t xml:space="preserve"> </w:t>
      </w:r>
      <w:r>
        <w:rPr>
          <w:rFonts w:hint="eastAsia" w:ascii="仿宋" w:hAnsi="仿宋" w:eastAsia="仿宋" w:cs="仿宋"/>
          <w:sz w:val="24"/>
          <w:szCs w:val="24"/>
          <w:u w:val="single"/>
          <w:shd w:val="pct10" w:color="auto" w:fill="FFFFFF"/>
        </w:rPr>
        <w:t xml:space="preserve">  </w:t>
      </w:r>
      <w:r>
        <w:rPr>
          <w:rFonts w:hint="eastAsia" w:ascii="仿宋" w:hAnsi="仿宋" w:eastAsia="仿宋" w:cs="仿宋"/>
          <w:sz w:val="24"/>
          <w:szCs w:val="24"/>
          <w:u w:val="single"/>
          <w:shd w:val="pct10" w:color="auto" w:fill="FFFFFF"/>
          <w:lang w:val="en-US" w:eastAsia="zh-CN"/>
        </w:rPr>
        <w:t>10</w:t>
      </w:r>
      <w:r>
        <w:rPr>
          <w:rFonts w:hint="eastAsia" w:ascii="仿宋" w:hAnsi="仿宋" w:eastAsia="仿宋" w:cs="仿宋"/>
          <w:sz w:val="24"/>
          <w:szCs w:val="24"/>
          <w:u w:val="single"/>
          <w:shd w:val="pct10" w:color="auto" w:fill="FFFFFF"/>
        </w:rPr>
        <w:t xml:space="preserve">  </w:t>
      </w:r>
      <w:r>
        <w:rPr>
          <w:rFonts w:hint="eastAsia" w:ascii="仿宋" w:hAnsi="仿宋" w:eastAsia="仿宋" w:cs="仿宋"/>
          <w:sz w:val="24"/>
          <w:szCs w:val="24"/>
          <w:u w:val="single"/>
          <w:shd w:val="pct10" w:color="auto" w:fill="FFFFFF"/>
          <w:lang w:val="en-US" w:eastAsia="zh-CN"/>
        </w:rPr>
        <w:t>件</w:t>
      </w:r>
      <w:r>
        <w:rPr>
          <w:rFonts w:hint="eastAsia" w:ascii="仿宋" w:hAnsi="仿宋" w:eastAsia="仿宋" w:cs="仿宋"/>
          <w:sz w:val="24"/>
          <w:szCs w:val="24"/>
          <w:lang w:val="en-US" w:eastAsia="zh-CN"/>
        </w:rPr>
        <w:t>，达到节拍要求，</w:t>
      </w:r>
      <w:r>
        <w:rPr>
          <w:rFonts w:hint="eastAsia" w:ascii="仿宋" w:hAnsi="仿宋" w:eastAsia="仿宋" w:cs="仿宋"/>
          <w:sz w:val="24"/>
          <w:szCs w:val="24"/>
        </w:rPr>
        <w:t>除用户方面因素外，必须达到以下要求：</w:t>
      </w:r>
    </w:p>
    <w:p w14:paraId="436B56F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4.2.1  在整个验收过程中没有维修、更换零部件或元件行为；</w:t>
      </w:r>
    </w:p>
    <w:p w14:paraId="4B1E9DE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4.2.2  所有出现的调整，每次调整时间均不超过</w:t>
      </w:r>
      <w:r>
        <w:rPr>
          <w:rFonts w:hint="eastAsia" w:ascii="仿宋" w:hAnsi="仿宋" w:eastAsia="仿宋" w:cs="仿宋"/>
          <w:sz w:val="24"/>
          <w:szCs w:val="24"/>
          <w:u w:val="single"/>
          <w:shd w:val="pct10" w:color="auto" w:fill="FFFFFF"/>
        </w:rPr>
        <w:t xml:space="preserve">  30  </w:t>
      </w:r>
      <w:r>
        <w:rPr>
          <w:rFonts w:hint="eastAsia" w:ascii="仿宋" w:hAnsi="仿宋" w:eastAsia="仿宋" w:cs="仿宋"/>
          <w:sz w:val="24"/>
          <w:szCs w:val="24"/>
        </w:rPr>
        <w:t>分钟；</w:t>
      </w:r>
    </w:p>
    <w:p w14:paraId="665930EA">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4.2.3  所有调整时间的总和不超过总运行时间的</w:t>
      </w:r>
      <w:r>
        <w:rPr>
          <w:rFonts w:hint="eastAsia" w:ascii="仿宋" w:hAnsi="仿宋" w:eastAsia="仿宋" w:cs="仿宋"/>
          <w:sz w:val="24"/>
          <w:szCs w:val="24"/>
          <w:u w:val="single"/>
          <w:shd w:val="pct10" w:color="auto" w:fill="FFFFFF"/>
        </w:rPr>
        <w:t xml:space="preserve">   5  </w:t>
      </w:r>
      <w:r>
        <w:rPr>
          <w:rFonts w:hint="eastAsia" w:ascii="仿宋" w:hAnsi="仿宋" w:eastAsia="仿宋" w:cs="仿宋"/>
          <w:sz w:val="24"/>
          <w:szCs w:val="24"/>
        </w:rPr>
        <w:t>%，如果超过5%，则试运行时间重新计算；</w:t>
      </w:r>
    </w:p>
    <w:p w14:paraId="63BCE064">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4.2.4  累计负载运行实际性能（生产能力或生产率）达到合同规定；（能力低于标书规定在20%以内，罚款额为货物总价的10%；超过20%以上，视为供货方违约，招标方有权解除合同，由此造成的损失由投标方承担）。</w:t>
      </w:r>
    </w:p>
    <w:p w14:paraId="1B9B1AE7">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4.2.5  终验收原则上要求一次完成。若一次验收不成功，最多允许两次；</w:t>
      </w:r>
    </w:p>
    <w:p w14:paraId="5E84A550">
      <w:pPr>
        <w:adjustRightInd w:val="0"/>
        <w:snapToGrid w:val="0"/>
        <w:spacing w:line="360" w:lineRule="auto"/>
        <w:ind w:firstLine="480" w:firstLineChars="200"/>
        <w:rPr>
          <w:rFonts w:hint="eastAsia" w:ascii="仿宋" w:hAnsi="仿宋" w:eastAsia="仿宋" w:cs="仿宋"/>
          <w:sz w:val="24"/>
          <w:szCs w:val="24"/>
        </w:rPr>
      </w:pPr>
      <w:bookmarkStart w:id="134" w:name="_Hlk58765216"/>
      <w:bookmarkStart w:id="135" w:name="_Toc403466191"/>
      <w:bookmarkStart w:id="136" w:name="_Toc133783975"/>
      <w:r>
        <w:rPr>
          <w:rFonts w:hint="eastAsia" w:ascii="仿宋" w:hAnsi="仿宋" w:eastAsia="仿宋" w:cs="仿宋"/>
          <w:sz w:val="24"/>
          <w:szCs w:val="24"/>
        </w:rPr>
        <w:t xml:space="preserve">4.2.6  </w:t>
      </w:r>
      <w:r>
        <w:rPr>
          <w:rFonts w:hint="eastAsia" w:ascii="仿宋" w:hAnsi="仿宋" w:eastAsia="仿宋" w:cs="仿宋"/>
          <w:spacing w:val="24"/>
          <w:kern w:val="10"/>
          <w:sz w:val="24"/>
          <w:szCs w:val="24"/>
        </w:rPr>
        <w:t>负荷运行时，设备连续生产</w:t>
      </w:r>
      <w:r>
        <w:rPr>
          <w:rFonts w:hint="eastAsia" w:ascii="仿宋" w:hAnsi="仿宋" w:eastAsia="仿宋" w:cs="仿宋"/>
          <w:spacing w:val="24"/>
          <w:kern w:val="10"/>
          <w:sz w:val="24"/>
          <w:szCs w:val="24"/>
          <w:u w:val="single"/>
        </w:rPr>
        <w:t xml:space="preserve">  30  </w:t>
      </w:r>
      <w:r>
        <w:rPr>
          <w:rFonts w:hint="eastAsia" w:ascii="仿宋" w:hAnsi="仿宋" w:eastAsia="仿宋" w:cs="仿宋"/>
          <w:spacing w:val="24"/>
          <w:kern w:val="10"/>
          <w:sz w:val="24"/>
          <w:szCs w:val="24"/>
        </w:rPr>
        <w:t>天，验证生产线满足第二章第三项的</w:t>
      </w:r>
      <w:r>
        <w:rPr>
          <w:rFonts w:hint="eastAsia" w:ascii="仿宋" w:hAnsi="仿宋" w:eastAsia="仿宋" w:cs="仿宋"/>
          <w:sz w:val="24"/>
          <w:szCs w:val="24"/>
        </w:rPr>
        <w:t>技术规范</w:t>
      </w:r>
      <w:r>
        <w:rPr>
          <w:rFonts w:hint="eastAsia" w:ascii="仿宋" w:hAnsi="仿宋" w:eastAsia="仿宋" w:cs="仿宋"/>
          <w:spacing w:val="24"/>
          <w:kern w:val="10"/>
          <w:sz w:val="24"/>
          <w:szCs w:val="24"/>
        </w:rPr>
        <w:t>要求。</w:t>
      </w:r>
    </w:p>
    <w:bookmarkEnd w:id="134"/>
    <w:p w14:paraId="109C0818">
      <w:pPr>
        <w:pStyle w:val="2"/>
        <w:spacing w:before="120" w:after="120" w:line="360" w:lineRule="auto"/>
        <w:jc w:val="center"/>
        <w:rPr>
          <w:rFonts w:hint="eastAsia" w:ascii="仿宋" w:hAnsi="仿宋" w:eastAsia="仿宋" w:cs="仿宋"/>
          <w:b w:val="0"/>
          <w:sz w:val="24"/>
          <w:szCs w:val="24"/>
        </w:rPr>
      </w:pPr>
      <w:bookmarkStart w:id="137" w:name="_Toc3572"/>
      <w:bookmarkStart w:id="138" w:name="_Toc682"/>
      <w:bookmarkStart w:id="139" w:name="_Toc25886"/>
      <w:bookmarkStart w:id="140" w:name="_Toc23795"/>
      <w:r>
        <w:rPr>
          <w:rFonts w:hint="eastAsia" w:ascii="仿宋" w:hAnsi="仿宋" w:eastAsia="仿宋" w:cs="仿宋"/>
          <w:bCs w:val="0"/>
          <w:sz w:val="24"/>
          <w:szCs w:val="24"/>
        </w:rPr>
        <w:t>第六章  投标技术文件一般要求</w:t>
      </w:r>
      <w:bookmarkEnd w:id="135"/>
      <w:bookmarkEnd w:id="136"/>
      <w:bookmarkEnd w:id="137"/>
      <w:bookmarkEnd w:id="138"/>
      <w:bookmarkEnd w:id="139"/>
      <w:bookmarkEnd w:id="140"/>
    </w:p>
    <w:p w14:paraId="3017B81F">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  投标方应认真阅读招标文件和本技术标书，并按要求编写投标技术文件。</w:t>
      </w:r>
    </w:p>
    <w:p w14:paraId="7FF81804">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投标技术文件至少应对投标设备的“技术偏离”、“商务偏离”作出有无说明；若有，应予以详细填写和说明。</w:t>
      </w:r>
    </w:p>
    <w:p w14:paraId="1580628D">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  投标技术文件至少应对投标设备的功能用途、技术性能、质量标准、技术参数等作出详细说明。</w:t>
      </w:r>
    </w:p>
    <w:p w14:paraId="728913A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  投标技术文件至少应根据投标设备的关键设备、总成、零部件或系统作出优越性说明。</w:t>
      </w:r>
    </w:p>
    <w:p w14:paraId="34E61C87">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  投标技术文件至少应根据投标设备的配置，按照备品备件、易损件和专用耗材明细表要求以及投标设备主要配置一览表要求（见下表），认真全面填写。</w:t>
      </w:r>
    </w:p>
    <w:p w14:paraId="52E8B86D">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 xml:space="preserve">                </w:t>
      </w:r>
      <w:bookmarkStart w:id="141" w:name="_Toc21034"/>
      <w:bookmarkStart w:id="142" w:name="_Toc2528"/>
      <w:bookmarkStart w:id="143" w:name="_Toc23440"/>
      <w:bookmarkStart w:id="144" w:name="_Toc12942"/>
      <w:r>
        <w:rPr>
          <w:rFonts w:hint="eastAsia" w:ascii="仿宋" w:hAnsi="仿宋" w:eastAsia="仿宋" w:cs="仿宋"/>
          <w:sz w:val="24"/>
          <w:szCs w:val="24"/>
        </w:rPr>
        <w:t>投标设备主要配置一览表                单位：元</w:t>
      </w:r>
      <w:bookmarkEnd w:id="141"/>
      <w:bookmarkEnd w:id="142"/>
      <w:bookmarkEnd w:id="143"/>
      <w:bookmarkEnd w:id="144"/>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620"/>
        <w:gridCol w:w="720"/>
        <w:gridCol w:w="720"/>
        <w:gridCol w:w="720"/>
        <w:gridCol w:w="720"/>
        <w:gridCol w:w="1710"/>
      </w:tblGrid>
      <w:tr w14:paraId="35F8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6FF1F39C">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名称</w:t>
            </w:r>
          </w:p>
        </w:tc>
        <w:tc>
          <w:tcPr>
            <w:tcW w:w="1620" w:type="dxa"/>
            <w:noWrap w:val="0"/>
            <w:vAlign w:val="top"/>
          </w:tcPr>
          <w:p w14:paraId="3019288E">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型号规格</w:t>
            </w:r>
          </w:p>
        </w:tc>
        <w:tc>
          <w:tcPr>
            <w:tcW w:w="720" w:type="dxa"/>
            <w:noWrap w:val="0"/>
            <w:vAlign w:val="top"/>
          </w:tcPr>
          <w:p w14:paraId="576A2CFC">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单位</w:t>
            </w:r>
          </w:p>
        </w:tc>
        <w:tc>
          <w:tcPr>
            <w:tcW w:w="720" w:type="dxa"/>
            <w:noWrap w:val="0"/>
            <w:vAlign w:val="top"/>
          </w:tcPr>
          <w:p w14:paraId="3809678E">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数量</w:t>
            </w:r>
          </w:p>
        </w:tc>
        <w:tc>
          <w:tcPr>
            <w:tcW w:w="720" w:type="dxa"/>
            <w:noWrap w:val="0"/>
            <w:vAlign w:val="top"/>
          </w:tcPr>
          <w:p w14:paraId="7B16A276">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单价</w:t>
            </w:r>
          </w:p>
        </w:tc>
        <w:tc>
          <w:tcPr>
            <w:tcW w:w="720" w:type="dxa"/>
            <w:noWrap w:val="0"/>
            <w:vAlign w:val="top"/>
          </w:tcPr>
          <w:p w14:paraId="787CFD39">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总价</w:t>
            </w:r>
          </w:p>
        </w:tc>
        <w:tc>
          <w:tcPr>
            <w:tcW w:w="1710" w:type="dxa"/>
            <w:noWrap w:val="0"/>
            <w:vAlign w:val="top"/>
          </w:tcPr>
          <w:p w14:paraId="606E2635">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制造商</w:t>
            </w:r>
          </w:p>
        </w:tc>
      </w:tr>
      <w:tr w14:paraId="6D00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1B6D030A">
            <w:pPr>
              <w:adjustRightInd w:val="0"/>
              <w:snapToGrid w:val="0"/>
              <w:spacing w:line="360" w:lineRule="exact"/>
              <w:rPr>
                <w:rFonts w:hint="eastAsia" w:ascii="仿宋" w:hAnsi="仿宋" w:eastAsia="仿宋" w:cs="仿宋"/>
                <w:sz w:val="24"/>
                <w:szCs w:val="24"/>
              </w:rPr>
            </w:pPr>
          </w:p>
        </w:tc>
        <w:tc>
          <w:tcPr>
            <w:tcW w:w="1620" w:type="dxa"/>
            <w:noWrap w:val="0"/>
            <w:vAlign w:val="top"/>
          </w:tcPr>
          <w:p w14:paraId="1713DA69">
            <w:pPr>
              <w:adjustRightInd w:val="0"/>
              <w:snapToGrid w:val="0"/>
              <w:spacing w:line="360" w:lineRule="exact"/>
              <w:rPr>
                <w:rFonts w:hint="eastAsia" w:ascii="仿宋" w:hAnsi="仿宋" w:eastAsia="仿宋" w:cs="仿宋"/>
                <w:sz w:val="24"/>
                <w:szCs w:val="24"/>
              </w:rPr>
            </w:pPr>
          </w:p>
        </w:tc>
        <w:tc>
          <w:tcPr>
            <w:tcW w:w="720" w:type="dxa"/>
            <w:noWrap w:val="0"/>
            <w:vAlign w:val="top"/>
          </w:tcPr>
          <w:p w14:paraId="52D4CC06">
            <w:pPr>
              <w:adjustRightInd w:val="0"/>
              <w:snapToGrid w:val="0"/>
              <w:spacing w:line="360" w:lineRule="exact"/>
              <w:rPr>
                <w:rFonts w:hint="eastAsia" w:ascii="仿宋" w:hAnsi="仿宋" w:eastAsia="仿宋" w:cs="仿宋"/>
                <w:sz w:val="24"/>
                <w:szCs w:val="24"/>
              </w:rPr>
            </w:pPr>
          </w:p>
        </w:tc>
        <w:tc>
          <w:tcPr>
            <w:tcW w:w="720" w:type="dxa"/>
            <w:noWrap w:val="0"/>
            <w:vAlign w:val="top"/>
          </w:tcPr>
          <w:p w14:paraId="21E29B0F">
            <w:pPr>
              <w:adjustRightInd w:val="0"/>
              <w:snapToGrid w:val="0"/>
              <w:spacing w:line="360" w:lineRule="exact"/>
              <w:rPr>
                <w:rFonts w:hint="eastAsia" w:ascii="仿宋" w:hAnsi="仿宋" w:eastAsia="仿宋" w:cs="仿宋"/>
                <w:sz w:val="24"/>
                <w:szCs w:val="24"/>
              </w:rPr>
            </w:pPr>
          </w:p>
        </w:tc>
        <w:tc>
          <w:tcPr>
            <w:tcW w:w="720" w:type="dxa"/>
            <w:noWrap w:val="0"/>
            <w:vAlign w:val="top"/>
          </w:tcPr>
          <w:p w14:paraId="78F32F49">
            <w:pPr>
              <w:adjustRightInd w:val="0"/>
              <w:snapToGrid w:val="0"/>
              <w:spacing w:line="360" w:lineRule="exact"/>
              <w:rPr>
                <w:rFonts w:hint="eastAsia" w:ascii="仿宋" w:hAnsi="仿宋" w:eastAsia="仿宋" w:cs="仿宋"/>
                <w:sz w:val="24"/>
                <w:szCs w:val="24"/>
              </w:rPr>
            </w:pPr>
          </w:p>
        </w:tc>
        <w:tc>
          <w:tcPr>
            <w:tcW w:w="720" w:type="dxa"/>
            <w:noWrap w:val="0"/>
            <w:vAlign w:val="top"/>
          </w:tcPr>
          <w:p w14:paraId="5F015805">
            <w:pPr>
              <w:adjustRightInd w:val="0"/>
              <w:snapToGrid w:val="0"/>
              <w:spacing w:line="360" w:lineRule="exact"/>
              <w:rPr>
                <w:rFonts w:hint="eastAsia" w:ascii="仿宋" w:hAnsi="仿宋" w:eastAsia="仿宋" w:cs="仿宋"/>
                <w:sz w:val="24"/>
                <w:szCs w:val="24"/>
              </w:rPr>
            </w:pPr>
          </w:p>
        </w:tc>
        <w:tc>
          <w:tcPr>
            <w:tcW w:w="1710" w:type="dxa"/>
            <w:noWrap w:val="0"/>
            <w:vAlign w:val="top"/>
          </w:tcPr>
          <w:p w14:paraId="7A167A86">
            <w:pPr>
              <w:adjustRightInd w:val="0"/>
              <w:snapToGrid w:val="0"/>
              <w:spacing w:line="360" w:lineRule="exact"/>
              <w:rPr>
                <w:rFonts w:hint="eastAsia" w:ascii="仿宋" w:hAnsi="仿宋" w:eastAsia="仿宋" w:cs="仿宋"/>
                <w:sz w:val="24"/>
                <w:szCs w:val="24"/>
              </w:rPr>
            </w:pPr>
          </w:p>
        </w:tc>
      </w:tr>
      <w:tr w14:paraId="2DBA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1317F568">
            <w:pPr>
              <w:adjustRightInd w:val="0"/>
              <w:snapToGrid w:val="0"/>
              <w:spacing w:line="360" w:lineRule="exact"/>
              <w:rPr>
                <w:rFonts w:hint="eastAsia" w:ascii="仿宋" w:hAnsi="仿宋" w:eastAsia="仿宋" w:cs="仿宋"/>
                <w:sz w:val="24"/>
                <w:szCs w:val="24"/>
              </w:rPr>
            </w:pPr>
          </w:p>
        </w:tc>
        <w:tc>
          <w:tcPr>
            <w:tcW w:w="1620" w:type="dxa"/>
            <w:noWrap w:val="0"/>
            <w:vAlign w:val="top"/>
          </w:tcPr>
          <w:p w14:paraId="6EDBAE55">
            <w:pPr>
              <w:adjustRightInd w:val="0"/>
              <w:snapToGrid w:val="0"/>
              <w:spacing w:line="360" w:lineRule="exact"/>
              <w:rPr>
                <w:rFonts w:hint="eastAsia" w:ascii="仿宋" w:hAnsi="仿宋" w:eastAsia="仿宋" w:cs="仿宋"/>
                <w:sz w:val="24"/>
                <w:szCs w:val="24"/>
              </w:rPr>
            </w:pPr>
          </w:p>
        </w:tc>
        <w:tc>
          <w:tcPr>
            <w:tcW w:w="720" w:type="dxa"/>
            <w:noWrap w:val="0"/>
            <w:vAlign w:val="top"/>
          </w:tcPr>
          <w:p w14:paraId="7FB42F07">
            <w:pPr>
              <w:adjustRightInd w:val="0"/>
              <w:snapToGrid w:val="0"/>
              <w:spacing w:line="360" w:lineRule="exact"/>
              <w:rPr>
                <w:rFonts w:hint="eastAsia" w:ascii="仿宋" w:hAnsi="仿宋" w:eastAsia="仿宋" w:cs="仿宋"/>
                <w:sz w:val="24"/>
                <w:szCs w:val="24"/>
              </w:rPr>
            </w:pPr>
          </w:p>
        </w:tc>
        <w:tc>
          <w:tcPr>
            <w:tcW w:w="720" w:type="dxa"/>
            <w:noWrap w:val="0"/>
            <w:vAlign w:val="top"/>
          </w:tcPr>
          <w:p w14:paraId="10A83B46">
            <w:pPr>
              <w:adjustRightInd w:val="0"/>
              <w:snapToGrid w:val="0"/>
              <w:spacing w:line="360" w:lineRule="exact"/>
              <w:rPr>
                <w:rFonts w:hint="eastAsia" w:ascii="仿宋" w:hAnsi="仿宋" w:eastAsia="仿宋" w:cs="仿宋"/>
                <w:sz w:val="24"/>
                <w:szCs w:val="24"/>
              </w:rPr>
            </w:pPr>
          </w:p>
        </w:tc>
        <w:tc>
          <w:tcPr>
            <w:tcW w:w="720" w:type="dxa"/>
            <w:noWrap w:val="0"/>
            <w:vAlign w:val="top"/>
          </w:tcPr>
          <w:p w14:paraId="5FA1AE12">
            <w:pPr>
              <w:adjustRightInd w:val="0"/>
              <w:snapToGrid w:val="0"/>
              <w:spacing w:line="360" w:lineRule="exact"/>
              <w:rPr>
                <w:rFonts w:hint="eastAsia" w:ascii="仿宋" w:hAnsi="仿宋" w:eastAsia="仿宋" w:cs="仿宋"/>
                <w:sz w:val="24"/>
                <w:szCs w:val="24"/>
              </w:rPr>
            </w:pPr>
          </w:p>
        </w:tc>
        <w:tc>
          <w:tcPr>
            <w:tcW w:w="720" w:type="dxa"/>
            <w:noWrap w:val="0"/>
            <w:vAlign w:val="top"/>
          </w:tcPr>
          <w:p w14:paraId="1C0CA960">
            <w:pPr>
              <w:adjustRightInd w:val="0"/>
              <w:snapToGrid w:val="0"/>
              <w:spacing w:line="360" w:lineRule="exact"/>
              <w:rPr>
                <w:rFonts w:hint="eastAsia" w:ascii="仿宋" w:hAnsi="仿宋" w:eastAsia="仿宋" w:cs="仿宋"/>
                <w:sz w:val="24"/>
                <w:szCs w:val="24"/>
              </w:rPr>
            </w:pPr>
          </w:p>
        </w:tc>
        <w:tc>
          <w:tcPr>
            <w:tcW w:w="1710" w:type="dxa"/>
            <w:noWrap w:val="0"/>
            <w:vAlign w:val="top"/>
          </w:tcPr>
          <w:p w14:paraId="7F336DD3">
            <w:pPr>
              <w:adjustRightInd w:val="0"/>
              <w:snapToGrid w:val="0"/>
              <w:spacing w:line="360" w:lineRule="exact"/>
              <w:rPr>
                <w:rFonts w:hint="eastAsia" w:ascii="仿宋" w:hAnsi="仿宋" w:eastAsia="仿宋" w:cs="仿宋"/>
                <w:sz w:val="24"/>
                <w:szCs w:val="24"/>
              </w:rPr>
            </w:pPr>
          </w:p>
        </w:tc>
      </w:tr>
      <w:tr w14:paraId="08A7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4D8200CF">
            <w:pPr>
              <w:adjustRightInd w:val="0"/>
              <w:snapToGrid w:val="0"/>
              <w:spacing w:line="360" w:lineRule="exact"/>
              <w:rPr>
                <w:rFonts w:hint="eastAsia" w:ascii="仿宋" w:hAnsi="仿宋" w:eastAsia="仿宋" w:cs="仿宋"/>
                <w:sz w:val="24"/>
                <w:szCs w:val="24"/>
              </w:rPr>
            </w:pPr>
          </w:p>
        </w:tc>
        <w:tc>
          <w:tcPr>
            <w:tcW w:w="1620" w:type="dxa"/>
            <w:noWrap w:val="0"/>
            <w:vAlign w:val="top"/>
          </w:tcPr>
          <w:p w14:paraId="31E26E48">
            <w:pPr>
              <w:adjustRightInd w:val="0"/>
              <w:snapToGrid w:val="0"/>
              <w:spacing w:line="360" w:lineRule="exact"/>
              <w:rPr>
                <w:rFonts w:hint="eastAsia" w:ascii="仿宋" w:hAnsi="仿宋" w:eastAsia="仿宋" w:cs="仿宋"/>
                <w:sz w:val="24"/>
                <w:szCs w:val="24"/>
              </w:rPr>
            </w:pPr>
          </w:p>
        </w:tc>
        <w:tc>
          <w:tcPr>
            <w:tcW w:w="720" w:type="dxa"/>
            <w:noWrap w:val="0"/>
            <w:vAlign w:val="top"/>
          </w:tcPr>
          <w:p w14:paraId="7FB0C7DF">
            <w:pPr>
              <w:adjustRightInd w:val="0"/>
              <w:snapToGrid w:val="0"/>
              <w:spacing w:line="360" w:lineRule="exact"/>
              <w:rPr>
                <w:rFonts w:hint="eastAsia" w:ascii="仿宋" w:hAnsi="仿宋" w:eastAsia="仿宋" w:cs="仿宋"/>
                <w:sz w:val="24"/>
                <w:szCs w:val="24"/>
              </w:rPr>
            </w:pPr>
          </w:p>
        </w:tc>
        <w:tc>
          <w:tcPr>
            <w:tcW w:w="720" w:type="dxa"/>
            <w:noWrap w:val="0"/>
            <w:vAlign w:val="top"/>
          </w:tcPr>
          <w:p w14:paraId="301EFD0A">
            <w:pPr>
              <w:adjustRightInd w:val="0"/>
              <w:snapToGrid w:val="0"/>
              <w:spacing w:line="360" w:lineRule="exact"/>
              <w:rPr>
                <w:rFonts w:hint="eastAsia" w:ascii="仿宋" w:hAnsi="仿宋" w:eastAsia="仿宋" w:cs="仿宋"/>
                <w:sz w:val="24"/>
                <w:szCs w:val="24"/>
              </w:rPr>
            </w:pPr>
          </w:p>
        </w:tc>
        <w:tc>
          <w:tcPr>
            <w:tcW w:w="720" w:type="dxa"/>
            <w:noWrap w:val="0"/>
            <w:vAlign w:val="top"/>
          </w:tcPr>
          <w:p w14:paraId="28D42299">
            <w:pPr>
              <w:adjustRightInd w:val="0"/>
              <w:snapToGrid w:val="0"/>
              <w:spacing w:line="360" w:lineRule="exact"/>
              <w:rPr>
                <w:rFonts w:hint="eastAsia" w:ascii="仿宋" w:hAnsi="仿宋" w:eastAsia="仿宋" w:cs="仿宋"/>
                <w:sz w:val="24"/>
                <w:szCs w:val="24"/>
              </w:rPr>
            </w:pPr>
          </w:p>
        </w:tc>
        <w:tc>
          <w:tcPr>
            <w:tcW w:w="720" w:type="dxa"/>
            <w:noWrap w:val="0"/>
            <w:vAlign w:val="top"/>
          </w:tcPr>
          <w:p w14:paraId="680E8B8C">
            <w:pPr>
              <w:adjustRightInd w:val="0"/>
              <w:snapToGrid w:val="0"/>
              <w:spacing w:line="360" w:lineRule="exact"/>
              <w:rPr>
                <w:rFonts w:hint="eastAsia" w:ascii="仿宋" w:hAnsi="仿宋" w:eastAsia="仿宋" w:cs="仿宋"/>
                <w:sz w:val="24"/>
                <w:szCs w:val="24"/>
              </w:rPr>
            </w:pPr>
          </w:p>
        </w:tc>
        <w:tc>
          <w:tcPr>
            <w:tcW w:w="1710" w:type="dxa"/>
            <w:noWrap w:val="0"/>
            <w:vAlign w:val="top"/>
          </w:tcPr>
          <w:p w14:paraId="4BE2F0D3">
            <w:pPr>
              <w:adjustRightInd w:val="0"/>
              <w:snapToGrid w:val="0"/>
              <w:spacing w:line="360" w:lineRule="exact"/>
              <w:rPr>
                <w:rFonts w:hint="eastAsia" w:ascii="仿宋" w:hAnsi="仿宋" w:eastAsia="仿宋" w:cs="仿宋"/>
                <w:sz w:val="24"/>
                <w:szCs w:val="24"/>
              </w:rPr>
            </w:pPr>
          </w:p>
        </w:tc>
      </w:tr>
      <w:tr w14:paraId="45EF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430F5126">
            <w:pPr>
              <w:adjustRightInd w:val="0"/>
              <w:snapToGrid w:val="0"/>
              <w:spacing w:line="360" w:lineRule="exact"/>
              <w:rPr>
                <w:rFonts w:hint="eastAsia" w:ascii="仿宋" w:hAnsi="仿宋" w:eastAsia="仿宋" w:cs="仿宋"/>
                <w:sz w:val="24"/>
                <w:szCs w:val="24"/>
              </w:rPr>
            </w:pPr>
          </w:p>
        </w:tc>
        <w:tc>
          <w:tcPr>
            <w:tcW w:w="1620" w:type="dxa"/>
            <w:noWrap w:val="0"/>
            <w:vAlign w:val="top"/>
          </w:tcPr>
          <w:p w14:paraId="7E649A7E">
            <w:pPr>
              <w:adjustRightInd w:val="0"/>
              <w:snapToGrid w:val="0"/>
              <w:spacing w:line="360" w:lineRule="exact"/>
              <w:rPr>
                <w:rFonts w:hint="eastAsia" w:ascii="仿宋" w:hAnsi="仿宋" w:eastAsia="仿宋" w:cs="仿宋"/>
                <w:sz w:val="24"/>
                <w:szCs w:val="24"/>
              </w:rPr>
            </w:pPr>
          </w:p>
        </w:tc>
        <w:tc>
          <w:tcPr>
            <w:tcW w:w="720" w:type="dxa"/>
            <w:noWrap w:val="0"/>
            <w:vAlign w:val="top"/>
          </w:tcPr>
          <w:p w14:paraId="6B7A4668">
            <w:pPr>
              <w:adjustRightInd w:val="0"/>
              <w:snapToGrid w:val="0"/>
              <w:spacing w:line="360" w:lineRule="exact"/>
              <w:rPr>
                <w:rFonts w:hint="eastAsia" w:ascii="仿宋" w:hAnsi="仿宋" w:eastAsia="仿宋" w:cs="仿宋"/>
                <w:sz w:val="24"/>
                <w:szCs w:val="24"/>
              </w:rPr>
            </w:pPr>
          </w:p>
        </w:tc>
        <w:tc>
          <w:tcPr>
            <w:tcW w:w="720" w:type="dxa"/>
            <w:noWrap w:val="0"/>
            <w:vAlign w:val="top"/>
          </w:tcPr>
          <w:p w14:paraId="6EBF29BC">
            <w:pPr>
              <w:adjustRightInd w:val="0"/>
              <w:snapToGrid w:val="0"/>
              <w:spacing w:line="360" w:lineRule="exact"/>
              <w:rPr>
                <w:rFonts w:hint="eastAsia" w:ascii="仿宋" w:hAnsi="仿宋" w:eastAsia="仿宋" w:cs="仿宋"/>
                <w:sz w:val="24"/>
                <w:szCs w:val="24"/>
              </w:rPr>
            </w:pPr>
          </w:p>
        </w:tc>
        <w:tc>
          <w:tcPr>
            <w:tcW w:w="720" w:type="dxa"/>
            <w:noWrap w:val="0"/>
            <w:vAlign w:val="top"/>
          </w:tcPr>
          <w:p w14:paraId="0C2CCA5D">
            <w:pPr>
              <w:adjustRightInd w:val="0"/>
              <w:snapToGrid w:val="0"/>
              <w:spacing w:line="360" w:lineRule="exact"/>
              <w:rPr>
                <w:rFonts w:hint="eastAsia" w:ascii="仿宋" w:hAnsi="仿宋" w:eastAsia="仿宋" w:cs="仿宋"/>
                <w:sz w:val="24"/>
                <w:szCs w:val="24"/>
              </w:rPr>
            </w:pPr>
          </w:p>
        </w:tc>
        <w:tc>
          <w:tcPr>
            <w:tcW w:w="720" w:type="dxa"/>
            <w:noWrap w:val="0"/>
            <w:vAlign w:val="top"/>
          </w:tcPr>
          <w:p w14:paraId="417AABCB">
            <w:pPr>
              <w:adjustRightInd w:val="0"/>
              <w:snapToGrid w:val="0"/>
              <w:spacing w:line="360" w:lineRule="exact"/>
              <w:rPr>
                <w:rFonts w:hint="eastAsia" w:ascii="仿宋" w:hAnsi="仿宋" w:eastAsia="仿宋" w:cs="仿宋"/>
                <w:sz w:val="24"/>
                <w:szCs w:val="24"/>
              </w:rPr>
            </w:pPr>
          </w:p>
        </w:tc>
        <w:tc>
          <w:tcPr>
            <w:tcW w:w="1710" w:type="dxa"/>
            <w:noWrap w:val="0"/>
            <w:vAlign w:val="top"/>
          </w:tcPr>
          <w:p w14:paraId="382FD3A6">
            <w:pPr>
              <w:adjustRightInd w:val="0"/>
              <w:snapToGrid w:val="0"/>
              <w:spacing w:line="360" w:lineRule="exact"/>
              <w:rPr>
                <w:rFonts w:hint="eastAsia" w:ascii="仿宋" w:hAnsi="仿宋" w:eastAsia="仿宋" w:cs="仿宋"/>
                <w:sz w:val="24"/>
                <w:szCs w:val="24"/>
              </w:rPr>
            </w:pPr>
          </w:p>
        </w:tc>
      </w:tr>
      <w:tr w14:paraId="2552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14:paraId="76E45433">
            <w:pPr>
              <w:adjustRightInd w:val="0"/>
              <w:snapToGrid w:val="0"/>
              <w:spacing w:line="360" w:lineRule="exact"/>
              <w:rPr>
                <w:rFonts w:hint="eastAsia" w:ascii="仿宋" w:hAnsi="仿宋" w:eastAsia="仿宋" w:cs="仿宋"/>
                <w:sz w:val="24"/>
                <w:szCs w:val="24"/>
              </w:rPr>
            </w:pPr>
          </w:p>
        </w:tc>
        <w:tc>
          <w:tcPr>
            <w:tcW w:w="1620" w:type="dxa"/>
            <w:noWrap w:val="0"/>
            <w:vAlign w:val="top"/>
          </w:tcPr>
          <w:p w14:paraId="076393E4">
            <w:pPr>
              <w:adjustRightInd w:val="0"/>
              <w:snapToGrid w:val="0"/>
              <w:spacing w:line="360" w:lineRule="exact"/>
              <w:rPr>
                <w:rFonts w:hint="eastAsia" w:ascii="仿宋" w:hAnsi="仿宋" w:eastAsia="仿宋" w:cs="仿宋"/>
                <w:sz w:val="24"/>
                <w:szCs w:val="24"/>
              </w:rPr>
            </w:pPr>
          </w:p>
        </w:tc>
        <w:tc>
          <w:tcPr>
            <w:tcW w:w="720" w:type="dxa"/>
            <w:noWrap w:val="0"/>
            <w:vAlign w:val="top"/>
          </w:tcPr>
          <w:p w14:paraId="2AA99560">
            <w:pPr>
              <w:adjustRightInd w:val="0"/>
              <w:snapToGrid w:val="0"/>
              <w:spacing w:line="360" w:lineRule="exact"/>
              <w:rPr>
                <w:rFonts w:hint="eastAsia" w:ascii="仿宋" w:hAnsi="仿宋" w:eastAsia="仿宋" w:cs="仿宋"/>
                <w:sz w:val="24"/>
                <w:szCs w:val="24"/>
              </w:rPr>
            </w:pPr>
          </w:p>
        </w:tc>
        <w:tc>
          <w:tcPr>
            <w:tcW w:w="720" w:type="dxa"/>
            <w:noWrap w:val="0"/>
            <w:vAlign w:val="top"/>
          </w:tcPr>
          <w:p w14:paraId="75E85D59">
            <w:pPr>
              <w:adjustRightInd w:val="0"/>
              <w:snapToGrid w:val="0"/>
              <w:spacing w:line="360" w:lineRule="exact"/>
              <w:rPr>
                <w:rFonts w:hint="eastAsia" w:ascii="仿宋" w:hAnsi="仿宋" w:eastAsia="仿宋" w:cs="仿宋"/>
                <w:sz w:val="24"/>
                <w:szCs w:val="24"/>
              </w:rPr>
            </w:pPr>
          </w:p>
        </w:tc>
        <w:tc>
          <w:tcPr>
            <w:tcW w:w="720" w:type="dxa"/>
            <w:noWrap w:val="0"/>
            <w:vAlign w:val="top"/>
          </w:tcPr>
          <w:p w14:paraId="317D80F7">
            <w:pPr>
              <w:adjustRightInd w:val="0"/>
              <w:snapToGrid w:val="0"/>
              <w:spacing w:line="360" w:lineRule="exact"/>
              <w:rPr>
                <w:rFonts w:hint="eastAsia" w:ascii="仿宋" w:hAnsi="仿宋" w:eastAsia="仿宋" w:cs="仿宋"/>
                <w:sz w:val="24"/>
                <w:szCs w:val="24"/>
              </w:rPr>
            </w:pPr>
          </w:p>
        </w:tc>
        <w:tc>
          <w:tcPr>
            <w:tcW w:w="720" w:type="dxa"/>
            <w:noWrap w:val="0"/>
            <w:vAlign w:val="top"/>
          </w:tcPr>
          <w:p w14:paraId="0BC5263E">
            <w:pPr>
              <w:adjustRightInd w:val="0"/>
              <w:snapToGrid w:val="0"/>
              <w:spacing w:line="360" w:lineRule="exact"/>
              <w:rPr>
                <w:rFonts w:hint="eastAsia" w:ascii="仿宋" w:hAnsi="仿宋" w:eastAsia="仿宋" w:cs="仿宋"/>
                <w:sz w:val="24"/>
                <w:szCs w:val="24"/>
              </w:rPr>
            </w:pPr>
          </w:p>
        </w:tc>
        <w:tc>
          <w:tcPr>
            <w:tcW w:w="1710" w:type="dxa"/>
            <w:noWrap w:val="0"/>
            <w:vAlign w:val="top"/>
          </w:tcPr>
          <w:p w14:paraId="52EEC7A0">
            <w:pPr>
              <w:adjustRightInd w:val="0"/>
              <w:snapToGrid w:val="0"/>
              <w:spacing w:line="360" w:lineRule="exact"/>
              <w:rPr>
                <w:rFonts w:hint="eastAsia" w:ascii="仿宋" w:hAnsi="仿宋" w:eastAsia="仿宋" w:cs="仿宋"/>
                <w:sz w:val="24"/>
                <w:szCs w:val="24"/>
              </w:rPr>
            </w:pPr>
          </w:p>
        </w:tc>
      </w:tr>
    </w:tbl>
    <w:p w14:paraId="7838EC31">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备注：本表作为投标方编制投标技术文件的一般格式。表中应当尽可能将配置列全、列细，这将有助于投标方胜出。</w:t>
      </w:r>
    </w:p>
    <w:p w14:paraId="1BA68848">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  投标技术文件至少应对招标文件和本技术标书所提出的要求，将投标方认为难以满足的条款和要求，予以明确和详细的说明或澄清。</w:t>
      </w:r>
    </w:p>
    <w:p w14:paraId="7EF5DA9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37EB595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8  供货范围内的物品或服务，应当尽可能详细且分类填入配置表，其费用应当计入投标总报价之内。如果出现不一致的报价，将有可能导致废标。</w:t>
      </w:r>
    </w:p>
    <w:p w14:paraId="50CA4FEA">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9  除招标文件明确的验收标准或内容之外，投标方应当在投标文件中提供预验收（必要时）和终验收的标准以及规程，在合同签定之前，经投标方和招标方双方洽谈确认并签署，以作为验收标准执行。</w:t>
      </w:r>
    </w:p>
    <w:p w14:paraId="01BAE7D1">
      <w:pPr>
        <w:pStyle w:val="2"/>
        <w:spacing w:before="120" w:after="120" w:line="360" w:lineRule="auto"/>
        <w:jc w:val="center"/>
        <w:rPr>
          <w:rFonts w:hint="eastAsia" w:ascii="仿宋" w:hAnsi="仿宋" w:eastAsia="仿宋" w:cs="仿宋"/>
          <w:bCs w:val="0"/>
          <w:sz w:val="24"/>
          <w:szCs w:val="24"/>
        </w:rPr>
      </w:pPr>
      <w:bookmarkStart w:id="145" w:name="_Toc403466192"/>
      <w:bookmarkStart w:id="146" w:name="_Toc19127"/>
      <w:bookmarkStart w:id="147" w:name="_Toc9252"/>
      <w:bookmarkStart w:id="148" w:name="_Toc15612"/>
      <w:bookmarkStart w:id="149" w:name="_Toc133783976"/>
      <w:bookmarkStart w:id="150" w:name="_Toc18127"/>
      <w:bookmarkStart w:id="151" w:name="_Hlk58765246"/>
      <w:r>
        <w:rPr>
          <w:rFonts w:hint="eastAsia" w:ascii="仿宋" w:hAnsi="仿宋" w:eastAsia="仿宋" w:cs="仿宋"/>
          <w:bCs w:val="0"/>
          <w:sz w:val="24"/>
          <w:szCs w:val="24"/>
        </w:rPr>
        <w:t>第七章  其它要求</w:t>
      </w:r>
      <w:bookmarkEnd w:id="145"/>
      <w:bookmarkEnd w:id="146"/>
      <w:bookmarkEnd w:id="147"/>
      <w:bookmarkEnd w:id="148"/>
      <w:bookmarkEnd w:id="149"/>
      <w:bookmarkEnd w:id="150"/>
    </w:p>
    <w:p w14:paraId="089D4654">
      <w:pPr>
        <w:spacing w:line="360" w:lineRule="auto"/>
        <w:ind w:firstLine="480" w:firstLineChars="200"/>
        <w:outlineLvl w:val="1"/>
        <w:rPr>
          <w:rFonts w:hint="eastAsia" w:ascii="仿宋" w:hAnsi="仿宋" w:eastAsia="仿宋" w:cs="仿宋"/>
          <w:sz w:val="24"/>
          <w:szCs w:val="24"/>
        </w:rPr>
      </w:pPr>
      <w:bookmarkStart w:id="152" w:name="_Toc28450"/>
      <w:bookmarkStart w:id="153" w:name="_Toc30371"/>
      <w:bookmarkStart w:id="154" w:name="_Toc25406"/>
      <w:bookmarkStart w:id="155" w:name="_Toc23980"/>
      <w:r>
        <w:rPr>
          <w:rFonts w:hint="eastAsia" w:ascii="仿宋" w:hAnsi="仿宋" w:eastAsia="仿宋" w:cs="仿宋"/>
          <w:sz w:val="24"/>
          <w:szCs w:val="24"/>
        </w:rPr>
        <w:t>1  特殊要求</w:t>
      </w:r>
      <w:bookmarkEnd w:id="152"/>
      <w:bookmarkEnd w:id="153"/>
      <w:bookmarkEnd w:id="154"/>
      <w:bookmarkEnd w:id="155"/>
    </w:p>
    <w:p w14:paraId="22EC1EBD">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为保证本技术标书所列采购设备的质量以及先进性、可靠性、经济性和实用性，要求投标方在投标文件中，至少应具备以下资格证明文件或资料：</w:t>
      </w:r>
    </w:p>
    <w:p w14:paraId="35C92D82">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1.1  投标方应是通过有关资格认证的单位，因此应附有有效期内的资格认证证书，如：ISO9001、VDA6.1、QS9000等。</w:t>
      </w:r>
    </w:p>
    <w:p w14:paraId="1E64F1C0">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1.2  国产设备应附有采购货物（或设备）涉及的由“中国质量认证中心”颁发的《中国国家强制性产品认证证书》（CCC证书）。</w:t>
      </w:r>
    </w:p>
    <w:p w14:paraId="097F38D3">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1.3  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2A464444">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1.4  应附有其它与投标单位、采购设备有关的荣誉证书或资料。</w:t>
      </w:r>
    </w:p>
    <w:p w14:paraId="763B9A7E">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1.5  应附有中国相关国家部委颁发的有效期之内所必需的《生产许可证》。</w:t>
      </w:r>
    </w:p>
    <w:p w14:paraId="44DFE9B7">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1.6  应附有必要的采购货物（或设备）的相关检验、试验报告，如：《型式试验的检验报告》、《产品鉴定证书》、《新技术成果证书》等。</w:t>
      </w:r>
    </w:p>
    <w:p w14:paraId="5BB2BE77">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1.7  投标方必须附有采购货物（或设备）涉及国家规定必须进行的检验、试验报告等。</w:t>
      </w:r>
    </w:p>
    <w:p w14:paraId="3E0F8F23">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bookmarkEnd w:id="151"/>
    <w:p w14:paraId="7D84A9E6">
      <w:pPr>
        <w:snapToGrid w:val="0"/>
        <w:spacing w:line="360" w:lineRule="auto"/>
        <w:ind w:left="480"/>
        <w:outlineLvl w:val="1"/>
        <w:rPr>
          <w:rFonts w:hint="eastAsia" w:ascii="仿宋" w:hAnsi="仿宋" w:eastAsia="仿宋" w:cs="仿宋"/>
          <w:b/>
          <w:sz w:val="24"/>
          <w:szCs w:val="24"/>
        </w:rPr>
      </w:pPr>
      <w:bookmarkStart w:id="156" w:name="_Toc16587"/>
      <w:bookmarkStart w:id="157" w:name="_Toc10079"/>
      <w:bookmarkStart w:id="158" w:name="_Toc22605"/>
      <w:bookmarkStart w:id="159" w:name="_Toc13014"/>
      <w:r>
        <w:rPr>
          <w:rFonts w:hint="eastAsia" w:ascii="仿宋" w:hAnsi="仿宋" w:eastAsia="仿宋" w:cs="仿宋"/>
          <w:b/>
          <w:sz w:val="24"/>
          <w:szCs w:val="24"/>
          <w:lang w:bidi="ar"/>
        </w:rPr>
        <w:t>2 安全及环保要求</w:t>
      </w:r>
      <w:bookmarkEnd w:id="156"/>
      <w:bookmarkEnd w:id="157"/>
      <w:bookmarkEnd w:id="158"/>
      <w:bookmarkEnd w:id="159"/>
    </w:p>
    <w:p w14:paraId="655D6E73">
      <w:pPr>
        <w:pStyle w:val="26"/>
        <w:snapToGrid w:val="0"/>
        <w:spacing w:line="360" w:lineRule="auto"/>
        <w:ind w:firstLine="480" w:firstLineChars="200"/>
        <w:rPr>
          <w:rFonts w:hint="eastAsia" w:ascii="仿宋" w:hAnsi="仿宋" w:eastAsia="仿宋" w:cs="仿宋"/>
          <w:szCs w:val="24"/>
        </w:rPr>
      </w:pPr>
      <w:r>
        <w:rPr>
          <w:rFonts w:hint="eastAsia" w:ascii="仿宋" w:hAnsi="仿宋" w:eastAsia="仿宋" w:cs="仿宋"/>
          <w:kern w:val="0"/>
          <w:szCs w:val="24"/>
          <w:lang w:bidi="ar"/>
        </w:rPr>
        <w:t>2.1投标方所供的货物（或生产线），必须符合中国最新版的安全法律、法规要求，符合行业安全标准及项目所在地政府有关特殊要求。</w:t>
      </w:r>
    </w:p>
    <w:p w14:paraId="1DA82931">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2.2 货物（或生产线）应完整且所有的零部件应该安装安全、牢固，外观无损伤，所有的焊缝饱满、无残渣等缺陷且符合国家及行业相关标准。</w:t>
      </w:r>
    </w:p>
    <w:p w14:paraId="68972C8D">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bidi="ar"/>
        </w:rPr>
        <w:t>2.3 对生产线存在安全隐患的工位必须采取安全措施，如：线体防护板、高温防护、光栅等。</w:t>
      </w:r>
    </w:p>
    <w:p w14:paraId="07C7BC99">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2.4 从安全生产的角度考虑各单元及工位应设有急停按钮，并有明显标识。</w:t>
      </w:r>
    </w:p>
    <w:p w14:paraId="351F30AD">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2.6 单元操作面板上有上电按钮和急停按钮，上电后可对系统进行操作。</w:t>
      </w:r>
    </w:p>
    <w:p w14:paraId="1ACADBD0">
      <w:pPr>
        <w:pStyle w:val="26"/>
        <w:snapToGrid w:val="0"/>
        <w:spacing w:line="360" w:lineRule="auto"/>
        <w:ind w:firstLine="480" w:firstLineChars="200"/>
        <w:rPr>
          <w:rFonts w:hint="eastAsia" w:ascii="仿宋" w:hAnsi="仿宋" w:eastAsia="仿宋" w:cs="仿宋"/>
          <w:szCs w:val="24"/>
        </w:rPr>
      </w:pPr>
      <w:r>
        <w:rPr>
          <w:rFonts w:hint="eastAsia" w:ascii="仿宋" w:hAnsi="仿宋" w:eastAsia="仿宋" w:cs="仿宋"/>
          <w:kern w:val="0"/>
          <w:szCs w:val="24"/>
          <w:lang w:bidi="ar"/>
        </w:rPr>
        <w:t>2.7 所有电气安装和施工均应符合我国现行行业标准（规范）。</w:t>
      </w:r>
    </w:p>
    <w:p w14:paraId="1A576745">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2.8 投标方须负责编制每个工位的《安全操作规程》和安全事项的说明书，对操作者进行“四新”安全培训。</w:t>
      </w:r>
    </w:p>
    <w:p w14:paraId="68D5136F">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2.9货物（或生产线）应运行稳定、可靠、安全，无非正常变形，非正常振动，无异常声音；无漏水、漏液、漏气（汽）、漏电等现象。</w:t>
      </w:r>
      <w:r>
        <w:rPr>
          <w:rFonts w:hint="eastAsia" w:ascii="仿宋" w:hAnsi="仿宋" w:eastAsia="仿宋" w:cs="仿宋"/>
          <w:sz w:val="24"/>
          <w:szCs w:val="24"/>
          <w:lang w:bidi="ar"/>
        </w:rPr>
        <w:br w:type="textWrapping"/>
      </w:r>
      <w:r>
        <w:rPr>
          <w:rFonts w:hint="eastAsia" w:ascii="仿宋" w:hAnsi="仿宋" w:eastAsia="仿宋" w:cs="仿宋"/>
          <w:sz w:val="24"/>
          <w:szCs w:val="24"/>
          <w:lang w:bidi="ar"/>
        </w:rPr>
        <w:t>2.10 所有的管路和线缆等，接头应完全正确、可靠地联接；应排列有序（正确、牢固、整齐），有必要的防护，无皱褶、收缩和裂缝等不良现象。</w:t>
      </w:r>
    </w:p>
    <w:p w14:paraId="0EC1980B">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2.11地线联接和地极符合国际（ISO/IEC）标准规范。</w:t>
      </w:r>
    </w:p>
    <w:p w14:paraId="3543EF7A">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2.12货物（或生产线）正常运行时，噪声等环境影响因素满足国家和当地环保主管部门规定，安全措施落实、有效。</w:t>
      </w:r>
    </w:p>
    <w:p w14:paraId="502DD8E4">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2.13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78CE748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2.14 涉及需要进行环保、职业卫生强制检测的项目（设备、设施），应由中标方提供权威第三方检测机构出具的完工检测报告。</w:t>
      </w:r>
    </w:p>
    <w:p w14:paraId="536FFC95">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2.15 特种设备应提供济南市特种设备检验研究院出具的首次检验报告，招标方协助中标方办理相关注册登记手续。</w:t>
      </w:r>
    </w:p>
    <w:p w14:paraId="413CF61C">
      <w:pPr>
        <w:snapToGrid w:val="0"/>
        <w:spacing w:line="360" w:lineRule="auto"/>
        <w:ind w:left="480"/>
        <w:outlineLvl w:val="1"/>
        <w:rPr>
          <w:rFonts w:hint="eastAsia" w:ascii="仿宋" w:hAnsi="仿宋" w:eastAsia="仿宋" w:cs="仿宋"/>
          <w:b/>
          <w:sz w:val="24"/>
          <w:szCs w:val="24"/>
        </w:rPr>
      </w:pPr>
      <w:bookmarkStart w:id="160" w:name="_Toc23761"/>
      <w:bookmarkStart w:id="161" w:name="_Toc11255"/>
      <w:bookmarkStart w:id="162" w:name="_Toc13497"/>
      <w:bookmarkStart w:id="163" w:name="_Toc335"/>
      <w:bookmarkStart w:id="164" w:name="_Toc73112429"/>
      <w:bookmarkStart w:id="165" w:name="_Toc20624"/>
      <w:bookmarkStart w:id="166" w:name="_Toc14052"/>
      <w:bookmarkStart w:id="167" w:name="_Toc24176"/>
      <w:bookmarkStart w:id="168" w:name="_Toc18370"/>
      <w:bookmarkStart w:id="169" w:name="_Toc29954"/>
      <w:bookmarkStart w:id="170" w:name="_Toc25498"/>
      <w:bookmarkStart w:id="171" w:name="_Toc20830"/>
      <w:bookmarkStart w:id="172" w:name="_Toc20370"/>
      <w:bookmarkStart w:id="173" w:name="_Toc28267"/>
      <w:bookmarkStart w:id="174" w:name="_Toc13528"/>
      <w:bookmarkStart w:id="175" w:name="_Toc25028"/>
      <w:bookmarkStart w:id="176" w:name="_Toc22893"/>
      <w:bookmarkStart w:id="177" w:name="_Toc19315"/>
      <w:bookmarkStart w:id="178" w:name="_Toc27894"/>
      <w:bookmarkStart w:id="179" w:name="_Toc3821"/>
      <w:bookmarkStart w:id="180" w:name="_Toc24482"/>
      <w:bookmarkStart w:id="181" w:name="_Toc26307"/>
      <w:bookmarkStart w:id="182" w:name="_Toc4278"/>
      <w:bookmarkStart w:id="183" w:name="_Toc28380"/>
      <w:bookmarkStart w:id="184" w:name="_Toc29233"/>
      <w:bookmarkStart w:id="185" w:name="_Toc28559"/>
      <w:bookmarkStart w:id="186" w:name="_Toc27164"/>
      <w:bookmarkStart w:id="187" w:name="_Toc18674"/>
      <w:bookmarkStart w:id="188" w:name="_Toc26724"/>
      <w:bookmarkStart w:id="189" w:name="_Toc26626"/>
      <w:bookmarkStart w:id="190" w:name="_Toc3658"/>
      <w:bookmarkStart w:id="191" w:name="_Toc1823"/>
      <w:bookmarkStart w:id="192" w:name="_Toc16457"/>
      <w:bookmarkStart w:id="193" w:name="_Toc28700"/>
      <w:bookmarkStart w:id="194" w:name="_Toc22763"/>
      <w:bookmarkStart w:id="195" w:name="_Toc18745"/>
      <w:bookmarkStart w:id="196" w:name="_Toc21942"/>
      <w:bookmarkStart w:id="197" w:name="_Toc11707"/>
      <w:bookmarkStart w:id="198" w:name="_Toc8864"/>
      <w:bookmarkStart w:id="199" w:name="_Toc14956"/>
      <w:bookmarkStart w:id="200" w:name="_Toc1018"/>
      <w:bookmarkStart w:id="201" w:name="_Toc5504"/>
      <w:bookmarkStart w:id="202" w:name="_Toc3323"/>
      <w:bookmarkStart w:id="203" w:name="_Toc11829"/>
      <w:bookmarkStart w:id="204" w:name="_Toc4243"/>
      <w:bookmarkStart w:id="205" w:name="_Toc28718"/>
      <w:r>
        <w:rPr>
          <w:rFonts w:hint="eastAsia" w:ascii="仿宋" w:hAnsi="仿宋" w:eastAsia="仿宋" w:cs="仿宋"/>
          <w:b/>
          <w:sz w:val="24"/>
          <w:szCs w:val="24"/>
          <w:lang w:bidi="ar"/>
        </w:rPr>
        <w:t>3说明</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DC5F6FA">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3.1投标方可以根据自身的技术、经验等优势以及对招标文件和本技术标书的理解，写明对招标方所采购货物（或生产线）的优化方案或建议意见。投标方的这些努力，招标方表示感谢，并将有助于投标方优先胜出。</w:t>
      </w:r>
    </w:p>
    <w:p w14:paraId="54093C5F">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3.2即使有建议意见或建议方案，仍应依据招标文件和本技术标书要求，编写符合要求的投标文件。建议方案或建议意见，应以单独篇章或文件，予以说明。</w:t>
      </w:r>
    </w:p>
    <w:p w14:paraId="502BF603">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3.3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15A18822">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3.4招标文件、投标文件、答疑文件、技术交流文件、技术协议书等，在招标过程全部为有效文件，如有差异，以对招标方或买方最有利的条款为准。</w:t>
      </w:r>
    </w:p>
    <w:p w14:paraId="59F7E747">
      <w:pPr>
        <w:snapToGrid w:val="0"/>
        <w:spacing w:line="360" w:lineRule="auto"/>
        <w:ind w:firstLine="480" w:firstLineChars="200"/>
        <w:rPr>
          <w:sz w:val="24"/>
          <w:szCs w:val="24"/>
        </w:rPr>
      </w:pPr>
      <w:r>
        <w:rPr>
          <w:rFonts w:hint="eastAsia" w:ascii="仿宋" w:hAnsi="仿宋" w:eastAsia="仿宋" w:cs="仿宋"/>
          <w:sz w:val="24"/>
          <w:szCs w:val="24"/>
          <w:lang w:bidi="ar"/>
        </w:rPr>
        <w:t>3.5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6B976EA1">
      <w:pPr>
        <w:spacing w:line="480" w:lineRule="exact"/>
        <w:ind w:firstLine="480" w:firstLineChars="200"/>
        <w:rPr>
          <w:rFonts w:ascii="宋体" w:hAnsi="宋体"/>
          <w:sz w:val="24"/>
          <w:szCs w:val="24"/>
        </w:rPr>
      </w:pPr>
    </w:p>
    <w:p w14:paraId="155501D0">
      <w:pPr>
        <w:spacing w:line="480" w:lineRule="exact"/>
        <w:ind w:firstLine="480" w:firstLineChars="200"/>
        <w:rPr>
          <w:rFonts w:ascii="宋体" w:hAnsi="宋体"/>
          <w:sz w:val="24"/>
          <w:szCs w:val="24"/>
        </w:rPr>
      </w:pPr>
    </w:p>
    <w:p w14:paraId="3DC228DA">
      <w:pPr>
        <w:spacing w:line="480" w:lineRule="exact"/>
        <w:ind w:firstLine="480" w:firstLineChars="200"/>
        <w:rPr>
          <w:rFonts w:ascii="宋体" w:hAnsi="宋体"/>
          <w:sz w:val="24"/>
          <w:szCs w:val="24"/>
        </w:rPr>
      </w:pPr>
    </w:p>
    <w:p w14:paraId="209B2747">
      <w:pPr>
        <w:spacing w:line="480" w:lineRule="exact"/>
        <w:ind w:firstLine="480" w:firstLineChars="200"/>
        <w:rPr>
          <w:rFonts w:ascii="宋体" w:hAnsi="宋体"/>
          <w:sz w:val="24"/>
          <w:szCs w:val="24"/>
        </w:rPr>
      </w:pPr>
    </w:p>
    <w:p w14:paraId="40B34455">
      <w:pPr>
        <w:spacing w:line="480" w:lineRule="exact"/>
        <w:ind w:firstLine="480" w:firstLineChars="200"/>
        <w:rPr>
          <w:rFonts w:ascii="宋体" w:hAnsi="宋体"/>
          <w:sz w:val="24"/>
          <w:szCs w:val="24"/>
        </w:rPr>
      </w:pPr>
    </w:p>
    <w:p w14:paraId="2ABB6DEE">
      <w:pPr>
        <w:ind w:firstLine="480" w:firstLineChars="200"/>
        <w:jc w:val="left"/>
        <w:rPr>
          <w:rFonts w:hint="eastAsia"/>
          <w:sz w:val="24"/>
          <w:szCs w:val="24"/>
        </w:rPr>
      </w:pPr>
    </w:p>
    <w:p w14:paraId="3D1A2298">
      <w:pPr>
        <w:pStyle w:val="76"/>
      </w:pPr>
    </w:p>
    <w:p w14:paraId="12476B70">
      <w:pPr>
        <w:rPr>
          <w:rFonts w:hint="eastAsia"/>
        </w:rPr>
      </w:pPr>
      <w:bookmarkStart w:id="206" w:name="_Toc47976609"/>
      <w:bookmarkStart w:id="207" w:name="_Toc20595"/>
      <w:r>
        <w:rPr>
          <w:rFonts w:hint="eastAsia"/>
        </w:rPr>
        <w:br w:type="page"/>
      </w:r>
    </w:p>
    <w:p w14:paraId="5871DF53">
      <w:pPr>
        <w:pStyle w:val="71"/>
      </w:pPr>
      <w:r>
        <w:rPr>
          <w:rFonts w:hint="eastAsia"/>
        </w:rPr>
        <w:t>第三部分　合同主要条款</w:t>
      </w:r>
      <w:bookmarkEnd w:id="206"/>
      <w:bookmarkEnd w:id="207"/>
    </w:p>
    <w:p w14:paraId="23914DBE">
      <w:pPr>
        <w:pStyle w:val="72"/>
        <w:numPr>
          <w:ilvl w:val="0"/>
          <w:numId w:val="33"/>
        </w:numPr>
        <w:ind w:left="420"/>
      </w:pPr>
      <w:bookmarkStart w:id="208" w:name="_Toc47976610"/>
      <w:r>
        <w:rPr>
          <w:rFonts w:hint="eastAsia"/>
          <w:lang w:val="en-US" w:eastAsia="zh-CN"/>
        </w:rPr>
        <w:t>标的、数量、</w:t>
      </w:r>
      <w:r>
        <w:rPr>
          <w:rFonts w:hint="eastAsia"/>
        </w:rPr>
        <w:t>交货期</w:t>
      </w:r>
      <w:bookmarkEnd w:id="208"/>
    </w:p>
    <w:p w14:paraId="18603CA8">
      <w:pPr>
        <w:pStyle w:val="72"/>
      </w:pPr>
      <w:bookmarkStart w:id="209" w:name="_Toc47976611"/>
      <w:r>
        <w:rPr>
          <w:rFonts w:hint="eastAsia"/>
        </w:rPr>
        <w:t>交货地点</w:t>
      </w:r>
      <w:bookmarkEnd w:id="209"/>
    </w:p>
    <w:p w14:paraId="3F03A936">
      <w:pPr>
        <w:pStyle w:val="72"/>
      </w:pPr>
      <w:bookmarkStart w:id="210" w:name="_Toc47976612"/>
      <w:r>
        <w:rPr>
          <w:rFonts w:hint="eastAsia"/>
          <w:lang w:val="en-US" w:eastAsia="zh-CN"/>
        </w:rPr>
        <w:t>价款及</w:t>
      </w:r>
      <w:r>
        <w:rPr>
          <w:rFonts w:hint="eastAsia"/>
        </w:rPr>
        <w:t>付款方式</w:t>
      </w:r>
      <w:bookmarkEnd w:id="210"/>
    </w:p>
    <w:p w14:paraId="0A7F4E98">
      <w:pPr>
        <w:pStyle w:val="72"/>
      </w:pPr>
      <w:bookmarkStart w:id="211" w:name="_Toc47976613"/>
      <w:r>
        <w:rPr>
          <w:rFonts w:hint="eastAsia"/>
          <w:lang w:val="en-US" w:eastAsia="zh-CN"/>
        </w:rPr>
        <w:t>质量要求、</w:t>
      </w:r>
      <w:r>
        <w:rPr>
          <w:rFonts w:hint="eastAsia"/>
        </w:rPr>
        <w:t>保修期及售后服务</w:t>
      </w:r>
      <w:bookmarkEnd w:id="211"/>
    </w:p>
    <w:p w14:paraId="50F6C5C1">
      <w:pPr>
        <w:pStyle w:val="72"/>
      </w:pPr>
      <w:bookmarkStart w:id="212" w:name="_Toc47976614"/>
      <w:r>
        <w:rPr>
          <w:rFonts w:hint="eastAsia"/>
        </w:rPr>
        <w:t>安装、调试及验收要求</w:t>
      </w:r>
      <w:bookmarkEnd w:id="212"/>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13" w:name="_Toc47976615"/>
      <w:bookmarkStart w:id="214" w:name="_Toc5925"/>
      <w:r>
        <w:rPr>
          <w:rFonts w:hint="eastAsia"/>
        </w:rPr>
        <w:t>第四部分　</w:t>
      </w:r>
      <w:bookmarkEnd w:id="213"/>
      <w:r>
        <w:rPr>
          <w:rFonts w:hint="eastAsia"/>
          <w:lang w:val="en-US" w:eastAsia="zh-CN"/>
        </w:rPr>
        <w:t>投标文件附件</w:t>
      </w:r>
      <w:bookmarkEnd w:id="214"/>
    </w:p>
    <w:p w14:paraId="600DE1DD">
      <w:pPr>
        <w:pStyle w:val="71"/>
        <w:jc w:val="left"/>
        <w:rPr>
          <w:rFonts w:hint="eastAsia" w:ascii="宋体" w:hAnsi="宋体" w:eastAsia="宋体" w:cs="宋体"/>
          <w:sz w:val="32"/>
          <w:szCs w:val="32"/>
          <w:highlight w:val="yellow"/>
          <w:lang w:eastAsia="zh-CN"/>
        </w:rPr>
      </w:pPr>
      <w:bookmarkStart w:id="215" w:name="_Toc47976616"/>
      <w:bookmarkStart w:id="216" w:name="_Toc4225"/>
      <w:r>
        <w:rPr>
          <w:rFonts w:hint="eastAsia" w:ascii="宋体" w:hAnsi="宋体" w:eastAsia="宋体" w:cs="宋体"/>
          <w:sz w:val="32"/>
          <w:szCs w:val="32"/>
          <w:highlight w:val="yellow"/>
        </w:rPr>
        <w:t>附件</w:t>
      </w:r>
      <w:bookmarkEnd w:id="215"/>
      <w:bookmarkEnd w:id="216"/>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17" w:name="_Toc47976618"/>
      <w:bookmarkStart w:id="218" w:name="_Toc29366865"/>
      <w:bookmarkStart w:id="219" w:name="_Toc29366869"/>
      <w:r>
        <w:rPr>
          <w:rFonts w:hint="eastAsia" w:ascii="宋体" w:hAnsi="宋体" w:eastAsia="宋体" w:cs="宋体"/>
          <w:sz w:val="32"/>
          <w:szCs w:val="32"/>
          <w:highlight w:val="yellow"/>
          <w:lang w:val="en-US" w:eastAsia="zh-CN"/>
        </w:rPr>
        <w:t>附件2</w:t>
      </w:r>
    </w:p>
    <w:bookmarkEnd w:id="217"/>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218"/>
    <w:bookmarkEnd w:id="219"/>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4EA8DBF">
      <w:pPr>
        <w:rPr>
          <w:rFonts w:hint="eastAsia" w:ascii="宋体" w:hAnsi="宋体"/>
          <w:sz w:val="24"/>
          <w:highlight w:val="none"/>
        </w:rPr>
      </w:pPr>
      <w:r>
        <w:rPr>
          <w:rFonts w:hint="eastAsia" w:ascii="宋体" w:hAnsi="宋体"/>
          <w:sz w:val="24"/>
          <w:highlight w:val="none"/>
        </w:rPr>
        <w:br w:type="page"/>
      </w: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工艺设备 / 工艺设备”，业务主管部门为“工艺研究院”。</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551653C"/>
    <w:multiLevelType w:val="singleLevel"/>
    <w:tmpl w:val="D551653C"/>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3BE6C3E"/>
    <w:multiLevelType w:val="singleLevel"/>
    <w:tmpl w:val="03BE6C3E"/>
    <w:lvl w:ilvl="0" w:tentative="0">
      <w:start w:val="1"/>
      <w:numFmt w:val="decimal"/>
      <w:suff w:val="nothing"/>
      <w:lvlText w:val="(%1)"/>
      <w:lvlJc w:val="left"/>
      <w:pPr>
        <w:ind w:left="425" w:hanging="425"/>
      </w:pPr>
      <w:rPr>
        <w:rFonts w:hint="default"/>
        <w:color w:val="auto"/>
        <w:highlight w:val="none"/>
      </w:rPr>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A494D57"/>
    <w:multiLevelType w:val="singleLevel"/>
    <w:tmpl w:val="1A494D57"/>
    <w:lvl w:ilvl="0" w:tentative="0">
      <w:start w:val="1"/>
      <w:numFmt w:val="decimal"/>
      <w:suff w:val="nothing"/>
      <w:lvlText w:val="%1、"/>
      <w:lvlJc w:val="left"/>
    </w:lvl>
  </w:abstractNum>
  <w:abstractNum w:abstractNumId="1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9">
    <w:nsid w:val="2D9641B8"/>
    <w:multiLevelType w:val="singleLevel"/>
    <w:tmpl w:val="2D9641B8"/>
    <w:lvl w:ilvl="0" w:tentative="0">
      <w:start w:val="1"/>
      <w:numFmt w:val="decimal"/>
      <w:suff w:val="nothing"/>
      <w:lvlText w:val="(%1)"/>
      <w:lvlJc w:val="left"/>
      <w:pPr>
        <w:ind w:left="425" w:hanging="425"/>
      </w:pPr>
      <w:rPr>
        <w:rFonts w:hint="default"/>
      </w:rPr>
    </w:lvl>
  </w:abstractNum>
  <w:abstractNum w:abstractNumId="20">
    <w:nsid w:val="3CF6EF77"/>
    <w:multiLevelType w:val="singleLevel"/>
    <w:tmpl w:val="3CF6EF77"/>
    <w:lvl w:ilvl="0" w:tentative="0">
      <w:start w:val="1"/>
      <w:numFmt w:val="decimal"/>
      <w:lvlText w:val="%1."/>
      <w:lvlJc w:val="left"/>
      <w:pPr>
        <w:ind w:left="425" w:hanging="425"/>
      </w:pPr>
      <w:rPr>
        <w:rFonts w:hint="default"/>
      </w:rPr>
    </w:lvl>
  </w:abstractNum>
  <w:abstractNum w:abstractNumId="21">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983D379"/>
    <w:multiLevelType w:val="singleLevel"/>
    <w:tmpl w:val="5983D379"/>
    <w:lvl w:ilvl="0" w:tentative="0">
      <w:start w:val="1"/>
      <w:numFmt w:val="decimal"/>
      <w:lvlText w:val="(%1)"/>
      <w:lvlJc w:val="left"/>
      <w:pPr>
        <w:ind w:left="425" w:hanging="425"/>
      </w:pPr>
      <w:rPr>
        <w:rFonts w:hint="default"/>
      </w:rPr>
    </w:lvl>
  </w:abstractNum>
  <w:abstractNum w:abstractNumId="2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68B4AE9D"/>
    <w:multiLevelType w:val="singleLevel"/>
    <w:tmpl w:val="68B4AE9D"/>
    <w:lvl w:ilvl="0" w:tentative="0">
      <w:start w:val="2"/>
      <w:numFmt w:val="decimal"/>
      <w:suff w:val="nothing"/>
      <w:lvlText w:val="（%1）"/>
      <w:lvlJc w:val="left"/>
    </w:lvl>
  </w:abstractNum>
  <w:abstractNum w:abstractNumId="2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7"/>
  </w:num>
  <w:num w:numId="3">
    <w:abstractNumId w:val="25"/>
  </w:num>
  <w:num w:numId="4">
    <w:abstractNumId w:val="23"/>
  </w:num>
  <w:num w:numId="5">
    <w:abstractNumId w:val="14"/>
  </w:num>
  <w:num w:numId="6">
    <w:abstractNumId w:val="16"/>
  </w:num>
  <w:num w:numId="7">
    <w:abstractNumId w:val="18"/>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6"/>
  </w:num>
  <w:num w:numId="18">
    <w:abstractNumId w:val="29"/>
  </w:num>
  <w:num w:numId="19">
    <w:abstractNumId w:val="10"/>
  </w:num>
  <w:num w:numId="20">
    <w:abstractNumId w:val="8"/>
  </w:num>
  <w:num w:numId="21">
    <w:abstractNumId w:val="4"/>
  </w:num>
  <w:num w:numId="22">
    <w:abstractNumId w:val="1"/>
  </w:num>
  <w:num w:numId="23">
    <w:abstractNumId w:val="6"/>
  </w:num>
  <w:num w:numId="24">
    <w:abstractNumId w:val="12"/>
  </w:num>
  <w:num w:numId="25">
    <w:abstractNumId w:val="11"/>
  </w:num>
  <w:num w:numId="26">
    <w:abstractNumId w:val="21"/>
  </w:num>
  <w:num w:numId="27">
    <w:abstractNumId w:val="20"/>
  </w:num>
  <w:num w:numId="28">
    <w:abstractNumId w:val="9"/>
  </w:num>
  <w:num w:numId="29">
    <w:abstractNumId w:val="17"/>
  </w:num>
  <w:num w:numId="30">
    <w:abstractNumId w:val="28"/>
  </w:num>
  <w:num w:numId="31">
    <w:abstractNumId w:val="19"/>
  </w:num>
  <w:num w:numId="32">
    <w:abstractNumId w:val="13"/>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6BD64B1"/>
    <w:rsid w:val="08633479"/>
    <w:rsid w:val="0C0E2F4B"/>
    <w:rsid w:val="0CB51572"/>
    <w:rsid w:val="0E3D4337"/>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353149E"/>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WPSOffice手动目录 1"/>
    <w:qFormat/>
    <w:uiPriority w:val="0"/>
    <w:rPr>
      <w:rFonts w:ascii="Times New Roman" w:hAnsi="Times New Roman" w:eastAsia="宋体" w:cs="Times New Roman"/>
      <w:lang w:val="en-US" w:eastAsia="zh-CN" w:bidi="ar-SA"/>
    </w:rPr>
  </w:style>
  <w:style w:type="paragraph" w:customStyle="1" w:styleId="112">
    <w:name w:val="WPSOffice手动目录 2"/>
    <w:qFormat/>
    <w:uiPriority w:val="0"/>
    <w:pPr>
      <w:ind w:leftChars="200"/>
    </w:pPr>
    <w:rPr>
      <w:rFonts w:ascii="Times New Roman" w:hAnsi="Times New Roman" w:eastAsia="宋体" w:cs="Times New Roman"/>
      <w:lang w:val="en-US" w:eastAsia="zh-CN" w:bidi="ar-SA"/>
    </w:rPr>
  </w:style>
  <w:style w:type="paragraph" w:customStyle="1" w:styleId="113">
    <w:name w:val="标书一级标题"/>
    <w:basedOn w:val="2"/>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44</Pages>
  <Words>21278</Words>
  <Characters>22844</Characters>
  <Lines>127</Lines>
  <Paragraphs>35</Paragraphs>
  <TotalTime>2</TotalTime>
  <ScaleCrop>false</ScaleCrop>
  <LinksUpToDate>false</LinksUpToDate>
  <CharactersWithSpaces>24095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2025-12-15T06:47:44Z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