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2CC0DA56">
      <w:pPr>
        <w:ind w:right="280"/>
        <w:jc w:val="center"/>
        <w:rPr>
          <w:rFonts w:hint="eastAsia" w:ascii="楷体_GB2312" w:hAnsi="宋体" w:eastAsia="楷体_GB2312"/>
          <w:sz w:val="52"/>
          <w:szCs w:val="52"/>
          <w:highlight w:val="yellow"/>
        </w:rPr>
      </w:pPr>
      <w:r>
        <w:rPr>
          <w:rFonts w:hint="eastAsia" w:ascii="楷体_GB2312" w:hAnsi="宋体" w:eastAsia="楷体_GB2312"/>
          <w:sz w:val="52"/>
          <w:szCs w:val="52"/>
          <w:highlight w:val="yellow"/>
        </w:rPr>
        <w:t>济南车桥公司驱动桥总成产能提升</w:t>
      </w: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-新增螺柱焊机项目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FSCZB2025120046</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人：重汽（济南）车桥有限公司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15</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5953C7BF">
      <w:pPr>
        <w:pStyle w:val="71"/>
        <w:rPr>
          <w:rFonts w:hint="eastAsia"/>
          <w:sz w:val="28"/>
        </w:rPr>
      </w:pPr>
      <w:bookmarkStart w:id="0" w:name="_Toc47976587"/>
      <w:bookmarkStart w:id="1" w:name="_Toc7104"/>
      <w:r>
        <w:rPr>
          <w:rFonts w:hint="eastAsia"/>
        </w:rPr>
        <w:t>招标公告</w:t>
      </w:r>
      <w:bookmarkEnd w:id="0"/>
      <w:bookmarkEnd w:id="1"/>
    </w:p>
    <w:p w14:paraId="3B867C39">
      <w:pPr>
        <w:pStyle w:val="71"/>
        <w:rPr>
          <w:rFonts w:hint="eastAsia"/>
        </w:rPr>
      </w:pPr>
    </w:p>
    <w:p w14:paraId="2A47C58A">
      <w:pPr>
        <w:pStyle w:val="72"/>
      </w:pPr>
      <w:bookmarkStart w:id="2" w:name="_Toc47976588"/>
      <w:r>
        <w:rPr>
          <w:rFonts w:hint="eastAsia"/>
        </w:rPr>
        <w:t>项目名称及项目编号</w:t>
      </w:r>
      <w:bookmarkEnd w:id="2"/>
    </w:p>
    <w:p w14:paraId="1E71F649">
      <w:pPr>
        <w:pStyle w:val="73"/>
      </w:pPr>
      <w:r>
        <w:rPr>
          <w:rFonts w:hint="eastAsia"/>
        </w:rPr>
        <w:t>项目名称：</w:t>
      </w:r>
      <w:r>
        <w:rPr>
          <w:rFonts w:hint="eastAsia"/>
          <w:highlight w:val="yellow"/>
        </w:rPr>
        <w:t xml:space="preserve"> 济南车桥公司驱动桥总成产能提升-新增螺柱焊机项目</w:t>
      </w:r>
    </w:p>
    <w:p w14:paraId="15020D03">
      <w:pPr>
        <w:pStyle w:val="73"/>
      </w:pPr>
      <w:r>
        <w:rPr>
          <w:rFonts w:hint="eastAsia"/>
        </w:rPr>
        <w:t>项目编号：</w:t>
      </w:r>
      <w:r>
        <w:rPr>
          <w:rFonts w:hint="eastAsia"/>
          <w:highlight w:val="yellow"/>
        </w:rPr>
        <w:t xml:space="preserve"> FSCZB2025120046</w:t>
      </w:r>
    </w:p>
    <w:p w14:paraId="0AB9F24D">
      <w:pPr>
        <w:pStyle w:val="72"/>
      </w:pPr>
      <w:bookmarkStart w:id="3" w:name="_Toc47976589"/>
      <w:r>
        <w:rPr>
          <w:rFonts w:hint="eastAsia"/>
          <w:lang w:val="en-US" w:eastAsia="zh-CN"/>
        </w:rPr>
        <w:t>项目概况</w:t>
      </w:r>
      <w:r>
        <w:rPr>
          <w:rFonts w:hint="eastAsia"/>
        </w:rPr>
        <w:t>及招标形式</w:t>
      </w:r>
      <w:bookmarkEnd w:id="3"/>
    </w:p>
    <w:p w14:paraId="1A912F05">
      <w:pPr>
        <w:pStyle w:val="73"/>
        <w:numPr>
          <w:ilvl w:val="0"/>
          <w:numId w:val="9"/>
        </w:numPr>
      </w:pPr>
      <w:r>
        <w:rPr>
          <w:rFonts w:hint="eastAsia"/>
        </w:rPr>
        <w:t>招标内容：</w:t>
      </w:r>
      <w:r>
        <w:rPr>
          <w:rFonts w:hint="eastAsia"/>
          <w:highlight w:val="yellow"/>
        </w:rPr>
        <w:t>济南车桥公司驱动桥总成产能提升-新增螺柱焊机项目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76B97D53">
      <w:pPr>
        <w:pStyle w:val="72"/>
        <w:rPr>
          <w:highlight w:val="yellow"/>
        </w:rPr>
      </w:pPr>
      <w:bookmarkStart w:id="4" w:name="_Toc47976591"/>
      <w:r>
        <w:rPr>
          <w:rFonts w:hint="eastAsia"/>
          <w:highlight w:val="yellow"/>
        </w:rPr>
        <w:t>报名及招标文件的获取</w:t>
      </w:r>
      <w:bookmarkEnd w:id="4"/>
    </w:p>
    <w:p w14:paraId="07830231">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报名截止时间：2025年1</w:t>
      </w:r>
      <w:r>
        <w:rPr>
          <w:rFonts w:hint="eastAsia" w:hAnsi="宋体" w:cs="宋体"/>
          <w:b/>
          <w:bCs/>
          <w:szCs w:val="21"/>
          <w:lang w:val="en-US" w:eastAsia="zh-CN"/>
        </w:rPr>
        <w:t>2</w:t>
      </w:r>
      <w:r>
        <w:rPr>
          <w:rFonts w:hint="eastAsia" w:hAnsi="宋体" w:cs="宋体"/>
          <w:b/>
          <w:bCs/>
          <w:szCs w:val="21"/>
        </w:rPr>
        <w:t>月</w:t>
      </w:r>
      <w:r>
        <w:rPr>
          <w:rFonts w:hint="eastAsia" w:hAnsi="宋体" w:cs="宋体"/>
          <w:b/>
          <w:bCs/>
          <w:szCs w:val="21"/>
          <w:lang w:val="en-US" w:eastAsia="zh-CN"/>
        </w:rPr>
        <w:t>19</w:t>
      </w:r>
      <w:r>
        <w:rPr>
          <w:rFonts w:hint="eastAsia" w:hAnsi="宋体" w:cs="宋体"/>
          <w:b/>
          <w:bCs/>
          <w:szCs w:val="21"/>
        </w:rPr>
        <w:t>日下午17点</w:t>
      </w:r>
    </w:p>
    <w:p w14:paraId="415DF00D">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0AA5580">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w:t>
      </w:r>
      <w:r>
        <w:rPr>
          <w:rFonts w:hint="eastAsia" w:ascii="宋体" w:hAnsi="宋体" w:eastAsia="宋体" w:cs="宋体"/>
          <w:sz w:val="21"/>
          <w:szCs w:val="21"/>
          <w:lang w:val="en-US" w:eastAsia="zh-CN"/>
        </w:rPr>
        <w:t>中的</w:t>
      </w:r>
      <w:r>
        <w:rPr>
          <w:rFonts w:hint="eastAsia" w:ascii="宋体" w:hAnsi="宋体" w:eastAsia="宋体" w:cs="宋体"/>
          <w:sz w:val="21"/>
          <w:szCs w:val="21"/>
        </w:rPr>
        <w:t>投标文件</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资质标书》</w:t>
      </w:r>
      <w:r>
        <w:rPr>
          <w:rFonts w:hint="eastAsia" w:ascii="宋体" w:hAnsi="宋体" w:eastAsia="宋体" w:cs="宋体"/>
          <w:sz w:val="21"/>
          <w:szCs w:val="21"/>
        </w:rPr>
        <w:t>准备资料并上传，资质审查通过即为报名成功；公示期间请尽快报名。</w:t>
      </w:r>
    </w:p>
    <w:p w14:paraId="662910D4">
      <w:pPr>
        <w:pStyle w:val="72"/>
        <w:rPr>
          <w:highlight w:val="yellow"/>
        </w:rPr>
      </w:pPr>
      <w:r>
        <w:rPr>
          <w:rFonts w:hint="eastAsia"/>
          <w:highlight w:val="yellow"/>
        </w:rPr>
        <w:t>投标文件的递交</w:t>
      </w:r>
    </w:p>
    <w:p w14:paraId="50084A7A">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217B6D47">
      <w:pPr>
        <w:pStyle w:val="72"/>
        <w:rPr>
          <w:highlight w:val="yellow"/>
        </w:rPr>
      </w:pPr>
      <w:r>
        <w:rPr>
          <w:rFonts w:hint="eastAsia"/>
          <w:highlight w:val="yellow"/>
          <w:lang w:val="en-US" w:eastAsia="zh-CN"/>
        </w:rPr>
        <w:t>开标时间和地点</w:t>
      </w:r>
    </w:p>
    <w:p w14:paraId="0605A00C">
      <w:pPr>
        <w:pStyle w:val="72"/>
        <w:numPr>
          <w:ilvl w:val="0"/>
          <w:numId w:val="11"/>
        </w:numPr>
        <w:ind w:left="840"/>
        <w:rPr>
          <w:highlight w:val="yellow"/>
        </w:rPr>
      </w:pPr>
      <w:r>
        <w:rPr>
          <w:rFonts w:hint="eastAsia" w:ascii="宋体" w:hAnsi="宋体" w:eastAsia="宋体" w:cs="宋体"/>
          <w:sz w:val="21"/>
          <w:szCs w:val="21"/>
          <w:highlight w:val="yellow"/>
        </w:rPr>
        <w:t>时间：2025年1</w:t>
      </w:r>
      <w:r>
        <w:rPr>
          <w:rFonts w:hint="eastAsia" w:ascii="宋体" w:hAnsi="宋体" w:eastAsia="宋体" w:cs="宋体"/>
          <w:sz w:val="21"/>
          <w:szCs w:val="21"/>
          <w:highlight w:val="yellow"/>
          <w:lang w:val="en-US" w:eastAsia="zh-CN"/>
        </w:rPr>
        <w:t>2</w:t>
      </w:r>
      <w:r>
        <w:rPr>
          <w:rFonts w:hint="eastAsia" w:ascii="宋体" w:hAnsi="宋体" w:eastAsia="宋体" w:cs="宋体"/>
          <w:sz w:val="21"/>
          <w:szCs w:val="21"/>
          <w:highlight w:val="yellow"/>
        </w:rPr>
        <w:t>月</w:t>
      </w:r>
      <w:r>
        <w:rPr>
          <w:rFonts w:hint="eastAsia" w:ascii="宋体" w:hAnsi="宋体" w:eastAsia="宋体" w:cs="宋体"/>
          <w:sz w:val="21"/>
          <w:szCs w:val="21"/>
          <w:highlight w:val="yellow"/>
          <w:lang w:val="en-US" w:eastAsia="zh-CN"/>
        </w:rPr>
        <w:t>24</w:t>
      </w:r>
      <w:r>
        <w:rPr>
          <w:rFonts w:hint="eastAsia" w:ascii="宋体" w:hAnsi="宋体" w:eastAsia="宋体" w:cs="宋体"/>
          <w:sz w:val="21"/>
          <w:szCs w:val="21"/>
          <w:highlight w:val="yellow"/>
        </w:rPr>
        <w:t>日9:00:00</w:t>
      </w:r>
    </w:p>
    <w:p w14:paraId="30BF883D">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35A57CFF">
      <w:pPr>
        <w:pStyle w:val="72"/>
      </w:pPr>
      <w:r>
        <w:rPr>
          <w:rFonts w:hint="eastAsia"/>
        </w:rPr>
        <w:t>招标公告发布媒介</w:t>
      </w:r>
    </w:p>
    <w:p w14:paraId="6F2303DF">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4C39891A">
      <w:pPr>
        <w:pStyle w:val="72"/>
        <w:rPr>
          <w:highlight w:val="yellow"/>
        </w:rPr>
      </w:pPr>
      <w:r>
        <w:rPr>
          <w:rFonts w:hint="eastAsia"/>
          <w:highlight w:val="yellow"/>
        </w:rPr>
        <w:t>联系方式</w:t>
      </w:r>
    </w:p>
    <w:p w14:paraId="167EDC3D">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重汽（济南）车桥有限公司</w:t>
      </w:r>
    </w:p>
    <w:p w14:paraId="2B0A2BEA">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4DF15943">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rPr>
        <w:t>电话：</w:t>
      </w:r>
      <w:r>
        <w:rPr>
          <w:rFonts w:hint="eastAsia" w:ascii="宋体" w:hAnsi="宋体" w:eastAsia="宋体" w:cs="宋体"/>
          <w:bCs w:val="0"/>
          <w:sz w:val="21"/>
          <w:szCs w:val="21"/>
          <w:lang w:val="en-US" w:eastAsia="zh-CN"/>
        </w:rPr>
        <w:t>17860606311</w:t>
      </w:r>
    </w:p>
    <w:p w14:paraId="23B952B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066A2C4A">
      <w:pPr>
        <w:pStyle w:val="72"/>
        <w:numPr>
          <w:ilvl w:val="0"/>
          <w:numId w:val="0"/>
        </w:numPr>
        <w:ind w:firstLine="422" w:firstLineChars="200"/>
        <w:rPr>
          <w:rFonts w:hint="default" w:ascii="宋体" w:hAnsi="宋体" w:eastAsia="宋体" w:cs="宋体"/>
          <w:bCs w:val="0"/>
          <w:sz w:val="21"/>
          <w:szCs w:val="21"/>
          <w:lang w:val="en-US" w:eastAsia="zh-CN"/>
        </w:rPr>
      </w:pPr>
      <w:r>
        <w:rPr>
          <w:rFonts w:hint="eastAsia" w:ascii="宋体" w:hAnsi="宋体" w:eastAsia="宋体" w:cs="宋体"/>
          <w:bCs w:val="0"/>
          <w:sz w:val="21"/>
          <w:szCs w:val="21"/>
          <w:highlight w:val="yellow"/>
        </w:rPr>
        <w:t>技术联系人：</w:t>
      </w:r>
      <w:bookmarkStart w:id="220" w:name="_GoBack"/>
      <w:r>
        <w:rPr>
          <w:rFonts w:ascii="宋体" w:hAnsi="宋体" w:eastAsia="宋体" w:cs="宋体"/>
          <w:sz w:val="24"/>
          <w:szCs w:val="24"/>
        </w:rPr>
        <w:t>刘延民</w:t>
      </w:r>
    </w:p>
    <w:p w14:paraId="3CD33835">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w:t>
      </w:r>
      <w:r>
        <w:rPr>
          <w:rFonts w:ascii="宋体" w:hAnsi="宋体" w:eastAsia="宋体" w:cs="宋体"/>
          <w:sz w:val="24"/>
          <w:szCs w:val="24"/>
        </w:rPr>
        <w:t>15275120878</w:t>
      </w:r>
    </w:p>
    <w:p w14:paraId="0424277F">
      <w:pPr>
        <w:pStyle w:val="72"/>
        <w:numPr>
          <w:ilvl w:val="0"/>
          <w:numId w:val="0"/>
        </w:numPr>
        <w:ind w:leftChars="0" w:firstLine="422" w:firstLineChars="200"/>
      </w:pPr>
      <w:r>
        <w:rPr>
          <w:rFonts w:hint="eastAsia" w:ascii="宋体" w:hAnsi="宋体" w:eastAsia="宋体" w:cs="宋体"/>
          <w:b/>
          <w:bCs/>
          <w:sz w:val="21"/>
          <w:szCs w:val="21"/>
        </w:rPr>
        <w:t>邮箱：</w:t>
      </w:r>
      <w:r>
        <w:rPr>
          <w:rFonts w:ascii="宋体" w:hAnsi="宋体" w:eastAsia="宋体" w:cs="宋体"/>
          <w:sz w:val="24"/>
          <w:szCs w:val="24"/>
        </w:rPr>
        <w:t>liuyanmin@sinotruk.com</w:t>
      </w:r>
      <w:bookmarkEnd w:id="220"/>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12</w:t>
      </w:r>
      <w:r>
        <w:rPr>
          <w:rFonts w:hint="eastAsia"/>
        </w:rPr>
        <w:t>月</w:t>
      </w:r>
      <w:r>
        <w:rPr>
          <w:rFonts w:hint="eastAsia"/>
          <w:lang w:val="en-US" w:eastAsia="zh-CN"/>
        </w:rPr>
        <w:t>15</w:t>
      </w:r>
      <w:r>
        <w:rPr>
          <w:rFonts w:hint="eastAsia"/>
        </w:rPr>
        <w:t>日</w:t>
      </w:r>
    </w:p>
    <w:p w14:paraId="04C96706">
      <w:pPr>
        <w:pStyle w:val="76"/>
      </w:pPr>
    </w:p>
    <w:p w14:paraId="3D820EEC">
      <w:pPr>
        <w:pStyle w:val="71"/>
      </w:pPr>
      <w:bookmarkStart w:id="5" w:name="_Toc47976595"/>
      <w:bookmarkStart w:id="6" w:name="_Toc7753"/>
      <w:r>
        <w:rPr>
          <w:rFonts w:hint="eastAsia"/>
        </w:rPr>
        <w:t>第一部分  投标人须知</w:t>
      </w:r>
      <w:bookmarkEnd w:id="5"/>
      <w:bookmarkEnd w:id="6"/>
    </w:p>
    <w:p w14:paraId="418340FC">
      <w:pPr>
        <w:pStyle w:val="72"/>
        <w:numPr>
          <w:ilvl w:val="0"/>
          <w:numId w:val="12"/>
        </w:numPr>
        <w:ind w:left="420"/>
        <w:jc w:val="left"/>
      </w:pPr>
      <w:bookmarkStart w:id="7" w:name="_Toc47976596"/>
      <w:r>
        <w:rPr>
          <w:rFonts w:hint="eastAsia"/>
        </w:rPr>
        <w:t>项目介绍</w:t>
      </w:r>
      <w:bookmarkEnd w:id="7"/>
    </w:p>
    <w:p w14:paraId="742B3A80">
      <w:pPr>
        <w:pStyle w:val="76"/>
        <w:numPr>
          <w:ilvl w:val="0"/>
          <w:numId w:val="13"/>
        </w:numPr>
        <w:ind w:left="425" w:leftChars="0" w:hanging="425" w:firstLineChars="0"/>
      </w:pPr>
      <w:bookmarkStart w:id="8" w:name="_Toc47112482"/>
      <w:r>
        <w:rPr>
          <w:rFonts w:hint="eastAsia"/>
          <w:lang w:val="en-US" w:eastAsia="zh-CN"/>
        </w:rPr>
        <w:t>项目概况：</w:t>
      </w:r>
    </w:p>
    <w:tbl>
      <w:tblPr>
        <w:tblStyle w:val="30"/>
        <w:tblpPr w:leftFromText="180" w:rightFromText="180" w:vertAnchor="text" w:tblpXSpec="center" w:tblpY="1"/>
        <w:tblOverlap w:val="never"/>
        <w:tblW w:w="75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5"/>
        <w:gridCol w:w="1745"/>
        <w:gridCol w:w="776"/>
        <w:gridCol w:w="832"/>
        <w:gridCol w:w="749"/>
        <w:gridCol w:w="1548"/>
        <w:gridCol w:w="1026"/>
      </w:tblGrid>
      <w:tr w14:paraId="02084E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875" w:type="dxa"/>
            <w:noWrap w:val="0"/>
            <w:vAlign w:val="center"/>
          </w:tcPr>
          <w:p w14:paraId="1DB262B7">
            <w:pPr>
              <w:pStyle w:val="62"/>
              <w:adjustRightInd w:val="0"/>
              <w:snapToGrid w:val="0"/>
              <w:ind w:firstLine="0" w:firstLineChars="0"/>
              <w:jc w:val="center"/>
              <w:rPr>
                <w:rFonts w:hint="eastAsia" w:ascii="仿宋" w:hAnsi="仿宋" w:eastAsia="仿宋" w:cs="仿宋"/>
                <w:sz w:val="24"/>
                <w:szCs w:val="24"/>
              </w:rPr>
            </w:pPr>
            <w:r>
              <w:rPr>
                <w:rFonts w:hint="eastAsia" w:ascii="仿宋" w:hAnsi="仿宋" w:eastAsia="仿宋" w:cs="仿宋"/>
                <w:sz w:val="24"/>
                <w:szCs w:val="24"/>
              </w:rPr>
              <w:t>序号</w:t>
            </w:r>
          </w:p>
        </w:tc>
        <w:tc>
          <w:tcPr>
            <w:tcW w:w="1745" w:type="dxa"/>
            <w:noWrap w:val="0"/>
            <w:vAlign w:val="center"/>
          </w:tcPr>
          <w:p w14:paraId="01EACD27">
            <w:pPr>
              <w:pStyle w:val="62"/>
              <w:adjustRightInd w:val="0"/>
              <w:snapToGrid w:val="0"/>
              <w:ind w:firstLine="0" w:firstLineChars="0"/>
              <w:jc w:val="center"/>
              <w:rPr>
                <w:rFonts w:hint="eastAsia" w:ascii="仿宋" w:hAnsi="仿宋" w:eastAsia="仿宋" w:cs="仿宋"/>
                <w:sz w:val="24"/>
                <w:szCs w:val="24"/>
              </w:rPr>
            </w:pPr>
            <w:r>
              <w:rPr>
                <w:rFonts w:hint="eastAsia" w:ascii="仿宋" w:hAnsi="仿宋" w:eastAsia="仿宋" w:cs="仿宋"/>
                <w:sz w:val="24"/>
                <w:szCs w:val="24"/>
              </w:rPr>
              <w:t>名称</w:t>
            </w:r>
          </w:p>
        </w:tc>
        <w:tc>
          <w:tcPr>
            <w:tcW w:w="776" w:type="dxa"/>
            <w:noWrap w:val="0"/>
            <w:vAlign w:val="center"/>
          </w:tcPr>
          <w:p w14:paraId="7DAACBCB">
            <w:pPr>
              <w:pStyle w:val="62"/>
              <w:adjustRightInd w:val="0"/>
              <w:snapToGrid w:val="0"/>
              <w:ind w:firstLine="0" w:firstLineChars="0"/>
              <w:jc w:val="center"/>
              <w:rPr>
                <w:rFonts w:hint="eastAsia" w:ascii="仿宋" w:hAnsi="仿宋" w:eastAsia="仿宋" w:cs="仿宋"/>
                <w:sz w:val="24"/>
                <w:szCs w:val="24"/>
                <w:lang w:eastAsia="zh-CN"/>
              </w:rPr>
            </w:pPr>
            <w:r>
              <w:rPr>
                <w:rFonts w:hint="eastAsia" w:ascii="仿宋" w:hAnsi="仿宋" w:eastAsia="仿宋" w:cs="仿宋"/>
                <w:sz w:val="24"/>
                <w:szCs w:val="24"/>
                <w:lang w:val="en-US" w:eastAsia="zh-CN"/>
              </w:rPr>
              <w:t>规格</w:t>
            </w:r>
          </w:p>
        </w:tc>
        <w:tc>
          <w:tcPr>
            <w:tcW w:w="832" w:type="dxa"/>
            <w:noWrap w:val="0"/>
            <w:vAlign w:val="center"/>
          </w:tcPr>
          <w:p w14:paraId="4D6BCAB9">
            <w:pPr>
              <w:pStyle w:val="62"/>
              <w:adjustRightInd w:val="0"/>
              <w:snapToGrid w:val="0"/>
              <w:ind w:firstLine="0" w:firstLineChars="0"/>
              <w:jc w:val="center"/>
              <w:rPr>
                <w:rFonts w:hint="eastAsia" w:ascii="仿宋" w:hAnsi="仿宋" w:eastAsia="仿宋" w:cs="仿宋"/>
                <w:sz w:val="24"/>
                <w:szCs w:val="24"/>
              </w:rPr>
            </w:pPr>
            <w:r>
              <w:rPr>
                <w:rFonts w:hint="eastAsia" w:ascii="仿宋" w:hAnsi="仿宋" w:eastAsia="仿宋" w:cs="仿宋"/>
                <w:sz w:val="24"/>
                <w:szCs w:val="24"/>
              </w:rPr>
              <w:t>数量</w:t>
            </w:r>
          </w:p>
        </w:tc>
        <w:tc>
          <w:tcPr>
            <w:tcW w:w="749" w:type="dxa"/>
            <w:noWrap w:val="0"/>
            <w:vAlign w:val="center"/>
          </w:tcPr>
          <w:p w14:paraId="15252B35">
            <w:pPr>
              <w:pStyle w:val="62"/>
              <w:adjustRightInd w:val="0"/>
              <w:snapToGrid w:val="0"/>
              <w:ind w:firstLine="0" w:firstLineChars="0"/>
              <w:jc w:val="center"/>
              <w:rPr>
                <w:rFonts w:hint="eastAsia" w:ascii="仿宋" w:hAnsi="仿宋" w:eastAsia="仿宋" w:cs="仿宋"/>
                <w:sz w:val="24"/>
                <w:szCs w:val="24"/>
              </w:rPr>
            </w:pPr>
            <w:r>
              <w:rPr>
                <w:rFonts w:hint="eastAsia" w:ascii="仿宋" w:hAnsi="仿宋" w:eastAsia="仿宋" w:cs="仿宋"/>
                <w:sz w:val="24"/>
                <w:szCs w:val="24"/>
              </w:rPr>
              <w:t>单位</w:t>
            </w:r>
          </w:p>
        </w:tc>
        <w:tc>
          <w:tcPr>
            <w:tcW w:w="1548" w:type="dxa"/>
            <w:noWrap w:val="0"/>
            <w:vAlign w:val="bottom"/>
          </w:tcPr>
          <w:p w14:paraId="694C4F1D">
            <w:pPr>
              <w:pStyle w:val="16"/>
              <w:keepNext w:val="0"/>
              <w:keepLines w:val="0"/>
              <w:pageBreakBefore w:val="0"/>
              <w:widowControl w:val="0"/>
              <w:kinsoku/>
              <w:wordWrap/>
              <w:overflowPunct/>
              <w:topLinePunct w:val="0"/>
              <w:autoSpaceDE/>
              <w:autoSpaceDN/>
              <w:bidi w:val="0"/>
              <w:adjustRightInd/>
              <w:snapToGrid w:val="0"/>
              <w:spacing w:after="0" w:line="240" w:lineRule="exact"/>
              <w:ind w:left="0" w:leftChars="0" w:firstLine="0" w:firstLineChars="0"/>
              <w:jc w:val="center"/>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安装地点/服务对象</w:t>
            </w:r>
          </w:p>
        </w:tc>
        <w:tc>
          <w:tcPr>
            <w:tcW w:w="1026" w:type="dxa"/>
            <w:noWrap w:val="0"/>
            <w:vAlign w:val="center"/>
          </w:tcPr>
          <w:p w14:paraId="5A6F8F35">
            <w:pPr>
              <w:pStyle w:val="62"/>
              <w:adjustRightInd w:val="0"/>
              <w:snapToGrid w:val="0"/>
              <w:ind w:firstLine="0" w:firstLineChars="0"/>
              <w:jc w:val="center"/>
              <w:rPr>
                <w:rFonts w:hint="eastAsia" w:ascii="仿宋" w:hAnsi="仿宋" w:eastAsia="仿宋" w:cs="仿宋"/>
                <w:sz w:val="24"/>
                <w:szCs w:val="24"/>
              </w:rPr>
            </w:pPr>
            <w:r>
              <w:rPr>
                <w:rFonts w:hint="eastAsia" w:ascii="仿宋" w:hAnsi="仿宋" w:eastAsia="仿宋" w:cs="仿宋"/>
                <w:sz w:val="24"/>
                <w:szCs w:val="24"/>
              </w:rPr>
              <w:t>供货</w:t>
            </w:r>
          </w:p>
          <w:p w14:paraId="3433E7D8">
            <w:pPr>
              <w:pStyle w:val="62"/>
              <w:adjustRightInd w:val="0"/>
              <w:snapToGrid w:val="0"/>
              <w:ind w:firstLine="0" w:firstLineChars="0"/>
              <w:jc w:val="center"/>
              <w:rPr>
                <w:rFonts w:hint="eastAsia" w:ascii="仿宋" w:hAnsi="仿宋" w:eastAsia="仿宋" w:cs="仿宋"/>
                <w:sz w:val="24"/>
                <w:szCs w:val="24"/>
              </w:rPr>
            </w:pPr>
            <w:r>
              <w:rPr>
                <w:rFonts w:hint="eastAsia" w:ascii="仿宋" w:hAnsi="仿宋" w:eastAsia="仿宋" w:cs="仿宋"/>
                <w:sz w:val="24"/>
                <w:szCs w:val="24"/>
              </w:rPr>
              <w:t>方式</w:t>
            </w:r>
          </w:p>
        </w:tc>
      </w:tr>
      <w:tr w14:paraId="499B3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875" w:type="dxa"/>
            <w:noWrap w:val="0"/>
            <w:vAlign w:val="center"/>
          </w:tcPr>
          <w:p w14:paraId="51E31EE7">
            <w:pPr>
              <w:jc w:val="center"/>
              <w:rPr>
                <w:rFonts w:hint="eastAsia" w:ascii="仿宋" w:hAnsi="仿宋" w:eastAsia="仿宋" w:cs="仿宋"/>
                <w:sz w:val="24"/>
                <w:szCs w:val="24"/>
                <w:lang w:eastAsia="zh-CN"/>
              </w:rPr>
            </w:pPr>
            <w:r>
              <w:rPr>
                <w:rFonts w:hint="eastAsia" w:ascii="仿宋" w:hAnsi="仿宋" w:eastAsia="仿宋" w:cs="仿宋"/>
                <w:sz w:val="24"/>
                <w:szCs w:val="24"/>
                <w:lang w:val="en-US" w:eastAsia="zh-CN"/>
              </w:rPr>
              <w:t>1</w:t>
            </w:r>
          </w:p>
        </w:tc>
        <w:tc>
          <w:tcPr>
            <w:tcW w:w="1745" w:type="dxa"/>
            <w:noWrap w:val="0"/>
            <w:vAlign w:val="center"/>
          </w:tcPr>
          <w:p w14:paraId="67D8DA3C">
            <w:pPr>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螺柱焊机</w:t>
            </w:r>
          </w:p>
        </w:tc>
        <w:tc>
          <w:tcPr>
            <w:tcW w:w="776" w:type="dxa"/>
            <w:noWrap w:val="0"/>
            <w:vAlign w:val="center"/>
          </w:tcPr>
          <w:p w14:paraId="695679A9">
            <w:pPr>
              <w:pStyle w:val="62"/>
              <w:adjustRightInd w:val="0"/>
              <w:snapToGrid w:val="0"/>
              <w:ind w:firstLine="0" w:firstLineChars="0"/>
              <w:jc w:val="center"/>
              <w:rPr>
                <w:rFonts w:hint="eastAsia" w:ascii="仿宋" w:hAnsi="仿宋" w:eastAsia="仿宋" w:cs="仿宋"/>
                <w:sz w:val="24"/>
                <w:szCs w:val="24"/>
              </w:rPr>
            </w:pPr>
          </w:p>
        </w:tc>
        <w:tc>
          <w:tcPr>
            <w:tcW w:w="832" w:type="dxa"/>
            <w:noWrap w:val="0"/>
            <w:vAlign w:val="center"/>
          </w:tcPr>
          <w:p w14:paraId="363A1E14">
            <w:pPr>
              <w:pStyle w:val="62"/>
              <w:adjustRightInd w:val="0"/>
              <w:snapToGrid w:val="0"/>
              <w:ind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w:t>
            </w:r>
          </w:p>
        </w:tc>
        <w:tc>
          <w:tcPr>
            <w:tcW w:w="749" w:type="dxa"/>
            <w:noWrap w:val="0"/>
            <w:vAlign w:val="center"/>
          </w:tcPr>
          <w:p w14:paraId="507300C9">
            <w:pPr>
              <w:pStyle w:val="62"/>
              <w:adjustRightInd w:val="0"/>
              <w:snapToGrid w:val="0"/>
              <w:ind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套</w:t>
            </w:r>
          </w:p>
        </w:tc>
        <w:tc>
          <w:tcPr>
            <w:tcW w:w="1548" w:type="dxa"/>
            <w:noWrap w:val="0"/>
            <w:vAlign w:val="bottom"/>
          </w:tcPr>
          <w:p w14:paraId="23113D94">
            <w:pPr>
              <w:pStyle w:val="16"/>
              <w:keepNext w:val="0"/>
              <w:keepLines w:val="0"/>
              <w:pageBreakBefore w:val="0"/>
              <w:widowControl w:val="0"/>
              <w:kinsoku/>
              <w:wordWrap/>
              <w:overflowPunct/>
              <w:topLinePunct w:val="0"/>
              <w:autoSpaceDE/>
              <w:autoSpaceDN/>
              <w:bidi w:val="0"/>
              <w:adjustRightInd/>
              <w:snapToGrid w:val="0"/>
              <w:spacing w:after="0" w:line="240" w:lineRule="exact"/>
              <w:ind w:left="0" w:leftChars="0" w:firstLine="0" w:firstLineChars="0"/>
              <w:jc w:val="center"/>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车桥公司驱动桥部</w:t>
            </w:r>
          </w:p>
        </w:tc>
        <w:tc>
          <w:tcPr>
            <w:tcW w:w="1026" w:type="dxa"/>
            <w:noWrap w:val="0"/>
            <w:vAlign w:val="center"/>
          </w:tcPr>
          <w:p w14:paraId="56103C77">
            <w:pPr>
              <w:pStyle w:val="62"/>
              <w:adjustRightInd w:val="0"/>
              <w:snapToGrid w:val="0"/>
              <w:ind w:firstLine="0" w:firstLineChars="0"/>
              <w:jc w:val="center"/>
              <w:rPr>
                <w:rFonts w:hint="eastAsia" w:ascii="仿宋" w:hAnsi="仿宋" w:eastAsia="仿宋" w:cs="仿宋"/>
                <w:sz w:val="24"/>
                <w:szCs w:val="24"/>
              </w:rPr>
            </w:pPr>
            <w:r>
              <w:rPr>
                <w:rFonts w:hint="eastAsia" w:ascii="仿宋" w:hAnsi="仿宋" w:eastAsia="仿宋" w:cs="仿宋"/>
                <w:sz w:val="24"/>
                <w:szCs w:val="24"/>
              </w:rPr>
              <w:t>交钥匙</w:t>
            </w:r>
          </w:p>
        </w:tc>
      </w:tr>
    </w:tbl>
    <w:p w14:paraId="0C7BCDB9">
      <w:pPr>
        <w:pStyle w:val="76"/>
        <w:numPr>
          <w:ilvl w:val="0"/>
          <w:numId w:val="0"/>
        </w:numPr>
        <w:ind w:leftChars="0"/>
      </w:pP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bookmarkEnd w:id="8"/>
    <w:p w14:paraId="50DC6C75">
      <w:pPr>
        <w:pStyle w:val="72"/>
      </w:pPr>
      <w:bookmarkStart w:id="9" w:name="_Toc47976598"/>
      <w:r>
        <w:rPr>
          <w:rFonts w:hint="eastAsia"/>
        </w:rPr>
        <w:t>合格的投标人。</w:t>
      </w:r>
      <w:bookmarkEnd w:id="9"/>
    </w:p>
    <w:p w14:paraId="768FA32C">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1.拟投标人必须是在中华人民共和国境内注册的独立法人机构，具有独立承担民事责任能力；注册资金不少于</w:t>
      </w:r>
      <w:r>
        <w:rPr>
          <w:rFonts w:hint="eastAsia" w:hAnsi="宋体" w:eastAsia="宋体" w:cs="宋体"/>
          <w:color w:val="000000"/>
          <w:sz w:val="24"/>
          <w:szCs w:val="24"/>
          <w:lang w:val="en-US" w:eastAsia="zh-CN"/>
        </w:rPr>
        <w:t>100</w:t>
      </w:r>
      <w:r>
        <w:rPr>
          <w:rFonts w:hint="eastAsia" w:hAnsi="宋体" w:eastAsia="宋体" w:cs="宋体"/>
          <w:color w:val="000000"/>
          <w:sz w:val="24"/>
          <w:szCs w:val="24"/>
        </w:rPr>
        <w:t>万人民币（或等值其他货币）；公司成立三年以上（以营业执照成立日期到开标当日满三年为准），且经营范围满足招标人需求；并在人员、设备、资金等方面具有承担本项目的能力；</w:t>
      </w:r>
    </w:p>
    <w:p w14:paraId="62826F52">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2.拟投标人应提供营业执照副本原件和扫描件（需盖章）；</w:t>
      </w:r>
    </w:p>
    <w:p w14:paraId="39CDDD45">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3.拟投标人应提供法定代表人资格证明文件；</w:t>
      </w:r>
    </w:p>
    <w:p w14:paraId="074686B4">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4.在“国家企业信用信息公示系统”“中国执行信息公开网”“信用中国”“天眼查”“裁判文书网”等信息平台中，无行政处罚及失信记录等信息；</w:t>
      </w:r>
    </w:p>
    <w:p w14:paraId="03F1464A">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5.拟投标人不存在严重违规或被列入招标人“黑名单”的声明；</w:t>
      </w:r>
    </w:p>
    <w:p w14:paraId="6BD013F1">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6.拟投标人应提供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p>
    <w:p w14:paraId="44A1FE38">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7.拟投标人有与本次招标内容相同或类似项目业绩，且近3年内无因服务不当而造成重大事故；</w:t>
      </w:r>
    </w:p>
    <w:p w14:paraId="019E2763">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8.拟投标人近三年内在经营活动中无与本项目有关的违法及重大违规情况；</w:t>
      </w:r>
    </w:p>
    <w:p w14:paraId="0CCE6745">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9.拟投标人须认可招标人的工作指令，包括节、假日能正常开展工作的要求；</w:t>
      </w:r>
    </w:p>
    <w:p w14:paraId="731660EE">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10.拟投标人财务状况良好，最近半年纳税正常；</w:t>
      </w:r>
    </w:p>
    <w:p w14:paraId="5807AD27">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11.拟投标人信用证明材料（征信中心出具的信用报告）未显示异常；</w:t>
      </w:r>
    </w:p>
    <w:p w14:paraId="25575BF6">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12.拟投标人的直接或间接股东、法定代表人、董事、监事、高管非重汽员工及其亲属；</w:t>
      </w:r>
    </w:p>
    <w:p w14:paraId="0F084D0B">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13.</w:t>
      </w:r>
      <w:r>
        <w:rPr>
          <w:rFonts w:hint="eastAsia" w:hAnsi="宋体" w:eastAsia="宋体" w:cs="宋体"/>
          <w:color w:val="000000"/>
          <w:kern w:val="2"/>
          <w:sz w:val="24"/>
          <w:szCs w:val="24"/>
          <w:highlight w:val="none"/>
          <w:lang w:val="en-US" w:eastAsia="zh-CN" w:bidi="ar-SA"/>
        </w:rPr>
        <w:t>投标单位需为设备制造单位</w:t>
      </w:r>
      <w:r>
        <w:rPr>
          <w:rFonts w:hint="eastAsia" w:hAnsi="宋体" w:eastAsia="宋体" w:cs="宋体"/>
          <w:color w:val="000000"/>
          <w:sz w:val="24"/>
          <w:szCs w:val="24"/>
        </w:rPr>
        <w:t>；</w:t>
      </w:r>
    </w:p>
    <w:p w14:paraId="486626AA">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14.本项目不接受联合体投标，拟投标人必须是最终投标单位和签订合同单位，不得以任何理由将已中标项目以任何形式分包或转包给其他单位；</w:t>
      </w:r>
    </w:p>
    <w:p w14:paraId="7B938EB0">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15.无招标违规、谎报年度报告信息、提供虚假资质资料等行为或其他行政处罚记录。</w:t>
      </w:r>
    </w:p>
    <w:p w14:paraId="186D2288">
      <w:pPr>
        <w:pStyle w:val="14"/>
        <w:ind w:firstLine="480" w:firstLineChars="200"/>
        <w:rPr>
          <w:rFonts w:hint="eastAsia" w:cs="Times New Roman"/>
          <w:b/>
          <w:bCs w:val="0"/>
          <w:strike w:val="0"/>
          <w:dstrike w:val="0"/>
          <w:color w:val="FF0000"/>
          <w:highlight w:val="none"/>
          <w:lang w:val="en-US" w:eastAsia="zh-CN"/>
        </w:rPr>
      </w:pPr>
      <w:r>
        <w:rPr>
          <w:rFonts w:hint="eastAsia" w:hAnsi="宋体" w:eastAsia="宋体" w:cs="宋体"/>
          <w:color w:val="000000"/>
          <w:sz w:val="24"/>
          <w:szCs w:val="24"/>
        </w:rPr>
        <w:t>16.投标方应保证所供货物（或设备）必须符合当前国家或地方最新安全、环保、消防、职业健康最新法律法规及《机械制造企业安全生产标准化规范》各项要求 。确保货物在使用管理过程中满足《职业健康安全管理体系》《环境管理体系》等方面的国家标准、规范及地方规章要求。</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50B7F8E5">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12</w:t>
      </w:r>
      <w:r>
        <w:rPr>
          <w:rFonts w:hint="eastAsia" w:ascii="宋体" w:hAnsi="Courier New" w:eastAsia="宋体" w:cs="Times New Roman"/>
          <w:highlight w:val="yellow"/>
          <w:lang w:val="en-US" w:eastAsia="zh-CN"/>
        </w:rPr>
        <w:t>月</w:t>
      </w:r>
      <w:r>
        <w:rPr>
          <w:rFonts w:hint="eastAsia" w:cs="Times New Roman"/>
          <w:highlight w:val="yellow"/>
          <w:lang w:val="en-US" w:eastAsia="zh-CN"/>
        </w:rPr>
        <w:t>15</w:t>
      </w:r>
      <w:r>
        <w:rPr>
          <w:rFonts w:hint="eastAsia" w:ascii="宋体" w:hAnsi="Courier New" w:eastAsia="宋体" w:cs="Times New Roman"/>
          <w:highlight w:val="yellow"/>
          <w:lang w:val="en-US" w:eastAsia="zh-CN"/>
        </w:rPr>
        <w:t>日</w:t>
      </w:r>
    </w:p>
    <w:p w14:paraId="6696BE44">
      <w:pPr>
        <w:pStyle w:val="76"/>
        <w:numPr>
          <w:ilvl w:val="0"/>
          <w:numId w:val="14"/>
        </w:numPr>
        <w:jc w:val="both"/>
        <w:rPr>
          <w:highlight w:val="yellow"/>
        </w:rPr>
      </w:pPr>
      <w:r>
        <w:rPr>
          <w:rFonts w:hint="eastAsia"/>
          <w:highlight w:val="yellow"/>
        </w:rPr>
        <w:t>招标文件领取方式：线上</w:t>
      </w:r>
    </w:p>
    <w:p w14:paraId="7227B83F">
      <w:pPr>
        <w:pStyle w:val="76"/>
        <w:ind w:firstLine="210" w:firstLineChars="100"/>
        <w:jc w:val="both"/>
        <w:rPr>
          <w:highlight w:val="yellow"/>
        </w:rPr>
      </w:pPr>
      <w:r>
        <w:rPr>
          <w:rFonts w:hint="eastAsia"/>
          <w:highlight w:val="yellow"/>
        </w:rPr>
        <w:t>地点：中国重汽e采通平台</w:t>
      </w:r>
    </w:p>
    <w:p w14:paraId="23F0372F">
      <w:pPr>
        <w:pStyle w:val="76"/>
        <w:ind w:firstLine="210" w:firstLineChars="100"/>
        <w:jc w:val="both"/>
        <w:rPr>
          <w:highlight w:val="yellow"/>
        </w:rPr>
      </w:pPr>
      <w:r>
        <w:rPr>
          <w:rFonts w:hint="eastAsia"/>
          <w:highlight w:val="yellow"/>
        </w:rPr>
        <w:t>领取截止时间：2025年1</w:t>
      </w:r>
      <w:r>
        <w:rPr>
          <w:rFonts w:hint="eastAsia"/>
          <w:highlight w:val="yellow"/>
          <w:lang w:val="en-US" w:eastAsia="zh-CN"/>
        </w:rPr>
        <w:t>2</w:t>
      </w:r>
      <w:r>
        <w:rPr>
          <w:rFonts w:hint="eastAsia"/>
          <w:highlight w:val="yellow"/>
        </w:rPr>
        <w:t>月</w:t>
      </w:r>
      <w:r>
        <w:rPr>
          <w:rFonts w:hint="eastAsia"/>
          <w:highlight w:val="yellow"/>
          <w:lang w:val="en-US" w:eastAsia="zh-CN"/>
        </w:rPr>
        <w:t>19</w:t>
      </w:r>
      <w:r>
        <w:rPr>
          <w:rFonts w:hint="eastAsia"/>
          <w:highlight w:val="yellow"/>
        </w:rPr>
        <w:t>日</w:t>
      </w:r>
    </w:p>
    <w:p w14:paraId="17A6C509">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19</w:t>
      </w:r>
      <w:r>
        <w:rPr>
          <w:rFonts w:hint="eastAsia"/>
          <w:highlight w:val="yellow"/>
        </w:rPr>
        <w:t>日</w:t>
      </w:r>
      <w:r>
        <w:rPr>
          <w:rFonts w:hint="eastAsia" w:hAnsi="宋体" w:cs="宋体"/>
          <w:bCs/>
          <w:szCs w:val="21"/>
          <w:highlight w:val="yellow"/>
        </w:rPr>
        <w:t>12:00:00</w:t>
      </w:r>
      <w:r>
        <w:rPr>
          <w:rFonts w:hint="eastAsia"/>
          <w:highlight w:val="yellow"/>
        </w:rPr>
        <w:t>前</w:t>
      </w:r>
    </w:p>
    <w:p w14:paraId="01EBFC3B">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FADF0D9">
      <w:pPr>
        <w:pStyle w:val="76"/>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w:t>
      </w:r>
      <w:r>
        <w:rPr>
          <w:rFonts w:hint="eastAsia"/>
          <w:highlight w:val="yellow"/>
          <w:lang w:val="en-US" w:eastAsia="zh-CN"/>
        </w:rPr>
        <w:t>2</w:t>
      </w:r>
      <w:r>
        <w:rPr>
          <w:rFonts w:hint="eastAsia"/>
          <w:highlight w:val="yellow"/>
        </w:rPr>
        <w:t>月</w:t>
      </w:r>
      <w:r>
        <w:rPr>
          <w:rFonts w:hint="eastAsia"/>
          <w:highlight w:val="yellow"/>
          <w:lang w:val="en-US" w:eastAsia="zh-CN"/>
        </w:rPr>
        <w:t>19</w:t>
      </w:r>
      <w:r>
        <w:rPr>
          <w:rFonts w:hint="eastAsia"/>
          <w:highlight w:val="yellow"/>
        </w:rPr>
        <w:t>日</w:t>
      </w:r>
      <w:r>
        <w:rPr>
          <w:rFonts w:hint="eastAsia" w:hAnsi="宋体" w:cs="宋体"/>
          <w:bCs/>
          <w:szCs w:val="21"/>
          <w:highlight w:val="yellow"/>
        </w:rPr>
        <w:t>17:00:00</w:t>
      </w:r>
      <w:r>
        <w:rPr>
          <w:rFonts w:hint="eastAsia"/>
          <w:highlight w:val="yellow"/>
        </w:rPr>
        <w:t>前：</w:t>
      </w:r>
    </w:p>
    <w:p w14:paraId="1E73F3C6">
      <w:pPr>
        <w:pStyle w:val="76"/>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405E3A8F">
      <w:pPr>
        <w:pStyle w:val="76"/>
        <w:numPr>
          <w:ilvl w:val="0"/>
          <w:numId w:val="14"/>
        </w:numPr>
        <w:jc w:val="both"/>
        <w:rPr>
          <w:highlight w:val="yellow"/>
        </w:rPr>
      </w:pPr>
      <w:r>
        <w:rPr>
          <w:rFonts w:hint="eastAsia"/>
          <w:highlight w:val="yellow"/>
        </w:rPr>
        <w:t>报名方式：在“中国重汽e采通”平台报名</w:t>
      </w:r>
    </w:p>
    <w:p w14:paraId="7098D466">
      <w:pPr>
        <w:pStyle w:val="76"/>
        <w:numPr>
          <w:ilvl w:val="0"/>
          <w:numId w:val="14"/>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2025年</w:t>
      </w:r>
      <w:r>
        <w:rPr>
          <w:rFonts w:hint="eastAsia" w:hAnsi="宋体" w:cs="宋体"/>
          <w:sz w:val="24"/>
          <w:szCs w:val="24"/>
          <w:highlight w:val="yellow"/>
          <w:lang w:val="en-US" w:eastAsia="zh-CN"/>
        </w:rPr>
        <w:t>12</w:t>
      </w:r>
      <w:r>
        <w:rPr>
          <w:rFonts w:hint="eastAsia" w:hAnsi="宋体" w:cs="宋体"/>
          <w:sz w:val="24"/>
          <w:szCs w:val="24"/>
          <w:highlight w:val="yellow"/>
        </w:rPr>
        <w:t>月</w:t>
      </w:r>
      <w:r>
        <w:rPr>
          <w:rFonts w:hint="eastAsia" w:hAnsi="宋体" w:cs="宋体"/>
          <w:sz w:val="24"/>
          <w:szCs w:val="24"/>
          <w:highlight w:val="yellow"/>
          <w:lang w:val="en-US" w:eastAsia="zh-CN"/>
        </w:rPr>
        <w:t>19</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2</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6"/>
        </w:numPr>
        <w:ind w:left="425" w:leftChars="0" w:hanging="425" w:firstLineChars="0"/>
        <w:rPr>
          <w:b w:val="0"/>
          <w:bCs/>
          <w:highlight w:val="none"/>
        </w:rPr>
      </w:pPr>
      <w:r>
        <w:rPr>
          <w:rFonts w:hint="eastAsia"/>
          <w:b w:val="0"/>
          <w:bCs/>
          <w:highlight w:val="none"/>
        </w:rPr>
        <w:t>资质文件：</w:t>
      </w:r>
    </w:p>
    <w:p w14:paraId="13BAC003">
      <w:pPr>
        <w:pStyle w:val="75"/>
        <w:numPr>
          <w:ilvl w:val="0"/>
          <w:numId w:val="17"/>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7"/>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7"/>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yellow"/>
        </w:rPr>
      </w:pPr>
      <w:r>
        <w:rPr>
          <w:rFonts w:hint="eastAsia"/>
          <w:b w:val="0"/>
          <w:bCs/>
          <w:highlight w:val="yellow"/>
        </w:rPr>
        <w:t>投标人应具有相应生产证明</w:t>
      </w:r>
      <w:r>
        <w:rPr>
          <w:rFonts w:hint="eastAsia"/>
          <w:b w:val="0"/>
          <w:bCs/>
          <w:highlight w:val="yellow"/>
          <w:lang w:val="en-US" w:eastAsia="zh-CN"/>
        </w:rPr>
        <w:t>或相关资质，并上传相关证明文件；</w:t>
      </w:r>
    </w:p>
    <w:p w14:paraId="6A7B69C9">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7"/>
        </w:numPr>
        <w:ind w:left="425" w:leftChars="0" w:hanging="425" w:firstLineChars="0"/>
        <w:rPr>
          <w:b w:val="0"/>
          <w:bCs/>
          <w:highlight w:val="none"/>
        </w:rPr>
      </w:pPr>
      <w:r>
        <w:rPr>
          <w:rFonts w:hint="eastAsia"/>
          <w:b w:val="0"/>
          <w:bCs/>
          <w:highlight w:val="none"/>
        </w:rPr>
        <w:t>信用中国截图或国家企业信用信息公示系统截图；</w:t>
      </w:r>
    </w:p>
    <w:p w14:paraId="4A1C36E2">
      <w:pPr>
        <w:pStyle w:val="75"/>
        <w:numPr>
          <w:ilvl w:val="0"/>
          <w:numId w:val="17"/>
        </w:numPr>
        <w:ind w:left="425" w:leftChars="0" w:hanging="425" w:firstLineChars="0"/>
        <w:rPr>
          <w:b w:val="0"/>
          <w:bCs/>
          <w:highlight w:val="none"/>
        </w:rPr>
      </w:pPr>
      <w:r>
        <w:rPr>
          <w:rFonts w:hint="eastAsia" w:ascii="宋体" w:hAnsi="宋体" w:cs="宋体"/>
          <w:kern w:val="2"/>
          <w:sz w:val="21"/>
          <w:szCs w:val="21"/>
          <w:lang w:bidi="ar"/>
        </w:rPr>
        <w:t>投标保证金银行转账凭证</w:t>
      </w:r>
      <w:r>
        <w:rPr>
          <w:rFonts w:hint="eastAsia" w:hAnsi="宋体" w:cs="宋体"/>
          <w:kern w:val="2"/>
          <w:sz w:val="21"/>
          <w:szCs w:val="21"/>
          <w:lang w:eastAsia="zh-CN" w:bidi="ar"/>
        </w:rPr>
        <w:t>（</w:t>
      </w:r>
      <w:r>
        <w:rPr>
          <w:rFonts w:hint="eastAsia" w:hAnsi="宋体" w:cs="宋体"/>
          <w:kern w:val="2"/>
          <w:sz w:val="21"/>
          <w:szCs w:val="21"/>
          <w:lang w:val="en-US" w:eastAsia="zh-CN" w:bidi="ar"/>
        </w:rPr>
        <w:t>应标时可不提供）</w:t>
      </w:r>
      <w:r>
        <w:rPr>
          <w:rFonts w:hint="eastAsia" w:ascii="宋体" w:hAnsi="宋体" w:cs="宋体"/>
          <w:kern w:val="2"/>
          <w:sz w:val="21"/>
          <w:szCs w:val="21"/>
          <w:lang w:eastAsia="zh-CN" w:bidi="ar"/>
        </w:rPr>
        <w:t>；</w:t>
      </w:r>
    </w:p>
    <w:p w14:paraId="08F8AAFD">
      <w:pPr>
        <w:pStyle w:val="75"/>
        <w:numPr>
          <w:ilvl w:val="0"/>
          <w:numId w:val="17"/>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47175D6D">
      <w:pPr>
        <w:pStyle w:val="74"/>
        <w:numPr>
          <w:ilvl w:val="0"/>
          <w:numId w:val="16"/>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19"/>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19"/>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19"/>
        </w:numPr>
        <w:ind w:left="425" w:leftChars="0" w:hanging="425" w:firstLineChars="0"/>
        <w:rPr>
          <w:b w:val="0"/>
          <w:bCs/>
          <w:highlight w:val="yellow"/>
        </w:rPr>
      </w:pPr>
      <w:r>
        <w:rPr>
          <w:rFonts w:hint="eastAsia"/>
          <w:b w:val="0"/>
          <w:bCs/>
          <w:highlight w:val="yellow"/>
        </w:rPr>
        <w:t>商务条款偏离表；</w:t>
      </w:r>
    </w:p>
    <w:p w14:paraId="6D87D854">
      <w:pPr>
        <w:pStyle w:val="75"/>
        <w:numPr>
          <w:ilvl w:val="0"/>
          <w:numId w:val="19"/>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yellow"/>
        </w:rPr>
        <w:t>投标货物分项报价表；</w:t>
      </w:r>
    </w:p>
    <w:p w14:paraId="53DECED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11 </w:t>
      </w:r>
      <w:r>
        <w:rPr>
          <w:rFonts w:hint="eastAsia" w:cs="Times New Roman"/>
          <w:b w:val="0"/>
          <w:bCs/>
          <w:highlight w:val="none"/>
        </w:rPr>
        <w:t>万元（含税），超过投标限价无法投标。</w:t>
      </w:r>
    </w:p>
    <w:p w14:paraId="70E2A45F">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1A1401BC">
      <w:pPr>
        <w:pStyle w:val="75"/>
        <w:numPr>
          <w:ilvl w:val="0"/>
          <w:numId w:val="20"/>
        </w:numPr>
        <w:rPr>
          <w:bCs/>
        </w:rPr>
      </w:pPr>
      <w:r>
        <w:rPr>
          <w:rFonts w:hint="eastAsia"/>
          <w:bCs/>
        </w:rPr>
        <w:t>投标方式：</w:t>
      </w:r>
      <w:r>
        <w:rPr>
          <w:rFonts w:hint="eastAsia"/>
        </w:rPr>
        <w:t>在“中国重汽e采通”平台</w:t>
      </w:r>
      <w:r>
        <w:rPr>
          <w:rFonts w:hint="eastAsia"/>
          <w:bCs/>
        </w:rPr>
        <w:t>线上投标</w:t>
      </w:r>
    </w:p>
    <w:p w14:paraId="44000553">
      <w:pPr>
        <w:pStyle w:val="75"/>
        <w:numPr>
          <w:ilvl w:val="0"/>
          <w:numId w:val="20"/>
        </w:numPr>
        <w:rPr>
          <w:bCs/>
        </w:rPr>
      </w:pPr>
      <w:r>
        <w:rPr>
          <w:rFonts w:hint="eastAsia"/>
          <w:bCs/>
        </w:rPr>
        <w:t>联系人及联系方式：郭朝琛/</w:t>
      </w:r>
      <w:r>
        <w:rPr>
          <w:rFonts w:hint="eastAsia"/>
          <w:bCs/>
          <w:lang w:val="en-US" w:eastAsia="zh-CN"/>
        </w:rPr>
        <w:t>17860606311</w:t>
      </w:r>
    </w:p>
    <w:p w14:paraId="25B755AD">
      <w:pPr>
        <w:pStyle w:val="75"/>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2025年1</w:t>
      </w:r>
      <w:r>
        <w:rPr>
          <w:rFonts w:hint="eastAsia"/>
          <w:bCs/>
          <w:highlight w:val="yellow"/>
          <w:lang w:val="en-US" w:eastAsia="zh-CN"/>
        </w:rPr>
        <w:t>2</w:t>
      </w:r>
      <w:r>
        <w:rPr>
          <w:rFonts w:hint="eastAsia"/>
          <w:bCs/>
          <w:highlight w:val="yellow"/>
        </w:rPr>
        <w:t>月</w:t>
      </w:r>
      <w:r>
        <w:rPr>
          <w:rFonts w:hint="eastAsia"/>
          <w:bCs/>
          <w:highlight w:val="yellow"/>
          <w:lang w:val="en-US" w:eastAsia="zh-CN"/>
        </w:rPr>
        <w:t>24</w:t>
      </w:r>
      <w:r>
        <w:rPr>
          <w:rFonts w:hint="eastAsia"/>
          <w:bCs/>
          <w:highlight w:val="yellow"/>
        </w:rPr>
        <w:t>日9:00:00</w:t>
      </w:r>
    </w:p>
    <w:p w14:paraId="25974AAC">
      <w:pPr>
        <w:pStyle w:val="72"/>
        <w:rPr>
          <w:rFonts w:hint="eastAsia" w:hAnsi="Courier New" w:cs="Times New Roman"/>
          <w:highlight w:val="none"/>
        </w:rPr>
      </w:pPr>
      <w:bookmarkStart w:id="10"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1"/>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2"/>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2"/>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5BBFD97F">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ascii="宋体" w:hAnsi="宋体" w:eastAsia="宋体" w:cs="宋体"/>
          <w:sz w:val="24"/>
          <w:szCs w:val="24"/>
        </w:rPr>
        <w:t>单位名称：重汽（济南）车桥有限公司</w:t>
      </w:r>
      <w:r>
        <w:rPr>
          <w:rFonts w:ascii="宋体" w:hAnsi="宋体" w:eastAsia="宋体" w:cs="宋体"/>
          <w:sz w:val="24"/>
          <w:szCs w:val="24"/>
        </w:rPr>
        <w:br w:type="textWrapping"/>
      </w:r>
      <w:r>
        <w:rPr>
          <w:rFonts w:ascii="宋体" w:hAnsi="宋体" w:eastAsia="宋体" w:cs="宋体"/>
          <w:sz w:val="24"/>
          <w:szCs w:val="24"/>
        </w:rPr>
        <w:t>开户名称：重汽（济南）车桥有限公司</w:t>
      </w:r>
      <w:r>
        <w:rPr>
          <w:rFonts w:ascii="宋体" w:hAnsi="宋体" w:eastAsia="宋体" w:cs="宋体"/>
          <w:sz w:val="24"/>
          <w:szCs w:val="24"/>
        </w:rPr>
        <w:br w:type="textWrapping"/>
      </w:r>
      <w:r>
        <w:rPr>
          <w:rFonts w:ascii="宋体" w:hAnsi="宋体" w:eastAsia="宋体" w:cs="宋体"/>
          <w:sz w:val="24"/>
          <w:szCs w:val="24"/>
        </w:rPr>
        <w:t>开户银行：浙商银行股份有限公司济南分行</w:t>
      </w:r>
      <w:r>
        <w:rPr>
          <w:rFonts w:ascii="宋体" w:hAnsi="宋体" w:eastAsia="宋体" w:cs="宋体"/>
          <w:sz w:val="24"/>
          <w:szCs w:val="24"/>
        </w:rPr>
        <w:br w:type="textWrapping"/>
      </w:r>
      <w:r>
        <w:rPr>
          <w:rFonts w:ascii="宋体" w:hAnsi="宋体" w:eastAsia="宋体" w:cs="宋体"/>
          <w:sz w:val="24"/>
          <w:szCs w:val="24"/>
        </w:rPr>
        <w:t>银行帐号：4510000010120100527995</w:t>
      </w:r>
    </w:p>
    <w:p w14:paraId="1591D62C">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07F4369A">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24</w:t>
      </w:r>
      <w:r>
        <w:rPr>
          <w:rFonts w:hint="eastAsia" w:ascii="宋体" w:hAnsi="宋体" w:eastAsia="宋体" w:cs="宋体"/>
          <w:b w:val="0"/>
          <w:bCs w:val="0"/>
          <w:sz w:val="21"/>
          <w:szCs w:val="21"/>
          <w:highlight w:val="yellow"/>
        </w:rPr>
        <w:t>日9：00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同投标文件递交截止时间</w:t>
      </w:r>
      <w:r>
        <w:rPr>
          <w:rFonts w:hint="eastAsia" w:ascii="宋体" w:hAnsi="宋体" w:eastAsia="宋体" w:cs="宋体"/>
          <w:b w:val="0"/>
          <w:bCs w:val="0"/>
          <w:sz w:val="21"/>
          <w:szCs w:val="21"/>
          <w:highlight w:val="none"/>
          <w:lang w:eastAsia="zh-CN"/>
        </w:rPr>
        <w:t>）</w:t>
      </w:r>
    </w:p>
    <w:p w14:paraId="4C2C93DA">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一个付款周期</w:t>
      </w:r>
      <w:r>
        <w:rPr>
          <w:rFonts w:hint="eastAsia" w:ascii="宋体" w:hAnsi="宋体" w:eastAsia="宋体" w:cs="宋体"/>
          <w:b w:val="0"/>
          <w:bCs w:val="0"/>
          <w:sz w:val="21"/>
          <w:szCs w:val="21"/>
          <w:highlight w:val="none"/>
        </w:rPr>
        <w:t>内原路返还（无息）。</w:t>
      </w:r>
    </w:p>
    <w:p w14:paraId="271EC8CF">
      <w:pPr>
        <w:pStyle w:val="72"/>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0"/>
    <w:p w14:paraId="368B6990">
      <w:pPr>
        <w:pStyle w:val="72"/>
      </w:pPr>
      <w:r>
        <w:rPr>
          <w:rFonts w:hint="eastAsia"/>
          <w:lang w:val="en-US" w:eastAsia="zh-CN"/>
        </w:rPr>
        <w:t>开评标</w:t>
      </w:r>
    </w:p>
    <w:p w14:paraId="19143F1A">
      <w:pPr>
        <w:pStyle w:val="72"/>
        <w:numPr>
          <w:ilvl w:val="0"/>
          <w:numId w:val="23"/>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开标时间：2025年1</w:t>
      </w:r>
      <w:r>
        <w:rPr>
          <w:rFonts w:hint="eastAsia" w:ascii="宋体" w:hAnsi="宋体" w:eastAsia="宋体" w:cs="宋体"/>
          <w:b w:val="0"/>
          <w:bCs w:val="0"/>
          <w:sz w:val="21"/>
          <w:szCs w:val="21"/>
          <w:highlight w:val="yellow"/>
          <w:lang w:val="en-US" w:eastAsia="zh-CN"/>
        </w:rPr>
        <w:t>2</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24</w:t>
      </w:r>
      <w:r>
        <w:rPr>
          <w:rFonts w:hint="eastAsia" w:ascii="宋体" w:hAnsi="宋体" w:eastAsia="宋体" w:cs="宋体"/>
          <w:b w:val="0"/>
          <w:bCs w:val="0"/>
          <w:sz w:val="21"/>
          <w:szCs w:val="21"/>
          <w:highlight w:val="yellow"/>
        </w:rPr>
        <w:t>日9:00:00</w:t>
      </w:r>
    </w:p>
    <w:p w14:paraId="63BC9474">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2"/>
        <w:keepNext w:val="0"/>
        <w:keepLines w:val="0"/>
        <w:pageBreakBefore w:val="0"/>
        <w:widowControl w:val="0"/>
        <w:numPr>
          <w:ilvl w:val="0"/>
          <w:numId w:val="24"/>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2509BD7C">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本次招标原则上合理最低价中标。本着公平、公正、公开的原则，选择合理最低价确定中标人，对未中标单位不做任何解释。</w:t>
      </w:r>
    </w:p>
    <w:p w14:paraId="0B2A8F6D">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r>
        <w:rPr>
          <w:rFonts w:hint="eastAsia" w:ascii="宋体" w:hAnsi="宋体" w:cs="宋体"/>
          <w:b/>
          <w:color w:val="000000"/>
          <w:sz w:val="21"/>
          <w:szCs w:val="21"/>
          <w:highlight w:val="yellow"/>
          <w:lang w:val="en-US" w:eastAsia="zh-CN"/>
        </w:rPr>
        <w:t>供应商需在系统上完成财务数据的填写，如因未在系统上提供财务数据，导致应标不通过，所造成的后果由供应商自行承担。</w:t>
      </w:r>
    </w:p>
    <w:p w14:paraId="3925B8A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5"/>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0662E4D4">
      <w:pPr>
        <w:pStyle w:val="72"/>
        <w:numPr>
          <w:ilvl w:val="0"/>
          <w:numId w:val="0"/>
        </w:numPr>
        <w:rPr>
          <w:rFonts w:hint="default" w:ascii="宋体" w:hAnsi="宋体" w:eastAsia="宋体" w:cs="宋体"/>
          <w:b w:val="0"/>
          <w:bCs w:val="0"/>
          <w:sz w:val="24"/>
          <w:szCs w:val="24"/>
          <w:highlight w:val="none"/>
          <w:lang w:val="en-US" w:eastAsia="zh-CN"/>
        </w:rPr>
      </w:pP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1" w:name="OLE_LINK26"/>
      <w:bookmarkStart w:id="12" w:name="OLE_LINK27"/>
      <w:bookmarkStart w:id="13" w:name="OLE_LINK29"/>
      <w:bookmarkStart w:id="14" w:name="OLE_LINK25"/>
      <w:bookmarkStart w:id="15" w:name="OLE_LINK28"/>
      <w:r>
        <w:rPr>
          <w:rFonts w:hint="eastAsia" w:ascii="宋体" w:hAnsi="宋体" w:eastAsia="宋体" w:cs="宋体"/>
          <w:bCs/>
          <w:sz w:val="21"/>
          <w:szCs w:val="21"/>
          <w:highlight w:val="none"/>
        </w:rPr>
        <w:t>；</w:t>
      </w:r>
      <w:bookmarkEnd w:id="11"/>
      <w:bookmarkEnd w:id="12"/>
      <w:bookmarkEnd w:id="13"/>
      <w:bookmarkEnd w:id="14"/>
      <w:bookmarkEnd w:id="15"/>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1494B402">
      <w:pPr>
        <w:pStyle w:val="72"/>
        <w:numPr>
          <w:ilvl w:val="0"/>
          <w:numId w:val="27"/>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691542A2">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kern w:val="2"/>
          <w:sz w:val="21"/>
          <w:szCs w:val="21"/>
          <w:lang w:val="en-US" w:eastAsia="zh-CN" w:bidi="ar-SA"/>
        </w:rPr>
        <w:t>5</w:t>
      </w:r>
      <w:r>
        <w:rPr>
          <w:rFonts w:hint="default" w:ascii="宋体" w:hAnsi="宋体" w:eastAsia="宋体" w:cs="宋体"/>
          <w:b w:val="0"/>
          <w:bCs w:val="0"/>
          <w:kern w:val="2"/>
          <w:sz w:val="21"/>
          <w:szCs w:val="21"/>
          <w:highlight w:val="yellow"/>
          <w:lang w:val="en-US" w:eastAsia="zh-CN" w:bidi="ar-SA"/>
        </w:rPr>
        <w:t>.</w:t>
      </w:r>
      <w:r>
        <w:rPr>
          <w:rFonts w:hint="eastAsia" w:ascii="宋体" w:hAnsi="宋体" w:eastAsia="宋体" w:cs="宋体"/>
          <w:b w:val="0"/>
          <w:bCs w:val="0"/>
          <w:sz w:val="21"/>
          <w:szCs w:val="21"/>
          <w:highlight w:val="yellow"/>
          <w:lang w:val="en-US" w:eastAsia="zh-CN"/>
        </w:rPr>
        <w:t>付款节点：</w:t>
      </w:r>
    </w:p>
    <w:p w14:paraId="32AC39AF">
      <w:pPr>
        <w:pStyle w:val="62"/>
        <w:keepNext w:val="0"/>
        <w:keepLines w:val="0"/>
        <w:pageBreakBefore w:val="0"/>
        <w:widowControl w:val="0"/>
        <w:numPr>
          <w:ilvl w:val="0"/>
          <w:numId w:val="28"/>
        </w:numPr>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其他付款节点：</w:t>
      </w:r>
    </w:p>
    <w:p w14:paraId="16368298">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yellow"/>
        </w:rPr>
      </w:pPr>
      <w:r>
        <w:rPr>
          <w:rFonts w:hint="eastAsia" w:ascii="宋体" w:hAnsi="宋体" w:eastAsia="宋体" w:cs="宋体"/>
          <w:sz w:val="21"/>
          <w:szCs w:val="21"/>
          <w:highlight w:val="yellow"/>
        </w:rPr>
        <w:t>3:6:1 ：</w:t>
      </w:r>
    </w:p>
    <w:p w14:paraId="443CC840">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A.设备全部到货后，中标人提交金额为合同价款30%的收据并提供合同价款30%的增值税专用发票（含复印件二份），经招标人依照财务制度审核通过后30日支付；</w:t>
      </w:r>
    </w:p>
    <w:p w14:paraId="6ADB2094">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B.设备验收合格后，中标人提交金额为合同价款60%的收据并提供合同价款70%的增值税专用发票（含复印件二份），经招标人依照财务制度审核通过后30日支付；</w:t>
      </w:r>
    </w:p>
    <w:p w14:paraId="737DCC18">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C.合同总价款的10%作为本合同约定设备的质量保证金，质量保证金在质量保证期内不计利息。质保期届满后支付。</w:t>
      </w:r>
    </w:p>
    <w:p w14:paraId="6E0D7439">
      <w:pPr>
        <w:pStyle w:val="72"/>
        <w:rPr>
          <w:rFonts w:hint="eastAsia"/>
          <w:lang w:val="en-US" w:eastAsia="zh-CN"/>
        </w:rPr>
      </w:pPr>
      <w:r>
        <w:rPr>
          <w:rFonts w:hint="eastAsia"/>
          <w:lang w:val="en-US" w:eastAsia="zh-CN"/>
        </w:rPr>
        <w:t>本次招标最终解释权归重汽（济南）车桥有限公司。</w:t>
      </w:r>
    </w:p>
    <w:p w14:paraId="1FB6CA61">
      <w:pPr>
        <w:pStyle w:val="71"/>
        <w:jc w:val="center"/>
        <w:rPr>
          <w:rFonts w:hint="default" w:eastAsia="黑体"/>
          <w:lang w:val="en-US" w:eastAsia="zh-CN"/>
        </w:rPr>
      </w:pPr>
      <w:bookmarkStart w:id="16" w:name="_Toc47976607"/>
      <w:bookmarkStart w:id="17" w:name="_Toc1910"/>
      <w:r>
        <w:rPr>
          <w:rFonts w:hint="eastAsia"/>
        </w:rPr>
        <w:t>第二部分　</w:t>
      </w:r>
      <w:bookmarkEnd w:id="16"/>
      <w:r>
        <w:rPr>
          <w:rFonts w:hint="eastAsia"/>
          <w:lang w:val="en-US" w:eastAsia="zh-CN"/>
        </w:rPr>
        <w:t>技术标书</w:t>
      </w:r>
      <w:bookmarkEnd w:id="17"/>
    </w:p>
    <w:p w14:paraId="6EAF53D3">
      <w:pPr>
        <w:spacing w:line="480" w:lineRule="exact"/>
        <w:ind w:firstLine="377" w:firstLineChars="118"/>
        <w:rPr>
          <w:rFonts w:hint="eastAsia" w:ascii="仿宋" w:hAnsi="仿宋" w:eastAsia="仿宋" w:cs="仿宋"/>
          <w:sz w:val="32"/>
          <w:szCs w:val="32"/>
          <w:lang w:bidi="ar"/>
        </w:rPr>
      </w:pPr>
    </w:p>
    <w:p w14:paraId="3E410EE2">
      <w:pPr>
        <w:spacing w:line="480" w:lineRule="exact"/>
        <w:ind w:firstLine="377" w:firstLineChars="118"/>
        <w:rPr>
          <w:rFonts w:hint="eastAsia" w:ascii="仿宋" w:hAnsi="仿宋" w:eastAsia="仿宋" w:cs="仿宋"/>
          <w:sz w:val="32"/>
          <w:szCs w:val="32"/>
          <w:lang w:bidi="ar"/>
        </w:rPr>
      </w:pPr>
    </w:p>
    <w:p w14:paraId="584E30CE">
      <w:pPr>
        <w:spacing w:line="480" w:lineRule="exact"/>
        <w:ind w:firstLine="377" w:firstLineChars="118"/>
        <w:rPr>
          <w:rFonts w:hint="eastAsia" w:ascii="仿宋" w:hAnsi="仿宋" w:eastAsia="仿宋" w:cs="仿宋"/>
          <w:sz w:val="32"/>
          <w:szCs w:val="32"/>
          <w:lang w:bidi="ar"/>
        </w:rPr>
      </w:pPr>
    </w:p>
    <w:p w14:paraId="3518A9F7">
      <w:pPr>
        <w:spacing w:line="480" w:lineRule="exact"/>
        <w:ind w:firstLine="379" w:firstLineChars="118"/>
        <w:rPr>
          <w:rFonts w:hint="eastAsia" w:ascii="仿宋" w:hAnsi="仿宋" w:eastAsia="仿宋" w:cs="仿宋"/>
          <w:b/>
          <w:bCs/>
          <w:sz w:val="32"/>
          <w:szCs w:val="32"/>
          <w:u w:val="single"/>
        </w:rPr>
      </w:pPr>
      <w:r>
        <w:rPr>
          <w:rFonts w:hint="eastAsia" w:ascii="仿宋" w:hAnsi="仿宋" w:eastAsia="仿宋" w:cs="仿宋"/>
          <w:b/>
          <w:bCs/>
          <w:sz w:val="32"/>
          <w:szCs w:val="32"/>
          <w:lang w:bidi="ar"/>
        </w:rPr>
        <w:t>项目名称：</w:t>
      </w:r>
      <w:r>
        <w:rPr>
          <w:rFonts w:hint="eastAsia" w:ascii="仿宋" w:hAnsi="仿宋" w:eastAsia="仿宋" w:cs="仿宋"/>
          <w:sz w:val="32"/>
          <w:szCs w:val="32"/>
          <w:highlight w:val="none"/>
          <w:u w:val="single"/>
          <w:lang w:val="en-US" w:eastAsia="zh-CN"/>
        </w:rPr>
        <w:t xml:space="preserve"> </w:t>
      </w:r>
      <w:r>
        <w:rPr>
          <w:rFonts w:hint="eastAsia" w:ascii="仿宋" w:hAnsi="仿宋" w:eastAsia="仿宋" w:cs="仿宋"/>
          <w:b/>
          <w:bCs/>
          <w:sz w:val="32"/>
          <w:szCs w:val="32"/>
          <w:highlight w:val="none"/>
          <w:u w:val="single"/>
          <w:lang w:val="en-US" w:eastAsia="zh-CN"/>
        </w:rPr>
        <w:t xml:space="preserve">驱动桥总成产能提升技改项目 </w:t>
      </w:r>
    </w:p>
    <w:p w14:paraId="7B4F303E">
      <w:pPr>
        <w:spacing w:line="480" w:lineRule="exact"/>
        <w:ind w:firstLine="379" w:firstLineChars="118"/>
        <w:rPr>
          <w:rFonts w:hint="eastAsia" w:ascii="仿宋" w:hAnsi="仿宋" w:eastAsia="仿宋" w:cs="仿宋"/>
          <w:b/>
          <w:bCs/>
          <w:sz w:val="32"/>
          <w:szCs w:val="32"/>
        </w:rPr>
      </w:pPr>
    </w:p>
    <w:p w14:paraId="1F9A1404">
      <w:pPr>
        <w:spacing w:line="480" w:lineRule="exact"/>
        <w:ind w:firstLine="379" w:firstLineChars="118"/>
        <w:rPr>
          <w:rFonts w:hint="eastAsia" w:ascii="仿宋" w:hAnsi="仿宋" w:eastAsia="仿宋" w:cs="仿宋"/>
          <w:b/>
          <w:bCs/>
          <w:sz w:val="32"/>
          <w:szCs w:val="32"/>
        </w:rPr>
      </w:pPr>
    </w:p>
    <w:p w14:paraId="104EB4C9">
      <w:pPr>
        <w:spacing w:line="480" w:lineRule="exact"/>
        <w:ind w:firstLine="379" w:firstLineChars="118"/>
        <w:rPr>
          <w:rFonts w:hint="eastAsia" w:ascii="仿宋" w:hAnsi="仿宋" w:eastAsia="仿宋" w:cs="仿宋"/>
          <w:b/>
          <w:bCs/>
          <w:sz w:val="32"/>
          <w:szCs w:val="32"/>
        </w:rPr>
      </w:pPr>
      <w:r>
        <w:rPr>
          <w:rFonts w:hint="eastAsia" w:ascii="仿宋" w:hAnsi="仿宋" w:eastAsia="仿宋" w:cs="仿宋"/>
          <w:b/>
          <w:bCs/>
          <w:sz w:val="32"/>
          <w:szCs w:val="32"/>
          <w:lang w:bidi="ar"/>
        </w:rPr>
        <w:t>货物名称：</w:t>
      </w:r>
      <w:r>
        <w:rPr>
          <w:rFonts w:hint="eastAsia" w:ascii="仿宋" w:hAnsi="仿宋" w:eastAsia="仿宋" w:cs="仿宋"/>
          <w:b/>
          <w:bCs/>
          <w:sz w:val="32"/>
          <w:szCs w:val="32"/>
          <w:u w:val="single"/>
          <w:lang w:val="en-US" w:eastAsia="zh-CN" w:bidi="ar"/>
        </w:rPr>
        <w:t xml:space="preserve">     螺柱焊机       </w:t>
      </w:r>
      <w:r>
        <w:rPr>
          <w:rFonts w:hint="eastAsia" w:ascii="仿宋" w:hAnsi="仿宋" w:eastAsia="仿宋" w:cs="仿宋"/>
          <w:b/>
          <w:bCs/>
          <w:sz w:val="32"/>
          <w:szCs w:val="32"/>
          <w:u w:val="single"/>
          <w:lang w:bidi="ar"/>
        </w:rPr>
        <w:t xml:space="preserve"> </w:t>
      </w:r>
    </w:p>
    <w:p w14:paraId="0FE526A5">
      <w:pPr>
        <w:spacing w:line="480" w:lineRule="exact"/>
        <w:ind w:firstLine="379" w:firstLineChars="118"/>
        <w:rPr>
          <w:rFonts w:hint="eastAsia" w:ascii="仿宋" w:hAnsi="仿宋" w:eastAsia="仿宋" w:cs="仿宋"/>
          <w:b/>
          <w:bCs/>
          <w:sz w:val="32"/>
          <w:szCs w:val="32"/>
          <w:u w:val="single"/>
        </w:rPr>
      </w:pPr>
    </w:p>
    <w:p w14:paraId="43ABE591">
      <w:pPr>
        <w:spacing w:line="480" w:lineRule="exact"/>
        <w:ind w:firstLine="379" w:firstLineChars="118"/>
        <w:rPr>
          <w:rFonts w:hint="eastAsia" w:ascii="仿宋" w:hAnsi="仿宋" w:eastAsia="仿宋" w:cs="仿宋"/>
          <w:b/>
          <w:bCs/>
          <w:sz w:val="32"/>
          <w:szCs w:val="32"/>
          <w:u w:val="single"/>
        </w:rPr>
      </w:pPr>
    </w:p>
    <w:p w14:paraId="61F8603E">
      <w:pPr>
        <w:spacing w:line="480" w:lineRule="exact"/>
        <w:ind w:firstLine="379" w:firstLineChars="118"/>
        <w:rPr>
          <w:rFonts w:hint="eastAsia" w:ascii="仿宋" w:hAnsi="仿宋" w:eastAsia="仿宋" w:cs="仿宋"/>
          <w:b/>
          <w:bCs/>
          <w:sz w:val="32"/>
          <w:szCs w:val="32"/>
          <w:u w:val="single"/>
        </w:rPr>
      </w:pPr>
    </w:p>
    <w:p w14:paraId="7A84E03B">
      <w:pPr>
        <w:spacing w:line="480" w:lineRule="exact"/>
        <w:ind w:firstLine="379" w:firstLineChars="118"/>
        <w:rPr>
          <w:rFonts w:hint="eastAsia" w:ascii="仿宋" w:hAnsi="仿宋" w:eastAsia="仿宋" w:cs="仿宋"/>
          <w:b/>
          <w:bCs/>
          <w:sz w:val="32"/>
          <w:szCs w:val="32"/>
          <w:u w:val="single"/>
        </w:rPr>
      </w:pPr>
    </w:p>
    <w:p w14:paraId="1F3EC82A">
      <w:pPr>
        <w:spacing w:line="480" w:lineRule="exact"/>
        <w:ind w:firstLine="379" w:firstLineChars="118"/>
        <w:rPr>
          <w:rFonts w:hint="eastAsia" w:ascii="仿宋" w:hAnsi="仿宋" w:eastAsia="仿宋" w:cs="仿宋"/>
          <w:b/>
          <w:bCs/>
          <w:sz w:val="32"/>
          <w:szCs w:val="32"/>
          <w:u w:val="single"/>
        </w:rPr>
      </w:pPr>
    </w:p>
    <w:p w14:paraId="70C70730">
      <w:pPr>
        <w:spacing w:line="480" w:lineRule="exact"/>
        <w:ind w:firstLine="379" w:firstLineChars="118"/>
        <w:rPr>
          <w:rFonts w:hint="eastAsia" w:ascii="仿宋" w:hAnsi="仿宋" w:eastAsia="仿宋" w:cs="仿宋"/>
          <w:b/>
          <w:bCs/>
          <w:sz w:val="32"/>
          <w:szCs w:val="32"/>
          <w:u w:val="single"/>
        </w:rPr>
      </w:pPr>
    </w:p>
    <w:p w14:paraId="477B6E4F">
      <w:pPr>
        <w:spacing w:line="480" w:lineRule="exact"/>
        <w:ind w:firstLine="379" w:firstLineChars="118"/>
        <w:rPr>
          <w:rFonts w:hint="eastAsia" w:ascii="仿宋" w:hAnsi="仿宋" w:eastAsia="仿宋" w:cs="仿宋"/>
          <w:b/>
          <w:bCs/>
          <w:sz w:val="32"/>
          <w:szCs w:val="32"/>
          <w:u w:val="single"/>
        </w:rPr>
      </w:pPr>
    </w:p>
    <w:p w14:paraId="1AACC500">
      <w:pPr>
        <w:spacing w:line="480" w:lineRule="exact"/>
        <w:ind w:firstLine="379" w:firstLineChars="118"/>
        <w:rPr>
          <w:rFonts w:hint="eastAsia" w:ascii="仿宋" w:hAnsi="仿宋" w:eastAsia="仿宋" w:cs="仿宋"/>
          <w:b/>
          <w:bCs/>
          <w:sz w:val="32"/>
          <w:szCs w:val="32"/>
          <w:u w:val="single"/>
        </w:rPr>
      </w:pPr>
    </w:p>
    <w:p w14:paraId="7E5E6555">
      <w:pPr>
        <w:spacing w:line="480" w:lineRule="exact"/>
        <w:ind w:firstLine="379" w:firstLineChars="118"/>
        <w:rPr>
          <w:rFonts w:hint="eastAsia" w:ascii="仿宋" w:hAnsi="仿宋" w:eastAsia="仿宋" w:cs="仿宋"/>
          <w:b/>
          <w:bCs/>
          <w:sz w:val="32"/>
          <w:szCs w:val="32"/>
          <w:u w:val="single"/>
        </w:rPr>
      </w:pPr>
    </w:p>
    <w:p w14:paraId="61530F28">
      <w:pPr>
        <w:tabs>
          <w:tab w:val="left" w:pos="3675"/>
        </w:tabs>
        <w:spacing w:line="480" w:lineRule="exact"/>
        <w:ind w:firstLine="379" w:firstLineChars="118"/>
        <w:rPr>
          <w:rFonts w:hint="eastAsia" w:ascii="仿宋" w:hAnsi="仿宋" w:eastAsia="仿宋" w:cs="仿宋"/>
          <w:b/>
          <w:bCs/>
          <w:sz w:val="32"/>
          <w:szCs w:val="32"/>
          <w:u w:val="single"/>
        </w:rPr>
      </w:pPr>
    </w:p>
    <w:p w14:paraId="0EEABA87">
      <w:pPr>
        <w:tabs>
          <w:tab w:val="left" w:pos="3675"/>
        </w:tabs>
        <w:spacing w:line="480" w:lineRule="exact"/>
        <w:ind w:firstLine="379" w:firstLineChars="118"/>
        <w:rPr>
          <w:rFonts w:hint="eastAsia" w:ascii="仿宋" w:hAnsi="仿宋" w:eastAsia="仿宋" w:cs="仿宋"/>
          <w:b/>
          <w:bCs/>
          <w:sz w:val="32"/>
          <w:szCs w:val="32"/>
        </w:rPr>
      </w:pPr>
    </w:p>
    <w:p w14:paraId="35DFBD49">
      <w:pPr>
        <w:tabs>
          <w:tab w:val="left" w:pos="3675"/>
        </w:tabs>
        <w:spacing w:line="480" w:lineRule="exact"/>
        <w:ind w:firstLine="379" w:firstLineChars="118"/>
        <w:rPr>
          <w:rFonts w:hint="eastAsia" w:ascii="仿宋" w:hAnsi="仿宋" w:eastAsia="仿宋" w:cs="仿宋"/>
          <w:b/>
          <w:bCs/>
          <w:sz w:val="32"/>
          <w:szCs w:val="32"/>
        </w:rPr>
      </w:pPr>
    </w:p>
    <w:p w14:paraId="056778BD">
      <w:pPr>
        <w:spacing w:line="480" w:lineRule="exact"/>
        <w:ind w:firstLine="379" w:firstLineChars="118"/>
        <w:rPr>
          <w:rFonts w:hint="eastAsia" w:ascii="仿宋" w:hAnsi="仿宋" w:eastAsia="仿宋" w:cs="仿宋"/>
          <w:b/>
          <w:bCs/>
          <w:sz w:val="32"/>
          <w:szCs w:val="32"/>
        </w:rPr>
      </w:pPr>
    </w:p>
    <w:p w14:paraId="68ABE594">
      <w:pPr>
        <w:spacing w:line="480" w:lineRule="exact"/>
        <w:ind w:firstLine="379" w:firstLineChars="118"/>
        <w:jc w:val="center"/>
        <w:rPr>
          <w:rFonts w:hint="eastAsia" w:ascii="仿宋" w:hAnsi="仿宋" w:eastAsia="仿宋" w:cs="仿宋"/>
          <w:b/>
          <w:bCs/>
          <w:sz w:val="32"/>
          <w:szCs w:val="32"/>
        </w:rPr>
      </w:pPr>
      <w:r>
        <w:rPr>
          <w:rFonts w:hint="eastAsia" w:ascii="仿宋" w:hAnsi="仿宋" w:eastAsia="仿宋" w:cs="仿宋"/>
          <w:b/>
          <w:bCs/>
          <w:sz w:val="32"/>
          <w:szCs w:val="32"/>
          <w:lang w:bidi="ar"/>
        </w:rPr>
        <w:t>项目单位技术负责人签名：</w:t>
      </w:r>
    </w:p>
    <w:p w14:paraId="308FA5CE">
      <w:pPr>
        <w:spacing w:line="480" w:lineRule="exact"/>
        <w:ind w:firstLine="379" w:firstLineChars="118"/>
        <w:jc w:val="center"/>
        <w:rPr>
          <w:rFonts w:hint="eastAsia" w:ascii="仿宋" w:hAnsi="仿宋" w:eastAsia="仿宋" w:cs="仿宋"/>
          <w:b/>
          <w:bCs/>
          <w:sz w:val="32"/>
          <w:szCs w:val="32"/>
        </w:rPr>
      </w:pPr>
    </w:p>
    <w:p w14:paraId="285F6E7F">
      <w:pPr>
        <w:spacing w:line="480" w:lineRule="exact"/>
        <w:ind w:firstLine="379" w:firstLineChars="118"/>
        <w:jc w:val="center"/>
        <w:rPr>
          <w:rFonts w:hint="eastAsia" w:ascii="仿宋" w:hAnsi="仿宋" w:eastAsia="仿宋" w:cs="仿宋"/>
          <w:b/>
          <w:bCs/>
          <w:sz w:val="32"/>
          <w:szCs w:val="32"/>
        </w:rPr>
      </w:pPr>
    </w:p>
    <w:p w14:paraId="206FD22B">
      <w:pPr>
        <w:spacing w:line="480" w:lineRule="exact"/>
        <w:ind w:firstLine="379" w:firstLineChars="118"/>
        <w:jc w:val="center"/>
        <w:rPr>
          <w:rFonts w:hint="eastAsia" w:ascii="仿宋" w:hAnsi="仿宋" w:eastAsia="仿宋" w:cs="仿宋"/>
          <w:b/>
          <w:bCs/>
          <w:sz w:val="32"/>
          <w:szCs w:val="32"/>
        </w:rPr>
      </w:pPr>
      <w:r>
        <w:rPr>
          <w:rFonts w:hint="eastAsia" w:ascii="仿宋" w:hAnsi="仿宋" w:eastAsia="仿宋" w:cs="仿宋"/>
          <w:b/>
          <w:bCs/>
          <w:sz w:val="32"/>
          <w:szCs w:val="32"/>
          <w:lang w:bidi="ar"/>
        </w:rPr>
        <w:t>时间： 202</w:t>
      </w:r>
      <w:r>
        <w:rPr>
          <w:rFonts w:hint="eastAsia" w:ascii="仿宋" w:hAnsi="仿宋" w:eastAsia="仿宋" w:cs="仿宋"/>
          <w:b/>
          <w:bCs/>
          <w:sz w:val="32"/>
          <w:szCs w:val="32"/>
          <w:lang w:val="en-US" w:eastAsia="zh-CN" w:bidi="ar"/>
        </w:rPr>
        <w:t>5</w:t>
      </w:r>
      <w:r>
        <w:rPr>
          <w:rFonts w:hint="eastAsia" w:ascii="仿宋" w:hAnsi="仿宋" w:eastAsia="仿宋" w:cs="仿宋"/>
          <w:b/>
          <w:bCs/>
          <w:sz w:val="32"/>
          <w:szCs w:val="32"/>
          <w:lang w:bidi="ar"/>
        </w:rPr>
        <w:t>年</w:t>
      </w:r>
      <w:r>
        <w:rPr>
          <w:rFonts w:hint="eastAsia" w:ascii="仿宋" w:hAnsi="仿宋" w:eastAsia="仿宋" w:cs="仿宋"/>
          <w:b/>
          <w:bCs/>
          <w:sz w:val="32"/>
          <w:szCs w:val="32"/>
          <w:lang w:val="en-US" w:eastAsia="zh-CN" w:bidi="ar"/>
        </w:rPr>
        <w:t>11</w:t>
      </w:r>
      <w:r>
        <w:rPr>
          <w:rFonts w:hint="eastAsia" w:ascii="仿宋" w:hAnsi="仿宋" w:eastAsia="仿宋" w:cs="仿宋"/>
          <w:b/>
          <w:bCs/>
          <w:sz w:val="32"/>
          <w:szCs w:val="32"/>
          <w:lang w:bidi="ar"/>
        </w:rPr>
        <w:t>月</w:t>
      </w:r>
      <w:r>
        <w:rPr>
          <w:rFonts w:hint="eastAsia" w:ascii="仿宋" w:hAnsi="仿宋" w:eastAsia="仿宋" w:cs="仿宋"/>
          <w:b/>
          <w:bCs/>
          <w:sz w:val="32"/>
          <w:szCs w:val="32"/>
          <w:lang w:val="en-US" w:eastAsia="zh-CN" w:bidi="ar"/>
        </w:rPr>
        <w:t>22</w:t>
      </w:r>
      <w:r>
        <w:rPr>
          <w:rFonts w:hint="eastAsia" w:ascii="仿宋" w:hAnsi="仿宋" w:eastAsia="仿宋" w:cs="仿宋"/>
          <w:b/>
          <w:bCs/>
          <w:sz w:val="32"/>
          <w:szCs w:val="32"/>
          <w:lang w:bidi="ar"/>
        </w:rPr>
        <w:t>日</w:t>
      </w:r>
    </w:p>
    <w:p w14:paraId="63F76EE3">
      <w:pPr>
        <w:spacing w:line="480" w:lineRule="exact"/>
        <w:ind w:firstLine="379" w:firstLineChars="118"/>
        <w:jc w:val="center"/>
        <w:rPr>
          <w:rFonts w:hint="eastAsia" w:ascii="仿宋" w:hAnsi="仿宋" w:eastAsia="仿宋" w:cs="仿宋"/>
          <w:b/>
          <w:bCs/>
          <w:sz w:val="32"/>
          <w:szCs w:val="32"/>
        </w:rPr>
      </w:pPr>
    </w:p>
    <w:p w14:paraId="2C92A435">
      <w:pPr>
        <w:spacing w:line="480" w:lineRule="exact"/>
        <w:ind w:firstLine="379" w:firstLineChars="118"/>
        <w:jc w:val="center"/>
        <w:rPr>
          <w:rFonts w:hint="eastAsia" w:ascii="仿宋" w:hAnsi="仿宋" w:eastAsia="仿宋" w:cs="仿宋"/>
          <w:b/>
          <w:bCs/>
          <w:sz w:val="32"/>
          <w:szCs w:val="32"/>
        </w:rPr>
      </w:pPr>
    </w:p>
    <w:p w14:paraId="4EC7F3C8">
      <w:pPr>
        <w:spacing w:line="480" w:lineRule="exact"/>
        <w:ind w:firstLine="379" w:firstLineChars="118"/>
        <w:jc w:val="center"/>
        <w:rPr>
          <w:rFonts w:hint="eastAsia" w:ascii="仿宋" w:hAnsi="仿宋" w:eastAsia="仿宋" w:cs="仿宋"/>
          <w:b/>
          <w:bCs/>
          <w:sz w:val="32"/>
          <w:szCs w:val="32"/>
        </w:rPr>
      </w:pPr>
    </w:p>
    <w:p w14:paraId="6365E345">
      <w:pPr>
        <w:spacing w:line="480" w:lineRule="exact"/>
        <w:ind w:firstLine="379" w:firstLineChars="118"/>
        <w:jc w:val="center"/>
        <w:rPr>
          <w:rFonts w:hint="eastAsia" w:ascii="仿宋" w:hAnsi="仿宋" w:eastAsia="仿宋" w:cs="仿宋"/>
          <w:b/>
          <w:bCs/>
          <w:sz w:val="32"/>
          <w:szCs w:val="32"/>
        </w:rPr>
      </w:pPr>
    </w:p>
    <w:p w14:paraId="55D748D7">
      <w:pPr>
        <w:spacing w:line="480" w:lineRule="exact"/>
        <w:ind w:firstLine="379" w:firstLineChars="118"/>
        <w:jc w:val="center"/>
        <w:rPr>
          <w:rFonts w:hint="eastAsia" w:ascii="仿宋" w:hAnsi="仿宋" w:eastAsia="仿宋" w:cs="仿宋"/>
          <w:b/>
          <w:bCs/>
          <w:sz w:val="32"/>
          <w:szCs w:val="32"/>
        </w:rPr>
      </w:pPr>
      <w:r>
        <w:rPr>
          <w:rFonts w:hint="eastAsia" w:ascii="仿宋" w:hAnsi="仿宋" w:eastAsia="仿宋" w:cs="仿宋"/>
          <w:b/>
          <w:bCs/>
          <w:sz w:val="32"/>
          <w:szCs w:val="32"/>
          <w:lang w:bidi="ar"/>
        </w:rPr>
        <w:t>（项目单位公章）</w:t>
      </w:r>
    </w:p>
    <w:p w14:paraId="138066B3">
      <w:pPr>
        <w:jc w:val="center"/>
        <w:rPr>
          <w:rFonts w:hint="eastAsia" w:ascii="宋体" w:hAnsi="宋体"/>
          <w:color w:val="000000"/>
          <w:sz w:val="32"/>
          <w:szCs w:val="32"/>
        </w:rPr>
      </w:pPr>
    </w:p>
    <w:p w14:paraId="7F52FF61">
      <w:pPr>
        <w:spacing w:line="360" w:lineRule="auto"/>
        <w:jc w:val="center"/>
        <w:rPr>
          <w:rFonts w:hint="eastAsia" w:ascii="仿宋" w:hAnsi="仿宋" w:eastAsia="仿宋" w:cs="仿宋"/>
          <w:b/>
          <w:bCs/>
          <w:sz w:val="24"/>
          <w:szCs w:val="24"/>
        </w:rPr>
      </w:pPr>
      <w:r>
        <w:rPr>
          <w:rFonts w:hint="eastAsia" w:ascii="仿宋" w:hAnsi="仿宋" w:eastAsia="仿宋" w:cs="仿宋"/>
          <w:b/>
          <w:bCs/>
          <w:sz w:val="24"/>
          <w:szCs w:val="24"/>
        </w:rPr>
        <w:t>目录</w:t>
      </w:r>
    </w:p>
    <w:p w14:paraId="5280DD16">
      <w:pPr>
        <w:pStyle w:val="111"/>
        <w:tabs>
          <w:tab w:val="right" w:leader="dot" w:pos="8392"/>
        </w:tabs>
        <w:spacing w:line="360" w:lineRule="auto"/>
        <w:rPr>
          <w:rFonts w:hint="eastAsia" w:ascii="仿宋" w:hAnsi="仿宋" w:eastAsia="仿宋" w:cs="仿宋"/>
          <w:sz w:val="24"/>
          <w:szCs w:val="24"/>
        </w:rPr>
      </w:pPr>
      <w:r>
        <w:rPr>
          <w:rFonts w:hint="eastAsia" w:ascii="仿宋" w:hAnsi="仿宋" w:eastAsia="仿宋" w:cs="仿宋"/>
          <w:b/>
          <w:bCs/>
          <w:sz w:val="24"/>
          <w:szCs w:val="24"/>
        </w:rPr>
        <w:fldChar w:fldCharType="begin"/>
      </w:r>
      <w:r>
        <w:rPr>
          <w:rFonts w:hint="eastAsia" w:ascii="仿宋" w:hAnsi="仿宋" w:eastAsia="仿宋" w:cs="仿宋"/>
          <w:sz w:val="24"/>
          <w:szCs w:val="24"/>
        </w:rPr>
        <w:instrText xml:space="preserve"> HYPERLINK \l _Toc20954 </w:instrText>
      </w:r>
      <w:r>
        <w:rPr>
          <w:rFonts w:hint="eastAsia" w:ascii="仿宋" w:hAnsi="仿宋" w:eastAsia="仿宋" w:cs="仿宋"/>
          <w:b/>
          <w:bCs/>
          <w:sz w:val="24"/>
          <w:szCs w:val="24"/>
        </w:rPr>
        <w:fldChar w:fldCharType="separate"/>
      </w:r>
      <w:r>
        <w:rPr>
          <w:rFonts w:hint="eastAsia" w:ascii="仿宋" w:hAnsi="仿宋" w:eastAsia="仿宋" w:cs="仿宋"/>
          <w:b/>
          <w:bCs/>
          <w:sz w:val="24"/>
          <w:szCs w:val="24"/>
        </w:rPr>
        <w:t>第一章  采购货物概况</w:t>
      </w:r>
      <w:r>
        <w:rPr>
          <w:rFonts w:hint="eastAsia" w:ascii="仿宋" w:hAnsi="仿宋" w:eastAsia="仿宋" w:cs="仿宋"/>
          <w:b/>
          <w:bCs/>
          <w:sz w:val="24"/>
          <w:szCs w:val="24"/>
        </w:rPr>
        <w:tab/>
      </w:r>
      <w:r>
        <w:rPr>
          <w:rFonts w:hint="eastAsia" w:ascii="仿宋" w:hAnsi="仿宋" w:eastAsia="仿宋" w:cs="仿宋"/>
          <w:b/>
          <w:bCs/>
          <w:sz w:val="24"/>
          <w:szCs w:val="24"/>
        </w:rPr>
        <w:t>1</w:t>
      </w:r>
      <w:r>
        <w:rPr>
          <w:rFonts w:hint="eastAsia" w:ascii="仿宋" w:hAnsi="仿宋" w:eastAsia="仿宋" w:cs="仿宋"/>
          <w:b/>
          <w:bCs/>
          <w:sz w:val="24"/>
          <w:szCs w:val="24"/>
        </w:rPr>
        <w:fldChar w:fldCharType="end"/>
      </w:r>
    </w:p>
    <w:p w14:paraId="710B4EBF">
      <w:pPr>
        <w:pStyle w:val="112"/>
        <w:tabs>
          <w:tab w:val="right" w:leader="dot" w:pos="8392"/>
        </w:tabs>
        <w:spacing w:line="360" w:lineRule="auto"/>
        <w:ind w:left="420"/>
        <w:rPr>
          <w:rFonts w:hint="eastAsia"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HYPERLINK \l _Toc829 </w:instrText>
      </w:r>
      <w:r>
        <w:rPr>
          <w:rFonts w:hint="eastAsia" w:ascii="仿宋" w:hAnsi="仿宋" w:eastAsia="仿宋" w:cs="仿宋"/>
          <w:sz w:val="24"/>
          <w:szCs w:val="24"/>
        </w:rPr>
        <w:fldChar w:fldCharType="separate"/>
      </w:r>
      <w:r>
        <w:rPr>
          <w:rFonts w:hint="eastAsia" w:ascii="仿宋" w:hAnsi="仿宋" w:eastAsia="仿宋" w:cs="仿宋"/>
          <w:sz w:val="24"/>
          <w:szCs w:val="24"/>
        </w:rPr>
        <w:t>第一节  使用环境</w:t>
      </w:r>
      <w:r>
        <w:rPr>
          <w:rFonts w:hint="eastAsia" w:ascii="仿宋" w:hAnsi="仿宋" w:eastAsia="仿宋" w:cs="仿宋"/>
          <w:sz w:val="24"/>
          <w:szCs w:val="24"/>
        </w:rPr>
        <w:tab/>
      </w:r>
      <w:r>
        <w:rPr>
          <w:rFonts w:hint="eastAsia" w:ascii="仿宋" w:hAnsi="仿宋" w:eastAsia="仿宋" w:cs="仿宋"/>
          <w:sz w:val="24"/>
          <w:szCs w:val="24"/>
        </w:rPr>
        <w:t>1</w:t>
      </w:r>
      <w:r>
        <w:rPr>
          <w:rFonts w:hint="eastAsia" w:ascii="仿宋" w:hAnsi="仿宋" w:eastAsia="仿宋" w:cs="仿宋"/>
          <w:sz w:val="24"/>
          <w:szCs w:val="24"/>
        </w:rPr>
        <w:fldChar w:fldCharType="end"/>
      </w:r>
    </w:p>
    <w:p w14:paraId="495C2C27">
      <w:pPr>
        <w:pStyle w:val="112"/>
        <w:tabs>
          <w:tab w:val="right" w:leader="dot" w:pos="8392"/>
        </w:tabs>
        <w:spacing w:line="360" w:lineRule="auto"/>
        <w:ind w:left="420"/>
        <w:rPr>
          <w:rFonts w:hint="eastAsia"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HYPERLINK \l _Toc15781 </w:instrText>
      </w:r>
      <w:r>
        <w:rPr>
          <w:rFonts w:hint="eastAsia" w:ascii="仿宋" w:hAnsi="仿宋" w:eastAsia="仿宋" w:cs="仿宋"/>
          <w:sz w:val="24"/>
          <w:szCs w:val="24"/>
        </w:rPr>
        <w:fldChar w:fldCharType="separate"/>
      </w:r>
      <w:r>
        <w:rPr>
          <w:rFonts w:hint="eastAsia" w:ascii="仿宋" w:hAnsi="仿宋" w:eastAsia="仿宋" w:cs="仿宋"/>
          <w:sz w:val="24"/>
          <w:szCs w:val="24"/>
        </w:rPr>
        <w:t>第二节  采购货物概况</w:t>
      </w:r>
      <w:r>
        <w:rPr>
          <w:rFonts w:hint="eastAsia" w:ascii="仿宋" w:hAnsi="仿宋" w:eastAsia="仿宋" w:cs="仿宋"/>
          <w:sz w:val="24"/>
          <w:szCs w:val="24"/>
        </w:rPr>
        <w:tab/>
      </w:r>
      <w:r>
        <w:rPr>
          <w:rFonts w:hint="eastAsia" w:ascii="仿宋" w:hAnsi="仿宋" w:eastAsia="仿宋" w:cs="仿宋"/>
          <w:sz w:val="24"/>
          <w:szCs w:val="24"/>
        </w:rPr>
        <w:t>1</w:t>
      </w:r>
      <w:r>
        <w:rPr>
          <w:rFonts w:hint="eastAsia" w:ascii="仿宋" w:hAnsi="仿宋" w:eastAsia="仿宋" w:cs="仿宋"/>
          <w:sz w:val="24"/>
          <w:szCs w:val="24"/>
        </w:rPr>
        <w:fldChar w:fldCharType="end"/>
      </w:r>
    </w:p>
    <w:p w14:paraId="29EEAB93">
      <w:pPr>
        <w:pStyle w:val="111"/>
        <w:tabs>
          <w:tab w:val="right" w:leader="dot" w:pos="8392"/>
        </w:tabs>
        <w:spacing w:line="360" w:lineRule="auto"/>
        <w:rPr>
          <w:rFonts w:hint="eastAsia" w:ascii="仿宋" w:hAnsi="仿宋" w:eastAsia="仿宋" w:cs="仿宋"/>
          <w:sz w:val="24"/>
          <w:szCs w:val="24"/>
        </w:rPr>
      </w:pPr>
      <w:r>
        <w:rPr>
          <w:rFonts w:hint="eastAsia" w:ascii="仿宋" w:hAnsi="仿宋" w:eastAsia="仿宋" w:cs="仿宋"/>
          <w:b/>
          <w:bCs/>
          <w:sz w:val="24"/>
          <w:szCs w:val="24"/>
        </w:rPr>
        <w:fldChar w:fldCharType="begin"/>
      </w:r>
      <w:r>
        <w:rPr>
          <w:rFonts w:hint="eastAsia" w:ascii="仿宋" w:hAnsi="仿宋" w:eastAsia="仿宋" w:cs="仿宋"/>
          <w:sz w:val="24"/>
          <w:szCs w:val="24"/>
        </w:rPr>
        <w:instrText xml:space="preserve"> HYPERLINK \l _Toc552 </w:instrText>
      </w:r>
      <w:r>
        <w:rPr>
          <w:rFonts w:hint="eastAsia" w:ascii="仿宋" w:hAnsi="仿宋" w:eastAsia="仿宋" w:cs="仿宋"/>
          <w:b/>
          <w:bCs/>
          <w:sz w:val="24"/>
          <w:szCs w:val="24"/>
        </w:rPr>
        <w:fldChar w:fldCharType="separate"/>
      </w:r>
      <w:r>
        <w:rPr>
          <w:rFonts w:hint="eastAsia" w:ascii="仿宋" w:hAnsi="仿宋" w:eastAsia="仿宋" w:cs="仿宋"/>
          <w:b/>
          <w:bCs/>
          <w:sz w:val="24"/>
          <w:szCs w:val="24"/>
        </w:rPr>
        <w:t>第二章  技术要求</w:t>
      </w:r>
      <w:r>
        <w:rPr>
          <w:rFonts w:hint="eastAsia" w:ascii="仿宋" w:hAnsi="仿宋" w:eastAsia="仿宋" w:cs="仿宋"/>
          <w:b/>
          <w:bCs/>
          <w:sz w:val="24"/>
          <w:szCs w:val="24"/>
        </w:rPr>
        <w:tab/>
      </w:r>
      <w:r>
        <w:rPr>
          <w:rFonts w:hint="eastAsia" w:ascii="仿宋" w:hAnsi="仿宋" w:eastAsia="仿宋" w:cs="仿宋"/>
          <w:b/>
          <w:bCs/>
          <w:sz w:val="24"/>
          <w:szCs w:val="24"/>
        </w:rPr>
        <w:t>2</w:t>
      </w:r>
      <w:r>
        <w:rPr>
          <w:rFonts w:hint="eastAsia" w:ascii="仿宋" w:hAnsi="仿宋" w:eastAsia="仿宋" w:cs="仿宋"/>
          <w:b/>
          <w:bCs/>
          <w:sz w:val="24"/>
          <w:szCs w:val="24"/>
        </w:rPr>
        <w:fldChar w:fldCharType="end"/>
      </w:r>
    </w:p>
    <w:p w14:paraId="20E6F33C">
      <w:pPr>
        <w:pStyle w:val="112"/>
        <w:tabs>
          <w:tab w:val="right" w:leader="dot" w:pos="8392"/>
        </w:tabs>
        <w:spacing w:line="360" w:lineRule="auto"/>
        <w:ind w:left="420"/>
        <w:rPr>
          <w:rFonts w:hint="eastAsia"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HYPERLINK \l _Toc31513 </w:instrText>
      </w:r>
      <w:r>
        <w:rPr>
          <w:rFonts w:hint="eastAsia" w:ascii="仿宋" w:hAnsi="仿宋" w:eastAsia="仿宋" w:cs="仿宋"/>
          <w:sz w:val="24"/>
          <w:szCs w:val="24"/>
        </w:rPr>
        <w:fldChar w:fldCharType="separate"/>
      </w:r>
      <w:r>
        <w:rPr>
          <w:rFonts w:hint="eastAsia" w:ascii="仿宋" w:hAnsi="仿宋" w:eastAsia="仿宋" w:cs="仿宋"/>
          <w:sz w:val="24"/>
          <w:szCs w:val="24"/>
        </w:rPr>
        <w:t>一、基本要求</w:t>
      </w:r>
      <w:r>
        <w:rPr>
          <w:rFonts w:hint="eastAsia" w:ascii="仿宋" w:hAnsi="仿宋" w:eastAsia="仿宋" w:cs="仿宋"/>
          <w:sz w:val="24"/>
          <w:szCs w:val="24"/>
        </w:rPr>
        <w:tab/>
      </w:r>
      <w:r>
        <w:rPr>
          <w:rFonts w:hint="eastAsia" w:ascii="仿宋" w:hAnsi="仿宋" w:eastAsia="仿宋" w:cs="仿宋"/>
          <w:sz w:val="24"/>
          <w:szCs w:val="24"/>
        </w:rPr>
        <w:t>2</w:t>
      </w:r>
      <w:r>
        <w:rPr>
          <w:rFonts w:hint="eastAsia" w:ascii="仿宋" w:hAnsi="仿宋" w:eastAsia="仿宋" w:cs="仿宋"/>
          <w:sz w:val="24"/>
          <w:szCs w:val="24"/>
        </w:rPr>
        <w:fldChar w:fldCharType="end"/>
      </w:r>
    </w:p>
    <w:p w14:paraId="34E7377E">
      <w:pPr>
        <w:pStyle w:val="112"/>
        <w:tabs>
          <w:tab w:val="right" w:leader="dot" w:pos="8392"/>
        </w:tabs>
        <w:spacing w:line="360" w:lineRule="auto"/>
        <w:ind w:left="420"/>
        <w:rPr>
          <w:rFonts w:hint="eastAsia"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HYPERLINK \l _Toc6088 </w:instrText>
      </w:r>
      <w:r>
        <w:rPr>
          <w:rFonts w:hint="eastAsia" w:ascii="仿宋" w:hAnsi="仿宋" w:eastAsia="仿宋" w:cs="仿宋"/>
          <w:sz w:val="24"/>
          <w:szCs w:val="24"/>
        </w:rPr>
        <w:fldChar w:fldCharType="separate"/>
      </w:r>
      <w:r>
        <w:rPr>
          <w:rFonts w:hint="eastAsia" w:ascii="仿宋" w:hAnsi="仿宋" w:eastAsia="仿宋" w:cs="仿宋"/>
          <w:sz w:val="24"/>
          <w:szCs w:val="24"/>
        </w:rPr>
        <w:t>二、技术规范</w:t>
      </w:r>
      <w:r>
        <w:rPr>
          <w:rFonts w:hint="eastAsia" w:ascii="仿宋" w:hAnsi="仿宋" w:eastAsia="仿宋" w:cs="仿宋"/>
          <w:sz w:val="24"/>
          <w:szCs w:val="24"/>
        </w:rPr>
        <w:tab/>
      </w:r>
      <w:r>
        <w:rPr>
          <w:rFonts w:hint="eastAsia" w:ascii="仿宋" w:hAnsi="仿宋" w:eastAsia="仿宋" w:cs="仿宋"/>
          <w:sz w:val="24"/>
          <w:szCs w:val="24"/>
        </w:rPr>
        <w:t>4</w:t>
      </w:r>
      <w:r>
        <w:rPr>
          <w:rFonts w:hint="eastAsia" w:ascii="仿宋" w:hAnsi="仿宋" w:eastAsia="仿宋" w:cs="仿宋"/>
          <w:sz w:val="24"/>
          <w:szCs w:val="24"/>
        </w:rPr>
        <w:fldChar w:fldCharType="end"/>
      </w:r>
    </w:p>
    <w:p w14:paraId="7225D593">
      <w:pPr>
        <w:pStyle w:val="112"/>
        <w:tabs>
          <w:tab w:val="right" w:leader="dot" w:pos="8392"/>
        </w:tabs>
        <w:spacing w:line="360" w:lineRule="auto"/>
        <w:ind w:left="420"/>
        <w:rPr>
          <w:rFonts w:hint="eastAsia"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HYPERLINK \l _Toc23141 </w:instrText>
      </w:r>
      <w:r>
        <w:rPr>
          <w:rFonts w:hint="eastAsia" w:ascii="仿宋" w:hAnsi="仿宋" w:eastAsia="仿宋" w:cs="仿宋"/>
          <w:sz w:val="24"/>
          <w:szCs w:val="24"/>
        </w:rPr>
        <w:fldChar w:fldCharType="separate"/>
      </w:r>
      <w:r>
        <w:rPr>
          <w:rFonts w:hint="eastAsia" w:ascii="仿宋" w:hAnsi="仿宋" w:eastAsia="仿宋" w:cs="仿宋"/>
          <w:sz w:val="24"/>
          <w:szCs w:val="24"/>
        </w:rPr>
        <w:t>三、特别提示</w:t>
      </w:r>
      <w:r>
        <w:rPr>
          <w:rFonts w:hint="eastAsia" w:ascii="仿宋" w:hAnsi="仿宋" w:eastAsia="仿宋" w:cs="仿宋"/>
          <w:sz w:val="24"/>
          <w:szCs w:val="24"/>
        </w:rPr>
        <w:tab/>
      </w:r>
      <w:r>
        <w:rPr>
          <w:rFonts w:hint="eastAsia" w:ascii="仿宋" w:hAnsi="仿宋" w:eastAsia="仿宋" w:cs="仿宋"/>
          <w:sz w:val="24"/>
          <w:szCs w:val="24"/>
        </w:rPr>
        <w:t>18</w:t>
      </w:r>
      <w:r>
        <w:rPr>
          <w:rFonts w:hint="eastAsia" w:ascii="仿宋" w:hAnsi="仿宋" w:eastAsia="仿宋" w:cs="仿宋"/>
          <w:sz w:val="24"/>
          <w:szCs w:val="24"/>
        </w:rPr>
        <w:fldChar w:fldCharType="end"/>
      </w:r>
    </w:p>
    <w:p w14:paraId="3E027E5F">
      <w:pPr>
        <w:pStyle w:val="111"/>
        <w:tabs>
          <w:tab w:val="right" w:leader="dot" w:pos="8392"/>
        </w:tabs>
        <w:spacing w:line="360" w:lineRule="auto"/>
        <w:rPr>
          <w:rFonts w:hint="eastAsia" w:ascii="仿宋" w:hAnsi="仿宋" w:eastAsia="仿宋" w:cs="仿宋"/>
          <w:sz w:val="24"/>
          <w:szCs w:val="24"/>
        </w:rPr>
      </w:pPr>
      <w:r>
        <w:rPr>
          <w:rFonts w:hint="eastAsia" w:ascii="仿宋" w:hAnsi="仿宋" w:eastAsia="仿宋" w:cs="仿宋"/>
          <w:b/>
          <w:bCs/>
          <w:sz w:val="24"/>
          <w:szCs w:val="24"/>
        </w:rPr>
        <w:fldChar w:fldCharType="begin"/>
      </w:r>
      <w:r>
        <w:rPr>
          <w:rFonts w:hint="eastAsia" w:ascii="仿宋" w:hAnsi="仿宋" w:eastAsia="仿宋" w:cs="仿宋"/>
          <w:sz w:val="24"/>
          <w:szCs w:val="24"/>
        </w:rPr>
        <w:instrText xml:space="preserve"> HYPERLINK \l _Toc31489 </w:instrText>
      </w:r>
      <w:r>
        <w:rPr>
          <w:rFonts w:hint="eastAsia" w:ascii="仿宋" w:hAnsi="仿宋" w:eastAsia="仿宋" w:cs="仿宋"/>
          <w:b/>
          <w:bCs/>
          <w:sz w:val="24"/>
          <w:szCs w:val="24"/>
        </w:rPr>
        <w:fldChar w:fldCharType="separate"/>
      </w:r>
      <w:r>
        <w:rPr>
          <w:rFonts w:hint="eastAsia" w:ascii="仿宋" w:hAnsi="仿宋" w:eastAsia="仿宋" w:cs="仿宋"/>
          <w:b/>
          <w:bCs/>
          <w:sz w:val="24"/>
          <w:szCs w:val="24"/>
        </w:rPr>
        <w:t>第三章  供货范围及供货方式</w:t>
      </w:r>
      <w:r>
        <w:rPr>
          <w:rFonts w:hint="eastAsia" w:ascii="仿宋" w:hAnsi="仿宋" w:eastAsia="仿宋" w:cs="仿宋"/>
          <w:b/>
          <w:bCs/>
          <w:sz w:val="24"/>
          <w:szCs w:val="24"/>
        </w:rPr>
        <w:tab/>
      </w:r>
      <w:r>
        <w:rPr>
          <w:rFonts w:hint="eastAsia" w:ascii="仿宋" w:hAnsi="仿宋" w:eastAsia="仿宋" w:cs="仿宋"/>
          <w:b/>
          <w:bCs/>
          <w:sz w:val="24"/>
          <w:szCs w:val="24"/>
        </w:rPr>
        <w:t>18</w:t>
      </w:r>
      <w:r>
        <w:rPr>
          <w:rFonts w:hint="eastAsia" w:ascii="仿宋" w:hAnsi="仿宋" w:eastAsia="仿宋" w:cs="仿宋"/>
          <w:b/>
          <w:bCs/>
          <w:sz w:val="24"/>
          <w:szCs w:val="24"/>
        </w:rPr>
        <w:fldChar w:fldCharType="end"/>
      </w:r>
    </w:p>
    <w:p w14:paraId="03742D86">
      <w:pPr>
        <w:pStyle w:val="112"/>
        <w:tabs>
          <w:tab w:val="right" w:leader="dot" w:pos="8392"/>
        </w:tabs>
        <w:spacing w:line="360" w:lineRule="auto"/>
        <w:ind w:left="420"/>
        <w:rPr>
          <w:rFonts w:hint="eastAsia"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HYPERLINK \l _Toc2181 </w:instrText>
      </w:r>
      <w:r>
        <w:rPr>
          <w:rFonts w:hint="eastAsia" w:ascii="仿宋" w:hAnsi="仿宋" w:eastAsia="仿宋" w:cs="仿宋"/>
          <w:sz w:val="24"/>
          <w:szCs w:val="24"/>
        </w:rPr>
        <w:fldChar w:fldCharType="separate"/>
      </w:r>
      <w:r>
        <w:rPr>
          <w:rFonts w:hint="eastAsia" w:ascii="仿宋" w:hAnsi="仿宋" w:eastAsia="仿宋" w:cs="仿宋"/>
          <w:sz w:val="24"/>
          <w:szCs w:val="24"/>
        </w:rPr>
        <w:t>第一节  供货范围</w:t>
      </w:r>
      <w:r>
        <w:rPr>
          <w:rFonts w:hint="eastAsia" w:ascii="仿宋" w:hAnsi="仿宋" w:eastAsia="仿宋" w:cs="仿宋"/>
          <w:sz w:val="24"/>
          <w:szCs w:val="24"/>
        </w:rPr>
        <w:tab/>
      </w:r>
      <w:r>
        <w:rPr>
          <w:rFonts w:hint="eastAsia" w:ascii="仿宋" w:hAnsi="仿宋" w:eastAsia="仿宋" w:cs="仿宋"/>
          <w:sz w:val="24"/>
          <w:szCs w:val="24"/>
        </w:rPr>
        <w:t>18</w:t>
      </w:r>
      <w:r>
        <w:rPr>
          <w:rFonts w:hint="eastAsia" w:ascii="仿宋" w:hAnsi="仿宋" w:eastAsia="仿宋" w:cs="仿宋"/>
          <w:sz w:val="24"/>
          <w:szCs w:val="24"/>
        </w:rPr>
        <w:fldChar w:fldCharType="end"/>
      </w:r>
    </w:p>
    <w:p w14:paraId="66975C98">
      <w:pPr>
        <w:pStyle w:val="112"/>
        <w:tabs>
          <w:tab w:val="right" w:leader="dot" w:pos="8392"/>
        </w:tabs>
        <w:spacing w:line="360" w:lineRule="auto"/>
        <w:ind w:left="420"/>
        <w:rPr>
          <w:rFonts w:hint="eastAsia"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HYPERLINK \l _Toc22494 </w:instrText>
      </w:r>
      <w:r>
        <w:rPr>
          <w:rFonts w:hint="eastAsia" w:ascii="仿宋" w:hAnsi="仿宋" w:eastAsia="仿宋" w:cs="仿宋"/>
          <w:sz w:val="24"/>
          <w:szCs w:val="24"/>
        </w:rPr>
        <w:fldChar w:fldCharType="separate"/>
      </w:r>
      <w:r>
        <w:rPr>
          <w:rFonts w:hint="eastAsia" w:ascii="仿宋" w:hAnsi="仿宋" w:eastAsia="仿宋" w:cs="仿宋"/>
          <w:sz w:val="24"/>
          <w:szCs w:val="24"/>
        </w:rPr>
        <w:t>第二节  供货方式</w:t>
      </w:r>
      <w:r>
        <w:rPr>
          <w:rFonts w:hint="eastAsia" w:ascii="仿宋" w:hAnsi="仿宋" w:eastAsia="仿宋" w:cs="仿宋"/>
          <w:sz w:val="24"/>
          <w:szCs w:val="24"/>
        </w:rPr>
        <w:tab/>
      </w:r>
      <w:r>
        <w:rPr>
          <w:rFonts w:hint="eastAsia" w:ascii="仿宋" w:hAnsi="仿宋" w:eastAsia="仿宋" w:cs="仿宋"/>
          <w:sz w:val="24"/>
          <w:szCs w:val="24"/>
        </w:rPr>
        <w:t>20</w:t>
      </w:r>
      <w:r>
        <w:rPr>
          <w:rFonts w:hint="eastAsia" w:ascii="仿宋" w:hAnsi="仿宋" w:eastAsia="仿宋" w:cs="仿宋"/>
          <w:sz w:val="24"/>
          <w:szCs w:val="24"/>
        </w:rPr>
        <w:fldChar w:fldCharType="end"/>
      </w:r>
    </w:p>
    <w:p w14:paraId="619CDB18">
      <w:pPr>
        <w:pStyle w:val="111"/>
        <w:tabs>
          <w:tab w:val="right" w:leader="dot" w:pos="8392"/>
        </w:tabs>
        <w:spacing w:line="360" w:lineRule="auto"/>
        <w:rPr>
          <w:rFonts w:hint="eastAsia" w:ascii="仿宋" w:hAnsi="仿宋" w:eastAsia="仿宋" w:cs="仿宋"/>
          <w:sz w:val="24"/>
          <w:szCs w:val="24"/>
        </w:rPr>
      </w:pPr>
      <w:r>
        <w:rPr>
          <w:rFonts w:hint="eastAsia" w:ascii="仿宋" w:hAnsi="仿宋" w:eastAsia="仿宋" w:cs="仿宋"/>
          <w:b/>
          <w:bCs/>
          <w:sz w:val="24"/>
          <w:szCs w:val="24"/>
        </w:rPr>
        <w:fldChar w:fldCharType="begin"/>
      </w:r>
      <w:r>
        <w:rPr>
          <w:rFonts w:hint="eastAsia" w:ascii="仿宋" w:hAnsi="仿宋" w:eastAsia="仿宋" w:cs="仿宋"/>
          <w:sz w:val="24"/>
          <w:szCs w:val="24"/>
        </w:rPr>
        <w:instrText xml:space="preserve"> HYPERLINK \l _Toc28754 </w:instrText>
      </w:r>
      <w:r>
        <w:rPr>
          <w:rFonts w:hint="eastAsia" w:ascii="仿宋" w:hAnsi="仿宋" w:eastAsia="仿宋" w:cs="仿宋"/>
          <w:b/>
          <w:bCs/>
          <w:sz w:val="24"/>
          <w:szCs w:val="24"/>
        </w:rPr>
        <w:fldChar w:fldCharType="separate"/>
      </w:r>
      <w:r>
        <w:rPr>
          <w:rFonts w:hint="eastAsia" w:ascii="仿宋" w:hAnsi="仿宋" w:eastAsia="仿宋" w:cs="仿宋"/>
          <w:b/>
          <w:bCs/>
          <w:sz w:val="24"/>
          <w:szCs w:val="24"/>
        </w:rPr>
        <w:t>第四章  售中售后服务</w:t>
      </w:r>
      <w:r>
        <w:rPr>
          <w:rFonts w:hint="eastAsia" w:ascii="仿宋" w:hAnsi="仿宋" w:eastAsia="仿宋" w:cs="仿宋"/>
          <w:b/>
          <w:bCs/>
          <w:sz w:val="24"/>
          <w:szCs w:val="24"/>
        </w:rPr>
        <w:tab/>
      </w:r>
      <w:r>
        <w:rPr>
          <w:rFonts w:hint="eastAsia" w:ascii="仿宋" w:hAnsi="仿宋" w:eastAsia="仿宋" w:cs="仿宋"/>
          <w:b/>
          <w:bCs/>
          <w:sz w:val="24"/>
          <w:szCs w:val="24"/>
        </w:rPr>
        <w:t>22</w:t>
      </w:r>
      <w:r>
        <w:rPr>
          <w:rFonts w:hint="eastAsia" w:ascii="仿宋" w:hAnsi="仿宋" w:eastAsia="仿宋" w:cs="仿宋"/>
          <w:b/>
          <w:bCs/>
          <w:sz w:val="24"/>
          <w:szCs w:val="24"/>
        </w:rPr>
        <w:fldChar w:fldCharType="end"/>
      </w:r>
    </w:p>
    <w:p w14:paraId="7BE77960">
      <w:pPr>
        <w:pStyle w:val="112"/>
        <w:tabs>
          <w:tab w:val="right" w:leader="dot" w:pos="8392"/>
        </w:tabs>
        <w:spacing w:line="360" w:lineRule="auto"/>
        <w:ind w:left="420"/>
        <w:rPr>
          <w:rFonts w:hint="eastAsia"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HYPERLINK \l _Toc2283 </w:instrText>
      </w:r>
      <w:r>
        <w:rPr>
          <w:rFonts w:hint="eastAsia" w:ascii="仿宋" w:hAnsi="仿宋" w:eastAsia="仿宋" w:cs="仿宋"/>
          <w:sz w:val="24"/>
          <w:szCs w:val="24"/>
        </w:rPr>
        <w:fldChar w:fldCharType="separate"/>
      </w:r>
      <w:r>
        <w:rPr>
          <w:rFonts w:hint="eastAsia" w:ascii="仿宋" w:hAnsi="仿宋" w:eastAsia="仿宋" w:cs="仿宋"/>
          <w:sz w:val="24"/>
          <w:szCs w:val="24"/>
        </w:rPr>
        <w:t>1  技术及培训服务</w:t>
      </w:r>
      <w:r>
        <w:rPr>
          <w:rFonts w:hint="eastAsia" w:ascii="仿宋" w:hAnsi="仿宋" w:eastAsia="仿宋" w:cs="仿宋"/>
          <w:sz w:val="24"/>
          <w:szCs w:val="24"/>
        </w:rPr>
        <w:tab/>
      </w:r>
      <w:r>
        <w:rPr>
          <w:rFonts w:hint="eastAsia" w:ascii="仿宋" w:hAnsi="仿宋" w:eastAsia="仿宋" w:cs="仿宋"/>
          <w:sz w:val="24"/>
          <w:szCs w:val="24"/>
        </w:rPr>
        <w:t>22</w:t>
      </w:r>
      <w:r>
        <w:rPr>
          <w:rFonts w:hint="eastAsia" w:ascii="仿宋" w:hAnsi="仿宋" w:eastAsia="仿宋" w:cs="仿宋"/>
          <w:sz w:val="24"/>
          <w:szCs w:val="24"/>
        </w:rPr>
        <w:fldChar w:fldCharType="end"/>
      </w:r>
    </w:p>
    <w:p w14:paraId="67C9BD92">
      <w:pPr>
        <w:pStyle w:val="112"/>
        <w:tabs>
          <w:tab w:val="right" w:leader="dot" w:pos="8392"/>
        </w:tabs>
        <w:spacing w:line="360" w:lineRule="auto"/>
        <w:ind w:left="420"/>
        <w:rPr>
          <w:rFonts w:hint="eastAsia"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HYPERLINK \l _Toc30963 </w:instrText>
      </w:r>
      <w:r>
        <w:rPr>
          <w:rFonts w:hint="eastAsia" w:ascii="仿宋" w:hAnsi="仿宋" w:eastAsia="仿宋" w:cs="仿宋"/>
          <w:sz w:val="24"/>
          <w:szCs w:val="24"/>
        </w:rPr>
        <w:fldChar w:fldCharType="separate"/>
      </w:r>
      <w:r>
        <w:rPr>
          <w:rFonts w:hint="eastAsia" w:ascii="仿宋" w:hAnsi="仿宋" w:eastAsia="仿宋" w:cs="仿宋"/>
          <w:sz w:val="24"/>
          <w:szCs w:val="24"/>
        </w:rPr>
        <w:t>2  安装调试服务</w:t>
      </w:r>
      <w:r>
        <w:rPr>
          <w:rFonts w:hint="eastAsia" w:ascii="仿宋" w:hAnsi="仿宋" w:eastAsia="仿宋" w:cs="仿宋"/>
          <w:sz w:val="24"/>
          <w:szCs w:val="24"/>
        </w:rPr>
        <w:tab/>
      </w:r>
      <w:r>
        <w:rPr>
          <w:rFonts w:hint="eastAsia" w:ascii="仿宋" w:hAnsi="仿宋" w:eastAsia="仿宋" w:cs="仿宋"/>
          <w:sz w:val="24"/>
          <w:szCs w:val="24"/>
        </w:rPr>
        <w:t>23</w:t>
      </w:r>
      <w:r>
        <w:rPr>
          <w:rFonts w:hint="eastAsia" w:ascii="仿宋" w:hAnsi="仿宋" w:eastAsia="仿宋" w:cs="仿宋"/>
          <w:sz w:val="24"/>
          <w:szCs w:val="24"/>
        </w:rPr>
        <w:fldChar w:fldCharType="end"/>
      </w:r>
    </w:p>
    <w:p w14:paraId="0123CA5D">
      <w:pPr>
        <w:pStyle w:val="112"/>
        <w:tabs>
          <w:tab w:val="right" w:leader="dot" w:pos="8392"/>
        </w:tabs>
        <w:spacing w:line="360" w:lineRule="auto"/>
        <w:ind w:left="420"/>
        <w:rPr>
          <w:rFonts w:hint="eastAsia"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HYPERLINK \l _Toc7248 </w:instrText>
      </w:r>
      <w:r>
        <w:rPr>
          <w:rFonts w:hint="eastAsia" w:ascii="仿宋" w:hAnsi="仿宋" w:eastAsia="仿宋" w:cs="仿宋"/>
          <w:sz w:val="24"/>
          <w:szCs w:val="24"/>
        </w:rPr>
        <w:fldChar w:fldCharType="separate"/>
      </w:r>
      <w:r>
        <w:rPr>
          <w:rFonts w:hint="eastAsia" w:ascii="仿宋" w:hAnsi="仿宋" w:eastAsia="仿宋" w:cs="仿宋"/>
          <w:sz w:val="24"/>
          <w:szCs w:val="24"/>
        </w:rPr>
        <w:t>3  验收服务</w:t>
      </w:r>
      <w:r>
        <w:rPr>
          <w:rFonts w:hint="eastAsia" w:ascii="仿宋" w:hAnsi="仿宋" w:eastAsia="仿宋" w:cs="仿宋"/>
          <w:sz w:val="24"/>
          <w:szCs w:val="24"/>
        </w:rPr>
        <w:tab/>
      </w:r>
      <w:r>
        <w:rPr>
          <w:rFonts w:hint="eastAsia" w:ascii="仿宋" w:hAnsi="仿宋" w:eastAsia="仿宋" w:cs="仿宋"/>
          <w:sz w:val="24"/>
          <w:szCs w:val="24"/>
        </w:rPr>
        <w:t>23</w:t>
      </w:r>
      <w:r>
        <w:rPr>
          <w:rFonts w:hint="eastAsia" w:ascii="仿宋" w:hAnsi="仿宋" w:eastAsia="仿宋" w:cs="仿宋"/>
          <w:sz w:val="24"/>
          <w:szCs w:val="24"/>
        </w:rPr>
        <w:fldChar w:fldCharType="end"/>
      </w:r>
    </w:p>
    <w:p w14:paraId="264477A6">
      <w:pPr>
        <w:pStyle w:val="112"/>
        <w:tabs>
          <w:tab w:val="right" w:leader="dot" w:pos="8392"/>
        </w:tabs>
        <w:spacing w:line="360" w:lineRule="auto"/>
        <w:ind w:left="420"/>
        <w:rPr>
          <w:rFonts w:hint="eastAsia"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HYPERLINK \l _Toc13578 </w:instrText>
      </w:r>
      <w:r>
        <w:rPr>
          <w:rFonts w:hint="eastAsia" w:ascii="仿宋" w:hAnsi="仿宋" w:eastAsia="仿宋" w:cs="仿宋"/>
          <w:sz w:val="24"/>
          <w:szCs w:val="24"/>
        </w:rPr>
        <w:fldChar w:fldCharType="separate"/>
      </w:r>
      <w:r>
        <w:rPr>
          <w:rFonts w:hint="eastAsia" w:ascii="仿宋" w:hAnsi="仿宋" w:eastAsia="仿宋" w:cs="仿宋"/>
          <w:sz w:val="24"/>
          <w:szCs w:val="24"/>
        </w:rPr>
        <w:t>4  售后服务</w:t>
      </w:r>
      <w:r>
        <w:rPr>
          <w:rFonts w:hint="eastAsia" w:ascii="仿宋" w:hAnsi="仿宋" w:eastAsia="仿宋" w:cs="仿宋"/>
          <w:sz w:val="24"/>
          <w:szCs w:val="24"/>
        </w:rPr>
        <w:tab/>
      </w:r>
      <w:r>
        <w:rPr>
          <w:rFonts w:hint="eastAsia" w:ascii="仿宋" w:hAnsi="仿宋" w:eastAsia="仿宋" w:cs="仿宋"/>
          <w:sz w:val="24"/>
          <w:szCs w:val="24"/>
        </w:rPr>
        <w:t>23</w:t>
      </w:r>
      <w:r>
        <w:rPr>
          <w:rFonts w:hint="eastAsia" w:ascii="仿宋" w:hAnsi="仿宋" w:eastAsia="仿宋" w:cs="仿宋"/>
          <w:sz w:val="24"/>
          <w:szCs w:val="24"/>
        </w:rPr>
        <w:fldChar w:fldCharType="end"/>
      </w:r>
    </w:p>
    <w:p w14:paraId="1FDCCBD9">
      <w:pPr>
        <w:pStyle w:val="112"/>
        <w:tabs>
          <w:tab w:val="right" w:leader="dot" w:pos="8392"/>
        </w:tabs>
        <w:spacing w:line="360" w:lineRule="auto"/>
        <w:ind w:left="420"/>
        <w:rPr>
          <w:rFonts w:hint="eastAsia"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HYPERLINK \l _Toc2781 </w:instrText>
      </w:r>
      <w:r>
        <w:rPr>
          <w:rFonts w:hint="eastAsia" w:ascii="仿宋" w:hAnsi="仿宋" w:eastAsia="仿宋" w:cs="仿宋"/>
          <w:sz w:val="24"/>
          <w:szCs w:val="24"/>
        </w:rPr>
        <w:fldChar w:fldCharType="separate"/>
      </w:r>
      <w:r>
        <w:rPr>
          <w:rFonts w:hint="eastAsia" w:ascii="仿宋" w:hAnsi="仿宋" w:eastAsia="仿宋" w:cs="仿宋"/>
          <w:sz w:val="24"/>
          <w:szCs w:val="24"/>
        </w:rPr>
        <w:t>5  其它服务</w:t>
      </w:r>
      <w:r>
        <w:rPr>
          <w:rFonts w:hint="eastAsia" w:ascii="仿宋" w:hAnsi="仿宋" w:eastAsia="仿宋" w:cs="仿宋"/>
          <w:sz w:val="24"/>
          <w:szCs w:val="24"/>
        </w:rPr>
        <w:tab/>
      </w:r>
      <w:r>
        <w:rPr>
          <w:rFonts w:hint="eastAsia" w:ascii="仿宋" w:hAnsi="仿宋" w:eastAsia="仿宋" w:cs="仿宋"/>
          <w:sz w:val="24"/>
          <w:szCs w:val="24"/>
        </w:rPr>
        <w:t>24</w:t>
      </w:r>
      <w:r>
        <w:rPr>
          <w:rFonts w:hint="eastAsia" w:ascii="仿宋" w:hAnsi="仿宋" w:eastAsia="仿宋" w:cs="仿宋"/>
          <w:sz w:val="24"/>
          <w:szCs w:val="24"/>
        </w:rPr>
        <w:fldChar w:fldCharType="end"/>
      </w:r>
    </w:p>
    <w:p w14:paraId="5F4A8A28">
      <w:pPr>
        <w:pStyle w:val="111"/>
        <w:tabs>
          <w:tab w:val="right" w:leader="dot" w:pos="8392"/>
        </w:tabs>
        <w:spacing w:line="360" w:lineRule="auto"/>
        <w:rPr>
          <w:rFonts w:hint="eastAsia" w:ascii="仿宋" w:hAnsi="仿宋" w:eastAsia="仿宋" w:cs="仿宋"/>
          <w:sz w:val="24"/>
          <w:szCs w:val="24"/>
        </w:rPr>
      </w:pPr>
      <w:r>
        <w:rPr>
          <w:rFonts w:hint="eastAsia" w:ascii="仿宋" w:hAnsi="仿宋" w:eastAsia="仿宋" w:cs="仿宋"/>
          <w:b/>
          <w:bCs/>
          <w:sz w:val="24"/>
          <w:szCs w:val="24"/>
        </w:rPr>
        <w:fldChar w:fldCharType="begin"/>
      </w:r>
      <w:r>
        <w:rPr>
          <w:rFonts w:hint="eastAsia" w:ascii="仿宋" w:hAnsi="仿宋" w:eastAsia="仿宋" w:cs="仿宋"/>
          <w:sz w:val="24"/>
          <w:szCs w:val="24"/>
        </w:rPr>
        <w:instrText xml:space="preserve"> HYPERLINK \l _Toc28687 </w:instrText>
      </w:r>
      <w:r>
        <w:rPr>
          <w:rFonts w:hint="eastAsia" w:ascii="仿宋" w:hAnsi="仿宋" w:eastAsia="仿宋" w:cs="仿宋"/>
          <w:b/>
          <w:bCs/>
          <w:sz w:val="24"/>
          <w:szCs w:val="24"/>
        </w:rPr>
        <w:fldChar w:fldCharType="separate"/>
      </w:r>
      <w:r>
        <w:rPr>
          <w:rFonts w:hint="eastAsia" w:ascii="仿宋" w:hAnsi="仿宋" w:eastAsia="仿宋" w:cs="仿宋"/>
          <w:b/>
          <w:bCs/>
          <w:sz w:val="24"/>
          <w:szCs w:val="24"/>
        </w:rPr>
        <w:t>第五章  预验收和终验收</w:t>
      </w:r>
      <w:r>
        <w:rPr>
          <w:rFonts w:hint="eastAsia" w:ascii="仿宋" w:hAnsi="仿宋" w:eastAsia="仿宋" w:cs="仿宋"/>
          <w:b/>
          <w:bCs/>
          <w:sz w:val="24"/>
          <w:szCs w:val="24"/>
        </w:rPr>
        <w:tab/>
      </w:r>
      <w:r>
        <w:rPr>
          <w:rFonts w:hint="eastAsia" w:ascii="仿宋" w:hAnsi="仿宋" w:eastAsia="仿宋" w:cs="仿宋"/>
          <w:b/>
          <w:bCs/>
          <w:sz w:val="24"/>
          <w:szCs w:val="24"/>
        </w:rPr>
        <w:t>24</w:t>
      </w:r>
      <w:r>
        <w:rPr>
          <w:rFonts w:hint="eastAsia" w:ascii="仿宋" w:hAnsi="仿宋" w:eastAsia="仿宋" w:cs="仿宋"/>
          <w:b/>
          <w:bCs/>
          <w:sz w:val="24"/>
          <w:szCs w:val="24"/>
        </w:rPr>
        <w:fldChar w:fldCharType="end"/>
      </w:r>
    </w:p>
    <w:p w14:paraId="10608FEF">
      <w:pPr>
        <w:pStyle w:val="112"/>
        <w:tabs>
          <w:tab w:val="right" w:leader="dot" w:pos="8392"/>
        </w:tabs>
        <w:spacing w:line="360" w:lineRule="auto"/>
        <w:ind w:left="420"/>
        <w:rPr>
          <w:rFonts w:hint="eastAsia"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HYPERLINK \l _Toc30827 </w:instrText>
      </w:r>
      <w:r>
        <w:rPr>
          <w:rFonts w:hint="eastAsia" w:ascii="仿宋" w:hAnsi="仿宋" w:eastAsia="仿宋" w:cs="仿宋"/>
          <w:sz w:val="24"/>
          <w:szCs w:val="24"/>
        </w:rPr>
        <w:fldChar w:fldCharType="separate"/>
      </w:r>
      <w:r>
        <w:rPr>
          <w:rFonts w:hint="eastAsia" w:ascii="仿宋" w:hAnsi="仿宋" w:eastAsia="仿宋" w:cs="仿宋"/>
          <w:sz w:val="24"/>
          <w:szCs w:val="24"/>
        </w:rPr>
        <w:t>1  验收的一般约定</w:t>
      </w:r>
      <w:r>
        <w:rPr>
          <w:rFonts w:hint="eastAsia" w:ascii="仿宋" w:hAnsi="仿宋" w:eastAsia="仿宋" w:cs="仿宋"/>
          <w:sz w:val="24"/>
          <w:szCs w:val="24"/>
        </w:rPr>
        <w:tab/>
      </w:r>
      <w:r>
        <w:rPr>
          <w:rFonts w:hint="eastAsia" w:ascii="仿宋" w:hAnsi="仿宋" w:eastAsia="仿宋" w:cs="仿宋"/>
          <w:sz w:val="24"/>
          <w:szCs w:val="24"/>
        </w:rPr>
        <w:t>24</w:t>
      </w:r>
      <w:r>
        <w:rPr>
          <w:rFonts w:hint="eastAsia" w:ascii="仿宋" w:hAnsi="仿宋" w:eastAsia="仿宋" w:cs="仿宋"/>
          <w:sz w:val="24"/>
          <w:szCs w:val="24"/>
        </w:rPr>
        <w:fldChar w:fldCharType="end"/>
      </w:r>
    </w:p>
    <w:p w14:paraId="472B0976">
      <w:pPr>
        <w:pStyle w:val="112"/>
        <w:tabs>
          <w:tab w:val="right" w:leader="dot" w:pos="8392"/>
        </w:tabs>
        <w:spacing w:line="360" w:lineRule="auto"/>
        <w:ind w:left="420"/>
        <w:rPr>
          <w:rFonts w:hint="eastAsia"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HYPERLINK \l _Toc13235 </w:instrText>
      </w:r>
      <w:r>
        <w:rPr>
          <w:rFonts w:hint="eastAsia" w:ascii="仿宋" w:hAnsi="仿宋" w:eastAsia="仿宋" w:cs="仿宋"/>
          <w:sz w:val="24"/>
          <w:szCs w:val="24"/>
        </w:rPr>
        <w:fldChar w:fldCharType="separate"/>
      </w:r>
      <w:r>
        <w:rPr>
          <w:rFonts w:hint="eastAsia" w:ascii="仿宋" w:hAnsi="仿宋" w:eastAsia="仿宋" w:cs="仿宋"/>
          <w:sz w:val="24"/>
          <w:szCs w:val="24"/>
        </w:rPr>
        <w:t>2  检验</w:t>
      </w:r>
      <w:r>
        <w:rPr>
          <w:rFonts w:hint="eastAsia" w:ascii="仿宋" w:hAnsi="仿宋" w:eastAsia="仿宋" w:cs="仿宋"/>
          <w:sz w:val="24"/>
          <w:szCs w:val="24"/>
        </w:rPr>
        <w:tab/>
      </w:r>
      <w:r>
        <w:rPr>
          <w:rFonts w:hint="eastAsia" w:ascii="仿宋" w:hAnsi="仿宋" w:eastAsia="仿宋" w:cs="仿宋"/>
          <w:sz w:val="24"/>
          <w:szCs w:val="24"/>
        </w:rPr>
        <w:t>24</w:t>
      </w:r>
      <w:r>
        <w:rPr>
          <w:rFonts w:hint="eastAsia" w:ascii="仿宋" w:hAnsi="仿宋" w:eastAsia="仿宋" w:cs="仿宋"/>
          <w:sz w:val="24"/>
          <w:szCs w:val="24"/>
        </w:rPr>
        <w:fldChar w:fldCharType="end"/>
      </w:r>
    </w:p>
    <w:p w14:paraId="05D29676">
      <w:pPr>
        <w:pStyle w:val="112"/>
        <w:tabs>
          <w:tab w:val="right" w:leader="dot" w:pos="8392"/>
        </w:tabs>
        <w:spacing w:line="360" w:lineRule="auto"/>
        <w:ind w:left="420"/>
        <w:rPr>
          <w:rFonts w:hint="eastAsia"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HYPERLINK \l _Toc20533 </w:instrText>
      </w:r>
      <w:r>
        <w:rPr>
          <w:rFonts w:hint="eastAsia" w:ascii="仿宋" w:hAnsi="仿宋" w:eastAsia="仿宋" w:cs="仿宋"/>
          <w:sz w:val="24"/>
          <w:szCs w:val="24"/>
        </w:rPr>
        <w:fldChar w:fldCharType="separate"/>
      </w:r>
      <w:r>
        <w:rPr>
          <w:rFonts w:hint="eastAsia" w:ascii="仿宋" w:hAnsi="仿宋" w:eastAsia="仿宋" w:cs="仿宋"/>
          <w:sz w:val="24"/>
          <w:szCs w:val="24"/>
        </w:rPr>
        <w:t>3  验收条件</w:t>
      </w:r>
      <w:r>
        <w:rPr>
          <w:rFonts w:hint="eastAsia" w:ascii="仿宋" w:hAnsi="仿宋" w:eastAsia="仿宋" w:cs="仿宋"/>
          <w:sz w:val="24"/>
          <w:szCs w:val="24"/>
        </w:rPr>
        <w:tab/>
      </w:r>
      <w:r>
        <w:rPr>
          <w:rFonts w:hint="eastAsia" w:ascii="仿宋" w:hAnsi="仿宋" w:eastAsia="仿宋" w:cs="仿宋"/>
          <w:sz w:val="24"/>
          <w:szCs w:val="24"/>
        </w:rPr>
        <w:t>24</w:t>
      </w:r>
      <w:r>
        <w:rPr>
          <w:rFonts w:hint="eastAsia" w:ascii="仿宋" w:hAnsi="仿宋" w:eastAsia="仿宋" w:cs="仿宋"/>
          <w:sz w:val="24"/>
          <w:szCs w:val="24"/>
        </w:rPr>
        <w:fldChar w:fldCharType="end"/>
      </w:r>
    </w:p>
    <w:p w14:paraId="047F3D92">
      <w:pPr>
        <w:pStyle w:val="112"/>
        <w:tabs>
          <w:tab w:val="right" w:leader="dot" w:pos="8392"/>
        </w:tabs>
        <w:spacing w:line="360" w:lineRule="auto"/>
        <w:ind w:left="420"/>
        <w:rPr>
          <w:rFonts w:hint="eastAsia"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HYPERLINK \l _Toc27981 </w:instrText>
      </w:r>
      <w:r>
        <w:rPr>
          <w:rFonts w:hint="eastAsia" w:ascii="仿宋" w:hAnsi="仿宋" w:eastAsia="仿宋" w:cs="仿宋"/>
          <w:sz w:val="24"/>
          <w:szCs w:val="24"/>
        </w:rPr>
        <w:fldChar w:fldCharType="separate"/>
      </w:r>
      <w:r>
        <w:rPr>
          <w:rFonts w:hint="eastAsia" w:ascii="仿宋" w:hAnsi="仿宋" w:eastAsia="仿宋" w:cs="仿宋"/>
          <w:sz w:val="24"/>
          <w:szCs w:val="24"/>
        </w:rPr>
        <w:t>4  终验收基本要求</w:t>
      </w:r>
      <w:r>
        <w:rPr>
          <w:rFonts w:hint="eastAsia" w:ascii="仿宋" w:hAnsi="仿宋" w:eastAsia="仿宋" w:cs="仿宋"/>
          <w:sz w:val="24"/>
          <w:szCs w:val="24"/>
        </w:rPr>
        <w:tab/>
      </w:r>
      <w:r>
        <w:rPr>
          <w:rFonts w:hint="eastAsia" w:ascii="仿宋" w:hAnsi="仿宋" w:eastAsia="仿宋" w:cs="仿宋"/>
          <w:sz w:val="24"/>
          <w:szCs w:val="24"/>
        </w:rPr>
        <w:t>26</w:t>
      </w:r>
      <w:r>
        <w:rPr>
          <w:rFonts w:hint="eastAsia" w:ascii="仿宋" w:hAnsi="仿宋" w:eastAsia="仿宋" w:cs="仿宋"/>
          <w:sz w:val="24"/>
          <w:szCs w:val="24"/>
        </w:rPr>
        <w:fldChar w:fldCharType="end"/>
      </w:r>
    </w:p>
    <w:p w14:paraId="4A9D6C43">
      <w:pPr>
        <w:pStyle w:val="111"/>
        <w:tabs>
          <w:tab w:val="right" w:leader="dot" w:pos="8392"/>
        </w:tabs>
        <w:spacing w:line="360" w:lineRule="auto"/>
        <w:rPr>
          <w:rFonts w:hint="eastAsia" w:ascii="仿宋" w:hAnsi="仿宋" w:eastAsia="仿宋" w:cs="仿宋"/>
          <w:sz w:val="24"/>
          <w:szCs w:val="24"/>
        </w:rPr>
      </w:pPr>
      <w:r>
        <w:rPr>
          <w:rFonts w:hint="eastAsia" w:ascii="仿宋" w:hAnsi="仿宋" w:eastAsia="仿宋" w:cs="仿宋"/>
          <w:b/>
          <w:bCs/>
          <w:sz w:val="24"/>
          <w:szCs w:val="24"/>
        </w:rPr>
        <w:fldChar w:fldCharType="begin"/>
      </w:r>
      <w:r>
        <w:rPr>
          <w:rFonts w:hint="eastAsia" w:ascii="仿宋" w:hAnsi="仿宋" w:eastAsia="仿宋" w:cs="仿宋"/>
          <w:sz w:val="24"/>
          <w:szCs w:val="24"/>
        </w:rPr>
        <w:instrText xml:space="preserve"> HYPERLINK \l _Toc25886 </w:instrText>
      </w:r>
      <w:r>
        <w:rPr>
          <w:rFonts w:hint="eastAsia" w:ascii="仿宋" w:hAnsi="仿宋" w:eastAsia="仿宋" w:cs="仿宋"/>
          <w:b/>
          <w:bCs/>
          <w:sz w:val="24"/>
          <w:szCs w:val="24"/>
        </w:rPr>
        <w:fldChar w:fldCharType="separate"/>
      </w:r>
      <w:r>
        <w:rPr>
          <w:rFonts w:hint="eastAsia" w:ascii="仿宋" w:hAnsi="仿宋" w:eastAsia="仿宋" w:cs="仿宋"/>
          <w:b/>
          <w:bCs/>
          <w:sz w:val="24"/>
          <w:szCs w:val="24"/>
        </w:rPr>
        <w:t>第六章  投标技术文件一般要求</w:t>
      </w:r>
      <w:r>
        <w:rPr>
          <w:rFonts w:hint="eastAsia" w:ascii="仿宋" w:hAnsi="仿宋" w:eastAsia="仿宋" w:cs="仿宋"/>
          <w:b/>
          <w:bCs/>
          <w:sz w:val="24"/>
          <w:szCs w:val="24"/>
        </w:rPr>
        <w:tab/>
      </w:r>
      <w:r>
        <w:rPr>
          <w:rFonts w:hint="eastAsia" w:ascii="仿宋" w:hAnsi="仿宋" w:eastAsia="仿宋" w:cs="仿宋"/>
          <w:b/>
          <w:bCs/>
          <w:sz w:val="24"/>
          <w:szCs w:val="24"/>
        </w:rPr>
        <w:t>26</w:t>
      </w:r>
      <w:r>
        <w:rPr>
          <w:rFonts w:hint="eastAsia" w:ascii="仿宋" w:hAnsi="仿宋" w:eastAsia="仿宋" w:cs="仿宋"/>
          <w:b/>
          <w:bCs/>
          <w:sz w:val="24"/>
          <w:szCs w:val="24"/>
        </w:rPr>
        <w:fldChar w:fldCharType="end"/>
      </w:r>
    </w:p>
    <w:p w14:paraId="52492B64">
      <w:pPr>
        <w:pStyle w:val="111"/>
        <w:tabs>
          <w:tab w:val="right" w:leader="dot" w:pos="8392"/>
        </w:tabs>
        <w:spacing w:line="360" w:lineRule="auto"/>
      </w:pPr>
      <w:r>
        <w:rPr>
          <w:rFonts w:hint="eastAsia" w:ascii="仿宋" w:hAnsi="仿宋" w:eastAsia="仿宋" w:cs="仿宋"/>
          <w:b/>
          <w:bCs/>
          <w:sz w:val="24"/>
          <w:szCs w:val="24"/>
        </w:rPr>
        <w:fldChar w:fldCharType="begin"/>
      </w:r>
      <w:r>
        <w:rPr>
          <w:rFonts w:hint="eastAsia" w:ascii="仿宋" w:hAnsi="仿宋" w:eastAsia="仿宋" w:cs="仿宋"/>
          <w:sz w:val="24"/>
          <w:szCs w:val="24"/>
        </w:rPr>
        <w:instrText xml:space="preserve"> HYPERLINK \l _Toc15612 </w:instrText>
      </w:r>
      <w:r>
        <w:rPr>
          <w:rFonts w:hint="eastAsia" w:ascii="仿宋" w:hAnsi="仿宋" w:eastAsia="仿宋" w:cs="仿宋"/>
          <w:b/>
          <w:bCs/>
          <w:sz w:val="24"/>
          <w:szCs w:val="24"/>
        </w:rPr>
        <w:fldChar w:fldCharType="separate"/>
      </w:r>
      <w:r>
        <w:rPr>
          <w:rFonts w:hint="eastAsia" w:ascii="仿宋" w:hAnsi="仿宋" w:eastAsia="仿宋" w:cs="仿宋"/>
          <w:b/>
          <w:bCs/>
          <w:sz w:val="24"/>
          <w:szCs w:val="24"/>
        </w:rPr>
        <w:t>第七章  其它要求</w:t>
      </w:r>
      <w:r>
        <w:rPr>
          <w:rFonts w:hint="eastAsia" w:ascii="仿宋" w:hAnsi="仿宋" w:eastAsia="仿宋" w:cs="仿宋"/>
          <w:b/>
          <w:bCs/>
          <w:sz w:val="24"/>
          <w:szCs w:val="24"/>
        </w:rPr>
        <w:tab/>
      </w:r>
      <w:r>
        <w:rPr>
          <w:rFonts w:hint="eastAsia" w:ascii="仿宋" w:hAnsi="仿宋" w:eastAsia="仿宋" w:cs="仿宋"/>
          <w:b/>
          <w:bCs/>
          <w:sz w:val="24"/>
          <w:szCs w:val="24"/>
        </w:rPr>
        <w:t>27</w:t>
      </w:r>
      <w:r>
        <w:rPr>
          <w:rFonts w:hint="eastAsia" w:ascii="仿宋" w:hAnsi="仿宋" w:eastAsia="仿宋" w:cs="仿宋"/>
          <w:b/>
          <w:bCs/>
          <w:sz w:val="24"/>
          <w:szCs w:val="24"/>
        </w:rPr>
        <w:fldChar w:fldCharType="end"/>
      </w:r>
    </w:p>
    <w:p w14:paraId="55EB4AFC">
      <w:pPr>
        <w:spacing w:line="880" w:lineRule="exact"/>
        <w:jc w:val="center"/>
        <w:rPr>
          <w:rFonts w:hAnsi="宋体"/>
          <w:b/>
          <w:bCs/>
          <w:spacing w:val="-8"/>
          <w:sz w:val="28"/>
          <w:szCs w:val="28"/>
        </w:rPr>
      </w:pPr>
    </w:p>
    <w:p w14:paraId="6AD78704">
      <w:pPr>
        <w:pStyle w:val="2"/>
        <w:spacing w:line="360" w:lineRule="auto"/>
        <w:jc w:val="center"/>
        <w:rPr>
          <w:rFonts w:hint="eastAsia" w:ascii="仿宋" w:hAnsi="仿宋" w:eastAsia="仿宋" w:cs="仿宋"/>
          <w:bCs w:val="0"/>
          <w:sz w:val="24"/>
          <w:szCs w:val="24"/>
        </w:rPr>
        <w:sectPr>
          <w:pgSz w:w="11906" w:h="16838"/>
          <w:pgMar w:top="1417" w:right="1757" w:bottom="1423" w:left="1757" w:header="851" w:footer="992" w:gutter="0"/>
          <w:pgNumType w:fmt="numberInDash" w:start="1"/>
          <w:cols w:space="720" w:num="1"/>
          <w:docGrid w:type="lines" w:linePitch="312" w:charSpace="0"/>
        </w:sectPr>
      </w:pPr>
      <w:bookmarkStart w:id="18" w:name="_Toc293006055"/>
      <w:bookmarkEnd w:id="18"/>
      <w:bookmarkStart w:id="19" w:name="_Toc22845"/>
      <w:bookmarkStart w:id="20" w:name="_Toc293006052"/>
      <w:bookmarkStart w:id="21" w:name="_Toc169605881"/>
    </w:p>
    <w:p w14:paraId="76DD1661">
      <w:pPr>
        <w:pStyle w:val="2"/>
        <w:spacing w:line="360" w:lineRule="auto"/>
        <w:jc w:val="center"/>
        <w:rPr>
          <w:rFonts w:hint="eastAsia" w:ascii="仿宋" w:hAnsi="仿宋" w:eastAsia="仿宋" w:cs="仿宋"/>
          <w:bCs w:val="0"/>
          <w:sz w:val="24"/>
          <w:szCs w:val="24"/>
        </w:rPr>
      </w:pPr>
      <w:bookmarkStart w:id="22" w:name="_Toc28778"/>
      <w:bookmarkStart w:id="23" w:name="_Toc20954"/>
      <w:bookmarkStart w:id="24" w:name="_Toc16694"/>
      <w:r>
        <w:rPr>
          <w:rFonts w:hint="eastAsia" w:ascii="仿宋" w:hAnsi="仿宋" w:eastAsia="仿宋" w:cs="仿宋"/>
          <w:bCs w:val="0"/>
          <w:sz w:val="24"/>
          <w:szCs w:val="24"/>
        </w:rPr>
        <w:t>第一章  采购货物概况</w:t>
      </w:r>
      <w:bookmarkEnd w:id="19"/>
      <w:bookmarkEnd w:id="20"/>
      <w:bookmarkEnd w:id="22"/>
      <w:bookmarkEnd w:id="23"/>
      <w:bookmarkEnd w:id="24"/>
    </w:p>
    <w:p w14:paraId="456865E1">
      <w:pPr>
        <w:pStyle w:val="4"/>
        <w:spacing w:line="360" w:lineRule="auto"/>
        <w:jc w:val="center"/>
        <w:rPr>
          <w:rFonts w:hint="eastAsia" w:ascii="仿宋" w:hAnsi="仿宋" w:eastAsia="仿宋" w:cs="仿宋"/>
          <w:bCs w:val="0"/>
          <w:sz w:val="24"/>
          <w:szCs w:val="24"/>
        </w:rPr>
      </w:pPr>
      <w:bookmarkStart w:id="25" w:name="_Toc293006053"/>
      <w:bookmarkStart w:id="26" w:name="_Toc829"/>
      <w:bookmarkStart w:id="27" w:name="_Toc4562"/>
      <w:bookmarkStart w:id="28" w:name="_Toc19667"/>
      <w:bookmarkStart w:id="29" w:name="_Toc25589"/>
      <w:r>
        <w:rPr>
          <w:rFonts w:hint="eastAsia" w:ascii="仿宋" w:hAnsi="仿宋" w:eastAsia="仿宋" w:cs="仿宋"/>
          <w:bCs w:val="0"/>
          <w:sz w:val="24"/>
          <w:szCs w:val="24"/>
        </w:rPr>
        <w:t>第一节  使用环境</w:t>
      </w:r>
      <w:bookmarkEnd w:id="25"/>
      <w:bookmarkEnd w:id="26"/>
      <w:bookmarkEnd w:id="27"/>
      <w:bookmarkEnd w:id="28"/>
      <w:bookmarkEnd w:id="29"/>
    </w:p>
    <w:p w14:paraId="4094F110">
      <w:pPr>
        <w:spacing w:line="360" w:lineRule="auto"/>
        <w:ind w:firstLine="480" w:firstLineChars="200"/>
        <w:rPr>
          <w:rFonts w:hint="default" w:ascii="仿宋" w:hAnsi="仿宋" w:eastAsia="仿宋" w:cs="仿宋"/>
          <w:sz w:val="24"/>
          <w:szCs w:val="24"/>
          <w:lang w:val="en-US" w:eastAsia="zh-CN"/>
        </w:rPr>
      </w:pPr>
      <w:r>
        <w:rPr>
          <w:rFonts w:hint="eastAsia" w:ascii="仿宋" w:hAnsi="仿宋" w:eastAsia="仿宋" w:cs="仿宋"/>
          <w:sz w:val="24"/>
          <w:szCs w:val="24"/>
        </w:rPr>
        <w:t>一、项目名称：</w:t>
      </w:r>
      <w:r>
        <w:rPr>
          <w:rFonts w:hint="eastAsia" w:ascii="仿宋" w:hAnsi="仿宋" w:eastAsia="仿宋" w:cs="仿宋"/>
          <w:sz w:val="32"/>
          <w:szCs w:val="32"/>
          <w:highlight w:val="none"/>
          <w:u w:val="single"/>
          <w:lang w:val="en-US" w:eastAsia="zh-CN"/>
        </w:rPr>
        <w:t xml:space="preserve"> </w:t>
      </w:r>
      <w:r>
        <w:rPr>
          <w:rFonts w:hint="eastAsia" w:ascii="仿宋" w:hAnsi="仿宋" w:eastAsia="仿宋" w:cs="仿宋"/>
          <w:sz w:val="24"/>
          <w:szCs w:val="24"/>
          <w:u w:val="single"/>
          <w:shd w:val="clear" w:color="FFFFFF" w:fill="D9D9D9"/>
          <w:lang w:val="en-US" w:eastAsia="zh-CN"/>
        </w:rPr>
        <w:t xml:space="preserve">驱动桥总成产能提升技改 </w:t>
      </w:r>
      <w:r>
        <w:rPr>
          <w:rFonts w:hint="eastAsia" w:ascii="仿宋" w:hAnsi="仿宋" w:eastAsia="仿宋" w:cs="仿宋"/>
          <w:sz w:val="24"/>
          <w:szCs w:val="24"/>
          <w:u w:val="single"/>
          <w:shd w:val="clear" w:color="FFFFFF" w:fill="D9D9D9"/>
        </w:rPr>
        <w:t>项目</w:t>
      </w:r>
      <w:r>
        <w:rPr>
          <w:rFonts w:hint="eastAsia" w:ascii="仿宋" w:hAnsi="仿宋" w:eastAsia="仿宋" w:cs="仿宋"/>
          <w:sz w:val="24"/>
          <w:szCs w:val="24"/>
          <w:u w:val="single"/>
          <w:shd w:val="clear" w:color="FFFFFF" w:fill="D9D9D9"/>
          <w:lang w:val="en-US" w:eastAsia="zh-CN"/>
        </w:rPr>
        <w:t xml:space="preserve">  </w:t>
      </w:r>
    </w:p>
    <w:p w14:paraId="299E9B4E">
      <w:pPr>
        <w:spacing w:line="360" w:lineRule="auto"/>
        <w:ind w:firstLine="480" w:firstLineChars="200"/>
        <w:rPr>
          <w:rFonts w:hint="default" w:ascii="仿宋" w:hAnsi="仿宋" w:eastAsia="仿宋" w:cs="仿宋"/>
          <w:sz w:val="24"/>
          <w:szCs w:val="24"/>
          <w:lang w:val="en-US" w:eastAsia="zh-CN"/>
        </w:rPr>
      </w:pPr>
      <w:r>
        <w:rPr>
          <w:rFonts w:hint="eastAsia" w:ascii="仿宋" w:hAnsi="仿宋" w:eastAsia="仿宋" w:cs="仿宋"/>
          <w:sz w:val="24"/>
          <w:szCs w:val="24"/>
        </w:rPr>
        <w:t>二、建设地点：</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山东省济南市历城区世纪大道757号（工地）</w:t>
      </w:r>
      <w:r>
        <w:rPr>
          <w:rFonts w:hint="eastAsia" w:ascii="仿宋" w:hAnsi="仿宋" w:eastAsia="仿宋" w:cs="仿宋"/>
          <w:sz w:val="24"/>
          <w:szCs w:val="24"/>
          <w:u w:val="single"/>
          <w:lang w:val="en-US" w:eastAsia="zh-CN"/>
        </w:rPr>
        <w:t xml:space="preserve">    </w:t>
      </w:r>
    </w:p>
    <w:p w14:paraId="3E1425D5">
      <w:pPr>
        <w:spacing w:line="360" w:lineRule="auto"/>
        <w:ind w:firstLine="480" w:firstLineChars="200"/>
        <w:rPr>
          <w:rFonts w:hint="default" w:ascii="仿宋" w:hAnsi="仿宋" w:eastAsia="仿宋" w:cs="仿宋"/>
          <w:sz w:val="24"/>
          <w:szCs w:val="24"/>
          <w:lang w:val="en-US" w:eastAsia="zh-CN"/>
        </w:rPr>
      </w:pPr>
      <w:r>
        <w:rPr>
          <w:rFonts w:hint="eastAsia" w:ascii="仿宋" w:hAnsi="仿宋" w:eastAsia="仿宋" w:cs="仿宋"/>
          <w:sz w:val="24"/>
          <w:szCs w:val="24"/>
        </w:rPr>
        <w:t>三、使用地点：</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rPr>
        <w:t>山东省济南市历城区世纪大道757号（室内）</w:t>
      </w:r>
      <w:r>
        <w:rPr>
          <w:rFonts w:hint="eastAsia" w:ascii="仿宋" w:hAnsi="仿宋" w:eastAsia="仿宋" w:cs="仿宋"/>
          <w:sz w:val="24"/>
          <w:szCs w:val="24"/>
          <w:u w:val="single"/>
          <w:lang w:val="en-US" w:eastAsia="zh-CN"/>
        </w:rPr>
        <w:t xml:space="preserve">    </w:t>
      </w:r>
    </w:p>
    <w:p w14:paraId="1D690B39">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四、工作制度：全年工作</w:t>
      </w:r>
      <w:r>
        <w:rPr>
          <w:rFonts w:hint="eastAsia" w:ascii="仿宋" w:hAnsi="仿宋" w:eastAsia="仿宋" w:cs="仿宋"/>
          <w:sz w:val="24"/>
          <w:szCs w:val="24"/>
          <w:shd w:val="clear" w:color="FFFFFF" w:fill="D9D9D9"/>
        </w:rPr>
        <w:t>300</w:t>
      </w:r>
      <w:r>
        <w:rPr>
          <w:rFonts w:hint="eastAsia" w:ascii="仿宋" w:hAnsi="仿宋" w:eastAsia="仿宋" w:cs="仿宋"/>
          <w:sz w:val="24"/>
          <w:szCs w:val="24"/>
        </w:rPr>
        <w:t>天、</w:t>
      </w:r>
      <w:r>
        <w:rPr>
          <w:rFonts w:hint="eastAsia" w:ascii="仿宋" w:hAnsi="仿宋" w:eastAsia="仿宋" w:cs="仿宋"/>
          <w:sz w:val="24"/>
          <w:szCs w:val="24"/>
          <w:shd w:val="clear" w:color="FFFFFF" w:fill="D9D9D9"/>
          <w:lang w:val="en-US" w:eastAsia="zh-CN"/>
        </w:rPr>
        <w:t>2</w:t>
      </w:r>
      <w:r>
        <w:rPr>
          <w:rFonts w:hint="eastAsia" w:ascii="仿宋" w:hAnsi="仿宋" w:eastAsia="仿宋" w:cs="仿宋"/>
          <w:sz w:val="24"/>
          <w:szCs w:val="24"/>
        </w:rPr>
        <w:t>班制、设备年时基数</w:t>
      </w:r>
      <w:r>
        <w:rPr>
          <w:rFonts w:hint="eastAsia" w:ascii="仿宋" w:hAnsi="仿宋" w:eastAsia="仿宋" w:cs="仿宋"/>
          <w:sz w:val="24"/>
          <w:szCs w:val="24"/>
          <w:shd w:val="clear" w:color="FFFFFF" w:fill="D9D9D9"/>
        </w:rPr>
        <w:t>7200</w:t>
      </w:r>
      <w:r>
        <w:rPr>
          <w:rFonts w:hint="eastAsia" w:ascii="仿宋" w:hAnsi="仿宋" w:eastAsia="仿宋" w:cs="仿宋"/>
          <w:sz w:val="24"/>
          <w:szCs w:val="24"/>
        </w:rPr>
        <w:t>小时。</w:t>
      </w:r>
    </w:p>
    <w:p w14:paraId="18EDEF67">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五、使用地点区域自然环境：</w:t>
      </w:r>
    </w:p>
    <w:p w14:paraId="742E962E">
      <w:pPr>
        <w:spacing w:line="360" w:lineRule="auto"/>
        <w:ind w:firstLine="480" w:firstLineChars="200"/>
        <w:rPr>
          <w:rFonts w:hint="eastAsia" w:ascii="仿宋" w:hAnsi="仿宋" w:eastAsia="仿宋" w:cs="仿宋"/>
          <w:bCs/>
          <w:sz w:val="24"/>
          <w:szCs w:val="24"/>
        </w:rPr>
      </w:pPr>
      <w:r>
        <w:rPr>
          <w:rFonts w:hint="eastAsia" w:ascii="仿宋" w:hAnsi="仿宋" w:eastAsia="仿宋" w:cs="仿宋"/>
          <w:sz w:val="24"/>
          <w:szCs w:val="24"/>
        </w:rPr>
        <w:t>1、</w:t>
      </w:r>
      <w:r>
        <w:rPr>
          <w:rFonts w:hint="eastAsia" w:ascii="仿宋" w:hAnsi="仿宋" w:eastAsia="仿宋" w:cs="仿宋"/>
          <w:bCs/>
          <w:sz w:val="24"/>
          <w:szCs w:val="24"/>
        </w:rPr>
        <w:t>海拨高度：1000m以下</w:t>
      </w:r>
    </w:p>
    <w:p w14:paraId="56D24467">
      <w:pPr>
        <w:spacing w:line="360" w:lineRule="auto"/>
        <w:ind w:firstLine="480" w:firstLineChars="200"/>
        <w:rPr>
          <w:rFonts w:hint="eastAsia" w:ascii="仿宋" w:hAnsi="仿宋" w:eastAsia="仿宋" w:cs="仿宋"/>
          <w:sz w:val="24"/>
          <w:szCs w:val="24"/>
        </w:rPr>
      </w:pPr>
      <w:r>
        <w:rPr>
          <w:rFonts w:hint="eastAsia" w:ascii="仿宋" w:hAnsi="仿宋" w:eastAsia="仿宋" w:cs="仿宋"/>
          <w:bCs/>
          <w:sz w:val="24"/>
          <w:szCs w:val="24"/>
        </w:rPr>
        <w:t>2、</w:t>
      </w:r>
      <w:r>
        <w:rPr>
          <w:rFonts w:hint="eastAsia" w:ascii="仿宋" w:hAnsi="仿宋" w:eastAsia="仿宋" w:cs="仿宋"/>
          <w:sz w:val="24"/>
          <w:szCs w:val="24"/>
        </w:rPr>
        <w:t>环境温度：室外极端最低温度-19.7℃、极端最高温度42.5℃，昼夜最大温</w:t>
      </w:r>
      <w:r>
        <w:rPr>
          <w:rFonts w:hint="eastAsia" w:ascii="仿宋" w:hAnsi="仿宋" w:eastAsia="仿宋" w:cs="仿宋"/>
          <w:bCs/>
          <w:sz w:val="24"/>
          <w:szCs w:val="24"/>
        </w:rPr>
        <w:t>差25℃；室内温度5～42℃。</w:t>
      </w:r>
    </w:p>
    <w:p w14:paraId="37211AF1">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3、相对湿度：年平均59%，</w:t>
      </w:r>
      <w:r>
        <w:rPr>
          <w:rFonts w:hint="eastAsia" w:ascii="仿宋" w:hAnsi="仿宋" w:eastAsia="仿宋" w:cs="仿宋"/>
          <w:bCs/>
          <w:sz w:val="24"/>
          <w:szCs w:val="24"/>
        </w:rPr>
        <w:t>最大95%、最小15%。</w:t>
      </w:r>
    </w:p>
    <w:p w14:paraId="164FB845">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 xml:space="preserve">六、能源环境： </w:t>
      </w:r>
    </w:p>
    <w:p w14:paraId="3E30AADF">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1、电力：中国制式，供电电压380V±15% / 220V±15%，供电频率50Hz±2%。</w:t>
      </w:r>
    </w:p>
    <w:p w14:paraId="0EDA1655">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2、给水：市政自来水</w:t>
      </w:r>
    </w:p>
    <w:p w14:paraId="01C22C5E">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3、压缩空气：0.4～0.6MPa</w:t>
      </w:r>
    </w:p>
    <w:p w14:paraId="5458C88F">
      <w:pPr>
        <w:pStyle w:val="4"/>
        <w:spacing w:line="360" w:lineRule="auto"/>
        <w:jc w:val="center"/>
        <w:rPr>
          <w:rFonts w:hint="eastAsia" w:ascii="仿宋" w:hAnsi="仿宋" w:eastAsia="仿宋" w:cs="仿宋"/>
          <w:b w:val="0"/>
          <w:sz w:val="24"/>
          <w:szCs w:val="24"/>
        </w:rPr>
      </w:pPr>
      <w:bookmarkStart w:id="30" w:name="_Toc293006054"/>
      <w:bookmarkStart w:id="31" w:name="_Toc16223"/>
      <w:bookmarkStart w:id="32" w:name="_Toc15781"/>
      <w:bookmarkStart w:id="33" w:name="_Toc14455"/>
      <w:bookmarkStart w:id="34" w:name="_Toc314"/>
      <w:r>
        <w:rPr>
          <w:rFonts w:hint="eastAsia" w:ascii="仿宋" w:hAnsi="仿宋" w:eastAsia="仿宋" w:cs="仿宋"/>
          <w:bCs w:val="0"/>
          <w:sz w:val="24"/>
          <w:szCs w:val="24"/>
        </w:rPr>
        <w:t>第二节  采购货物概况</w:t>
      </w:r>
      <w:bookmarkEnd w:id="30"/>
      <w:bookmarkEnd w:id="31"/>
      <w:bookmarkEnd w:id="32"/>
      <w:bookmarkEnd w:id="33"/>
      <w:bookmarkEnd w:id="34"/>
    </w:p>
    <w:p w14:paraId="2A9486F8">
      <w:pPr>
        <w:spacing w:line="360" w:lineRule="auto"/>
        <w:ind w:firstLine="482" w:firstLineChars="200"/>
        <w:rPr>
          <w:rFonts w:hint="eastAsia" w:ascii="仿宋" w:hAnsi="仿宋" w:eastAsia="仿宋" w:cs="仿宋"/>
          <w:sz w:val="24"/>
          <w:szCs w:val="24"/>
        </w:rPr>
      </w:pPr>
      <w:r>
        <w:rPr>
          <w:rFonts w:hint="eastAsia" w:ascii="仿宋" w:hAnsi="仿宋" w:eastAsia="仿宋" w:cs="仿宋"/>
          <w:b/>
          <w:bCs/>
          <w:sz w:val="24"/>
          <w:szCs w:val="24"/>
        </w:rPr>
        <w:t>一、货物（或生产线）名称：</w:t>
      </w: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val="en-US" w:eastAsia="zh-CN"/>
        </w:rPr>
        <w:t xml:space="preserve">      螺柱焊机</w:t>
      </w:r>
      <w:r>
        <w:rPr>
          <w:rFonts w:hint="eastAsia" w:ascii="仿宋" w:hAnsi="仿宋" w:eastAsia="仿宋" w:cs="仿宋"/>
          <w:sz w:val="24"/>
          <w:szCs w:val="24"/>
          <w:u w:val="single"/>
        </w:rPr>
        <w:t xml:space="preserve">        </w:t>
      </w:r>
    </w:p>
    <w:p w14:paraId="2E2E5DCA">
      <w:pPr>
        <w:spacing w:line="360" w:lineRule="auto"/>
        <w:ind w:firstLine="482" w:firstLineChars="200"/>
        <w:rPr>
          <w:rFonts w:hint="eastAsia" w:ascii="仿宋" w:hAnsi="仿宋" w:eastAsia="仿宋" w:cs="仿宋"/>
          <w:sz w:val="24"/>
          <w:szCs w:val="24"/>
          <w:lang w:val="en-US" w:eastAsia="zh-CN"/>
        </w:rPr>
      </w:pPr>
      <w:r>
        <w:rPr>
          <w:rFonts w:hint="eastAsia" w:ascii="仿宋" w:hAnsi="仿宋" w:eastAsia="仿宋" w:cs="仿宋"/>
          <w:b/>
          <w:bCs/>
          <w:sz w:val="24"/>
          <w:szCs w:val="24"/>
        </w:rPr>
        <w:t>二、货物（或生产线）数量：</w:t>
      </w: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val="en-US" w:eastAsia="zh-CN"/>
        </w:rPr>
        <w:t>1台</w:t>
      </w:r>
      <w:r>
        <w:rPr>
          <w:rFonts w:hint="eastAsia" w:ascii="仿宋" w:hAnsi="仿宋" w:eastAsia="仿宋" w:cs="仿宋"/>
          <w:sz w:val="24"/>
          <w:szCs w:val="24"/>
          <w:u w:val="single"/>
        </w:rPr>
        <w:t xml:space="preserve">（详见下表）   </w:t>
      </w:r>
      <w:r>
        <w:rPr>
          <w:rFonts w:hint="eastAsia" w:ascii="仿宋" w:hAnsi="仿宋" w:eastAsia="仿宋" w:cs="仿宋"/>
          <w:sz w:val="24"/>
          <w:szCs w:val="24"/>
          <w:u w:val="single"/>
          <w:lang w:val="en-US" w:eastAsia="zh-CN"/>
        </w:rPr>
        <w:t xml:space="preserve"> </w:t>
      </w:r>
    </w:p>
    <w:p w14:paraId="4901891D">
      <w:pPr>
        <w:spacing w:line="360" w:lineRule="auto"/>
        <w:ind w:firstLine="482" w:firstLineChars="200"/>
        <w:rPr>
          <w:rFonts w:hint="eastAsia" w:ascii="仿宋" w:hAnsi="仿宋" w:eastAsia="仿宋" w:cs="仿宋"/>
          <w:b/>
          <w:bCs/>
          <w:sz w:val="24"/>
          <w:szCs w:val="24"/>
        </w:rPr>
      </w:pPr>
      <w:r>
        <w:rPr>
          <w:rFonts w:hint="eastAsia" w:ascii="仿宋" w:hAnsi="仿宋" w:eastAsia="仿宋" w:cs="仿宋"/>
          <w:b/>
          <w:bCs/>
          <w:sz w:val="24"/>
          <w:szCs w:val="24"/>
        </w:rPr>
        <w:t>三、</w:t>
      </w:r>
      <w:bookmarkStart w:id="35" w:name="_Toc28930"/>
      <w:r>
        <w:rPr>
          <w:rFonts w:hint="eastAsia" w:ascii="仿宋" w:hAnsi="仿宋" w:eastAsia="仿宋" w:cs="仿宋"/>
          <w:b/>
          <w:bCs/>
          <w:sz w:val="24"/>
          <w:szCs w:val="24"/>
        </w:rPr>
        <w:t>采购货物（或生产线）主要构成一览表</w:t>
      </w:r>
      <w:bookmarkEnd w:id="35"/>
    </w:p>
    <w:tbl>
      <w:tblPr>
        <w:tblStyle w:val="30"/>
        <w:tblpPr w:leftFromText="180" w:rightFromText="180" w:vertAnchor="text" w:tblpXSpec="center" w:tblpY="1"/>
        <w:tblOverlap w:val="never"/>
        <w:tblW w:w="75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5"/>
        <w:gridCol w:w="1745"/>
        <w:gridCol w:w="776"/>
        <w:gridCol w:w="832"/>
        <w:gridCol w:w="749"/>
        <w:gridCol w:w="1548"/>
        <w:gridCol w:w="1026"/>
      </w:tblGrid>
      <w:tr w14:paraId="5825F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875" w:type="dxa"/>
            <w:noWrap w:val="0"/>
            <w:vAlign w:val="center"/>
          </w:tcPr>
          <w:p w14:paraId="79C48AE3">
            <w:pPr>
              <w:pStyle w:val="62"/>
              <w:adjustRightInd w:val="0"/>
              <w:snapToGrid w:val="0"/>
              <w:ind w:firstLine="0" w:firstLineChars="0"/>
              <w:jc w:val="center"/>
              <w:rPr>
                <w:rFonts w:hint="eastAsia" w:ascii="仿宋" w:hAnsi="仿宋" w:eastAsia="仿宋" w:cs="仿宋"/>
                <w:sz w:val="24"/>
                <w:szCs w:val="24"/>
              </w:rPr>
            </w:pPr>
            <w:r>
              <w:rPr>
                <w:rFonts w:hint="eastAsia" w:ascii="仿宋" w:hAnsi="仿宋" w:eastAsia="仿宋" w:cs="仿宋"/>
                <w:sz w:val="24"/>
                <w:szCs w:val="24"/>
              </w:rPr>
              <w:t>序号</w:t>
            </w:r>
          </w:p>
        </w:tc>
        <w:tc>
          <w:tcPr>
            <w:tcW w:w="1745" w:type="dxa"/>
            <w:noWrap w:val="0"/>
            <w:vAlign w:val="center"/>
          </w:tcPr>
          <w:p w14:paraId="066BE36D">
            <w:pPr>
              <w:pStyle w:val="62"/>
              <w:adjustRightInd w:val="0"/>
              <w:snapToGrid w:val="0"/>
              <w:ind w:firstLine="0" w:firstLineChars="0"/>
              <w:jc w:val="center"/>
              <w:rPr>
                <w:rFonts w:hint="eastAsia" w:ascii="仿宋" w:hAnsi="仿宋" w:eastAsia="仿宋" w:cs="仿宋"/>
                <w:sz w:val="24"/>
                <w:szCs w:val="24"/>
              </w:rPr>
            </w:pPr>
            <w:r>
              <w:rPr>
                <w:rFonts w:hint="eastAsia" w:ascii="仿宋" w:hAnsi="仿宋" w:eastAsia="仿宋" w:cs="仿宋"/>
                <w:sz w:val="24"/>
                <w:szCs w:val="24"/>
              </w:rPr>
              <w:t>名称</w:t>
            </w:r>
          </w:p>
        </w:tc>
        <w:tc>
          <w:tcPr>
            <w:tcW w:w="776" w:type="dxa"/>
            <w:noWrap w:val="0"/>
            <w:vAlign w:val="center"/>
          </w:tcPr>
          <w:p w14:paraId="50211333">
            <w:pPr>
              <w:pStyle w:val="62"/>
              <w:adjustRightInd w:val="0"/>
              <w:snapToGrid w:val="0"/>
              <w:ind w:firstLine="0" w:firstLineChars="0"/>
              <w:jc w:val="center"/>
              <w:rPr>
                <w:rFonts w:hint="eastAsia" w:ascii="仿宋" w:hAnsi="仿宋" w:eastAsia="仿宋" w:cs="仿宋"/>
                <w:sz w:val="24"/>
                <w:szCs w:val="24"/>
                <w:lang w:eastAsia="zh-CN"/>
              </w:rPr>
            </w:pPr>
            <w:r>
              <w:rPr>
                <w:rFonts w:hint="eastAsia" w:ascii="仿宋" w:hAnsi="仿宋" w:eastAsia="仿宋" w:cs="仿宋"/>
                <w:sz w:val="24"/>
                <w:szCs w:val="24"/>
                <w:lang w:val="en-US" w:eastAsia="zh-CN"/>
              </w:rPr>
              <w:t>规格</w:t>
            </w:r>
          </w:p>
        </w:tc>
        <w:tc>
          <w:tcPr>
            <w:tcW w:w="832" w:type="dxa"/>
            <w:noWrap w:val="0"/>
            <w:vAlign w:val="center"/>
          </w:tcPr>
          <w:p w14:paraId="45BF3E95">
            <w:pPr>
              <w:pStyle w:val="62"/>
              <w:adjustRightInd w:val="0"/>
              <w:snapToGrid w:val="0"/>
              <w:ind w:firstLine="0" w:firstLineChars="0"/>
              <w:jc w:val="center"/>
              <w:rPr>
                <w:rFonts w:hint="eastAsia" w:ascii="仿宋" w:hAnsi="仿宋" w:eastAsia="仿宋" w:cs="仿宋"/>
                <w:sz w:val="24"/>
                <w:szCs w:val="24"/>
              </w:rPr>
            </w:pPr>
            <w:r>
              <w:rPr>
                <w:rFonts w:hint="eastAsia" w:ascii="仿宋" w:hAnsi="仿宋" w:eastAsia="仿宋" w:cs="仿宋"/>
                <w:sz w:val="24"/>
                <w:szCs w:val="24"/>
              </w:rPr>
              <w:t>数量</w:t>
            </w:r>
          </w:p>
        </w:tc>
        <w:tc>
          <w:tcPr>
            <w:tcW w:w="749" w:type="dxa"/>
            <w:noWrap w:val="0"/>
            <w:vAlign w:val="center"/>
          </w:tcPr>
          <w:p w14:paraId="4F2A1E84">
            <w:pPr>
              <w:pStyle w:val="62"/>
              <w:adjustRightInd w:val="0"/>
              <w:snapToGrid w:val="0"/>
              <w:ind w:firstLine="0" w:firstLineChars="0"/>
              <w:jc w:val="center"/>
              <w:rPr>
                <w:rFonts w:hint="eastAsia" w:ascii="仿宋" w:hAnsi="仿宋" w:eastAsia="仿宋" w:cs="仿宋"/>
                <w:sz w:val="24"/>
                <w:szCs w:val="24"/>
              </w:rPr>
            </w:pPr>
            <w:r>
              <w:rPr>
                <w:rFonts w:hint="eastAsia" w:ascii="仿宋" w:hAnsi="仿宋" w:eastAsia="仿宋" w:cs="仿宋"/>
                <w:sz w:val="24"/>
                <w:szCs w:val="24"/>
              </w:rPr>
              <w:t>单位</w:t>
            </w:r>
          </w:p>
        </w:tc>
        <w:tc>
          <w:tcPr>
            <w:tcW w:w="1548" w:type="dxa"/>
            <w:noWrap w:val="0"/>
            <w:vAlign w:val="bottom"/>
          </w:tcPr>
          <w:p w14:paraId="1DFA32E6">
            <w:pPr>
              <w:pStyle w:val="16"/>
              <w:keepNext w:val="0"/>
              <w:keepLines w:val="0"/>
              <w:pageBreakBefore w:val="0"/>
              <w:widowControl w:val="0"/>
              <w:kinsoku/>
              <w:wordWrap/>
              <w:overflowPunct/>
              <w:topLinePunct w:val="0"/>
              <w:autoSpaceDE/>
              <w:autoSpaceDN/>
              <w:bidi w:val="0"/>
              <w:adjustRightInd/>
              <w:snapToGrid w:val="0"/>
              <w:spacing w:after="0" w:line="240" w:lineRule="exact"/>
              <w:ind w:left="0" w:leftChars="0" w:firstLine="0" w:firstLineChars="0"/>
              <w:jc w:val="center"/>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安装地点/服务对象</w:t>
            </w:r>
          </w:p>
        </w:tc>
        <w:tc>
          <w:tcPr>
            <w:tcW w:w="1026" w:type="dxa"/>
            <w:noWrap w:val="0"/>
            <w:vAlign w:val="center"/>
          </w:tcPr>
          <w:p w14:paraId="53656C58">
            <w:pPr>
              <w:pStyle w:val="62"/>
              <w:adjustRightInd w:val="0"/>
              <w:snapToGrid w:val="0"/>
              <w:ind w:firstLine="0" w:firstLineChars="0"/>
              <w:jc w:val="center"/>
              <w:rPr>
                <w:rFonts w:hint="eastAsia" w:ascii="仿宋" w:hAnsi="仿宋" w:eastAsia="仿宋" w:cs="仿宋"/>
                <w:sz w:val="24"/>
                <w:szCs w:val="24"/>
              </w:rPr>
            </w:pPr>
            <w:r>
              <w:rPr>
                <w:rFonts w:hint="eastAsia" w:ascii="仿宋" w:hAnsi="仿宋" w:eastAsia="仿宋" w:cs="仿宋"/>
                <w:sz w:val="24"/>
                <w:szCs w:val="24"/>
              </w:rPr>
              <w:t>供货</w:t>
            </w:r>
          </w:p>
          <w:p w14:paraId="4A65724C">
            <w:pPr>
              <w:pStyle w:val="62"/>
              <w:adjustRightInd w:val="0"/>
              <w:snapToGrid w:val="0"/>
              <w:ind w:firstLine="0" w:firstLineChars="0"/>
              <w:jc w:val="center"/>
              <w:rPr>
                <w:rFonts w:hint="eastAsia" w:ascii="仿宋" w:hAnsi="仿宋" w:eastAsia="仿宋" w:cs="仿宋"/>
                <w:sz w:val="24"/>
                <w:szCs w:val="24"/>
              </w:rPr>
            </w:pPr>
            <w:r>
              <w:rPr>
                <w:rFonts w:hint="eastAsia" w:ascii="仿宋" w:hAnsi="仿宋" w:eastAsia="仿宋" w:cs="仿宋"/>
                <w:sz w:val="24"/>
                <w:szCs w:val="24"/>
              </w:rPr>
              <w:t>方式</w:t>
            </w:r>
          </w:p>
        </w:tc>
      </w:tr>
      <w:tr w14:paraId="45B8E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875" w:type="dxa"/>
            <w:noWrap w:val="0"/>
            <w:vAlign w:val="center"/>
          </w:tcPr>
          <w:p w14:paraId="1D577423">
            <w:pPr>
              <w:jc w:val="center"/>
              <w:rPr>
                <w:rFonts w:hint="eastAsia" w:ascii="仿宋" w:hAnsi="仿宋" w:eastAsia="仿宋" w:cs="仿宋"/>
                <w:sz w:val="24"/>
                <w:szCs w:val="24"/>
                <w:lang w:eastAsia="zh-CN"/>
              </w:rPr>
            </w:pPr>
            <w:r>
              <w:rPr>
                <w:rFonts w:hint="eastAsia" w:ascii="仿宋" w:hAnsi="仿宋" w:eastAsia="仿宋" w:cs="仿宋"/>
                <w:sz w:val="24"/>
                <w:szCs w:val="24"/>
                <w:lang w:val="en-US" w:eastAsia="zh-CN"/>
              </w:rPr>
              <w:t>1</w:t>
            </w:r>
          </w:p>
        </w:tc>
        <w:tc>
          <w:tcPr>
            <w:tcW w:w="1745" w:type="dxa"/>
            <w:noWrap w:val="0"/>
            <w:vAlign w:val="center"/>
          </w:tcPr>
          <w:p w14:paraId="2B3CAA51">
            <w:pPr>
              <w:jc w:val="cente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螺柱焊机</w:t>
            </w:r>
          </w:p>
        </w:tc>
        <w:tc>
          <w:tcPr>
            <w:tcW w:w="776" w:type="dxa"/>
            <w:noWrap w:val="0"/>
            <w:vAlign w:val="center"/>
          </w:tcPr>
          <w:p w14:paraId="21399219">
            <w:pPr>
              <w:pStyle w:val="62"/>
              <w:adjustRightInd w:val="0"/>
              <w:snapToGrid w:val="0"/>
              <w:ind w:firstLine="0" w:firstLineChars="0"/>
              <w:jc w:val="center"/>
              <w:rPr>
                <w:rFonts w:hint="eastAsia" w:ascii="仿宋" w:hAnsi="仿宋" w:eastAsia="仿宋" w:cs="仿宋"/>
                <w:sz w:val="24"/>
                <w:szCs w:val="24"/>
              </w:rPr>
            </w:pPr>
          </w:p>
        </w:tc>
        <w:tc>
          <w:tcPr>
            <w:tcW w:w="832" w:type="dxa"/>
            <w:noWrap w:val="0"/>
            <w:vAlign w:val="center"/>
          </w:tcPr>
          <w:p w14:paraId="68800A8F">
            <w:pPr>
              <w:pStyle w:val="62"/>
              <w:adjustRightInd w:val="0"/>
              <w:snapToGrid w:val="0"/>
              <w:ind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w:t>
            </w:r>
          </w:p>
        </w:tc>
        <w:tc>
          <w:tcPr>
            <w:tcW w:w="749" w:type="dxa"/>
            <w:noWrap w:val="0"/>
            <w:vAlign w:val="center"/>
          </w:tcPr>
          <w:p w14:paraId="3579755A">
            <w:pPr>
              <w:pStyle w:val="62"/>
              <w:adjustRightInd w:val="0"/>
              <w:snapToGrid w:val="0"/>
              <w:ind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套</w:t>
            </w:r>
          </w:p>
        </w:tc>
        <w:tc>
          <w:tcPr>
            <w:tcW w:w="1548" w:type="dxa"/>
            <w:noWrap w:val="0"/>
            <w:vAlign w:val="bottom"/>
          </w:tcPr>
          <w:p w14:paraId="473D2261">
            <w:pPr>
              <w:pStyle w:val="16"/>
              <w:keepNext w:val="0"/>
              <w:keepLines w:val="0"/>
              <w:pageBreakBefore w:val="0"/>
              <w:widowControl w:val="0"/>
              <w:kinsoku/>
              <w:wordWrap/>
              <w:overflowPunct/>
              <w:topLinePunct w:val="0"/>
              <w:autoSpaceDE/>
              <w:autoSpaceDN/>
              <w:bidi w:val="0"/>
              <w:adjustRightInd/>
              <w:snapToGrid w:val="0"/>
              <w:spacing w:after="0" w:line="240" w:lineRule="exact"/>
              <w:ind w:left="0" w:leftChars="0" w:firstLine="0" w:firstLineChars="0"/>
              <w:jc w:val="center"/>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车桥公司驱动桥部</w:t>
            </w:r>
          </w:p>
        </w:tc>
        <w:tc>
          <w:tcPr>
            <w:tcW w:w="1026" w:type="dxa"/>
            <w:noWrap w:val="0"/>
            <w:vAlign w:val="center"/>
          </w:tcPr>
          <w:p w14:paraId="38864B32">
            <w:pPr>
              <w:pStyle w:val="62"/>
              <w:adjustRightInd w:val="0"/>
              <w:snapToGrid w:val="0"/>
              <w:ind w:firstLine="0" w:firstLineChars="0"/>
              <w:jc w:val="center"/>
              <w:rPr>
                <w:rFonts w:hint="eastAsia" w:ascii="仿宋" w:hAnsi="仿宋" w:eastAsia="仿宋" w:cs="仿宋"/>
                <w:sz w:val="24"/>
                <w:szCs w:val="24"/>
              </w:rPr>
            </w:pPr>
            <w:r>
              <w:rPr>
                <w:rFonts w:hint="eastAsia" w:ascii="仿宋" w:hAnsi="仿宋" w:eastAsia="仿宋" w:cs="仿宋"/>
                <w:sz w:val="24"/>
                <w:szCs w:val="24"/>
              </w:rPr>
              <w:t>交钥匙</w:t>
            </w:r>
          </w:p>
        </w:tc>
      </w:tr>
    </w:tbl>
    <w:p w14:paraId="50AA2CDA">
      <w:pPr>
        <w:spacing w:line="360" w:lineRule="auto"/>
        <w:ind w:firstLine="420" w:firstLineChars="175"/>
        <w:rPr>
          <w:rFonts w:hint="eastAsia" w:ascii="仿宋" w:hAnsi="仿宋" w:eastAsia="仿宋" w:cs="仿宋"/>
          <w:sz w:val="24"/>
          <w:szCs w:val="24"/>
        </w:rPr>
      </w:pPr>
      <w:r>
        <w:rPr>
          <w:rFonts w:hint="eastAsia" w:ascii="仿宋" w:hAnsi="仿宋" w:eastAsia="仿宋" w:cs="仿宋"/>
          <w:sz w:val="24"/>
          <w:szCs w:val="24"/>
        </w:rPr>
        <w:t>备注：①本表所列采购货物仅为货物（或生产线）的主要构成部分，应配套供货以及招标方所列其它货物（或设备）和服务，请投标方认真阅读“供货范围”。若有异议，不管是多么微小，都应在投标文件“商务偏离”章节中予以详细说明。</w:t>
      </w:r>
    </w:p>
    <w:p w14:paraId="1C27CDD3">
      <w:pPr>
        <w:spacing w:line="360" w:lineRule="auto"/>
        <w:ind w:firstLine="420" w:firstLineChars="175"/>
        <w:rPr>
          <w:rFonts w:hint="eastAsia" w:ascii="仿宋" w:hAnsi="仿宋" w:eastAsia="仿宋" w:cs="仿宋"/>
          <w:bCs/>
          <w:color w:val="000000"/>
          <w:kern w:val="44"/>
          <w:sz w:val="24"/>
          <w:szCs w:val="24"/>
        </w:rPr>
      </w:pPr>
      <w:r>
        <w:rPr>
          <w:rFonts w:hint="eastAsia" w:ascii="仿宋" w:hAnsi="仿宋" w:eastAsia="仿宋" w:cs="仿宋"/>
          <w:sz w:val="24"/>
          <w:szCs w:val="24"/>
        </w:rPr>
        <w:t>②  本表“供货方式”指：交钥匙方式——包括设计、制造、运输、定点卸货、安装、调试和协助验收以及约定培训等。</w:t>
      </w:r>
    </w:p>
    <w:p w14:paraId="6631B4DD">
      <w:pPr>
        <w:pStyle w:val="113"/>
        <w:spacing w:line="360" w:lineRule="auto"/>
        <w:ind w:firstLine="422" w:firstLineChars="175"/>
        <w:rPr>
          <w:rFonts w:hint="eastAsia" w:ascii="仿宋" w:hAnsi="仿宋" w:eastAsia="仿宋" w:cs="仿宋"/>
          <w:sz w:val="24"/>
        </w:rPr>
      </w:pPr>
      <w:bookmarkStart w:id="36" w:name="_Toc13610"/>
      <w:bookmarkStart w:id="37" w:name="_Toc8072"/>
      <w:bookmarkStart w:id="38" w:name="_Toc552"/>
      <w:bookmarkStart w:id="39" w:name="_Toc9209"/>
      <w:r>
        <w:rPr>
          <w:rFonts w:hint="eastAsia" w:ascii="仿宋" w:hAnsi="仿宋" w:eastAsia="仿宋" w:cs="仿宋"/>
          <w:b/>
          <w:bCs w:val="0"/>
          <w:kern w:val="2"/>
          <w:sz w:val="24"/>
        </w:rPr>
        <w:t>第二章  技术要求</w:t>
      </w:r>
      <w:bookmarkEnd w:id="36"/>
      <w:bookmarkEnd w:id="37"/>
      <w:bookmarkEnd w:id="38"/>
      <w:bookmarkEnd w:id="39"/>
    </w:p>
    <w:p w14:paraId="1AB01255">
      <w:pPr>
        <w:keepNext w:val="0"/>
        <w:keepLines w:val="0"/>
        <w:pageBreakBefore w:val="0"/>
        <w:widowControl w:val="0"/>
        <w:kinsoku/>
        <w:wordWrap/>
        <w:overflowPunct/>
        <w:topLinePunct w:val="0"/>
        <w:autoSpaceDE/>
        <w:autoSpaceDN/>
        <w:bidi w:val="0"/>
        <w:adjustRightInd/>
        <w:spacing w:line="360" w:lineRule="auto"/>
        <w:ind w:firstLine="420" w:firstLineChars="175"/>
        <w:textAlignment w:val="auto"/>
        <w:outlineLvl w:val="1"/>
        <w:rPr>
          <w:rFonts w:hint="eastAsia" w:ascii="仿宋" w:hAnsi="仿宋" w:eastAsia="仿宋" w:cs="仿宋"/>
          <w:sz w:val="24"/>
          <w:szCs w:val="24"/>
        </w:rPr>
      </w:pPr>
      <w:bookmarkStart w:id="40" w:name="_Toc23505"/>
      <w:bookmarkStart w:id="41" w:name="_Toc31513"/>
      <w:bookmarkStart w:id="42" w:name="_Toc13510"/>
      <w:bookmarkStart w:id="43" w:name="_Toc18530"/>
      <w:r>
        <w:rPr>
          <w:rFonts w:hint="eastAsia" w:ascii="仿宋" w:hAnsi="仿宋" w:eastAsia="仿宋" w:cs="仿宋"/>
          <w:sz w:val="24"/>
          <w:szCs w:val="24"/>
        </w:rPr>
        <w:t>一、基本要求</w:t>
      </w:r>
      <w:bookmarkEnd w:id="40"/>
      <w:bookmarkEnd w:id="41"/>
      <w:bookmarkEnd w:id="42"/>
      <w:bookmarkEnd w:id="43"/>
    </w:p>
    <w:p w14:paraId="018D2E9D">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1.1 投标方所供的货物（或生产线），必须符合中国最新版的法律、法规和相关标准、规范的要求，符合项目所在地政府有关特殊要求。</w:t>
      </w:r>
    </w:p>
    <w:p w14:paraId="0AD85BB4">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1.2 投标方所供货物（或生产线）涉及的、招标方有权使用的专利权技术以及知识产权保护的其它技术等，应保证招标方不因此受到任何侵权指控以及实际损失。</w:t>
      </w:r>
    </w:p>
    <w:p w14:paraId="437AE611">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1.3 投标方应保证所供货物（或生产线）的先进性、可靠性、经济性和实用性，并为全新货物（或设备）,并具有该货物(或设备)所有功能的永久使用权。</w:t>
      </w:r>
    </w:p>
    <w:p w14:paraId="748126DF">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1.4 投标方应满足招标方提出的各项技术要求，必要时应当免费提供技术承诺或担保。</w:t>
      </w:r>
    </w:p>
    <w:p w14:paraId="6D7D5481">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★1.5 投标方应保证所供货物（或设备）必须符合当前国家或地方最新安全、环保、职业健康最新法律、法规及《机械制造企业安全生产标准化</w:t>
      </w:r>
      <w:r>
        <w:rPr>
          <w:rFonts w:hint="eastAsia" w:ascii="仿宋" w:hAnsi="仿宋" w:eastAsia="仿宋" w:cs="仿宋"/>
          <w:sz w:val="24"/>
          <w:szCs w:val="24"/>
          <w:highlight w:val="none"/>
          <w:lang w:eastAsia="zh-CN"/>
        </w:rPr>
        <w:t>规范</w:t>
      </w:r>
      <w:r>
        <w:rPr>
          <w:rFonts w:hint="eastAsia" w:ascii="仿宋" w:hAnsi="仿宋" w:eastAsia="仿宋" w:cs="仿宋"/>
          <w:sz w:val="24"/>
          <w:szCs w:val="24"/>
          <w:highlight w:val="none"/>
        </w:rPr>
        <w:t>》各项要求 。确保货物在使用管理过程中满足《职业健康安全管理体系》、《环境管理体系》等方面的国家标准、规范及地方规章要求</w:t>
      </w:r>
      <w:r>
        <w:rPr>
          <w:rFonts w:hint="eastAsia" w:ascii="仿宋" w:hAnsi="仿宋" w:eastAsia="仿宋" w:cs="仿宋"/>
          <w:color w:val="0000FF"/>
          <w:sz w:val="24"/>
          <w:szCs w:val="24"/>
          <w:highlight w:val="none"/>
        </w:rPr>
        <w:t>。</w:t>
      </w:r>
    </w:p>
    <w:p w14:paraId="1B4D9789">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★1.6 投标方应保证所供货物（或设备）为中国公布的非淘汰货物（或设备），并为中国指定或规定的主管部门认可的环保型和节能型货物（或设备）。招标的中标货物不接受试验品（提供证据），还应是原产地的货物。</w:t>
      </w:r>
    </w:p>
    <w:p w14:paraId="06BF1A3E">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1.7 设备用能设计基本要求</w:t>
      </w:r>
    </w:p>
    <w:p w14:paraId="79ADC420">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1.7.1 任何用能设备均应遵循《能源管理体系要求》（ISO 50001:2018）、《能源管理体系 机械制造企业认证要求》（RB/T 119-2015）的相关规定，并在《能源管理体系要求》下开展设备的采购、维护、保养、淘汰更换等工作。</w:t>
      </w:r>
    </w:p>
    <w:p w14:paraId="3B6A24DC">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1.7.2 为方便用能设备的计量统计，新增采购设备应在《用能单位能源计量器具配备和管理通则》（GB17167-2006）指导下配备符合相应要求的能源计量器具。</w:t>
      </w:r>
    </w:p>
    <w:p w14:paraId="09961B85">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1.7.3 供方应确保各类机电设备（产品）无《高耗能机电设备（产品）淘汰目录（第一批）》、《高耗能机电设备（产品）淘汰目录（第二批）》、《高耗能机电设备（产品）淘汰目录（第三批）》、《高耗能机电设备（产品）淘汰目录（第四批）》所罗列的各类淘汰机电设备（产品）。</w:t>
      </w:r>
    </w:p>
    <w:p w14:paraId="4B28F74F">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1.7.4 在各类机电设备（产品）的采购过程中应优先选用符合《节能机电设备（产品）推荐目录（第七批）》的机电设备（产品）。原则上，电机功率≥7.5kW，必须选用一级能效。电机功率&lt;7.5kw，优先选用一级能效;其中对于能源供应类设备及年运行时间≥2000h 工艺设备的电机必须选用一级能效。杜绝选用三级及以下能效。空调必须选用一级能效，变压器最低选用二级能效，对于特殊场景、特殊用途其他设备结合性价比综合考虑、充分论证。</w:t>
      </w:r>
    </w:p>
    <w:p w14:paraId="4CE82328">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1.7.5 供方应确保设备的附属各类机电设备、设施（如：电机、风机、电器控制系统、润滑、保温隔热、照明等等）符合国家现行的相关专项标准要求。</w:t>
      </w:r>
    </w:p>
    <w:p w14:paraId="7FDE1ADA">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1.8 投标方应保证所供货物（或生产线）的完整性和成套性，能保证货物（或生产线）的正常运行、使用。</w:t>
      </w:r>
    </w:p>
    <w:p w14:paraId="43E7B745">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1.9 投标方应对招标方采购的货物（或生产线）所涉及的技术、产能等信息负有保密义务，特殊项目应当无条件签署保密协议。</w:t>
      </w:r>
    </w:p>
    <w:p w14:paraId="5AE24C31">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★1.10 设备使用仪表和自控设备要求：</w:t>
      </w:r>
    </w:p>
    <w:p w14:paraId="23FCB302">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bookmarkStart w:id="44" w:name="_Toc30944"/>
      <w:bookmarkStart w:id="45" w:name="_Toc5010"/>
      <w:bookmarkStart w:id="46" w:name="_Toc2908"/>
      <w:bookmarkStart w:id="47" w:name="_Toc7044"/>
      <w:bookmarkStart w:id="48" w:name="_Toc31111"/>
      <w:bookmarkStart w:id="49" w:name="_Toc5025"/>
      <w:r>
        <w:rPr>
          <w:rFonts w:hint="eastAsia" w:ascii="仿宋" w:hAnsi="仿宋" w:eastAsia="仿宋" w:cs="仿宋"/>
          <w:sz w:val="24"/>
          <w:szCs w:val="24"/>
          <w:highlight w:val="none"/>
        </w:rPr>
        <w:t>1.10.1 设备使用仪表通用技术要求:</w:t>
      </w:r>
      <w:bookmarkEnd w:id="44"/>
      <w:bookmarkEnd w:id="45"/>
      <w:bookmarkEnd w:id="46"/>
      <w:bookmarkEnd w:id="47"/>
      <w:bookmarkEnd w:id="48"/>
      <w:bookmarkEnd w:id="49"/>
    </w:p>
    <w:p w14:paraId="2EEEE6A2">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1.10.1.1 投标人及供货商应保证所提供的仪表和自控设备，完全符合或高于本文通用技术要求及相应产品技术规范的要求，并应保证其供应产品在本工程指明的环境条件下能够长期安全、正常地运行。 </w:t>
      </w:r>
    </w:p>
    <w:p w14:paraId="1E170397">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1.10.1.2 投标人及供货商所提供的产品，应符合中华人民共和国国家质量监督检验检疫总局发布的《强制性产品认证管理规定》(AQSIQ)的要求，请投标人及供货商确认其投标产品是否包括在《中华人民共和国实施强制性产品认证的产品目录》内，包括在目录中的产品应取得被授权的认证机构颁发的“中国国家强制性产品认证证书”(CCC)。无论任何原因造成的不良后果均由投标人及供货商负责。 </w:t>
      </w:r>
    </w:p>
    <w:p w14:paraId="4B28C259">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1.10.1.3 仪表、自控设备以及其附件所需电源，应符合产品技术规范提出的配电要求。在运输和储存期间，仪表和自控设备外壳上，凡用于连接的所有接口及孔、洞、附件应用堵头进行保护，并应清楚地标明其用途, 并注明“能源、计量”使用状态。 国家规定属于强制检定的仪表、自控设备应符合铅封等强制要求标准。</w:t>
      </w:r>
    </w:p>
    <w:p w14:paraId="5DF04D5F">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bookmarkStart w:id="50" w:name="_Toc26032"/>
      <w:bookmarkStart w:id="51" w:name="_Toc5075"/>
      <w:bookmarkStart w:id="52" w:name="_Toc9364"/>
      <w:bookmarkStart w:id="53" w:name="_Toc581"/>
      <w:bookmarkStart w:id="54" w:name="_Toc32105"/>
      <w:bookmarkStart w:id="55" w:name="_Toc16669"/>
      <w:r>
        <w:rPr>
          <w:rFonts w:hint="eastAsia" w:ascii="仿宋" w:hAnsi="仿宋" w:eastAsia="仿宋" w:cs="仿宋"/>
          <w:sz w:val="24"/>
          <w:szCs w:val="24"/>
          <w:highlight w:val="none"/>
        </w:rPr>
        <w:t>1.10.2 准确度要求: </w:t>
      </w:r>
      <w:bookmarkEnd w:id="50"/>
      <w:bookmarkEnd w:id="51"/>
      <w:bookmarkEnd w:id="52"/>
      <w:bookmarkEnd w:id="53"/>
      <w:bookmarkEnd w:id="54"/>
      <w:bookmarkEnd w:id="55"/>
    </w:p>
    <w:p w14:paraId="653609F6">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1.10.2.1 投标人及供货商所提供的仪表和自控设备应在测量原理上符合相应产品的专用技术规格书中的要求，应保证出厂产品的实际准确度等于或优于提供的技术资料中的标称准确度。货物所使用计量用仪器、仪表和自控设备，该产品应附有具备CNAS、CAL、CMA（国际或国家）计量认证资质的市级以上国家法定计量检定机构出具的校准证书、检定证书。</w:t>
      </w:r>
    </w:p>
    <w:p w14:paraId="60987936">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1.10.2.2 仪表和自控设备的准确度应不受周围环境和安装位置的影响，任何生产过程中存在的正常振动，不应造成测量准确度的变化。仪表和自控设备的零点和重复性应非常稳定，并符合各专用技术规格书中的有关技术要求。</w:t>
      </w:r>
    </w:p>
    <w:p w14:paraId="467CFAB4">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1.10.2.3 项目验收时，投标方提供测量功能设备及计量器具资质合格证书，招标方根据实际情况进行相关复检，复检合格视为合格。</w:t>
      </w:r>
    </w:p>
    <w:p w14:paraId="4958A069">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ascii="仿宋" w:hAnsi="仿宋" w:eastAsia="仿宋" w:cs="仿宋"/>
          <w:sz w:val="24"/>
          <w:szCs w:val="24"/>
          <w:highlight w:val="none"/>
        </w:rPr>
      </w:pPr>
      <w:bookmarkStart w:id="56" w:name="_Toc5510"/>
      <w:bookmarkStart w:id="57" w:name="_Toc1291"/>
      <w:bookmarkStart w:id="58" w:name="_Toc31048"/>
      <w:bookmarkStart w:id="59" w:name="_Toc8799"/>
      <w:bookmarkStart w:id="60" w:name="_Toc28774"/>
      <w:bookmarkStart w:id="61" w:name="_Toc25422"/>
      <w:r>
        <w:rPr>
          <w:rFonts w:hint="eastAsia" w:ascii="仿宋" w:hAnsi="仿宋" w:eastAsia="仿宋" w:cs="仿宋"/>
          <w:sz w:val="24"/>
          <w:szCs w:val="24"/>
          <w:highlight w:val="none"/>
        </w:rPr>
        <w:t>1.10.3 材质要求: </w:t>
      </w:r>
      <w:bookmarkEnd w:id="56"/>
      <w:bookmarkEnd w:id="57"/>
      <w:bookmarkEnd w:id="58"/>
      <w:bookmarkEnd w:id="59"/>
      <w:bookmarkEnd w:id="60"/>
      <w:bookmarkEnd w:id="61"/>
    </w:p>
    <w:p w14:paraId="65E7B6C9">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投标人及供货商应保证所提供的仪表和自控设备在材料的使用方无任何设计问题，能够满足或高于实际操作和使用过程中的要求，如压力、温度、粘度、组份等的要求。应保证所有零部件的材质必须符合环境条件如湿度、温度以及防爆、防碰、防磁的要求。</w:t>
      </w:r>
    </w:p>
    <w:p w14:paraId="7C3D1781">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1.10.2.4涉及安全、工艺参数的传感器应可拆卸并具备送检条件，还应至少备份一个传感器送检期间使用，不影响设备正常使用。</w:t>
      </w:r>
    </w:p>
    <w:p w14:paraId="5FFC077B">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★1.11投标方所供设备应按“交钥匙工程”要求。</w:t>
      </w:r>
    </w:p>
    <w:p w14:paraId="0246F047">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hint="eastAsia" w:ascii="仿宋" w:hAnsi="仿宋" w:eastAsia="仿宋" w:cs="仿宋"/>
          <w:sz w:val="24"/>
          <w:szCs w:val="24"/>
          <w:highlight w:val="none"/>
        </w:rPr>
      </w:pPr>
      <w:bookmarkStart w:id="62" w:name="_Hlk69924518"/>
      <w:r>
        <w:rPr>
          <w:rFonts w:hint="eastAsia" w:ascii="仿宋" w:hAnsi="仿宋" w:eastAsia="仿宋" w:cs="仿宋"/>
          <w:sz w:val="24"/>
          <w:szCs w:val="24"/>
          <w:highlight w:val="none"/>
        </w:rPr>
        <w:t>2 执行标准</w:t>
      </w:r>
    </w:p>
    <w:bookmarkEnd w:id="62"/>
    <w:p w14:paraId="16F7F48B">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2.1  招标方此处所列标准仅为涉及的主要标准，而且不保证其为最新版执行标准；投标方应当在投标文件中予以补充和完善。</w:t>
      </w:r>
    </w:p>
    <w:p w14:paraId="786FF007">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2.2  投标方需要执行的标准，应当以所供设备通过招标方将来组织的最终验收之日后需要执行的标准。</w:t>
      </w:r>
    </w:p>
    <w:p w14:paraId="4DE2C7AE">
      <w:pPr>
        <w:pStyle w:val="16"/>
        <w:keepNext w:val="0"/>
        <w:keepLines w:val="0"/>
        <w:pageBreakBefore w:val="0"/>
        <w:widowControl w:val="0"/>
        <w:kinsoku/>
        <w:wordWrap/>
        <w:overflowPunct/>
        <w:topLinePunct w:val="0"/>
        <w:autoSpaceDE/>
        <w:autoSpaceDN/>
        <w:bidi w:val="0"/>
        <w:adjustRightInd/>
        <w:snapToGrid w:val="0"/>
        <w:spacing w:after="0" w:line="360" w:lineRule="auto"/>
        <w:ind w:firstLine="480" w:firstLineChars="200"/>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2.3  涉及的主要标准表（包含但不限于）</w:t>
      </w:r>
    </w:p>
    <w:tbl>
      <w:tblPr>
        <w:tblStyle w:val="30"/>
        <w:tblW w:w="87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0"/>
        <w:gridCol w:w="5348"/>
        <w:gridCol w:w="2081"/>
        <w:gridCol w:w="660"/>
      </w:tblGrid>
      <w:tr w14:paraId="5FD3F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noWrap w:val="0"/>
            <w:vAlign w:val="top"/>
          </w:tcPr>
          <w:p w14:paraId="526FC8F9">
            <w:pPr>
              <w:spacing w:line="360" w:lineRule="exact"/>
              <w:jc w:val="center"/>
              <w:rPr>
                <w:rFonts w:ascii="仿宋" w:hAnsi="仿宋" w:eastAsia="仿宋" w:cs="仿宋"/>
                <w:sz w:val="24"/>
                <w:szCs w:val="24"/>
                <w:highlight w:val="none"/>
              </w:rPr>
            </w:pPr>
            <w:r>
              <w:rPr>
                <w:rFonts w:hint="eastAsia" w:ascii="仿宋" w:hAnsi="仿宋" w:eastAsia="仿宋" w:cs="仿宋"/>
                <w:sz w:val="24"/>
                <w:szCs w:val="24"/>
                <w:highlight w:val="none"/>
                <w:lang w:bidi="ar"/>
              </w:rPr>
              <w:t>序号</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1105D229">
            <w:pPr>
              <w:spacing w:line="360" w:lineRule="exact"/>
              <w:jc w:val="center"/>
              <w:rPr>
                <w:rFonts w:ascii="仿宋" w:hAnsi="仿宋" w:eastAsia="仿宋" w:cs="仿宋"/>
                <w:sz w:val="24"/>
                <w:szCs w:val="24"/>
                <w:highlight w:val="none"/>
              </w:rPr>
            </w:pPr>
            <w:r>
              <w:rPr>
                <w:rFonts w:hint="eastAsia" w:ascii="仿宋" w:hAnsi="仿宋" w:eastAsia="仿宋" w:cs="仿宋"/>
                <w:sz w:val="24"/>
                <w:szCs w:val="24"/>
                <w:highlight w:val="none"/>
                <w:lang w:bidi="ar"/>
              </w:rPr>
              <w:t>标准名称</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376E4C4A">
            <w:pPr>
              <w:spacing w:line="360" w:lineRule="exact"/>
              <w:jc w:val="center"/>
              <w:rPr>
                <w:rFonts w:ascii="仿宋" w:hAnsi="仿宋" w:eastAsia="仿宋" w:cs="仿宋"/>
                <w:sz w:val="24"/>
                <w:szCs w:val="24"/>
                <w:highlight w:val="none"/>
              </w:rPr>
            </w:pPr>
            <w:r>
              <w:rPr>
                <w:rFonts w:hint="eastAsia" w:ascii="仿宋" w:hAnsi="仿宋" w:eastAsia="仿宋" w:cs="仿宋"/>
                <w:sz w:val="24"/>
                <w:szCs w:val="24"/>
                <w:highlight w:val="none"/>
                <w:lang w:bidi="ar"/>
              </w:rPr>
              <w:t>标准编号</w:t>
            </w:r>
          </w:p>
        </w:tc>
        <w:tc>
          <w:tcPr>
            <w:tcW w:w="660" w:type="dxa"/>
            <w:tcBorders>
              <w:top w:val="single" w:color="auto" w:sz="4" w:space="0"/>
              <w:left w:val="single" w:color="auto" w:sz="4" w:space="0"/>
              <w:bottom w:val="single" w:color="auto" w:sz="4" w:space="0"/>
              <w:right w:val="single" w:color="auto" w:sz="4" w:space="0"/>
            </w:tcBorders>
            <w:noWrap w:val="0"/>
            <w:vAlign w:val="top"/>
          </w:tcPr>
          <w:p w14:paraId="4897C149">
            <w:pPr>
              <w:spacing w:line="360" w:lineRule="exact"/>
              <w:jc w:val="center"/>
              <w:rPr>
                <w:rFonts w:ascii="仿宋" w:hAnsi="仿宋" w:eastAsia="仿宋" w:cs="仿宋"/>
                <w:sz w:val="24"/>
                <w:szCs w:val="24"/>
                <w:highlight w:val="none"/>
              </w:rPr>
            </w:pPr>
            <w:r>
              <w:rPr>
                <w:rFonts w:hint="eastAsia" w:ascii="仿宋" w:hAnsi="仿宋" w:eastAsia="仿宋" w:cs="仿宋"/>
                <w:sz w:val="24"/>
                <w:szCs w:val="24"/>
                <w:highlight w:val="none"/>
                <w:lang w:bidi="ar"/>
              </w:rPr>
              <w:t>备注</w:t>
            </w:r>
          </w:p>
        </w:tc>
      </w:tr>
      <w:tr w14:paraId="45D0A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013243D3">
            <w:pPr>
              <w:spacing w:line="360" w:lineRule="exact"/>
              <w:jc w:val="center"/>
              <w:rPr>
                <w:rFonts w:ascii="仿宋" w:hAnsi="仿宋" w:eastAsia="仿宋" w:cs="仿宋"/>
                <w:sz w:val="24"/>
                <w:szCs w:val="24"/>
                <w:highlight w:val="none"/>
              </w:rPr>
            </w:pPr>
            <w:r>
              <w:rPr>
                <w:rFonts w:hint="eastAsia" w:ascii="仿宋" w:hAnsi="仿宋" w:eastAsia="仿宋" w:cs="仿宋"/>
                <w:sz w:val="24"/>
                <w:szCs w:val="24"/>
                <w:highlight w:val="none"/>
                <w:lang w:bidi="ar"/>
              </w:rPr>
              <w:t>1</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0E78B01E">
            <w:pPr>
              <w:spacing w:line="360" w:lineRule="exact"/>
              <w:rPr>
                <w:rFonts w:ascii="仿宋" w:hAnsi="仿宋" w:eastAsia="仿宋" w:cs="仿宋"/>
                <w:sz w:val="24"/>
                <w:szCs w:val="24"/>
                <w:highlight w:val="none"/>
              </w:rPr>
            </w:pPr>
            <w:r>
              <w:rPr>
                <w:rFonts w:hint="eastAsia" w:ascii="仿宋" w:hAnsi="仿宋" w:eastAsia="仿宋" w:cs="仿宋"/>
                <w:sz w:val="24"/>
                <w:szCs w:val="24"/>
                <w:highlight w:val="none"/>
                <w:lang w:bidi="ar"/>
              </w:rPr>
              <w:t>电工成套装置中的导线颜色</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112CDC99">
            <w:pPr>
              <w:spacing w:line="360" w:lineRule="exact"/>
              <w:rPr>
                <w:rFonts w:ascii="仿宋" w:hAnsi="仿宋" w:eastAsia="仿宋" w:cs="仿宋"/>
                <w:sz w:val="24"/>
                <w:szCs w:val="24"/>
                <w:highlight w:val="none"/>
              </w:rPr>
            </w:pPr>
            <w:r>
              <w:rPr>
                <w:rFonts w:hint="eastAsia" w:ascii="仿宋" w:hAnsi="仿宋" w:eastAsia="仿宋" w:cs="仿宋"/>
                <w:sz w:val="24"/>
                <w:szCs w:val="24"/>
                <w:highlight w:val="none"/>
                <w:lang w:bidi="ar"/>
              </w:rPr>
              <w:t>GB/T2681-81</w:t>
            </w:r>
          </w:p>
        </w:tc>
        <w:tc>
          <w:tcPr>
            <w:tcW w:w="660" w:type="dxa"/>
            <w:vMerge w:val="restart"/>
            <w:tcBorders>
              <w:top w:val="single" w:color="auto" w:sz="4" w:space="0"/>
              <w:left w:val="single" w:color="auto" w:sz="4" w:space="0"/>
              <w:bottom w:val="single" w:color="auto" w:sz="4" w:space="0"/>
              <w:right w:val="single" w:color="auto" w:sz="4" w:space="0"/>
            </w:tcBorders>
            <w:noWrap w:val="0"/>
            <w:vAlign w:val="top"/>
          </w:tcPr>
          <w:p w14:paraId="496CDBAF">
            <w:pPr>
              <w:spacing w:line="360" w:lineRule="exact"/>
              <w:rPr>
                <w:rFonts w:ascii="仿宋" w:hAnsi="仿宋" w:eastAsia="仿宋" w:cs="仿宋"/>
                <w:color w:val="FF0000"/>
                <w:sz w:val="24"/>
                <w:szCs w:val="24"/>
                <w:highlight w:val="none"/>
              </w:rPr>
            </w:pPr>
          </w:p>
        </w:tc>
      </w:tr>
      <w:tr w14:paraId="610CC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784F607D">
            <w:pPr>
              <w:spacing w:line="360" w:lineRule="exact"/>
              <w:jc w:val="center"/>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2</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4FF1E12D">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电工成套装置中的指示灯和按钮的颜色</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7756009A">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GB/T2682-81</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21A544F9">
            <w:pPr>
              <w:rPr>
                <w:rFonts w:ascii="仿宋" w:hAnsi="仿宋" w:eastAsia="仿宋" w:cs="仿宋"/>
                <w:sz w:val="24"/>
                <w:szCs w:val="24"/>
                <w:highlight w:val="none"/>
              </w:rPr>
            </w:pPr>
          </w:p>
        </w:tc>
      </w:tr>
      <w:tr w14:paraId="64D72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4AB01BA9">
            <w:pPr>
              <w:spacing w:line="360" w:lineRule="exact"/>
              <w:jc w:val="center"/>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3</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688C72F7">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电能质量公用电网谐波</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58FE7FAA">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GB/T14549-93</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35266A13">
            <w:pPr>
              <w:rPr>
                <w:rFonts w:ascii="仿宋" w:hAnsi="仿宋" w:eastAsia="仿宋" w:cs="仿宋"/>
                <w:sz w:val="24"/>
                <w:szCs w:val="24"/>
                <w:highlight w:val="none"/>
              </w:rPr>
            </w:pPr>
          </w:p>
        </w:tc>
      </w:tr>
      <w:tr w14:paraId="047B5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6CDC1322">
            <w:pPr>
              <w:spacing w:line="360" w:lineRule="exact"/>
              <w:jc w:val="center"/>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4</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39C26E39">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金属切削机床安全防护通用技术条件</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1F883736">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GB15760</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1CA5DCF8">
            <w:pPr>
              <w:rPr>
                <w:rFonts w:ascii="仿宋" w:hAnsi="仿宋" w:eastAsia="仿宋" w:cs="仿宋"/>
                <w:sz w:val="24"/>
                <w:szCs w:val="24"/>
                <w:highlight w:val="none"/>
              </w:rPr>
            </w:pPr>
          </w:p>
        </w:tc>
      </w:tr>
      <w:tr w14:paraId="54C28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0252AEDE">
            <w:pPr>
              <w:spacing w:line="360" w:lineRule="exact"/>
              <w:jc w:val="center"/>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5</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5BA7AB2E">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金属切削机床通用技术条件</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6D2D5FB5">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GB/T9061</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10EE233A">
            <w:pPr>
              <w:rPr>
                <w:rFonts w:ascii="仿宋" w:hAnsi="仿宋" w:eastAsia="仿宋" w:cs="仿宋"/>
                <w:sz w:val="24"/>
                <w:szCs w:val="24"/>
                <w:highlight w:val="none"/>
              </w:rPr>
            </w:pPr>
          </w:p>
        </w:tc>
      </w:tr>
      <w:tr w14:paraId="41344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0F64E63E">
            <w:pPr>
              <w:spacing w:line="360" w:lineRule="exact"/>
              <w:jc w:val="center"/>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6</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64400058">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机床电气通用技术条件</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339B05CA">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GB5226</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744BD97F">
            <w:pPr>
              <w:rPr>
                <w:rFonts w:ascii="仿宋" w:hAnsi="仿宋" w:eastAsia="仿宋" w:cs="仿宋"/>
                <w:sz w:val="24"/>
                <w:szCs w:val="24"/>
                <w:highlight w:val="none"/>
              </w:rPr>
            </w:pPr>
          </w:p>
        </w:tc>
      </w:tr>
      <w:tr w14:paraId="7D319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24CC8226">
            <w:pPr>
              <w:spacing w:line="360" w:lineRule="exact"/>
              <w:jc w:val="center"/>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7</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2909653B">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fldChar w:fldCharType="begin"/>
            </w:r>
            <w:r>
              <w:rPr>
                <w:rFonts w:hint="eastAsia" w:ascii="仿宋" w:hAnsi="仿宋" w:eastAsia="仿宋" w:cs="仿宋"/>
                <w:sz w:val="24"/>
                <w:szCs w:val="24"/>
                <w:highlight w:val="none"/>
                <w:lang w:bidi="ar"/>
              </w:rPr>
              <w:instrText xml:space="preserve"> HYPERLINK "http://wenku.baidu.com/view/db95ac1014791711cc791788.html" \t "F:/工艺工程部/项目/2021年固定资产投资/工艺院批复项目/标书/_blank" </w:instrText>
            </w:r>
            <w:r>
              <w:rPr>
                <w:rFonts w:hint="eastAsia" w:ascii="仿宋" w:hAnsi="仿宋" w:eastAsia="仿宋" w:cs="仿宋"/>
                <w:sz w:val="24"/>
                <w:szCs w:val="24"/>
                <w:highlight w:val="none"/>
                <w:lang w:bidi="ar"/>
              </w:rPr>
              <w:fldChar w:fldCharType="separate"/>
            </w:r>
            <w:r>
              <w:rPr>
                <w:rFonts w:hint="eastAsia" w:ascii="仿宋" w:hAnsi="仿宋" w:eastAsia="仿宋" w:cs="仿宋"/>
                <w:sz w:val="24"/>
                <w:szCs w:val="24"/>
                <w:highlight w:val="none"/>
                <w:lang w:bidi="ar"/>
              </w:rPr>
              <w:t>机械设备防护罩安全标准</w:t>
            </w:r>
            <w:r>
              <w:rPr>
                <w:rFonts w:hint="eastAsia" w:ascii="仿宋" w:hAnsi="仿宋" w:eastAsia="仿宋" w:cs="仿宋"/>
                <w:sz w:val="24"/>
                <w:szCs w:val="24"/>
                <w:highlight w:val="none"/>
                <w:lang w:bidi="ar"/>
              </w:rPr>
              <w:fldChar w:fldCharType="end"/>
            </w:r>
          </w:p>
        </w:tc>
        <w:tc>
          <w:tcPr>
            <w:tcW w:w="2081" w:type="dxa"/>
            <w:tcBorders>
              <w:top w:val="single" w:color="auto" w:sz="4" w:space="0"/>
              <w:left w:val="single" w:color="auto" w:sz="4" w:space="0"/>
              <w:bottom w:val="single" w:color="auto" w:sz="4" w:space="0"/>
              <w:right w:val="single" w:color="auto" w:sz="4" w:space="0"/>
            </w:tcBorders>
            <w:noWrap w:val="0"/>
            <w:vAlign w:val="top"/>
          </w:tcPr>
          <w:p w14:paraId="3C78550B">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GB8196-2003</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1B1BB68F">
            <w:pPr>
              <w:rPr>
                <w:rFonts w:ascii="仿宋" w:hAnsi="仿宋" w:eastAsia="仿宋" w:cs="仿宋"/>
                <w:sz w:val="24"/>
                <w:szCs w:val="24"/>
                <w:highlight w:val="none"/>
              </w:rPr>
            </w:pPr>
          </w:p>
        </w:tc>
      </w:tr>
      <w:tr w14:paraId="248BD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7B37E960">
            <w:pPr>
              <w:spacing w:line="360" w:lineRule="exact"/>
              <w:jc w:val="center"/>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8</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3BF11367">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机械安全 防止上下肢触及危险区的安全距离</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4C2BE802">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GB</w:t>
            </w:r>
            <w:r>
              <w:rPr>
                <w:rFonts w:hint="eastAsia" w:ascii="仿宋" w:hAnsi="仿宋" w:eastAsia="仿宋" w:cs="仿宋"/>
                <w:sz w:val="24"/>
                <w:szCs w:val="24"/>
                <w:highlight w:val="none"/>
                <w:lang w:val="en-US" w:eastAsia="zh-CN" w:bidi="ar"/>
              </w:rPr>
              <w:t>/T</w:t>
            </w:r>
            <w:r>
              <w:rPr>
                <w:rFonts w:hint="eastAsia" w:ascii="仿宋" w:hAnsi="仿宋" w:eastAsia="仿宋" w:cs="仿宋"/>
                <w:sz w:val="24"/>
                <w:szCs w:val="24"/>
                <w:highlight w:val="none"/>
                <w:lang w:bidi="ar"/>
              </w:rPr>
              <w:t>23821-20</w:t>
            </w:r>
            <w:r>
              <w:rPr>
                <w:rFonts w:hint="eastAsia" w:ascii="仿宋" w:hAnsi="仿宋" w:eastAsia="仿宋" w:cs="仿宋"/>
                <w:sz w:val="24"/>
                <w:szCs w:val="24"/>
                <w:highlight w:val="none"/>
                <w:lang w:val="en-US" w:eastAsia="zh-CN" w:bidi="ar"/>
              </w:rPr>
              <w:t>22</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0DC3701B">
            <w:pPr>
              <w:rPr>
                <w:rFonts w:ascii="仿宋" w:hAnsi="仿宋" w:eastAsia="仿宋" w:cs="仿宋"/>
                <w:sz w:val="24"/>
                <w:szCs w:val="24"/>
                <w:highlight w:val="none"/>
              </w:rPr>
            </w:pPr>
          </w:p>
        </w:tc>
      </w:tr>
      <w:tr w14:paraId="7DDD3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411DF6CB">
            <w:pPr>
              <w:spacing w:line="360" w:lineRule="exact"/>
              <w:jc w:val="center"/>
              <w:rPr>
                <w:rFonts w:hint="eastAsia" w:ascii="仿宋" w:hAnsi="仿宋" w:eastAsia="仿宋" w:cs="仿宋"/>
                <w:sz w:val="24"/>
                <w:szCs w:val="24"/>
                <w:highlight w:val="none"/>
                <w:lang w:val="en-US" w:eastAsia="zh-CN" w:bidi="ar"/>
              </w:rPr>
            </w:pPr>
            <w:r>
              <w:rPr>
                <w:rFonts w:hint="eastAsia" w:ascii="仿宋" w:hAnsi="仿宋" w:eastAsia="仿宋" w:cs="仿宋"/>
                <w:sz w:val="24"/>
                <w:szCs w:val="24"/>
                <w:highlight w:val="none"/>
                <w:lang w:val="en-US" w:eastAsia="zh-CN" w:bidi="ar"/>
              </w:rPr>
              <w:t>9</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59891B1F">
            <w:pPr>
              <w:spacing w:line="360" w:lineRule="exact"/>
              <w:rPr>
                <w:rFonts w:hint="eastAsia" w:ascii="仿宋" w:hAnsi="仿宋" w:eastAsia="仿宋" w:cs="仿宋"/>
                <w:sz w:val="24"/>
                <w:szCs w:val="24"/>
                <w:highlight w:val="none"/>
                <w:lang w:val="en-US" w:eastAsia="zh-CN" w:bidi="ar"/>
              </w:rPr>
            </w:pPr>
            <w:r>
              <w:rPr>
                <w:rFonts w:hint="eastAsia" w:ascii="仿宋" w:hAnsi="仿宋" w:eastAsia="仿宋" w:cs="仿宋"/>
                <w:sz w:val="24"/>
                <w:szCs w:val="24"/>
                <w:highlight w:val="none"/>
                <w:lang w:bidi="ar"/>
              </w:rPr>
              <w:t>机械安全 双手操纵装置 设计和选择原则</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0A705078">
            <w:pPr>
              <w:spacing w:line="360" w:lineRule="exact"/>
              <w:rPr>
                <w:rFonts w:hint="eastAsia" w:ascii="仿宋" w:hAnsi="仿宋" w:eastAsia="仿宋" w:cs="仿宋"/>
                <w:sz w:val="24"/>
                <w:szCs w:val="24"/>
                <w:highlight w:val="none"/>
                <w:lang w:val="en-US" w:eastAsia="zh-CN" w:bidi="ar"/>
              </w:rPr>
            </w:pPr>
            <w:r>
              <w:rPr>
                <w:rFonts w:hint="eastAsia" w:ascii="仿宋" w:hAnsi="仿宋" w:eastAsia="仿宋" w:cs="仿宋"/>
                <w:sz w:val="24"/>
                <w:szCs w:val="24"/>
                <w:highlight w:val="none"/>
                <w:lang w:bidi="ar"/>
              </w:rPr>
              <w:t>GB</w:t>
            </w:r>
            <w:r>
              <w:rPr>
                <w:rFonts w:hint="eastAsia" w:ascii="仿宋" w:hAnsi="仿宋" w:eastAsia="仿宋" w:cs="仿宋"/>
                <w:sz w:val="24"/>
                <w:szCs w:val="24"/>
                <w:highlight w:val="none"/>
                <w:lang w:val="en-US" w:eastAsia="zh-CN" w:bidi="ar"/>
              </w:rPr>
              <w:t>/T19671</w:t>
            </w:r>
            <w:r>
              <w:rPr>
                <w:rFonts w:hint="eastAsia" w:ascii="仿宋" w:hAnsi="仿宋" w:eastAsia="仿宋" w:cs="仿宋"/>
                <w:sz w:val="24"/>
                <w:szCs w:val="24"/>
                <w:highlight w:val="none"/>
                <w:lang w:bidi="ar"/>
              </w:rPr>
              <w:t>-20</w:t>
            </w:r>
            <w:r>
              <w:rPr>
                <w:rFonts w:hint="eastAsia" w:ascii="仿宋" w:hAnsi="仿宋" w:eastAsia="仿宋" w:cs="仿宋"/>
                <w:sz w:val="24"/>
                <w:szCs w:val="24"/>
                <w:highlight w:val="none"/>
                <w:lang w:val="en-US" w:eastAsia="zh-CN" w:bidi="ar"/>
              </w:rPr>
              <w:t>22</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5500A068">
            <w:pPr>
              <w:rPr>
                <w:rFonts w:ascii="仿宋" w:hAnsi="仿宋" w:eastAsia="仿宋" w:cs="仿宋"/>
                <w:sz w:val="24"/>
                <w:szCs w:val="24"/>
                <w:highlight w:val="none"/>
              </w:rPr>
            </w:pPr>
          </w:p>
        </w:tc>
      </w:tr>
      <w:tr w14:paraId="3D3DC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463647D5">
            <w:pPr>
              <w:spacing w:line="360" w:lineRule="exact"/>
              <w:jc w:val="center"/>
              <w:rPr>
                <w:rFonts w:hint="default" w:ascii="仿宋" w:hAnsi="仿宋" w:eastAsia="仿宋" w:cs="仿宋"/>
                <w:sz w:val="24"/>
                <w:szCs w:val="24"/>
                <w:highlight w:val="none"/>
                <w:lang w:val="en-US" w:eastAsia="zh-CN" w:bidi="ar"/>
              </w:rPr>
            </w:pPr>
            <w:r>
              <w:rPr>
                <w:rFonts w:hint="eastAsia" w:ascii="仿宋" w:hAnsi="仿宋" w:eastAsia="仿宋" w:cs="仿宋"/>
                <w:sz w:val="24"/>
                <w:szCs w:val="24"/>
                <w:highlight w:val="none"/>
                <w:lang w:val="en-US" w:eastAsia="zh-CN" w:bidi="ar"/>
              </w:rPr>
              <w:t>10</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2AD41012">
            <w:pPr>
              <w:spacing w:line="360" w:lineRule="exact"/>
              <w:rPr>
                <w:rFonts w:hint="eastAsia" w:ascii="仿宋" w:hAnsi="仿宋" w:eastAsia="仿宋" w:cs="仿宋"/>
                <w:sz w:val="24"/>
                <w:szCs w:val="24"/>
                <w:highlight w:val="none"/>
                <w:lang w:val="en-US" w:eastAsia="zh-CN" w:bidi="ar"/>
              </w:rPr>
            </w:pPr>
            <w:r>
              <w:rPr>
                <w:rFonts w:hint="eastAsia" w:ascii="仿宋" w:hAnsi="仿宋" w:eastAsia="仿宋" w:cs="仿宋"/>
                <w:sz w:val="24"/>
                <w:szCs w:val="24"/>
                <w:highlight w:val="none"/>
                <w:lang w:bidi="ar"/>
              </w:rPr>
              <w:t>机械安全 安全防护的实施准则</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0EB957BB">
            <w:pPr>
              <w:spacing w:line="360" w:lineRule="exact"/>
              <w:rPr>
                <w:rFonts w:hint="eastAsia" w:ascii="仿宋" w:hAnsi="仿宋" w:eastAsia="仿宋" w:cs="仿宋"/>
                <w:sz w:val="24"/>
                <w:szCs w:val="24"/>
                <w:highlight w:val="none"/>
                <w:lang w:val="en-US" w:eastAsia="zh-CN" w:bidi="ar"/>
              </w:rPr>
            </w:pPr>
            <w:r>
              <w:rPr>
                <w:rFonts w:hint="eastAsia" w:ascii="仿宋" w:hAnsi="仿宋" w:eastAsia="仿宋" w:cs="仿宋"/>
                <w:sz w:val="24"/>
                <w:szCs w:val="24"/>
                <w:highlight w:val="none"/>
                <w:lang w:bidi="ar"/>
              </w:rPr>
              <w:t>GB</w:t>
            </w:r>
            <w:r>
              <w:rPr>
                <w:rFonts w:hint="eastAsia" w:ascii="仿宋" w:hAnsi="仿宋" w:eastAsia="仿宋" w:cs="仿宋"/>
                <w:sz w:val="24"/>
                <w:szCs w:val="24"/>
                <w:highlight w:val="none"/>
                <w:lang w:val="en-US" w:eastAsia="zh-CN" w:bidi="ar"/>
              </w:rPr>
              <w:t>/T30574</w:t>
            </w:r>
            <w:r>
              <w:rPr>
                <w:rFonts w:hint="eastAsia" w:ascii="仿宋" w:hAnsi="仿宋" w:eastAsia="仿宋" w:cs="仿宋"/>
                <w:sz w:val="24"/>
                <w:szCs w:val="24"/>
                <w:highlight w:val="none"/>
                <w:lang w:bidi="ar"/>
              </w:rPr>
              <w:t>-20</w:t>
            </w:r>
            <w:r>
              <w:rPr>
                <w:rFonts w:hint="eastAsia" w:ascii="仿宋" w:hAnsi="仿宋" w:eastAsia="仿宋" w:cs="仿宋"/>
                <w:sz w:val="24"/>
                <w:szCs w:val="24"/>
                <w:highlight w:val="none"/>
                <w:lang w:val="en-US" w:eastAsia="zh-CN" w:bidi="ar"/>
              </w:rPr>
              <w:t>21</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45E5BEFB">
            <w:pPr>
              <w:rPr>
                <w:rFonts w:ascii="仿宋" w:hAnsi="仿宋" w:eastAsia="仿宋" w:cs="仿宋"/>
                <w:sz w:val="24"/>
                <w:szCs w:val="24"/>
                <w:highlight w:val="none"/>
              </w:rPr>
            </w:pPr>
          </w:p>
        </w:tc>
      </w:tr>
      <w:tr w14:paraId="27660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3A13CD14">
            <w:pPr>
              <w:spacing w:line="360" w:lineRule="exact"/>
              <w:jc w:val="center"/>
              <w:rPr>
                <w:rFonts w:hint="default" w:ascii="仿宋" w:hAnsi="仿宋" w:eastAsia="仿宋" w:cs="仿宋"/>
                <w:sz w:val="24"/>
                <w:szCs w:val="24"/>
                <w:highlight w:val="none"/>
                <w:lang w:val="en-US" w:eastAsia="zh-CN" w:bidi="ar"/>
              </w:rPr>
            </w:pPr>
            <w:r>
              <w:rPr>
                <w:rFonts w:hint="eastAsia" w:ascii="仿宋" w:hAnsi="仿宋" w:eastAsia="仿宋" w:cs="仿宋"/>
                <w:sz w:val="24"/>
                <w:szCs w:val="24"/>
                <w:highlight w:val="none"/>
                <w:lang w:val="en-US" w:eastAsia="zh-CN" w:bidi="ar"/>
              </w:rPr>
              <w:t>11</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7128C214">
            <w:pPr>
              <w:spacing w:line="360" w:lineRule="exact"/>
              <w:rPr>
                <w:rFonts w:hint="eastAsia" w:ascii="仿宋" w:hAnsi="仿宋" w:eastAsia="仿宋" w:cs="仿宋"/>
                <w:sz w:val="24"/>
                <w:szCs w:val="24"/>
                <w:highlight w:val="none"/>
                <w:lang w:val="en-US" w:eastAsia="zh-CN" w:bidi="ar"/>
              </w:rPr>
            </w:pPr>
            <w:r>
              <w:rPr>
                <w:rFonts w:hint="eastAsia" w:ascii="仿宋" w:hAnsi="仿宋" w:eastAsia="仿宋" w:cs="仿宋"/>
                <w:sz w:val="24"/>
                <w:szCs w:val="24"/>
                <w:highlight w:val="none"/>
                <w:lang w:bidi="ar"/>
              </w:rPr>
              <w:t>机械安全 接近机械的固定设施 </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6FC2CFE8">
            <w:pPr>
              <w:spacing w:line="360" w:lineRule="exact"/>
              <w:rPr>
                <w:rFonts w:hint="eastAsia" w:ascii="仿宋" w:hAnsi="仿宋" w:eastAsia="仿宋" w:cs="仿宋"/>
                <w:sz w:val="24"/>
                <w:szCs w:val="24"/>
                <w:highlight w:val="none"/>
                <w:lang w:val="en-US" w:eastAsia="zh-CN" w:bidi="ar"/>
              </w:rPr>
            </w:pPr>
            <w:r>
              <w:rPr>
                <w:rFonts w:hint="eastAsia" w:ascii="仿宋" w:hAnsi="仿宋" w:eastAsia="仿宋" w:cs="仿宋"/>
                <w:sz w:val="24"/>
                <w:szCs w:val="24"/>
                <w:highlight w:val="none"/>
                <w:lang w:bidi="ar"/>
              </w:rPr>
              <w:t>GB/T 17888-2020</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0335FD95">
            <w:pPr>
              <w:rPr>
                <w:rFonts w:ascii="仿宋" w:hAnsi="仿宋" w:eastAsia="仿宋" w:cs="仿宋"/>
                <w:sz w:val="24"/>
                <w:szCs w:val="24"/>
                <w:highlight w:val="none"/>
              </w:rPr>
            </w:pPr>
          </w:p>
        </w:tc>
      </w:tr>
      <w:tr w14:paraId="62CE3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23BB22C1">
            <w:pPr>
              <w:spacing w:line="360" w:lineRule="exact"/>
              <w:jc w:val="center"/>
              <w:rPr>
                <w:rFonts w:hint="default" w:ascii="仿宋" w:hAnsi="仿宋" w:eastAsia="仿宋" w:cs="仿宋"/>
                <w:sz w:val="24"/>
                <w:szCs w:val="24"/>
                <w:highlight w:val="none"/>
                <w:lang w:val="en-US" w:eastAsia="zh-CN" w:bidi="ar"/>
              </w:rPr>
            </w:pPr>
            <w:r>
              <w:rPr>
                <w:rFonts w:hint="eastAsia" w:ascii="仿宋" w:hAnsi="仿宋" w:eastAsia="仿宋" w:cs="仿宋"/>
                <w:sz w:val="24"/>
                <w:szCs w:val="24"/>
                <w:highlight w:val="none"/>
                <w:lang w:val="en-US" w:eastAsia="zh-CN" w:bidi="ar"/>
              </w:rPr>
              <w:t>12</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60EE4EE0">
            <w:pPr>
              <w:spacing w:line="360" w:lineRule="exact"/>
              <w:rPr>
                <w:rFonts w:hint="eastAsia" w:ascii="仿宋" w:hAnsi="仿宋" w:eastAsia="仿宋" w:cs="仿宋"/>
                <w:sz w:val="24"/>
                <w:szCs w:val="24"/>
                <w:highlight w:val="none"/>
                <w:lang w:val="en-US" w:eastAsia="zh-CN" w:bidi="ar"/>
              </w:rPr>
            </w:pPr>
            <w:r>
              <w:rPr>
                <w:rFonts w:hint="eastAsia" w:ascii="仿宋" w:hAnsi="仿宋" w:eastAsia="仿宋" w:cs="仿宋"/>
                <w:sz w:val="24"/>
                <w:szCs w:val="24"/>
                <w:highlight w:val="none"/>
                <w:lang w:bidi="ar"/>
              </w:rPr>
              <w:t>《工业企业设计</w:t>
            </w:r>
            <w:r>
              <w:rPr>
                <w:rFonts w:hint="eastAsia" w:ascii="仿宋" w:hAnsi="仿宋" w:eastAsia="仿宋" w:cs="仿宋"/>
                <w:sz w:val="24"/>
                <w:szCs w:val="24"/>
                <w:highlight w:val="none"/>
                <w:lang w:eastAsia="zh-CN" w:bidi="ar"/>
              </w:rPr>
              <w:t>卫生标准</w:t>
            </w:r>
            <w:r>
              <w:rPr>
                <w:rFonts w:hint="eastAsia" w:ascii="仿宋" w:hAnsi="仿宋" w:eastAsia="仿宋" w:cs="仿宋"/>
                <w:sz w:val="24"/>
                <w:szCs w:val="24"/>
                <w:highlight w:val="none"/>
                <w:lang w:bidi="ar"/>
              </w:rPr>
              <w:t>》</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506ACD4B">
            <w:pPr>
              <w:spacing w:line="360" w:lineRule="exact"/>
              <w:rPr>
                <w:rFonts w:hint="eastAsia" w:ascii="仿宋" w:hAnsi="仿宋" w:eastAsia="仿宋" w:cs="仿宋"/>
                <w:sz w:val="24"/>
                <w:szCs w:val="24"/>
                <w:highlight w:val="none"/>
                <w:lang w:val="en-US" w:eastAsia="zh-CN" w:bidi="ar"/>
              </w:rPr>
            </w:pPr>
            <w:r>
              <w:rPr>
                <w:rFonts w:hint="eastAsia" w:ascii="仿宋" w:hAnsi="仿宋" w:eastAsia="仿宋" w:cs="仿宋"/>
                <w:sz w:val="24"/>
                <w:szCs w:val="24"/>
                <w:highlight w:val="none"/>
                <w:lang w:bidi="ar"/>
              </w:rPr>
              <w:t>GB</w:t>
            </w:r>
            <w:r>
              <w:rPr>
                <w:rFonts w:hint="eastAsia" w:ascii="仿宋" w:hAnsi="仿宋" w:eastAsia="仿宋" w:cs="仿宋"/>
                <w:sz w:val="24"/>
                <w:szCs w:val="24"/>
                <w:highlight w:val="none"/>
                <w:lang w:val="en-US" w:eastAsia="zh-CN" w:bidi="ar"/>
              </w:rPr>
              <w:t>Z 1</w:t>
            </w:r>
            <w:r>
              <w:rPr>
                <w:rFonts w:hint="eastAsia" w:ascii="仿宋" w:hAnsi="仿宋" w:eastAsia="仿宋" w:cs="仿宋"/>
                <w:sz w:val="24"/>
                <w:szCs w:val="24"/>
                <w:highlight w:val="none"/>
                <w:lang w:bidi="ar"/>
              </w:rPr>
              <w:t>-</w:t>
            </w:r>
            <w:r>
              <w:rPr>
                <w:rFonts w:hint="eastAsia" w:ascii="仿宋" w:hAnsi="仿宋" w:eastAsia="仿宋" w:cs="仿宋"/>
                <w:sz w:val="24"/>
                <w:szCs w:val="24"/>
                <w:highlight w:val="none"/>
                <w:lang w:val="en-US" w:eastAsia="zh-CN" w:bidi="ar"/>
              </w:rPr>
              <w:t>2002</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660215A0">
            <w:pPr>
              <w:rPr>
                <w:rFonts w:ascii="仿宋" w:hAnsi="仿宋" w:eastAsia="仿宋" w:cs="仿宋"/>
                <w:sz w:val="24"/>
                <w:szCs w:val="24"/>
                <w:highlight w:val="none"/>
              </w:rPr>
            </w:pPr>
          </w:p>
        </w:tc>
      </w:tr>
      <w:tr w14:paraId="26703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041FE442">
            <w:pPr>
              <w:spacing w:line="360" w:lineRule="exact"/>
              <w:jc w:val="center"/>
              <w:rPr>
                <w:rFonts w:hint="default" w:ascii="仿宋" w:hAnsi="仿宋" w:eastAsia="仿宋" w:cs="仿宋"/>
                <w:sz w:val="24"/>
                <w:szCs w:val="24"/>
                <w:highlight w:val="none"/>
                <w:lang w:val="en-US" w:eastAsia="zh-CN" w:bidi="ar"/>
              </w:rPr>
            </w:pPr>
            <w:r>
              <w:rPr>
                <w:rFonts w:hint="eastAsia" w:ascii="仿宋" w:hAnsi="仿宋" w:eastAsia="仿宋" w:cs="仿宋"/>
                <w:sz w:val="24"/>
                <w:szCs w:val="24"/>
                <w:highlight w:val="none"/>
                <w:lang w:val="en-US" w:eastAsia="zh-CN" w:bidi="ar"/>
              </w:rPr>
              <w:t>13</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0AB8C81F">
            <w:pPr>
              <w:spacing w:line="360" w:lineRule="exact"/>
              <w:rPr>
                <w:rFonts w:hint="eastAsia" w:ascii="仿宋" w:hAnsi="仿宋" w:eastAsia="仿宋" w:cs="仿宋"/>
                <w:sz w:val="24"/>
                <w:szCs w:val="24"/>
                <w:highlight w:val="none"/>
                <w:lang w:val="en-US" w:eastAsia="zh-CN" w:bidi="ar"/>
              </w:rPr>
            </w:pPr>
            <w:r>
              <w:rPr>
                <w:rFonts w:hint="eastAsia" w:ascii="仿宋" w:hAnsi="仿宋" w:eastAsia="仿宋" w:cs="仿宋"/>
                <w:sz w:val="24"/>
                <w:szCs w:val="24"/>
                <w:highlight w:val="none"/>
                <w:lang w:bidi="ar"/>
              </w:rPr>
              <w:t>《工业企业噪声控制设计规范》</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510847FB">
            <w:pPr>
              <w:spacing w:line="360" w:lineRule="exact"/>
              <w:rPr>
                <w:rFonts w:hint="eastAsia" w:ascii="仿宋" w:hAnsi="仿宋" w:eastAsia="仿宋" w:cs="仿宋"/>
                <w:sz w:val="24"/>
                <w:szCs w:val="24"/>
                <w:highlight w:val="none"/>
                <w:lang w:val="en-US" w:eastAsia="zh-CN" w:bidi="ar"/>
              </w:rPr>
            </w:pPr>
            <w:r>
              <w:rPr>
                <w:rFonts w:hint="eastAsia" w:ascii="仿宋" w:hAnsi="仿宋" w:eastAsia="仿宋" w:cs="仿宋"/>
                <w:sz w:val="24"/>
                <w:szCs w:val="24"/>
                <w:highlight w:val="none"/>
                <w:lang w:bidi="ar"/>
              </w:rPr>
              <w:t>GB</w:t>
            </w:r>
            <w:r>
              <w:rPr>
                <w:rFonts w:hint="eastAsia" w:ascii="仿宋" w:hAnsi="仿宋" w:eastAsia="仿宋" w:cs="仿宋"/>
                <w:sz w:val="24"/>
                <w:szCs w:val="24"/>
                <w:highlight w:val="none"/>
                <w:lang w:val="en-US" w:eastAsia="zh-CN" w:bidi="ar"/>
              </w:rPr>
              <w:t>/T500</w:t>
            </w:r>
            <w:r>
              <w:rPr>
                <w:rFonts w:hint="eastAsia" w:ascii="仿宋" w:hAnsi="仿宋" w:eastAsia="仿宋" w:cs="仿宋"/>
                <w:sz w:val="24"/>
                <w:szCs w:val="24"/>
                <w:highlight w:val="none"/>
                <w:lang w:bidi="ar"/>
              </w:rPr>
              <w:t>87-</w:t>
            </w:r>
            <w:r>
              <w:rPr>
                <w:rFonts w:hint="eastAsia" w:ascii="仿宋" w:hAnsi="仿宋" w:eastAsia="仿宋" w:cs="仿宋"/>
                <w:sz w:val="24"/>
                <w:szCs w:val="24"/>
                <w:highlight w:val="none"/>
                <w:lang w:val="en-US" w:eastAsia="zh-CN" w:bidi="ar"/>
              </w:rPr>
              <w:t>2013</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5B8A7A68">
            <w:pPr>
              <w:rPr>
                <w:rFonts w:ascii="仿宋" w:hAnsi="仿宋" w:eastAsia="仿宋" w:cs="仿宋"/>
                <w:sz w:val="24"/>
                <w:szCs w:val="24"/>
                <w:highlight w:val="none"/>
              </w:rPr>
            </w:pPr>
          </w:p>
        </w:tc>
      </w:tr>
      <w:tr w14:paraId="7C7B7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1A5A54A8">
            <w:pPr>
              <w:spacing w:line="360" w:lineRule="exact"/>
              <w:jc w:val="center"/>
              <w:rPr>
                <w:rFonts w:hint="default" w:ascii="仿宋" w:hAnsi="仿宋" w:eastAsia="仿宋" w:cs="仿宋"/>
                <w:sz w:val="24"/>
                <w:szCs w:val="24"/>
                <w:highlight w:val="none"/>
                <w:lang w:val="en-US" w:eastAsia="zh-CN" w:bidi="ar"/>
              </w:rPr>
            </w:pPr>
            <w:r>
              <w:rPr>
                <w:rFonts w:hint="eastAsia" w:ascii="仿宋" w:hAnsi="仿宋" w:eastAsia="仿宋" w:cs="仿宋"/>
                <w:sz w:val="24"/>
                <w:szCs w:val="24"/>
                <w:highlight w:val="none"/>
                <w:lang w:val="en-US" w:eastAsia="zh-CN" w:bidi="ar"/>
              </w:rPr>
              <w:t>14</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1DAD8A72">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《工业企业噪声测量规范》</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07FC2ED5">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GBJ122-88</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1517FDB3">
            <w:pPr>
              <w:rPr>
                <w:rFonts w:ascii="仿宋" w:hAnsi="仿宋" w:eastAsia="仿宋" w:cs="仿宋"/>
                <w:sz w:val="24"/>
                <w:szCs w:val="24"/>
                <w:highlight w:val="none"/>
              </w:rPr>
            </w:pPr>
          </w:p>
        </w:tc>
      </w:tr>
      <w:tr w14:paraId="6F7F0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2B9F71AC">
            <w:pPr>
              <w:spacing w:line="360" w:lineRule="exact"/>
              <w:jc w:val="center"/>
              <w:rPr>
                <w:rFonts w:hint="default" w:ascii="仿宋" w:hAnsi="仿宋" w:eastAsia="仿宋" w:cs="仿宋"/>
                <w:sz w:val="24"/>
                <w:szCs w:val="24"/>
                <w:highlight w:val="none"/>
                <w:lang w:val="en-US" w:eastAsia="zh-CN" w:bidi="ar"/>
              </w:rPr>
            </w:pPr>
            <w:r>
              <w:rPr>
                <w:rFonts w:hint="eastAsia" w:ascii="仿宋" w:hAnsi="仿宋" w:eastAsia="仿宋" w:cs="仿宋"/>
                <w:sz w:val="24"/>
                <w:szCs w:val="24"/>
                <w:highlight w:val="none"/>
                <w:lang w:val="en-US" w:eastAsia="zh-CN" w:bidi="ar"/>
              </w:rPr>
              <w:t>15</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357DBE8D">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工作场所物理因素测量</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7302270D">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GBZ/T189.1-2007</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0B49B4D0">
            <w:pPr>
              <w:rPr>
                <w:rFonts w:ascii="仿宋" w:hAnsi="仿宋" w:eastAsia="仿宋" w:cs="仿宋"/>
                <w:sz w:val="24"/>
                <w:szCs w:val="24"/>
                <w:highlight w:val="none"/>
              </w:rPr>
            </w:pPr>
          </w:p>
        </w:tc>
      </w:tr>
      <w:tr w14:paraId="334FC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0F2CC034">
            <w:pPr>
              <w:spacing w:line="360" w:lineRule="exact"/>
              <w:jc w:val="center"/>
              <w:rPr>
                <w:rFonts w:hint="eastAsia" w:ascii="仿宋" w:hAnsi="仿宋" w:eastAsia="仿宋" w:cs="仿宋"/>
                <w:sz w:val="24"/>
                <w:szCs w:val="24"/>
                <w:highlight w:val="none"/>
                <w:lang w:eastAsia="zh-CN" w:bidi="ar"/>
              </w:rPr>
            </w:pPr>
            <w:r>
              <w:rPr>
                <w:rFonts w:hint="eastAsia" w:ascii="仿宋" w:hAnsi="仿宋" w:eastAsia="仿宋" w:cs="仿宋"/>
                <w:sz w:val="24"/>
                <w:szCs w:val="24"/>
                <w:highlight w:val="none"/>
                <w:lang w:bidi="ar"/>
              </w:rPr>
              <w:t>1</w:t>
            </w:r>
            <w:r>
              <w:rPr>
                <w:rFonts w:hint="eastAsia" w:ascii="仿宋" w:hAnsi="仿宋" w:eastAsia="仿宋" w:cs="仿宋"/>
                <w:sz w:val="24"/>
                <w:szCs w:val="24"/>
                <w:highlight w:val="none"/>
                <w:lang w:val="en-US" w:eastAsia="zh-CN" w:bidi="ar"/>
              </w:rPr>
              <w:t>6</w:t>
            </w:r>
          </w:p>
        </w:tc>
        <w:tc>
          <w:tcPr>
            <w:tcW w:w="5348" w:type="dxa"/>
            <w:tcBorders>
              <w:top w:val="single" w:color="auto" w:sz="4" w:space="0"/>
              <w:left w:val="single" w:color="auto" w:sz="4" w:space="0"/>
              <w:bottom w:val="single" w:color="auto" w:sz="4" w:space="0"/>
              <w:right w:val="single" w:color="auto" w:sz="4" w:space="0"/>
            </w:tcBorders>
            <w:noWrap w:val="0"/>
            <w:vAlign w:val="center"/>
          </w:tcPr>
          <w:p w14:paraId="2F61F0C5">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高耗能落后机电设备（产品）淘汰目录（第二批）</w:t>
            </w:r>
          </w:p>
        </w:tc>
        <w:tc>
          <w:tcPr>
            <w:tcW w:w="2081" w:type="dxa"/>
            <w:tcBorders>
              <w:top w:val="single" w:color="auto" w:sz="4" w:space="0"/>
              <w:left w:val="single" w:color="auto" w:sz="4" w:space="0"/>
              <w:bottom w:val="single" w:color="auto" w:sz="4" w:space="0"/>
              <w:right w:val="single" w:color="auto" w:sz="4" w:space="0"/>
            </w:tcBorders>
            <w:noWrap w:val="0"/>
            <w:vAlign w:val="center"/>
          </w:tcPr>
          <w:p w14:paraId="167A364D">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工业和信息化部</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4FA68AB2">
            <w:pPr>
              <w:rPr>
                <w:rFonts w:ascii="仿宋" w:hAnsi="仿宋" w:eastAsia="仿宋" w:cs="仿宋"/>
                <w:sz w:val="24"/>
                <w:szCs w:val="24"/>
                <w:highlight w:val="none"/>
              </w:rPr>
            </w:pPr>
          </w:p>
        </w:tc>
      </w:tr>
      <w:tr w14:paraId="1663C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663AC783">
            <w:pPr>
              <w:spacing w:line="360" w:lineRule="exact"/>
              <w:jc w:val="center"/>
              <w:rPr>
                <w:rFonts w:hint="default" w:ascii="仿宋" w:hAnsi="仿宋" w:eastAsia="仿宋" w:cs="仿宋"/>
                <w:sz w:val="24"/>
                <w:szCs w:val="24"/>
                <w:highlight w:val="none"/>
                <w:lang w:val="en-US" w:eastAsia="zh-CN" w:bidi="ar"/>
              </w:rPr>
            </w:pPr>
            <w:r>
              <w:rPr>
                <w:rFonts w:hint="eastAsia" w:ascii="仿宋" w:hAnsi="仿宋" w:eastAsia="仿宋" w:cs="仿宋"/>
                <w:sz w:val="24"/>
                <w:szCs w:val="24"/>
                <w:highlight w:val="none"/>
                <w:lang w:val="en-US" w:eastAsia="zh-CN" w:bidi="ar"/>
              </w:rPr>
              <w:t>17</w:t>
            </w:r>
          </w:p>
        </w:tc>
        <w:tc>
          <w:tcPr>
            <w:tcW w:w="5348" w:type="dxa"/>
            <w:tcBorders>
              <w:top w:val="single" w:color="auto" w:sz="4" w:space="0"/>
              <w:left w:val="single" w:color="auto" w:sz="4" w:space="0"/>
              <w:bottom w:val="single" w:color="auto" w:sz="4" w:space="0"/>
              <w:right w:val="single" w:color="auto" w:sz="4" w:space="0"/>
            </w:tcBorders>
            <w:noWrap w:val="0"/>
            <w:vAlign w:val="center"/>
          </w:tcPr>
          <w:p w14:paraId="6F087D9C">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高耗能落后机电设备（产品）淘汰目录（第三批）</w:t>
            </w:r>
          </w:p>
        </w:tc>
        <w:tc>
          <w:tcPr>
            <w:tcW w:w="2081" w:type="dxa"/>
            <w:tcBorders>
              <w:top w:val="single" w:color="auto" w:sz="4" w:space="0"/>
              <w:left w:val="single" w:color="auto" w:sz="4" w:space="0"/>
              <w:bottom w:val="single" w:color="auto" w:sz="4" w:space="0"/>
              <w:right w:val="single" w:color="auto" w:sz="4" w:space="0"/>
            </w:tcBorders>
            <w:noWrap w:val="0"/>
            <w:vAlign w:val="center"/>
          </w:tcPr>
          <w:p w14:paraId="42DA1048">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工业和信息化部</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421B6DDA">
            <w:pPr>
              <w:rPr>
                <w:rFonts w:ascii="仿宋" w:hAnsi="仿宋" w:eastAsia="仿宋" w:cs="仿宋"/>
                <w:sz w:val="24"/>
                <w:szCs w:val="24"/>
                <w:highlight w:val="none"/>
              </w:rPr>
            </w:pPr>
          </w:p>
        </w:tc>
      </w:tr>
      <w:tr w14:paraId="34827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70087297">
            <w:pPr>
              <w:spacing w:line="360" w:lineRule="exact"/>
              <w:jc w:val="center"/>
              <w:rPr>
                <w:rFonts w:hint="eastAsia" w:ascii="仿宋" w:hAnsi="仿宋" w:eastAsia="仿宋" w:cs="仿宋"/>
                <w:sz w:val="24"/>
                <w:szCs w:val="24"/>
                <w:highlight w:val="none"/>
                <w:lang w:eastAsia="zh-CN" w:bidi="ar"/>
              </w:rPr>
            </w:pPr>
            <w:r>
              <w:rPr>
                <w:rFonts w:hint="eastAsia" w:ascii="仿宋" w:hAnsi="仿宋" w:eastAsia="仿宋" w:cs="仿宋"/>
                <w:sz w:val="24"/>
                <w:szCs w:val="24"/>
                <w:highlight w:val="none"/>
                <w:lang w:bidi="ar"/>
              </w:rPr>
              <w:t>1</w:t>
            </w:r>
            <w:r>
              <w:rPr>
                <w:rFonts w:hint="eastAsia" w:ascii="仿宋" w:hAnsi="仿宋" w:eastAsia="仿宋" w:cs="仿宋"/>
                <w:sz w:val="24"/>
                <w:szCs w:val="24"/>
                <w:highlight w:val="none"/>
                <w:lang w:val="en-US" w:eastAsia="zh-CN" w:bidi="ar"/>
              </w:rPr>
              <w:t>8</w:t>
            </w:r>
          </w:p>
        </w:tc>
        <w:tc>
          <w:tcPr>
            <w:tcW w:w="5348" w:type="dxa"/>
            <w:tcBorders>
              <w:top w:val="single" w:color="auto" w:sz="4" w:space="0"/>
              <w:left w:val="single" w:color="auto" w:sz="4" w:space="0"/>
              <w:bottom w:val="single" w:color="auto" w:sz="4" w:space="0"/>
              <w:right w:val="single" w:color="auto" w:sz="4" w:space="0"/>
            </w:tcBorders>
            <w:noWrap w:val="0"/>
            <w:vAlign w:val="center"/>
          </w:tcPr>
          <w:p w14:paraId="4B4D185E">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高耗能落后机电设备（产品）淘汰目录（第一批）</w:t>
            </w:r>
          </w:p>
        </w:tc>
        <w:tc>
          <w:tcPr>
            <w:tcW w:w="2081" w:type="dxa"/>
            <w:tcBorders>
              <w:top w:val="single" w:color="auto" w:sz="4" w:space="0"/>
              <w:left w:val="single" w:color="auto" w:sz="4" w:space="0"/>
              <w:bottom w:val="single" w:color="auto" w:sz="4" w:space="0"/>
              <w:right w:val="single" w:color="auto" w:sz="4" w:space="0"/>
            </w:tcBorders>
            <w:noWrap w:val="0"/>
            <w:vAlign w:val="center"/>
          </w:tcPr>
          <w:p w14:paraId="63A43856">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工业和信息化部</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3CF05598">
            <w:pPr>
              <w:rPr>
                <w:rFonts w:ascii="仿宋" w:hAnsi="仿宋" w:eastAsia="仿宋" w:cs="仿宋"/>
                <w:sz w:val="24"/>
                <w:szCs w:val="24"/>
                <w:highlight w:val="none"/>
              </w:rPr>
            </w:pPr>
          </w:p>
        </w:tc>
      </w:tr>
      <w:tr w14:paraId="41E81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4E6F72DF">
            <w:pPr>
              <w:spacing w:line="360" w:lineRule="exact"/>
              <w:jc w:val="center"/>
              <w:rPr>
                <w:rFonts w:hint="eastAsia" w:ascii="仿宋" w:hAnsi="仿宋" w:eastAsia="仿宋" w:cs="仿宋"/>
                <w:kern w:val="2"/>
                <w:sz w:val="24"/>
                <w:szCs w:val="24"/>
                <w:highlight w:val="none"/>
                <w:lang w:val="en-US" w:eastAsia="zh-CN" w:bidi="ar"/>
              </w:rPr>
            </w:pPr>
            <w:r>
              <w:rPr>
                <w:rFonts w:hint="eastAsia" w:ascii="仿宋" w:hAnsi="仿宋" w:eastAsia="仿宋" w:cs="仿宋"/>
                <w:sz w:val="24"/>
                <w:szCs w:val="24"/>
                <w:highlight w:val="none"/>
                <w:lang w:bidi="ar"/>
              </w:rPr>
              <w:t>1</w:t>
            </w:r>
            <w:r>
              <w:rPr>
                <w:rFonts w:hint="eastAsia" w:ascii="仿宋" w:hAnsi="仿宋" w:eastAsia="仿宋" w:cs="仿宋"/>
                <w:sz w:val="24"/>
                <w:szCs w:val="24"/>
                <w:highlight w:val="none"/>
                <w:lang w:val="en-US" w:eastAsia="zh-CN" w:bidi="ar"/>
              </w:rPr>
              <w:t>9</w:t>
            </w:r>
          </w:p>
        </w:tc>
        <w:tc>
          <w:tcPr>
            <w:tcW w:w="5348" w:type="dxa"/>
            <w:tcBorders>
              <w:top w:val="single" w:color="auto" w:sz="4" w:space="0"/>
              <w:left w:val="single" w:color="auto" w:sz="4" w:space="0"/>
              <w:bottom w:val="single" w:color="auto" w:sz="4" w:space="0"/>
              <w:right w:val="single" w:color="auto" w:sz="4" w:space="0"/>
            </w:tcBorders>
            <w:noWrap w:val="0"/>
            <w:vAlign w:val="center"/>
          </w:tcPr>
          <w:p w14:paraId="70FE6FA6">
            <w:pPr>
              <w:spacing w:line="360" w:lineRule="exact"/>
              <w:rPr>
                <w:rFonts w:hint="eastAsia" w:ascii="仿宋" w:hAnsi="仿宋" w:eastAsia="仿宋" w:cs="仿宋"/>
                <w:sz w:val="24"/>
                <w:szCs w:val="24"/>
                <w:highlight w:val="none"/>
                <w:lang w:val="en-US" w:eastAsia="zh-CN" w:bidi="ar"/>
              </w:rPr>
            </w:pPr>
            <w:r>
              <w:rPr>
                <w:rFonts w:hint="eastAsia" w:ascii="仿宋" w:hAnsi="仿宋" w:eastAsia="仿宋" w:cs="仿宋"/>
                <w:sz w:val="24"/>
                <w:szCs w:val="24"/>
                <w:highlight w:val="none"/>
                <w:lang w:bidi="ar"/>
              </w:rPr>
              <w:t>高耗能落后机电设备（产品）淘汰目录（第</w:t>
            </w:r>
            <w:r>
              <w:rPr>
                <w:rFonts w:hint="eastAsia" w:ascii="仿宋" w:hAnsi="仿宋" w:eastAsia="仿宋" w:cs="仿宋"/>
                <w:sz w:val="24"/>
                <w:szCs w:val="24"/>
                <w:highlight w:val="none"/>
                <w:lang w:val="en-US" w:eastAsia="zh-CN" w:bidi="ar"/>
              </w:rPr>
              <w:t>四</w:t>
            </w:r>
            <w:r>
              <w:rPr>
                <w:rFonts w:hint="eastAsia" w:ascii="仿宋" w:hAnsi="仿宋" w:eastAsia="仿宋" w:cs="仿宋"/>
                <w:sz w:val="24"/>
                <w:szCs w:val="24"/>
                <w:highlight w:val="none"/>
                <w:lang w:bidi="ar"/>
              </w:rPr>
              <w:t>批）</w:t>
            </w:r>
          </w:p>
        </w:tc>
        <w:tc>
          <w:tcPr>
            <w:tcW w:w="2081" w:type="dxa"/>
            <w:tcBorders>
              <w:top w:val="single" w:color="auto" w:sz="4" w:space="0"/>
              <w:left w:val="single" w:color="auto" w:sz="4" w:space="0"/>
              <w:bottom w:val="single" w:color="auto" w:sz="4" w:space="0"/>
              <w:right w:val="single" w:color="auto" w:sz="4" w:space="0"/>
            </w:tcBorders>
            <w:noWrap w:val="0"/>
            <w:vAlign w:val="center"/>
          </w:tcPr>
          <w:p w14:paraId="1DDC0E88">
            <w:pPr>
              <w:spacing w:line="360" w:lineRule="exact"/>
              <w:rPr>
                <w:rFonts w:hint="eastAsia" w:ascii="仿宋" w:hAnsi="仿宋" w:eastAsia="仿宋" w:cs="仿宋"/>
                <w:sz w:val="24"/>
                <w:szCs w:val="24"/>
                <w:highlight w:val="none"/>
                <w:lang w:val="en-US" w:eastAsia="zh-CN" w:bidi="ar"/>
              </w:rPr>
            </w:pPr>
            <w:r>
              <w:rPr>
                <w:rFonts w:hint="eastAsia" w:ascii="仿宋" w:hAnsi="仿宋" w:eastAsia="仿宋" w:cs="仿宋"/>
                <w:sz w:val="24"/>
                <w:szCs w:val="24"/>
                <w:highlight w:val="none"/>
                <w:lang w:bidi="ar"/>
              </w:rPr>
              <w:t>工业和信息化部</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67D3FD06">
            <w:pPr>
              <w:rPr>
                <w:rFonts w:ascii="仿宋" w:hAnsi="仿宋" w:eastAsia="仿宋" w:cs="仿宋"/>
                <w:sz w:val="24"/>
                <w:szCs w:val="24"/>
                <w:highlight w:val="none"/>
              </w:rPr>
            </w:pPr>
          </w:p>
        </w:tc>
      </w:tr>
      <w:tr w14:paraId="13C04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75232F68">
            <w:pPr>
              <w:spacing w:line="360" w:lineRule="exact"/>
              <w:jc w:val="center"/>
              <w:rPr>
                <w:rFonts w:hint="eastAsia" w:ascii="仿宋" w:hAnsi="仿宋" w:eastAsia="仿宋" w:cs="仿宋"/>
                <w:kern w:val="2"/>
                <w:sz w:val="24"/>
                <w:szCs w:val="24"/>
                <w:highlight w:val="none"/>
                <w:lang w:val="en-US" w:eastAsia="zh-CN" w:bidi="ar"/>
              </w:rPr>
            </w:pPr>
            <w:r>
              <w:rPr>
                <w:rFonts w:hint="eastAsia" w:ascii="仿宋" w:hAnsi="仿宋" w:eastAsia="仿宋" w:cs="仿宋"/>
                <w:sz w:val="24"/>
                <w:szCs w:val="24"/>
                <w:highlight w:val="none"/>
                <w:lang w:val="en-US" w:eastAsia="zh-CN" w:bidi="ar"/>
              </w:rPr>
              <w:t>20</w:t>
            </w:r>
          </w:p>
        </w:tc>
        <w:tc>
          <w:tcPr>
            <w:tcW w:w="5348" w:type="dxa"/>
            <w:tcBorders>
              <w:top w:val="single" w:color="auto" w:sz="4" w:space="0"/>
              <w:left w:val="single" w:color="auto" w:sz="4" w:space="0"/>
              <w:bottom w:val="single" w:color="auto" w:sz="4" w:space="0"/>
              <w:right w:val="single" w:color="auto" w:sz="4" w:space="0"/>
            </w:tcBorders>
            <w:noWrap w:val="0"/>
            <w:vAlign w:val="center"/>
          </w:tcPr>
          <w:p w14:paraId="3A7945CD">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节能机电设备（产品）推荐目录</w:t>
            </w:r>
          </w:p>
        </w:tc>
        <w:tc>
          <w:tcPr>
            <w:tcW w:w="2081" w:type="dxa"/>
            <w:tcBorders>
              <w:top w:val="single" w:color="auto" w:sz="4" w:space="0"/>
              <w:left w:val="single" w:color="auto" w:sz="4" w:space="0"/>
              <w:bottom w:val="single" w:color="auto" w:sz="4" w:space="0"/>
              <w:right w:val="single" w:color="auto" w:sz="4" w:space="0"/>
            </w:tcBorders>
            <w:noWrap w:val="0"/>
            <w:vAlign w:val="center"/>
          </w:tcPr>
          <w:p w14:paraId="2FC3E5C1">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工业和信息化部</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30F959E5">
            <w:pPr>
              <w:rPr>
                <w:rFonts w:ascii="仿宋" w:hAnsi="仿宋" w:eastAsia="仿宋" w:cs="仿宋"/>
                <w:sz w:val="24"/>
                <w:szCs w:val="24"/>
                <w:highlight w:val="none"/>
              </w:rPr>
            </w:pPr>
          </w:p>
        </w:tc>
      </w:tr>
      <w:tr w14:paraId="7B71B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42E3212A">
            <w:pPr>
              <w:spacing w:line="360" w:lineRule="exact"/>
              <w:jc w:val="center"/>
              <w:rPr>
                <w:rFonts w:hint="default" w:ascii="仿宋" w:hAnsi="仿宋" w:eastAsia="仿宋" w:cs="仿宋"/>
                <w:kern w:val="2"/>
                <w:sz w:val="24"/>
                <w:szCs w:val="24"/>
                <w:highlight w:val="none"/>
                <w:lang w:val="en-US" w:eastAsia="zh-CN" w:bidi="ar"/>
              </w:rPr>
            </w:pPr>
            <w:r>
              <w:rPr>
                <w:rFonts w:hint="eastAsia" w:ascii="仿宋" w:hAnsi="仿宋" w:eastAsia="仿宋" w:cs="仿宋"/>
                <w:sz w:val="24"/>
                <w:szCs w:val="24"/>
                <w:highlight w:val="none"/>
                <w:lang w:val="en-US" w:eastAsia="zh-CN" w:bidi="ar"/>
              </w:rPr>
              <w:t>21</w:t>
            </w:r>
          </w:p>
        </w:tc>
        <w:tc>
          <w:tcPr>
            <w:tcW w:w="5348" w:type="dxa"/>
            <w:tcBorders>
              <w:top w:val="single" w:color="auto" w:sz="4" w:space="0"/>
              <w:left w:val="single" w:color="auto" w:sz="4" w:space="0"/>
              <w:bottom w:val="single" w:color="auto" w:sz="4" w:space="0"/>
              <w:right w:val="single" w:color="auto" w:sz="4" w:space="0"/>
            </w:tcBorders>
            <w:noWrap w:val="0"/>
            <w:vAlign w:val="center"/>
          </w:tcPr>
          <w:p w14:paraId="5F6A616E">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用能单位能源计量器具配备和管理</w:t>
            </w:r>
          </w:p>
        </w:tc>
        <w:tc>
          <w:tcPr>
            <w:tcW w:w="2081" w:type="dxa"/>
            <w:tcBorders>
              <w:top w:val="single" w:color="auto" w:sz="4" w:space="0"/>
              <w:left w:val="single" w:color="auto" w:sz="4" w:space="0"/>
              <w:bottom w:val="single" w:color="auto" w:sz="4" w:space="0"/>
              <w:right w:val="single" w:color="auto" w:sz="4" w:space="0"/>
            </w:tcBorders>
            <w:noWrap w:val="0"/>
            <w:vAlign w:val="center"/>
          </w:tcPr>
          <w:p w14:paraId="0641A72B">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GB17167-2006</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76455BBE">
            <w:pPr>
              <w:rPr>
                <w:rFonts w:ascii="仿宋" w:hAnsi="仿宋" w:eastAsia="仿宋" w:cs="仿宋"/>
                <w:sz w:val="24"/>
                <w:szCs w:val="24"/>
                <w:highlight w:val="none"/>
              </w:rPr>
            </w:pPr>
          </w:p>
        </w:tc>
      </w:tr>
      <w:tr w14:paraId="5D923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6DAC1FDD">
            <w:pPr>
              <w:spacing w:line="360" w:lineRule="exact"/>
              <w:jc w:val="center"/>
              <w:rPr>
                <w:rFonts w:hint="default" w:ascii="仿宋" w:hAnsi="仿宋" w:eastAsia="仿宋" w:cs="仿宋"/>
                <w:kern w:val="2"/>
                <w:sz w:val="24"/>
                <w:szCs w:val="24"/>
                <w:highlight w:val="none"/>
                <w:lang w:val="en-US" w:eastAsia="zh-CN" w:bidi="ar"/>
              </w:rPr>
            </w:pPr>
            <w:r>
              <w:rPr>
                <w:rFonts w:hint="eastAsia" w:ascii="仿宋" w:hAnsi="仿宋" w:eastAsia="仿宋" w:cs="仿宋"/>
                <w:sz w:val="24"/>
                <w:szCs w:val="24"/>
                <w:highlight w:val="none"/>
                <w:lang w:val="en-US" w:eastAsia="zh-CN" w:bidi="ar"/>
              </w:rPr>
              <w:t>22</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413B1771">
            <w:pPr>
              <w:spacing w:line="360" w:lineRule="exact"/>
              <w:rPr>
                <w:rFonts w:hint="eastAsia" w:ascii="仿宋" w:hAnsi="仿宋" w:eastAsia="仿宋" w:cs="仿宋"/>
                <w:sz w:val="24"/>
                <w:szCs w:val="24"/>
                <w:highlight w:val="none"/>
                <w:lang w:val="en-US" w:eastAsia="zh-CN" w:bidi="ar"/>
              </w:rPr>
            </w:pPr>
            <w:r>
              <w:rPr>
                <w:rFonts w:hint="eastAsia" w:ascii="仿宋" w:hAnsi="仿宋" w:eastAsia="仿宋" w:cs="仿宋"/>
                <w:sz w:val="24"/>
                <w:szCs w:val="24"/>
                <w:highlight w:val="none"/>
                <w:lang w:bidi="ar"/>
              </w:rPr>
              <w:t>《</w:t>
            </w:r>
            <w:r>
              <w:rPr>
                <w:rFonts w:hint="eastAsia" w:ascii="仿宋" w:hAnsi="仿宋" w:eastAsia="仿宋" w:cs="仿宋"/>
                <w:sz w:val="24"/>
                <w:szCs w:val="24"/>
                <w:highlight w:val="none"/>
                <w:lang w:val="en-US" w:eastAsia="zh-CN" w:bidi="ar"/>
              </w:rPr>
              <w:t>工作场所物理因素测量》第8部分噪声</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5A5368AF">
            <w:pPr>
              <w:spacing w:line="360" w:lineRule="exact"/>
              <w:rPr>
                <w:rFonts w:hint="eastAsia" w:ascii="仿宋" w:hAnsi="仿宋" w:eastAsia="仿宋" w:cs="仿宋"/>
                <w:sz w:val="24"/>
                <w:szCs w:val="24"/>
                <w:highlight w:val="none"/>
                <w:lang w:val="en-US" w:eastAsia="zh-CN" w:bidi="ar"/>
              </w:rPr>
            </w:pPr>
            <w:r>
              <w:rPr>
                <w:rFonts w:hint="eastAsia" w:ascii="仿宋" w:hAnsi="仿宋" w:eastAsia="仿宋" w:cs="仿宋"/>
                <w:sz w:val="24"/>
                <w:szCs w:val="24"/>
                <w:highlight w:val="none"/>
                <w:lang w:bidi="ar"/>
              </w:rPr>
              <w:t>GB</w:t>
            </w:r>
            <w:r>
              <w:rPr>
                <w:rFonts w:hint="eastAsia" w:ascii="仿宋" w:hAnsi="仿宋" w:eastAsia="仿宋" w:cs="仿宋"/>
                <w:sz w:val="24"/>
                <w:szCs w:val="24"/>
                <w:highlight w:val="none"/>
                <w:lang w:val="en-US" w:eastAsia="zh-CN" w:bidi="ar"/>
              </w:rPr>
              <w:t>Z/T189.8-2007</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1D4D6415">
            <w:pPr>
              <w:rPr>
                <w:rFonts w:ascii="仿宋" w:hAnsi="仿宋" w:eastAsia="仿宋" w:cs="仿宋"/>
                <w:sz w:val="24"/>
                <w:szCs w:val="24"/>
                <w:highlight w:val="none"/>
              </w:rPr>
            </w:pPr>
          </w:p>
        </w:tc>
      </w:tr>
      <w:tr w14:paraId="33E55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4600944A">
            <w:pPr>
              <w:spacing w:line="360" w:lineRule="exact"/>
              <w:jc w:val="center"/>
              <w:rPr>
                <w:rFonts w:hint="default" w:ascii="仿宋" w:hAnsi="仿宋" w:eastAsia="仿宋" w:cs="仿宋"/>
                <w:kern w:val="2"/>
                <w:sz w:val="24"/>
                <w:szCs w:val="24"/>
                <w:highlight w:val="none"/>
                <w:lang w:val="en-US" w:eastAsia="zh-CN" w:bidi="ar"/>
              </w:rPr>
            </w:pPr>
            <w:r>
              <w:rPr>
                <w:rFonts w:hint="eastAsia" w:ascii="仿宋" w:hAnsi="仿宋" w:eastAsia="仿宋" w:cs="仿宋"/>
                <w:sz w:val="24"/>
                <w:szCs w:val="24"/>
                <w:highlight w:val="none"/>
                <w:lang w:val="en-US" w:eastAsia="zh-CN" w:bidi="ar"/>
              </w:rPr>
              <w:t>23</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1A94ABF6">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工业机器人 产品验收实施规范</w:t>
            </w:r>
          </w:p>
        </w:tc>
        <w:tc>
          <w:tcPr>
            <w:tcW w:w="2081" w:type="dxa"/>
            <w:tcBorders>
              <w:top w:val="single" w:color="auto" w:sz="4" w:space="0"/>
              <w:left w:val="single" w:color="auto" w:sz="4" w:space="0"/>
              <w:bottom w:val="single" w:color="auto" w:sz="4" w:space="0"/>
              <w:right w:val="single" w:color="auto" w:sz="4" w:space="0"/>
            </w:tcBorders>
            <w:noWrap w:val="0"/>
            <w:vAlign w:val="center"/>
          </w:tcPr>
          <w:p w14:paraId="57F0011A">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JB/T 10825-2008</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5F89E388">
            <w:pPr>
              <w:rPr>
                <w:rFonts w:ascii="仿宋" w:hAnsi="仿宋" w:eastAsia="仿宋" w:cs="仿宋"/>
                <w:sz w:val="24"/>
                <w:szCs w:val="24"/>
                <w:highlight w:val="none"/>
              </w:rPr>
            </w:pPr>
          </w:p>
        </w:tc>
      </w:tr>
      <w:tr w14:paraId="51247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54B66C3A">
            <w:pPr>
              <w:spacing w:line="360" w:lineRule="exact"/>
              <w:jc w:val="center"/>
              <w:rPr>
                <w:rFonts w:hint="default" w:ascii="仿宋" w:hAnsi="仿宋" w:eastAsia="仿宋" w:cs="仿宋"/>
                <w:kern w:val="2"/>
                <w:sz w:val="24"/>
                <w:szCs w:val="24"/>
                <w:highlight w:val="none"/>
                <w:lang w:val="en-US" w:eastAsia="zh-CN" w:bidi="ar"/>
              </w:rPr>
            </w:pPr>
            <w:r>
              <w:rPr>
                <w:rFonts w:hint="eastAsia" w:ascii="仿宋" w:hAnsi="仿宋" w:eastAsia="仿宋" w:cs="仿宋"/>
                <w:sz w:val="24"/>
                <w:szCs w:val="24"/>
                <w:highlight w:val="none"/>
                <w:lang w:val="en-US" w:eastAsia="zh-CN" w:bidi="ar"/>
              </w:rPr>
              <w:t>24</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481E46A2">
            <w:pPr>
              <w:spacing w:line="360" w:lineRule="exact"/>
              <w:jc w:val="lef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工业机器人电气设备及系统 通用技术条件</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05B31C57">
            <w:pPr>
              <w:spacing w:line="360" w:lineRule="exact"/>
              <w:jc w:val="lef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GB/T</w:t>
            </w:r>
            <w:r>
              <w:rPr>
                <w:rFonts w:hint="eastAsia" w:ascii="仿宋" w:hAnsi="仿宋" w:eastAsia="仿宋" w:cs="仿宋"/>
                <w:sz w:val="24"/>
                <w:szCs w:val="24"/>
                <w:highlight w:val="none"/>
                <w:lang w:val="en-US" w:eastAsia="zh-CN" w:bidi="ar"/>
              </w:rPr>
              <w:t xml:space="preserve"> 39463</w:t>
            </w:r>
            <w:r>
              <w:rPr>
                <w:rFonts w:hint="eastAsia" w:ascii="仿宋" w:hAnsi="仿宋" w:eastAsia="仿宋" w:cs="仿宋"/>
                <w:sz w:val="24"/>
                <w:szCs w:val="24"/>
                <w:highlight w:val="none"/>
                <w:lang w:bidi="ar"/>
              </w:rPr>
              <w:t>-20</w:t>
            </w:r>
            <w:r>
              <w:rPr>
                <w:rFonts w:hint="eastAsia" w:ascii="仿宋" w:hAnsi="仿宋" w:eastAsia="仿宋" w:cs="仿宋"/>
                <w:sz w:val="24"/>
                <w:szCs w:val="24"/>
                <w:highlight w:val="none"/>
                <w:lang w:val="en-US" w:eastAsia="zh-CN" w:bidi="ar"/>
              </w:rPr>
              <w:t>20</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2FCDDB55">
            <w:pPr>
              <w:rPr>
                <w:rFonts w:ascii="仿宋" w:hAnsi="仿宋" w:eastAsia="仿宋" w:cs="仿宋"/>
                <w:sz w:val="24"/>
                <w:szCs w:val="24"/>
                <w:highlight w:val="none"/>
              </w:rPr>
            </w:pPr>
          </w:p>
        </w:tc>
      </w:tr>
      <w:tr w14:paraId="582DB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1BE5905B">
            <w:pPr>
              <w:spacing w:line="360" w:lineRule="exact"/>
              <w:jc w:val="center"/>
              <w:rPr>
                <w:rFonts w:hint="default" w:ascii="仿宋" w:hAnsi="仿宋" w:eastAsia="仿宋" w:cs="仿宋"/>
                <w:kern w:val="2"/>
                <w:sz w:val="24"/>
                <w:szCs w:val="24"/>
                <w:highlight w:val="none"/>
                <w:lang w:val="en-US" w:eastAsia="zh-CN" w:bidi="ar"/>
              </w:rPr>
            </w:pPr>
            <w:r>
              <w:rPr>
                <w:rFonts w:hint="eastAsia" w:ascii="仿宋" w:hAnsi="仿宋" w:eastAsia="仿宋" w:cs="仿宋"/>
                <w:sz w:val="24"/>
                <w:szCs w:val="24"/>
                <w:highlight w:val="none"/>
                <w:lang w:val="en-US" w:eastAsia="zh-CN" w:bidi="ar"/>
              </w:rPr>
              <w:t>25</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7B108661">
            <w:pPr>
              <w:spacing w:line="360" w:lineRule="exact"/>
              <w:jc w:val="lef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工业机器人控制单元的信息安全通用要求</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4406F8CD">
            <w:pPr>
              <w:spacing w:line="360" w:lineRule="exact"/>
              <w:jc w:val="lef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GB/T</w:t>
            </w:r>
            <w:r>
              <w:rPr>
                <w:rFonts w:hint="eastAsia" w:ascii="仿宋" w:hAnsi="仿宋" w:eastAsia="仿宋" w:cs="仿宋"/>
                <w:sz w:val="24"/>
                <w:szCs w:val="24"/>
                <w:highlight w:val="none"/>
                <w:lang w:val="en-US" w:eastAsia="zh-CN" w:bidi="ar"/>
              </w:rPr>
              <w:t xml:space="preserve"> 39404</w:t>
            </w:r>
            <w:r>
              <w:rPr>
                <w:rFonts w:hint="eastAsia" w:ascii="仿宋" w:hAnsi="仿宋" w:eastAsia="仿宋" w:cs="仿宋"/>
                <w:sz w:val="24"/>
                <w:szCs w:val="24"/>
                <w:highlight w:val="none"/>
                <w:lang w:bidi="ar"/>
              </w:rPr>
              <w:t>-20</w:t>
            </w:r>
            <w:r>
              <w:rPr>
                <w:rFonts w:hint="eastAsia" w:ascii="仿宋" w:hAnsi="仿宋" w:eastAsia="仿宋" w:cs="仿宋"/>
                <w:sz w:val="24"/>
                <w:szCs w:val="24"/>
                <w:highlight w:val="none"/>
                <w:lang w:val="en-US" w:eastAsia="zh-CN" w:bidi="ar"/>
              </w:rPr>
              <w:t>20</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61F7C76F">
            <w:pPr>
              <w:rPr>
                <w:rFonts w:ascii="仿宋" w:hAnsi="仿宋" w:eastAsia="仿宋" w:cs="仿宋"/>
                <w:sz w:val="24"/>
                <w:szCs w:val="24"/>
                <w:highlight w:val="none"/>
              </w:rPr>
            </w:pPr>
          </w:p>
        </w:tc>
      </w:tr>
      <w:tr w14:paraId="79D71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49BD4062">
            <w:pPr>
              <w:spacing w:line="360" w:lineRule="exact"/>
              <w:jc w:val="center"/>
              <w:rPr>
                <w:rFonts w:hint="default" w:ascii="仿宋" w:hAnsi="仿宋" w:eastAsia="仿宋" w:cs="仿宋"/>
                <w:kern w:val="2"/>
                <w:sz w:val="24"/>
                <w:szCs w:val="24"/>
                <w:highlight w:val="none"/>
                <w:lang w:val="en-US" w:eastAsia="zh-CN" w:bidi="ar"/>
              </w:rPr>
            </w:pPr>
            <w:r>
              <w:rPr>
                <w:rFonts w:hint="eastAsia" w:ascii="仿宋" w:hAnsi="仿宋" w:eastAsia="仿宋" w:cs="仿宋"/>
                <w:sz w:val="24"/>
                <w:szCs w:val="24"/>
                <w:highlight w:val="none"/>
                <w:lang w:val="en-US" w:eastAsia="zh-CN" w:bidi="ar"/>
              </w:rPr>
              <w:t>26</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5455CF8A">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工业机器人 抓握型夹持器物体搬运 词汇和特性表示</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2E768B72">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GB/T 19400-2003</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1EC44899">
            <w:pPr>
              <w:rPr>
                <w:rFonts w:ascii="仿宋" w:hAnsi="仿宋" w:eastAsia="仿宋" w:cs="仿宋"/>
                <w:sz w:val="24"/>
                <w:szCs w:val="24"/>
                <w:highlight w:val="none"/>
              </w:rPr>
            </w:pPr>
          </w:p>
        </w:tc>
      </w:tr>
      <w:tr w14:paraId="64FDA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1C27CE1C">
            <w:pPr>
              <w:spacing w:line="360" w:lineRule="exact"/>
              <w:jc w:val="center"/>
              <w:rPr>
                <w:rFonts w:hint="default" w:ascii="仿宋" w:hAnsi="仿宋" w:eastAsia="仿宋" w:cs="仿宋"/>
                <w:kern w:val="2"/>
                <w:sz w:val="24"/>
                <w:szCs w:val="24"/>
                <w:highlight w:val="none"/>
                <w:lang w:val="en-US" w:eastAsia="zh-CN" w:bidi="ar"/>
              </w:rPr>
            </w:pPr>
            <w:r>
              <w:rPr>
                <w:rFonts w:hint="eastAsia" w:ascii="仿宋" w:hAnsi="仿宋" w:eastAsia="仿宋" w:cs="仿宋"/>
                <w:sz w:val="24"/>
                <w:szCs w:val="24"/>
                <w:highlight w:val="none"/>
                <w:lang w:val="en-US" w:eastAsia="zh-CN" w:bidi="ar"/>
              </w:rPr>
              <w:t>27</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0AB9EFAA">
            <w:pPr>
              <w:spacing w:line="360" w:lineRule="exact"/>
              <w:jc w:val="lef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面向人机协作的工业机器人设计规范</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3C7148CB">
            <w:pPr>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GB/T</w:t>
            </w:r>
            <w:r>
              <w:rPr>
                <w:rFonts w:hint="eastAsia" w:ascii="仿宋" w:hAnsi="仿宋" w:eastAsia="仿宋" w:cs="仿宋"/>
                <w:sz w:val="24"/>
                <w:szCs w:val="24"/>
                <w:highlight w:val="none"/>
                <w:lang w:val="en-US" w:eastAsia="zh-CN" w:bidi="ar"/>
              </w:rPr>
              <w:t xml:space="preserve"> 39402</w:t>
            </w:r>
            <w:r>
              <w:rPr>
                <w:rFonts w:hint="eastAsia" w:ascii="仿宋" w:hAnsi="仿宋" w:eastAsia="仿宋" w:cs="仿宋"/>
                <w:sz w:val="24"/>
                <w:szCs w:val="24"/>
                <w:highlight w:val="none"/>
                <w:lang w:bidi="ar"/>
              </w:rPr>
              <w:t>-20</w:t>
            </w:r>
            <w:r>
              <w:rPr>
                <w:rFonts w:hint="eastAsia" w:ascii="仿宋" w:hAnsi="仿宋" w:eastAsia="仿宋" w:cs="仿宋"/>
                <w:sz w:val="24"/>
                <w:szCs w:val="24"/>
                <w:highlight w:val="none"/>
                <w:lang w:val="en-US" w:eastAsia="zh-CN" w:bidi="ar"/>
              </w:rPr>
              <w:t>20</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0A5CAA57">
            <w:pPr>
              <w:rPr>
                <w:rFonts w:ascii="仿宋" w:hAnsi="仿宋" w:eastAsia="仿宋" w:cs="仿宋"/>
                <w:sz w:val="24"/>
                <w:szCs w:val="24"/>
                <w:highlight w:val="none"/>
              </w:rPr>
            </w:pPr>
          </w:p>
        </w:tc>
      </w:tr>
      <w:tr w14:paraId="07C66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098D0E5F">
            <w:pPr>
              <w:spacing w:line="360" w:lineRule="exact"/>
              <w:jc w:val="center"/>
              <w:rPr>
                <w:rFonts w:hint="default" w:ascii="仿宋" w:hAnsi="仿宋" w:eastAsia="仿宋" w:cs="仿宋"/>
                <w:kern w:val="2"/>
                <w:sz w:val="24"/>
                <w:szCs w:val="24"/>
                <w:highlight w:val="none"/>
                <w:lang w:val="en-US" w:eastAsia="zh-CN" w:bidi="ar"/>
              </w:rPr>
            </w:pPr>
            <w:r>
              <w:rPr>
                <w:rFonts w:hint="eastAsia" w:ascii="仿宋" w:hAnsi="仿宋" w:eastAsia="仿宋" w:cs="仿宋"/>
                <w:sz w:val="24"/>
                <w:szCs w:val="24"/>
                <w:highlight w:val="none"/>
                <w:lang w:val="en-US" w:eastAsia="zh-CN" w:bidi="ar"/>
              </w:rPr>
              <w:t>28</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6E94DC5F">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工业机器人 性能规范及其试验方法</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2360EE82">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GB/T 12642-2001</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38D0AD03">
            <w:pPr>
              <w:rPr>
                <w:rFonts w:ascii="仿宋" w:hAnsi="仿宋" w:eastAsia="仿宋" w:cs="仿宋"/>
                <w:sz w:val="24"/>
                <w:szCs w:val="24"/>
                <w:highlight w:val="none"/>
              </w:rPr>
            </w:pPr>
          </w:p>
        </w:tc>
      </w:tr>
      <w:tr w14:paraId="354EC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32E9C724">
            <w:pPr>
              <w:spacing w:line="360" w:lineRule="exact"/>
              <w:jc w:val="center"/>
              <w:rPr>
                <w:rFonts w:hint="default" w:ascii="仿宋" w:hAnsi="仿宋" w:eastAsia="仿宋" w:cs="仿宋"/>
                <w:kern w:val="2"/>
                <w:sz w:val="24"/>
                <w:szCs w:val="24"/>
                <w:highlight w:val="none"/>
                <w:lang w:val="en-US" w:eastAsia="zh-CN" w:bidi="ar"/>
              </w:rPr>
            </w:pPr>
            <w:r>
              <w:rPr>
                <w:rFonts w:hint="eastAsia" w:ascii="仿宋" w:hAnsi="仿宋" w:eastAsia="仿宋" w:cs="仿宋"/>
                <w:sz w:val="24"/>
                <w:szCs w:val="24"/>
                <w:highlight w:val="none"/>
                <w:lang w:val="en-US" w:eastAsia="zh-CN" w:bidi="ar"/>
              </w:rPr>
              <w:t>29</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642A0F0E">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工业机器人 词汇</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5EB5203B">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GB/T 12643-1997</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4F8DA089">
            <w:pPr>
              <w:rPr>
                <w:rFonts w:ascii="仿宋" w:hAnsi="仿宋" w:eastAsia="仿宋" w:cs="仿宋"/>
                <w:sz w:val="24"/>
                <w:szCs w:val="24"/>
                <w:highlight w:val="none"/>
              </w:rPr>
            </w:pPr>
          </w:p>
        </w:tc>
      </w:tr>
      <w:tr w14:paraId="23BBE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3E56B535">
            <w:pPr>
              <w:spacing w:line="360" w:lineRule="exact"/>
              <w:jc w:val="center"/>
              <w:rPr>
                <w:rFonts w:hint="default" w:ascii="仿宋" w:hAnsi="仿宋" w:eastAsia="仿宋" w:cs="仿宋"/>
                <w:kern w:val="2"/>
                <w:sz w:val="24"/>
                <w:szCs w:val="24"/>
                <w:highlight w:val="none"/>
                <w:lang w:val="en-US" w:eastAsia="zh-CN" w:bidi="ar"/>
              </w:rPr>
            </w:pPr>
            <w:r>
              <w:rPr>
                <w:rFonts w:hint="eastAsia" w:ascii="仿宋" w:hAnsi="仿宋" w:eastAsia="仿宋" w:cs="仿宋"/>
                <w:sz w:val="24"/>
                <w:szCs w:val="24"/>
                <w:highlight w:val="none"/>
                <w:lang w:val="en-US" w:eastAsia="zh-CN" w:bidi="ar"/>
              </w:rPr>
              <w:t>30</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1D4C56C7">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工业机器人 特性表示</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67030B27">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GB/T 12644-2001</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3383C19B">
            <w:pPr>
              <w:rPr>
                <w:rFonts w:ascii="仿宋" w:hAnsi="仿宋" w:eastAsia="仿宋" w:cs="仿宋"/>
                <w:sz w:val="24"/>
                <w:szCs w:val="24"/>
                <w:highlight w:val="none"/>
              </w:rPr>
            </w:pPr>
          </w:p>
        </w:tc>
      </w:tr>
      <w:tr w14:paraId="100F0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4CF0202E">
            <w:pPr>
              <w:spacing w:line="360" w:lineRule="exact"/>
              <w:jc w:val="center"/>
              <w:rPr>
                <w:rFonts w:hint="default" w:ascii="仿宋" w:hAnsi="仿宋" w:eastAsia="仿宋" w:cs="仿宋"/>
                <w:kern w:val="2"/>
                <w:sz w:val="24"/>
                <w:szCs w:val="24"/>
                <w:highlight w:val="none"/>
                <w:lang w:val="en-US" w:eastAsia="zh-CN" w:bidi="ar"/>
              </w:rPr>
            </w:pPr>
            <w:r>
              <w:rPr>
                <w:rFonts w:hint="eastAsia" w:ascii="仿宋" w:hAnsi="仿宋" w:eastAsia="仿宋" w:cs="仿宋"/>
                <w:sz w:val="24"/>
                <w:szCs w:val="24"/>
                <w:highlight w:val="none"/>
                <w:lang w:val="en-US" w:eastAsia="zh-CN" w:bidi="ar"/>
              </w:rPr>
              <w:t>31</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3CE6D8FE">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工业机器人 坐标系和运动命名原则</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6BE5E3C1">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GB/T 16977-2005</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049C99E5">
            <w:pPr>
              <w:rPr>
                <w:rFonts w:ascii="仿宋" w:hAnsi="仿宋" w:eastAsia="仿宋" w:cs="仿宋"/>
                <w:sz w:val="24"/>
                <w:szCs w:val="24"/>
                <w:highlight w:val="none"/>
              </w:rPr>
            </w:pPr>
          </w:p>
        </w:tc>
      </w:tr>
      <w:tr w14:paraId="2185E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641AAD83">
            <w:pPr>
              <w:spacing w:line="360" w:lineRule="exact"/>
              <w:jc w:val="center"/>
              <w:rPr>
                <w:rFonts w:hint="default" w:ascii="仿宋" w:hAnsi="仿宋" w:eastAsia="仿宋" w:cs="仿宋"/>
                <w:kern w:val="2"/>
                <w:sz w:val="24"/>
                <w:szCs w:val="24"/>
                <w:highlight w:val="none"/>
                <w:lang w:val="en-US" w:eastAsia="zh-CN" w:bidi="ar"/>
              </w:rPr>
            </w:pPr>
            <w:r>
              <w:rPr>
                <w:rFonts w:hint="eastAsia" w:ascii="仿宋" w:hAnsi="仿宋" w:eastAsia="仿宋" w:cs="仿宋"/>
                <w:sz w:val="24"/>
                <w:szCs w:val="24"/>
                <w:highlight w:val="none"/>
                <w:lang w:val="en-US" w:eastAsia="zh-CN" w:bidi="ar"/>
              </w:rPr>
              <w:t>32</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3DD7D5E2">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工业机器人 安全实施规范</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7A2AC30A">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GB/T 20867-2007</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2B6A1349">
            <w:pPr>
              <w:rPr>
                <w:rFonts w:ascii="仿宋" w:hAnsi="仿宋" w:eastAsia="仿宋" w:cs="仿宋"/>
                <w:sz w:val="24"/>
                <w:szCs w:val="24"/>
                <w:highlight w:val="none"/>
              </w:rPr>
            </w:pPr>
          </w:p>
        </w:tc>
      </w:tr>
      <w:tr w14:paraId="66637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1576CA78">
            <w:pPr>
              <w:spacing w:line="360" w:lineRule="exact"/>
              <w:jc w:val="center"/>
              <w:rPr>
                <w:rFonts w:hint="default" w:ascii="仿宋" w:hAnsi="仿宋" w:eastAsia="仿宋" w:cs="仿宋"/>
                <w:kern w:val="2"/>
                <w:sz w:val="24"/>
                <w:szCs w:val="24"/>
                <w:highlight w:val="none"/>
                <w:lang w:val="en-US" w:eastAsia="zh-CN" w:bidi="ar"/>
              </w:rPr>
            </w:pPr>
            <w:r>
              <w:rPr>
                <w:rFonts w:hint="eastAsia" w:ascii="仿宋" w:hAnsi="仿宋" w:eastAsia="仿宋" w:cs="仿宋"/>
                <w:sz w:val="24"/>
                <w:szCs w:val="24"/>
                <w:highlight w:val="none"/>
                <w:lang w:val="en-US" w:eastAsia="zh-CN" w:bidi="ar"/>
              </w:rPr>
              <w:t>33</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273198DA">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工业机器人 电磁相容性试验方法和性能评估准则指南</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1BE9851D">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GB/T 19397-2003</w:t>
            </w:r>
          </w:p>
        </w:tc>
        <w:tc>
          <w:tcPr>
            <w:tcW w:w="660" w:type="dxa"/>
            <w:vMerge w:val="continue"/>
            <w:tcBorders>
              <w:top w:val="single" w:color="auto" w:sz="4" w:space="0"/>
              <w:left w:val="single" w:color="auto" w:sz="4" w:space="0"/>
              <w:bottom w:val="single" w:color="auto" w:sz="4" w:space="0"/>
              <w:right w:val="single" w:color="auto" w:sz="4" w:space="0"/>
            </w:tcBorders>
            <w:noWrap w:val="0"/>
            <w:vAlign w:val="top"/>
          </w:tcPr>
          <w:p w14:paraId="6AA732DD">
            <w:pPr>
              <w:rPr>
                <w:rFonts w:ascii="仿宋" w:hAnsi="仿宋" w:eastAsia="仿宋" w:cs="仿宋"/>
                <w:sz w:val="24"/>
                <w:szCs w:val="24"/>
                <w:highlight w:val="none"/>
              </w:rPr>
            </w:pPr>
          </w:p>
        </w:tc>
      </w:tr>
      <w:tr w14:paraId="10846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660" w:type="dxa"/>
            <w:tcBorders>
              <w:top w:val="single" w:color="auto" w:sz="4" w:space="0"/>
              <w:left w:val="single" w:color="auto" w:sz="4" w:space="0"/>
              <w:bottom w:val="single" w:color="auto" w:sz="4" w:space="0"/>
              <w:right w:val="single" w:color="auto" w:sz="4" w:space="0"/>
            </w:tcBorders>
            <w:noWrap w:val="0"/>
            <w:vAlign w:val="center"/>
          </w:tcPr>
          <w:p w14:paraId="46F8BFDB">
            <w:pPr>
              <w:spacing w:line="360" w:lineRule="exact"/>
              <w:jc w:val="center"/>
              <w:rPr>
                <w:rFonts w:hint="default" w:ascii="仿宋" w:hAnsi="仿宋" w:eastAsia="仿宋" w:cs="仿宋"/>
                <w:sz w:val="24"/>
                <w:szCs w:val="24"/>
                <w:highlight w:val="none"/>
                <w:lang w:val="en-US" w:eastAsia="zh-CN" w:bidi="ar"/>
              </w:rPr>
            </w:pPr>
            <w:r>
              <w:rPr>
                <w:rFonts w:hint="eastAsia" w:ascii="仿宋" w:hAnsi="仿宋" w:eastAsia="仿宋" w:cs="仿宋"/>
                <w:sz w:val="24"/>
                <w:szCs w:val="24"/>
                <w:highlight w:val="none"/>
                <w:lang w:val="en-US" w:eastAsia="zh-CN" w:bidi="ar"/>
              </w:rPr>
              <w:t>34</w:t>
            </w:r>
          </w:p>
        </w:tc>
        <w:tc>
          <w:tcPr>
            <w:tcW w:w="5348" w:type="dxa"/>
            <w:tcBorders>
              <w:top w:val="single" w:color="auto" w:sz="4" w:space="0"/>
              <w:left w:val="single" w:color="auto" w:sz="4" w:space="0"/>
              <w:bottom w:val="single" w:color="auto" w:sz="4" w:space="0"/>
              <w:right w:val="single" w:color="auto" w:sz="4" w:space="0"/>
            </w:tcBorders>
            <w:noWrap w:val="0"/>
            <w:vAlign w:val="top"/>
          </w:tcPr>
          <w:p w14:paraId="636E2147">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机械安全 接近机械的固定设施 </w:t>
            </w:r>
          </w:p>
        </w:tc>
        <w:tc>
          <w:tcPr>
            <w:tcW w:w="2081" w:type="dxa"/>
            <w:tcBorders>
              <w:top w:val="single" w:color="auto" w:sz="4" w:space="0"/>
              <w:left w:val="single" w:color="auto" w:sz="4" w:space="0"/>
              <w:bottom w:val="single" w:color="auto" w:sz="4" w:space="0"/>
              <w:right w:val="single" w:color="auto" w:sz="4" w:space="0"/>
            </w:tcBorders>
            <w:noWrap w:val="0"/>
            <w:vAlign w:val="top"/>
          </w:tcPr>
          <w:p w14:paraId="3046D55C">
            <w:pPr>
              <w:spacing w:line="360" w:lineRule="exact"/>
              <w:rPr>
                <w:rFonts w:hint="eastAsia" w:ascii="仿宋" w:hAnsi="仿宋" w:eastAsia="仿宋" w:cs="仿宋"/>
                <w:sz w:val="24"/>
                <w:szCs w:val="24"/>
                <w:highlight w:val="none"/>
                <w:lang w:bidi="ar"/>
              </w:rPr>
            </w:pPr>
            <w:r>
              <w:rPr>
                <w:rFonts w:hint="eastAsia" w:ascii="仿宋" w:hAnsi="仿宋" w:eastAsia="仿宋" w:cs="仿宋"/>
                <w:sz w:val="24"/>
                <w:szCs w:val="24"/>
                <w:highlight w:val="none"/>
                <w:lang w:bidi="ar"/>
              </w:rPr>
              <w:t>GB/T 17888-2020</w:t>
            </w:r>
          </w:p>
        </w:tc>
        <w:tc>
          <w:tcPr>
            <w:tcW w:w="660" w:type="dxa"/>
            <w:tcBorders>
              <w:top w:val="single" w:color="auto" w:sz="4" w:space="0"/>
              <w:left w:val="single" w:color="auto" w:sz="4" w:space="0"/>
              <w:bottom w:val="single" w:color="auto" w:sz="4" w:space="0"/>
              <w:right w:val="single" w:color="auto" w:sz="4" w:space="0"/>
            </w:tcBorders>
            <w:noWrap w:val="0"/>
            <w:vAlign w:val="top"/>
          </w:tcPr>
          <w:p w14:paraId="06A97875">
            <w:pPr>
              <w:rPr>
                <w:rFonts w:ascii="仿宋" w:hAnsi="仿宋" w:eastAsia="仿宋" w:cs="仿宋"/>
                <w:sz w:val="24"/>
                <w:szCs w:val="24"/>
                <w:highlight w:val="none"/>
              </w:rPr>
            </w:pPr>
          </w:p>
        </w:tc>
      </w:tr>
    </w:tbl>
    <w:p w14:paraId="5A6D5B4F">
      <w:pPr>
        <w:spacing w:line="360" w:lineRule="exact"/>
        <w:rPr>
          <w:rFonts w:ascii="仿宋" w:hAnsi="仿宋" w:eastAsia="仿宋" w:cs="仿宋"/>
          <w:sz w:val="24"/>
          <w:szCs w:val="24"/>
          <w:highlight w:val="none"/>
        </w:rPr>
      </w:pPr>
      <w:r>
        <w:rPr>
          <w:rFonts w:hint="eastAsia" w:ascii="仿宋" w:hAnsi="仿宋" w:eastAsia="仿宋" w:cs="仿宋"/>
          <w:sz w:val="24"/>
          <w:szCs w:val="24"/>
          <w:highlight w:val="none"/>
          <w:lang w:bidi="ar"/>
        </w:rPr>
        <w:t>备注：1、如果有采用国际标准的货物，其执行标准由投标方提供、招标方确认。</w:t>
      </w:r>
    </w:p>
    <w:p w14:paraId="11C11536">
      <w:pPr>
        <w:pStyle w:val="12"/>
        <w:spacing w:line="360" w:lineRule="auto"/>
        <w:ind w:leftChars="0"/>
        <w:jc w:val="left"/>
        <w:outlineLvl w:val="2"/>
        <w:rPr>
          <w:rFonts w:hint="eastAsia" w:ascii="仿宋" w:hAnsi="仿宋" w:eastAsia="仿宋" w:cs="仿宋"/>
          <w:b/>
          <w:bCs/>
          <w:sz w:val="24"/>
          <w:szCs w:val="24"/>
        </w:rPr>
      </w:pPr>
      <w:r>
        <w:rPr>
          <w:rFonts w:hint="eastAsia" w:ascii="仿宋" w:hAnsi="仿宋" w:eastAsia="仿宋" w:cs="仿宋"/>
          <w:b/>
          <w:bCs/>
          <w:sz w:val="24"/>
          <w:szCs w:val="24"/>
        </w:rPr>
        <w:t>二</w:t>
      </w:r>
      <w:r>
        <w:rPr>
          <w:rFonts w:hint="eastAsia" w:ascii="仿宋" w:hAnsi="仿宋" w:eastAsia="仿宋" w:cs="仿宋"/>
          <w:b/>
          <w:bCs/>
          <w:sz w:val="24"/>
          <w:szCs w:val="24"/>
          <w:lang w:eastAsia="zh-CN"/>
        </w:rPr>
        <w:t>、</w:t>
      </w:r>
      <w:r>
        <w:rPr>
          <w:rFonts w:hint="eastAsia" w:ascii="仿宋" w:hAnsi="仿宋" w:eastAsia="仿宋" w:cs="仿宋"/>
          <w:b/>
          <w:bCs/>
          <w:sz w:val="24"/>
          <w:szCs w:val="24"/>
          <w:lang w:val="en-US" w:eastAsia="zh-CN"/>
        </w:rPr>
        <w:t>技术</w:t>
      </w:r>
      <w:r>
        <w:rPr>
          <w:rFonts w:hint="eastAsia" w:ascii="仿宋" w:hAnsi="仿宋" w:eastAsia="仿宋" w:cs="仿宋"/>
          <w:b/>
          <w:bCs/>
          <w:sz w:val="24"/>
          <w:szCs w:val="24"/>
        </w:rPr>
        <w:t>要求</w:t>
      </w:r>
    </w:p>
    <w:p w14:paraId="3FCEB82F">
      <w:pPr>
        <w:pStyle w:val="6"/>
        <w:keepNext w:val="0"/>
        <w:keepLines w:val="0"/>
        <w:numPr>
          <w:ilvl w:val="0"/>
          <w:numId w:val="29"/>
        </w:numPr>
        <w:spacing w:line="360" w:lineRule="auto"/>
        <w:jc w:val="left"/>
        <w:rPr>
          <w:rFonts w:hint="eastAsia" w:ascii="仿宋" w:hAnsi="仿宋" w:eastAsia="仿宋" w:cs="仿宋"/>
          <w:bCs w:val="0"/>
          <w:sz w:val="24"/>
          <w:szCs w:val="24"/>
        </w:rPr>
      </w:pPr>
      <w:bookmarkStart w:id="63" w:name="_Toc28917"/>
      <w:bookmarkStart w:id="64" w:name="_Toc23141"/>
      <w:r>
        <w:rPr>
          <w:rFonts w:hint="eastAsia" w:ascii="仿宋" w:hAnsi="仿宋" w:eastAsia="仿宋" w:cs="仿宋"/>
          <w:bCs w:val="0"/>
          <w:sz w:val="24"/>
          <w:szCs w:val="24"/>
        </w:rPr>
        <w:t>工艺要求</w:t>
      </w:r>
    </w:p>
    <w:p w14:paraId="5B4224E7">
      <w:pPr>
        <w:pStyle w:val="14"/>
        <w:spacing w:line="360" w:lineRule="auto"/>
        <w:jc w:val="left"/>
        <w:outlineLvl w:val="0"/>
        <w:rPr>
          <w:rFonts w:hint="eastAsia" w:ascii="仿宋" w:hAnsi="仿宋" w:eastAsia="仿宋" w:cs="仿宋"/>
          <w:sz w:val="24"/>
          <w:szCs w:val="24"/>
        </w:rPr>
      </w:pPr>
      <w:r>
        <w:rPr>
          <w:rFonts w:hint="eastAsia" w:ascii="仿宋" w:hAnsi="仿宋" w:eastAsia="仿宋" w:cs="仿宋"/>
          <w:sz w:val="24"/>
          <w:szCs w:val="24"/>
        </w:rPr>
        <w:t>1.1技术规范</w:t>
      </w:r>
    </w:p>
    <w:p w14:paraId="110F6728">
      <w:pPr>
        <w:pStyle w:val="14"/>
        <w:spacing w:line="360" w:lineRule="auto"/>
        <w:ind w:firstLine="480" w:firstLineChars="200"/>
        <w:jc w:val="left"/>
        <w:outlineLvl w:val="0"/>
        <w:rPr>
          <w:rFonts w:hint="eastAsia" w:ascii="仿宋" w:hAnsi="仿宋" w:eastAsia="仿宋" w:cs="仿宋"/>
          <w:sz w:val="24"/>
          <w:szCs w:val="24"/>
        </w:rPr>
      </w:pPr>
      <w:r>
        <w:rPr>
          <w:rFonts w:hint="eastAsia" w:ascii="仿宋" w:hAnsi="仿宋" w:eastAsia="仿宋" w:cs="仿宋"/>
          <w:sz w:val="24"/>
          <w:szCs w:val="24"/>
        </w:rPr>
        <w:t>（1）产品状态：</w:t>
      </w:r>
      <w:r>
        <w:rPr>
          <w:rFonts w:hint="eastAsia" w:ascii="仿宋" w:hAnsi="仿宋" w:eastAsia="仿宋" w:cs="仿宋"/>
          <w:sz w:val="24"/>
          <w:szCs w:val="24"/>
          <w:lang w:val="en-US" w:eastAsia="zh-CN"/>
        </w:rPr>
        <w:t>驱动</w:t>
      </w:r>
      <w:r>
        <w:rPr>
          <w:rFonts w:hint="eastAsia" w:ascii="仿宋" w:hAnsi="仿宋" w:eastAsia="仿宋" w:cs="仿宋"/>
          <w:sz w:val="24"/>
          <w:szCs w:val="24"/>
        </w:rPr>
        <w:t>桥总成板簧面朝下放置在装配台架上，如下所示：</w:t>
      </w:r>
    </w:p>
    <w:p w14:paraId="4FC1F4C7">
      <w:pPr>
        <w:pStyle w:val="14"/>
        <w:spacing w:line="360" w:lineRule="auto"/>
        <w:jc w:val="center"/>
        <w:outlineLvl w:val="0"/>
        <w:rPr>
          <w:rFonts w:hint="eastAsia" w:ascii="仿宋" w:hAnsi="仿宋" w:eastAsia="仿宋" w:cs="仿宋"/>
          <w:sz w:val="24"/>
          <w:szCs w:val="24"/>
        </w:rPr>
      </w:pPr>
      <w:r>
        <w:rPr>
          <w:rFonts w:hint="eastAsia" w:ascii="仿宋" w:hAnsi="仿宋" w:eastAsia="仿宋" w:cs="仿宋"/>
          <w:sz w:val="24"/>
          <w:szCs w:val="24"/>
        </w:rPr>
        <w:drawing>
          <wp:inline distT="0" distB="0" distL="114300" distR="114300">
            <wp:extent cx="5574665" cy="1399540"/>
            <wp:effectExtent l="0" t="0" r="635" b="1016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5574665" cy="1399540"/>
                    </a:xfrm>
                    <a:prstGeom prst="rect">
                      <a:avLst/>
                    </a:prstGeom>
                    <a:noFill/>
                    <a:ln>
                      <a:noFill/>
                    </a:ln>
                  </pic:spPr>
                </pic:pic>
              </a:graphicData>
            </a:graphic>
          </wp:inline>
        </w:drawing>
      </w:r>
    </w:p>
    <w:p w14:paraId="0919701E">
      <w:pPr>
        <w:pStyle w:val="14"/>
        <w:numPr>
          <w:ilvl w:val="0"/>
          <w:numId w:val="30"/>
        </w:numPr>
        <w:spacing w:line="360" w:lineRule="auto"/>
        <w:ind w:firstLine="480" w:firstLineChars="200"/>
        <w:outlineLvl w:val="0"/>
        <w:rPr>
          <w:rFonts w:hint="eastAsia" w:ascii="仿宋" w:hAnsi="仿宋" w:eastAsia="仿宋" w:cs="仿宋"/>
          <w:sz w:val="24"/>
          <w:szCs w:val="24"/>
        </w:rPr>
      </w:pPr>
      <w:r>
        <w:rPr>
          <w:rFonts w:hint="eastAsia" w:ascii="仿宋" w:hAnsi="仿宋" w:eastAsia="仿宋" w:cs="仿宋"/>
          <w:sz w:val="24"/>
          <w:szCs w:val="24"/>
        </w:rPr>
        <w:t>节拍要求：</w:t>
      </w:r>
      <w:r>
        <w:rPr>
          <w:rFonts w:hint="eastAsia" w:ascii="仿宋" w:hAnsi="仿宋" w:eastAsia="仿宋" w:cs="仿宋"/>
          <w:sz w:val="24"/>
          <w:szCs w:val="24"/>
          <w:lang w:val="en-US" w:eastAsia="zh-CN"/>
        </w:rPr>
        <w:t>6颗螺钉装夹及焊接螺钉</w:t>
      </w:r>
      <w:r>
        <w:rPr>
          <w:rFonts w:hint="eastAsia" w:ascii="仿宋" w:hAnsi="仿宋" w:eastAsia="仿宋" w:cs="仿宋"/>
          <w:sz w:val="24"/>
          <w:szCs w:val="24"/>
        </w:rPr>
        <w:t>节拍≤60s。</w:t>
      </w:r>
    </w:p>
    <w:p w14:paraId="41D6ABC3">
      <w:pPr>
        <w:pStyle w:val="14"/>
        <w:spacing w:line="360" w:lineRule="auto"/>
        <w:outlineLvl w:val="0"/>
        <w:rPr>
          <w:rFonts w:hint="eastAsia" w:ascii="仿宋" w:hAnsi="仿宋" w:eastAsia="仿宋" w:cs="仿宋"/>
          <w:sz w:val="24"/>
          <w:szCs w:val="24"/>
        </w:rPr>
      </w:pPr>
      <w:r>
        <w:rPr>
          <w:rFonts w:hint="eastAsia" w:ascii="仿宋" w:hAnsi="仿宋" w:eastAsia="仿宋" w:cs="仿宋"/>
          <w:sz w:val="24"/>
          <w:szCs w:val="24"/>
        </w:rPr>
        <w:t>1.2工艺流程说明</w:t>
      </w:r>
    </w:p>
    <w:p w14:paraId="0345C6B8">
      <w:pPr>
        <w:pStyle w:val="14"/>
        <w:spacing w:line="360" w:lineRule="auto"/>
        <w:ind w:firstLine="480" w:firstLineChars="200"/>
        <w:outlineLvl w:val="0"/>
        <w:rPr>
          <w:rFonts w:hint="eastAsia" w:ascii="仿宋" w:hAnsi="仿宋" w:eastAsia="仿宋" w:cs="仿宋"/>
          <w:sz w:val="24"/>
          <w:szCs w:val="24"/>
        </w:rPr>
      </w:pPr>
      <w:r>
        <w:rPr>
          <w:rFonts w:hint="eastAsia" w:ascii="仿宋" w:hAnsi="仿宋" w:eastAsia="仿宋" w:cs="仿宋"/>
          <w:sz w:val="24"/>
          <w:szCs w:val="24"/>
        </w:rPr>
        <w:t>（1）人工</w:t>
      </w:r>
      <w:r>
        <w:rPr>
          <w:rFonts w:hint="eastAsia" w:ascii="仿宋" w:hAnsi="仿宋" w:eastAsia="仿宋" w:cs="仿宋"/>
          <w:sz w:val="24"/>
          <w:szCs w:val="24"/>
          <w:lang w:val="en-US" w:eastAsia="zh-CN"/>
        </w:rPr>
        <w:t>桥总成吊至装配架上</w:t>
      </w:r>
      <w:r>
        <w:rPr>
          <w:rFonts w:hint="eastAsia" w:ascii="仿宋" w:hAnsi="仿宋" w:eastAsia="仿宋" w:cs="仿宋"/>
          <w:sz w:val="24"/>
          <w:szCs w:val="24"/>
        </w:rPr>
        <w:t>，并</w:t>
      </w:r>
      <w:r>
        <w:rPr>
          <w:rFonts w:hint="eastAsia" w:ascii="仿宋" w:hAnsi="仿宋" w:eastAsia="仿宋" w:cs="仿宋"/>
          <w:sz w:val="24"/>
          <w:szCs w:val="24"/>
          <w:lang w:val="en-US" w:eastAsia="zh-CN"/>
        </w:rPr>
        <w:t>调整桥总成将焊接面向上</w:t>
      </w:r>
      <w:r>
        <w:rPr>
          <w:rFonts w:hint="eastAsia" w:ascii="仿宋" w:hAnsi="仿宋" w:eastAsia="仿宋" w:cs="仿宋"/>
          <w:sz w:val="24"/>
          <w:szCs w:val="24"/>
        </w:rPr>
        <w:t>；</w:t>
      </w:r>
    </w:p>
    <w:p w14:paraId="2CC27711">
      <w:pPr>
        <w:pStyle w:val="14"/>
        <w:spacing w:line="360" w:lineRule="auto"/>
        <w:ind w:firstLine="480" w:firstLineChars="200"/>
        <w:outlineLvl w:val="0"/>
        <w:rPr>
          <w:rFonts w:hint="eastAsia" w:ascii="仿宋" w:hAnsi="仿宋" w:eastAsia="仿宋" w:cs="仿宋"/>
          <w:sz w:val="24"/>
          <w:szCs w:val="24"/>
          <w:lang w:val="en-US" w:eastAsia="zh-CN"/>
        </w:rPr>
      </w:pPr>
      <w:r>
        <w:rPr>
          <w:rFonts w:hint="eastAsia" w:ascii="仿宋" w:hAnsi="仿宋" w:eastAsia="仿宋" w:cs="仿宋"/>
          <w:sz w:val="24"/>
          <w:szCs w:val="24"/>
        </w:rPr>
        <w:t>（2）启动</w:t>
      </w:r>
      <w:r>
        <w:rPr>
          <w:rFonts w:hint="eastAsia" w:ascii="仿宋" w:hAnsi="仿宋" w:eastAsia="仿宋" w:cs="仿宋"/>
          <w:sz w:val="24"/>
          <w:szCs w:val="24"/>
          <w:lang w:val="en-US" w:eastAsia="zh-CN"/>
        </w:rPr>
        <w:t>螺柱焊机</w:t>
      </w:r>
      <w:r>
        <w:rPr>
          <w:rFonts w:hint="eastAsia" w:ascii="仿宋" w:hAnsi="仿宋" w:eastAsia="仿宋" w:cs="仿宋"/>
          <w:sz w:val="24"/>
          <w:szCs w:val="24"/>
        </w:rPr>
        <w:t>，</w:t>
      </w:r>
      <w:r>
        <w:rPr>
          <w:rFonts w:hint="eastAsia" w:ascii="仿宋" w:hAnsi="仿宋" w:eastAsia="仿宋" w:cs="仿宋"/>
          <w:sz w:val="24"/>
          <w:szCs w:val="24"/>
          <w:lang w:val="en-US" w:eastAsia="zh-CN"/>
        </w:rPr>
        <w:t>人工装填螺钉后对准指定位置进行焊接，按上述要求重复六次。</w:t>
      </w:r>
    </w:p>
    <w:p w14:paraId="169C60BB">
      <w:pPr>
        <w:pStyle w:val="14"/>
        <w:spacing w:line="360" w:lineRule="auto"/>
        <w:ind w:firstLine="480" w:firstLineChars="200"/>
        <w:outlineLvl w:val="0"/>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（3）班前使用扭矩扳手对焊接螺柱进行检验。</w:t>
      </w:r>
    </w:p>
    <w:p w14:paraId="2CDA25E9">
      <w:pPr>
        <w:pStyle w:val="14"/>
        <w:spacing w:line="360" w:lineRule="auto"/>
        <w:outlineLvl w:val="0"/>
        <w:rPr>
          <w:rFonts w:hint="eastAsia" w:ascii="仿宋" w:hAnsi="仿宋" w:eastAsia="仿宋" w:cs="仿宋"/>
          <w:color w:val="auto"/>
          <w:sz w:val="24"/>
          <w:szCs w:val="24"/>
        </w:rPr>
      </w:pPr>
      <w:r>
        <w:rPr>
          <w:rFonts w:hint="eastAsia" w:ascii="仿宋" w:hAnsi="仿宋" w:eastAsia="仿宋" w:cs="仿宋"/>
          <w:color w:val="auto"/>
          <w:sz w:val="24"/>
          <w:szCs w:val="24"/>
        </w:rPr>
        <w:t>2、设备基本要求</w:t>
      </w:r>
    </w:p>
    <w:p w14:paraId="6CA2AB6B">
      <w:pPr>
        <w:keepNext w:val="0"/>
        <w:keepLines w:val="0"/>
        <w:pageBreakBefore w:val="0"/>
        <w:widowControl w:val="0"/>
        <w:kinsoku/>
        <w:wordWrap/>
        <w:overflowPunct/>
        <w:topLinePunct w:val="0"/>
        <w:autoSpaceDE w:val="0"/>
        <w:autoSpaceDN w:val="0"/>
        <w:bidi w:val="0"/>
        <w:adjustRightInd w:val="0"/>
        <w:snapToGrid/>
        <w:spacing w:line="360" w:lineRule="auto"/>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2.1 螺柱焊机技术要求：</w:t>
      </w:r>
    </w:p>
    <w:p w14:paraId="4A389158">
      <w:pPr>
        <w:pStyle w:val="14"/>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最大输出功率≥120kVA；</w:t>
      </w:r>
    </w:p>
    <w:p w14:paraId="1DD67211">
      <w:pPr>
        <w:pStyle w:val="14"/>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焊接电流可调（0-1800A）；</w:t>
      </w:r>
    </w:p>
    <w:p w14:paraId="6678874E">
      <w:pPr>
        <w:pStyle w:val="14"/>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焊接导电时间可在0-1000ms间调整，调整精度0.1ms，</w:t>
      </w:r>
    </w:p>
    <w:p w14:paraId="0BA28269">
      <w:pPr>
        <w:pStyle w:val="14"/>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电源要求：380V±10%，50Hz；</w:t>
      </w:r>
    </w:p>
    <w:p w14:paraId="60DCFB82">
      <w:pPr>
        <w:pStyle w:val="14"/>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可焊接螺柱直径：3-8mm；</w:t>
      </w:r>
    </w:p>
    <w:p w14:paraId="18E22164">
      <w:pPr>
        <w:pStyle w:val="14"/>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满足桥壳带底漆焊接要求，漆膜厚度约30-50μm；</w:t>
      </w:r>
    </w:p>
    <w:p w14:paraId="03DE573E">
      <w:pPr>
        <w:pStyle w:val="14"/>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480" w:firstLineChars="200"/>
        <w:jc w:val="left"/>
        <w:textAlignment w:val="auto"/>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螺柱焊接熔深≥3mm，焊接螺柱测试力矩≥9Nm（螺栓规格M6）；</w:t>
      </w:r>
    </w:p>
    <w:p w14:paraId="3185FC90">
      <w:pPr>
        <w:pStyle w:val="14"/>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480" w:firstLineChars="200"/>
        <w:jc w:val="left"/>
        <w:textAlignment w:val="auto"/>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焊接频率15-60个/分钟。</w:t>
      </w:r>
    </w:p>
    <w:p w14:paraId="6DE2BE9A">
      <w:pPr>
        <w:keepNext w:val="0"/>
        <w:keepLines w:val="0"/>
        <w:pageBreakBefore w:val="0"/>
        <w:widowControl w:val="0"/>
        <w:kinsoku/>
        <w:wordWrap/>
        <w:overflowPunct/>
        <w:topLinePunct w:val="0"/>
        <w:autoSpaceDE w:val="0"/>
        <w:autoSpaceDN w:val="0"/>
        <w:bidi w:val="0"/>
        <w:adjustRightInd w:val="0"/>
        <w:snapToGrid/>
        <w:spacing w:line="360" w:lineRule="auto"/>
        <w:jc w:val="left"/>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2.2 焊枪技术要求</w:t>
      </w:r>
    </w:p>
    <w:p w14:paraId="0546F309">
      <w:pPr>
        <w:keepNext w:val="0"/>
        <w:keepLines w:val="0"/>
        <w:pageBreakBefore w:val="0"/>
        <w:widowControl w:val="0"/>
        <w:kinsoku/>
        <w:wordWrap/>
        <w:overflowPunct/>
        <w:topLinePunct w:val="0"/>
        <w:autoSpaceDE w:val="0"/>
        <w:autoSpaceDN w:val="0"/>
        <w:bidi w:val="0"/>
        <w:adjustRightInd w:val="0"/>
        <w:snapToGrid/>
        <w:spacing w:line="360" w:lineRule="auto"/>
        <w:ind w:firstLine="480" w:firstLineChars="200"/>
        <w:jc w:val="left"/>
        <w:textAlignment w:val="auto"/>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焊枪满足焊接技术要求，可装夹M3-M8各规格螺钉进行焊接且装夹长度可调整，夹嘴采用易导电耐高温材质，夹嘴损耗时可快速更换。焊枪焊接位置增加防飞溅保护，避免焊接时电流过大导致飞溅对操作者造成伤害。</w:t>
      </w:r>
    </w:p>
    <w:p w14:paraId="69F924A6">
      <w:pPr>
        <w:pStyle w:val="14"/>
        <w:spacing w:line="360" w:lineRule="auto"/>
        <w:outlineLvl w:val="0"/>
        <w:rPr>
          <w:rFonts w:hint="eastAsia" w:ascii="仿宋" w:hAnsi="仿宋" w:eastAsia="仿宋" w:cs="仿宋"/>
          <w:sz w:val="24"/>
          <w:szCs w:val="24"/>
        </w:rPr>
      </w:pPr>
      <w:r>
        <w:rPr>
          <w:rFonts w:hint="eastAsia" w:ascii="仿宋" w:hAnsi="仿宋" w:eastAsia="仿宋" w:cs="仿宋"/>
          <w:sz w:val="24"/>
          <w:szCs w:val="24"/>
        </w:rPr>
        <w:t>2.3设备配置要求</w:t>
      </w:r>
    </w:p>
    <w:p w14:paraId="07CEB1B3">
      <w:pPr>
        <w:pStyle w:val="14"/>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设备</w:t>
      </w:r>
      <w:r>
        <w:rPr>
          <w:rFonts w:hint="eastAsia" w:ascii="仿宋" w:hAnsi="仿宋" w:eastAsia="仿宋" w:cs="仿宋"/>
          <w:sz w:val="24"/>
          <w:szCs w:val="24"/>
        </w:rPr>
        <w:t>设计制造及使用应符合ISO</w:t>
      </w: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5393标准；</w:t>
      </w:r>
    </w:p>
    <w:p w14:paraId="4D202620">
      <w:pPr>
        <w:pStyle w:val="14"/>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仿宋" w:hAnsi="仿宋" w:eastAsia="仿宋" w:cs="仿宋"/>
          <w:sz w:val="24"/>
          <w:szCs w:val="24"/>
        </w:rPr>
      </w:pPr>
      <w:r>
        <w:rPr>
          <w:rFonts w:hint="eastAsia" w:ascii="仿宋" w:hAnsi="仿宋" w:eastAsia="仿宋" w:cs="仿宋"/>
          <w:sz w:val="24"/>
          <w:szCs w:val="24"/>
        </w:rPr>
        <w:t>所有零部件和各种仪表的计量单位全部采用国际单位标准（SI）标准；</w:t>
      </w:r>
    </w:p>
    <w:p w14:paraId="6A52AED8">
      <w:pPr>
        <w:pStyle w:val="14"/>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中标方</w:t>
      </w:r>
      <w:r>
        <w:rPr>
          <w:rFonts w:hint="eastAsia" w:ascii="仿宋" w:hAnsi="仿宋" w:eastAsia="仿宋" w:cs="仿宋"/>
          <w:color w:val="auto"/>
          <w:sz w:val="24"/>
          <w:szCs w:val="24"/>
        </w:rPr>
        <w:t>所提供的产品必须是全新的、同类产品中最先进的可靠的产品；</w:t>
      </w:r>
    </w:p>
    <w:p w14:paraId="4B3F1849">
      <w:pPr>
        <w:pStyle w:val="14"/>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仿宋" w:hAnsi="仿宋" w:eastAsia="仿宋" w:cs="仿宋"/>
          <w:sz w:val="24"/>
          <w:szCs w:val="24"/>
        </w:rPr>
      </w:pPr>
      <w:r>
        <w:rPr>
          <w:rFonts w:hint="eastAsia" w:ascii="仿宋" w:hAnsi="仿宋" w:eastAsia="仿宋" w:cs="仿宋"/>
          <w:sz w:val="24"/>
          <w:szCs w:val="24"/>
        </w:rPr>
        <w:t>设备必须考虑作业姿势、使用空间、紧固速度等因素，必须满足</w:t>
      </w:r>
      <w:r>
        <w:rPr>
          <w:rFonts w:hint="eastAsia" w:ascii="仿宋" w:hAnsi="仿宋" w:eastAsia="仿宋" w:cs="仿宋"/>
          <w:sz w:val="24"/>
          <w:szCs w:val="24"/>
          <w:lang w:val="en-US" w:eastAsia="zh-CN"/>
        </w:rPr>
        <w:t>工艺</w:t>
      </w:r>
      <w:r>
        <w:rPr>
          <w:rFonts w:hint="eastAsia" w:ascii="仿宋" w:hAnsi="仿宋" w:eastAsia="仿宋" w:cs="仿宋"/>
          <w:sz w:val="24"/>
          <w:szCs w:val="24"/>
        </w:rPr>
        <w:t>生产节拍</w:t>
      </w:r>
      <w:r>
        <w:rPr>
          <w:rFonts w:hint="eastAsia" w:ascii="仿宋" w:hAnsi="仿宋" w:eastAsia="仿宋" w:cs="仿宋"/>
          <w:sz w:val="24"/>
          <w:szCs w:val="24"/>
          <w:lang w:eastAsia="zh-CN"/>
        </w:rPr>
        <w:t>；</w:t>
      </w:r>
    </w:p>
    <w:p w14:paraId="49A4FD35">
      <w:pPr>
        <w:pStyle w:val="14"/>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设备使用过程中存在防飞溅保护，避免造成人员伤害；</w:t>
      </w:r>
    </w:p>
    <w:p w14:paraId="32E6C8C7">
      <w:pPr>
        <w:pStyle w:val="14"/>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仿宋" w:hAnsi="仿宋" w:eastAsia="仿宋" w:cs="仿宋"/>
          <w:sz w:val="24"/>
          <w:szCs w:val="24"/>
        </w:rPr>
      </w:pPr>
      <w:r>
        <w:rPr>
          <w:rFonts w:hint="eastAsia" w:ascii="仿宋" w:hAnsi="仿宋" w:eastAsia="仿宋" w:cs="仿宋"/>
          <w:sz w:val="24"/>
          <w:szCs w:val="24"/>
        </w:rPr>
        <w:t>所选设备操作界面及附属软件、说明书等为中文；</w:t>
      </w:r>
    </w:p>
    <w:p w14:paraId="605885C5">
      <w:pPr>
        <w:pStyle w:val="14"/>
        <w:keepNext w:val="0"/>
        <w:keepLines w:val="0"/>
        <w:pageBreakBefore w:val="0"/>
        <w:widowControl w:val="0"/>
        <w:numPr>
          <w:ilvl w:val="0"/>
          <w:numId w:val="31"/>
        </w:numPr>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仿宋" w:hAnsi="仿宋" w:eastAsia="仿宋" w:cs="仿宋"/>
          <w:sz w:val="24"/>
          <w:szCs w:val="24"/>
        </w:rPr>
      </w:pPr>
      <w:r>
        <w:rPr>
          <w:rFonts w:hint="eastAsia" w:ascii="仿宋" w:hAnsi="仿宋" w:eastAsia="仿宋" w:cs="仿宋"/>
          <w:sz w:val="24"/>
          <w:szCs w:val="24"/>
        </w:rPr>
        <w:t>投标人应提供设备的第三方检定校准报告，检定费用应由投标人自行承担。</w:t>
      </w:r>
    </w:p>
    <w:p w14:paraId="7183E927">
      <w:pPr>
        <w:pStyle w:val="14"/>
        <w:spacing w:line="360" w:lineRule="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 xml:space="preserve">2.4 </w:t>
      </w:r>
      <w:r>
        <w:rPr>
          <w:rFonts w:hint="eastAsia" w:ascii="仿宋" w:hAnsi="仿宋" w:eastAsia="仿宋" w:cs="仿宋"/>
          <w:color w:val="auto"/>
          <w:sz w:val="24"/>
          <w:szCs w:val="24"/>
        </w:rPr>
        <w:t>维护保养要求</w:t>
      </w:r>
    </w:p>
    <w:p w14:paraId="572D1868">
      <w:pPr>
        <w:pStyle w:val="14"/>
        <w:keepNext w:val="0"/>
        <w:keepLines w:val="0"/>
        <w:pageBreakBefore w:val="0"/>
        <w:widowControl w:val="0"/>
        <w:numPr>
          <w:ilvl w:val="0"/>
          <w:numId w:val="32"/>
        </w:numPr>
        <w:kinsoku/>
        <w:wordWrap/>
        <w:overflowPunct/>
        <w:topLinePunct w:val="0"/>
        <w:autoSpaceDE/>
        <w:autoSpaceDN/>
        <w:bidi w:val="0"/>
        <w:adjustRightInd/>
        <w:snapToGrid/>
        <w:spacing w:line="360" w:lineRule="auto"/>
        <w:ind w:left="0" w:leftChars="0" w:firstLine="480" w:firstLineChars="200"/>
        <w:textAlignment w:val="auto"/>
        <w:outlineLvl w:val="0"/>
        <w:rPr>
          <w:rFonts w:hint="eastAsia" w:ascii="仿宋" w:hAnsi="仿宋" w:eastAsia="仿宋" w:cs="仿宋"/>
          <w:b w:val="0"/>
          <w:bCs w:val="0"/>
          <w:color w:val="auto"/>
          <w:sz w:val="24"/>
          <w:szCs w:val="24"/>
        </w:rPr>
      </w:pPr>
      <w:r>
        <w:rPr>
          <w:rFonts w:hint="eastAsia" w:ascii="仿宋" w:hAnsi="仿宋" w:eastAsia="仿宋" w:cs="仿宋"/>
          <w:b w:val="0"/>
          <w:bCs w:val="0"/>
          <w:color w:val="auto"/>
          <w:sz w:val="24"/>
          <w:szCs w:val="24"/>
        </w:rPr>
        <w:t>工具首次标定由投标方找国家认可的第三方检测机构标定，</w:t>
      </w:r>
      <w:r>
        <w:rPr>
          <w:rFonts w:hint="eastAsia" w:ascii="仿宋" w:hAnsi="仿宋" w:eastAsia="仿宋" w:cs="仿宋"/>
          <w:b w:val="0"/>
          <w:bCs w:val="0"/>
          <w:color w:val="auto"/>
          <w:sz w:val="24"/>
          <w:szCs w:val="24"/>
          <w:lang w:val="en-US" w:eastAsia="zh-CN"/>
        </w:rPr>
        <w:t>并</w:t>
      </w:r>
      <w:r>
        <w:rPr>
          <w:rFonts w:hint="eastAsia" w:ascii="仿宋" w:hAnsi="仿宋" w:eastAsia="仿宋" w:cs="仿宋"/>
          <w:b w:val="0"/>
          <w:bCs w:val="0"/>
          <w:color w:val="auto"/>
          <w:sz w:val="24"/>
          <w:szCs w:val="24"/>
        </w:rPr>
        <w:t>提供检定校准报告；</w:t>
      </w:r>
    </w:p>
    <w:p w14:paraId="5B866FA4">
      <w:pPr>
        <w:pStyle w:val="14"/>
        <w:keepNext w:val="0"/>
        <w:keepLines w:val="0"/>
        <w:pageBreakBefore w:val="0"/>
        <w:widowControl w:val="0"/>
        <w:numPr>
          <w:ilvl w:val="0"/>
          <w:numId w:val="32"/>
        </w:numPr>
        <w:kinsoku/>
        <w:wordWrap/>
        <w:overflowPunct/>
        <w:topLinePunct w:val="0"/>
        <w:autoSpaceDE/>
        <w:autoSpaceDN/>
        <w:bidi w:val="0"/>
        <w:adjustRightInd/>
        <w:snapToGrid/>
        <w:spacing w:line="360" w:lineRule="auto"/>
        <w:ind w:left="0" w:leftChars="0" w:firstLine="480" w:firstLineChars="200"/>
        <w:textAlignment w:val="auto"/>
        <w:outlineLvl w:val="0"/>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rPr>
        <w:t>工具维保：验收前对设备免费保养和备件更换；验收后质保期内一年内提供免费维保；</w:t>
      </w:r>
      <w:r>
        <w:rPr>
          <w:rFonts w:hint="eastAsia" w:ascii="仿宋" w:hAnsi="仿宋" w:eastAsia="仿宋" w:cs="仿宋"/>
          <w:b w:val="0"/>
          <w:bCs w:val="0"/>
          <w:color w:val="auto"/>
          <w:sz w:val="24"/>
          <w:szCs w:val="24"/>
          <w:lang w:val="en-US" w:eastAsia="zh-CN"/>
        </w:rPr>
        <w:t>工具维修保养次数根据工具的使用频次确定，一年质保期到期前，应免费进行批量维护保养；</w:t>
      </w:r>
    </w:p>
    <w:p w14:paraId="60BB396B">
      <w:pPr>
        <w:pStyle w:val="14"/>
        <w:keepNext w:val="0"/>
        <w:keepLines w:val="0"/>
        <w:pageBreakBefore w:val="0"/>
        <w:widowControl w:val="0"/>
        <w:numPr>
          <w:ilvl w:val="0"/>
          <w:numId w:val="32"/>
        </w:numPr>
        <w:kinsoku/>
        <w:wordWrap/>
        <w:overflowPunct/>
        <w:topLinePunct w:val="0"/>
        <w:autoSpaceDE/>
        <w:autoSpaceDN/>
        <w:bidi w:val="0"/>
        <w:adjustRightInd/>
        <w:snapToGrid/>
        <w:spacing w:line="360" w:lineRule="auto"/>
        <w:ind w:left="0" w:leftChars="0" w:firstLine="480" w:firstLineChars="200"/>
        <w:textAlignment w:val="auto"/>
        <w:outlineLvl w:val="0"/>
        <w:rPr>
          <w:rFonts w:hint="eastAsia" w:ascii="仿宋" w:hAnsi="仿宋" w:eastAsia="仿宋" w:cs="仿宋"/>
          <w:b w:val="0"/>
          <w:bCs w:val="0"/>
          <w:color w:val="auto"/>
          <w:sz w:val="24"/>
          <w:szCs w:val="24"/>
        </w:rPr>
      </w:pPr>
      <w:r>
        <w:rPr>
          <w:rFonts w:hint="eastAsia" w:ascii="仿宋" w:hAnsi="仿宋" w:eastAsia="仿宋" w:cs="仿宋"/>
          <w:b w:val="0"/>
          <w:bCs w:val="0"/>
          <w:color w:val="auto"/>
          <w:sz w:val="24"/>
          <w:szCs w:val="24"/>
        </w:rPr>
        <w:t>工具保养：明确质保期到期后5年内工具的维保价格；</w:t>
      </w:r>
    </w:p>
    <w:p w14:paraId="027D3780">
      <w:pPr>
        <w:pStyle w:val="14"/>
        <w:keepNext w:val="0"/>
        <w:keepLines w:val="0"/>
        <w:pageBreakBefore w:val="0"/>
        <w:widowControl w:val="0"/>
        <w:numPr>
          <w:ilvl w:val="0"/>
          <w:numId w:val="32"/>
        </w:numPr>
        <w:kinsoku/>
        <w:wordWrap/>
        <w:overflowPunct/>
        <w:topLinePunct w:val="0"/>
        <w:autoSpaceDE/>
        <w:autoSpaceDN/>
        <w:bidi w:val="0"/>
        <w:adjustRightInd/>
        <w:snapToGrid/>
        <w:spacing w:line="360" w:lineRule="auto"/>
        <w:ind w:left="0" w:leftChars="0" w:firstLine="480" w:firstLineChars="200"/>
        <w:textAlignment w:val="auto"/>
        <w:outlineLvl w:val="0"/>
        <w:rPr>
          <w:rFonts w:hint="eastAsia" w:ascii="仿宋" w:hAnsi="仿宋" w:eastAsia="仿宋" w:cs="仿宋"/>
          <w:b w:val="0"/>
          <w:bCs w:val="0"/>
          <w:color w:val="auto"/>
          <w:sz w:val="24"/>
          <w:szCs w:val="24"/>
        </w:rPr>
      </w:pPr>
      <w:r>
        <w:rPr>
          <w:rFonts w:hint="eastAsia" w:ascii="仿宋" w:hAnsi="仿宋" w:eastAsia="仿宋" w:cs="仿宋"/>
          <w:b w:val="0"/>
          <w:bCs w:val="0"/>
          <w:color w:val="auto"/>
          <w:sz w:val="24"/>
          <w:szCs w:val="24"/>
        </w:rPr>
        <w:t>备件价格：承诺维修备件零整比不大于2（单件备件价格不超过整机50%），并提供易损备件明细及价格用于后续5年内备件定价；</w:t>
      </w:r>
    </w:p>
    <w:p w14:paraId="3E4EFBE7">
      <w:pPr>
        <w:pStyle w:val="14"/>
        <w:keepNext w:val="0"/>
        <w:keepLines w:val="0"/>
        <w:pageBreakBefore w:val="0"/>
        <w:widowControl w:val="0"/>
        <w:numPr>
          <w:ilvl w:val="0"/>
          <w:numId w:val="32"/>
        </w:numPr>
        <w:kinsoku/>
        <w:wordWrap/>
        <w:overflowPunct/>
        <w:topLinePunct w:val="0"/>
        <w:autoSpaceDE/>
        <w:autoSpaceDN/>
        <w:bidi w:val="0"/>
        <w:adjustRightInd/>
        <w:snapToGrid/>
        <w:spacing w:line="360" w:lineRule="auto"/>
        <w:ind w:left="0" w:leftChars="0" w:firstLine="480" w:firstLineChars="200"/>
        <w:textAlignment w:val="auto"/>
        <w:outlineLvl w:val="0"/>
        <w:rPr>
          <w:rFonts w:hint="eastAsia" w:ascii="仿宋" w:hAnsi="仿宋" w:eastAsia="仿宋" w:cs="仿宋"/>
          <w:sz w:val="24"/>
          <w:szCs w:val="24"/>
          <w:highlight w:val="yellow"/>
        </w:rPr>
      </w:pPr>
      <w:r>
        <w:rPr>
          <w:rFonts w:hint="eastAsia" w:ascii="仿宋" w:hAnsi="仿宋" w:eastAsia="仿宋" w:cs="仿宋"/>
          <w:b w:val="0"/>
          <w:bCs w:val="0"/>
          <w:color w:val="auto"/>
          <w:sz w:val="24"/>
          <w:szCs w:val="24"/>
        </w:rPr>
        <w:t>投标方需对招标方人员工装、设备、工具的基本结构、工作原理、操作内容（常见故障及排除方法）进行专项培训；</w:t>
      </w:r>
    </w:p>
    <w:p w14:paraId="3F6FCC12">
      <w:pPr>
        <w:pStyle w:val="14"/>
        <w:keepNext w:val="0"/>
        <w:keepLines w:val="0"/>
        <w:pageBreakBefore w:val="0"/>
        <w:widowControl w:val="0"/>
        <w:numPr>
          <w:ilvl w:val="0"/>
          <w:numId w:val="32"/>
        </w:numPr>
        <w:kinsoku/>
        <w:wordWrap/>
        <w:overflowPunct/>
        <w:topLinePunct w:val="0"/>
        <w:autoSpaceDE/>
        <w:autoSpaceDN/>
        <w:bidi w:val="0"/>
        <w:adjustRightInd/>
        <w:snapToGrid/>
        <w:spacing w:line="360" w:lineRule="auto"/>
        <w:ind w:left="0" w:leftChars="0" w:firstLine="480" w:firstLineChars="200"/>
        <w:textAlignment w:val="auto"/>
        <w:outlineLvl w:val="0"/>
        <w:rPr>
          <w:rFonts w:hint="eastAsia" w:ascii="仿宋" w:hAnsi="仿宋" w:eastAsia="仿宋" w:cs="仿宋"/>
          <w:sz w:val="24"/>
          <w:szCs w:val="24"/>
          <w:highlight w:val="yellow"/>
        </w:rPr>
      </w:pPr>
      <w:r>
        <w:rPr>
          <w:rFonts w:hint="eastAsia" w:ascii="仿宋" w:hAnsi="仿宋" w:eastAsia="仿宋" w:cs="仿宋"/>
          <w:b w:val="0"/>
          <w:bCs w:val="0"/>
          <w:color w:val="auto"/>
          <w:sz w:val="24"/>
          <w:szCs w:val="24"/>
        </w:rPr>
        <w:t>投标方需对招标方人员涉及的工具维修、保养、性能标定项目和要求进行专项培训</w:t>
      </w:r>
      <w:r>
        <w:rPr>
          <w:rFonts w:hint="eastAsia" w:ascii="仿宋" w:hAnsi="仿宋" w:eastAsia="仿宋" w:cs="仿宋"/>
          <w:b w:val="0"/>
          <w:bCs w:val="0"/>
          <w:color w:val="auto"/>
          <w:sz w:val="24"/>
          <w:szCs w:val="24"/>
          <w:lang w:eastAsia="zh-CN"/>
        </w:rPr>
        <w:t>；</w:t>
      </w:r>
    </w:p>
    <w:p w14:paraId="17606596">
      <w:pPr>
        <w:pStyle w:val="14"/>
        <w:keepNext w:val="0"/>
        <w:keepLines w:val="0"/>
        <w:pageBreakBefore w:val="0"/>
        <w:widowControl w:val="0"/>
        <w:numPr>
          <w:ilvl w:val="0"/>
          <w:numId w:val="32"/>
        </w:numPr>
        <w:kinsoku/>
        <w:wordWrap/>
        <w:overflowPunct/>
        <w:topLinePunct w:val="0"/>
        <w:autoSpaceDE/>
        <w:autoSpaceDN/>
        <w:bidi w:val="0"/>
        <w:adjustRightInd/>
        <w:snapToGrid/>
        <w:spacing w:line="360" w:lineRule="auto"/>
        <w:ind w:left="0" w:leftChars="0" w:firstLine="480" w:firstLineChars="200"/>
        <w:textAlignment w:val="auto"/>
        <w:outlineLvl w:val="0"/>
        <w:rPr>
          <w:rFonts w:hint="eastAsia" w:ascii="仿宋" w:hAnsi="仿宋" w:eastAsia="仿宋" w:cs="仿宋"/>
          <w:sz w:val="24"/>
          <w:szCs w:val="24"/>
          <w:highlight w:val="yellow"/>
        </w:rPr>
      </w:pPr>
      <w:r>
        <w:rPr>
          <w:rFonts w:hint="eastAsia" w:ascii="仿宋" w:hAnsi="仿宋" w:eastAsia="仿宋" w:cs="仿宋"/>
          <w:b w:val="0"/>
          <w:bCs w:val="0"/>
          <w:color w:val="auto"/>
          <w:sz w:val="24"/>
          <w:szCs w:val="24"/>
        </w:rPr>
        <w:t>维修维保响应：</w:t>
      </w:r>
      <w:r>
        <w:rPr>
          <w:rFonts w:hint="eastAsia" w:ascii="仿宋" w:hAnsi="仿宋" w:eastAsia="仿宋" w:cs="仿宋"/>
          <w:b w:val="0"/>
          <w:bCs w:val="0"/>
          <w:color w:val="auto"/>
          <w:sz w:val="24"/>
          <w:szCs w:val="24"/>
          <w:lang w:val="en-US" w:eastAsia="zh-CN"/>
        </w:rPr>
        <w:t>建议维修维保响应时间为一周，特殊情况需说明</w:t>
      </w:r>
      <w:r>
        <w:rPr>
          <w:rFonts w:hint="eastAsia" w:ascii="仿宋" w:hAnsi="仿宋" w:eastAsia="仿宋" w:cs="仿宋"/>
          <w:b w:val="0"/>
          <w:bCs w:val="0"/>
          <w:color w:val="auto"/>
          <w:sz w:val="24"/>
          <w:szCs w:val="24"/>
          <w:lang w:eastAsia="zh-CN"/>
        </w:rPr>
        <w:t>。</w:t>
      </w:r>
    </w:p>
    <w:p w14:paraId="2A8A37FB">
      <w:pPr>
        <w:pageBreakBefore w:val="0"/>
        <w:widowControl w:val="0"/>
        <w:kinsoku/>
        <w:wordWrap/>
        <w:overflowPunct/>
        <w:topLinePunct w:val="0"/>
        <w:autoSpaceDE/>
        <w:autoSpaceDN/>
        <w:bidi w:val="0"/>
        <w:adjustRightInd/>
        <w:snapToGrid/>
        <w:spacing w:line="360" w:lineRule="auto"/>
        <w:textAlignment w:val="auto"/>
        <w:outlineLvl w:val="9"/>
        <w:rPr>
          <w:rFonts w:hint="eastAsia" w:ascii="仿宋" w:hAnsi="仿宋" w:eastAsia="仿宋" w:cs="仿宋"/>
          <w:b/>
          <w:bCs/>
          <w:color w:val="auto"/>
          <w:sz w:val="24"/>
          <w:szCs w:val="24"/>
          <w:highlight w:val="none"/>
          <w:lang w:val="en-US" w:eastAsia="zh-CN"/>
        </w:rPr>
      </w:pPr>
      <w:r>
        <w:rPr>
          <w:rFonts w:hint="eastAsia" w:ascii="仿宋" w:hAnsi="仿宋" w:eastAsia="仿宋" w:cs="仿宋"/>
          <w:b/>
          <w:bCs/>
          <w:color w:val="auto"/>
          <w:sz w:val="24"/>
          <w:szCs w:val="24"/>
          <w:highlight w:val="none"/>
          <w:lang w:val="en-US" w:eastAsia="zh-CN"/>
        </w:rPr>
        <w:t>3、安全及环保要求</w:t>
      </w:r>
    </w:p>
    <w:p w14:paraId="1106C3A9">
      <w:pPr>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仿宋" w:hAnsi="仿宋" w:eastAsia="仿宋" w:cs="仿宋"/>
          <w:b w:val="0"/>
          <w:bCs w:val="0"/>
          <w:color w:val="auto"/>
          <w:sz w:val="24"/>
          <w:szCs w:val="24"/>
          <w:highlight w:val="none"/>
        </w:rPr>
      </w:pPr>
      <w:r>
        <w:rPr>
          <w:rFonts w:hint="eastAsia" w:ascii="仿宋" w:hAnsi="仿宋" w:eastAsia="仿宋" w:cs="仿宋"/>
          <w:b w:val="0"/>
          <w:bCs w:val="0"/>
          <w:color w:val="auto"/>
          <w:sz w:val="24"/>
          <w:szCs w:val="24"/>
          <w:highlight w:val="none"/>
          <w:lang w:val="en-US" w:eastAsia="zh-CN"/>
        </w:rPr>
        <w:t>3.</w:t>
      </w:r>
      <w:r>
        <w:rPr>
          <w:rFonts w:hint="eastAsia" w:ascii="仿宋" w:hAnsi="仿宋" w:eastAsia="仿宋" w:cs="仿宋"/>
          <w:b w:val="0"/>
          <w:bCs w:val="0"/>
          <w:color w:val="auto"/>
          <w:sz w:val="24"/>
          <w:szCs w:val="24"/>
          <w:highlight w:val="none"/>
        </w:rPr>
        <w:t>1投标方所供的货物（或生产线），必须符合中国最新版的安全</w:t>
      </w:r>
      <w:r>
        <w:rPr>
          <w:rFonts w:hint="eastAsia" w:ascii="仿宋" w:hAnsi="仿宋" w:eastAsia="仿宋" w:cs="仿宋"/>
          <w:b w:val="0"/>
          <w:bCs w:val="0"/>
          <w:color w:val="auto"/>
          <w:sz w:val="24"/>
          <w:szCs w:val="24"/>
          <w:highlight w:val="none"/>
          <w:lang w:eastAsia="zh-CN"/>
        </w:rPr>
        <w:t>、环保、消防及职业健康的</w:t>
      </w:r>
      <w:r>
        <w:rPr>
          <w:rFonts w:hint="eastAsia" w:ascii="仿宋" w:hAnsi="仿宋" w:eastAsia="仿宋" w:cs="仿宋"/>
          <w:b w:val="0"/>
          <w:bCs w:val="0"/>
          <w:color w:val="auto"/>
          <w:sz w:val="24"/>
          <w:szCs w:val="24"/>
          <w:highlight w:val="none"/>
        </w:rPr>
        <w:t>法律、法规要求，符合行业安全标准及项目所在地政府有关特殊要求。</w:t>
      </w:r>
    </w:p>
    <w:p w14:paraId="578B5AFC">
      <w:pPr>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仿宋" w:hAnsi="仿宋" w:eastAsia="仿宋" w:cs="仿宋"/>
          <w:b w:val="0"/>
          <w:bCs w:val="0"/>
          <w:color w:val="auto"/>
          <w:sz w:val="24"/>
          <w:szCs w:val="24"/>
          <w:highlight w:val="none"/>
        </w:rPr>
      </w:pPr>
      <w:r>
        <w:rPr>
          <w:rFonts w:hint="eastAsia" w:ascii="仿宋" w:hAnsi="仿宋" w:eastAsia="仿宋" w:cs="仿宋"/>
          <w:b w:val="0"/>
          <w:bCs w:val="0"/>
          <w:color w:val="auto"/>
          <w:sz w:val="24"/>
          <w:szCs w:val="24"/>
          <w:highlight w:val="none"/>
          <w:lang w:val="en-US" w:eastAsia="zh-CN"/>
        </w:rPr>
        <w:t>3</w:t>
      </w:r>
      <w:r>
        <w:rPr>
          <w:rFonts w:hint="eastAsia" w:ascii="仿宋" w:hAnsi="仿宋" w:eastAsia="仿宋" w:cs="仿宋"/>
          <w:b w:val="0"/>
          <w:bCs w:val="0"/>
          <w:color w:val="auto"/>
          <w:sz w:val="24"/>
          <w:szCs w:val="24"/>
          <w:highlight w:val="none"/>
        </w:rPr>
        <w:t>.2 货物（或生产线）应完整且所有的零部件应该安装安全、牢固，外观无损伤，所有的焊缝饱满、无残渣等缺陷且符合国家及行业相关标准。</w:t>
      </w:r>
    </w:p>
    <w:p w14:paraId="4A67E164">
      <w:pPr>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仿宋" w:hAnsi="仿宋" w:eastAsia="仿宋" w:cs="仿宋"/>
          <w:b w:val="0"/>
          <w:bCs w:val="0"/>
          <w:color w:val="auto"/>
          <w:sz w:val="24"/>
          <w:szCs w:val="24"/>
          <w:highlight w:val="none"/>
        </w:rPr>
      </w:pPr>
      <w:r>
        <w:rPr>
          <w:rFonts w:hint="eastAsia" w:ascii="仿宋" w:hAnsi="仿宋" w:eastAsia="仿宋" w:cs="仿宋"/>
          <w:b w:val="0"/>
          <w:bCs w:val="0"/>
          <w:color w:val="auto"/>
          <w:sz w:val="24"/>
          <w:szCs w:val="24"/>
          <w:highlight w:val="none"/>
          <w:lang w:val="en-US" w:eastAsia="zh-CN"/>
        </w:rPr>
        <w:t>3</w:t>
      </w:r>
      <w:r>
        <w:rPr>
          <w:rFonts w:hint="eastAsia" w:ascii="仿宋" w:hAnsi="仿宋" w:eastAsia="仿宋" w:cs="仿宋"/>
          <w:b w:val="0"/>
          <w:bCs w:val="0"/>
          <w:color w:val="auto"/>
          <w:sz w:val="24"/>
          <w:szCs w:val="24"/>
          <w:highlight w:val="none"/>
        </w:rPr>
        <w:t>.3 对生产线存在安全</w:t>
      </w:r>
      <w:r>
        <w:rPr>
          <w:rFonts w:hint="eastAsia" w:ascii="仿宋" w:hAnsi="仿宋" w:eastAsia="仿宋" w:cs="仿宋"/>
          <w:b w:val="0"/>
          <w:bCs w:val="0"/>
          <w:color w:val="auto"/>
          <w:sz w:val="24"/>
          <w:szCs w:val="24"/>
          <w:highlight w:val="none"/>
          <w:lang w:val="en-US" w:eastAsia="zh-CN"/>
        </w:rPr>
        <w:t>风险</w:t>
      </w:r>
      <w:r>
        <w:rPr>
          <w:rFonts w:hint="eastAsia" w:ascii="仿宋" w:hAnsi="仿宋" w:eastAsia="仿宋" w:cs="仿宋"/>
          <w:b w:val="0"/>
          <w:bCs w:val="0"/>
          <w:color w:val="auto"/>
          <w:sz w:val="24"/>
          <w:szCs w:val="24"/>
          <w:highlight w:val="none"/>
        </w:rPr>
        <w:t>的工位必须采取安全措施，如：线体防护板、高温防护、光栅等。</w:t>
      </w:r>
    </w:p>
    <w:p w14:paraId="61D58442">
      <w:pPr>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仿宋" w:hAnsi="仿宋" w:eastAsia="仿宋" w:cs="仿宋"/>
          <w:b w:val="0"/>
          <w:bCs w:val="0"/>
          <w:color w:val="auto"/>
          <w:sz w:val="24"/>
          <w:szCs w:val="24"/>
          <w:highlight w:val="none"/>
        </w:rPr>
      </w:pPr>
      <w:r>
        <w:rPr>
          <w:rFonts w:hint="eastAsia" w:ascii="仿宋" w:hAnsi="仿宋" w:eastAsia="仿宋" w:cs="仿宋"/>
          <w:b w:val="0"/>
          <w:bCs w:val="0"/>
          <w:color w:val="auto"/>
          <w:sz w:val="24"/>
          <w:szCs w:val="24"/>
          <w:highlight w:val="none"/>
          <w:lang w:val="en-US" w:eastAsia="zh-CN"/>
        </w:rPr>
        <w:t>3</w:t>
      </w:r>
      <w:r>
        <w:rPr>
          <w:rFonts w:hint="eastAsia" w:ascii="仿宋" w:hAnsi="仿宋" w:eastAsia="仿宋" w:cs="仿宋"/>
          <w:b w:val="0"/>
          <w:bCs w:val="0"/>
          <w:color w:val="auto"/>
          <w:sz w:val="24"/>
          <w:szCs w:val="24"/>
          <w:highlight w:val="none"/>
        </w:rPr>
        <w:t>.4 从安全生产的角度考虑各单元及工位应设有急停按钮，并有明显标识。设置位置在物料入口以及出口位置:需要对机器进行干预的位置，例如有保持一运行控制装置的工位;所有设计为人机交互的位置(如装料/卸料区),急停开关必须为红色，且有清晰的标签；按钮操作应灵活、可靠、无卡阻。</w:t>
      </w:r>
    </w:p>
    <w:p w14:paraId="6C64D973">
      <w:pPr>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仿宋" w:hAnsi="仿宋" w:eastAsia="仿宋" w:cs="仿宋"/>
          <w:b w:val="0"/>
          <w:bCs w:val="0"/>
          <w:color w:val="auto"/>
          <w:sz w:val="24"/>
          <w:szCs w:val="24"/>
          <w:highlight w:val="none"/>
        </w:rPr>
      </w:pPr>
      <w:r>
        <w:rPr>
          <w:rFonts w:hint="eastAsia" w:ascii="仿宋" w:hAnsi="仿宋" w:eastAsia="仿宋" w:cs="仿宋"/>
          <w:b w:val="0"/>
          <w:bCs w:val="0"/>
          <w:color w:val="auto"/>
          <w:sz w:val="24"/>
          <w:szCs w:val="24"/>
          <w:highlight w:val="none"/>
          <w:lang w:val="en-US" w:eastAsia="zh-CN"/>
        </w:rPr>
        <w:t>3</w:t>
      </w:r>
      <w:r>
        <w:rPr>
          <w:rFonts w:hint="eastAsia" w:ascii="仿宋" w:hAnsi="仿宋" w:eastAsia="仿宋" w:cs="仿宋"/>
          <w:b w:val="0"/>
          <w:bCs w:val="0"/>
          <w:color w:val="auto"/>
          <w:sz w:val="24"/>
          <w:szCs w:val="24"/>
          <w:highlight w:val="none"/>
        </w:rPr>
        <w:t>.5 单元操作面板上有上电按钮和急停按钮，上电后可对系统进行操作。</w:t>
      </w:r>
    </w:p>
    <w:p w14:paraId="44E7C6D0">
      <w:pPr>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仿宋" w:hAnsi="仿宋" w:eastAsia="仿宋" w:cs="仿宋"/>
          <w:b w:val="0"/>
          <w:bCs w:val="0"/>
          <w:color w:val="auto"/>
          <w:sz w:val="24"/>
          <w:szCs w:val="24"/>
          <w:highlight w:val="none"/>
        </w:rPr>
      </w:pPr>
      <w:r>
        <w:rPr>
          <w:rFonts w:hint="eastAsia" w:ascii="仿宋" w:hAnsi="仿宋" w:eastAsia="仿宋" w:cs="仿宋"/>
          <w:b w:val="0"/>
          <w:bCs w:val="0"/>
          <w:color w:val="auto"/>
          <w:sz w:val="24"/>
          <w:szCs w:val="24"/>
          <w:highlight w:val="none"/>
          <w:lang w:val="en-US" w:eastAsia="zh-CN"/>
        </w:rPr>
        <w:t>3</w:t>
      </w:r>
      <w:r>
        <w:rPr>
          <w:rFonts w:hint="eastAsia" w:ascii="仿宋" w:hAnsi="仿宋" w:eastAsia="仿宋" w:cs="仿宋"/>
          <w:b w:val="0"/>
          <w:bCs w:val="0"/>
          <w:color w:val="auto"/>
          <w:sz w:val="24"/>
          <w:szCs w:val="24"/>
          <w:highlight w:val="none"/>
        </w:rPr>
        <w:t>.6 所有电气安装和施工均应符合我国现行行业标准（规范）</w:t>
      </w:r>
      <w:r>
        <w:rPr>
          <w:rFonts w:hint="eastAsia" w:ascii="仿宋" w:hAnsi="仿宋" w:eastAsia="仿宋" w:cs="仿宋"/>
          <w:b w:val="0"/>
          <w:bCs w:val="0"/>
          <w:color w:val="auto"/>
          <w:sz w:val="24"/>
          <w:szCs w:val="24"/>
          <w:highlight w:val="none"/>
          <w:lang w:eastAsia="zh-CN"/>
        </w:rPr>
        <w:t>，电器柜需张贴当心触电警示标识</w:t>
      </w:r>
      <w:r>
        <w:rPr>
          <w:rFonts w:hint="eastAsia" w:ascii="仿宋" w:hAnsi="仿宋" w:eastAsia="仿宋" w:cs="仿宋"/>
          <w:b w:val="0"/>
          <w:bCs w:val="0"/>
          <w:color w:val="auto"/>
          <w:sz w:val="24"/>
          <w:szCs w:val="24"/>
          <w:highlight w:val="none"/>
        </w:rPr>
        <w:t>。</w:t>
      </w:r>
    </w:p>
    <w:p w14:paraId="4D3133AE">
      <w:pPr>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仿宋" w:hAnsi="仿宋" w:eastAsia="仿宋" w:cs="仿宋"/>
          <w:b w:val="0"/>
          <w:bCs w:val="0"/>
          <w:color w:val="auto"/>
          <w:sz w:val="24"/>
          <w:szCs w:val="24"/>
          <w:highlight w:val="none"/>
        </w:rPr>
      </w:pPr>
      <w:r>
        <w:rPr>
          <w:rFonts w:hint="eastAsia" w:ascii="仿宋" w:hAnsi="仿宋" w:eastAsia="仿宋" w:cs="仿宋"/>
          <w:b w:val="0"/>
          <w:bCs w:val="0"/>
          <w:color w:val="auto"/>
          <w:sz w:val="24"/>
          <w:szCs w:val="24"/>
          <w:highlight w:val="none"/>
          <w:lang w:val="en-US" w:eastAsia="zh-CN"/>
        </w:rPr>
        <w:t>3</w:t>
      </w:r>
      <w:r>
        <w:rPr>
          <w:rFonts w:hint="eastAsia" w:ascii="仿宋" w:hAnsi="仿宋" w:eastAsia="仿宋" w:cs="仿宋"/>
          <w:b w:val="0"/>
          <w:bCs w:val="0"/>
          <w:color w:val="auto"/>
          <w:sz w:val="24"/>
          <w:szCs w:val="24"/>
          <w:highlight w:val="none"/>
        </w:rPr>
        <w:t>.7 投标方必须提供所供设备相应的安全操作规程和安全事项的说明书，危险化学品“一书一签”；负责对招标方相关人员开展“四新”安全培训。</w:t>
      </w:r>
    </w:p>
    <w:p w14:paraId="179BF0A9">
      <w:pPr>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仿宋" w:hAnsi="仿宋" w:eastAsia="仿宋" w:cs="仿宋"/>
          <w:b w:val="0"/>
          <w:bCs w:val="0"/>
          <w:color w:val="auto"/>
          <w:sz w:val="24"/>
          <w:szCs w:val="24"/>
          <w:highlight w:val="none"/>
        </w:rPr>
      </w:pPr>
      <w:r>
        <w:rPr>
          <w:rFonts w:hint="eastAsia" w:ascii="仿宋" w:hAnsi="仿宋" w:eastAsia="仿宋" w:cs="仿宋"/>
          <w:b w:val="0"/>
          <w:bCs w:val="0"/>
          <w:color w:val="auto"/>
          <w:sz w:val="24"/>
          <w:szCs w:val="24"/>
          <w:highlight w:val="none"/>
          <w:lang w:val="en-US" w:eastAsia="zh-CN"/>
        </w:rPr>
        <w:t>3</w:t>
      </w:r>
      <w:r>
        <w:rPr>
          <w:rFonts w:hint="eastAsia" w:ascii="仿宋" w:hAnsi="仿宋" w:eastAsia="仿宋" w:cs="仿宋"/>
          <w:b w:val="0"/>
          <w:bCs w:val="0"/>
          <w:color w:val="auto"/>
          <w:sz w:val="24"/>
          <w:szCs w:val="24"/>
          <w:highlight w:val="none"/>
        </w:rPr>
        <w:t>.8货物（或生产线）应运行稳定、可靠、安全，无非正常变形，非正常振动，无异常声音；无漏水、漏液、漏气（汽）、漏电等现象。</w:t>
      </w:r>
    </w:p>
    <w:p w14:paraId="4153A4B4">
      <w:pPr>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仿宋" w:hAnsi="仿宋" w:eastAsia="仿宋" w:cs="仿宋"/>
          <w:b w:val="0"/>
          <w:bCs w:val="0"/>
          <w:color w:val="auto"/>
          <w:sz w:val="24"/>
          <w:szCs w:val="24"/>
          <w:highlight w:val="none"/>
        </w:rPr>
      </w:pPr>
      <w:r>
        <w:rPr>
          <w:rFonts w:hint="eastAsia" w:ascii="仿宋" w:hAnsi="仿宋" w:eastAsia="仿宋" w:cs="仿宋"/>
          <w:b w:val="0"/>
          <w:bCs w:val="0"/>
          <w:color w:val="auto"/>
          <w:sz w:val="24"/>
          <w:szCs w:val="24"/>
          <w:highlight w:val="none"/>
          <w:lang w:val="en-US" w:eastAsia="zh-CN"/>
        </w:rPr>
        <w:t>3</w:t>
      </w:r>
      <w:r>
        <w:rPr>
          <w:rFonts w:hint="eastAsia" w:ascii="仿宋" w:hAnsi="仿宋" w:eastAsia="仿宋" w:cs="仿宋"/>
          <w:b w:val="0"/>
          <w:bCs w:val="0"/>
          <w:color w:val="auto"/>
          <w:sz w:val="24"/>
          <w:szCs w:val="24"/>
          <w:highlight w:val="none"/>
        </w:rPr>
        <w:t>.9 所有的管路和线缆等，接头应完全正确、可靠地联接；应排列有序（正确、牢固、整齐），有必要的防护，无皱褶、收缩和裂缝等不良现象。</w:t>
      </w:r>
    </w:p>
    <w:p w14:paraId="706E131E">
      <w:pPr>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仿宋" w:hAnsi="仿宋" w:eastAsia="仿宋" w:cs="仿宋"/>
          <w:b w:val="0"/>
          <w:bCs w:val="0"/>
          <w:color w:val="auto"/>
          <w:sz w:val="24"/>
          <w:szCs w:val="24"/>
          <w:highlight w:val="none"/>
        </w:rPr>
      </w:pPr>
      <w:r>
        <w:rPr>
          <w:rFonts w:hint="eastAsia" w:ascii="仿宋" w:hAnsi="仿宋" w:eastAsia="仿宋" w:cs="仿宋"/>
          <w:b w:val="0"/>
          <w:bCs w:val="0"/>
          <w:color w:val="auto"/>
          <w:sz w:val="24"/>
          <w:szCs w:val="24"/>
          <w:highlight w:val="none"/>
          <w:lang w:val="en-US" w:eastAsia="zh-CN"/>
        </w:rPr>
        <w:t>3</w:t>
      </w:r>
      <w:r>
        <w:rPr>
          <w:rFonts w:hint="eastAsia" w:ascii="仿宋" w:hAnsi="仿宋" w:eastAsia="仿宋" w:cs="仿宋"/>
          <w:b w:val="0"/>
          <w:bCs w:val="0"/>
          <w:color w:val="auto"/>
          <w:sz w:val="24"/>
          <w:szCs w:val="24"/>
          <w:highlight w:val="none"/>
        </w:rPr>
        <w:t>.10地线联接和地极符合国际（ISO/IEC）标准规范</w:t>
      </w:r>
      <w:r>
        <w:rPr>
          <w:rFonts w:hint="eastAsia" w:ascii="仿宋" w:hAnsi="仿宋" w:eastAsia="仿宋" w:cs="仿宋"/>
          <w:b w:val="0"/>
          <w:bCs w:val="0"/>
          <w:color w:val="auto"/>
          <w:sz w:val="24"/>
          <w:szCs w:val="24"/>
          <w:highlight w:val="none"/>
          <w:lang w:eastAsia="zh-CN"/>
        </w:rPr>
        <w:t>，电器柜需张贴当心触电警示标识</w:t>
      </w:r>
      <w:r>
        <w:rPr>
          <w:rFonts w:hint="eastAsia" w:ascii="仿宋" w:hAnsi="仿宋" w:eastAsia="仿宋" w:cs="仿宋"/>
          <w:b w:val="0"/>
          <w:bCs w:val="0"/>
          <w:color w:val="auto"/>
          <w:sz w:val="24"/>
          <w:szCs w:val="24"/>
          <w:highlight w:val="none"/>
        </w:rPr>
        <w:t>。</w:t>
      </w:r>
    </w:p>
    <w:p w14:paraId="37669CD9">
      <w:pPr>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仿宋" w:hAnsi="仿宋" w:eastAsia="仿宋" w:cs="仿宋"/>
          <w:b w:val="0"/>
          <w:bCs w:val="0"/>
          <w:color w:val="auto"/>
          <w:sz w:val="24"/>
          <w:szCs w:val="24"/>
          <w:highlight w:val="none"/>
          <w:lang w:eastAsia="zh-CN"/>
        </w:rPr>
      </w:pPr>
      <w:r>
        <w:rPr>
          <w:rFonts w:hint="eastAsia" w:ascii="仿宋" w:hAnsi="仿宋" w:eastAsia="仿宋" w:cs="仿宋"/>
          <w:b w:val="0"/>
          <w:bCs w:val="0"/>
          <w:color w:val="auto"/>
          <w:sz w:val="24"/>
          <w:szCs w:val="24"/>
          <w:highlight w:val="none"/>
          <w:lang w:val="en-US" w:eastAsia="zh-CN"/>
        </w:rPr>
        <w:t>3</w:t>
      </w:r>
      <w:r>
        <w:rPr>
          <w:rFonts w:hint="eastAsia" w:ascii="仿宋" w:hAnsi="仿宋" w:eastAsia="仿宋" w:cs="仿宋"/>
          <w:b w:val="0"/>
          <w:bCs w:val="0"/>
          <w:color w:val="auto"/>
          <w:sz w:val="24"/>
          <w:szCs w:val="24"/>
          <w:highlight w:val="none"/>
        </w:rPr>
        <w:t>.11货物（或生产线）正常运行时，噪声等环境影响因素满足国家（《工作场所物理因素测量噪声》GBZ/T 189.8-2007. 噪音≤80dB(A)（距设备一米处测量））和当地环保主管部门规定</w:t>
      </w:r>
      <w:r>
        <w:rPr>
          <w:rFonts w:hint="eastAsia" w:ascii="仿宋" w:hAnsi="仿宋" w:eastAsia="仿宋" w:cs="仿宋"/>
          <w:b w:val="0"/>
          <w:bCs w:val="0"/>
          <w:color w:val="auto"/>
          <w:sz w:val="24"/>
          <w:szCs w:val="24"/>
          <w:highlight w:val="none"/>
          <w:lang w:eastAsia="zh-CN"/>
        </w:rPr>
        <w:t>。</w:t>
      </w:r>
    </w:p>
    <w:p w14:paraId="22523222">
      <w:pPr>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default" w:ascii="仿宋" w:hAnsi="仿宋" w:eastAsia="仿宋" w:cs="仿宋"/>
          <w:b w:val="0"/>
          <w:bCs w:val="0"/>
          <w:color w:val="auto"/>
          <w:sz w:val="24"/>
          <w:szCs w:val="24"/>
          <w:highlight w:val="none"/>
          <w:lang w:val="en-US" w:eastAsia="zh-CN"/>
        </w:rPr>
      </w:pPr>
      <w:r>
        <w:rPr>
          <w:rFonts w:hint="eastAsia" w:ascii="仿宋" w:hAnsi="仿宋" w:eastAsia="仿宋" w:cs="仿宋"/>
          <w:b w:val="0"/>
          <w:bCs w:val="0"/>
          <w:color w:val="auto"/>
          <w:sz w:val="24"/>
          <w:szCs w:val="24"/>
          <w:highlight w:val="none"/>
        </w:rPr>
        <w:t>验收时，投标方须提供由第三方监测机构出具的噪音合格监测报告。</w:t>
      </w:r>
      <w:r>
        <w:rPr>
          <w:rFonts w:hint="eastAsia" w:ascii="仿宋" w:hAnsi="仿宋" w:eastAsia="仿宋" w:cs="仿宋"/>
          <w:b w:val="0"/>
          <w:bCs w:val="0"/>
          <w:color w:val="auto"/>
          <w:sz w:val="24"/>
          <w:szCs w:val="24"/>
          <w:highlight w:val="none"/>
          <w:lang w:val="en-US" w:eastAsia="zh-CN"/>
        </w:rPr>
        <w:t>监测机构具备监测资质，且招标方认可。</w:t>
      </w:r>
    </w:p>
    <w:p w14:paraId="561017C7">
      <w:pPr>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仿宋" w:hAnsi="仿宋" w:eastAsia="仿宋" w:cs="仿宋"/>
          <w:b w:val="0"/>
          <w:bCs w:val="0"/>
          <w:color w:val="auto"/>
          <w:sz w:val="24"/>
          <w:szCs w:val="24"/>
          <w:highlight w:val="none"/>
        </w:rPr>
      </w:pPr>
      <w:r>
        <w:rPr>
          <w:rFonts w:hint="eastAsia" w:ascii="仿宋" w:hAnsi="仿宋" w:eastAsia="仿宋" w:cs="仿宋"/>
          <w:b w:val="0"/>
          <w:bCs w:val="0"/>
          <w:color w:val="auto"/>
          <w:sz w:val="24"/>
          <w:szCs w:val="24"/>
          <w:highlight w:val="none"/>
          <w:lang w:val="en-US" w:eastAsia="zh-CN"/>
        </w:rPr>
        <w:t>3</w:t>
      </w:r>
      <w:r>
        <w:rPr>
          <w:rFonts w:hint="eastAsia" w:ascii="仿宋" w:hAnsi="仿宋" w:eastAsia="仿宋" w:cs="仿宋"/>
          <w:b w:val="0"/>
          <w:bCs w:val="0"/>
          <w:color w:val="auto"/>
          <w:sz w:val="24"/>
          <w:szCs w:val="24"/>
          <w:highlight w:val="none"/>
        </w:rPr>
        <w:t>.12 可附有投标方认为能够证明其所供货物（或生产线）安全性水平、节能性水平、环保性水平等相关的其它证明文件或资料、报告等，如电气开关柜等电气设备的内部故障电弧效应试验报告、噪声较大设备的噪声检验报告等。</w:t>
      </w:r>
    </w:p>
    <w:p w14:paraId="47ED7A6A">
      <w:pPr>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仿宋" w:hAnsi="仿宋" w:eastAsia="仿宋" w:cs="仿宋"/>
          <w:b w:val="0"/>
          <w:bCs w:val="0"/>
          <w:color w:val="auto"/>
          <w:sz w:val="24"/>
          <w:szCs w:val="24"/>
          <w:highlight w:val="none"/>
        </w:rPr>
      </w:pPr>
      <w:r>
        <w:rPr>
          <w:rFonts w:hint="eastAsia" w:ascii="仿宋" w:hAnsi="仿宋" w:eastAsia="仿宋" w:cs="仿宋"/>
          <w:b w:val="0"/>
          <w:bCs w:val="0"/>
          <w:color w:val="auto"/>
          <w:sz w:val="24"/>
          <w:szCs w:val="24"/>
          <w:highlight w:val="none"/>
          <w:lang w:val="en-US" w:eastAsia="zh-CN"/>
        </w:rPr>
        <w:t>3</w:t>
      </w:r>
      <w:r>
        <w:rPr>
          <w:rFonts w:hint="eastAsia" w:ascii="仿宋" w:hAnsi="仿宋" w:eastAsia="仿宋" w:cs="仿宋"/>
          <w:b w:val="0"/>
          <w:bCs w:val="0"/>
          <w:color w:val="auto"/>
          <w:sz w:val="24"/>
          <w:szCs w:val="24"/>
          <w:highlight w:val="none"/>
        </w:rPr>
        <w:t>.13 涉及需要进行环保、职业卫生强制检测的项目（设备、设施），应由中标方提供权威第三方检测机构出具的完工检测报告。</w:t>
      </w:r>
    </w:p>
    <w:p w14:paraId="6CAA4543">
      <w:pPr>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仿宋" w:hAnsi="仿宋" w:eastAsia="仿宋" w:cs="仿宋"/>
          <w:b w:val="0"/>
          <w:bCs w:val="0"/>
          <w:color w:val="auto"/>
          <w:sz w:val="24"/>
          <w:szCs w:val="24"/>
          <w:highlight w:val="none"/>
        </w:rPr>
      </w:pPr>
      <w:r>
        <w:rPr>
          <w:rFonts w:hint="eastAsia" w:ascii="仿宋" w:hAnsi="仿宋" w:eastAsia="仿宋" w:cs="仿宋"/>
          <w:b w:val="0"/>
          <w:bCs w:val="0"/>
          <w:color w:val="auto"/>
          <w:sz w:val="24"/>
          <w:szCs w:val="24"/>
          <w:highlight w:val="none"/>
          <w:lang w:val="en-US" w:eastAsia="zh-CN"/>
        </w:rPr>
        <w:t>3</w:t>
      </w:r>
      <w:r>
        <w:rPr>
          <w:rFonts w:hint="eastAsia" w:ascii="仿宋" w:hAnsi="仿宋" w:eastAsia="仿宋" w:cs="仿宋"/>
          <w:b w:val="0"/>
          <w:bCs w:val="0"/>
          <w:color w:val="auto"/>
          <w:sz w:val="24"/>
          <w:szCs w:val="24"/>
          <w:highlight w:val="none"/>
        </w:rPr>
        <w:t>.14 特种设备应提供济南市特种设备检验研究院出具的首次检验报告，招标方协助中标方办理相关注册登记手续。</w:t>
      </w:r>
    </w:p>
    <w:p w14:paraId="1B5AA56F">
      <w:pPr>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仿宋" w:hAnsi="仿宋" w:eastAsia="仿宋" w:cs="仿宋"/>
          <w:b w:val="0"/>
          <w:bCs w:val="0"/>
          <w:color w:val="auto"/>
          <w:sz w:val="24"/>
          <w:szCs w:val="24"/>
          <w:highlight w:val="none"/>
        </w:rPr>
      </w:pPr>
      <w:r>
        <w:rPr>
          <w:rFonts w:hint="eastAsia" w:ascii="仿宋" w:hAnsi="仿宋" w:eastAsia="仿宋" w:cs="仿宋"/>
          <w:b w:val="0"/>
          <w:bCs w:val="0"/>
          <w:color w:val="auto"/>
          <w:sz w:val="24"/>
          <w:szCs w:val="24"/>
          <w:highlight w:val="none"/>
          <w:lang w:val="en-US" w:eastAsia="zh-CN"/>
        </w:rPr>
        <w:t>3</w:t>
      </w:r>
      <w:r>
        <w:rPr>
          <w:rFonts w:hint="eastAsia" w:ascii="仿宋" w:hAnsi="仿宋" w:eastAsia="仿宋" w:cs="仿宋"/>
          <w:b w:val="0"/>
          <w:bCs w:val="0"/>
          <w:color w:val="auto"/>
          <w:sz w:val="24"/>
          <w:szCs w:val="24"/>
          <w:highlight w:val="none"/>
        </w:rPr>
        <w:t>.15机器人作业区域安全防护。</w:t>
      </w:r>
      <w:r>
        <w:rPr>
          <w:rFonts w:hint="eastAsia" w:ascii="仿宋" w:hAnsi="仿宋" w:eastAsia="仿宋" w:cs="仿宋"/>
          <w:b w:val="0"/>
          <w:bCs w:val="0"/>
          <w:color w:val="auto"/>
          <w:sz w:val="24"/>
          <w:szCs w:val="24"/>
          <w:highlight w:val="none"/>
          <w:lang w:val="en-US" w:eastAsia="zh-CN"/>
        </w:rPr>
        <w:t>机器人作业区域需安装</w:t>
      </w:r>
      <w:r>
        <w:rPr>
          <w:rFonts w:hint="eastAsia" w:ascii="仿宋" w:hAnsi="仿宋" w:eastAsia="仿宋" w:cs="仿宋"/>
          <w:b w:val="0"/>
          <w:bCs w:val="0"/>
          <w:color w:val="auto"/>
          <w:sz w:val="24"/>
          <w:szCs w:val="24"/>
          <w:highlight w:val="none"/>
        </w:rPr>
        <w:t>安全防护</w:t>
      </w:r>
      <w:r>
        <w:rPr>
          <w:rFonts w:hint="eastAsia" w:ascii="仿宋" w:hAnsi="仿宋" w:eastAsia="仿宋" w:cs="仿宋"/>
          <w:b w:val="0"/>
          <w:bCs w:val="0"/>
          <w:color w:val="auto"/>
          <w:sz w:val="24"/>
          <w:szCs w:val="24"/>
          <w:highlight w:val="none"/>
          <w:lang w:val="en-US" w:eastAsia="zh-CN"/>
        </w:rPr>
        <w:t>隔离，安全防护隔离</w:t>
      </w:r>
      <w:r>
        <w:rPr>
          <w:rFonts w:hint="eastAsia" w:ascii="仿宋" w:hAnsi="仿宋" w:eastAsia="仿宋" w:cs="仿宋"/>
          <w:b w:val="0"/>
          <w:bCs w:val="0"/>
          <w:color w:val="auto"/>
          <w:sz w:val="24"/>
          <w:szCs w:val="24"/>
          <w:highlight w:val="none"/>
        </w:rPr>
        <w:t>形式：采用型钢材质整体式设计，由方管焊接框架结构和金属网格组成，防护栏立柱和防护栏采用螺栓连接；安全门采用门联锁进行安全防护。门联锁必须保证，只有当安全门处于完全关闭状态时，才容许机器人自动运行，当安全门打开时机器人须立即停止运行。</w:t>
      </w:r>
    </w:p>
    <w:p w14:paraId="09C41372">
      <w:pPr>
        <w:pageBreakBefore w:val="0"/>
        <w:widowControl w:val="0"/>
        <w:kinsoku/>
        <w:wordWrap/>
        <w:overflowPunct/>
        <w:topLinePunct w:val="0"/>
        <w:autoSpaceDE/>
        <w:autoSpaceDN/>
        <w:bidi w:val="0"/>
        <w:adjustRightInd/>
        <w:snapToGrid/>
        <w:spacing w:line="360" w:lineRule="auto"/>
        <w:ind w:firstLine="480" w:firstLineChars="200"/>
        <w:textAlignment w:val="auto"/>
        <w:outlineLvl w:val="9"/>
        <w:rPr>
          <w:rFonts w:hint="eastAsia" w:ascii="仿宋" w:hAnsi="仿宋" w:eastAsia="仿宋" w:cs="仿宋"/>
          <w:b w:val="0"/>
          <w:bCs w:val="0"/>
          <w:color w:val="auto"/>
          <w:sz w:val="24"/>
          <w:szCs w:val="24"/>
          <w:highlight w:val="none"/>
        </w:rPr>
      </w:pPr>
      <w:r>
        <w:rPr>
          <w:rFonts w:hint="eastAsia" w:ascii="仿宋" w:hAnsi="仿宋" w:eastAsia="仿宋" w:cs="仿宋"/>
          <w:b w:val="0"/>
          <w:bCs w:val="0"/>
          <w:color w:val="auto"/>
          <w:sz w:val="24"/>
          <w:szCs w:val="24"/>
          <w:highlight w:val="none"/>
          <w:lang w:val="en-US" w:eastAsia="zh-CN"/>
        </w:rPr>
        <w:t>3</w:t>
      </w:r>
      <w:r>
        <w:rPr>
          <w:rFonts w:hint="eastAsia" w:ascii="仿宋" w:hAnsi="仿宋" w:eastAsia="仿宋" w:cs="仿宋"/>
          <w:b w:val="0"/>
          <w:bCs w:val="0"/>
          <w:color w:val="auto"/>
          <w:sz w:val="24"/>
          <w:szCs w:val="24"/>
          <w:highlight w:val="none"/>
        </w:rPr>
        <w:t>.</w:t>
      </w:r>
      <w:r>
        <w:rPr>
          <w:rFonts w:hint="eastAsia" w:ascii="仿宋" w:hAnsi="仿宋" w:eastAsia="仿宋" w:cs="仿宋"/>
          <w:b w:val="0"/>
          <w:bCs w:val="0"/>
          <w:color w:val="auto"/>
          <w:sz w:val="24"/>
          <w:szCs w:val="24"/>
          <w:highlight w:val="none"/>
          <w:lang w:val="en-US" w:eastAsia="zh-CN"/>
        </w:rPr>
        <w:t>16</w:t>
      </w:r>
      <w:r>
        <w:rPr>
          <w:rFonts w:hint="eastAsia" w:ascii="仿宋" w:hAnsi="仿宋" w:eastAsia="仿宋" w:cs="仿宋"/>
          <w:b w:val="0"/>
          <w:bCs w:val="0"/>
          <w:color w:val="auto"/>
          <w:sz w:val="24"/>
          <w:szCs w:val="24"/>
          <w:highlight w:val="none"/>
        </w:rPr>
        <w:t>投标方所投货物外观颜色标准按招标方提供的标准《Q/ZZ 30070—2020》或双方书面约定的标准执行。</w:t>
      </w:r>
    </w:p>
    <w:p w14:paraId="1AA8BF65">
      <w:pPr>
        <w:pStyle w:val="11"/>
        <w:rPr>
          <w:rFonts w:hint="default" w:ascii="仿宋" w:hAnsi="仿宋" w:eastAsia="仿宋" w:cs="仿宋"/>
          <w:sz w:val="24"/>
          <w:szCs w:val="24"/>
          <w:lang w:val="en-US" w:eastAsia="zh-CN"/>
        </w:rPr>
      </w:pPr>
    </w:p>
    <w:p w14:paraId="2C3F4346">
      <w:pPr>
        <w:spacing w:line="360" w:lineRule="auto"/>
        <w:jc w:val="left"/>
        <w:outlineLvl w:val="1"/>
        <w:rPr>
          <w:rFonts w:hint="eastAsia" w:ascii="仿宋" w:hAnsi="仿宋" w:eastAsia="仿宋" w:cs="仿宋"/>
          <w:b/>
          <w:bCs/>
          <w:sz w:val="24"/>
          <w:szCs w:val="24"/>
        </w:rPr>
      </w:pPr>
      <w:r>
        <w:rPr>
          <w:rFonts w:hint="eastAsia" w:ascii="仿宋" w:hAnsi="仿宋" w:eastAsia="仿宋" w:cs="仿宋"/>
          <w:b/>
          <w:bCs/>
          <w:sz w:val="24"/>
          <w:szCs w:val="24"/>
        </w:rPr>
        <w:t>三、特别提示</w:t>
      </w:r>
      <w:bookmarkEnd w:id="63"/>
      <w:bookmarkEnd w:id="64"/>
    </w:p>
    <w:p w14:paraId="7A2DB02B">
      <w:pPr>
        <w:pStyle w:val="12"/>
        <w:spacing w:line="360" w:lineRule="auto"/>
        <w:ind w:left="0" w:leftChars="0" w:firstLine="480" w:firstLineChars="200"/>
        <w:jc w:val="left"/>
        <w:rPr>
          <w:rFonts w:hint="eastAsia" w:ascii="仿宋" w:hAnsi="仿宋" w:eastAsia="仿宋" w:cs="仿宋"/>
          <w:sz w:val="24"/>
          <w:szCs w:val="24"/>
        </w:rPr>
      </w:pPr>
      <w:r>
        <w:rPr>
          <w:rFonts w:hint="eastAsia" w:ascii="仿宋" w:hAnsi="仿宋" w:eastAsia="仿宋" w:cs="仿宋"/>
          <w:sz w:val="24"/>
          <w:szCs w:val="24"/>
        </w:rPr>
        <w:t>1、本技术要求，仅对功能、设计、结构、性能、安装和试验等方面，提出了最低和一般性的技术要求；并未对一切技术细节作出规定，未充分引述有关标准和规范的条文。投标方应保证提供的货物（或生产线）是符合本技术标书和国家最新的有关标准、规范的优质产品。若有异议，不管是多么微小，都应在投标文件“技术偏离”中予以详细说明。</w:t>
      </w:r>
    </w:p>
    <w:p w14:paraId="3C4C015C">
      <w:pPr>
        <w:pStyle w:val="12"/>
        <w:spacing w:line="360" w:lineRule="auto"/>
        <w:ind w:left="0" w:leftChars="0" w:firstLine="480" w:firstLineChars="200"/>
        <w:jc w:val="left"/>
        <w:rPr>
          <w:rFonts w:hint="eastAsia" w:ascii="仿宋" w:hAnsi="仿宋" w:eastAsia="仿宋" w:cs="仿宋"/>
          <w:sz w:val="24"/>
          <w:szCs w:val="24"/>
        </w:rPr>
      </w:pPr>
      <w:r>
        <w:rPr>
          <w:rFonts w:hint="eastAsia" w:ascii="仿宋" w:hAnsi="仿宋" w:eastAsia="仿宋" w:cs="仿宋"/>
          <w:sz w:val="24"/>
          <w:szCs w:val="24"/>
        </w:rPr>
        <w:t>2、本技术要求所使用的标准、规范等，如与投标方所执行的标准、规范不一致时，应按高于本技术要求所列的标准、规范执行，并在投标文件“技术偏离”中予以说明。</w:t>
      </w:r>
    </w:p>
    <w:p w14:paraId="6924D0F6">
      <w:pPr>
        <w:spacing w:line="360" w:lineRule="auto"/>
        <w:ind w:firstLine="480" w:firstLineChars="200"/>
        <w:jc w:val="left"/>
        <w:rPr>
          <w:rFonts w:hint="eastAsia" w:ascii="仿宋" w:hAnsi="仿宋" w:eastAsia="仿宋" w:cs="仿宋"/>
          <w:sz w:val="24"/>
          <w:szCs w:val="24"/>
        </w:rPr>
      </w:pPr>
      <w:r>
        <w:rPr>
          <w:rFonts w:hint="eastAsia" w:ascii="仿宋" w:hAnsi="仿宋" w:eastAsia="仿宋" w:cs="仿宋"/>
          <w:sz w:val="24"/>
          <w:szCs w:val="24"/>
        </w:rPr>
        <w:t>3、投标方认为所供货物（或生产线）必需由招标方配备、解决或提供的其它要求，如设备基础隔振和减振设施、软化水、洁净气源等，均应在投标文件“技术偏离”中予以充分说明。</w:t>
      </w:r>
    </w:p>
    <w:p w14:paraId="2BF85446">
      <w:pPr>
        <w:spacing w:line="360" w:lineRule="auto"/>
        <w:ind w:firstLine="480" w:firstLineChars="200"/>
        <w:jc w:val="left"/>
        <w:rPr>
          <w:rFonts w:hint="eastAsia" w:ascii="仿宋" w:hAnsi="仿宋" w:eastAsia="仿宋" w:cs="仿宋"/>
          <w:sz w:val="24"/>
          <w:szCs w:val="24"/>
        </w:rPr>
      </w:pPr>
      <w:r>
        <w:rPr>
          <w:rFonts w:hint="eastAsia" w:ascii="仿宋" w:hAnsi="仿宋" w:eastAsia="仿宋" w:cs="仿宋"/>
          <w:sz w:val="24"/>
          <w:szCs w:val="24"/>
        </w:rPr>
        <w:t>4、投标文件中，针对“特别提示”条款所做的回应，将作为投标方能否中标的重要依据</w:t>
      </w:r>
      <w:bookmarkEnd w:id="21"/>
      <w:r>
        <w:rPr>
          <w:rFonts w:hint="eastAsia" w:ascii="仿宋" w:hAnsi="仿宋" w:eastAsia="仿宋" w:cs="仿宋"/>
          <w:sz w:val="24"/>
          <w:szCs w:val="24"/>
        </w:rPr>
        <w:t>。</w:t>
      </w:r>
    </w:p>
    <w:p w14:paraId="1FD4144C">
      <w:pPr>
        <w:spacing w:line="360" w:lineRule="auto"/>
        <w:ind w:firstLine="2650" w:firstLineChars="1100"/>
        <w:outlineLvl w:val="0"/>
        <w:rPr>
          <w:rFonts w:hint="eastAsia" w:ascii="仿宋" w:hAnsi="仿宋" w:eastAsia="仿宋" w:cs="仿宋"/>
          <w:b/>
          <w:sz w:val="24"/>
          <w:szCs w:val="24"/>
        </w:rPr>
      </w:pPr>
      <w:bookmarkStart w:id="65" w:name="_Toc25412"/>
      <w:bookmarkStart w:id="66" w:name="_Toc29724"/>
      <w:bookmarkStart w:id="67" w:name="_Toc31489"/>
      <w:bookmarkStart w:id="68" w:name="_Toc28983"/>
      <w:r>
        <w:rPr>
          <w:rFonts w:hint="eastAsia" w:ascii="仿宋" w:hAnsi="仿宋" w:eastAsia="仿宋" w:cs="仿宋"/>
          <w:b/>
          <w:sz w:val="24"/>
          <w:szCs w:val="24"/>
        </w:rPr>
        <w:t>第三章  供货范围及供货方式</w:t>
      </w:r>
      <w:bookmarkEnd w:id="65"/>
      <w:bookmarkEnd w:id="66"/>
      <w:bookmarkEnd w:id="67"/>
      <w:bookmarkEnd w:id="68"/>
    </w:p>
    <w:p w14:paraId="7935BD6E">
      <w:pPr>
        <w:pStyle w:val="3"/>
        <w:spacing w:before="120" w:after="120" w:line="360" w:lineRule="auto"/>
        <w:jc w:val="center"/>
        <w:rPr>
          <w:rFonts w:hint="eastAsia" w:ascii="仿宋" w:hAnsi="仿宋" w:eastAsia="仿宋" w:cs="仿宋"/>
          <w:b w:val="0"/>
          <w:sz w:val="24"/>
          <w:szCs w:val="24"/>
        </w:rPr>
      </w:pPr>
      <w:bookmarkStart w:id="69" w:name="_Toc2181"/>
      <w:bookmarkStart w:id="70" w:name="_Toc31880"/>
      <w:bookmarkStart w:id="71" w:name="_Toc133783971"/>
      <w:bookmarkStart w:id="72" w:name="_Toc15242"/>
      <w:bookmarkStart w:id="73" w:name="_Toc403466187"/>
      <w:bookmarkStart w:id="74" w:name="_Toc20545"/>
      <w:r>
        <w:rPr>
          <w:rFonts w:hint="eastAsia" w:ascii="仿宋" w:hAnsi="仿宋" w:eastAsia="仿宋" w:cs="仿宋"/>
          <w:b w:val="0"/>
          <w:sz w:val="24"/>
          <w:szCs w:val="24"/>
        </w:rPr>
        <w:t>第一节  供货范围</w:t>
      </w:r>
      <w:bookmarkEnd w:id="69"/>
      <w:bookmarkEnd w:id="70"/>
      <w:bookmarkEnd w:id="71"/>
      <w:bookmarkEnd w:id="72"/>
      <w:bookmarkEnd w:id="73"/>
      <w:bookmarkEnd w:id="74"/>
    </w:p>
    <w:p w14:paraId="4C267A57">
      <w:pPr>
        <w:spacing w:line="360" w:lineRule="auto"/>
        <w:ind w:firstLine="480" w:firstLineChars="200"/>
        <w:outlineLvl w:val="2"/>
        <w:rPr>
          <w:rFonts w:hint="eastAsia" w:ascii="仿宋" w:hAnsi="仿宋" w:eastAsia="仿宋" w:cs="仿宋"/>
          <w:sz w:val="24"/>
          <w:szCs w:val="24"/>
        </w:rPr>
      </w:pPr>
      <w:r>
        <w:rPr>
          <w:rFonts w:hint="eastAsia" w:ascii="仿宋" w:hAnsi="仿宋" w:eastAsia="仿宋" w:cs="仿宋"/>
          <w:sz w:val="24"/>
          <w:szCs w:val="24"/>
        </w:rPr>
        <w:t>1  主要供货范围</w:t>
      </w:r>
    </w:p>
    <w:p w14:paraId="3D14484D">
      <w:pPr>
        <w:pStyle w:val="26"/>
        <w:snapToGrid w:val="0"/>
        <w:spacing w:line="360" w:lineRule="auto"/>
        <w:ind w:left="6" w:firstLine="474"/>
        <w:rPr>
          <w:rFonts w:hint="eastAsia" w:ascii="仿宋" w:hAnsi="仿宋" w:eastAsia="仿宋" w:cs="仿宋"/>
        </w:rPr>
      </w:pPr>
      <w:r>
        <w:rPr>
          <w:rFonts w:hint="eastAsia" w:ascii="仿宋" w:hAnsi="仿宋" w:eastAsia="仿宋" w:cs="仿宋"/>
          <w:szCs w:val="24"/>
        </w:rPr>
        <w:t xml:space="preserve">  </w:t>
      </w:r>
      <w:r>
        <w:rPr>
          <w:rFonts w:hint="eastAsia" w:ascii="仿宋" w:hAnsi="仿宋" w:eastAsia="仿宋" w:cs="仿宋"/>
          <w:kern w:val="0"/>
          <w:szCs w:val="24"/>
          <w:lang w:bidi="ar"/>
        </w:rPr>
        <w:t>1.1招标方只提供所需厂房、货物（或生产线）的</w:t>
      </w:r>
      <w:r>
        <w:rPr>
          <w:rFonts w:hint="eastAsia" w:ascii="仿宋" w:hAnsi="仿宋" w:eastAsia="仿宋" w:cs="仿宋"/>
          <w:kern w:val="0"/>
          <w:szCs w:val="24"/>
          <w:lang w:val="en-US" w:eastAsia="zh-CN" w:bidi="ar"/>
        </w:rPr>
        <w:t>测试</w:t>
      </w:r>
      <w:r>
        <w:rPr>
          <w:rFonts w:hint="eastAsia" w:ascii="仿宋" w:hAnsi="仿宋" w:eastAsia="仿宋" w:cs="仿宋"/>
          <w:kern w:val="0"/>
          <w:szCs w:val="24"/>
          <w:lang w:bidi="ar"/>
        </w:rPr>
        <w:t>基础。</w:t>
      </w:r>
    </w:p>
    <w:p w14:paraId="1858857F">
      <w:pPr>
        <w:pStyle w:val="26"/>
        <w:snapToGrid w:val="0"/>
        <w:spacing w:line="360" w:lineRule="auto"/>
        <w:ind w:left="6" w:firstLine="474"/>
        <w:rPr>
          <w:rFonts w:hint="eastAsia" w:ascii="仿宋" w:hAnsi="仿宋" w:eastAsia="仿宋" w:cs="仿宋"/>
        </w:rPr>
      </w:pPr>
      <w:r>
        <w:rPr>
          <w:rFonts w:hint="eastAsia" w:ascii="仿宋" w:hAnsi="仿宋" w:eastAsia="仿宋" w:cs="仿宋"/>
          <w:kern w:val="0"/>
          <w:szCs w:val="24"/>
          <w:lang w:bidi="ar"/>
        </w:rPr>
        <w:t>1.2招标方只负责提供符合本技术标书中“采购货物概况”和“使用环境”章节所列明品质的电力、自来水、压缩空气、蒸汽、天然气（或煤气）管线至系统接口。如，供电至系统电力接口的接线端，水、气、汽等供至系统联接法兰外端（不含联接所需螺栓等紧固件和其它必需配件）。</w:t>
      </w:r>
    </w:p>
    <w:p w14:paraId="14B561EC">
      <w:pPr>
        <w:pStyle w:val="26"/>
        <w:snapToGrid w:val="0"/>
        <w:spacing w:line="360" w:lineRule="auto"/>
        <w:ind w:left="6" w:firstLine="474"/>
        <w:rPr>
          <w:rFonts w:hint="eastAsia" w:ascii="仿宋" w:hAnsi="仿宋" w:eastAsia="仿宋" w:cs="仿宋"/>
        </w:rPr>
      </w:pPr>
      <w:r>
        <w:rPr>
          <w:rFonts w:hint="eastAsia" w:ascii="仿宋" w:hAnsi="仿宋" w:eastAsia="仿宋" w:cs="仿宋"/>
          <w:kern w:val="0"/>
          <w:szCs w:val="24"/>
          <w:lang w:bidi="ar"/>
        </w:rPr>
        <w:t>1.3投标方应提供包括货物（或生产线）正常运行所必需的全套连线设备、材料等；如：联接法兰外端面（含联接螺栓）之内的、电气系统接口压线板（插座等）之内的设备、材料等；</w:t>
      </w:r>
    </w:p>
    <w:p w14:paraId="6BE3195F">
      <w:pPr>
        <w:pStyle w:val="26"/>
        <w:snapToGrid w:val="0"/>
        <w:spacing w:line="360" w:lineRule="auto"/>
        <w:ind w:left="6" w:firstLine="474"/>
        <w:rPr>
          <w:rFonts w:hint="eastAsia" w:ascii="仿宋" w:hAnsi="仿宋" w:eastAsia="仿宋" w:cs="仿宋"/>
        </w:rPr>
      </w:pPr>
      <w:r>
        <w:rPr>
          <w:rFonts w:hint="eastAsia" w:ascii="仿宋" w:hAnsi="仿宋" w:eastAsia="仿宋" w:cs="仿宋"/>
          <w:kern w:val="0"/>
          <w:szCs w:val="24"/>
          <w:lang w:bidi="ar"/>
        </w:rPr>
        <w:t>1.4投标方应提供包括货物（或生产线）正常运行、使用所必需的过桥、护栏、防护网、盖板等辅助设施。标书中有要求的，按标书要求提供；标书中无具体要求而投标方认为必须具备的，在投标文件报价明细中，单独报价（但不计入税费等其它费用的计算基数）。</w:t>
      </w:r>
    </w:p>
    <w:p w14:paraId="59661EF9">
      <w:pPr>
        <w:pStyle w:val="26"/>
        <w:snapToGrid w:val="0"/>
        <w:spacing w:line="360" w:lineRule="auto"/>
        <w:ind w:left="6" w:firstLine="474"/>
        <w:rPr>
          <w:rFonts w:hint="eastAsia" w:ascii="仿宋" w:hAnsi="仿宋" w:eastAsia="仿宋" w:cs="仿宋"/>
        </w:rPr>
      </w:pPr>
      <w:r>
        <w:rPr>
          <w:rFonts w:hint="eastAsia" w:ascii="仿宋" w:hAnsi="仿宋" w:eastAsia="仿宋" w:cs="仿宋"/>
          <w:kern w:val="0"/>
          <w:szCs w:val="24"/>
          <w:lang w:bidi="ar"/>
        </w:rPr>
        <w:t>1.5投标方应提供包括为达到环保、消防和劳动安全卫生等国家法律、法规和标准、规范要求的除尘系统、通风系统以及近距离照明系统等配套的设备、材料等。如投标方难以提供或无优势提供，则应当在投标文件的技术偏离条款中，予以详细说明并注明投标报价未包含该部分的货值。</w:t>
      </w:r>
    </w:p>
    <w:p w14:paraId="59FEB247">
      <w:pPr>
        <w:pStyle w:val="26"/>
        <w:snapToGrid w:val="0"/>
        <w:spacing w:line="360" w:lineRule="auto"/>
        <w:ind w:left="6" w:firstLine="474"/>
        <w:rPr>
          <w:rFonts w:hint="eastAsia" w:ascii="仿宋" w:hAnsi="仿宋" w:eastAsia="仿宋" w:cs="仿宋"/>
        </w:rPr>
      </w:pPr>
      <w:r>
        <w:rPr>
          <w:rFonts w:hint="eastAsia" w:ascii="仿宋" w:hAnsi="仿宋" w:eastAsia="仿宋" w:cs="仿宋"/>
          <w:kern w:val="0"/>
          <w:szCs w:val="24"/>
          <w:lang w:bidi="ar"/>
        </w:rPr>
        <w:t>1.6投标方应提供包括为保证货物（或生产线）自身正常运行所必需的、适应使用地点条件的通风、冷却、降温系统等。</w:t>
      </w:r>
    </w:p>
    <w:p w14:paraId="4DDE2AAE">
      <w:pPr>
        <w:pStyle w:val="26"/>
        <w:snapToGrid w:val="0"/>
        <w:spacing w:line="360" w:lineRule="auto"/>
        <w:ind w:left="6" w:firstLine="474"/>
        <w:rPr>
          <w:rFonts w:hint="eastAsia" w:ascii="仿宋" w:hAnsi="仿宋" w:eastAsia="仿宋" w:cs="仿宋"/>
        </w:rPr>
      </w:pPr>
      <w:r>
        <w:rPr>
          <w:rFonts w:hint="eastAsia" w:ascii="仿宋" w:hAnsi="仿宋" w:eastAsia="仿宋" w:cs="仿宋"/>
          <w:kern w:val="0"/>
          <w:szCs w:val="24"/>
          <w:lang w:bidi="ar"/>
        </w:rPr>
        <w:t>1.7投标方应提供包括为保证货物（或生产线）正常安装、调试和验收完成及以前所必需的整套配件、附件及材料、油料等。如果终验收完成后，投标方有需要收回的配件、附件、材料、油料等，应当在投标文件的技术偏离条款中，予以详细说明；否则视同包括在供货范围之内。</w:t>
      </w:r>
    </w:p>
    <w:p w14:paraId="067E2D11">
      <w:pPr>
        <w:pStyle w:val="26"/>
        <w:snapToGrid w:val="0"/>
        <w:spacing w:line="360" w:lineRule="auto"/>
        <w:ind w:left="6" w:firstLine="474"/>
      </w:pPr>
      <w:r>
        <w:rPr>
          <w:rFonts w:hint="eastAsia" w:ascii="仿宋" w:hAnsi="仿宋" w:eastAsia="仿宋" w:cs="仿宋"/>
          <w:szCs w:val="24"/>
          <w:lang w:bidi="ar"/>
        </w:rPr>
        <w:t>1.8投标方应提供货物（或生产线）维修所必需的专用工具，并在投标报价部分说明数量。</w:t>
      </w:r>
    </w:p>
    <w:p w14:paraId="5AC239ED">
      <w:pPr>
        <w:spacing w:line="360" w:lineRule="auto"/>
        <w:ind w:firstLine="480" w:firstLineChars="200"/>
        <w:outlineLvl w:val="2"/>
        <w:rPr>
          <w:rFonts w:hint="eastAsia" w:ascii="仿宋" w:hAnsi="仿宋" w:eastAsia="仿宋" w:cs="仿宋"/>
          <w:sz w:val="24"/>
          <w:szCs w:val="24"/>
        </w:rPr>
      </w:pPr>
      <w:r>
        <w:rPr>
          <w:rFonts w:hint="eastAsia" w:ascii="仿宋" w:hAnsi="仿宋" w:eastAsia="仿宋" w:cs="仿宋"/>
          <w:sz w:val="24"/>
          <w:szCs w:val="24"/>
        </w:rPr>
        <w:t>2  备品备件、易损件和专用耗材供货范围</w:t>
      </w:r>
    </w:p>
    <w:p w14:paraId="0DA5D59D">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2.1  招标方招标文件所指备品备件、易损件和专用耗材，是招标方为保证设备质保期之后正常运行一年所自备自用的备品备件、易损件和专用耗材。</w:t>
      </w:r>
    </w:p>
    <w:p w14:paraId="3F1145FE">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2.2  投标方按照招标文件要求提供、或投标方认为招标方应当储备的备品备件、易损件和专用耗材，投标方应当在投标报价部分分别说明所列备品备件、易损件和专用耗材的使用时间。</w:t>
      </w:r>
    </w:p>
    <w:p w14:paraId="0423BDAD">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2.3  投标方应提供易损件和专用耗材的制造图纸及其技术要求等资料。</w:t>
      </w:r>
    </w:p>
    <w:p w14:paraId="3E5EA027">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2.4  投标文件中，应当有备品备件、易损件和专用耗材的详细清单（内容包括名称、型号、规格、单位、数量、生产厂家、单价、总价等）。机床和机器人的主要参数、配置表、关键件和进口外购明细表、随机附明细表、技术文件明细表等。</w:t>
      </w:r>
    </w:p>
    <w:p w14:paraId="22969042">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2.5  备品备件、易损件和专用耗材的费用应分类单列，并计入投标总报价之内。</w:t>
      </w:r>
    </w:p>
    <w:p w14:paraId="46977BBC">
      <w:pPr>
        <w:spacing w:line="360" w:lineRule="auto"/>
        <w:ind w:firstLine="480" w:firstLineChars="200"/>
        <w:outlineLvl w:val="2"/>
        <w:rPr>
          <w:rFonts w:hint="eastAsia" w:ascii="仿宋" w:hAnsi="仿宋" w:eastAsia="仿宋" w:cs="仿宋"/>
          <w:sz w:val="24"/>
          <w:szCs w:val="24"/>
        </w:rPr>
      </w:pPr>
      <w:r>
        <w:rPr>
          <w:rFonts w:hint="eastAsia" w:ascii="仿宋" w:hAnsi="仿宋" w:eastAsia="仿宋" w:cs="仿宋"/>
          <w:sz w:val="24"/>
          <w:szCs w:val="24"/>
        </w:rPr>
        <w:t>3  技术资料供货范围</w:t>
      </w:r>
    </w:p>
    <w:p w14:paraId="142C92F5">
      <w:pPr>
        <w:spacing w:line="360" w:lineRule="auto"/>
        <w:ind w:firstLine="480" w:firstLineChars="200"/>
        <w:rPr>
          <w:rFonts w:hint="eastAsia" w:ascii="仿宋" w:hAnsi="仿宋" w:eastAsia="仿宋" w:cs="仿宋"/>
          <w:bCs/>
          <w:sz w:val="24"/>
          <w:szCs w:val="24"/>
        </w:rPr>
      </w:pPr>
      <w:r>
        <w:rPr>
          <w:rFonts w:hint="eastAsia" w:ascii="仿宋" w:hAnsi="仿宋" w:eastAsia="仿宋" w:cs="仿宋"/>
          <w:sz w:val="24"/>
          <w:szCs w:val="24"/>
        </w:rPr>
        <w:t>3.1  投标方须负责在</w:t>
      </w:r>
      <w:r>
        <w:rPr>
          <w:rFonts w:hint="eastAsia" w:ascii="仿宋" w:hAnsi="仿宋" w:eastAsia="仿宋" w:cs="仿宋"/>
          <w:bCs/>
          <w:sz w:val="24"/>
          <w:szCs w:val="24"/>
        </w:rPr>
        <w:t>合同签订后</w:t>
      </w:r>
      <w:r>
        <w:rPr>
          <w:rFonts w:hint="eastAsia" w:ascii="仿宋" w:hAnsi="仿宋" w:eastAsia="仿宋" w:cs="仿宋"/>
          <w:bCs/>
          <w:sz w:val="24"/>
          <w:szCs w:val="24"/>
          <w:u w:val="single"/>
          <w:shd w:val="pct10" w:color="auto" w:fill="FFFFFF"/>
        </w:rPr>
        <w:t xml:space="preserve">  15  </w:t>
      </w:r>
      <w:r>
        <w:rPr>
          <w:rFonts w:hint="eastAsia" w:ascii="仿宋" w:hAnsi="仿宋" w:eastAsia="仿宋" w:cs="仿宋"/>
          <w:bCs/>
          <w:sz w:val="24"/>
          <w:szCs w:val="24"/>
        </w:rPr>
        <w:t>个日历日内，提供设备基础及相关的设计、制作所需的纸质及电子版资料；电子版文件应当能够使用常用版本软件可以阅读甚至使用，进口货物、设备应有中外文对照。</w:t>
      </w:r>
    </w:p>
    <w:p w14:paraId="07F15264">
      <w:pPr>
        <w:spacing w:line="360" w:lineRule="auto"/>
        <w:ind w:firstLine="480" w:firstLineChars="200"/>
        <w:rPr>
          <w:rFonts w:hint="eastAsia" w:ascii="仿宋" w:hAnsi="仿宋" w:eastAsia="仿宋" w:cs="仿宋"/>
          <w:sz w:val="24"/>
          <w:szCs w:val="24"/>
        </w:rPr>
      </w:pPr>
      <w:r>
        <w:rPr>
          <w:rFonts w:hint="eastAsia" w:ascii="仿宋" w:hAnsi="仿宋" w:eastAsia="仿宋" w:cs="仿宋"/>
          <w:bCs/>
          <w:sz w:val="24"/>
          <w:szCs w:val="24"/>
        </w:rPr>
        <w:t>3.2  投标方应同时提出</w:t>
      </w:r>
      <w:r>
        <w:rPr>
          <w:rFonts w:hint="eastAsia" w:ascii="仿宋" w:hAnsi="仿宋" w:eastAsia="仿宋" w:cs="仿宋"/>
          <w:sz w:val="24"/>
          <w:szCs w:val="24"/>
        </w:rPr>
        <w:t>对厂房、基础、公用设施、消防、环保等超出招标文件、投标文件、答疑文件、技术交流文件、技术协议书和合同等规定的、有特殊需要的解释、说明和要求。</w:t>
      </w:r>
    </w:p>
    <w:p w14:paraId="4D3DA18E">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3.3  投标方须负责在预验收前，</w:t>
      </w:r>
      <w:r>
        <w:rPr>
          <w:rFonts w:hint="eastAsia" w:ascii="仿宋" w:hAnsi="仿宋" w:eastAsia="仿宋" w:cs="仿宋"/>
          <w:bCs/>
          <w:sz w:val="24"/>
          <w:szCs w:val="24"/>
        </w:rPr>
        <w:t>提供设备各部分的功能描述文件、图片、影像等资料（进口设备应有中外文对照）。</w:t>
      </w:r>
    </w:p>
    <w:p w14:paraId="43E9E6D3">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3.4  投标方须负责在终验收前，提供招标方为保证设备正常运行所需后续自制的工装、吊（挂）具明细及其图纸、具体技术要求等资料（如果供货范围包含该部分实物）。</w:t>
      </w:r>
    </w:p>
    <w:p w14:paraId="00CB6353">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3.5  投标方须负责在终验收前，提供确定的而且质保期之后招标方维修所需要的、可以自行采购的外购件、外协件、电气元件及主要原材料的供货厂家明细表。</w:t>
      </w:r>
    </w:p>
    <w:p w14:paraId="02B4C801">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3.6  投标方须负责在在终验收前，提供包括设备的备品备件、易损件和专用耗材规定的图纸及技术参数、技术要求等资料。</w:t>
      </w:r>
    </w:p>
    <w:p w14:paraId="2202C1DC">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3.7  投标方须负责在在终验收前，提供关于采购设备的操作维护手册、保养维修手册、零件清册及图册、零件订货号、安全注意事项等的使用说明书、仪器仪表检定和使用维修说明书、合格证、产品样本等技术资料（含图片和影像等资料）；对于进口设备，应有中外文资料说明。</w:t>
      </w:r>
    </w:p>
    <w:p w14:paraId="24FEF247">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3.8  投标方须负责在在终验收前，提供关于采购设备的电气资料（包括接线图、原理图、布线图、梯形图等）、液压（气动）原理图和系统图、安装基础图、维修图等有关的资料（含图片和影像等资料）；非标准设备还应当提供设计总图、全线布置图等详细资料；对于进口设备，应有中外文资料说明。</w:t>
      </w:r>
    </w:p>
    <w:p w14:paraId="6E635E75">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3.9  本条款所列的技术资料、图片、影像等，投标方应各提供5套，其中2套为电子版U盘；每份技术文件应装有目录清单。</w:t>
      </w:r>
    </w:p>
    <w:p w14:paraId="21B505C6">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3.10  本条款所列要求，如招标方认为投标方提供的资料不能满足要求时，有权要求投标方免费补充或增加。</w:t>
      </w:r>
    </w:p>
    <w:p w14:paraId="0CE5B242">
      <w:pPr>
        <w:pStyle w:val="3"/>
        <w:spacing w:before="120" w:after="120" w:line="360" w:lineRule="auto"/>
        <w:jc w:val="center"/>
        <w:rPr>
          <w:rFonts w:hint="eastAsia" w:ascii="仿宋" w:hAnsi="仿宋" w:eastAsia="仿宋" w:cs="仿宋"/>
          <w:b w:val="0"/>
          <w:sz w:val="24"/>
          <w:szCs w:val="24"/>
        </w:rPr>
      </w:pPr>
      <w:bookmarkStart w:id="75" w:name="_Toc5369"/>
      <w:bookmarkStart w:id="76" w:name="_Toc133783972"/>
      <w:bookmarkStart w:id="77" w:name="_Toc403466188"/>
      <w:bookmarkStart w:id="78" w:name="_Toc31181"/>
      <w:bookmarkStart w:id="79" w:name="_Toc22494"/>
      <w:bookmarkStart w:id="80" w:name="_Toc27444"/>
      <w:r>
        <w:rPr>
          <w:rFonts w:hint="eastAsia" w:ascii="仿宋" w:hAnsi="仿宋" w:eastAsia="仿宋" w:cs="仿宋"/>
          <w:b w:val="0"/>
          <w:sz w:val="24"/>
          <w:szCs w:val="24"/>
        </w:rPr>
        <w:t>第二节  供货方式</w:t>
      </w:r>
      <w:bookmarkEnd w:id="75"/>
      <w:bookmarkEnd w:id="76"/>
      <w:bookmarkEnd w:id="77"/>
      <w:bookmarkEnd w:id="78"/>
      <w:bookmarkEnd w:id="79"/>
      <w:bookmarkEnd w:id="80"/>
    </w:p>
    <w:p w14:paraId="0C3CF346">
      <w:pPr>
        <w:spacing w:line="360" w:lineRule="auto"/>
        <w:ind w:firstLine="480" w:firstLineChars="200"/>
        <w:outlineLvl w:val="2"/>
        <w:rPr>
          <w:rFonts w:hint="eastAsia" w:ascii="仿宋" w:hAnsi="仿宋" w:eastAsia="仿宋" w:cs="仿宋"/>
          <w:sz w:val="24"/>
          <w:szCs w:val="24"/>
        </w:rPr>
      </w:pPr>
      <w:r>
        <w:rPr>
          <w:rFonts w:hint="eastAsia" w:ascii="仿宋" w:hAnsi="仿宋" w:eastAsia="仿宋" w:cs="仿宋"/>
          <w:sz w:val="24"/>
          <w:szCs w:val="24"/>
        </w:rPr>
        <w:t>1  供货地点及款项支付</w:t>
      </w:r>
    </w:p>
    <w:p w14:paraId="35D98194">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1.1本项目建设工地:山东省济南市历城区世纪大道757号重汽（济南）车桥有限公司。</w:t>
      </w:r>
    </w:p>
    <w:p w14:paraId="28953662">
      <w:pPr>
        <w:spacing w:line="360" w:lineRule="auto"/>
        <w:ind w:firstLine="480" w:firstLineChars="200"/>
        <w:jc w:val="left"/>
        <w:outlineLvl w:val="2"/>
        <w:rPr>
          <w:rFonts w:hint="eastAsia" w:ascii="仿宋" w:hAnsi="仿宋" w:eastAsia="仿宋" w:cs="仿宋"/>
          <w:sz w:val="24"/>
          <w:szCs w:val="24"/>
        </w:rPr>
      </w:pPr>
      <w:r>
        <w:rPr>
          <w:rFonts w:hint="eastAsia" w:ascii="仿宋" w:hAnsi="仿宋" w:eastAsia="仿宋" w:cs="仿宋"/>
          <w:sz w:val="24"/>
          <w:szCs w:val="24"/>
        </w:rPr>
        <w:t>2  供货时间</w:t>
      </w:r>
    </w:p>
    <w:p w14:paraId="3EFF4A76">
      <w:pPr>
        <w:spacing w:line="360" w:lineRule="auto"/>
        <w:ind w:firstLine="480" w:firstLineChars="200"/>
        <w:jc w:val="left"/>
        <w:rPr>
          <w:rFonts w:hint="eastAsia" w:ascii="仿宋" w:hAnsi="仿宋" w:eastAsia="仿宋" w:cs="仿宋"/>
          <w:sz w:val="24"/>
          <w:szCs w:val="24"/>
        </w:rPr>
      </w:pPr>
      <w:r>
        <w:rPr>
          <w:rFonts w:hint="eastAsia" w:ascii="仿宋" w:hAnsi="仿宋" w:eastAsia="仿宋" w:cs="仿宋"/>
          <w:sz w:val="24"/>
          <w:szCs w:val="24"/>
        </w:rPr>
        <w:t>2.1  投标方应自</w:t>
      </w:r>
      <w:r>
        <w:rPr>
          <w:rFonts w:hint="eastAsia" w:ascii="仿宋" w:hAnsi="仿宋" w:eastAsia="仿宋" w:cs="仿宋"/>
          <w:sz w:val="24"/>
          <w:szCs w:val="24"/>
          <w:lang w:val="en-US" w:eastAsia="zh-CN"/>
        </w:rPr>
        <w:t>合同签定</w:t>
      </w:r>
      <w:r>
        <w:rPr>
          <w:rFonts w:hint="eastAsia" w:ascii="仿宋" w:hAnsi="仿宋" w:eastAsia="仿宋" w:cs="仿宋"/>
          <w:sz w:val="24"/>
          <w:szCs w:val="24"/>
        </w:rPr>
        <w:t>之日起，</w:t>
      </w:r>
      <w:r>
        <w:rPr>
          <w:rFonts w:hint="eastAsia" w:ascii="仿宋" w:hAnsi="仿宋" w:eastAsia="仿宋" w:cs="仿宋"/>
          <w:sz w:val="24"/>
          <w:szCs w:val="24"/>
          <w:lang w:val="en-US" w:eastAsia="zh-CN"/>
        </w:rPr>
        <w:t>螺柱焊机</w:t>
      </w:r>
      <w:r>
        <w:rPr>
          <w:rFonts w:hint="eastAsia" w:ascii="仿宋" w:hAnsi="仿宋" w:eastAsia="仿宋" w:cs="仿宋"/>
          <w:sz w:val="24"/>
          <w:szCs w:val="24"/>
        </w:rPr>
        <w:t>需在</w:t>
      </w:r>
      <w:r>
        <w:rPr>
          <w:rFonts w:hint="eastAsia" w:ascii="仿宋" w:hAnsi="仿宋" w:eastAsia="仿宋" w:cs="仿宋"/>
          <w:sz w:val="24"/>
          <w:szCs w:val="24"/>
          <w:highlight w:val="yellow"/>
          <w:u w:val="single"/>
          <w:shd w:val="pct10" w:color="auto" w:fill="FFFFFF"/>
        </w:rPr>
        <w:t xml:space="preserve"> </w:t>
      </w:r>
      <w:r>
        <w:rPr>
          <w:rFonts w:hint="eastAsia" w:ascii="仿宋" w:hAnsi="仿宋" w:eastAsia="仿宋" w:cs="仿宋"/>
          <w:sz w:val="24"/>
          <w:szCs w:val="24"/>
          <w:highlight w:val="yellow"/>
          <w:u w:val="single"/>
          <w:shd w:val="pct10" w:color="auto" w:fill="FFFFFF"/>
          <w:lang w:val="en-US" w:eastAsia="zh-CN"/>
        </w:rPr>
        <w:t>20</w:t>
      </w:r>
      <w:r>
        <w:rPr>
          <w:rFonts w:hint="eastAsia" w:ascii="仿宋" w:hAnsi="仿宋" w:eastAsia="仿宋" w:cs="仿宋"/>
          <w:sz w:val="24"/>
          <w:szCs w:val="24"/>
          <w:highlight w:val="yellow"/>
          <w:u w:val="single"/>
          <w:shd w:val="pct10" w:color="auto" w:fill="FFFFFF"/>
        </w:rPr>
        <w:t xml:space="preserve"> </w:t>
      </w:r>
      <w:r>
        <w:rPr>
          <w:rFonts w:hint="eastAsia" w:ascii="仿宋" w:hAnsi="仿宋" w:eastAsia="仿宋" w:cs="仿宋"/>
          <w:sz w:val="24"/>
          <w:szCs w:val="24"/>
        </w:rPr>
        <w:t>个日历日之内交货至供货地点</w:t>
      </w:r>
    </w:p>
    <w:p w14:paraId="2D19F0F3">
      <w:pPr>
        <w:spacing w:line="360" w:lineRule="auto"/>
        <w:ind w:firstLine="480" w:firstLineChars="200"/>
        <w:jc w:val="left"/>
        <w:rPr>
          <w:rFonts w:hint="eastAsia" w:ascii="仿宋" w:hAnsi="仿宋" w:eastAsia="仿宋" w:cs="仿宋"/>
          <w:sz w:val="24"/>
          <w:szCs w:val="24"/>
        </w:rPr>
      </w:pPr>
      <w:r>
        <w:rPr>
          <w:rFonts w:hint="eastAsia" w:ascii="仿宋" w:hAnsi="仿宋" w:eastAsia="仿宋" w:cs="仿宋"/>
          <w:sz w:val="24"/>
          <w:szCs w:val="24"/>
        </w:rPr>
        <w:t>2.2  接续</w:t>
      </w:r>
      <w:r>
        <w:rPr>
          <w:rFonts w:hint="eastAsia" w:ascii="仿宋" w:hAnsi="仿宋" w:eastAsia="仿宋" w:cs="仿宋"/>
          <w:sz w:val="24"/>
          <w:szCs w:val="24"/>
          <w:highlight w:val="yellow"/>
          <w:u w:val="single"/>
          <w:shd w:val="pct10" w:color="auto" w:fill="FFFFFF"/>
        </w:rPr>
        <w:t xml:space="preserve">  </w:t>
      </w:r>
      <w:r>
        <w:rPr>
          <w:rFonts w:hint="eastAsia" w:ascii="仿宋" w:hAnsi="仿宋" w:eastAsia="仿宋" w:cs="仿宋"/>
          <w:sz w:val="24"/>
          <w:szCs w:val="24"/>
          <w:highlight w:val="yellow"/>
          <w:u w:val="single"/>
          <w:shd w:val="pct10" w:color="auto" w:fill="FFFFFF"/>
          <w:lang w:val="en-US" w:eastAsia="zh-CN"/>
        </w:rPr>
        <w:t>5</w:t>
      </w:r>
      <w:r>
        <w:rPr>
          <w:rFonts w:hint="eastAsia" w:ascii="仿宋" w:hAnsi="仿宋" w:eastAsia="仿宋" w:cs="仿宋"/>
          <w:sz w:val="24"/>
          <w:szCs w:val="24"/>
          <w:highlight w:val="yellow"/>
          <w:u w:val="single"/>
          <w:shd w:val="pct10" w:color="auto" w:fill="FFFFFF"/>
        </w:rPr>
        <w:t xml:space="preserve">  </w:t>
      </w:r>
      <w:r>
        <w:rPr>
          <w:rFonts w:hint="eastAsia" w:ascii="仿宋" w:hAnsi="仿宋" w:eastAsia="仿宋" w:cs="仿宋"/>
          <w:sz w:val="24"/>
          <w:szCs w:val="24"/>
        </w:rPr>
        <w:t>个日历日之内安装调试完毕；</w:t>
      </w:r>
    </w:p>
    <w:p w14:paraId="45D14920">
      <w:pPr>
        <w:spacing w:line="360" w:lineRule="auto"/>
        <w:ind w:firstLine="480" w:firstLineChars="200"/>
        <w:jc w:val="left"/>
        <w:rPr>
          <w:rFonts w:hint="eastAsia" w:ascii="仿宋" w:hAnsi="仿宋" w:eastAsia="仿宋" w:cs="仿宋"/>
          <w:sz w:val="24"/>
          <w:szCs w:val="24"/>
        </w:rPr>
      </w:pPr>
      <w:r>
        <w:rPr>
          <w:rFonts w:hint="eastAsia" w:ascii="仿宋" w:hAnsi="仿宋" w:eastAsia="仿宋" w:cs="仿宋"/>
          <w:sz w:val="24"/>
          <w:szCs w:val="24"/>
        </w:rPr>
        <w:t>2.3  接续</w:t>
      </w:r>
      <w:r>
        <w:rPr>
          <w:rFonts w:hint="eastAsia" w:ascii="仿宋" w:hAnsi="仿宋" w:eastAsia="仿宋" w:cs="仿宋"/>
          <w:sz w:val="24"/>
          <w:szCs w:val="24"/>
          <w:highlight w:val="yellow"/>
          <w:u w:val="single"/>
          <w:shd w:val="pct10" w:color="auto" w:fill="FFFFFF"/>
        </w:rPr>
        <w:t xml:space="preserve">  </w:t>
      </w:r>
      <w:r>
        <w:rPr>
          <w:rFonts w:hint="eastAsia" w:ascii="仿宋" w:hAnsi="仿宋" w:eastAsia="仿宋" w:cs="仿宋"/>
          <w:sz w:val="24"/>
          <w:szCs w:val="24"/>
          <w:highlight w:val="yellow"/>
          <w:u w:val="single"/>
          <w:shd w:val="pct10" w:color="auto" w:fill="FFFFFF"/>
          <w:lang w:val="en-US" w:eastAsia="zh-CN"/>
        </w:rPr>
        <w:t xml:space="preserve">30  </w:t>
      </w:r>
      <w:r>
        <w:rPr>
          <w:rFonts w:hint="eastAsia" w:ascii="仿宋" w:hAnsi="仿宋" w:eastAsia="仿宋" w:cs="仿宋"/>
          <w:sz w:val="24"/>
          <w:szCs w:val="24"/>
        </w:rPr>
        <w:t>个日历日之内完成（或协助完成）终验收。</w:t>
      </w:r>
    </w:p>
    <w:p w14:paraId="5EAD9B03">
      <w:pPr>
        <w:spacing w:line="360" w:lineRule="auto"/>
        <w:ind w:firstLine="480" w:firstLineChars="200"/>
        <w:jc w:val="left"/>
        <w:rPr>
          <w:rFonts w:hint="eastAsia" w:ascii="仿宋" w:hAnsi="仿宋" w:eastAsia="仿宋" w:cs="仿宋"/>
          <w:sz w:val="24"/>
          <w:szCs w:val="24"/>
        </w:rPr>
      </w:pPr>
      <w:r>
        <w:rPr>
          <w:rFonts w:hint="eastAsia" w:ascii="仿宋" w:hAnsi="仿宋" w:eastAsia="仿宋" w:cs="仿宋"/>
          <w:sz w:val="24"/>
          <w:szCs w:val="24"/>
        </w:rPr>
        <w:t>2.4  投标方应当提供详细的工期计划。</w:t>
      </w:r>
    </w:p>
    <w:p w14:paraId="4013A56C">
      <w:pPr>
        <w:spacing w:line="360" w:lineRule="auto"/>
        <w:ind w:firstLine="480" w:firstLineChars="200"/>
        <w:jc w:val="left"/>
        <w:rPr>
          <w:rFonts w:hint="eastAsia" w:ascii="仿宋" w:hAnsi="仿宋" w:eastAsia="仿宋" w:cs="仿宋"/>
          <w:sz w:val="24"/>
          <w:szCs w:val="24"/>
        </w:rPr>
      </w:pPr>
      <w:bookmarkStart w:id="81" w:name="_Hlk58764844"/>
      <w:r>
        <w:rPr>
          <w:rFonts w:hint="eastAsia" w:ascii="仿宋" w:hAnsi="仿宋" w:eastAsia="仿宋" w:cs="仿宋"/>
          <w:sz w:val="24"/>
          <w:szCs w:val="24"/>
        </w:rPr>
        <w:t>2.5  设备终验收结束后，招标方投入生产使用时，投标方应当提供</w:t>
      </w:r>
      <w:r>
        <w:rPr>
          <w:rFonts w:hint="eastAsia" w:ascii="仿宋" w:hAnsi="仿宋" w:eastAsia="仿宋" w:cs="仿宋"/>
          <w:sz w:val="24"/>
          <w:szCs w:val="24"/>
          <w:highlight w:val="yellow"/>
        </w:rPr>
        <w:t xml:space="preserve"> </w:t>
      </w:r>
      <w:r>
        <w:rPr>
          <w:rFonts w:hint="eastAsia" w:ascii="仿宋" w:hAnsi="仿宋" w:eastAsia="仿宋" w:cs="仿宋"/>
          <w:sz w:val="24"/>
          <w:szCs w:val="24"/>
          <w:highlight w:val="yellow"/>
          <w:lang w:val="en-US" w:eastAsia="zh-CN"/>
        </w:rPr>
        <w:t>9</w:t>
      </w:r>
      <w:r>
        <w:rPr>
          <w:rFonts w:hint="eastAsia" w:ascii="仿宋" w:hAnsi="仿宋" w:eastAsia="仿宋" w:cs="仿宋"/>
          <w:sz w:val="24"/>
          <w:szCs w:val="24"/>
          <w:highlight w:val="yellow"/>
          <w:u w:val="single"/>
          <w:lang w:val="en-US" w:eastAsia="zh-CN"/>
        </w:rPr>
        <w:t>0</w:t>
      </w:r>
      <w:r>
        <w:rPr>
          <w:rFonts w:hint="eastAsia" w:ascii="仿宋" w:hAnsi="仿宋" w:eastAsia="仿宋" w:cs="仿宋"/>
          <w:sz w:val="24"/>
          <w:szCs w:val="24"/>
        </w:rPr>
        <w:t>个工作日的陪同生产人员（投标方的设备终验收调试人员）。</w:t>
      </w:r>
      <w:bookmarkEnd w:id="81"/>
    </w:p>
    <w:p w14:paraId="6B3F32E3">
      <w:pPr>
        <w:spacing w:line="360" w:lineRule="auto"/>
        <w:ind w:firstLine="480" w:firstLineChars="200"/>
        <w:jc w:val="left"/>
        <w:outlineLvl w:val="2"/>
        <w:rPr>
          <w:rFonts w:hint="eastAsia" w:ascii="仿宋" w:hAnsi="仿宋" w:eastAsia="仿宋" w:cs="仿宋"/>
          <w:sz w:val="24"/>
          <w:szCs w:val="24"/>
        </w:rPr>
      </w:pPr>
      <w:r>
        <w:rPr>
          <w:rFonts w:hint="eastAsia" w:ascii="仿宋" w:hAnsi="仿宋" w:eastAsia="仿宋" w:cs="仿宋"/>
          <w:sz w:val="24"/>
          <w:szCs w:val="24"/>
        </w:rPr>
        <w:t>3  质保期</w:t>
      </w:r>
    </w:p>
    <w:p w14:paraId="54D0B3D6">
      <w:pPr>
        <w:spacing w:line="360" w:lineRule="auto"/>
        <w:ind w:firstLine="440"/>
        <w:rPr>
          <w:rFonts w:hint="eastAsia" w:ascii="仿宋" w:hAnsi="仿宋" w:eastAsia="仿宋" w:cs="仿宋"/>
          <w:sz w:val="24"/>
          <w:szCs w:val="24"/>
        </w:rPr>
      </w:pPr>
      <w:r>
        <w:rPr>
          <w:rFonts w:hint="eastAsia" w:ascii="仿宋" w:hAnsi="仿宋" w:eastAsia="仿宋" w:cs="仿宋"/>
          <w:sz w:val="24"/>
          <w:szCs w:val="24"/>
        </w:rPr>
        <w:t>3.1  投标方所提供设备涉及的全部供货范围内的设备、材料、零配件和工器具等，除合同特别约定外，其质保期均自终验收签字生效之日起</w:t>
      </w:r>
      <w:r>
        <w:rPr>
          <w:rFonts w:hint="eastAsia" w:ascii="仿宋" w:hAnsi="仿宋" w:eastAsia="仿宋" w:cs="仿宋"/>
          <w:sz w:val="24"/>
          <w:szCs w:val="24"/>
          <w:u w:val="single"/>
        </w:rPr>
        <w:t xml:space="preserve"> </w:t>
      </w:r>
      <w:r>
        <w:rPr>
          <w:rFonts w:hint="eastAsia" w:ascii="仿宋" w:hAnsi="仿宋" w:eastAsia="仿宋" w:cs="仿宋"/>
          <w:sz w:val="24"/>
          <w:szCs w:val="24"/>
          <w:u w:val="single"/>
          <w:shd w:val="pct10" w:color="auto" w:fill="FFFFFF"/>
        </w:rPr>
        <w:t xml:space="preserve"> 12 </w:t>
      </w:r>
      <w:r>
        <w:rPr>
          <w:rFonts w:hint="eastAsia" w:ascii="仿宋" w:hAnsi="仿宋" w:eastAsia="仿宋" w:cs="仿宋"/>
          <w:sz w:val="24"/>
          <w:szCs w:val="24"/>
        </w:rPr>
        <w:t>个月。</w:t>
      </w:r>
      <w:r>
        <w:rPr>
          <w:rFonts w:hint="eastAsia" w:ascii="仿宋" w:hAnsi="仿宋" w:eastAsia="仿宋" w:cs="仿宋"/>
          <w:spacing w:val="20"/>
          <w:kern w:val="10"/>
          <w:sz w:val="24"/>
          <w:szCs w:val="24"/>
        </w:rPr>
        <w:t>其中控制电器部分</w:t>
      </w:r>
      <w:r>
        <w:rPr>
          <w:rFonts w:hint="eastAsia" w:ascii="仿宋" w:hAnsi="仿宋" w:eastAsia="仿宋" w:cs="仿宋"/>
          <w:sz w:val="24"/>
          <w:szCs w:val="24"/>
        </w:rPr>
        <w:t>质保期在</w:t>
      </w:r>
      <w:r>
        <w:rPr>
          <w:rFonts w:hint="eastAsia" w:ascii="仿宋" w:hAnsi="仿宋" w:eastAsia="仿宋" w:cs="仿宋"/>
          <w:sz w:val="24"/>
          <w:szCs w:val="24"/>
          <w:u w:val="single"/>
          <w:shd w:val="pct10" w:color="auto" w:fill="FFFFFF"/>
        </w:rPr>
        <w:t>12</w:t>
      </w:r>
      <w:r>
        <w:rPr>
          <w:rFonts w:hint="eastAsia" w:ascii="仿宋" w:hAnsi="仿宋" w:eastAsia="仿宋" w:cs="仿宋"/>
          <w:spacing w:val="20"/>
          <w:kern w:val="10"/>
          <w:sz w:val="24"/>
          <w:szCs w:val="24"/>
        </w:rPr>
        <w:t>个月以上。</w:t>
      </w:r>
    </w:p>
    <w:p w14:paraId="0C21F803">
      <w:pPr>
        <w:spacing w:line="360" w:lineRule="auto"/>
        <w:ind w:firstLine="480" w:firstLineChars="200"/>
        <w:jc w:val="left"/>
        <w:rPr>
          <w:rFonts w:hint="eastAsia" w:ascii="仿宋" w:hAnsi="仿宋" w:eastAsia="仿宋" w:cs="仿宋"/>
          <w:sz w:val="24"/>
          <w:szCs w:val="24"/>
        </w:rPr>
      </w:pPr>
      <w:r>
        <w:rPr>
          <w:rFonts w:hint="eastAsia" w:ascii="仿宋" w:hAnsi="仿宋" w:eastAsia="仿宋" w:cs="仿宋"/>
          <w:sz w:val="24"/>
          <w:szCs w:val="24"/>
        </w:rPr>
        <w:t>3.2  质保期之内，如果设备出现关键设备、总成、零部件或者多处一般设备、总成、零部件的更换或维修行为，则质保期自更换或维修行为结束、设备能够正常运行使用之日起重新计算。</w:t>
      </w:r>
    </w:p>
    <w:p w14:paraId="2BAAD384">
      <w:pPr>
        <w:spacing w:line="360" w:lineRule="auto"/>
        <w:ind w:firstLine="480" w:firstLineChars="200"/>
        <w:outlineLvl w:val="2"/>
        <w:rPr>
          <w:rFonts w:hint="eastAsia" w:ascii="仿宋" w:hAnsi="仿宋" w:eastAsia="仿宋" w:cs="仿宋"/>
          <w:sz w:val="24"/>
          <w:szCs w:val="24"/>
        </w:rPr>
      </w:pPr>
      <w:r>
        <w:rPr>
          <w:rFonts w:hint="eastAsia" w:ascii="仿宋" w:hAnsi="仿宋" w:eastAsia="仿宋" w:cs="仿宋"/>
          <w:sz w:val="24"/>
          <w:szCs w:val="24"/>
        </w:rPr>
        <w:t>4  包装</w:t>
      </w:r>
    </w:p>
    <w:p w14:paraId="08F72F31">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4.1  投标方所提供货物（或设备）的包装，应遵照国家标准和有关包装、包皮的技术条件，或按照最好的商业惯例进行包装。</w:t>
      </w:r>
    </w:p>
    <w:p w14:paraId="6C62030C">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4.2  包装应能满足所需要采取的运输方式（船运、汽运或铁路运输）、多次吊装卸装、卸货以及长期露天堆放要求，应能防止雨淋、受潮、生锈、腐蚀、受振、受磁以及机械和化学因素等引起的损坏。</w:t>
      </w:r>
    </w:p>
    <w:p w14:paraId="2D0CD820">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4.3  投标方所提供货物（或设备）的包装，应能防止其一般性被窃或受外力破坏；一般不得采用有大缝隙的板条包装。</w:t>
      </w:r>
    </w:p>
    <w:p w14:paraId="3AB1BE67">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4.4  投标方应对包装件做必要的加固和固定，以防止运输可能造成的损坏。</w:t>
      </w:r>
    </w:p>
    <w:p w14:paraId="56F4EEF5">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4.5  每个包装件应有装箱单，并至少标明名称、型号规格、数量、净重和毛重、投标方（或供货商）名称和制造日期等相关内容。</w:t>
      </w:r>
    </w:p>
    <w:p w14:paraId="4DF12BCE">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4.6  每个包装箱应有明显标志，并具有中文书写的合同号、装运标志、发货和到货地点名称、发货人和收货人名称、设备名称和项目号、箱号和外型尺寸等内容。</w:t>
      </w:r>
    </w:p>
    <w:p w14:paraId="05FE8092">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4.7  投标方还应按照不同的装运要求在包装箱上标明“小心轻放”、“箭头向上”、“防潮”、“防磁”、“不准平放”等标志，以及其它适用的国标通用标志。</w:t>
      </w:r>
    </w:p>
    <w:p w14:paraId="27904328">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4.9  包装箱应连续编号，不应出现重复编号。</w:t>
      </w:r>
    </w:p>
    <w:p w14:paraId="126354AB">
      <w:pPr>
        <w:adjustRightInd w:val="0"/>
        <w:snapToGrid w:val="0"/>
        <w:spacing w:line="360" w:lineRule="auto"/>
        <w:ind w:firstLine="480" w:firstLineChars="200"/>
        <w:outlineLvl w:val="2"/>
        <w:rPr>
          <w:rFonts w:hint="eastAsia" w:ascii="仿宋" w:hAnsi="仿宋" w:eastAsia="仿宋" w:cs="仿宋"/>
          <w:sz w:val="24"/>
          <w:szCs w:val="24"/>
        </w:rPr>
      </w:pPr>
      <w:r>
        <w:rPr>
          <w:rFonts w:hint="eastAsia" w:ascii="仿宋" w:hAnsi="仿宋" w:eastAsia="仿宋" w:cs="仿宋"/>
          <w:sz w:val="24"/>
          <w:szCs w:val="24"/>
        </w:rPr>
        <w:t>5  运输</w:t>
      </w:r>
    </w:p>
    <w:p w14:paraId="014BD9D0">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5.1  投标方应负责将货物（或设备）运到目的地，并必须做到货物（或设备）在任何运输过程中不受损坏和遗失。</w:t>
      </w:r>
    </w:p>
    <w:p w14:paraId="71C2EBB4">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5.2  同批货物（或设备）应统一包装、编号运输。</w:t>
      </w:r>
    </w:p>
    <w:p w14:paraId="5E15986B">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5.3  一般情况下，经由铁路、公路运输的包装件尺寸和重量不应超过国家所规定的尺寸限制。特殊情况应予以说明。</w:t>
      </w:r>
    </w:p>
    <w:p w14:paraId="383E6B95">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5.4  在每批货物（或设备）发出后，投标方应立即通知</w:t>
      </w:r>
    </w:p>
    <w:p w14:paraId="2C286870">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招标方；通知中应指明：合同号、货运单号、件数、重量和货物（或设备）发出日期等相关内容。</w:t>
      </w:r>
    </w:p>
    <w:p w14:paraId="0DDB14D3">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5.5  货物（或设备）运抵招标方现场后，投标方应负责货物（或设备）的卸货、搬运、保管等事宜；或按照合同约定。</w:t>
      </w:r>
      <w:bookmarkStart w:id="82" w:name="_Toc403466189"/>
      <w:bookmarkStart w:id="83" w:name="_Toc133783973"/>
    </w:p>
    <w:p w14:paraId="0DE194C2">
      <w:pPr>
        <w:adjustRightInd w:val="0"/>
        <w:snapToGrid w:val="0"/>
        <w:spacing w:line="360" w:lineRule="auto"/>
        <w:ind w:firstLine="3132" w:firstLineChars="1300"/>
        <w:outlineLvl w:val="0"/>
        <w:rPr>
          <w:rFonts w:hint="eastAsia" w:ascii="仿宋" w:hAnsi="仿宋" w:eastAsia="仿宋" w:cs="仿宋"/>
          <w:b/>
          <w:sz w:val="24"/>
          <w:szCs w:val="24"/>
        </w:rPr>
      </w:pPr>
      <w:bookmarkStart w:id="84" w:name="_Toc28754"/>
      <w:bookmarkStart w:id="85" w:name="_Toc22117"/>
      <w:bookmarkStart w:id="86" w:name="_Toc11176"/>
      <w:bookmarkStart w:id="87" w:name="_Toc24179"/>
      <w:r>
        <w:rPr>
          <w:rFonts w:hint="eastAsia" w:ascii="仿宋" w:hAnsi="仿宋" w:eastAsia="仿宋" w:cs="仿宋"/>
          <w:b/>
          <w:sz w:val="24"/>
          <w:szCs w:val="24"/>
        </w:rPr>
        <w:t>第四章  售中售后服务</w:t>
      </w:r>
      <w:bookmarkEnd w:id="82"/>
      <w:bookmarkEnd w:id="83"/>
      <w:bookmarkEnd w:id="84"/>
      <w:bookmarkEnd w:id="85"/>
      <w:bookmarkEnd w:id="86"/>
      <w:bookmarkEnd w:id="87"/>
    </w:p>
    <w:p w14:paraId="09B05DB2">
      <w:pPr>
        <w:adjustRightInd w:val="0"/>
        <w:snapToGrid w:val="0"/>
        <w:spacing w:line="360" w:lineRule="auto"/>
        <w:ind w:firstLine="480" w:firstLineChars="200"/>
        <w:outlineLvl w:val="1"/>
        <w:rPr>
          <w:rFonts w:hint="eastAsia" w:ascii="仿宋" w:hAnsi="仿宋" w:eastAsia="仿宋" w:cs="仿宋"/>
          <w:sz w:val="24"/>
          <w:szCs w:val="24"/>
        </w:rPr>
      </w:pPr>
      <w:bookmarkStart w:id="88" w:name="_Toc13346"/>
      <w:bookmarkStart w:id="89" w:name="_Toc1046"/>
      <w:bookmarkStart w:id="90" w:name="_Toc2283"/>
      <w:bookmarkStart w:id="91" w:name="_Toc6165"/>
      <w:r>
        <w:rPr>
          <w:rFonts w:hint="eastAsia" w:ascii="仿宋" w:hAnsi="仿宋" w:eastAsia="仿宋" w:cs="仿宋"/>
          <w:sz w:val="24"/>
          <w:szCs w:val="24"/>
        </w:rPr>
        <w:t>1  技术及培训服务</w:t>
      </w:r>
      <w:bookmarkEnd w:id="88"/>
      <w:bookmarkEnd w:id="89"/>
      <w:bookmarkEnd w:id="90"/>
      <w:bookmarkEnd w:id="91"/>
    </w:p>
    <w:p w14:paraId="10924D6D">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 xml:space="preserve">1.1  </w:t>
      </w:r>
      <w:bookmarkStart w:id="92" w:name="_Hlk58764965"/>
      <w:r>
        <w:rPr>
          <w:rFonts w:hint="eastAsia" w:ascii="仿宋" w:hAnsi="仿宋" w:eastAsia="仿宋" w:cs="仿宋"/>
          <w:sz w:val="24"/>
          <w:szCs w:val="24"/>
        </w:rPr>
        <w:t>投标方应负责对招标方不少于</w:t>
      </w:r>
      <w:r>
        <w:rPr>
          <w:rFonts w:hint="eastAsia" w:ascii="仿宋" w:hAnsi="仿宋" w:eastAsia="仿宋" w:cs="仿宋"/>
          <w:sz w:val="24"/>
          <w:szCs w:val="24"/>
          <w:u w:val="single"/>
          <w:shd w:val="pct10" w:color="auto" w:fill="FFFFFF"/>
        </w:rPr>
        <w:t xml:space="preserve">  3  </w:t>
      </w:r>
      <w:r>
        <w:rPr>
          <w:rFonts w:hint="eastAsia" w:ascii="仿宋" w:hAnsi="仿宋" w:eastAsia="仿宋" w:cs="仿宋"/>
          <w:sz w:val="24"/>
          <w:szCs w:val="24"/>
        </w:rPr>
        <w:t>名工程技术人员（工艺、机械维修、电气维修）与</w:t>
      </w:r>
      <w:r>
        <w:rPr>
          <w:rFonts w:hint="eastAsia" w:ascii="仿宋" w:hAnsi="仿宋" w:eastAsia="仿宋" w:cs="仿宋"/>
          <w:sz w:val="24"/>
          <w:szCs w:val="24"/>
          <w:u w:val="single"/>
          <w:shd w:val="pct10" w:color="auto" w:fill="FFFFFF"/>
        </w:rPr>
        <w:t xml:space="preserve"> 3-5名  </w:t>
      </w:r>
      <w:r>
        <w:rPr>
          <w:rFonts w:hint="eastAsia" w:ascii="仿宋" w:hAnsi="仿宋" w:eastAsia="仿宋" w:cs="仿宋"/>
          <w:sz w:val="24"/>
          <w:szCs w:val="24"/>
        </w:rPr>
        <w:t>操作人员在投标方现场进行预验收的同时提供不少于</w:t>
      </w:r>
      <w:r>
        <w:rPr>
          <w:rFonts w:hint="eastAsia" w:ascii="仿宋" w:hAnsi="仿宋" w:eastAsia="仿宋" w:cs="仿宋"/>
          <w:sz w:val="24"/>
          <w:szCs w:val="24"/>
          <w:u w:val="single"/>
          <w:shd w:val="pct10" w:color="auto" w:fill="FFFFFF"/>
        </w:rPr>
        <w:t xml:space="preserve">  7  </w:t>
      </w:r>
      <w:r>
        <w:rPr>
          <w:rFonts w:hint="eastAsia" w:ascii="仿宋" w:hAnsi="仿宋" w:eastAsia="仿宋" w:cs="仿宋"/>
          <w:sz w:val="24"/>
          <w:szCs w:val="24"/>
        </w:rPr>
        <w:t>个工作日的免费专题培训，培训内容为理论、技术和操作、维修等方面的技术指导和问题解答。</w:t>
      </w:r>
      <w:bookmarkEnd w:id="92"/>
    </w:p>
    <w:p w14:paraId="4A61DF0C">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1.2  投标方应负责在招标方设备使用现场，进行1～2次免费的技术指导和培训，并接受招标方有关人员的技术咨询。</w:t>
      </w:r>
    </w:p>
    <w:p w14:paraId="009DB5B9">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1.3  投标方应免费提供一定数量的培训资料。</w:t>
      </w:r>
    </w:p>
    <w:p w14:paraId="1A6F66B6">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1.4  投标方应按要求，免费积极协助和提供招标方以及招标方所委托的工程设计单位有关人员所需要的、与设备有关的工程设计资料、技术咨询等。</w:t>
      </w:r>
    </w:p>
    <w:p w14:paraId="52E034AF">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1.5  若投标方提供的设备涉及到外购外协货物、而且该货物的技术质量等较为关键时，投标方应能得到配套厂家的技术支持，并免费为招标方提供技术服务。</w:t>
      </w:r>
    </w:p>
    <w:p w14:paraId="3CD98B70">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1.6  投标方负责制定对招标方人员在运行、维修和试验等方面的培训计划，并有专人负责实施培训计划，负责指导招标方受培训人员正确理解设计和制造意图，认识设备的特点和特性，掌握在运行、维修和使用管理中应遵守的规则等方面的综合知识。</w:t>
      </w:r>
    </w:p>
    <w:p w14:paraId="4B7866F2">
      <w:pPr>
        <w:adjustRightInd w:val="0"/>
        <w:snapToGrid w:val="0"/>
        <w:spacing w:line="360" w:lineRule="auto"/>
        <w:ind w:firstLine="480" w:firstLineChars="200"/>
        <w:outlineLvl w:val="1"/>
        <w:rPr>
          <w:rFonts w:hint="eastAsia" w:ascii="仿宋" w:hAnsi="仿宋" w:eastAsia="仿宋" w:cs="仿宋"/>
          <w:sz w:val="24"/>
          <w:szCs w:val="24"/>
        </w:rPr>
      </w:pPr>
      <w:bookmarkStart w:id="93" w:name="_Toc16995"/>
      <w:bookmarkStart w:id="94" w:name="_Toc25698"/>
      <w:bookmarkStart w:id="95" w:name="_Toc30963"/>
      <w:bookmarkStart w:id="96" w:name="_Toc11927"/>
      <w:r>
        <w:rPr>
          <w:rFonts w:hint="eastAsia" w:ascii="仿宋" w:hAnsi="仿宋" w:eastAsia="仿宋" w:cs="仿宋"/>
          <w:sz w:val="24"/>
          <w:szCs w:val="24"/>
        </w:rPr>
        <w:t>2  安装调试服务</w:t>
      </w:r>
      <w:bookmarkEnd w:id="93"/>
      <w:bookmarkEnd w:id="94"/>
      <w:bookmarkEnd w:id="95"/>
      <w:bookmarkEnd w:id="96"/>
    </w:p>
    <w:p w14:paraId="75A8FE14">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2.1  根据设备的要求，调试可分空载和负载两个阶段进行；招标方将予以积极配合，协助投标方达到设备的各项技术指标和性能要求。</w:t>
      </w:r>
    </w:p>
    <w:p w14:paraId="0719D3F1">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2.2  安装调试与验收期间，若投标方提供的设备涉及到外购外协货物、而且该货物的技术质量等较为关键时，投标方应能得到配套厂家的技术支持，并免费为招标方提供安装使用现场的指导与协调。</w:t>
      </w:r>
    </w:p>
    <w:p w14:paraId="0362BC66">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2.4  投标方提供收费的或免费的、指导安装调试或负责安装调试，至少应在投标文件的报价章节中，予以明确说明</w:t>
      </w:r>
      <w:bookmarkStart w:id="97" w:name="_Hlk58765060"/>
      <w:r>
        <w:rPr>
          <w:rFonts w:hint="eastAsia" w:ascii="仿宋" w:hAnsi="仿宋" w:eastAsia="仿宋" w:cs="仿宋"/>
          <w:sz w:val="24"/>
          <w:szCs w:val="24"/>
        </w:rPr>
        <w:t>，如不明确说明均视为免费。</w:t>
      </w:r>
      <w:bookmarkEnd w:id="97"/>
      <w:bookmarkStart w:id="98" w:name="_Hlk58765074"/>
    </w:p>
    <w:p w14:paraId="7E52E7B5">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2.5  在与招标方机床设备进行自动化对接时实施时提供免费的技术服务支持，不得设置技术障碍，确保投标方的生产线自动化项目与招标方的设备的顺利实施对接。</w:t>
      </w:r>
      <w:bookmarkEnd w:id="98"/>
    </w:p>
    <w:p w14:paraId="4F09D8A6">
      <w:pPr>
        <w:adjustRightInd w:val="0"/>
        <w:snapToGrid w:val="0"/>
        <w:spacing w:line="360" w:lineRule="auto"/>
        <w:ind w:firstLine="480" w:firstLineChars="200"/>
        <w:outlineLvl w:val="1"/>
        <w:rPr>
          <w:rFonts w:hint="eastAsia" w:ascii="仿宋" w:hAnsi="仿宋" w:eastAsia="仿宋" w:cs="仿宋"/>
          <w:sz w:val="24"/>
          <w:szCs w:val="24"/>
        </w:rPr>
      </w:pPr>
      <w:bookmarkStart w:id="99" w:name="_Toc14836"/>
      <w:bookmarkStart w:id="100" w:name="_Toc7248"/>
      <w:bookmarkStart w:id="101" w:name="_Toc23335"/>
      <w:bookmarkStart w:id="102" w:name="_Toc14343"/>
      <w:r>
        <w:rPr>
          <w:rFonts w:hint="eastAsia" w:ascii="仿宋" w:hAnsi="仿宋" w:eastAsia="仿宋" w:cs="仿宋"/>
          <w:sz w:val="24"/>
          <w:szCs w:val="24"/>
        </w:rPr>
        <w:t>3  验收服务</w:t>
      </w:r>
      <w:bookmarkEnd w:id="99"/>
      <w:bookmarkEnd w:id="100"/>
      <w:bookmarkEnd w:id="101"/>
      <w:bookmarkEnd w:id="102"/>
    </w:p>
    <w:p w14:paraId="0B4A4A55">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3.1  投标方在招标方现场进行的设备的预验收和终验收配合或指导，应当是免费的。</w:t>
      </w:r>
    </w:p>
    <w:p w14:paraId="24E980CE">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3.2  设备验收时，若投标方提供的设备涉及到外购外协货物、而且该货物的技术质量等较为关键时，投标方应能得到配套厂家的技术支持，并免费为招标方提供使用现场验收的配合或指导。</w:t>
      </w:r>
    </w:p>
    <w:p w14:paraId="0DE2A265">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3.3  在投标方所提供设备需要得到招标方建设项目所在地政府或行业主管部门的查验、试验、验收时，投标方应当免费完成或协助招标方完成所需要的工作、材料和服务等。协助完成的，应当在投标文件报价内容中予以说明，否则视同免费。</w:t>
      </w:r>
    </w:p>
    <w:p w14:paraId="6B2B50F3">
      <w:pPr>
        <w:adjustRightInd w:val="0"/>
        <w:snapToGrid w:val="0"/>
        <w:spacing w:line="360" w:lineRule="auto"/>
        <w:ind w:firstLine="480" w:firstLineChars="200"/>
        <w:outlineLvl w:val="1"/>
        <w:rPr>
          <w:rFonts w:hint="eastAsia" w:ascii="仿宋" w:hAnsi="仿宋" w:eastAsia="仿宋" w:cs="仿宋"/>
          <w:sz w:val="24"/>
          <w:szCs w:val="24"/>
        </w:rPr>
      </w:pPr>
      <w:bookmarkStart w:id="103" w:name="_Toc21973"/>
      <w:bookmarkStart w:id="104" w:name="_Toc31808"/>
      <w:bookmarkStart w:id="105" w:name="_Toc12789"/>
      <w:bookmarkStart w:id="106" w:name="_Toc13578"/>
      <w:r>
        <w:rPr>
          <w:rFonts w:hint="eastAsia" w:ascii="仿宋" w:hAnsi="仿宋" w:eastAsia="仿宋" w:cs="仿宋"/>
          <w:sz w:val="24"/>
          <w:szCs w:val="24"/>
        </w:rPr>
        <w:t>4  售后服务</w:t>
      </w:r>
      <w:bookmarkEnd w:id="103"/>
      <w:bookmarkEnd w:id="104"/>
      <w:bookmarkEnd w:id="105"/>
      <w:bookmarkEnd w:id="106"/>
    </w:p>
    <w:p w14:paraId="53C70638">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4.1  所有的售后服务均由投标方受理。如果发生问题并且收到报告，投标方应当在2小时内予以答复。</w:t>
      </w:r>
    </w:p>
    <w:p w14:paraId="4BF24331">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4.2  如发现所提供的设备存在问题，需要投标方解决或配合解决时：在质保期之内，应在接到通知后</w:t>
      </w:r>
      <w:r>
        <w:rPr>
          <w:rFonts w:hint="eastAsia" w:ascii="仿宋" w:hAnsi="仿宋" w:eastAsia="仿宋" w:cs="仿宋"/>
          <w:sz w:val="24"/>
          <w:szCs w:val="24"/>
          <w:u w:val="single"/>
          <w:shd w:val="pct10" w:color="auto" w:fill="FFFFFF"/>
        </w:rPr>
        <w:t xml:space="preserve"> 2 </w:t>
      </w:r>
      <w:r>
        <w:rPr>
          <w:rFonts w:hint="eastAsia" w:ascii="仿宋" w:hAnsi="仿宋" w:eastAsia="仿宋" w:cs="仿宋"/>
          <w:sz w:val="24"/>
          <w:szCs w:val="24"/>
        </w:rPr>
        <w:t>小时给予回复，如需到达现场，接到通知后</w:t>
      </w:r>
      <w:r>
        <w:rPr>
          <w:rFonts w:hint="eastAsia" w:ascii="仿宋" w:hAnsi="仿宋" w:eastAsia="仿宋" w:cs="仿宋"/>
          <w:sz w:val="24"/>
          <w:szCs w:val="24"/>
          <w:u w:val="single"/>
          <w:shd w:val="pct10" w:color="auto" w:fill="FFFFFF"/>
        </w:rPr>
        <w:t xml:space="preserve">  24   </w:t>
      </w:r>
      <w:r>
        <w:rPr>
          <w:rFonts w:hint="eastAsia" w:ascii="仿宋" w:hAnsi="仿宋" w:eastAsia="仿宋" w:cs="仿宋"/>
          <w:sz w:val="24"/>
          <w:szCs w:val="24"/>
        </w:rPr>
        <w:t>小时内派有关人员到达现场；在质保期之外，应在接到通知后</w:t>
      </w:r>
      <w:r>
        <w:rPr>
          <w:rFonts w:hint="eastAsia" w:ascii="仿宋" w:hAnsi="仿宋" w:eastAsia="仿宋" w:cs="仿宋"/>
          <w:sz w:val="24"/>
          <w:szCs w:val="24"/>
          <w:u w:val="single"/>
          <w:shd w:val="pct10" w:color="auto" w:fill="FFFFFF"/>
        </w:rPr>
        <w:t xml:space="preserve"> 4 </w:t>
      </w:r>
      <w:r>
        <w:rPr>
          <w:rFonts w:hint="eastAsia" w:ascii="仿宋" w:hAnsi="仿宋" w:eastAsia="仿宋" w:cs="仿宋"/>
          <w:sz w:val="24"/>
          <w:szCs w:val="24"/>
        </w:rPr>
        <w:t>小时给予回复，如需到达现场，接到通知后</w:t>
      </w:r>
      <w:r>
        <w:rPr>
          <w:rFonts w:hint="eastAsia" w:ascii="仿宋" w:hAnsi="仿宋" w:eastAsia="仿宋" w:cs="仿宋"/>
          <w:sz w:val="24"/>
          <w:szCs w:val="24"/>
          <w:u w:val="single"/>
          <w:shd w:val="pct10" w:color="auto" w:fill="FFFFFF"/>
        </w:rPr>
        <w:t xml:space="preserve">  48  </w:t>
      </w:r>
      <w:r>
        <w:rPr>
          <w:rFonts w:hint="eastAsia" w:ascii="仿宋" w:hAnsi="仿宋" w:eastAsia="仿宋" w:cs="仿宋"/>
          <w:sz w:val="24"/>
          <w:szCs w:val="24"/>
        </w:rPr>
        <w:t>小时内派有关人员到达现场。</w:t>
      </w:r>
    </w:p>
    <w:p w14:paraId="65A80368">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4.3  投标方派往招标方使用现场的人员，应具有较高的业务素质；现场解决问题时，不得无故拖延或推迟，应为招标方提供最佳的服务。</w:t>
      </w:r>
    </w:p>
    <w:p w14:paraId="59674378">
      <w:pPr>
        <w:adjustRightInd w:val="0"/>
        <w:snapToGrid w:val="0"/>
        <w:spacing w:line="360" w:lineRule="auto"/>
        <w:ind w:firstLine="480" w:firstLineChars="200"/>
        <w:outlineLvl w:val="1"/>
        <w:rPr>
          <w:rFonts w:hint="eastAsia" w:ascii="仿宋" w:hAnsi="仿宋" w:eastAsia="仿宋" w:cs="仿宋"/>
          <w:sz w:val="24"/>
          <w:szCs w:val="24"/>
        </w:rPr>
      </w:pPr>
      <w:bookmarkStart w:id="107" w:name="_Toc18220"/>
      <w:bookmarkStart w:id="108" w:name="_Toc3902"/>
      <w:bookmarkStart w:id="109" w:name="_Toc21765"/>
      <w:bookmarkStart w:id="110" w:name="_Toc2781"/>
      <w:r>
        <w:rPr>
          <w:rFonts w:hint="eastAsia" w:ascii="仿宋" w:hAnsi="仿宋" w:eastAsia="仿宋" w:cs="仿宋"/>
          <w:sz w:val="24"/>
          <w:szCs w:val="24"/>
        </w:rPr>
        <w:t>5  其它服务</w:t>
      </w:r>
      <w:bookmarkEnd w:id="107"/>
      <w:bookmarkEnd w:id="108"/>
      <w:bookmarkEnd w:id="109"/>
      <w:bookmarkEnd w:id="110"/>
    </w:p>
    <w:p w14:paraId="529BAA02">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5.1  若投标方所提供设备有需要进口的，投标方一般应自行、自费办理；必要时，招标方和投标方共同办理。</w:t>
      </w:r>
    </w:p>
    <w:p w14:paraId="65D03676">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5.2  除招标文件、投标文件、答疑文件、技术协议、合同等约定之外，投标方应免费负责必要的或强制性的设备的检验、试验、化验等直接费用。</w:t>
      </w:r>
    </w:p>
    <w:p w14:paraId="78945D54">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5.3  本章节条款所列“免费”，并非指定不可收费，而是指招标文件、投标文件、答疑文件、技术交流文件、技术协议书和合同等范围之外，投标方不可另行收取的费用。</w:t>
      </w:r>
    </w:p>
    <w:p w14:paraId="70C0EE3D">
      <w:pPr>
        <w:spacing w:line="360" w:lineRule="auto"/>
        <w:ind w:firstLine="480" w:firstLineChars="200"/>
        <w:rPr>
          <w:rFonts w:hint="eastAsia" w:ascii="仿宋" w:hAnsi="仿宋" w:eastAsia="仿宋" w:cs="仿宋"/>
          <w:sz w:val="24"/>
          <w:szCs w:val="24"/>
        </w:rPr>
      </w:pPr>
      <w:bookmarkStart w:id="111" w:name="_Hlk58765133"/>
      <w:r>
        <w:rPr>
          <w:rFonts w:hint="eastAsia" w:ascii="仿宋" w:hAnsi="仿宋" w:eastAsia="仿宋" w:cs="仿宋"/>
          <w:sz w:val="24"/>
          <w:szCs w:val="24"/>
        </w:rPr>
        <w:t>5.4  投标方提供设备出保质期后，售后服务费用及计算方式。</w:t>
      </w:r>
    </w:p>
    <w:bookmarkEnd w:id="111"/>
    <w:p w14:paraId="10107EC7">
      <w:pPr>
        <w:pStyle w:val="2"/>
        <w:spacing w:before="120" w:after="120" w:line="360" w:lineRule="auto"/>
        <w:jc w:val="center"/>
        <w:rPr>
          <w:rFonts w:hint="eastAsia" w:ascii="仿宋" w:hAnsi="仿宋" w:eastAsia="仿宋" w:cs="仿宋"/>
          <w:bCs w:val="0"/>
          <w:sz w:val="24"/>
          <w:szCs w:val="24"/>
        </w:rPr>
      </w:pPr>
      <w:bookmarkStart w:id="112" w:name="_Toc28687"/>
      <w:bookmarkStart w:id="113" w:name="_Toc982"/>
      <w:bookmarkStart w:id="114" w:name="_Toc133783974"/>
      <w:bookmarkStart w:id="115" w:name="_Toc9975"/>
      <w:bookmarkStart w:id="116" w:name="_Toc29100"/>
      <w:bookmarkStart w:id="117" w:name="_Toc403466190"/>
      <w:r>
        <w:rPr>
          <w:rFonts w:hint="eastAsia" w:ascii="仿宋" w:hAnsi="仿宋" w:eastAsia="仿宋" w:cs="仿宋"/>
          <w:bCs w:val="0"/>
          <w:sz w:val="24"/>
          <w:szCs w:val="24"/>
        </w:rPr>
        <w:t>第五章  预验收和终验收</w:t>
      </w:r>
      <w:bookmarkEnd w:id="112"/>
      <w:bookmarkEnd w:id="113"/>
      <w:bookmarkEnd w:id="114"/>
      <w:bookmarkEnd w:id="115"/>
      <w:bookmarkEnd w:id="116"/>
      <w:bookmarkEnd w:id="117"/>
    </w:p>
    <w:p w14:paraId="028088E3">
      <w:pPr>
        <w:spacing w:line="360" w:lineRule="auto"/>
        <w:ind w:firstLine="480" w:firstLineChars="200"/>
        <w:outlineLvl w:val="1"/>
        <w:rPr>
          <w:rFonts w:hint="eastAsia" w:ascii="仿宋" w:hAnsi="仿宋" w:eastAsia="仿宋" w:cs="仿宋"/>
          <w:sz w:val="24"/>
          <w:szCs w:val="24"/>
        </w:rPr>
      </w:pPr>
      <w:bookmarkStart w:id="118" w:name="_Toc24227"/>
      <w:bookmarkStart w:id="119" w:name="_Toc15708"/>
      <w:bookmarkStart w:id="120" w:name="_Toc30827"/>
      <w:bookmarkStart w:id="121" w:name="_Toc21764"/>
      <w:r>
        <w:rPr>
          <w:rFonts w:hint="eastAsia" w:ascii="仿宋" w:hAnsi="仿宋" w:eastAsia="仿宋" w:cs="仿宋"/>
          <w:sz w:val="24"/>
          <w:szCs w:val="24"/>
        </w:rPr>
        <w:t>1  验收的一般约定</w:t>
      </w:r>
      <w:bookmarkEnd w:id="118"/>
      <w:bookmarkEnd w:id="119"/>
      <w:bookmarkEnd w:id="120"/>
      <w:bookmarkEnd w:id="121"/>
    </w:p>
    <w:p w14:paraId="2E6FA2FD">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1.1  验收标准一般以技术协议书和合同规定验收。</w:t>
      </w:r>
    </w:p>
    <w:p w14:paraId="07534AA9">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1.2  如果验收过程中，发现招标文件、投标文件、答疑文件、技术交流文件等与技术协议书、合同存在差异，原则上以涉及条款中对买方最有利条款为验收依据。</w:t>
      </w:r>
    </w:p>
    <w:p w14:paraId="3B65F7B8">
      <w:pPr>
        <w:adjustRightInd w:val="0"/>
        <w:snapToGrid w:val="0"/>
        <w:spacing w:line="360" w:lineRule="auto"/>
        <w:ind w:firstLine="480" w:firstLineChars="200"/>
        <w:outlineLvl w:val="1"/>
        <w:rPr>
          <w:rFonts w:hint="eastAsia" w:ascii="仿宋" w:hAnsi="仿宋" w:eastAsia="仿宋" w:cs="仿宋"/>
          <w:sz w:val="24"/>
          <w:szCs w:val="24"/>
        </w:rPr>
      </w:pPr>
      <w:bookmarkStart w:id="122" w:name="_Toc6920"/>
      <w:bookmarkStart w:id="123" w:name="_Toc13235"/>
      <w:bookmarkStart w:id="124" w:name="_Toc21740"/>
      <w:bookmarkStart w:id="125" w:name="_Toc13440"/>
      <w:r>
        <w:rPr>
          <w:rFonts w:hint="eastAsia" w:ascii="仿宋" w:hAnsi="仿宋" w:eastAsia="仿宋" w:cs="仿宋"/>
          <w:sz w:val="24"/>
          <w:szCs w:val="24"/>
        </w:rPr>
        <w:t>2  检验</w:t>
      </w:r>
      <w:bookmarkEnd w:id="122"/>
      <w:bookmarkEnd w:id="123"/>
      <w:bookmarkEnd w:id="124"/>
      <w:bookmarkEnd w:id="125"/>
    </w:p>
    <w:p w14:paraId="611A1630">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2.1  国产设备的检验由卖买双方按照合同要求或在制造现场进行。</w:t>
      </w:r>
    </w:p>
    <w:p w14:paraId="6E459CCB">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2.2  进口设备的检验按照下述要求进行：</w:t>
      </w:r>
    </w:p>
    <w:p w14:paraId="14F532F6">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2.1.1  进口设备发货前，卖方应对设备的质量、型号、规格、性能和数量/重量作精密、全面的检验，并出具证明书，证明所供设备符合合同规定。</w:t>
      </w:r>
    </w:p>
    <w:p w14:paraId="6F1E66AF">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2.1.2  卖方应依据合同规定的要求，提供买卖双方达成一致的设备的验收标准和装箱单，作为买方检验的依据。</w:t>
      </w:r>
    </w:p>
    <w:p w14:paraId="621416E3">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2.1.3  进口设备到达目的地后，买方有权申请中国商品检验检疫局进行检验，如发现设备的品质及规格与合同或发票不符，除买方的责任外，买方有权在设备到达卸货目的地后180个日历日内，根据中国商品检验检疫局出具的证明书向卖方提出索赔，因索赔所发生的一切费用(包括检验检疫费等)均由卖方承担。</w:t>
      </w:r>
    </w:p>
    <w:p w14:paraId="3F1C2376">
      <w:pPr>
        <w:adjustRightInd w:val="0"/>
        <w:snapToGrid w:val="0"/>
        <w:spacing w:line="360" w:lineRule="auto"/>
        <w:ind w:firstLine="480" w:firstLineChars="200"/>
        <w:outlineLvl w:val="1"/>
        <w:rPr>
          <w:rFonts w:hint="eastAsia" w:ascii="仿宋" w:hAnsi="仿宋" w:eastAsia="仿宋" w:cs="仿宋"/>
          <w:sz w:val="24"/>
          <w:szCs w:val="24"/>
        </w:rPr>
      </w:pPr>
      <w:bookmarkStart w:id="126" w:name="_Toc23498"/>
      <w:bookmarkStart w:id="127" w:name="_Toc20533"/>
      <w:bookmarkStart w:id="128" w:name="_Toc6450"/>
      <w:bookmarkStart w:id="129" w:name="_Toc18888"/>
      <w:r>
        <w:rPr>
          <w:rFonts w:hint="eastAsia" w:ascii="仿宋" w:hAnsi="仿宋" w:eastAsia="仿宋" w:cs="仿宋"/>
          <w:sz w:val="24"/>
          <w:szCs w:val="24"/>
        </w:rPr>
        <w:t>3  验收条件</w:t>
      </w:r>
      <w:bookmarkEnd w:id="126"/>
      <w:bookmarkEnd w:id="127"/>
      <w:bookmarkEnd w:id="128"/>
      <w:bookmarkEnd w:id="129"/>
    </w:p>
    <w:p w14:paraId="681C3F54">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7F82C48C">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买卖双方按照合同约定执行了合同，同时设备完成了试运行并经检验合格，则具备验收条件。</w:t>
      </w:r>
    </w:p>
    <w:p w14:paraId="452AC489">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3.1  预验收一般条件</w:t>
      </w:r>
    </w:p>
    <w:p w14:paraId="6372B880">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3.1.1  卖方已经按照“供货范围”要求提供了预验收资料，并且资料齐全、完整和有效。</w:t>
      </w:r>
    </w:p>
    <w:p w14:paraId="46AFE933">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3.1.2  设备应运行稳定、可靠、安全，无非正常变形，非正常振动，无异常声音；无漏水、漏液、漏气（汽）、漏电等现象。运动的零部件（如链条、联轴器、离合器、主轴、工作台等）动作平稳、灵活运动准确。</w:t>
      </w:r>
    </w:p>
    <w:p w14:paraId="72D7391E">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3.1.3  设备应完整且所有的零部件应该安装牢固，外观无损伤，所有的焊缝饱满、无残渣等缺陷。</w:t>
      </w:r>
    </w:p>
    <w:p w14:paraId="1318051D">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3.1.4  一般情况下，所有的管路和线缆等，接头应完全正确、可靠地联接；应排列有序（正确、牢固、整齐），有必要的防护，无皱褶、收缩和裂缝等不良现象。</w:t>
      </w:r>
    </w:p>
    <w:p w14:paraId="135F5D00">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3.1.5  设备的润滑系统工作正常、可靠，润滑点易于到达。</w:t>
      </w:r>
    </w:p>
    <w:p w14:paraId="051B42E8">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3.1.6  使用的压力容器、电气等应具备合格证（如果有压力容器）。</w:t>
      </w:r>
    </w:p>
    <w:p w14:paraId="23A40FB6">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3.1.7  设备的油漆质量应饱满、有光泽，无掉漆、无色差、无“桔皮”等不良现象（特殊标志除外）。</w:t>
      </w:r>
    </w:p>
    <w:p w14:paraId="2312D153">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3.1.8  设备标牌完整、清晰、明确。</w:t>
      </w:r>
    </w:p>
    <w:p w14:paraId="75758C23">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3.1.9  地线联接和地极符合国际（ISO/IEC）标准规范。</w:t>
      </w:r>
    </w:p>
    <w:p w14:paraId="5792DCF1">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3.1.10  设备的安全要求符合中国最新的相关法律、法规、标准和规范以及合同要求，并递交相关检测报告。</w:t>
      </w:r>
    </w:p>
    <w:p w14:paraId="00CBF8D8">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3</w:t>
      </w:r>
      <w:r>
        <w:rPr>
          <w:rFonts w:ascii="仿宋" w:hAnsi="仿宋" w:eastAsia="仿宋" w:cs="仿宋"/>
          <w:sz w:val="24"/>
          <w:szCs w:val="24"/>
        </w:rPr>
        <w:t>.1.11</w:t>
      </w:r>
      <w:r>
        <w:rPr>
          <w:rFonts w:hint="eastAsia" w:ascii="仿宋" w:hAnsi="仿宋" w:eastAsia="仿宋" w:cs="仿宋"/>
          <w:sz w:val="24"/>
          <w:szCs w:val="24"/>
        </w:rPr>
        <w:t>预验收试件的发放</w:t>
      </w:r>
      <w:r>
        <w:rPr>
          <w:rFonts w:hint="eastAsia" w:ascii="仿宋" w:hAnsi="仿宋" w:eastAsia="仿宋" w:cs="仿宋"/>
          <w:sz w:val="24"/>
          <w:szCs w:val="24"/>
          <w:lang w:val="en-US" w:eastAsia="zh-CN"/>
        </w:rPr>
        <w:t>品种和数量</w:t>
      </w:r>
      <w:r>
        <w:rPr>
          <w:rFonts w:hint="eastAsia" w:ascii="仿宋" w:hAnsi="仿宋" w:eastAsia="仿宋" w:cs="仿宋"/>
          <w:sz w:val="24"/>
          <w:szCs w:val="24"/>
        </w:rPr>
        <w:t>由技术协议约定</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试件运输及包装费用由中标方承担</w:t>
      </w:r>
      <w:r>
        <w:rPr>
          <w:rFonts w:hint="eastAsia" w:ascii="仿宋" w:hAnsi="仿宋" w:eastAsia="仿宋" w:cs="仿宋"/>
          <w:sz w:val="24"/>
          <w:szCs w:val="24"/>
        </w:rPr>
        <w:t>。</w:t>
      </w:r>
    </w:p>
    <w:p w14:paraId="0E44CD65">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3.2  终验收一般条件</w:t>
      </w:r>
    </w:p>
    <w:p w14:paraId="6A048F7D">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3.2.1  经过预验收而且没有出现新的质量问题，或者满足预验收条款。</w:t>
      </w:r>
    </w:p>
    <w:p w14:paraId="622882C9">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3.2.2  设备安装调试完毕，并至少经过了验收要求的负荷试运行。</w:t>
      </w:r>
    </w:p>
    <w:p w14:paraId="358D2C9F">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3.2.3  设备正常运行时，噪声等环境影响因素满足国家和当地环保主管部门规定，安全措施落实、有效。</w:t>
      </w:r>
    </w:p>
    <w:p w14:paraId="4615CEAF">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3.2.4  计量仪器、仪表配套合理，采用中国的法定计量单位，计量准确、灵敏可靠。保证设计指标和仪器说明书的参数的实现。</w:t>
      </w:r>
    </w:p>
    <w:p w14:paraId="2329C70D">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3.2.5  试运行期间或之后无维修、调整等行为（特殊情况除外）。</w:t>
      </w:r>
    </w:p>
    <w:p w14:paraId="1A791079">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 xml:space="preserve">3.2.6  设备质量、技术性能等，达到签定的技术协议书和合同规定的终验收标准。 </w:t>
      </w:r>
    </w:p>
    <w:p w14:paraId="2F90EF8F">
      <w:pPr>
        <w:spacing w:line="360" w:lineRule="auto"/>
        <w:ind w:firstLine="480" w:firstLineChars="200"/>
        <w:outlineLvl w:val="1"/>
        <w:rPr>
          <w:rFonts w:hint="eastAsia" w:ascii="仿宋" w:hAnsi="仿宋" w:eastAsia="仿宋" w:cs="仿宋"/>
          <w:sz w:val="24"/>
          <w:szCs w:val="24"/>
        </w:rPr>
      </w:pPr>
      <w:bookmarkStart w:id="130" w:name="_Toc24766"/>
      <w:bookmarkStart w:id="131" w:name="_Toc27981"/>
      <w:bookmarkStart w:id="132" w:name="_Toc5922"/>
      <w:bookmarkStart w:id="133" w:name="_Toc17057"/>
      <w:r>
        <w:rPr>
          <w:rFonts w:hint="eastAsia" w:ascii="仿宋" w:hAnsi="仿宋" w:eastAsia="仿宋" w:cs="仿宋"/>
          <w:sz w:val="24"/>
          <w:szCs w:val="24"/>
        </w:rPr>
        <w:t>4  终验收基本要求</w:t>
      </w:r>
      <w:bookmarkEnd w:id="130"/>
      <w:bookmarkEnd w:id="131"/>
      <w:bookmarkEnd w:id="132"/>
      <w:bookmarkEnd w:id="133"/>
    </w:p>
    <w:p w14:paraId="7B1E8618">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4.1  设备允许情况下，一般先连续空运转</w:t>
      </w:r>
      <w:r>
        <w:rPr>
          <w:rFonts w:hint="eastAsia" w:ascii="仿宋" w:hAnsi="仿宋" w:eastAsia="仿宋" w:cs="仿宋"/>
          <w:sz w:val="24"/>
          <w:szCs w:val="24"/>
          <w:u w:val="single"/>
          <w:shd w:val="pct10" w:color="auto" w:fill="FFFFFF"/>
        </w:rPr>
        <w:t xml:space="preserve">   2   </w:t>
      </w:r>
      <w:r>
        <w:rPr>
          <w:rFonts w:hint="eastAsia" w:ascii="仿宋" w:hAnsi="仿宋" w:eastAsia="仿宋" w:cs="仿宋"/>
          <w:sz w:val="24"/>
          <w:szCs w:val="24"/>
        </w:rPr>
        <w:t>小时，然后再进行负荷运行。</w:t>
      </w:r>
    </w:p>
    <w:p w14:paraId="2A77C78C">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4.2  负荷运行时，设备应连续运行</w:t>
      </w:r>
      <w:r>
        <w:rPr>
          <w:rFonts w:hint="eastAsia" w:ascii="仿宋" w:hAnsi="仿宋" w:eastAsia="仿宋" w:cs="仿宋"/>
          <w:sz w:val="24"/>
          <w:szCs w:val="24"/>
          <w:u w:val="single"/>
          <w:shd w:val="pct10" w:color="auto" w:fill="FFFFFF"/>
        </w:rPr>
        <w:t xml:space="preserve">  5  </w:t>
      </w:r>
      <w:r>
        <w:rPr>
          <w:rFonts w:hint="eastAsia" w:ascii="仿宋" w:hAnsi="仿宋" w:eastAsia="仿宋" w:cs="仿宋"/>
          <w:sz w:val="24"/>
          <w:szCs w:val="24"/>
        </w:rPr>
        <w:t>天，</w:t>
      </w:r>
      <w:r>
        <w:rPr>
          <w:rFonts w:hint="eastAsia" w:ascii="仿宋" w:hAnsi="仿宋" w:eastAsia="仿宋" w:cs="仿宋"/>
          <w:sz w:val="24"/>
          <w:szCs w:val="24"/>
          <w:lang w:val="en-US" w:eastAsia="zh-CN"/>
        </w:rPr>
        <w:t>测试数量不小于</w:t>
      </w:r>
      <w:r>
        <w:rPr>
          <w:rFonts w:hint="eastAsia" w:ascii="仿宋" w:hAnsi="仿宋" w:eastAsia="仿宋" w:cs="仿宋"/>
          <w:sz w:val="24"/>
          <w:szCs w:val="24"/>
          <w:u w:val="single"/>
          <w:lang w:val="en-US" w:eastAsia="zh-CN"/>
        </w:rPr>
        <w:t>50</w:t>
      </w:r>
      <w:r>
        <w:rPr>
          <w:rFonts w:hint="eastAsia" w:ascii="仿宋" w:hAnsi="仿宋" w:eastAsia="仿宋" w:cs="仿宋"/>
          <w:sz w:val="24"/>
          <w:szCs w:val="24"/>
          <w:lang w:val="en-US" w:eastAsia="zh-CN"/>
        </w:rPr>
        <w:t>件，其中1天</w:t>
      </w:r>
      <w:r>
        <w:rPr>
          <w:rFonts w:hint="eastAsia" w:ascii="仿宋" w:hAnsi="仿宋" w:eastAsia="仿宋" w:cs="仿宋"/>
          <w:sz w:val="24"/>
          <w:szCs w:val="24"/>
        </w:rPr>
        <w:t>连续</w:t>
      </w:r>
      <w:r>
        <w:rPr>
          <w:rFonts w:hint="eastAsia" w:ascii="仿宋" w:hAnsi="仿宋" w:eastAsia="仿宋" w:cs="仿宋"/>
          <w:sz w:val="24"/>
          <w:szCs w:val="24"/>
          <w:lang w:val="en-US" w:eastAsia="zh-CN"/>
        </w:rPr>
        <w:t>测试</w:t>
      </w:r>
      <w:r>
        <w:rPr>
          <w:rFonts w:hint="eastAsia" w:ascii="仿宋" w:hAnsi="仿宋" w:eastAsia="仿宋" w:cs="仿宋"/>
          <w:sz w:val="24"/>
          <w:szCs w:val="24"/>
          <w:u w:val="single"/>
        </w:rPr>
        <w:t xml:space="preserve"> </w:t>
      </w:r>
      <w:r>
        <w:rPr>
          <w:rFonts w:hint="eastAsia" w:ascii="仿宋" w:hAnsi="仿宋" w:eastAsia="仿宋" w:cs="仿宋"/>
          <w:sz w:val="24"/>
          <w:szCs w:val="24"/>
          <w:u w:val="single"/>
          <w:shd w:val="pct10" w:color="auto" w:fill="FFFFFF"/>
        </w:rPr>
        <w:t xml:space="preserve">  </w:t>
      </w:r>
      <w:r>
        <w:rPr>
          <w:rFonts w:hint="eastAsia" w:ascii="仿宋" w:hAnsi="仿宋" w:eastAsia="仿宋" w:cs="仿宋"/>
          <w:sz w:val="24"/>
          <w:szCs w:val="24"/>
          <w:u w:val="single"/>
          <w:shd w:val="pct10" w:color="auto" w:fill="FFFFFF"/>
          <w:lang w:val="en-US" w:eastAsia="zh-CN"/>
        </w:rPr>
        <w:t>10</w:t>
      </w:r>
      <w:r>
        <w:rPr>
          <w:rFonts w:hint="eastAsia" w:ascii="仿宋" w:hAnsi="仿宋" w:eastAsia="仿宋" w:cs="仿宋"/>
          <w:sz w:val="24"/>
          <w:szCs w:val="24"/>
          <w:u w:val="single"/>
          <w:shd w:val="pct10" w:color="auto" w:fill="FFFFFF"/>
        </w:rPr>
        <w:t xml:space="preserve">  </w:t>
      </w:r>
      <w:r>
        <w:rPr>
          <w:rFonts w:hint="eastAsia" w:ascii="仿宋" w:hAnsi="仿宋" w:eastAsia="仿宋" w:cs="仿宋"/>
          <w:sz w:val="24"/>
          <w:szCs w:val="24"/>
          <w:u w:val="single"/>
          <w:shd w:val="pct10" w:color="auto" w:fill="FFFFFF"/>
          <w:lang w:val="en-US" w:eastAsia="zh-CN"/>
        </w:rPr>
        <w:t>件</w:t>
      </w:r>
      <w:r>
        <w:rPr>
          <w:rFonts w:hint="eastAsia" w:ascii="仿宋" w:hAnsi="仿宋" w:eastAsia="仿宋" w:cs="仿宋"/>
          <w:sz w:val="24"/>
          <w:szCs w:val="24"/>
          <w:lang w:val="en-US" w:eastAsia="zh-CN"/>
        </w:rPr>
        <w:t>，达到节拍要求，</w:t>
      </w:r>
      <w:r>
        <w:rPr>
          <w:rFonts w:hint="eastAsia" w:ascii="仿宋" w:hAnsi="仿宋" w:eastAsia="仿宋" w:cs="仿宋"/>
          <w:sz w:val="24"/>
          <w:szCs w:val="24"/>
        </w:rPr>
        <w:t>除用户方面因素外，必须达到以下要求：</w:t>
      </w:r>
    </w:p>
    <w:p w14:paraId="436B56F0">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4.2.1  在整个验收过程中没有维修、更换零部件或元件行为；</w:t>
      </w:r>
    </w:p>
    <w:p w14:paraId="4B1E9DEC">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4.2.2  所有出现的调整，每次调整时间均不超过</w:t>
      </w:r>
      <w:r>
        <w:rPr>
          <w:rFonts w:hint="eastAsia" w:ascii="仿宋" w:hAnsi="仿宋" w:eastAsia="仿宋" w:cs="仿宋"/>
          <w:sz w:val="24"/>
          <w:szCs w:val="24"/>
          <w:u w:val="single"/>
          <w:shd w:val="pct10" w:color="auto" w:fill="FFFFFF"/>
        </w:rPr>
        <w:t xml:space="preserve">  30  </w:t>
      </w:r>
      <w:r>
        <w:rPr>
          <w:rFonts w:hint="eastAsia" w:ascii="仿宋" w:hAnsi="仿宋" w:eastAsia="仿宋" w:cs="仿宋"/>
          <w:sz w:val="24"/>
          <w:szCs w:val="24"/>
        </w:rPr>
        <w:t>分钟；</w:t>
      </w:r>
    </w:p>
    <w:p w14:paraId="665930EA">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4.2.3  所有调整时间的总和不超过总运行时间的</w:t>
      </w:r>
      <w:r>
        <w:rPr>
          <w:rFonts w:hint="eastAsia" w:ascii="仿宋" w:hAnsi="仿宋" w:eastAsia="仿宋" w:cs="仿宋"/>
          <w:sz w:val="24"/>
          <w:szCs w:val="24"/>
          <w:u w:val="single"/>
          <w:shd w:val="pct10" w:color="auto" w:fill="FFFFFF"/>
        </w:rPr>
        <w:t xml:space="preserve">   5  </w:t>
      </w:r>
      <w:r>
        <w:rPr>
          <w:rFonts w:hint="eastAsia" w:ascii="仿宋" w:hAnsi="仿宋" w:eastAsia="仿宋" w:cs="仿宋"/>
          <w:sz w:val="24"/>
          <w:szCs w:val="24"/>
        </w:rPr>
        <w:t>%，如果超过5%，则试运行时间重新计算；</w:t>
      </w:r>
    </w:p>
    <w:p w14:paraId="63BCE064">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4.2.4  累计负载运行实际性能（生产能力或生产率）达到合同规定；（能力低于标书规定在20%以内，罚款额为货物总价的10%；超过20%以上，视为供货方违约，招标方有权解除合同，由此造成的损失由投标方承担）。</w:t>
      </w:r>
    </w:p>
    <w:p w14:paraId="1B9B1AE7">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4.2.5  终验收原则上要求一次完成。若一次验收不成功，最多允许两次；</w:t>
      </w:r>
    </w:p>
    <w:p w14:paraId="5E84A550">
      <w:pPr>
        <w:adjustRightInd w:val="0"/>
        <w:snapToGrid w:val="0"/>
        <w:spacing w:line="360" w:lineRule="auto"/>
        <w:ind w:firstLine="480" w:firstLineChars="200"/>
        <w:rPr>
          <w:rFonts w:hint="eastAsia" w:ascii="仿宋" w:hAnsi="仿宋" w:eastAsia="仿宋" w:cs="仿宋"/>
          <w:sz w:val="24"/>
          <w:szCs w:val="24"/>
        </w:rPr>
      </w:pPr>
      <w:bookmarkStart w:id="134" w:name="_Hlk58765216"/>
      <w:bookmarkStart w:id="135" w:name="_Toc403466191"/>
      <w:bookmarkStart w:id="136" w:name="_Toc133783975"/>
      <w:r>
        <w:rPr>
          <w:rFonts w:hint="eastAsia" w:ascii="仿宋" w:hAnsi="仿宋" w:eastAsia="仿宋" w:cs="仿宋"/>
          <w:sz w:val="24"/>
          <w:szCs w:val="24"/>
        </w:rPr>
        <w:t xml:space="preserve">4.2.6  </w:t>
      </w:r>
      <w:r>
        <w:rPr>
          <w:rFonts w:hint="eastAsia" w:ascii="仿宋" w:hAnsi="仿宋" w:eastAsia="仿宋" w:cs="仿宋"/>
          <w:spacing w:val="24"/>
          <w:kern w:val="10"/>
          <w:sz w:val="24"/>
          <w:szCs w:val="24"/>
        </w:rPr>
        <w:t>负荷运行时，设备连续生产</w:t>
      </w:r>
      <w:r>
        <w:rPr>
          <w:rFonts w:hint="eastAsia" w:ascii="仿宋" w:hAnsi="仿宋" w:eastAsia="仿宋" w:cs="仿宋"/>
          <w:spacing w:val="24"/>
          <w:kern w:val="10"/>
          <w:sz w:val="24"/>
          <w:szCs w:val="24"/>
          <w:u w:val="single"/>
        </w:rPr>
        <w:t xml:space="preserve">  30  </w:t>
      </w:r>
      <w:r>
        <w:rPr>
          <w:rFonts w:hint="eastAsia" w:ascii="仿宋" w:hAnsi="仿宋" w:eastAsia="仿宋" w:cs="仿宋"/>
          <w:spacing w:val="24"/>
          <w:kern w:val="10"/>
          <w:sz w:val="24"/>
          <w:szCs w:val="24"/>
        </w:rPr>
        <w:t>天，验证生产线满足第二章第三项的</w:t>
      </w:r>
      <w:r>
        <w:rPr>
          <w:rFonts w:hint="eastAsia" w:ascii="仿宋" w:hAnsi="仿宋" w:eastAsia="仿宋" w:cs="仿宋"/>
          <w:sz w:val="24"/>
          <w:szCs w:val="24"/>
        </w:rPr>
        <w:t>技术规范</w:t>
      </w:r>
      <w:r>
        <w:rPr>
          <w:rFonts w:hint="eastAsia" w:ascii="仿宋" w:hAnsi="仿宋" w:eastAsia="仿宋" w:cs="仿宋"/>
          <w:spacing w:val="24"/>
          <w:kern w:val="10"/>
          <w:sz w:val="24"/>
          <w:szCs w:val="24"/>
        </w:rPr>
        <w:t>要求。</w:t>
      </w:r>
    </w:p>
    <w:bookmarkEnd w:id="134"/>
    <w:p w14:paraId="109C0818">
      <w:pPr>
        <w:pStyle w:val="2"/>
        <w:spacing w:before="120" w:after="120" w:line="360" w:lineRule="auto"/>
        <w:jc w:val="center"/>
        <w:rPr>
          <w:rFonts w:hint="eastAsia" w:ascii="仿宋" w:hAnsi="仿宋" w:eastAsia="仿宋" w:cs="仿宋"/>
          <w:b w:val="0"/>
          <w:sz w:val="24"/>
          <w:szCs w:val="24"/>
        </w:rPr>
      </w:pPr>
      <w:bookmarkStart w:id="137" w:name="_Toc3572"/>
      <w:bookmarkStart w:id="138" w:name="_Toc682"/>
      <w:bookmarkStart w:id="139" w:name="_Toc25886"/>
      <w:bookmarkStart w:id="140" w:name="_Toc23795"/>
      <w:r>
        <w:rPr>
          <w:rFonts w:hint="eastAsia" w:ascii="仿宋" w:hAnsi="仿宋" w:eastAsia="仿宋" w:cs="仿宋"/>
          <w:bCs w:val="0"/>
          <w:sz w:val="24"/>
          <w:szCs w:val="24"/>
        </w:rPr>
        <w:t>第六章  投标技术文件一般要求</w:t>
      </w:r>
      <w:bookmarkEnd w:id="135"/>
      <w:bookmarkEnd w:id="136"/>
      <w:bookmarkEnd w:id="137"/>
      <w:bookmarkEnd w:id="138"/>
      <w:bookmarkEnd w:id="139"/>
      <w:bookmarkEnd w:id="140"/>
    </w:p>
    <w:p w14:paraId="3017B81F">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1  投标方应认真阅读招标文件和本技术标书，并按要求编写投标技术文件。</w:t>
      </w:r>
    </w:p>
    <w:p w14:paraId="7FF81804">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2  投标技术文件至少应对投标设备的“技术偏离”、“商务偏离”作出有无说明；若有，应予以详细填写和说明。</w:t>
      </w:r>
    </w:p>
    <w:p w14:paraId="1580628D">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3  投标技术文件至少应对投标设备的功能用途、技术性能、质量标准、技术参数等作出详细说明。</w:t>
      </w:r>
    </w:p>
    <w:p w14:paraId="728913A5">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4  投标技术文件至少应根据投标设备的关键设备、总成、零部件或系统作出优越性说明。</w:t>
      </w:r>
    </w:p>
    <w:p w14:paraId="34E61C87">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5  投标技术文件至少应根据投标设备的配置，按照备品备件、易损件和专用耗材明细表要求以及投标设备主要配置一览表要求（见下表），认真全面填写。</w:t>
      </w:r>
    </w:p>
    <w:p w14:paraId="52E8B86D">
      <w:pPr>
        <w:adjustRightInd w:val="0"/>
        <w:snapToGrid w:val="0"/>
        <w:spacing w:line="360" w:lineRule="auto"/>
        <w:jc w:val="center"/>
        <w:rPr>
          <w:rFonts w:hint="eastAsia" w:ascii="仿宋" w:hAnsi="仿宋" w:eastAsia="仿宋" w:cs="仿宋"/>
          <w:sz w:val="24"/>
          <w:szCs w:val="24"/>
        </w:rPr>
      </w:pPr>
      <w:r>
        <w:rPr>
          <w:rFonts w:hint="eastAsia" w:ascii="仿宋" w:hAnsi="仿宋" w:eastAsia="仿宋" w:cs="仿宋"/>
          <w:sz w:val="24"/>
          <w:szCs w:val="24"/>
        </w:rPr>
        <w:t xml:space="preserve">                </w:t>
      </w:r>
      <w:bookmarkStart w:id="141" w:name="_Toc21034"/>
      <w:bookmarkStart w:id="142" w:name="_Toc2528"/>
      <w:bookmarkStart w:id="143" w:name="_Toc23440"/>
      <w:bookmarkStart w:id="144" w:name="_Toc12942"/>
      <w:r>
        <w:rPr>
          <w:rFonts w:hint="eastAsia" w:ascii="仿宋" w:hAnsi="仿宋" w:eastAsia="仿宋" w:cs="仿宋"/>
          <w:sz w:val="24"/>
          <w:szCs w:val="24"/>
        </w:rPr>
        <w:t>投标设备主要配置一览表                单位：元</w:t>
      </w:r>
      <w:bookmarkEnd w:id="141"/>
      <w:bookmarkEnd w:id="142"/>
      <w:bookmarkEnd w:id="143"/>
      <w:bookmarkEnd w:id="144"/>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9"/>
        <w:gridCol w:w="1620"/>
        <w:gridCol w:w="720"/>
        <w:gridCol w:w="720"/>
        <w:gridCol w:w="720"/>
        <w:gridCol w:w="720"/>
        <w:gridCol w:w="1710"/>
      </w:tblGrid>
      <w:tr w14:paraId="35F85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89" w:type="dxa"/>
            <w:noWrap w:val="0"/>
            <w:vAlign w:val="top"/>
          </w:tcPr>
          <w:p w14:paraId="6FF1F39C">
            <w:pPr>
              <w:adjustRightInd w:val="0"/>
              <w:snapToGrid w:val="0"/>
              <w:spacing w:line="360" w:lineRule="exact"/>
              <w:jc w:val="center"/>
              <w:rPr>
                <w:rFonts w:hint="eastAsia" w:ascii="仿宋" w:hAnsi="仿宋" w:eastAsia="仿宋" w:cs="仿宋"/>
                <w:sz w:val="24"/>
                <w:szCs w:val="24"/>
              </w:rPr>
            </w:pPr>
            <w:r>
              <w:rPr>
                <w:rFonts w:hint="eastAsia" w:ascii="仿宋" w:hAnsi="仿宋" w:eastAsia="仿宋" w:cs="仿宋"/>
                <w:sz w:val="24"/>
                <w:szCs w:val="24"/>
              </w:rPr>
              <w:t>名称</w:t>
            </w:r>
          </w:p>
        </w:tc>
        <w:tc>
          <w:tcPr>
            <w:tcW w:w="1620" w:type="dxa"/>
            <w:noWrap w:val="0"/>
            <w:vAlign w:val="top"/>
          </w:tcPr>
          <w:p w14:paraId="3019288E">
            <w:pPr>
              <w:adjustRightInd w:val="0"/>
              <w:snapToGrid w:val="0"/>
              <w:spacing w:line="360" w:lineRule="exact"/>
              <w:jc w:val="center"/>
              <w:rPr>
                <w:rFonts w:hint="eastAsia" w:ascii="仿宋" w:hAnsi="仿宋" w:eastAsia="仿宋" w:cs="仿宋"/>
                <w:sz w:val="24"/>
                <w:szCs w:val="24"/>
              </w:rPr>
            </w:pPr>
            <w:r>
              <w:rPr>
                <w:rFonts w:hint="eastAsia" w:ascii="仿宋" w:hAnsi="仿宋" w:eastAsia="仿宋" w:cs="仿宋"/>
                <w:sz w:val="24"/>
                <w:szCs w:val="24"/>
              </w:rPr>
              <w:t>型号规格</w:t>
            </w:r>
          </w:p>
        </w:tc>
        <w:tc>
          <w:tcPr>
            <w:tcW w:w="720" w:type="dxa"/>
            <w:noWrap w:val="0"/>
            <w:vAlign w:val="top"/>
          </w:tcPr>
          <w:p w14:paraId="576A2CFC">
            <w:pPr>
              <w:adjustRightInd w:val="0"/>
              <w:snapToGrid w:val="0"/>
              <w:spacing w:line="360" w:lineRule="exact"/>
              <w:jc w:val="center"/>
              <w:rPr>
                <w:rFonts w:hint="eastAsia" w:ascii="仿宋" w:hAnsi="仿宋" w:eastAsia="仿宋" w:cs="仿宋"/>
                <w:sz w:val="24"/>
                <w:szCs w:val="24"/>
              </w:rPr>
            </w:pPr>
            <w:r>
              <w:rPr>
                <w:rFonts w:hint="eastAsia" w:ascii="仿宋" w:hAnsi="仿宋" w:eastAsia="仿宋" w:cs="仿宋"/>
                <w:sz w:val="24"/>
                <w:szCs w:val="24"/>
              </w:rPr>
              <w:t>单位</w:t>
            </w:r>
          </w:p>
        </w:tc>
        <w:tc>
          <w:tcPr>
            <w:tcW w:w="720" w:type="dxa"/>
            <w:noWrap w:val="0"/>
            <w:vAlign w:val="top"/>
          </w:tcPr>
          <w:p w14:paraId="3809678E">
            <w:pPr>
              <w:adjustRightInd w:val="0"/>
              <w:snapToGrid w:val="0"/>
              <w:spacing w:line="360" w:lineRule="exact"/>
              <w:jc w:val="center"/>
              <w:rPr>
                <w:rFonts w:hint="eastAsia" w:ascii="仿宋" w:hAnsi="仿宋" w:eastAsia="仿宋" w:cs="仿宋"/>
                <w:sz w:val="24"/>
                <w:szCs w:val="24"/>
              </w:rPr>
            </w:pPr>
            <w:r>
              <w:rPr>
                <w:rFonts w:hint="eastAsia" w:ascii="仿宋" w:hAnsi="仿宋" w:eastAsia="仿宋" w:cs="仿宋"/>
                <w:sz w:val="24"/>
                <w:szCs w:val="24"/>
              </w:rPr>
              <w:t>数量</w:t>
            </w:r>
          </w:p>
        </w:tc>
        <w:tc>
          <w:tcPr>
            <w:tcW w:w="720" w:type="dxa"/>
            <w:noWrap w:val="0"/>
            <w:vAlign w:val="top"/>
          </w:tcPr>
          <w:p w14:paraId="7B16A276">
            <w:pPr>
              <w:adjustRightInd w:val="0"/>
              <w:snapToGrid w:val="0"/>
              <w:spacing w:line="360" w:lineRule="exact"/>
              <w:jc w:val="center"/>
              <w:rPr>
                <w:rFonts w:hint="eastAsia" w:ascii="仿宋" w:hAnsi="仿宋" w:eastAsia="仿宋" w:cs="仿宋"/>
                <w:sz w:val="24"/>
                <w:szCs w:val="24"/>
              </w:rPr>
            </w:pPr>
            <w:r>
              <w:rPr>
                <w:rFonts w:hint="eastAsia" w:ascii="仿宋" w:hAnsi="仿宋" w:eastAsia="仿宋" w:cs="仿宋"/>
                <w:sz w:val="24"/>
                <w:szCs w:val="24"/>
              </w:rPr>
              <w:t>单价</w:t>
            </w:r>
          </w:p>
        </w:tc>
        <w:tc>
          <w:tcPr>
            <w:tcW w:w="720" w:type="dxa"/>
            <w:noWrap w:val="0"/>
            <w:vAlign w:val="top"/>
          </w:tcPr>
          <w:p w14:paraId="787CFD39">
            <w:pPr>
              <w:adjustRightInd w:val="0"/>
              <w:snapToGrid w:val="0"/>
              <w:spacing w:line="360" w:lineRule="exact"/>
              <w:jc w:val="center"/>
              <w:rPr>
                <w:rFonts w:hint="eastAsia" w:ascii="仿宋" w:hAnsi="仿宋" w:eastAsia="仿宋" w:cs="仿宋"/>
                <w:sz w:val="24"/>
                <w:szCs w:val="24"/>
              </w:rPr>
            </w:pPr>
            <w:r>
              <w:rPr>
                <w:rFonts w:hint="eastAsia" w:ascii="仿宋" w:hAnsi="仿宋" w:eastAsia="仿宋" w:cs="仿宋"/>
                <w:sz w:val="24"/>
                <w:szCs w:val="24"/>
              </w:rPr>
              <w:t>总价</w:t>
            </w:r>
          </w:p>
        </w:tc>
        <w:tc>
          <w:tcPr>
            <w:tcW w:w="1710" w:type="dxa"/>
            <w:noWrap w:val="0"/>
            <w:vAlign w:val="top"/>
          </w:tcPr>
          <w:p w14:paraId="606E2635">
            <w:pPr>
              <w:adjustRightInd w:val="0"/>
              <w:snapToGrid w:val="0"/>
              <w:spacing w:line="360" w:lineRule="exact"/>
              <w:jc w:val="center"/>
              <w:rPr>
                <w:rFonts w:hint="eastAsia" w:ascii="仿宋" w:hAnsi="仿宋" w:eastAsia="仿宋" w:cs="仿宋"/>
                <w:sz w:val="24"/>
                <w:szCs w:val="24"/>
              </w:rPr>
            </w:pPr>
            <w:r>
              <w:rPr>
                <w:rFonts w:hint="eastAsia" w:ascii="仿宋" w:hAnsi="仿宋" w:eastAsia="仿宋" w:cs="仿宋"/>
                <w:sz w:val="24"/>
                <w:szCs w:val="24"/>
              </w:rPr>
              <w:t>制造商</w:t>
            </w:r>
          </w:p>
        </w:tc>
      </w:tr>
      <w:tr w14:paraId="6D00D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89" w:type="dxa"/>
            <w:noWrap w:val="0"/>
            <w:vAlign w:val="top"/>
          </w:tcPr>
          <w:p w14:paraId="1B6D030A">
            <w:pPr>
              <w:adjustRightInd w:val="0"/>
              <w:snapToGrid w:val="0"/>
              <w:spacing w:line="360" w:lineRule="exact"/>
              <w:rPr>
                <w:rFonts w:hint="eastAsia" w:ascii="仿宋" w:hAnsi="仿宋" w:eastAsia="仿宋" w:cs="仿宋"/>
                <w:sz w:val="24"/>
                <w:szCs w:val="24"/>
              </w:rPr>
            </w:pPr>
          </w:p>
        </w:tc>
        <w:tc>
          <w:tcPr>
            <w:tcW w:w="1620" w:type="dxa"/>
            <w:noWrap w:val="0"/>
            <w:vAlign w:val="top"/>
          </w:tcPr>
          <w:p w14:paraId="1713DA69">
            <w:pPr>
              <w:adjustRightInd w:val="0"/>
              <w:snapToGrid w:val="0"/>
              <w:spacing w:line="360" w:lineRule="exact"/>
              <w:rPr>
                <w:rFonts w:hint="eastAsia" w:ascii="仿宋" w:hAnsi="仿宋" w:eastAsia="仿宋" w:cs="仿宋"/>
                <w:sz w:val="24"/>
                <w:szCs w:val="24"/>
              </w:rPr>
            </w:pPr>
          </w:p>
        </w:tc>
        <w:tc>
          <w:tcPr>
            <w:tcW w:w="720" w:type="dxa"/>
            <w:noWrap w:val="0"/>
            <w:vAlign w:val="top"/>
          </w:tcPr>
          <w:p w14:paraId="52D4CC06">
            <w:pPr>
              <w:adjustRightInd w:val="0"/>
              <w:snapToGrid w:val="0"/>
              <w:spacing w:line="360" w:lineRule="exact"/>
              <w:rPr>
                <w:rFonts w:hint="eastAsia" w:ascii="仿宋" w:hAnsi="仿宋" w:eastAsia="仿宋" w:cs="仿宋"/>
                <w:sz w:val="24"/>
                <w:szCs w:val="24"/>
              </w:rPr>
            </w:pPr>
          </w:p>
        </w:tc>
        <w:tc>
          <w:tcPr>
            <w:tcW w:w="720" w:type="dxa"/>
            <w:noWrap w:val="0"/>
            <w:vAlign w:val="top"/>
          </w:tcPr>
          <w:p w14:paraId="21E29B0F">
            <w:pPr>
              <w:adjustRightInd w:val="0"/>
              <w:snapToGrid w:val="0"/>
              <w:spacing w:line="360" w:lineRule="exact"/>
              <w:rPr>
                <w:rFonts w:hint="eastAsia" w:ascii="仿宋" w:hAnsi="仿宋" w:eastAsia="仿宋" w:cs="仿宋"/>
                <w:sz w:val="24"/>
                <w:szCs w:val="24"/>
              </w:rPr>
            </w:pPr>
          </w:p>
        </w:tc>
        <w:tc>
          <w:tcPr>
            <w:tcW w:w="720" w:type="dxa"/>
            <w:noWrap w:val="0"/>
            <w:vAlign w:val="top"/>
          </w:tcPr>
          <w:p w14:paraId="78F32F49">
            <w:pPr>
              <w:adjustRightInd w:val="0"/>
              <w:snapToGrid w:val="0"/>
              <w:spacing w:line="360" w:lineRule="exact"/>
              <w:rPr>
                <w:rFonts w:hint="eastAsia" w:ascii="仿宋" w:hAnsi="仿宋" w:eastAsia="仿宋" w:cs="仿宋"/>
                <w:sz w:val="24"/>
                <w:szCs w:val="24"/>
              </w:rPr>
            </w:pPr>
          </w:p>
        </w:tc>
        <w:tc>
          <w:tcPr>
            <w:tcW w:w="720" w:type="dxa"/>
            <w:noWrap w:val="0"/>
            <w:vAlign w:val="top"/>
          </w:tcPr>
          <w:p w14:paraId="5F015805">
            <w:pPr>
              <w:adjustRightInd w:val="0"/>
              <w:snapToGrid w:val="0"/>
              <w:spacing w:line="360" w:lineRule="exact"/>
              <w:rPr>
                <w:rFonts w:hint="eastAsia" w:ascii="仿宋" w:hAnsi="仿宋" w:eastAsia="仿宋" w:cs="仿宋"/>
                <w:sz w:val="24"/>
                <w:szCs w:val="24"/>
              </w:rPr>
            </w:pPr>
          </w:p>
        </w:tc>
        <w:tc>
          <w:tcPr>
            <w:tcW w:w="1710" w:type="dxa"/>
            <w:noWrap w:val="0"/>
            <w:vAlign w:val="top"/>
          </w:tcPr>
          <w:p w14:paraId="7A167A86">
            <w:pPr>
              <w:adjustRightInd w:val="0"/>
              <w:snapToGrid w:val="0"/>
              <w:spacing w:line="360" w:lineRule="exact"/>
              <w:rPr>
                <w:rFonts w:hint="eastAsia" w:ascii="仿宋" w:hAnsi="仿宋" w:eastAsia="仿宋" w:cs="仿宋"/>
                <w:sz w:val="24"/>
                <w:szCs w:val="24"/>
              </w:rPr>
            </w:pPr>
          </w:p>
        </w:tc>
      </w:tr>
      <w:tr w14:paraId="2DBAC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89" w:type="dxa"/>
            <w:noWrap w:val="0"/>
            <w:vAlign w:val="top"/>
          </w:tcPr>
          <w:p w14:paraId="1317F568">
            <w:pPr>
              <w:adjustRightInd w:val="0"/>
              <w:snapToGrid w:val="0"/>
              <w:spacing w:line="360" w:lineRule="exact"/>
              <w:rPr>
                <w:rFonts w:hint="eastAsia" w:ascii="仿宋" w:hAnsi="仿宋" w:eastAsia="仿宋" w:cs="仿宋"/>
                <w:sz w:val="24"/>
                <w:szCs w:val="24"/>
              </w:rPr>
            </w:pPr>
          </w:p>
        </w:tc>
        <w:tc>
          <w:tcPr>
            <w:tcW w:w="1620" w:type="dxa"/>
            <w:noWrap w:val="0"/>
            <w:vAlign w:val="top"/>
          </w:tcPr>
          <w:p w14:paraId="6EDBAE55">
            <w:pPr>
              <w:adjustRightInd w:val="0"/>
              <w:snapToGrid w:val="0"/>
              <w:spacing w:line="360" w:lineRule="exact"/>
              <w:rPr>
                <w:rFonts w:hint="eastAsia" w:ascii="仿宋" w:hAnsi="仿宋" w:eastAsia="仿宋" w:cs="仿宋"/>
                <w:sz w:val="24"/>
                <w:szCs w:val="24"/>
              </w:rPr>
            </w:pPr>
          </w:p>
        </w:tc>
        <w:tc>
          <w:tcPr>
            <w:tcW w:w="720" w:type="dxa"/>
            <w:noWrap w:val="0"/>
            <w:vAlign w:val="top"/>
          </w:tcPr>
          <w:p w14:paraId="7FB42F07">
            <w:pPr>
              <w:adjustRightInd w:val="0"/>
              <w:snapToGrid w:val="0"/>
              <w:spacing w:line="360" w:lineRule="exact"/>
              <w:rPr>
                <w:rFonts w:hint="eastAsia" w:ascii="仿宋" w:hAnsi="仿宋" w:eastAsia="仿宋" w:cs="仿宋"/>
                <w:sz w:val="24"/>
                <w:szCs w:val="24"/>
              </w:rPr>
            </w:pPr>
          </w:p>
        </w:tc>
        <w:tc>
          <w:tcPr>
            <w:tcW w:w="720" w:type="dxa"/>
            <w:noWrap w:val="0"/>
            <w:vAlign w:val="top"/>
          </w:tcPr>
          <w:p w14:paraId="10A83B46">
            <w:pPr>
              <w:adjustRightInd w:val="0"/>
              <w:snapToGrid w:val="0"/>
              <w:spacing w:line="360" w:lineRule="exact"/>
              <w:rPr>
                <w:rFonts w:hint="eastAsia" w:ascii="仿宋" w:hAnsi="仿宋" w:eastAsia="仿宋" w:cs="仿宋"/>
                <w:sz w:val="24"/>
                <w:szCs w:val="24"/>
              </w:rPr>
            </w:pPr>
          </w:p>
        </w:tc>
        <w:tc>
          <w:tcPr>
            <w:tcW w:w="720" w:type="dxa"/>
            <w:noWrap w:val="0"/>
            <w:vAlign w:val="top"/>
          </w:tcPr>
          <w:p w14:paraId="5FA1AE12">
            <w:pPr>
              <w:adjustRightInd w:val="0"/>
              <w:snapToGrid w:val="0"/>
              <w:spacing w:line="360" w:lineRule="exact"/>
              <w:rPr>
                <w:rFonts w:hint="eastAsia" w:ascii="仿宋" w:hAnsi="仿宋" w:eastAsia="仿宋" w:cs="仿宋"/>
                <w:sz w:val="24"/>
                <w:szCs w:val="24"/>
              </w:rPr>
            </w:pPr>
          </w:p>
        </w:tc>
        <w:tc>
          <w:tcPr>
            <w:tcW w:w="720" w:type="dxa"/>
            <w:noWrap w:val="0"/>
            <w:vAlign w:val="top"/>
          </w:tcPr>
          <w:p w14:paraId="1C0CA960">
            <w:pPr>
              <w:adjustRightInd w:val="0"/>
              <w:snapToGrid w:val="0"/>
              <w:spacing w:line="360" w:lineRule="exact"/>
              <w:rPr>
                <w:rFonts w:hint="eastAsia" w:ascii="仿宋" w:hAnsi="仿宋" w:eastAsia="仿宋" w:cs="仿宋"/>
                <w:sz w:val="24"/>
                <w:szCs w:val="24"/>
              </w:rPr>
            </w:pPr>
          </w:p>
        </w:tc>
        <w:tc>
          <w:tcPr>
            <w:tcW w:w="1710" w:type="dxa"/>
            <w:noWrap w:val="0"/>
            <w:vAlign w:val="top"/>
          </w:tcPr>
          <w:p w14:paraId="7F336DD3">
            <w:pPr>
              <w:adjustRightInd w:val="0"/>
              <w:snapToGrid w:val="0"/>
              <w:spacing w:line="360" w:lineRule="exact"/>
              <w:rPr>
                <w:rFonts w:hint="eastAsia" w:ascii="仿宋" w:hAnsi="仿宋" w:eastAsia="仿宋" w:cs="仿宋"/>
                <w:sz w:val="24"/>
                <w:szCs w:val="24"/>
              </w:rPr>
            </w:pPr>
          </w:p>
        </w:tc>
      </w:tr>
      <w:tr w14:paraId="08A74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89" w:type="dxa"/>
            <w:noWrap w:val="0"/>
            <w:vAlign w:val="top"/>
          </w:tcPr>
          <w:p w14:paraId="4D8200CF">
            <w:pPr>
              <w:adjustRightInd w:val="0"/>
              <w:snapToGrid w:val="0"/>
              <w:spacing w:line="360" w:lineRule="exact"/>
              <w:rPr>
                <w:rFonts w:hint="eastAsia" w:ascii="仿宋" w:hAnsi="仿宋" w:eastAsia="仿宋" w:cs="仿宋"/>
                <w:sz w:val="24"/>
                <w:szCs w:val="24"/>
              </w:rPr>
            </w:pPr>
          </w:p>
        </w:tc>
        <w:tc>
          <w:tcPr>
            <w:tcW w:w="1620" w:type="dxa"/>
            <w:noWrap w:val="0"/>
            <w:vAlign w:val="top"/>
          </w:tcPr>
          <w:p w14:paraId="31E26E48">
            <w:pPr>
              <w:adjustRightInd w:val="0"/>
              <w:snapToGrid w:val="0"/>
              <w:spacing w:line="360" w:lineRule="exact"/>
              <w:rPr>
                <w:rFonts w:hint="eastAsia" w:ascii="仿宋" w:hAnsi="仿宋" w:eastAsia="仿宋" w:cs="仿宋"/>
                <w:sz w:val="24"/>
                <w:szCs w:val="24"/>
              </w:rPr>
            </w:pPr>
          </w:p>
        </w:tc>
        <w:tc>
          <w:tcPr>
            <w:tcW w:w="720" w:type="dxa"/>
            <w:noWrap w:val="0"/>
            <w:vAlign w:val="top"/>
          </w:tcPr>
          <w:p w14:paraId="7FB0C7DF">
            <w:pPr>
              <w:adjustRightInd w:val="0"/>
              <w:snapToGrid w:val="0"/>
              <w:spacing w:line="360" w:lineRule="exact"/>
              <w:rPr>
                <w:rFonts w:hint="eastAsia" w:ascii="仿宋" w:hAnsi="仿宋" w:eastAsia="仿宋" w:cs="仿宋"/>
                <w:sz w:val="24"/>
                <w:szCs w:val="24"/>
              </w:rPr>
            </w:pPr>
          </w:p>
        </w:tc>
        <w:tc>
          <w:tcPr>
            <w:tcW w:w="720" w:type="dxa"/>
            <w:noWrap w:val="0"/>
            <w:vAlign w:val="top"/>
          </w:tcPr>
          <w:p w14:paraId="301EFD0A">
            <w:pPr>
              <w:adjustRightInd w:val="0"/>
              <w:snapToGrid w:val="0"/>
              <w:spacing w:line="360" w:lineRule="exact"/>
              <w:rPr>
                <w:rFonts w:hint="eastAsia" w:ascii="仿宋" w:hAnsi="仿宋" w:eastAsia="仿宋" w:cs="仿宋"/>
                <w:sz w:val="24"/>
                <w:szCs w:val="24"/>
              </w:rPr>
            </w:pPr>
          </w:p>
        </w:tc>
        <w:tc>
          <w:tcPr>
            <w:tcW w:w="720" w:type="dxa"/>
            <w:noWrap w:val="0"/>
            <w:vAlign w:val="top"/>
          </w:tcPr>
          <w:p w14:paraId="28D42299">
            <w:pPr>
              <w:adjustRightInd w:val="0"/>
              <w:snapToGrid w:val="0"/>
              <w:spacing w:line="360" w:lineRule="exact"/>
              <w:rPr>
                <w:rFonts w:hint="eastAsia" w:ascii="仿宋" w:hAnsi="仿宋" w:eastAsia="仿宋" w:cs="仿宋"/>
                <w:sz w:val="24"/>
                <w:szCs w:val="24"/>
              </w:rPr>
            </w:pPr>
          </w:p>
        </w:tc>
        <w:tc>
          <w:tcPr>
            <w:tcW w:w="720" w:type="dxa"/>
            <w:noWrap w:val="0"/>
            <w:vAlign w:val="top"/>
          </w:tcPr>
          <w:p w14:paraId="680E8B8C">
            <w:pPr>
              <w:adjustRightInd w:val="0"/>
              <w:snapToGrid w:val="0"/>
              <w:spacing w:line="360" w:lineRule="exact"/>
              <w:rPr>
                <w:rFonts w:hint="eastAsia" w:ascii="仿宋" w:hAnsi="仿宋" w:eastAsia="仿宋" w:cs="仿宋"/>
                <w:sz w:val="24"/>
                <w:szCs w:val="24"/>
              </w:rPr>
            </w:pPr>
          </w:p>
        </w:tc>
        <w:tc>
          <w:tcPr>
            <w:tcW w:w="1710" w:type="dxa"/>
            <w:noWrap w:val="0"/>
            <w:vAlign w:val="top"/>
          </w:tcPr>
          <w:p w14:paraId="4BE2F0D3">
            <w:pPr>
              <w:adjustRightInd w:val="0"/>
              <w:snapToGrid w:val="0"/>
              <w:spacing w:line="360" w:lineRule="exact"/>
              <w:rPr>
                <w:rFonts w:hint="eastAsia" w:ascii="仿宋" w:hAnsi="仿宋" w:eastAsia="仿宋" w:cs="仿宋"/>
                <w:sz w:val="24"/>
                <w:szCs w:val="24"/>
              </w:rPr>
            </w:pPr>
          </w:p>
        </w:tc>
      </w:tr>
      <w:tr w14:paraId="45EFF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89" w:type="dxa"/>
            <w:noWrap w:val="0"/>
            <w:vAlign w:val="top"/>
          </w:tcPr>
          <w:p w14:paraId="430F5126">
            <w:pPr>
              <w:adjustRightInd w:val="0"/>
              <w:snapToGrid w:val="0"/>
              <w:spacing w:line="360" w:lineRule="exact"/>
              <w:rPr>
                <w:rFonts w:hint="eastAsia" w:ascii="仿宋" w:hAnsi="仿宋" w:eastAsia="仿宋" w:cs="仿宋"/>
                <w:sz w:val="24"/>
                <w:szCs w:val="24"/>
              </w:rPr>
            </w:pPr>
          </w:p>
        </w:tc>
        <w:tc>
          <w:tcPr>
            <w:tcW w:w="1620" w:type="dxa"/>
            <w:noWrap w:val="0"/>
            <w:vAlign w:val="top"/>
          </w:tcPr>
          <w:p w14:paraId="7E649A7E">
            <w:pPr>
              <w:adjustRightInd w:val="0"/>
              <w:snapToGrid w:val="0"/>
              <w:spacing w:line="360" w:lineRule="exact"/>
              <w:rPr>
                <w:rFonts w:hint="eastAsia" w:ascii="仿宋" w:hAnsi="仿宋" w:eastAsia="仿宋" w:cs="仿宋"/>
                <w:sz w:val="24"/>
                <w:szCs w:val="24"/>
              </w:rPr>
            </w:pPr>
          </w:p>
        </w:tc>
        <w:tc>
          <w:tcPr>
            <w:tcW w:w="720" w:type="dxa"/>
            <w:noWrap w:val="0"/>
            <w:vAlign w:val="top"/>
          </w:tcPr>
          <w:p w14:paraId="6B7A4668">
            <w:pPr>
              <w:adjustRightInd w:val="0"/>
              <w:snapToGrid w:val="0"/>
              <w:spacing w:line="360" w:lineRule="exact"/>
              <w:rPr>
                <w:rFonts w:hint="eastAsia" w:ascii="仿宋" w:hAnsi="仿宋" w:eastAsia="仿宋" w:cs="仿宋"/>
                <w:sz w:val="24"/>
                <w:szCs w:val="24"/>
              </w:rPr>
            </w:pPr>
          </w:p>
        </w:tc>
        <w:tc>
          <w:tcPr>
            <w:tcW w:w="720" w:type="dxa"/>
            <w:noWrap w:val="0"/>
            <w:vAlign w:val="top"/>
          </w:tcPr>
          <w:p w14:paraId="6EBF29BC">
            <w:pPr>
              <w:adjustRightInd w:val="0"/>
              <w:snapToGrid w:val="0"/>
              <w:spacing w:line="360" w:lineRule="exact"/>
              <w:rPr>
                <w:rFonts w:hint="eastAsia" w:ascii="仿宋" w:hAnsi="仿宋" w:eastAsia="仿宋" w:cs="仿宋"/>
                <w:sz w:val="24"/>
                <w:szCs w:val="24"/>
              </w:rPr>
            </w:pPr>
          </w:p>
        </w:tc>
        <w:tc>
          <w:tcPr>
            <w:tcW w:w="720" w:type="dxa"/>
            <w:noWrap w:val="0"/>
            <w:vAlign w:val="top"/>
          </w:tcPr>
          <w:p w14:paraId="0C2CCA5D">
            <w:pPr>
              <w:adjustRightInd w:val="0"/>
              <w:snapToGrid w:val="0"/>
              <w:spacing w:line="360" w:lineRule="exact"/>
              <w:rPr>
                <w:rFonts w:hint="eastAsia" w:ascii="仿宋" w:hAnsi="仿宋" w:eastAsia="仿宋" w:cs="仿宋"/>
                <w:sz w:val="24"/>
                <w:szCs w:val="24"/>
              </w:rPr>
            </w:pPr>
          </w:p>
        </w:tc>
        <w:tc>
          <w:tcPr>
            <w:tcW w:w="720" w:type="dxa"/>
            <w:noWrap w:val="0"/>
            <w:vAlign w:val="top"/>
          </w:tcPr>
          <w:p w14:paraId="417AABCB">
            <w:pPr>
              <w:adjustRightInd w:val="0"/>
              <w:snapToGrid w:val="0"/>
              <w:spacing w:line="360" w:lineRule="exact"/>
              <w:rPr>
                <w:rFonts w:hint="eastAsia" w:ascii="仿宋" w:hAnsi="仿宋" w:eastAsia="仿宋" w:cs="仿宋"/>
                <w:sz w:val="24"/>
                <w:szCs w:val="24"/>
              </w:rPr>
            </w:pPr>
          </w:p>
        </w:tc>
        <w:tc>
          <w:tcPr>
            <w:tcW w:w="1710" w:type="dxa"/>
            <w:noWrap w:val="0"/>
            <w:vAlign w:val="top"/>
          </w:tcPr>
          <w:p w14:paraId="382FD3A6">
            <w:pPr>
              <w:adjustRightInd w:val="0"/>
              <w:snapToGrid w:val="0"/>
              <w:spacing w:line="360" w:lineRule="exact"/>
              <w:rPr>
                <w:rFonts w:hint="eastAsia" w:ascii="仿宋" w:hAnsi="仿宋" w:eastAsia="仿宋" w:cs="仿宋"/>
                <w:sz w:val="24"/>
                <w:szCs w:val="24"/>
              </w:rPr>
            </w:pPr>
          </w:p>
        </w:tc>
      </w:tr>
      <w:tr w14:paraId="25527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89" w:type="dxa"/>
            <w:noWrap w:val="0"/>
            <w:vAlign w:val="top"/>
          </w:tcPr>
          <w:p w14:paraId="76E45433">
            <w:pPr>
              <w:adjustRightInd w:val="0"/>
              <w:snapToGrid w:val="0"/>
              <w:spacing w:line="360" w:lineRule="exact"/>
              <w:rPr>
                <w:rFonts w:hint="eastAsia" w:ascii="仿宋" w:hAnsi="仿宋" w:eastAsia="仿宋" w:cs="仿宋"/>
                <w:sz w:val="24"/>
                <w:szCs w:val="24"/>
              </w:rPr>
            </w:pPr>
          </w:p>
        </w:tc>
        <w:tc>
          <w:tcPr>
            <w:tcW w:w="1620" w:type="dxa"/>
            <w:noWrap w:val="0"/>
            <w:vAlign w:val="top"/>
          </w:tcPr>
          <w:p w14:paraId="076393E4">
            <w:pPr>
              <w:adjustRightInd w:val="0"/>
              <w:snapToGrid w:val="0"/>
              <w:spacing w:line="360" w:lineRule="exact"/>
              <w:rPr>
                <w:rFonts w:hint="eastAsia" w:ascii="仿宋" w:hAnsi="仿宋" w:eastAsia="仿宋" w:cs="仿宋"/>
                <w:sz w:val="24"/>
                <w:szCs w:val="24"/>
              </w:rPr>
            </w:pPr>
          </w:p>
        </w:tc>
        <w:tc>
          <w:tcPr>
            <w:tcW w:w="720" w:type="dxa"/>
            <w:noWrap w:val="0"/>
            <w:vAlign w:val="top"/>
          </w:tcPr>
          <w:p w14:paraId="2AA99560">
            <w:pPr>
              <w:adjustRightInd w:val="0"/>
              <w:snapToGrid w:val="0"/>
              <w:spacing w:line="360" w:lineRule="exact"/>
              <w:rPr>
                <w:rFonts w:hint="eastAsia" w:ascii="仿宋" w:hAnsi="仿宋" w:eastAsia="仿宋" w:cs="仿宋"/>
                <w:sz w:val="24"/>
                <w:szCs w:val="24"/>
              </w:rPr>
            </w:pPr>
          </w:p>
        </w:tc>
        <w:tc>
          <w:tcPr>
            <w:tcW w:w="720" w:type="dxa"/>
            <w:noWrap w:val="0"/>
            <w:vAlign w:val="top"/>
          </w:tcPr>
          <w:p w14:paraId="75E85D59">
            <w:pPr>
              <w:adjustRightInd w:val="0"/>
              <w:snapToGrid w:val="0"/>
              <w:spacing w:line="360" w:lineRule="exact"/>
              <w:rPr>
                <w:rFonts w:hint="eastAsia" w:ascii="仿宋" w:hAnsi="仿宋" w:eastAsia="仿宋" w:cs="仿宋"/>
                <w:sz w:val="24"/>
                <w:szCs w:val="24"/>
              </w:rPr>
            </w:pPr>
          </w:p>
        </w:tc>
        <w:tc>
          <w:tcPr>
            <w:tcW w:w="720" w:type="dxa"/>
            <w:noWrap w:val="0"/>
            <w:vAlign w:val="top"/>
          </w:tcPr>
          <w:p w14:paraId="317D80F7">
            <w:pPr>
              <w:adjustRightInd w:val="0"/>
              <w:snapToGrid w:val="0"/>
              <w:spacing w:line="360" w:lineRule="exact"/>
              <w:rPr>
                <w:rFonts w:hint="eastAsia" w:ascii="仿宋" w:hAnsi="仿宋" w:eastAsia="仿宋" w:cs="仿宋"/>
                <w:sz w:val="24"/>
                <w:szCs w:val="24"/>
              </w:rPr>
            </w:pPr>
          </w:p>
        </w:tc>
        <w:tc>
          <w:tcPr>
            <w:tcW w:w="720" w:type="dxa"/>
            <w:noWrap w:val="0"/>
            <w:vAlign w:val="top"/>
          </w:tcPr>
          <w:p w14:paraId="0BC5263E">
            <w:pPr>
              <w:adjustRightInd w:val="0"/>
              <w:snapToGrid w:val="0"/>
              <w:spacing w:line="360" w:lineRule="exact"/>
              <w:rPr>
                <w:rFonts w:hint="eastAsia" w:ascii="仿宋" w:hAnsi="仿宋" w:eastAsia="仿宋" w:cs="仿宋"/>
                <w:sz w:val="24"/>
                <w:szCs w:val="24"/>
              </w:rPr>
            </w:pPr>
          </w:p>
        </w:tc>
        <w:tc>
          <w:tcPr>
            <w:tcW w:w="1710" w:type="dxa"/>
            <w:noWrap w:val="0"/>
            <w:vAlign w:val="top"/>
          </w:tcPr>
          <w:p w14:paraId="52EEC7A0">
            <w:pPr>
              <w:adjustRightInd w:val="0"/>
              <w:snapToGrid w:val="0"/>
              <w:spacing w:line="360" w:lineRule="exact"/>
              <w:rPr>
                <w:rFonts w:hint="eastAsia" w:ascii="仿宋" w:hAnsi="仿宋" w:eastAsia="仿宋" w:cs="仿宋"/>
                <w:sz w:val="24"/>
                <w:szCs w:val="24"/>
              </w:rPr>
            </w:pPr>
          </w:p>
        </w:tc>
      </w:tr>
    </w:tbl>
    <w:p w14:paraId="7838EC31">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备注：本表作为投标方编制投标技术文件的一般格式。表中应当尽可能将配置列全、列细，这将有助于投标方胜出。</w:t>
      </w:r>
    </w:p>
    <w:p w14:paraId="1BA68848">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6  投标技术文件至少应对招标文件和本技术标书所提出的要求，将投标方认为难以满足的条款和要求，予以明确和详细的说明或澄清。</w:t>
      </w:r>
    </w:p>
    <w:p w14:paraId="7EF5DA9B">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7  投标技术文件中，如未按照要求编写而存在漏项或缺项，将有可能造成对投标方不必要的误解；必要时，漏项或缺项涉及的费用，将有可能以其它投标方中，相同或相似项目的最高价，计入投标方的投标总报价之内，作为评标的依据之一。</w:t>
      </w:r>
    </w:p>
    <w:p w14:paraId="37EB5957">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8  供货范围内的物品或服务，应当尽可能详细且分类填入配置表，其费用应当计入投标总报价之内。如果出现不一致的报价，将有可能导致废标。</w:t>
      </w:r>
    </w:p>
    <w:p w14:paraId="50CA4FEA">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9  除招标文件明确的验收标准或内容之外，投标方应当在投标文件中提供预验收（必要时）和终验收的标准以及规程，在合同签定之前，经投标方和招标方双方洽谈确认并签署，以作为验收标准执行。</w:t>
      </w:r>
    </w:p>
    <w:p w14:paraId="01BAE7D1">
      <w:pPr>
        <w:pStyle w:val="2"/>
        <w:spacing w:before="120" w:after="120" w:line="360" w:lineRule="auto"/>
        <w:jc w:val="center"/>
        <w:rPr>
          <w:rFonts w:hint="eastAsia" w:ascii="仿宋" w:hAnsi="仿宋" w:eastAsia="仿宋" w:cs="仿宋"/>
          <w:bCs w:val="0"/>
          <w:sz w:val="24"/>
          <w:szCs w:val="24"/>
        </w:rPr>
      </w:pPr>
      <w:bookmarkStart w:id="145" w:name="_Toc403466192"/>
      <w:bookmarkStart w:id="146" w:name="_Toc19127"/>
      <w:bookmarkStart w:id="147" w:name="_Toc9252"/>
      <w:bookmarkStart w:id="148" w:name="_Toc15612"/>
      <w:bookmarkStart w:id="149" w:name="_Toc133783976"/>
      <w:bookmarkStart w:id="150" w:name="_Toc18127"/>
      <w:bookmarkStart w:id="151" w:name="_Hlk58765246"/>
      <w:r>
        <w:rPr>
          <w:rFonts w:hint="eastAsia" w:ascii="仿宋" w:hAnsi="仿宋" w:eastAsia="仿宋" w:cs="仿宋"/>
          <w:bCs w:val="0"/>
          <w:sz w:val="24"/>
          <w:szCs w:val="24"/>
        </w:rPr>
        <w:t>第七章  其它要求</w:t>
      </w:r>
      <w:bookmarkEnd w:id="145"/>
      <w:bookmarkEnd w:id="146"/>
      <w:bookmarkEnd w:id="147"/>
      <w:bookmarkEnd w:id="148"/>
      <w:bookmarkEnd w:id="149"/>
      <w:bookmarkEnd w:id="150"/>
    </w:p>
    <w:p w14:paraId="089D4654">
      <w:pPr>
        <w:spacing w:line="360" w:lineRule="auto"/>
        <w:ind w:firstLine="480" w:firstLineChars="200"/>
        <w:outlineLvl w:val="1"/>
        <w:rPr>
          <w:rFonts w:hint="eastAsia" w:ascii="仿宋" w:hAnsi="仿宋" w:eastAsia="仿宋" w:cs="仿宋"/>
          <w:sz w:val="24"/>
          <w:szCs w:val="24"/>
        </w:rPr>
      </w:pPr>
      <w:bookmarkStart w:id="152" w:name="_Toc28450"/>
      <w:bookmarkStart w:id="153" w:name="_Toc30371"/>
      <w:bookmarkStart w:id="154" w:name="_Toc25406"/>
      <w:bookmarkStart w:id="155" w:name="_Toc23980"/>
      <w:r>
        <w:rPr>
          <w:rFonts w:hint="eastAsia" w:ascii="仿宋" w:hAnsi="仿宋" w:eastAsia="仿宋" w:cs="仿宋"/>
          <w:sz w:val="24"/>
          <w:szCs w:val="24"/>
        </w:rPr>
        <w:t>1  特殊要求</w:t>
      </w:r>
      <w:bookmarkEnd w:id="152"/>
      <w:bookmarkEnd w:id="153"/>
      <w:bookmarkEnd w:id="154"/>
      <w:bookmarkEnd w:id="155"/>
    </w:p>
    <w:p w14:paraId="22EC1EBD">
      <w:pPr>
        <w:spacing w:line="360" w:lineRule="auto"/>
        <w:ind w:firstLine="477" w:firstLineChars="199"/>
        <w:rPr>
          <w:rFonts w:hint="eastAsia" w:ascii="仿宋" w:hAnsi="仿宋" w:eastAsia="仿宋" w:cs="仿宋"/>
          <w:sz w:val="24"/>
          <w:szCs w:val="24"/>
        </w:rPr>
      </w:pPr>
      <w:r>
        <w:rPr>
          <w:rFonts w:hint="eastAsia" w:ascii="仿宋" w:hAnsi="仿宋" w:eastAsia="仿宋" w:cs="仿宋"/>
          <w:sz w:val="24"/>
          <w:szCs w:val="24"/>
        </w:rPr>
        <w:t>为保证本技术标书所列采购设备的质量以及先进性、可靠性、经济性和实用性，要求投标方在投标文件中，至少应具备以下资格证明文件或资料：</w:t>
      </w:r>
    </w:p>
    <w:p w14:paraId="35C92D82">
      <w:pPr>
        <w:spacing w:line="360" w:lineRule="auto"/>
        <w:ind w:firstLine="477" w:firstLineChars="199"/>
        <w:rPr>
          <w:rFonts w:hint="eastAsia" w:ascii="仿宋" w:hAnsi="仿宋" w:eastAsia="仿宋" w:cs="仿宋"/>
          <w:sz w:val="24"/>
          <w:szCs w:val="24"/>
        </w:rPr>
      </w:pPr>
      <w:r>
        <w:rPr>
          <w:rFonts w:hint="eastAsia" w:ascii="仿宋" w:hAnsi="仿宋" w:eastAsia="仿宋" w:cs="仿宋"/>
          <w:sz w:val="24"/>
          <w:szCs w:val="24"/>
        </w:rPr>
        <w:t>1.1  投标方应是通过有关资格认证的单位，因此应附有有效期内的资格认证证书，如：ISO9001、VDA6.1、QS9000等。</w:t>
      </w:r>
    </w:p>
    <w:p w14:paraId="1E64F1C0">
      <w:pPr>
        <w:spacing w:line="360" w:lineRule="auto"/>
        <w:ind w:firstLine="477" w:firstLineChars="199"/>
        <w:rPr>
          <w:rFonts w:hint="eastAsia" w:ascii="仿宋" w:hAnsi="仿宋" w:eastAsia="仿宋" w:cs="仿宋"/>
          <w:sz w:val="24"/>
          <w:szCs w:val="24"/>
        </w:rPr>
      </w:pPr>
      <w:r>
        <w:rPr>
          <w:rFonts w:hint="eastAsia" w:ascii="仿宋" w:hAnsi="仿宋" w:eastAsia="仿宋" w:cs="仿宋"/>
          <w:sz w:val="24"/>
          <w:szCs w:val="24"/>
        </w:rPr>
        <w:t>1.2  国产设备应附有采购货物（或设备）涉及的由“中国质量认证中心”颁发的《中国国家强制性产品认证证书》（CCC证书）。</w:t>
      </w:r>
    </w:p>
    <w:p w14:paraId="097F38D3">
      <w:pPr>
        <w:spacing w:line="360" w:lineRule="auto"/>
        <w:ind w:firstLine="477" w:firstLineChars="199"/>
        <w:rPr>
          <w:rFonts w:hint="eastAsia" w:ascii="仿宋" w:hAnsi="仿宋" w:eastAsia="仿宋" w:cs="仿宋"/>
          <w:sz w:val="24"/>
          <w:szCs w:val="24"/>
        </w:rPr>
      </w:pPr>
      <w:r>
        <w:rPr>
          <w:rFonts w:hint="eastAsia" w:ascii="仿宋" w:hAnsi="仿宋" w:eastAsia="仿宋" w:cs="仿宋"/>
          <w:sz w:val="24"/>
          <w:szCs w:val="24"/>
        </w:rPr>
        <w:t>1.3  必须附有与本采购设备相同或相似技术规格、型号的而且已经正常使用或通过验收的近三年以上的设备的市场销售业绩清单，清单中应具备：买方单位名称、销售设备的规格型号、数量、（交货）时间、联系人和联系电话（非移动通信号码）等条目内容；投标方应当保证其业绩的真实性，否则将影响投标或中标资格。</w:t>
      </w:r>
    </w:p>
    <w:p w14:paraId="2A464444">
      <w:pPr>
        <w:spacing w:line="360" w:lineRule="auto"/>
        <w:ind w:firstLine="477" w:firstLineChars="199"/>
        <w:rPr>
          <w:rFonts w:hint="eastAsia" w:ascii="仿宋" w:hAnsi="仿宋" w:eastAsia="仿宋" w:cs="仿宋"/>
          <w:sz w:val="24"/>
          <w:szCs w:val="24"/>
        </w:rPr>
      </w:pPr>
      <w:r>
        <w:rPr>
          <w:rFonts w:hint="eastAsia" w:ascii="仿宋" w:hAnsi="仿宋" w:eastAsia="仿宋" w:cs="仿宋"/>
          <w:sz w:val="24"/>
          <w:szCs w:val="24"/>
        </w:rPr>
        <w:t>1.4  应附有其它与投标单位、采购设备有关的荣誉证书或资料。</w:t>
      </w:r>
    </w:p>
    <w:p w14:paraId="763B9A7E">
      <w:pPr>
        <w:spacing w:line="360" w:lineRule="auto"/>
        <w:ind w:firstLine="477" w:firstLineChars="199"/>
        <w:rPr>
          <w:rFonts w:hint="eastAsia" w:ascii="仿宋" w:hAnsi="仿宋" w:eastAsia="仿宋" w:cs="仿宋"/>
          <w:sz w:val="24"/>
          <w:szCs w:val="24"/>
        </w:rPr>
      </w:pPr>
      <w:r>
        <w:rPr>
          <w:rFonts w:hint="eastAsia" w:ascii="仿宋" w:hAnsi="仿宋" w:eastAsia="仿宋" w:cs="仿宋"/>
          <w:sz w:val="24"/>
          <w:szCs w:val="24"/>
        </w:rPr>
        <w:t>1.5  应附有中国相关国家部委颁发的有效期之内所必需的《生产许可证》。</w:t>
      </w:r>
    </w:p>
    <w:p w14:paraId="44DFE9B7">
      <w:pPr>
        <w:spacing w:line="360" w:lineRule="auto"/>
        <w:ind w:firstLine="477" w:firstLineChars="199"/>
        <w:rPr>
          <w:rFonts w:hint="eastAsia" w:ascii="仿宋" w:hAnsi="仿宋" w:eastAsia="仿宋" w:cs="仿宋"/>
          <w:sz w:val="24"/>
          <w:szCs w:val="24"/>
        </w:rPr>
      </w:pPr>
      <w:r>
        <w:rPr>
          <w:rFonts w:hint="eastAsia" w:ascii="仿宋" w:hAnsi="仿宋" w:eastAsia="仿宋" w:cs="仿宋"/>
          <w:sz w:val="24"/>
          <w:szCs w:val="24"/>
        </w:rPr>
        <w:t>1.6  应附有必要的采购货物（或设备）的相关检验、试验报告，如：《型式试验的检验报告》、《产品鉴定证书》、《新技术成果证书》等。</w:t>
      </w:r>
    </w:p>
    <w:p w14:paraId="5BB2BE77">
      <w:pPr>
        <w:spacing w:line="360" w:lineRule="auto"/>
        <w:ind w:firstLine="477" w:firstLineChars="199"/>
        <w:rPr>
          <w:rFonts w:hint="eastAsia" w:ascii="仿宋" w:hAnsi="仿宋" w:eastAsia="仿宋" w:cs="仿宋"/>
          <w:sz w:val="24"/>
          <w:szCs w:val="24"/>
        </w:rPr>
      </w:pPr>
      <w:r>
        <w:rPr>
          <w:rFonts w:hint="eastAsia" w:ascii="仿宋" w:hAnsi="仿宋" w:eastAsia="仿宋" w:cs="仿宋"/>
          <w:sz w:val="24"/>
          <w:szCs w:val="24"/>
        </w:rPr>
        <w:t>1.7  投标方必须附有采购货物（或设备）涉及国家规定必须进行的检验、试验报告等。</w:t>
      </w:r>
    </w:p>
    <w:p w14:paraId="3E0F8F23">
      <w:pPr>
        <w:spacing w:line="360" w:lineRule="auto"/>
        <w:ind w:firstLine="477" w:firstLineChars="199"/>
        <w:rPr>
          <w:rFonts w:hint="eastAsia" w:ascii="仿宋" w:hAnsi="仿宋" w:eastAsia="仿宋" w:cs="仿宋"/>
          <w:sz w:val="24"/>
          <w:szCs w:val="24"/>
        </w:rPr>
      </w:pPr>
      <w:r>
        <w:rPr>
          <w:rFonts w:hint="eastAsia" w:ascii="仿宋" w:hAnsi="仿宋" w:eastAsia="仿宋" w:cs="仿宋"/>
          <w:sz w:val="24"/>
          <w:szCs w:val="24"/>
        </w:rPr>
        <w:t>1.8  可附有投标方认为能够证明其所供设备的质量水平、技术水平、安全性水平、节能性水平、环保性水平等相关的其它证明文件或资料、报告等，如电气开关柜等电气设备的内部故障电弧效应试验报告、噪声较大设备的噪声检验报告等。</w:t>
      </w:r>
    </w:p>
    <w:bookmarkEnd w:id="151"/>
    <w:p w14:paraId="7D84A9E6">
      <w:pPr>
        <w:snapToGrid w:val="0"/>
        <w:spacing w:line="360" w:lineRule="auto"/>
        <w:ind w:left="480"/>
        <w:outlineLvl w:val="1"/>
        <w:rPr>
          <w:rFonts w:hint="eastAsia" w:ascii="仿宋" w:hAnsi="仿宋" w:eastAsia="仿宋" w:cs="仿宋"/>
          <w:b/>
          <w:sz w:val="24"/>
          <w:szCs w:val="24"/>
        </w:rPr>
      </w:pPr>
      <w:bookmarkStart w:id="156" w:name="_Toc16587"/>
      <w:bookmarkStart w:id="157" w:name="_Toc10079"/>
      <w:bookmarkStart w:id="158" w:name="_Toc22605"/>
      <w:bookmarkStart w:id="159" w:name="_Toc13014"/>
      <w:r>
        <w:rPr>
          <w:rFonts w:hint="eastAsia" w:ascii="仿宋" w:hAnsi="仿宋" w:eastAsia="仿宋" w:cs="仿宋"/>
          <w:b/>
          <w:sz w:val="24"/>
          <w:szCs w:val="24"/>
          <w:lang w:bidi="ar"/>
        </w:rPr>
        <w:t>2 安全及环保要求</w:t>
      </w:r>
      <w:bookmarkEnd w:id="156"/>
      <w:bookmarkEnd w:id="157"/>
      <w:bookmarkEnd w:id="158"/>
      <w:bookmarkEnd w:id="159"/>
    </w:p>
    <w:p w14:paraId="655D6E73">
      <w:pPr>
        <w:pStyle w:val="26"/>
        <w:snapToGrid w:val="0"/>
        <w:spacing w:line="360" w:lineRule="auto"/>
        <w:ind w:firstLine="480" w:firstLineChars="200"/>
        <w:rPr>
          <w:rFonts w:hint="eastAsia" w:ascii="仿宋" w:hAnsi="仿宋" w:eastAsia="仿宋" w:cs="仿宋"/>
          <w:szCs w:val="24"/>
        </w:rPr>
      </w:pPr>
      <w:r>
        <w:rPr>
          <w:rFonts w:hint="eastAsia" w:ascii="仿宋" w:hAnsi="仿宋" w:eastAsia="仿宋" w:cs="仿宋"/>
          <w:kern w:val="0"/>
          <w:szCs w:val="24"/>
          <w:lang w:bidi="ar"/>
        </w:rPr>
        <w:t>2.1投标方所供的货物（或生产线），必须符合中国最新版的安全法律、法规要求，符合行业安全标准及项目所在地政府有关特殊要求。</w:t>
      </w:r>
    </w:p>
    <w:p w14:paraId="1DA82931">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bidi="ar"/>
        </w:rPr>
        <w:t>2.2 货物（或生产线）应完整且所有的零部件应该安装安全、牢固，外观无损伤，所有的焊缝饱满、无残渣等缺陷且符合国家及行业相关标准。</w:t>
      </w:r>
    </w:p>
    <w:p w14:paraId="68972C8D">
      <w:pPr>
        <w:snapToGrid w:val="0"/>
        <w:spacing w:line="360" w:lineRule="auto"/>
        <w:ind w:firstLine="480" w:firstLineChars="200"/>
        <w:jc w:val="left"/>
        <w:rPr>
          <w:rFonts w:hint="eastAsia" w:ascii="仿宋" w:hAnsi="仿宋" w:eastAsia="仿宋" w:cs="仿宋"/>
          <w:sz w:val="24"/>
          <w:szCs w:val="24"/>
        </w:rPr>
      </w:pPr>
      <w:r>
        <w:rPr>
          <w:rFonts w:hint="eastAsia" w:ascii="仿宋" w:hAnsi="仿宋" w:eastAsia="仿宋" w:cs="仿宋"/>
          <w:sz w:val="24"/>
          <w:szCs w:val="24"/>
          <w:lang w:bidi="ar"/>
        </w:rPr>
        <w:t>2.3 对生产线存在安全隐患的工位必须采取安全措施，如：线体防护板、高温防护、光栅等。</w:t>
      </w:r>
    </w:p>
    <w:p w14:paraId="07C7BC99">
      <w:pPr>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bidi="ar"/>
        </w:rPr>
        <w:t>2.4 从安全生产的角度考虑各单元及工位应设有急停按钮，并有明显标识。</w:t>
      </w:r>
    </w:p>
    <w:p w14:paraId="351F30AD">
      <w:pPr>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bidi="ar"/>
        </w:rPr>
        <w:t>2.6 单元操作面板上有上电按钮和急停按钮，上电后可对系统进行操作。</w:t>
      </w:r>
    </w:p>
    <w:p w14:paraId="1ACADBD0">
      <w:pPr>
        <w:pStyle w:val="26"/>
        <w:snapToGrid w:val="0"/>
        <w:spacing w:line="360" w:lineRule="auto"/>
        <w:ind w:firstLine="480" w:firstLineChars="200"/>
        <w:rPr>
          <w:rFonts w:hint="eastAsia" w:ascii="仿宋" w:hAnsi="仿宋" w:eastAsia="仿宋" w:cs="仿宋"/>
          <w:szCs w:val="24"/>
        </w:rPr>
      </w:pPr>
      <w:r>
        <w:rPr>
          <w:rFonts w:hint="eastAsia" w:ascii="仿宋" w:hAnsi="仿宋" w:eastAsia="仿宋" w:cs="仿宋"/>
          <w:kern w:val="0"/>
          <w:szCs w:val="24"/>
          <w:lang w:bidi="ar"/>
        </w:rPr>
        <w:t>2.7 所有电气安装和施工均应符合我国现行行业标准（规范）。</w:t>
      </w:r>
    </w:p>
    <w:p w14:paraId="1A576745">
      <w:pPr>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bidi="ar"/>
        </w:rPr>
        <w:t>2.8 投标方须负责编制每个工位的《安全操作规程》和安全事项的说明书，对操作者进行“四新”安全培训。</w:t>
      </w:r>
    </w:p>
    <w:p w14:paraId="68D5136F">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bidi="ar"/>
        </w:rPr>
        <w:t>2.9货物（或生产线）应运行稳定、可靠、安全，无非正常变形，非正常振动，无异常声音；无漏水、漏液、漏气（汽）、漏电等现象。</w:t>
      </w:r>
      <w:r>
        <w:rPr>
          <w:rFonts w:hint="eastAsia" w:ascii="仿宋" w:hAnsi="仿宋" w:eastAsia="仿宋" w:cs="仿宋"/>
          <w:sz w:val="24"/>
          <w:szCs w:val="24"/>
          <w:lang w:bidi="ar"/>
        </w:rPr>
        <w:br w:type="textWrapping"/>
      </w:r>
      <w:r>
        <w:rPr>
          <w:rFonts w:hint="eastAsia" w:ascii="仿宋" w:hAnsi="仿宋" w:eastAsia="仿宋" w:cs="仿宋"/>
          <w:sz w:val="24"/>
          <w:szCs w:val="24"/>
          <w:lang w:bidi="ar"/>
        </w:rPr>
        <w:t>2.10 所有的管路和线缆等，接头应完全正确、可靠地联接；应排列有序（正确、牢固、整齐），有必要的防护，无皱褶、收缩和裂缝等不良现象。</w:t>
      </w:r>
    </w:p>
    <w:p w14:paraId="0EC1980B">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bidi="ar"/>
        </w:rPr>
        <w:t>2.11地线联接和地极符合国际（ISO/IEC）标准规范。</w:t>
      </w:r>
    </w:p>
    <w:p w14:paraId="3543EF7A">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bidi="ar"/>
        </w:rPr>
        <w:t>2.12货物（或生产线）正常运行时，噪声等环境影响因素满足国家和当地环保主管部门规定，安全措施落实、有效。</w:t>
      </w:r>
    </w:p>
    <w:p w14:paraId="502DD8E4">
      <w:pPr>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bidi="ar"/>
        </w:rPr>
        <w:t>2.13 可附有投标方认为能够证明其所供货物（或生产线）安全性水平、节能性水平、环保性水平等相关的其它证明文件或资料、报告等，如电气开关柜等电气设备的内部故障电弧效应试验报告、噪声较大设备的噪声检验报告等。</w:t>
      </w:r>
    </w:p>
    <w:p w14:paraId="78CE748C">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bidi="ar"/>
        </w:rPr>
        <w:t>2.14 涉及需要进行环保、职业卫生强制检测的项目（设备、设施），应由中标方提供权威第三方检测机构出具的完工检测报告。</w:t>
      </w:r>
    </w:p>
    <w:p w14:paraId="536FFC95">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bidi="ar"/>
        </w:rPr>
        <w:t>2.15 特种设备应提供济南市特种设备检验研究院出具的首次检验报告，招标方协助中标方办理相关注册登记手续。</w:t>
      </w:r>
    </w:p>
    <w:p w14:paraId="413CF61C">
      <w:pPr>
        <w:snapToGrid w:val="0"/>
        <w:spacing w:line="360" w:lineRule="auto"/>
        <w:ind w:left="480"/>
        <w:outlineLvl w:val="1"/>
        <w:rPr>
          <w:rFonts w:hint="eastAsia" w:ascii="仿宋" w:hAnsi="仿宋" w:eastAsia="仿宋" w:cs="仿宋"/>
          <w:b/>
          <w:sz w:val="24"/>
          <w:szCs w:val="24"/>
        </w:rPr>
      </w:pPr>
      <w:bookmarkStart w:id="160" w:name="_Toc23761"/>
      <w:bookmarkStart w:id="161" w:name="_Toc11255"/>
      <w:bookmarkStart w:id="162" w:name="_Toc13497"/>
      <w:bookmarkStart w:id="163" w:name="_Toc335"/>
      <w:bookmarkStart w:id="164" w:name="_Toc73112429"/>
      <w:bookmarkStart w:id="165" w:name="_Toc20624"/>
      <w:bookmarkStart w:id="166" w:name="_Toc14052"/>
      <w:bookmarkStart w:id="167" w:name="_Toc24176"/>
      <w:bookmarkStart w:id="168" w:name="_Toc18370"/>
      <w:bookmarkStart w:id="169" w:name="_Toc29954"/>
      <w:bookmarkStart w:id="170" w:name="_Toc25498"/>
      <w:bookmarkStart w:id="171" w:name="_Toc20830"/>
      <w:bookmarkStart w:id="172" w:name="_Toc20370"/>
      <w:bookmarkStart w:id="173" w:name="_Toc28267"/>
      <w:bookmarkStart w:id="174" w:name="_Toc13528"/>
      <w:bookmarkStart w:id="175" w:name="_Toc25028"/>
      <w:bookmarkStart w:id="176" w:name="_Toc22893"/>
      <w:bookmarkStart w:id="177" w:name="_Toc19315"/>
      <w:bookmarkStart w:id="178" w:name="_Toc27894"/>
      <w:bookmarkStart w:id="179" w:name="_Toc3821"/>
      <w:bookmarkStart w:id="180" w:name="_Toc24482"/>
      <w:bookmarkStart w:id="181" w:name="_Toc26307"/>
      <w:bookmarkStart w:id="182" w:name="_Toc4278"/>
      <w:bookmarkStart w:id="183" w:name="_Toc28380"/>
      <w:bookmarkStart w:id="184" w:name="_Toc29233"/>
      <w:bookmarkStart w:id="185" w:name="_Toc28559"/>
      <w:bookmarkStart w:id="186" w:name="_Toc27164"/>
      <w:bookmarkStart w:id="187" w:name="_Toc18674"/>
      <w:bookmarkStart w:id="188" w:name="_Toc26724"/>
      <w:bookmarkStart w:id="189" w:name="_Toc26626"/>
      <w:bookmarkStart w:id="190" w:name="_Toc3658"/>
      <w:bookmarkStart w:id="191" w:name="_Toc1823"/>
      <w:bookmarkStart w:id="192" w:name="_Toc16457"/>
      <w:bookmarkStart w:id="193" w:name="_Toc28700"/>
      <w:bookmarkStart w:id="194" w:name="_Toc22763"/>
      <w:bookmarkStart w:id="195" w:name="_Toc18745"/>
      <w:bookmarkStart w:id="196" w:name="_Toc21942"/>
      <w:bookmarkStart w:id="197" w:name="_Toc11707"/>
      <w:bookmarkStart w:id="198" w:name="_Toc8864"/>
      <w:bookmarkStart w:id="199" w:name="_Toc14956"/>
      <w:bookmarkStart w:id="200" w:name="_Toc1018"/>
      <w:bookmarkStart w:id="201" w:name="_Toc5504"/>
      <w:bookmarkStart w:id="202" w:name="_Toc3323"/>
      <w:bookmarkStart w:id="203" w:name="_Toc11829"/>
      <w:bookmarkStart w:id="204" w:name="_Toc4243"/>
      <w:bookmarkStart w:id="205" w:name="_Toc28718"/>
      <w:r>
        <w:rPr>
          <w:rFonts w:hint="eastAsia" w:ascii="仿宋" w:hAnsi="仿宋" w:eastAsia="仿宋" w:cs="仿宋"/>
          <w:b/>
          <w:sz w:val="24"/>
          <w:szCs w:val="24"/>
          <w:lang w:bidi="ar"/>
        </w:rPr>
        <w:t>3说明</w:t>
      </w:r>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p w14:paraId="7DC5F6FA">
      <w:pPr>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bidi="ar"/>
        </w:rPr>
        <w:t>3.1投标方可以根据自身的技术、经验等优势以及对招标文件和本技术标书的理解，写明对招标方所采购货物（或生产线）的优化方案或建议意见。投标方的这些努力，招标方表示感谢，并将有助于投标方优先胜出。</w:t>
      </w:r>
    </w:p>
    <w:p w14:paraId="54093C5F">
      <w:pPr>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bidi="ar"/>
        </w:rPr>
        <w:t>3.2即使有建议意见或建议方案，仍应依据招标文件和本技术标书要求，编写符合要求的投标文件。建议方案或建议意见，应以单独篇章或文件，予以说明。</w:t>
      </w:r>
    </w:p>
    <w:p w14:paraId="502BF603">
      <w:pPr>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bidi="ar"/>
        </w:rPr>
        <w:t>3.3请投标方仔细阅读“采购货物概况”章节内说明，针对允许分投分中的货物（或生产线），招标方有权利选择其中优秀设备或服务，作为投标方合同供货范围中的指定选用设备或服务（替代投标方分投而未中标部分）。</w:t>
      </w:r>
    </w:p>
    <w:p w14:paraId="15A18822">
      <w:pPr>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bidi="ar"/>
        </w:rPr>
        <w:t>3.4招标文件、投标文件、答疑文件、技术交流文件、技术协议书等，在招标过程全部为有效文件，如有差异，以对招标方或买方最有利的条款为准。</w:t>
      </w:r>
    </w:p>
    <w:p w14:paraId="59F7E747">
      <w:pPr>
        <w:snapToGrid w:val="0"/>
        <w:spacing w:line="360" w:lineRule="auto"/>
        <w:ind w:firstLine="480" w:firstLineChars="200"/>
        <w:rPr>
          <w:sz w:val="24"/>
          <w:szCs w:val="24"/>
        </w:rPr>
      </w:pPr>
      <w:r>
        <w:rPr>
          <w:rFonts w:hint="eastAsia" w:ascii="仿宋" w:hAnsi="仿宋" w:eastAsia="仿宋" w:cs="仿宋"/>
          <w:sz w:val="24"/>
          <w:szCs w:val="24"/>
          <w:lang w:bidi="ar"/>
        </w:rPr>
        <w:t>3.5本技术标书在“预验收和终验收”章节所列的招标方在合同签署后将成为买方，中标的投标方将成为卖方；为避免歧异，本技术标书在“预验收和终验收”之外的其它章节，均将潜在的卖方称为投标方、将买方称为招标方。</w:t>
      </w:r>
    </w:p>
    <w:p w14:paraId="6B976EA1">
      <w:pPr>
        <w:spacing w:line="480" w:lineRule="exact"/>
        <w:ind w:firstLine="480" w:firstLineChars="200"/>
        <w:rPr>
          <w:rFonts w:ascii="宋体" w:hAnsi="宋体"/>
          <w:sz w:val="24"/>
          <w:szCs w:val="24"/>
        </w:rPr>
      </w:pPr>
    </w:p>
    <w:p w14:paraId="155501D0">
      <w:pPr>
        <w:spacing w:line="480" w:lineRule="exact"/>
        <w:ind w:firstLine="480" w:firstLineChars="200"/>
        <w:rPr>
          <w:rFonts w:ascii="宋体" w:hAnsi="宋体"/>
          <w:sz w:val="24"/>
          <w:szCs w:val="24"/>
        </w:rPr>
      </w:pPr>
    </w:p>
    <w:p w14:paraId="3DC228DA">
      <w:pPr>
        <w:spacing w:line="480" w:lineRule="exact"/>
        <w:ind w:firstLine="480" w:firstLineChars="200"/>
        <w:rPr>
          <w:rFonts w:ascii="宋体" w:hAnsi="宋体"/>
          <w:sz w:val="24"/>
          <w:szCs w:val="24"/>
        </w:rPr>
      </w:pPr>
    </w:p>
    <w:p w14:paraId="209B2747">
      <w:pPr>
        <w:spacing w:line="480" w:lineRule="exact"/>
        <w:ind w:firstLine="480" w:firstLineChars="200"/>
        <w:rPr>
          <w:rFonts w:ascii="宋体" w:hAnsi="宋体"/>
          <w:sz w:val="24"/>
          <w:szCs w:val="24"/>
        </w:rPr>
      </w:pPr>
    </w:p>
    <w:p w14:paraId="40B34455">
      <w:pPr>
        <w:spacing w:line="480" w:lineRule="exact"/>
        <w:ind w:firstLine="480" w:firstLineChars="200"/>
        <w:rPr>
          <w:rFonts w:ascii="宋体" w:hAnsi="宋体"/>
          <w:sz w:val="24"/>
          <w:szCs w:val="24"/>
        </w:rPr>
      </w:pPr>
    </w:p>
    <w:p w14:paraId="2ABB6DEE">
      <w:pPr>
        <w:ind w:firstLine="480" w:firstLineChars="200"/>
        <w:jc w:val="left"/>
        <w:rPr>
          <w:rFonts w:hint="eastAsia"/>
          <w:sz w:val="24"/>
          <w:szCs w:val="24"/>
        </w:rPr>
      </w:pPr>
    </w:p>
    <w:p w14:paraId="3D1A2298">
      <w:pPr>
        <w:pStyle w:val="76"/>
      </w:pPr>
    </w:p>
    <w:p w14:paraId="12476B70">
      <w:pPr>
        <w:rPr>
          <w:rFonts w:hint="eastAsia"/>
        </w:rPr>
      </w:pPr>
      <w:bookmarkStart w:id="206" w:name="_Toc47976609"/>
      <w:bookmarkStart w:id="207" w:name="_Toc20595"/>
      <w:r>
        <w:rPr>
          <w:rFonts w:hint="eastAsia"/>
        </w:rPr>
        <w:br w:type="page"/>
      </w:r>
    </w:p>
    <w:p w14:paraId="5871DF53">
      <w:pPr>
        <w:pStyle w:val="71"/>
      </w:pPr>
      <w:r>
        <w:rPr>
          <w:rFonts w:hint="eastAsia"/>
        </w:rPr>
        <w:t>第三部分　合同主要条款</w:t>
      </w:r>
      <w:bookmarkEnd w:id="206"/>
      <w:bookmarkEnd w:id="207"/>
    </w:p>
    <w:p w14:paraId="23914DBE">
      <w:pPr>
        <w:pStyle w:val="72"/>
        <w:numPr>
          <w:ilvl w:val="0"/>
          <w:numId w:val="33"/>
        </w:numPr>
        <w:ind w:left="420"/>
      </w:pPr>
      <w:bookmarkStart w:id="208" w:name="_Toc47976610"/>
      <w:r>
        <w:rPr>
          <w:rFonts w:hint="eastAsia"/>
          <w:lang w:val="en-US" w:eastAsia="zh-CN"/>
        </w:rPr>
        <w:t>标的、数量、</w:t>
      </w:r>
      <w:r>
        <w:rPr>
          <w:rFonts w:hint="eastAsia"/>
        </w:rPr>
        <w:t>交货期</w:t>
      </w:r>
      <w:bookmarkEnd w:id="208"/>
    </w:p>
    <w:p w14:paraId="18603CA8">
      <w:pPr>
        <w:pStyle w:val="72"/>
      </w:pPr>
      <w:bookmarkStart w:id="209" w:name="_Toc47976611"/>
      <w:r>
        <w:rPr>
          <w:rFonts w:hint="eastAsia"/>
        </w:rPr>
        <w:t>交货地点</w:t>
      </w:r>
      <w:bookmarkEnd w:id="209"/>
    </w:p>
    <w:p w14:paraId="3F03A936">
      <w:pPr>
        <w:pStyle w:val="72"/>
      </w:pPr>
      <w:bookmarkStart w:id="210" w:name="_Toc47976612"/>
      <w:r>
        <w:rPr>
          <w:rFonts w:hint="eastAsia"/>
          <w:lang w:val="en-US" w:eastAsia="zh-CN"/>
        </w:rPr>
        <w:t>价款及</w:t>
      </w:r>
      <w:r>
        <w:rPr>
          <w:rFonts w:hint="eastAsia"/>
        </w:rPr>
        <w:t>付款方式</w:t>
      </w:r>
      <w:bookmarkEnd w:id="210"/>
    </w:p>
    <w:p w14:paraId="0A7F4E98">
      <w:pPr>
        <w:pStyle w:val="72"/>
      </w:pPr>
      <w:bookmarkStart w:id="211" w:name="_Toc47976613"/>
      <w:r>
        <w:rPr>
          <w:rFonts w:hint="eastAsia"/>
          <w:lang w:val="en-US" w:eastAsia="zh-CN"/>
        </w:rPr>
        <w:t>质量要求、</w:t>
      </w:r>
      <w:r>
        <w:rPr>
          <w:rFonts w:hint="eastAsia"/>
        </w:rPr>
        <w:t>保修期及售后服务</w:t>
      </w:r>
      <w:bookmarkEnd w:id="211"/>
    </w:p>
    <w:p w14:paraId="50F6C5C1">
      <w:pPr>
        <w:pStyle w:val="72"/>
      </w:pPr>
      <w:bookmarkStart w:id="212" w:name="_Toc47976614"/>
      <w:r>
        <w:rPr>
          <w:rFonts w:hint="eastAsia"/>
        </w:rPr>
        <w:t>安装、调试及验收要求</w:t>
      </w:r>
      <w:bookmarkEnd w:id="212"/>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213" w:name="_Toc47976615"/>
      <w:bookmarkStart w:id="214" w:name="_Toc5925"/>
      <w:r>
        <w:rPr>
          <w:rFonts w:hint="eastAsia"/>
        </w:rPr>
        <w:t>第四部分　</w:t>
      </w:r>
      <w:bookmarkEnd w:id="213"/>
      <w:r>
        <w:rPr>
          <w:rFonts w:hint="eastAsia"/>
          <w:lang w:val="en-US" w:eastAsia="zh-CN"/>
        </w:rPr>
        <w:t>投标文件附件</w:t>
      </w:r>
      <w:bookmarkEnd w:id="214"/>
    </w:p>
    <w:p w14:paraId="600DE1DD">
      <w:pPr>
        <w:pStyle w:val="71"/>
        <w:jc w:val="left"/>
        <w:rPr>
          <w:rFonts w:hint="eastAsia" w:ascii="宋体" w:hAnsi="宋体" w:eastAsia="宋体" w:cs="宋体"/>
          <w:sz w:val="32"/>
          <w:szCs w:val="32"/>
          <w:highlight w:val="yellow"/>
          <w:lang w:eastAsia="zh-CN"/>
        </w:rPr>
      </w:pPr>
      <w:bookmarkStart w:id="215" w:name="_Toc47976616"/>
      <w:bookmarkStart w:id="216" w:name="_Toc4225"/>
      <w:r>
        <w:rPr>
          <w:rFonts w:hint="eastAsia" w:ascii="宋体" w:hAnsi="宋体" w:eastAsia="宋体" w:cs="宋体"/>
          <w:sz w:val="32"/>
          <w:szCs w:val="32"/>
          <w:highlight w:val="yellow"/>
        </w:rPr>
        <w:t>附件</w:t>
      </w:r>
      <w:bookmarkEnd w:id="215"/>
      <w:bookmarkEnd w:id="216"/>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217" w:name="_Toc47976618"/>
      <w:bookmarkStart w:id="218" w:name="_Toc29366865"/>
      <w:bookmarkStart w:id="219" w:name="_Toc29366869"/>
      <w:r>
        <w:rPr>
          <w:rFonts w:hint="eastAsia" w:ascii="宋体" w:hAnsi="宋体" w:eastAsia="宋体" w:cs="宋体"/>
          <w:sz w:val="32"/>
          <w:szCs w:val="32"/>
          <w:highlight w:val="yellow"/>
          <w:lang w:val="en-US" w:eastAsia="zh-CN"/>
        </w:rPr>
        <w:t>附件2</w:t>
      </w:r>
    </w:p>
    <w:bookmarkEnd w:id="217"/>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218"/>
    <w:bookmarkEnd w:id="219"/>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38F31B14">
      <w:pPr>
        <w:pStyle w:val="72"/>
        <w:numPr>
          <w:ilvl w:val="0"/>
          <w:numId w:val="0"/>
        </w:numPr>
        <w:ind w:leftChars="0"/>
        <w:jc w:val="center"/>
        <w:rPr>
          <w:rFonts w:hint="eastAsia"/>
          <w:lang w:val="en-US" w:eastAsia="zh-CN"/>
        </w:rPr>
      </w:pPr>
      <w:r>
        <w:rPr>
          <w:rFonts w:hint="eastAsia"/>
          <w:lang w:val="en-US" w:eastAsia="zh-CN"/>
        </w:rPr>
        <w:t>开标一览表</w:t>
      </w:r>
    </w:p>
    <w:p w14:paraId="6D590B9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0D496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394C6515">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2D16DC05">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642EEBB3">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47ED08C3">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14:paraId="6D64AA71">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28A52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181A3299">
            <w:pPr>
              <w:jc w:val="center"/>
              <w:rPr>
                <w:rFonts w:ascii="Times New Roman" w:hAnsi="Times New Roman" w:eastAsia="宋体" w:cs="Times New Roman"/>
                <w:b/>
                <w:szCs w:val="20"/>
              </w:rPr>
            </w:pPr>
          </w:p>
        </w:tc>
        <w:tc>
          <w:tcPr>
            <w:tcW w:w="1518" w:type="dxa"/>
            <w:vAlign w:val="center"/>
          </w:tcPr>
          <w:p w14:paraId="66911250">
            <w:pPr>
              <w:jc w:val="center"/>
              <w:rPr>
                <w:rFonts w:hint="eastAsia" w:ascii="Times New Roman" w:hAnsi="Times New Roman" w:eastAsia="宋体" w:cs="Times New Roman"/>
                <w:b/>
                <w:szCs w:val="20"/>
                <w:lang w:eastAsia="zh-CN"/>
              </w:rPr>
            </w:pPr>
          </w:p>
        </w:tc>
        <w:tc>
          <w:tcPr>
            <w:tcW w:w="848" w:type="dxa"/>
            <w:vAlign w:val="center"/>
          </w:tcPr>
          <w:p w14:paraId="2351FE2D">
            <w:pPr>
              <w:jc w:val="center"/>
              <w:rPr>
                <w:rFonts w:hint="eastAsia" w:ascii="Times New Roman" w:hAnsi="Times New Roman" w:eastAsia="宋体" w:cs="Times New Roman"/>
                <w:b/>
                <w:szCs w:val="20"/>
                <w:lang w:val="en-US" w:eastAsia="zh-CN"/>
              </w:rPr>
            </w:pPr>
          </w:p>
        </w:tc>
        <w:tc>
          <w:tcPr>
            <w:tcW w:w="2270" w:type="dxa"/>
            <w:vAlign w:val="center"/>
          </w:tcPr>
          <w:p w14:paraId="5890F9DE">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546C0EE0">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4668D1BD">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14:paraId="24B1EFF2">
            <w:pPr>
              <w:jc w:val="center"/>
              <w:rPr>
                <w:rFonts w:ascii="Times New Roman" w:hAnsi="Times New Roman" w:eastAsia="宋体" w:cs="Times New Roman"/>
                <w:b/>
                <w:szCs w:val="20"/>
              </w:rPr>
            </w:pPr>
          </w:p>
        </w:tc>
      </w:tr>
    </w:tbl>
    <w:p w14:paraId="48CC0131">
      <w:pPr>
        <w:rPr>
          <w:rFonts w:ascii="宋体" w:hAnsi="Arial" w:eastAsia="宋体" w:cs="Times New Roman"/>
          <w:sz w:val="24"/>
          <w:szCs w:val="24"/>
        </w:rPr>
      </w:pPr>
    </w:p>
    <w:p w14:paraId="11A7756A">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0656B14B">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1EB14874">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551EA7DB">
      <w:pPr>
        <w:pStyle w:val="14"/>
        <w:rPr>
          <w:rFonts w:hint="eastAsia" w:hAnsi="宋体" w:eastAsia="宋体" w:cs="Times New Roman"/>
          <w:b/>
          <w:bCs/>
          <w:szCs w:val="21"/>
          <w:highlight w:val="none"/>
          <w:lang w:val="en-US" w:eastAsia="zh-CN"/>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0133E326">
      <w:pPr>
        <w:pStyle w:val="14"/>
        <w:rPr>
          <w:rFonts w:hint="eastAsia" w:hAnsi="宋体" w:eastAsia="宋体" w:cs="Times New Roman"/>
          <w:b/>
          <w:bCs/>
          <w:szCs w:val="21"/>
          <w:highlight w:val="yellow"/>
        </w:rPr>
      </w:pPr>
    </w:p>
    <w:p w14:paraId="61D2FD3B">
      <w:pPr>
        <w:pStyle w:val="14"/>
        <w:rPr>
          <w:rFonts w:hint="eastAsia" w:hAnsi="宋体" w:eastAsia="宋体" w:cs="Times New Roman"/>
          <w:b/>
          <w:bCs/>
          <w:szCs w:val="21"/>
          <w:highlight w:val="yellow"/>
        </w:rPr>
      </w:pPr>
    </w:p>
    <w:p w14:paraId="47C2B33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73D7E58A">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2EF42CC">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1BCEF5A">
      <w:pPr>
        <w:pStyle w:val="72"/>
        <w:numPr>
          <w:ilvl w:val="0"/>
          <w:numId w:val="0"/>
        </w:numPr>
        <w:ind w:leftChars="0"/>
      </w:pPr>
      <w:r>
        <w:t xml:space="preserve"> </w:t>
      </w:r>
    </w:p>
    <w:p w14:paraId="23BC5F9D">
      <w:pPr>
        <w:pStyle w:val="72"/>
        <w:numPr>
          <w:ilvl w:val="0"/>
          <w:numId w:val="0"/>
        </w:numPr>
        <w:ind w:leftChars="0"/>
      </w:pPr>
    </w:p>
    <w:p w14:paraId="11E108AB">
      <w:pPr>
        <w:pStyle w:val="72"/>
        <w:numPr>
          <w:ilvl w:val="0"/>
          <w:numId w:val="0"/>
        </w:numPr>
        <w:ind w:leftChars="0"/>
      </w:pPr>
    </w:p>
    <w:p w14:paraId="528315C1">
      <w:pPr>
        <w:pStyle w:val="72"/>
        <w:numPr>
          <w:ilvl w:val="0"/>
          <w:numId w:val="0"/>
        </w:numPr>
        <w:ind w:leftChars="0"/>
      </w:pPr>
    </w:p>
    <w:p w14:paraId="2D0AAC1F">
      <w:pPr>
        <w:pStyle w:val="72"/>
        <w:numPr>
          <w:ilvl w:val="0"/>
          <w:numId w:val="0"/>
        </w:numPr>
        <w:ind w:leftChars="0"/>
      </w:pPr>
    </w:p>
    <w:p w14:paraId="603D4456">
      <w:pPr>
        <w:pStyle w:val="72"/>
        <w:numPr>
          <w:ilvl w:val="0"/>
          <w:numId w:val="0"/>
        </w:numPr>
        <w:ind w:leftChars="0"/>
      </w:pPr>
    </w:p>
    <w:p w14:paraId="4A94FC11">
      <w:pPr>
        <w:pStyle w:val="72"/>
        <w:numPr>
          <w:ilvl w:val="0"/>
          <w:numId w:val="0"/>
        </w:numPr>
        <w:ind w:leftChars="0"/>
      </w:pPr>
    </w:p>
    <w:p w14:paraId="5912B5A2">
      <w:pPr>
        <w:pStyle w:val="76"/>
        <w:ind w:firstLine="630" w:firstLineChars="300"/>
        <w:rPr>
          <w:rFonts w:hint="eastAsia"/>
        </w:rPr>
      </w:pPr>
    </w:p>
    <w:p w14:paraId="26159F05">
      <w:pPr>
        <w:pStyle w:val="76"/>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5BD7C652">
      <w:pPr>
        <w:rPr>
          <w:rFonts w:ascii="宋体" w:hAnsi="宋体"/>
          <w:highlight w:val="none"/>
        </w:rPr>
      </w:pPr>
      <w:r>
        <w:rPr>
          <w:rFonts w:hint="eastAsia" w:ascii="宋体" w:hAnsi="宋体"/>
          <w:highlight w:val="none"/>
        </w:rPr>
        <w:t>项目名称：(XX项目)</w:t>
      </w:r>
    </w:p>
    <w:p w14:paraId="668E81F4">
      <w:pPr>
        <w:rPr>
          <w:rFonts w:ascii="宋体" w:hAnsi="宋体"/>
          <w:highlight w:val="none"/>
        </w:rPr>
      </w:pPr>
    </w:p>
    <w:p w14:paraId="27710DF3">
      <w:pPr>
        <w:rPr>
          <w:rFonts w:ascii="宋体" w:hAnsi="宋体"/>
          <w:szCs w:val="21"/>
          <w:highlight w:val="none"/>
        </w:rPr>
      </w:pPr>
      <w:r>
        <w:rPr>
          <w:rFonts w:hint="eastAsia" w:ascii="宋体" w:hAnsi="宋体"/>
          <w:szCs w:val="21"/>
          <w:highlight w:val="none"/>
        </w:rPr>
        <w:t>日期：  年   月   日</w:t>
      </w:r>
    </w:p>
    <w:p w14:paraId="087E0A24">
      <w:pPr>
        <w:jc w:val="center"/>
        <w:rPr>
          <w:rFonts w:eastAsia="黑体"/>
          <w:b/>
          <w:bCs/>
          <w:sz w:val="28"/>
          <w:highlight w:val="none"/>
        </w:rPr>
      </w:pPr>
    </w:p>
    <w:p w14:paraId="5DEAF24B">
      <w:pPr>
        <w:jc w:val="center"/>
        <w:rPr>
          <w:rFonts w:eastAsia="黑体"/>
          <w:b/>
          <w:bCs/>
          <w:sz w:val="28"/>
          <w:highlight w:val="none"/>
        </w:rPr>
      </w:pPr>
      <w:r>
        <w:rPr>
          <w:rFonts w:hint="eastAsia" w:eastAsia="黑体"/>
          <w:b/>
          <w:bCs/>
          <w:sz w:val="28"/>
          <w:highlight w:val="none"/>
        </w:rPr>
        <w:t>相关条款偏离表</w:t>
      </w:r>
    </w:p>
    <w:tbl>
      <w:tblPr>
        <w:tblStyle w:val="3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175B8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67F345F4">
            <w:pPr>
              <w:jc w:val="center"/>
              <w:rPr>
                <w:rFonts w:ascii="宋体" w:hAnsi="宋体"/>
                <w:sz w:val="24"/>
                <w:highlight w:val="none"/>
              </w:rPr>
            </w:pPr>
            <w:r>
              <w:rPr>
                <w:rFonts w:hint="eastAsia" w:ascii="宋体" w:hAnsi="宋体"/>
                <w:sz w:val="24"/>
                <w:highlight w:val="none"/>
              </w:rPr>
              <w:t>序号</w:t>
            </w:r>
          </w:p>
        </w:tc>
        <w:tc>
          <w:tcPr>
            <w:tcW w:w="4140" w:type="dxa"/>
            <w:gridSpan w:val="2"/>
            <w:vAlign w:val="center"/>
          </w:tcPr>
          <w:p w14:paraId="6C3F86B2">
            <w:pPr>
              <w:jc w:val="center"/>
              <w:rPr>
                <w:rFonts w:ascii="宋体" w:hAnsi="宋体"/>
                <w:sz w:val="24"/>
                <w:highlight w:val="none"/>
              </w:rPr>
            </w:pPr>
            <w:r>
              <w:rPr>
                <w:rFonts w:hint="eastAsia" w:ascii="宋体" w:hAnsi="宋体"/>
                <w:sz w:val="24"/>
                <w:highlight w:val="none"/>
              </w:rPr>
              <w:t>招标文件条款</w:t>
            </w:r>
          </w:p>
        </w:tc>
        <w:tc>
          <w:tcPr>
            <w:tcW w:w="3554" w:type="dxa"/>
            <w:vMerge w:val="restart"/>
            <w:vAlign w:val="center"/>
          </w:tcPr>
          <w:p w14:paraId="138B2732">
            <w:pPr>
              <w:jc w:val="center"/>
              <w:rPr>
                <w:rFonts w:ascii="宋体" w:hAnsi="宋体"/>
                <w:sz w:val="24"/>
                <w:highlight w:val="none"/>
              </w:rPr>
            </w:pPr>
            <w:r>
              <w:rPr>
                <w:rFonts w:hint="eastAsia" w:ascii="宋体" w:hAnsi="宋体"/>
                <w:sz w:val="24"/>
                <w:highlight w:val="none"/>
              </w:rPr>
              <w:t>偏离内容</w:t>
            </w:r>
          </w:p>
        </w:tc>
      </w:tr>
      <w:tr w14:paraId="3E26C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34261E21">
            <w:pPr>
              <w:rPr>
                <w:rFonts w:ascii="宋体" w:hAnsi="宋体"/>
                <w:sz w:val="24"/>
                <w:highlight w:val="none"/>
              </w:rPr>
            </w:pPr>
          </w:p>
        </w:tc>
        <w:tc>
          <w:tcPr>
            <w:tcW w:w="1080" w:type="dxa"/>
            <w:vAlign w:val="center"/>
          </w:tcPr>
          <w:p w14:paraId="0E5FEE95">
            <w:pPr>
              <w:jc w:val="center"/>
              <w:rPr>
                <w:rFonts w:ascii="宋体" w:hAnsi="宋体"/>
                <w:sz w:val="24"/>
                <w:highlight w:val="none"/>
              </w:rPr>
            </w:pPr>
            <w:r>
              <w:rPr>
                <w:rFonts w:hint="eastAsia" w:ascii="宋体" w:hAnsi="宋体"/>
                <w:sz w:val="24"/>
                <w:highlight w:val="none"/>
              </w:rPr>
              <w:t>条款号</w:t>
            </w:r>
          </w:p>
        </w:tc>
        <w:tc>
          <w:tcPr>
            <w:tcW w:w="3060" w:type="dxa"/>
            <w:vAlign w:val="center"/>
          </w:tcPr>
          <w:p w14:paraId="704BD299">
            <w:pPr>
              <w:jc w:val="center"/>
              <w:rPr>
                <w:rFonts w:ascii="宋体" w:hAnsi="宋体"/>
                <w:sz w:val="24"/>
                <w:highlight w:val="none"/>
              </w:rPr>
            </w:pPr>
            <w:r>
              <w:rPr>
                <w:rFonts w:hint="eastAsia" w:ascii="宋体" w:hAnsi="宋体"/>
                <w:sz w:val="24"/>
                <w:highlight w:val="none"/>
              </w:rPr>
              <w:t>条款要求</w:t>
            </w:r>
          </w:p>
        </w:tc>
        <w:tc>
          <w:tcPr>
            <w:tcW w:w="3554" w:type="dxa"/>
            <w:vMerge w:val="continue"/>
            <w:vAlign w:val="center"/>
          </w:tcPr>
          <w:p w14:paraId="0DBB6E56">
            <w:pPr>
              <w:jc w:val="center"/>
              <w:rPr>
                <w:rFonts w:ascii="宋体" w:hAnsi="宋体"/>
                <w:sz w:val="24"/>
                <w:highlight w:val="none"/>
              </w:rPr>
            </w:pPr>
          </w:p>
        </w:tc>
      </w:tr>
      <w:tr w14:paraId="5DFDE5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ECFB6E4">
            <w:pPr>
              <w:jc w:val="center"/>
              <w:rPr>
                <w:rFonts w:ascii="宋体" w:hAnsi="宋体"/>
                <w:sz w:val="24"/>
                <w:highlight w:val="none"/>
              </w:rPr>
            </w:pPr>
            <w:r>
              <w:rPr>
                <w:rFonts w:hint="eastAsia" w:ascii="宋体" w:hAnsi="宋体"/>
                <w:sz w:val="24"/>
                <w:highlight w:val="none"/>
              </w:rPr>
              <w:t>1</w:t>
            </w:r>
          </w:p>
        </w:tc>
        <w:tc>
          <w:tcPr>
            <w:tcW w:w="1080" w:type="dxa"/>
            <w:vAlign w:val="center"/>
          </w:tcPr>
          <w:p w14:paraId="79E8AA3B">
            <w:pPr>
              <w:rPr>
                <w:rFonts w:ascii="宋体" w:hAnsi="宋体"/>
                <w:sz w:val="24"/>
                <w:highlight w:val="none"/>
              </w:rPr>
            </w:pPr>
          </w:p>
        </w:tc>
        <w:tc>
          <w:tcPr>
            <w:tcW w:w="3060" w:type="dxa"/>
            <w:vAlign w:val="center"/>
          </w:tcPr>
          <w:p w14:paraId="5C7ED76C">
            <w:pPr>
              <w:rPr>
                <w:rFonts w:ascii="宋体" w:hAnsi="宋体"/>
                <w:sz w:val="24"/>
                <w:highlight w:val="none"/>
              </w:rPr>
            </w:pPr>
          </w:p>
        </w:tc>
        <w:tc>
          <w:tcPr>
            <w:tcW w:w="3554" w:type="dxa"/>
            <w:vAlign w:val="center"/>
          </w:tcPr>
          <w:p w14:paraId="38E033F5">
            <w:pPr>
              <w:rPr>
                <w:rFonts w:ascii="宋体" w:hAnsi="宋体"/>
                <w:sz w:val="24"/>
                <w:highlight w:val="none"/>
              </w:rPr>
            </w:pPr>
          </w:p>
        </w:tc>
      </w:tr>
      <w:tr w14:paraId="68899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014D93C">
            <w:pPr>
              <w:jc w:val="center"/>
              <w:rPr>
                <w:rFonts w:ascii="宋体" w:hAnsi="宋体"/>
                <w:sz w:val="24"/>
                <w:highlight w:val="none"/>
              </w:rPr>
            </w:pPr>
            <w:r>
              <w:rPr>
                <w:rFonts w:hint="eastAsia" w:ascii="宋体" w:hAnsi="宋体"/>
                <w:sz w:val="24"/>
                <w:highlight w:val="none"/>
              </w:rPr>
              <w:t>2</w:t>
            </w:r>
          </w:p>
        </w:tc>
        <w:tc>
          <w:tcPr>
            <w:tcW w:w="1080" w:type="dxa"/>
            <w:vAlign w:val="center"/>
          </w:tcPr>
          <w:p w14:paraId="7362CC0D">
            <w:pPr>
              <w:rPr>
                <w:rFonts w:ascii="宋体" w:hAnsi="宋体"/>
                <w:sz w:val="24"/>
                <w:highlight w:val="none"/>
              </w:rPr>
            </w:pPr>
          </w:p>
        </w:tc>
        <w:tc>
          <w:tcPr>
            <w:tcW w:w="3060" w:type="dxa"/>
            <w:vAlign w:val="center"/>
          </w:tcPr>
          <w:p w14:paraId="33F1AED3">
            <w:pPr>
              <w:rPr>
                <w:rFonts w:ascii="宋体" w:hAnsi="宋体"/>
                <w:sz w:val="24"/>
                <w:highlight w:val="none"/>
              </w:rPr>
            </w:pPr>
          </w:p>
        </w:tc>
        <w:tc>
          <w:tcPr>
            <w:tcW w:w="3554" w:type="dxa"/>
            <w:vAlign w:val="center"/>
          </w:tcPr>
          <w:p w14:paraId="431B9AFB">
            <w:pPr>
              <w:rPr>
                <w:rFonts w:ascii="宋体" w:hAnsi="宋体"/>
                <w:sz w:val="24"/>
                <w:highlight w:val="none"/>
              </w:rPr>
            </w:pPr>
          </w:p>
        </w:tc>
      </w:tr>
      <w:tr w14:paraId="148EA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C4D6FAA">
            <w:pPr>
              <w:jc w:val="center"/>
              <w:rPr>
                <w:rFonts w:ascii="宋体" w:hAnsi="宋体"/>
                <w:sz w:val="24"/>
                <w:highlight w:val="none"/>
              </w:rPr>
            </w:pPr>
            <w:r>
              <w:rPr>
                <w:rFonts w:hint="eastAsia" w:ascii="宋体" w:hAnsi="宋体"/>
                <w:sz w:val="24"/>
                <w:highlight w:val="none"/>
              </w:rPr>
              <w:t>3</w:t>
            </w:r>
          </w:p>
        </w:tc>
        <w:tc>
          <w:tcPr>
            <w:tcW w:w="1080" w:type="dxa"/>
            <w:vAlign w:val="center"/>
          </w:tcPr>
          <w:p w14:paraId="778AB29E">
            <w:pPr>
              <w:rPr>
                <w:rFonts w:ascii="宋体" w:hAnsi="宋体"/>
                <w:sz w:val="24"/>
                <w:highlight w:val="none"/>
              </w:rPr>
            </w:pPr>
          </w:p>
        </w:tc>
        <w:tc>
          <w:tcPr>
            <w:tcW w:w="3060" w:type="dxa"/>
            <w:vAlign w:val="center"/>
          </w:tcPr>
          <w:p w14:paraId="3F936D46">
            <w:pPr>
              <w:rPr>
                <w:rFonts w:ascii="宋体" w:hAnsi="宋体"/>
                <w:sz w:val="24"/>
                <w:highlight w:val="none"/>
              </w:rPr>
            </w:pPr>
          </w:p>
        </w:tc>
        <w:tc>
          <w:tcPr>
            <w:tcW w:w="3554" w:type="dxa"/>
            <w:vAlign w:val="center"/>
          </w:tcPr>
          <w:p w14:paraId="61E3D930">
            <w:pPr>
              <w:rPr>
                <w:rFonts w:ascii="宋体" w:hAnsi="宋体"/>
                <w:sz w:val="24"/>
                <w:highlight w:val="none"/>
              </w:rPr>
            </w:pPr>
          </w:p>
        </w:tc>
      </w:tr>
      <w:tr w14:paraId="053E1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8C367D2">
            <w:pPr>
              <w:jc w:val="center"/>
              <w:rPr>
                <w:rFonts w:ascii="宋体" w:hAnsi="宋体"/>
                <w:sz w:val="24"/>
                <w:highlight w:val="none"/>
              </w:rPr>
            </w:pPr>
            <w:r>
              <w:rPr>
                <w:rFonts w:hint="eastAsia" w:ascii="宋体" w:hAnsi="宋体"/>
                <w:sz w:val="24"/>
                <w:highlight w:val="none"/>
              </w:rPr>
              <w:t>4</w:t>
            </w:r>
          </w:p>
        </w:tc>
        <w:tc>
          <w:tcPr>
            <w:tcW w:w="1080" w:type="dxa"/>
            <w:vAlign w:val="center"/>
          </w:tcPr>
          <w:p w14:paraId="7853EE73">
            <w:pPr>
              <w:rPr>
                <w:rFonts w:ascii="宋体" w:hAnsi="宋体"/>
                <w:sz w:val="24"/>
                <w:highlight w:val="none"/>
              </w:rPr>
            </w:pPr>
          </w:p>
        </w:tc>
        <w:tc>
          <w:tcPr>
            <w:tcW w:w="3060" w:type="dxa"/>
            <w:vAlign w:val="center"/>
          </w:tcPr>
          <w:p w14:paraId="16914F17">
            <w:pPr>
              <w:rPr>
                <w:rFonts w:ascii="宋体" w:hAnsi="宋体"/>
                <w:sz w:val="24"/>
                <w:highlight w:val="none"/>
              </w:rPr>
            </w:pPr>
          </w:p>
        </w:tc>
        <w:tc>
          <w:tcPr>
            <w:tcW w:w="3554" w:type="dxa"/>
            <w:vAlign w:val="center"/>
          </w:tcPr>
          <w:p w14:paraId="72D0C65C">
            <w:pPr>
              <w:rPr>
                <w:rFonts w:ascii="宋体" w:hAnsi="宋体"/>
                <w:sz w:val="24"/>
                <w:highlight w:val="none"/>
              </w:rPr>
            </w:pPr>
          </w:p>
        </w:tc>
      </w:tr>
      <w:tr w14:paraId="7D048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769FE12">
            <w:pPr>
              <w:jc w:val="center"/>
              <w:rPr>
                <w:rFonts w:ascii="宋体" w:hAnsi="宋体"/>
                <w:sz w:val="24"/>
                <w:highlight w:val="none"/>
              </w:rPr>
            </w:pPr>
            <w:r>
              <w:rPr>
                <w:rFonts w:hint="eastAsia" w:ascii="宋体" w:hAnsi="宋体"/>
                <w:sz w:val="24"/>
                <w:highlight w:val="none"/>
              </w:rPr>
              <w:t>5</w:t>
            </w:r>
          </w:p>
        </w:tc>
        <w:tc>
          <w:tcPr>
            <w:tcW w:w="1080" w:type="dxa"/>
            <w:vAlign w:val="center"/>
          </w:tcPr>
          <w:p w14:paraId="6ABCAFC3">
            <w:pPr>
              <w:rPr>
                <w:rFonts w:ascii="宋体" w:hAnsi="宋体"/>
                <w:sz w:val="24"/>
                <w:highlight w:val="none"/>
              </w:rPr>
            </w:pPr>
          </w:p>
        </w:tc>
        <w:tc>
          <w:tcPr>
            <w:tcW w:w="3060" w:type="dxa"/>
            <w:vAlign w:val="center"/>
          </w:tcPr>
          <w:p w14:paraId="5DCD7F38">
            <w:pPr>
              <w:rPr>
                <w:rFonts w:ascii="宋体" w:hAnsi="宋体"/>
                <w:sz w:val="24"/>
                <w:highlight w:val="none"/>
              </w:rPr>
            </w:pPr>
          </w:p>
        </w:tc>
        <w:tc>
          <w:tcPr>
            <w:tcW w:w="3554" w:type="dxa"/>
            <w:vAlign w:val="center"/>
          </w:tcPr>
          <w:p w14:paraId="520A1082">
            <w:pPr>
              <w:rPr>
                <w:rFonts w:ascii="宋体" w:hAnsi="宋体"/>
                <w:sz w:val="24"/>
                <w:highlight w:val="none"/>
              </w:rPr>
            </w:pPr>
          </w:p>
        </w:tc>
      </w:tr>
      <w:tr w14:paraId="3E2E5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D004C62">
            <w:pPr>
              <w:jc w:val="center"/>
              <w:rPr>
                <w:rFonts w:ascii="宋体" w:hAnsi="宋体"/>
                <w:sz w:val="24"/>
                <w:highlight w:val="none"/>
              </w:rPr>
            </w:pPr>
            <w:r>
              <w:rPr>
                <w:rFonts w:hint="eastAsia" w:ascii="宋体" w:hAnsi="宋体"/>
                <w:sz w:val="24"/>
                <w:highlight w:val="none"/>
              </w:rPr>
              <w:t>6</w:t>
            </w:r>
          </w:p>
        </w:tc>
        <w:tc>
          <w:tcPr>
            <w:tcW w:w="1080" w:type="dxa"/>
            <w:vAlign w:val="center"/>
          </w:tcPr>
          <w:p w14:paraId="6B332E89">
            <w:pPr>
              <w:rPr>
                <w:rFonts w:ascii="宋体" w:hAnsi="宋体"/>
                <w:sz w:val="24"/>
                <w:highlight w:val="none"/>
              </w:rPr>
            </w:pPr>
          </w:p>
        </w:tc>
        <w:tc>
          <w:tcPr>
            <w:tcW w:w="3060" w:type="dxa"/>
            <w:vAlign w:val="center"/>
          </w:tcPr>
          <w:p w14:paraId="418FBF1D">
            <w:pPr>
              <w:rPr>
                <w:rFonts w:ascii="宋体" w:hAnsi="宋体"/>
                <w:sz w:val="24"/>
                <w:highlight w:val="none"/>
              </w:rPr>
            </w:pPr>
          </w:p>
        </w:tc>
        <w:tc>
          <w:tcPr>
            <w:tcW w:w="3554" w:type="dxa"/>
            <w:vAlign w:val="center"/>
          </w:tcPr>
          <w:p w14:paraId="2304F937">
            <w:pPr>
              <w:rPr>
                <w:rFonts w:ascii="宋体" w:hAnsi="宋体"/>
                <w:sz w:val="24"/>
                <w:highlight w:val="none"/>
              </w:rPr>
            </w:pPr>
          </w:p>
        </w:tc>
      </w:tr>
      <w:tr w14:paraId="5FAF8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66B2999">
            <w:pPr>
              <w:jc w:val="center"/>
              <w:rPr>
                <w:rFonts w:ascii="宋体" w:hAnsi="宋体"/>
                <w:sz w:val="24"/>
                <w:highlight w:val="none"/>
              </w:rPr>
            </w:pPr>
            <w:r>
              <w:rPr>
                <w:rFonts w:hint="eastAsia" w:ascii="宋体" w:hAnsi="宋体"/>
                <w:sz w:val="24"/>
                <w:highlight w:val="none"/>
              </w:rPr>
              <w:t>7</w:t>
            </w:r>
          </w:p>
        </w:tc>
        <w:tc>
          <w:tcPr>
            <w:tcW w:w="1080" w:type="dxa"/>
            <w:vAlign w:val="center"/>
          </w:tcPr>
          <w:p w14:paraId="7FD7E443">
            <w:pPr>
              <w:rPr>
                <w:rFonts w:ascii="宋体" w:hAnsi="宋体"/>
                <w:sz w:val="24"/>
                <w:highlight w:val="none"/>
              </w:rPr>
            </w:pPr>
          </w:p>
        </w:tc>
        <w:tc>
          <w:tcPr>
            <w:tcW w:w="3060" w:type="dxa"/>
            <w:vAlign w:val="center"/>
          </w:tcPr>
          <w:p w14:paraId="565BE268">
            <w:pPr>
              <w:rPr>
                <w:rFonts w:ascii="宋体" w:hAnsi="宋体"/>
                <w:sz w:val="24"/>
                <w:highlight w:val="none"/>
              </w:rPr>
            </w:pPr>
          </w:p>
        </w:tc>
        <w:tc>
          <w:tcPr>
            <w:tcW w:w="3554" w:type="dxa"/>
            <w:vAlign w:val="center"/>
          </w:tcPr>
          <w:p w14:paraId="340F6D3B">
            <w:pPr>
              <w:rPr>
                <w:rFonts w:ascii="宋体" w:hAnsi="宋体"/>
                <w:sz w:val="24"/>
                <w:highlight w:val="none"/>
              </w:rPr>
            </w:pPr>
          </w:p>
        </w:tc>
      </w:tr>
      <w:tr w14:paraId="602B6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D221B71">
            <w:pPr>
              <w:jc w:val="center"/>
              <w:rPr>
                <w:rFonts w:ascii="宋体" w:hAnsi="宋体"/>
                <w:sz w:val="24"/>
                <w:highlight w:val="none"/>
              </w:rPr>
            </w:pPr>
            <w:r>
              <w:rPr>
                <w:rFonts w:hint="eastAsia" w:ascii="宋体" w:hAnsi="宋体"/>
                <w:sz w:val="24"/>
                <w:highlight w:val="none"/>
              </w:rPr>
              <w:t>8</w:t>
            </w:r>
          </w:p>
        </w:tc>
        <w:tc>
          <w:tcPr>
            <w:tcW w:w="1080" w:type="dxa"/>
            <w:vAlign w:val="center"/>
          </w:tcPr>
          <w:p w14:paraId="5F40A39E">
            <w:pPr>
              <w:rPr>
                <w:rFonts w:ascii="宋体" w:hAnsi="宋体"/>
                <w:sz w:val="24"/>
                <w:highlight w:val="none"/>
              </w:rPr>
            </w:pPr>
          </w:p>
        </w:tc>
        <w:tc>
          <w:tcPr>
            <w:tcW w:w="3060" w:type="dxa"/>
            <w:vAlign w:val="center"/>
          </w:tcPr>
          <w:p w14:paraId="1FA85F28">
            <w:pPr>
              <w:rPr>
                <w:rFonts w:ascii="宋体" w:hAnsi="宋体"/>
                <w:sz w:val="24"/>
                <w:highlight w:val="none"/>
              </w:rPr>
            </w:pPr>
          </w:p>
        </w:tc>
        <w:tc>
          <w:tcPr>
            <w:tcW w:w="3554" w:type="dxa"/>
            <w:vAlign w:val="center"/>
          </w:tcPr>
          <w:p w14:paraId="190E402F">
            <w:pPr>
              <w:rPr>
                <w:rFonts w:ascii="宋体" w:hAnsi="宋体"/>
                <w:sz w:val="24"/>
                <w:highlight w:val="none"/>
              </w:rPr>
            </w:pPr>
          </w:p>
        </w:tc>
      </w:tr>
      <w:tr w14:paraId="2547D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A8365C9">
            <w:pPr>
              <w:jc w:val="center"/>
              <w:rPr>
                <w:rFonts w:ascii="宋体" w:hAnsi="宋体"/>
                <w:sz w:val="24"/>
                <w:highlight w:val="none"/>
              </w:rPr>
            </w:pPr>
            <w:r>
              <w:rPr>
                <w:rFonts w:hint="eastAsia" w:ascii="宋体" w:hAnsi="宋体"/>
                <w:sz w:val="24"/>
                <w:highlight w:val="none"/>
              </w:rPr>
              <w:t>9</w:t>
            </w:r>
          </w:p>
        </w:tc>
        <w:tc>
          <w:tcPr>
            <w:tcW w:w="1080" w:type="dxa"/>
            <w:vAlign w:val="center"/>
          </w:tcPr>
          <w:p w14:paraId="179D3B1C">
            <w:pPr>
              <w:rPr>
                <w:rFonts w:ascii="宋体" w:hAnsi="宋体"/>
                <w:sz w:val="24"/>
                <w:highlight w:val="none"/>
              </w:rPr>
            </w:pPr>
          </w:p>
        </w:tc>
        <w:tc>
          <w:tcPr>
            <w:tcW w:w="3060" w:type="dxa"/>
            <w:vAlign w:val="center"/>
          </w:tcPr>
          <w:p w14:paraId="74BC9F3B">
            <w:pPr>
              <w:rPr>
                <w:rFonts w:ascii="宋体" w:hAnsi="宋体"/>
                <w:sz w:val="24"/>
                <w:highlight w:val="none"/>
              </w:rPr>
            </w:pPr>
          </w:p>
        </w:tc>
        <w:tc>
          <w:tcPr>
            <w:tcW w:w="3554" w:type="dxa"/>
            <w:vAlign w:val="center"/>
          </w:tcPr>
          <w:p w14:paraId="6F74E332">
            <w:pPr>
              <w:rPr>
                <w:rFonts w:ascii="宋体" w:hAnsi="宋体"/>
                <w:sz w:val="24"/>
                <w:highlight w:val="none"/>
              </w:rPr>
            </w:pPr>
          </w:p>
        </w:tc>
      </w:tr>
      <w:tr w14:paraId="2F47B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359F04F">
            <w:pPr>
              <w:jc w:val="center"/>
              <w:rPr>
                <w:rFonts w:ascii="宋体" w:hAnsi="宋体"/>
                <w:sz w:val="24"/>
                <w:highlight w:val="none"/>
              </w:rPr>
            </w:pPr>
            <w:r>
              <w:rPr>
                <w:rFonts w:hint="eastAsia" w:ascii="宋体" w:hAnsi="宋体"/>
                <w:sz w:val="24"/>
                <w:highlight w:val="none"/>
              </w:rPr>
              <w:t>10</w:t>
            </w:r>
          </w:p>
        </w:tc>
        <w:tc>
          <w:tcPr>
            <w:tcW w:w="1080" w:type="dxa"/>
            <w:vAlign w:val="center"/>
          </w:tcPr>
          <w:p w14:paraId="24F32732">
            <w:pPr>
              <w:rPr>
                <w:rFonts w:ascii="宋体" w:hAnsi="宋体"/>
                <w:sz w:val="24"/>
                <w:highlight w:val="none"/>
              </w:rPr>
            </w:pPr>
          </w:p>
        </w:tc>
        <w:tc>
          <w:tcPr>
            <w:tcW w:w="3060" w:type="dxa"/>
            <w:vAlign w:val="center"/>
          </w:tcPr>
          <w:p w14:paraId="060E52E3">
            <w:pPr>
              <w:rPr>
                <w:rFonts w:ascii="宋体" w:hAnsi="宋体"/>
                <w:sz w:val="24"/>
                <w:highlight w:val="none"/>
              </w:rPr>
            </w:pPr>
          </w:p>
        </w:tc>
        <w:tc>
          <w:tcPr>
            <w:tcW w:w="3554" w:type="dxa"/>
            <w:vAlign w:val="center"/>
          </w:tcPr>
          <w:p w14:paraId="19107004">
            <w:pPr>
              <w:rPr>
                <w:rFonts w:ascii="宋体" w:hAnsi="宋体"/>
                <w:sz w:val="24"/>
                <w:highlight w:val="none"/>
              </w:rPr>
            </w:pPr>
          </w:p>
        </w:tc>
      </w:tr>
    </w:tbl>
    <w:p w14:paraId="3DAC8300">
      <w:pPr>
        <w:rPr>
          <w:rFonts w:ascii="宋体" w:hAnsi="宋体"/>
          <w:sz w:val="24"/>
          <w:highlight w:val="none"/>
        </w:rPr>
      </w:pPr>
    </w:p>
    <w:p w14:paraId="5D1BEE85">
      <w:pP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14:paraId="4C78EAFA">
      <w:pPr>
        <w:rPr>
          <w:rFonts w:ascii="宋体" w:hAnsi="宋体"/>
          <w:sz w:val="24"/>
          <w:highlight w:val="none"/>
        </w:rPr>
      </w:pPr>
    </w:p>
    <w:p w14:paraId="4ECA13BF">
      <w:pPr>
        <w:rPr>
          <w:rFonts w:ascii="宋体" w:hAnsi="宋体"/>
          <w:sz w:val="24"/>
          <w:highlight w:val="none"/>
        </w:rPr>
      </w:pPr>
    </w:p>
    <w:p w14:paraId="70A36722">
      <w:pPr>
        <w:pStyle w:val="76"/>
        <w:rPr>
          <w:rFonts w:hint="eastAsia" w:ascii="宋体" w:hAnsi="宋体"/>
          <w:sz w:val="24"/>
          <w:highlight w:val="none"/>
        </w:rPr>
      </w:pPr>
      <w:r>
        <w:rPr>
          <w:rFonts w:hint="eastAsia" w:ascii="宋体" w:hAnsi="宋体"/>
          <w:b/>
          <w:sz w:val="24"/>
          <w:highlight w:val="none"/>
        </w:rPr>
        <w:t>注：</w:t>
      </w:r>
      <w:r>
        <w:rPr>
          <w:rFonts w:hint="eastAsia" w:ascii="宋体" w:hAnsi="宋体"/>
          <w:sz w:val="24"/>
          <w:highlight w:val="none"/>
        </w:rPr>
        <w:t>为避免歧义，无偏离也应要提报该表，并注明“无”字。如无该表则即使在其它部分已反映，将也被视为“无偏离”。</w:t>
      </w:r>
    </w:p>
    <w:p w14:paraId="74EA8DBF">
      <w:pPr>
        <w:rPr>
          <w:rFonts w:hint="eastAsia" w:ascii="宋体" w:hAnsi="宋体"/>
          <w:sz w:val="24"/>
          <w:highlight w:val="none"/>
        </w:rPr>
      </w:pPr>
      <w:r>
        <w:rPr>
          <w:rFonts w:hint="eastAsia" w:ascii="宋体" w:hAnsi="宋体"/>
          <w:sz w:val="24"/>
          <w:highlight w:val="none"/>
        </w:rPr>
        <w:br w:type="page"/>
      </w:r>
    </w:p>
    <w:p w14:paraId="76F976B5">
      <w:pPr>
        <w:pStyle w:val="14"/>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77EF8FA0">
      <w:pPr>
        <w:pStyle w:val="14"/>
      </w:pPr>
    </w:p>
    <w:p w14:paraId="044A319D">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55BDB9B5">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77AEC0BE">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1EADE284">
      <w:pPr>
        <w:snapToGrid w:val="0"/>
        <w:spacing w:line="312" w:lineRule="auto"/>
      </w:pPr>
      <w:r>
        <w:drawing>
          <wp:inline distT="0" distB="0" distL="0" distR="0">
            <wp:extent cx="5760085" cy="2933065"/>
            <wp:effectExtent l="0" t="0" r="5715" b="63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12"/>
                    <a:stretch>
                      <a:fillRect/>
                    </a:stretch>
                  </pic:blipFill>
                  <pic:spPr>
                    <a:xfrm>
                      <a:off x="0" y="0"/>
                      <a:ext cx="5760085" cy="2933377"/>
                    </a:xfrm>
                    <a:prstGeom prst="rect">
                      <a:avLst/>
                    </a:prstGeom>
                  </pic:spPr>
                </pic:pic>
              </a:graphicData>
            </a:graphic>
          </wp:inline>
        </w:drawing>
      </w:r>
    </w:p>
    <w:p w14:paraId="2C0D2356">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6E5DA110">
      <w:pPr>
        <w:snapToGrid w:val="0"/>
        <w:spacing w:line="312" w:lineRule="auto"/>
      </w:pPr>
      <w:r>
        <w:drawing>
          <wp:inline distT="0" distB="0" distL="0" distR="0">
            <wp:extent cx="5760085" cy="2766695"/>
            <wp:effectExtent l="0" t="0" r="5715" b="1905"/>
            <wp:docPr id="18" name="picture" descr="descript"/>
            <wp:cNvGraphicFramePr/>
            <a:graphic xmlns:a="http://schemas.openxmlformats.org/drawingml/2006/main">
              <a:graphicData uri="http://schemas.openxmlformats.org/drawingml/2006/picture">
                <pic:pic xmlns:pic="http://schemas.openxmlformats.org/drawingml/2006/picture">
                  <pic:nvPicPr>
                    <pic:cNvPr id="18" name="picture" descr="descript"/>
                    <pic:cNvPicPr/>
                  </pic:nvPicPr>
                  <pic:blipFill>
                    <a:blip r:embed="rId13"/>
                    <a:stretch>
                      <a:fillRect/>
                    </a:stretch>
                  </pic:blipFill>
                  <pic:spPr>
                    <a:xfrm>
                      <a:off x="0" y="0"/>
                      <a:ext cx="5760085" cy="2766707"/>
                    </a:xfrm>
                    <a:prstGeom prst="rect">
                      <a:avLst/>
                    </a:prstGeom>
                  </pic:spPr>
                </pic:pic>
              </a:graphicData>
            </a:graphic>
          </wp:inline>
        </w:drawing>
      </w:r>
    </w:p>
    <w:p w14:paraId="2F04CD2F">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7D8C874">
      <w:pPr>
        <w:snapToGrid w:val="0"/>
        <w:spacing w:line="312" w:lineRule="auto"/>
      </w:pPr>
      <w:r>
        <w:drawing>
          <wp:inline distT="0" distB="0" distL="0" distR="0">
            <wp:extent cx="5760085" cy="28695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870054"/>
                    </a:xfrm>
                    <a:prstGeom prst="rect">
                      <a:avLst/>
                    </a:prstGeom>
                  </pic:spPr>
                </pic:pic>
              </a:graphicData>
            </a:graphic>
          </wp:inline>
        </w:drawing>
      </w:r>
    </w:p>
    <w:p w14:paraId="352FEE90">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7282E3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5"/>
                    <a:stretch>
                      <a:fillRect/>
                    </a:stretch>
                  </pic:blipFill>
                  <pic:spPr>
                    <a:xfrm>
                      <a:off x="0" y="0"/>
                      <a:ext cx="5760085" cy="2853375"/>
                    </a:xfrm>
                    <a:prstGeom prst="rect">
                      <a:avLst/>
                    </a:prstGeom>
                  </pic:spPr>
                </pic:pic>
              </a:graphicData>
            </a:graphic>
          </wp:inline>
        </w:drawing>
      </w:r>
    </w:p>
    <w:p w14:paraId="3BD048CD">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0782F9D5">
      <w:pPr>
        <w:pStyle w:val="14"/>
      </w:pPr>
    </w:p>
    <w:p w14:paraId="08C181F3">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6"/>
                    <a:stretch>
                      <a:fillRect/>
                    </a:stretch>
                  </pic:blipFill>
                  <pic:spPr>
                    <a:xfrm>
                      <a:off x="0" y="0"/>
                      <a:ext cx="5760085" cy="2810122"/>
                    </a:xfrm>
                    <a:prstGeom prst="rect">
                      <a:avLst/>
                    </a:prstGeom>
                  </pic:spPr>
                </pic:pic>
              </a:graphicData>
            </a:graphic>
          </wp:inline>
        </w:drawing>
      </w:r>
    </w:p>
    <w:p w14:paraId="7E55940E">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7"/>
                    <a:stretch>
                      <a:fillRect/>
                    </a:stretch>
                  </pic:blipFill>
                  <pic:spPr>
                    <a:xfrm>
                      <a:off x="0" y="0"/>
                      <a:ext cx="5760085" cy="2820042"/>
                    </a:xfrm>
                    <a:prstGeom prst="rect">
                      <a:avLst/>
                    </a:prstGeom>
                  </pic:spPr>
                </pic:pic>
              </a:graphicData>
            </a:graphic>
          </wp:inline>
        </w:drawing>
      </w:r>
    </w:p>
    <w:p w14:paraId="5A74E772">
      <w:pPr>
        <w:pStyle w:val="14"/>
      </w:pPr>
    </w:p>
    <w:p w14:paraId="4DD3959C">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07658A0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0A4EAB00">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工艺设备 / 工艺设备”，业务主管部门为“工艺研究院”。</w:t>
      </w:r>
      <w:r>
        <w:rPr>
          <w:rFonts w:hint="eastAsia" w:ascii="宋体" w:hAnsi="宋体" w:cs="宋体"/>
          <w:b/>
          <w:bCs/>
          <w:color w:val="000000"/>
          <w:sz w:val="24"/>
          <w:szCs w:val="24"/>
        </w:rPr>
        <w:br w:type="page"/>
      </w:r>
    </w:p>
    <w:p w14:paraId="7E70F4A8">
      <w:pPr>
        <w:pStyle w:val="14"/>
        <w:outlineLvl w:val="2"/>
        <w:rPr>
          <w:rFonts w:hAnsi="宋体"/>
          <w:b/>
          <w:color w:val="000000"/>
          <w:sz w:val="24"/>
          <w:szCs w:val="24"/>
        </w:rPr>
      </w:pPr>
      <w:r>
        <w:rPr>
          <w:rFonts w:hint="eastAsia" w:hAnsi="宋体"/>
          <w:b/>
          <w:color w:val="000000"/>
          <w:sz w:val="24"/>
          <w:szCs w:val="24"/>
        </w:rPr>
        <w:t>SRM系统供应商用户手册</w:t>
      </w:r>
    </w:p>
    <w:p w14:paraId="69763E52">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61F76C82">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20BCBBF6">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A397524">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DC8C2C6">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7C89849D">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3569AD0">
      <w:r>
        <w:drawing>
          <wp:inline distT="0" distB="0" distL="0" distR="0">
            <wp:extent cx="5760085" cy="2269490"/>
            <wp:effectExtent l="0" t="0" r="5715" b="3810"/>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8"/>
                    <a:stretch>
                      <a:fillRect/>
                    </a:stretch>
                  </pic:blipFill>
                  <pic:spPr>
                    <a:xfrm>
                      <a:off x="0" y="0"/>
                      <a:ext cx="5760085" cy="2269864"/>
                    </a:xfrm>
                    <a:prstGeom prst="rect">
                      <a:avLst/>
                    </a:prstGeom>
                  </pic:spPr>
                </pic:pic>
              </a:graphicData>
            </a:graphic>
          </wp:inline>
        </w:drawing>
      </w:r>
    </w:p>
    <w:p w14:paraId="41C7EC2A"/>
    <w:p w14:paraId="49E2BF6B">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72D5BA2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008356D2">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9"/>
                    <a:stretch>
                      <a:fillRect/>
                    </a:stretch>
                  </pic:blipFill>
                  <pic:spPr>
                    <a:xfrm>
                      <a:off x="0" y="0"/>
                      <a:ext cx="5760085" cy="2125673"/>
                    </a:xfrm>
                    <a:prstGeom prst="rect">
                      <a:avLst/>
                    </a:prstGeom>
                  </pic:spPr>
                </pic:pic>
              </a:graphicData>
            </a:graphic>
          </wp:inline>
        </w:drawing>
      </w:r>
    </w:p>
    <w:p w14:paraId="42EFF512">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5A0821C6">
      <w:pPr>
        <w:pStyle w:val="14"/>
      </w:pPr>
      <w:r>
        <w:rPr>
          <w:rFonts w:hint="eastAsia" w:hAnsi="宋体" w:cs="宋体"/>
          <w:color w:val="000000"/>
          <w:sz w:val="24"/>
          <w:szCs w:val="28"/>
          <w:highlight w:val="yellow"/>
        </w:rPr>
        <w:t>注意：系统内的投标报价单位为“万元”，如开标现场发现填错报价，即直接淘汰。</w:t>
      </w:r>
    </w:p>
    <w:p w14:paraId="6609346A">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0"/>
                    <a:stretch>
                      <a:fillRect/>
                    </a:stretch>
                  </pic:blipFill>
                  <pic:spPr>
                    <a:xfrm>
                      <a:off x="0" y="0"/>
                      <a:ext cx="5490210" cy="2669498"/>
                    </a:xfrm>
                    <a:prstGeom prst="rect">
                      <a:avLst/>
                    </a:prstGeom>
                  </pic:spPr>
                </pic:pic>
              </a:graphicData>
            </a:graphic>
          </wp:inline>
        </w:drawing>
      </w:r>
    </w:p>
    <w:p w14:paraId="0C1B5FAF">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39269B9">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49B561B9">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249193D1">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1"/>
                    <a:stretch>
                      <a:fillRect/>
                    </a:stretch>
                  </pic:blipFill>
                  <pic:spPr>
                    <a:xfrm>
                      <a:off x="0" y="0"/>
                      <a:ext cx="5490210" cy="1992743"/>
                    </a:xfrm>
                    <a:prstGeom prst="rect">
                      <a:avLst/>
                    </a:prstGeom>
                  </pic:spPr>
                </pic:pic>
              </a:graphicData>
            </a:graphic>
          </wp:inline>
        </w:drawing>
      </w:r>
    </w:p>
    <w:p w14:paraId="18549B8E">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15FCBC7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517E637D">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3F49CAE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58F38C8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4A75DEC6">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C63E36D">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2"/>
                    <a:stretch>
                      <a:fillRect/>
                    </a:stretch>
                  </pic:blipFill>
                  <pic:spPr>
                    <a:xfrm>
                      <a:off x="0" y="0"/>
                      <a:ext cx="5490210" cy="2544669"/>
                    </a:xfrm>
                    <a:prstGeom prst="rect">
                      <a:avLst/>
                    </a:prstGeom>
                  </pic:spPr>
                </pic:pic>
              </a:graphicData>
            </a:graphic>
          </wp:inline>
        </w:drawing>
      </w:r>
    </w:p>
    <w:p w14:paraId="313E4BBC">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23424008">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15FC1F2A">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587DD35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3"/>
                    <a:stretch>
                      <a:fillRect/>
                    </a:stretch>
                  </pic:blipFill>
                  <pic:spPr>
                    <a:xfrm>
                      <a:off x="0" y="0"/>
                      <a:ext cx="5760085" cy="1956600"/>
                    </a:xfrm>
                    <a:prstGeom prst="rect">
                      <a:avLst/>
                    </a:prstGeom>
                  </pic:spPr>
                </pic:pic>
              </a:graphicData>
            </a:graphic>
          </wp:inline>
        </w:drawing>
      </w:r>
    </w:p>
    <w:p w14:paraId="5F7BBF49">
      <w:pPr>
        <w:pStyle w:val="76"/>
        <w:rPr>
          <w:rFonts w:hint="default" w:ascii="宋体" w:hAnsi="宋体"/>
          <w:sz w:val="24"/>
          <w:highlight w:val="none"/>
          <w:lang w:val="en-US"/>
        </w:rPr>
      </w:pPr>
    </w:p>
    <w:p w14:paraId="5B39D1A8">
      <w:pPr>
        <w:pStyle w:val="76"/>
        <w:rPr>
          <w:rFonts w:hint="default" w:hAnsi="宋体"/>
          <w:sz w:val="24"/>
          <w:lang w:val="en-US"/>
        </w:rPr>
      </w:pPr>
    </w:p>
    <w:p w14:paraId="00746907">
      <w:pPr>
        <w:pStyle w:val="76"/>
        <w:rPr>
          <w:rFonts w:hint="default" w:hAnsi="宋体"/>
          <w:sz w:val="24"/>
          <w:lang w:val="en-US"/>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551653C"/>
    <w:multiLevelType w:val="singleLevel"/>
    <w:tmpl w:val="D551653C"/>
    <w:lvl w:ilvl="0" w:tentative="0">
      <w:start w:val="1"/>
      <w:numFmt w:val="decimal"/>
      <w:lvlText w:val="(%1)"/>
      <w:lvlJc w:val="left"/>
      <w:pPr>
        <w:ind w:left="425" w:hanging="425"/>
      </w:pPr>
      <w:rPr>
        <w:rFonts w:hint="default"/>
      </w:rPr>
    </w:lvl>
  </w:abstractNum>
  <w:abstractNum w:abstractNumId="10">
    <w:nsid w:val="D9A4530E"/>
    <w:multiLevelType w:val="singleLevel"/>
    <w:tmpl w:val="D9A4530E"/>
    <w:lvl w:ilvl="0" w:tentative="0">
      <w:start w:val="1"/>
      <w:numFmt w:val="decimal"/>
      <w:lvlText w:val="(%1)"/>
      <w:lvlJc w:val="left"/>
      <w:pPr>
        <w:ind w:left="425" w:hanging="425"/>
      </w:pPr>
      <w:rPr>
        <w:rFonts w:hint="default"/>
      </w:rPr>
    </w:lvl>
  </w:abstractNum>
  <w:abstractNum w:abstractNumId="11">
    <w:nsid w:val="DC3F8C8B"/>
    <w:multiLevelType w:val="singleLevel"/>
    <w:tmpl w:val="DC3F8C8B"/>
    <w:lvl w:ilvl="0" w:tentative="0">
      <w:start w:val="1"/>
      <w:numFmt w:val="decimal"/>
      <w:lvlText w:val="%1."/>
      <w:lvlJc w:val="left"/>
      <w:pPr>
        <w:ind w:left="425" w:hanging="425"/>
      </w:pPr>
      <w:rPr>
        <w:rFonts w:hint="default"/>
      </w:rPr>
    </w:lvl>
  </w:abstractNum>
  <w:abstractNum w:abstractNumId="12">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3">
    <w:nsid w:val="03BE6C3E"/>
    <w:multiLevelType w:val="singleLevel"/>
    <w:tmpl w:val="03BE6C3E"/>
    <w:lvl w:ilvl="0" w:tentative="0">
      <w:start w:val="1"/>
      <w:numFmt w:val="decimal"/>
      <w:suff w:val="nothing"/>
      <w:lvlText w:val="(%1)"/>
      <w:lvlJc w:val="left"/>
      <w:pPr>
        <w:ind w:left="425" w:hanging="425"/>
      </w:pPr>
      <w:rPr>
        <w:rFonts w:hint="default"/>
        <w:color w:val="auto"/>
        <w:highlight w:val="none"/>
      </w:rPr>
    </w:lvl>
  </w:abstractNum>
  <w:abstractNum w:abstractNumId="14">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5">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6">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7">
    <w:nsid w:val="1A494D57"/>
    <w:multiLevelType w:val="singleLevel"/>
    <w:tmpl w:val="1A494D57"/>
    <w:lvl w:ilvl="0" w:tentative="0">
      <w:start w:val="1"/>
      <w:numFmt w:val="decimal"/>
      <w:suff w:val="nothing"/>
      <w:lvlText w:val="%1、"/>
      <w:lvlJc w:val="left"/>
    </w:lvl>
  </w:abstractNum>
  <w:abstractNum w:abstractNumId="18">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9">
    <w:nsid w:val="2D9641B8"/>
    <w:multiLevelType w:val="singleLevel"/>
    <w:tmpl w:val="2D9641B8"/>
    <w:lvl w:ilvl="0" w:tentative="0">
      <w:start w:val="1"/>
      <w:numFmt w:val="decimal"/>
      <w:suff w:val="nothing"/>
      <w:lvlText w:val="(%1)"/>
      <w:lvlJc w:val="left"/>
      <w:pPr>
        <w:ind w:left="425" w:hanging="425"/>
      </w:pPr>
      <w:rPr>
        <w:rFonts w:hint="default"/>
      </w:rPr>
    </w:lvl>
  </w:abstractNum>
  <w:abstractNum w:abstractNumId="20">
    <w:nsid w:val="3CF6EF77"/>
    <w:multiLevelType w:val="singleLevel"/>
    <w:tmpl w:val="3CF6EF77"/>
    <w:lvl w:ilvl="0" w:tentative="0">
      <w:start w:val="1"/>
      <w:numFmt w:val="decimal"/>
      <w:lvlText w:val="%1."/>
      <w:lvlJc w:val="left"/>
      <w:pPr>
        <w:ind w:left="425" w:hanging="425"/>
      </w:pPr>
      <w:rPr>
        <w:rFonts w:hint="default"/>
      </w:rPr>
    </w:lvl>
  </w:abstractNum>
  <w:abstractNum w:abstractNumId="21">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2">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3">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5">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6">
    <w:nsid w:val="5983D379"/>
    <w:multiLevelType w:val="singleLevel"/>
    <w:tmpl w:val="5983D379"/>
    <w:lvl w:ilvl="0" w:tentative="0">
      <w:start w:val="1"/>
      <w:numFmt w:val="decimal"/>
      <w:lvlText w:val="(%1)"/>
      <w:lvlJc w:val="left"/>
      <w:pPr>
        <w:ind w:left="425" w:hanging="425"/>
      </w:pPr>
      <w:rPr>
        <w:rFonts w:hint="default"/>
      </w:rPr>
    </w:lvl>
  </w:abstractNum>
  <w:abstractNum w:abstractNumId="27">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8">
    <w:nsid w:val="68B4AE9D"/>
    <w:multiLevelType w:val="singleLevel"/>
    <w:tmpl w:val="68B4AE9D"/>
    <w:lvl w:ilvl="0" w:tentative="0">
      <w:start w:val="2"/>
      <w:numFmt w:val="decimal"/>
      <w:suff w:val="nothing"/>
      <w:lvlText w:val="（%1）"/>
      <w:lvlJc w:val="left"/>
    </w:lvl>
  </w:abstractNum>
  <w:abstractNum w:abstractNumId="29">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2"/>
  </w:num>
  <w:num w:numId="2">
    <w:abstractNumId w:val="27"/>
  </w:num>
  <w:num w:numId="3">
    <w:abstractNumId w:val="25"/>
  </w:num>
  <w:num w:numId="4">
    <w:abstractNumId w:val="23"/>
  </w:num>
  <w:num w:numId="5">
    <w:abstractNumId w:val="14"/>
  </w:num>
  <w:num w:numId="6">
    <w:abstractNumId w:val="16"/>
  </w:num>
  <w:num w:numId="7">
    <w:abstractNumId w:val="18"/>
  </w:num>
  <w:num w:numId="8">
    <w:abstractNumId w:val="24"/>
  </w:num>
  <w:num w:numId="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5"/>
  </w:num>
  <w:num w:numId="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5"/>
  </w:num>
  <w:num w:numId="15">
    <w:abstractNumId w:val="0"/>
  </w:num>
  <w:num w:numId="16">
    <w:abstractNumId w:val="3"/>
  </w:num>
  <w:num w:numId="17">
    <w:abstractNumId w:val="26"/>
  </w:num>
  <w:num w:numId="18">
    <w:abstractNumId w:val="29"/>
  </w:num>
  <w:num w:numId="19">
    <w:abstractNumId w:val="10"/>
  </w:num>
  <w:num w:numId="20">
    <w:abstractNumId w:val="8"/>
  </w:num>
  <w:num w:numId="21">
    <w:abstractNumId w:val="4"/>
  </w:num>
  <w:num w:numId="22">
    <w:abstractNumId w:val="1"/>
  </w:num>
  <w:num w:numId="23">
    <w:abstractNumId w:val="6"/>
  </w:num>
  <w:num w:numId="24">
    <w:abstractNumId w:val="12"/>
  </w:num>
  <w:num w:numId="25">
    <w:abstractNumId w:val="11"/>
  </w:num>
  <w:num w:numId="26">
    <w:abstractNumId w:val="21"/>
  </w:num>
  <w:num w:numId="27">
    <w:abstractNumId w:val="20"/>
  </w:num>
  <w:num w:numId="28">
    <w:abstractNumId w:val="9"/>
  </w:num>
  <w:num w:numId="29">
    <w:abstractNumId w:val="17"/>
  </w:num>
  <w:num w:numId="30">
    <w:abstractNumId w:val="28"/>
  </w:num>
  <w:num w:numId="31">
    <w:abstractNumId w:val="19"/>
  </w:num>
  <w:num w:numId="32">
    <w:abstractNumId w:val="13"/>
  </w:num>
  <w:num w:numId="3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6BD64B1"/>
    <w:rsid w:val="08633479"/>
    <w:rsid w:val="0C0E2F4B"/>
    <w:rsid w:val="0CB51572"/>
    <w:rsid w:val="0E3D4337"/>
    <w:rsid w:val="0E4D31E3"/>
    <w:rsid w:val="10DC2AA3"/>
    <w:rsid w:val="10FA7C8C"/>
    <w:rsid w:val="130B198F"/>
    <w:rsid w:val="16A918E4"/>
    <w:rsid w:val="17D966D6"/>
    <w:rsid w:val="1BC71D3B"/>
    <w:rsid w:val="1C59115B"/>
    <w:rsid w:val="1FB23E60"/>
    <w:rsid w:val="22C5630B"/>
    <w:rsid w:val="23EC0BA6"/>
    <w:rsid w:val="24701A48"/>
    <w:rsid w:val="268B0052"/>
    <w:rsid w:val="27743C90"/>
    <w:rsid w:val="29CA2459"/>
    <w:rsid w:val="2A4125A1"/>
    <w:rsid w:val="2B271A58"/>
    <w:rsid w:val="2B6304A7"/>
    <w:rsid w:val="2BD4504B"/>
    <w:rsid w:val="2CF6734C"/>
    <w:rsid w:val="2D663463"/>
    <w:rsid w:val="2EF96EE4"/>
    <w:rsid w:val="36254FE4"/>
    <w:rsid w:val="372F61E0"/>
    <w:rsid w:val="38942371"/>
    <w:rsid w:val="39322FCA"/>
    <w:rsid w:val="3AB90991"/>
    <w:rsid w:val="3B706131"/>
    <w:rsid w:val="3E6F041E"/>
    <w:rsid w:val="4275481E"/>
    <w:rsid w:val="428B617A"/>
    <w:rsid w:val="433D7BDC"/>
    <w:rsid w:val="437E1813"/>
    <w:rsid w:val="45BD47FC"/>
    <w:rsid w:val="45CC5FB2"/>
    <w:rsid w:val="46B75BA8"/>
    <w:rsid w:val="48C97955"/>
    <w:rsid w:val="49880C8F"/>
    <w:rsid w:val="49FA5194"/>
    <w:rsid w:val="4A8835F7"/>
    <w:rsid w:val="4B592E71"/>
    <w:rsid w:val="51181DC1"/>
    <w:rsid w:val="51D50FD0"/>
    <w:rsid w:val="52274B10"/>
    <w:rsid w:val="52B9239A"/>
    <w:rsid w:val="54BD78FD"/>
    <w:rsid w:val="58A86DDE"/>
    <w:rsid w:val="59154AD7"/>
    <w:rsid w:val="5ADF548D"/>
    <w:rsid w:val="5D5C60B4"/>
    <w:rsid w:val="63F04A69"/>
    <w:rsid w:val="64654A97"/>
    <w:rsid w:val="66A50B1E"/>
    <w:rsid w:val="67B2063C"/>
    <w:rsid w:val="67C97AC3"/>
    <w:rsid w:val="67E30EC1"/>
    <w:rsid w:val="6A4E3B2B"/>
    <w:rsid w:val="6B481C3B"/>
    <w:rsid w:val="6C1331A3"/>
    <w:rsid w:val="6CA84BC1"/>
    <w:rsid w:val="6D3E4756"/>
    <w:rsid w:val="6FC523EB"/>
    <w:rsid w:val="72895F2E"/>
    <w:rsid w:val="72C02EBE"/>
    <w:rsid w:val="72C507AD"/>
    <w:rsid w:val="72D028D8"/>
    <w:rsid w:val="7353149E"/>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WPSOffice手动目录 1"/>
    <w:qFormat/>
    <w:uiPriority w:val="0"/>
    <w:rPr>
      <w:rFonts w:ascii="Times New Roman" w:hAnsi="Times New Roman" w:eastAsia="宋体" w:cs="Times New Roman"/>
      <w:lang w:val="en-US" w:eastAsia="zh-CN" w:bidi="ar-SA"/>
    </w:rPr>
  </w:style>
  <w:style w:type="paragraph" w:customStyle="1" w:styleId="112">
    <w:name w:val="WPSOffice手动目录 2"/>
    <w:qFormat/>
    <w:uiPriority w:val="0"/>
    <w:pPr>
      <w:ind w:leftChars="200"/>
    </w:pPr>
    <w:rPr>
      <w:rFonts w:ascii="Times New Roman" w:hAnsi="Times New Roman" w:eastAsia="宋体" w:cs="Times New Roman"/>
      <w:lang w:val="en-US" w:eastAsia="zh-CN" w:bidi="ar-SA"/>
    </w:rPr>
  </w:style>
  <w:style w:type="paragraph" w:customStyle="1" w:styleId="113">
    <w:name w:val="标书一级标题"/>
    <w:basedOn w:val="2"/>
    <w:qFormat/>
    <w:uiPriority w:val="0"/>
    <w:pPr>
      <w:spacing w:before="0" w:after="0" w:line="240" w:lineRule="auto"/>
      <w:jc w:val="center"/>
    </w:pPr>
    <w:rPr>
      <w:rFonts w:eastAsia="黑体"/>
      <w:b w:val="0"/>
      <w:color w:val="000000"/>
      <w:sz w:val="30"/>
      <w:szCs w:val="24"/>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customXml" Target="../customXml/item1.xml"/><Relationship Id="rId24" Type="http://schemas.openxmlformats.org/officeDocument/2006/relationships/numbering" Target="numbering.xml"/><Relationship Id="rId23" Type="http://schemas.openxmlformats.org/officeDocument/2006/relationships/image" Target="media/image14.png"/><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44</Pages>
  <Words>21278</Words>
  <Characters>22844</Characters>
  <Lines>127</Lines>
  <Paragraphs>35</Paragraphs>
  <TotalTime>2</TotalTime>
  <ScaleCrop>false</ScaleCrop>
  <LinksUpToDate>false</LinksUpToDate>
  <CharactersWithSpaces>24095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2025-12-15T06:47:44Z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C4E667CF26604F52AD561790FE42A8A8_13</vt:lpwstr>
  </property>
  <property fmtid="{D5CDD505-2E9C-101B-9397-08002B2CF9AE}" pid="4" name="KSOTemplateDocerSaveRecord">
    <vt:lpwstr>eyJoZGlkIjoiNGVmYjYwMTVkYTcwNzlmYzkyYzZmMzIwZTI3ZGZlNjgiLCJ1c2VySWQiOiIxMDYzNzE1ODkzIn0=</vt:lpwstr>
  </property>
</Properties>
</file>