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8BDB73B">
      <w:pPr>
        <w:tabs>
          <w:tab w:val="left" w:pos="360"/>
        </w:tabs>
        <w:spacing w:line="360" w:lineRule="auto"/>
        <w:ind w:firstLine="480" w:firstLineChars="200"/>
        <w:rPr>
          <w:sz w:val="24"/>
        </w:rPr>
      </w:pPr>
    </w:p>
    <w:p w14:paraId="0C512744">
      <w:pPr>
        <w:pStyle w:val="41"/>
        <w:jc w:val="center"/>
        <w:rPr>
          <w:rStyle w:val="39"/>
          <w:rFonts w:hint="eastAsia" w:ascii="宋体" w:hAnsi="宋体" w:cs="仿宋"/>
          <w:b/>
          <w:bCs/>
          <w:sz w:val="48"/>
          <w:szCs w:val="48"/>
        </w:rPr>
      </w:pPr>
    </w:p>
    <w:p w14:paraId="4AB4A0BE">
      <w:pPr>
        <w:pStyle w:val="41"/>
        <w:jc w:val="center"/>
        <w:rPr>
          <w:rStyle w:val="39"/>
          <w:rFonts w:hint="eastAsia" w:ascii="宋体" w:hAnsi="宋体" w:cs="仿宋"/>
          <w:b/>
          <w:bCs/>
          <w:sz w:val="48"/>
          <w:szCs w:val="48"/>
        </w:rPr>
      </w:pPr>
    </w:p>
    <w:p w14:paraId="1E5A2DE9">
      <w:pPr>
        <w:pStyle w:val="41"/>
        <w:jc w:val="center"/>
        <w:rPr>
          <w:rStyle w:val="39"/>
          <w:rFonts w:hint="eastAsia" w:ascii="宋体" w:hAnsi="宋体" w:cs="仿宋"/>
          <w:b/>
          <w:bCs/>
          <w:sz w:val="40"/>
          <w:szCs w:val="40"/>
        </w:rPr>
      </w:pPr>
      <w:r>
        <w:rPr>
          <w:rStyle w:val="39"/>
          <w:rFonts w:hint="eastAsia" w:ascii="宋体" w:hAnsi="宋体" w:cs="仿宋"/>
          <w:b/>
          <w:bCs/>
          <w:sz w:val="40"/>
          <w:szCs w:val="40"/>
        </w:rPr>
        <w:t>济南卡车制造公司</w:t>
      </w:r>
    </w:p>
    <w:p w14:paraId="154727E3">
      <w:pPr>
        <w:pStyle w:val="41"/>
        <w:jc w:val="center"/>
        <w:rPr>
          <w:rStyle w:val="39"/>
          <w:rFonts w:hint="eastAsia" w:ascii="宋体" w:hAnsi="宋体" w:cs="仿宋"/>
          <w:b/>
          <w:bCs/>
          <w:sz w:val="40"/>
          <w:szCs w:val="40"/>
        </w:rPr>
      </w:pPr>
      <w:r>
        <w:rPr>
          <w:rStyle w:val="39"/>
          <w:rFonts w:hint="eastAsia" w:ascii="宋体" w:hAnsi="宋体" w:cs="仿宋"/>
          <w:b/>
          <w:bCs/>
          <w:sz w:val="40"/>
          <w:szCs w:val="40"/>
        </w:rPr>
        <w:t>莱芜厂区新建大棚及地面硬化技改项目工程施工、</w:t>
      </w:r>
    </w:p>
    <w:p w14:paraId="0CB60BB4">
      <w:pPr>
        <w:pStyle w:val="41"/>
        <w:jc w:val="center"/>
        <w:rPr>
          <w:rStyle w:val="39"/>
          <w:rFonts w:hint="eastAsia" w:ascii="宋体" w:hAnsi="宋体" w:cs="仿宋"/>
          <w:b/>
          <w:bCs/>
          <w:sz w:val="40"/>
          <w:szCs w:val="40"/>
        </w:rPr>
      </w:pPr>
      <w:r>
        <w:rPr>
          <w:rStyle w:val="39"/>
          <w:rFonts w:hint="eastAsia" w:ascii="宋体" w:hAnsi="宋体" w:cs="仿宋"/>
          <w:b/>
          <w:bCs/>
          <w:sz w:val="40"/>
          <w:szCs w:val="40"/>
        </w:rPr>
        <w:t>辊压线废料再利用技改项目工程施工</w:t>
      </w:r>
    </w:p>
    <w:p w14:paraId="14D4046E">
      <w:pPr>
        <w:pStyle w:val="41"/>
        <w:rPr>
          <w:rStyle w:val="39"/>
          <w:rFonts w:hint="eastAsia" w:ascii="宋体" w:hAnsi="宋体"/>
          <w:b/>
          <w:sz w:val="18"/>
          <w:szCs w:val="18"/>
        </w:rPr>
      </w:pPr>
    </w:p>
    <w:p w14:paraId="1BBE5F16">
      <w:pPr>
        <w:pStyle w:val="41"/>
        <w:rPr>
          <w:rStyle w:val="39"/>
          <w:rFonts w:hint="eastAsia" w:ascii="宋体" w:hAnsi="宋体"/>
          <w:b/>
          <w:sz w:val="18"/>
          <w:szCs w:val="18"/>
        </w:rPr>
      </w:pPr>
    </w:p>
    <w:p w14:paraId="1ED9392E">
      <w:pPr>
        <w:pStyle w:val="41"/>
        <w:rPr>
          <w:rStyle w:val="39"/>
          <w:rFonts w:hint="eastAsia" w:ascii="宋体" w:hAnsi="宋体"/>
          <w:b/>
          <w:sz w:val="18"/>
          <w:szCs w:val="18"/>
        </w:rPr>
      </w:pPr>
    </w:p>
    <w:p w14:paraId="5835649C">
      <w:pPr>
        <w:pStyle w:val="41"/>
        <w:jc w:val="center"/>
        <w:rPr>
          <w:rStyle w:val="39"/>
          <w:rFonts w:hint="eastAsia" w:ascii="宋体" w:hAnsi="宋体"/>
          <w:b/>
          <w:sz w:val="84"/>
          <w:szCs w:val="84"/>
        </w:rPr>
      </w:pPr>
      <w:r>
        <w:rPr>
          <w:rStyle w:val="39"/>
          <w:rFonts w:ascii="宋体" w:hAnsi="宋体"/>
          <w:b/>
          <w:sz w:val="84"/>
          <w:szCs w:val="84"/>
        </w:rPr>
        <w:t>招 标 文 件</w:t>
      </w:r>
    </w:p>
    <w:p w14:paraId="03BA3134">
      <w:pPr>
        <w:pStyle w:val="41"/>
        <w:jc w:val="center"/>
        <w:rPr>
          <w:rStyle w:val="39"/>
          <w:rFonts w:hint="eastAsia" w:ascii="宋体" w:hAnsi="宋体"/>
          <w:b/>
          <w:sz w:val="32"/>
          <w:szCs w:val="32"/>
        </w:rPr>
      </w:pPr>
    </w:p>
    <w:p w14:paraId="0E768EC8">
      <w:pPr>
        <w:snapToGrid w:val="0"/>
        <w:spacing w:line="300" w:lineRule="auto"/>
        <w:jc w:val="center"/>
        <w:rPr>
          <w:rStyle w:val="39"/>
          <w:rFonts w:hint="eastAsia" w:ascii="宋体" w:hAnsi="宋体"/>
          <w:b/>
          <w:bCs/>
          <w:sz w:val="24"/>
          <w:szCs w:val="32"/>
          <w:highlight w:val="none"/>
        </w:rPr>
      </w:pPr>
      <w:r>
        <w:rPr>
          <w:rStyle w:val="39"/>
          <w:rFonts w:ascii="宋体" w:hAnsi="宋体"/>
          <w:b/>
          <w:bCs/>
          <w:sz w:val="24"/>
          <w:szCs w:val="32"/>
          <w:highlight w:val="none"/>
        </w:rPr>
        <w:t>招标编号:</w:t>
      </w:r>
      <w:r>
        <w:rPr>
          <w:rStyle w:val="39"/>
          <w:rFonts w:hint="eastAsia" w:ascii="宋体" w:hAnsi="宋体"/>
          <w:b/>
          <w:bCs/>
          <w:sz w:val="24"/>
          <w:szCs w:val="32"/>
          <w:highlight w:val="none"/>
        </w:rPr>
        <w:t xml:space="preserve"> FSCZB2025120165</w:t>
      </w:r>
    </w:p>
    <w:p w14:paraId="758A8673">
      <w:pPr>
        <w:snapToGrid w:val="0"/>
        <w:spacing w:line="300" w:lineRule="auto"/>
        <w:ind w:firstLine="1355" w:firstLineChars="450"/>
        <w:rPr>
          <w:rStyle w:val="39"/>
          <w:rFonts w:hint="eastAsia" w:ascii="宋体" w:hAnsi="宋体"/>
          <w:b/>
          <w:sz w:val="30"/>
        </w:rPr>
      </w:pPr>
    </w:p>
    <w:p w14:paraId="7B2A9C1F">
      <w:pPr>
        <w:snapToGrid w:val="0"/>
        <w:spacing w:line="300" w:lineRule="auto"/>
        <w:ind w:firstLine="1355" w:firstLineChars="450"/>
        <w:rPr>
          <w:rStyle w:val="39"/>
          <w:rFonts w:hint="eastAsia" w:ascii="宋体" w:hAnsi="宋体"/>
          <w:b/>
          <w:sz w:val="30"/>
        </w:rPr>
      </w:pPr>
    </w:p>
    <w:p w14:paraId="2432970D">
      <w:pPr>
        <w:snapToGrid w:val="0"/>
        <w:spacing w:line="300" w:lineRule="auto"/>
        <w:ind w:firstLine="1355" w:firstLineChars="450"/>
        <w:rPr>
          <w:rStyle w:val="39"/>
          <w:rFonts w:hint="eastAsia" w:ascii="宋体" w:hAnsi="宋体"/>
          <w:b/>
          <w:sz w:val="30"/>
        </w:rPr>
      </w:pPr>
    </w:p>
    <w:p w14:paraId="61FC79A4">
      <w:pPr>
        <w:snapToGrid w:val="0"/>
        <w:spacing w:line="300" w:lineRule="auto"/>
        <w:ind w:firstLine="1355" w:firstLineChars="450"/>
        <w:rPr>
          <w:rStyle w:val="39"/>
          <w:rFonts w:hint="eastAsia" w:ascii="宋体" w:hAnsi="宋体"/>
          <w:b/>
          <w:sz w:val="30"/>
        </w:rPr>
      </w:pPr>
    </w:p>
    <w:p w14:paraId="5BBAE6B7">
      <w:pPr>
        <w:snapToGrid w:val="0"/>
        <w:spacing w:line="300" w:lineRule="auto"/>
        <w:ind w:firstLine="1355" w:firstLineChars="450"/>
        <w:rPr>
          <w:rStyle w:val="39"/>
          <w:rFonts w:hint="eastAsia" w:ascii="宋体" w:hAnsi="宋体"/>
          <w:b/>
          <w:sz w:val="30"/>
        </w:rPr>
      </w:pPr>
    </w:p>
    <w:p w14:paraId="1818ED58">
      <w:pPr>
        <w:pStyle w:val="13"/>
      </w:pPr>
    </w:p>
    <w:p w14:paraId="046FEF61">
      <w:pPr>
        <w:snapToGrid w:val="0"/>
        <w:spacing w:line="560" w:lineRule="exact"/>
        <w:rPr>
          <w:rStyle w:val="39"/>
          <w:rFonts w:hint="eastAsia" w:ascii="宋体" w:hAnsi="宋体"/>
          <w:b/>
          <w:sz w:val="30"/>
        </w:rPr>
      </w:pPr>
    </w:p>
    <w:p w14:paraId="6D4A3257">
      <w:pPr>
        <w:snapToGrid w:val="0"/>
        <w:spacing w:line="560" w:lineRule="exact"/>
        <w:jc w:val="center"/>
        <w:rPr>
          <w:rStyle w:val="39"/>
          <w:rFonts w:hint="eastAsia" w:ascii="宋体" w:hAnsi="宋体"/>
          <w:b/>
          <w:sz w:val="30"/>
        </w:rPr>
      </w:pPr>
      <w:r>
        <w:rPr>
          <w:rStyle w:val="39"/>
          <w:rFonts w:ascii="宋体" w:hAnsi="宋体"/>
          <w:b/>
          <w:sz w:val="30"/>
        </w:rPr>
        <w:t>招 标 人：</w:t>
      </w:r>
      <w:r>
        <w:rPr>
          <w:rStyle w:val="39"/>
          <w:rFonts w:hint="eastAsia" w:ascii="宋体" w:hAnsi="宋体"/>
          <w:b/>
          <w:sz w:val="30"/>
        </w:rPr>
        <w:t>中国重汽集团济南卡车股份有限公司</w:t>
      </w:r>
    </w:p>
    <w:p w14:paraId="4FF06D22">
      <w:pPr>
        <w:snapToGrid w:val="0"/>
        <w:spacing w:line="560" w:lineRule="exact"/>
        <w:jc w:val="center"/>
        <w:rPr>
          <w:rStyle w:val="39"/>
          <w:rFonts w:hint="eastAsia" w:ascii="宋体" w:hAnsi="宋体"/>
          <w:b/>
          <w:sz w:val="30"/>
        </w:rPr>
      </w:pPr>
      <w:r>
        <w:rPr>
          <w:rStyle w:val="39"/>
          <w:rFonts w:ascii="宋体" w:hAnsi="宋体"/>
          <w:b/>
          <w:sz w:val="30"/>
        </w:rPr>
        <w:t>编制日期：二〇</w:t>
      </w:r>
      <w:r>
        <w:rPr>
          <w:rStyle w:val="39"/>
          <w:rFonts w:hint="eastAsia" w:ascii="宋体" w:hAnsi="宋体"/>
          <w:b/>
          <w:sz w:val="30"/>
        </w:rPr>
        <w:t>二五</w:t>
      </w:r>
      <w:r>
        <w:rPr>
          <w:rStyle w:val="39"/>
          <w:rFonts w:ascii="宋体" w:hAnsi="宋体"/>
          <w:b/>
          <w:sz w:val="30"/>
        </w:rPr>
        <w:t>年</w:t>
      </w:r>
      <w:r>
        <w:rPr>
          <w:rStyle w:val="39"/>
          <w:rFonts w:hint="eastAsia" w:ascii="宋体" w:hAnsi="宋体"/>
          <w:b/>
          <w:sz w:val="30"/>
        </w:rPr>
        <w:t>十二</w:t>
      </w:r>
      <w:r>
        <w:rPr>
          <w:rStyle w:val="39"/>
          <w:rFonts w:ascii="宋体" w:hAnsi="宋体"/>
          <w:b/>
          <w:sz w:val="30"/>
        </w:rPr>
        <w:t>月</w:t>
      </w:r>
    </w:p>
    <w:p w14:paraId="14DAA666">
      <w:pPr>
        <w:snapToGrid w:val="0"/>
        <w:spacing w:line="360" w:lineRule="auto"/>
        <w:jc w:val="center"/>
        <w:rPr>
          <w:rStyle w:val="39"/>
          <w:rFonts w:hint="eastAsia" w:ascii="宋体" w:hAnsi="宋体"/>
          <w:b/>
          <w:sz w:val="32"/>
          <w:szCs w:val="44"/>
        </w:rPr>
      </w:pPr>
      <w:r>
        <w:rPr>
          <w:rStyle w:val="39"/>
          <w:rFonts w:ascii="宋体" w:hAnsi="宋体"/>
          <w:b/>
          <w:sz w:val="30"/>
        </w:rPr>
        <w:br w:type="page"/>
      </w:r>
      <w:r>
        <w:rPr>
          <w:rStyle w:val="39"/>
          <w:rFonts w:ascii="宋体" w:hAnsi="宋体"/>
          <w:b/>
          <w:sz w:val="32"/>
          <w:szCs w:val="44"/>
        </w:rPr>
        <w:t>目   录</w:t>
      </w:r>
    </w:p>
    <w:p w14:paraId="76A13473">
      <w:pPr>
        <w:pStyle w:val="19"/>
        <w:tabs>
          <w:tab w:val="right" w:leader="dot" w:pos="9900"/>
          <w:tab w:val="clear" w:pos="9629"/>
        </w:tabs>
      </w:pPr>
      <w:r>
        <w:rPr>
          <w:rStyle w:val="39"/>
          <w:sz w:val="20"/>
        </w:rPr>
        <w:fldChar w:fldCharType="begin"/>
      </w:r>
      <w:r>
        <w:rPr>
          <w:rStyle w:val="39"/>
          <w:rFonts w:asciiTheme="minorEastAsia" w:hAnsiTheme="minorEastAsia" w:eastAsiaTheme="minorEastAsia"/>
          <w:sz w:val="20"/>
          <w:szCs w:val="21"/>
        </w:rPr>
        <w:instrText xml:space="preserve"> TOC \o "1-3" \h \z \u </w:instrText>
      </w:r>
      <w:r>
        <w:rPr>
          <w:rStyle w:val="39"/>
          <w:sz w:val="20"/>
        </w:rPr>
        <w:fldChar w:fldCharType="separate"/>
      </w:r>
      <w:r>
        <w:fldChar w:fldCharType="begin"/>
      </w:r>
      <w:r>
        <w:instrText xml:space="preserve"> HYPERLINK \l "_Toc9598" </w:instrText>
      </w:r>
      <w:r>
        <w:fldChar w:fldCharType="separate"/>
      </w:r>
      <w:r>
        <w:rPr>
          <w:szCs w:val="48"/>
        </w:rPr>
        <w:t>第一卷</w:t>
      </w:r>
      <w:r>
        <w:tab/>
      </w:r>
      <w:r>
        <w:fldChar w:fldCharType="begin"/>
      </w:r>
      <w:r>
        <w:instrText xml:space="preserve"> PAGEREF _Toc9598 \h </w:instrText>
      </w:r>
      <w:r>
        <w:fldChar w:fldCharType="separate"/>
      </w:r>
      <w:r>
        <w:t>4</w:t>
      </w:r>
      <w:r>
        <w:fldChar w:fldCharType="end"/>
      </w:r>
      <w:r>
        <w:fldChar w:fldCharType="end"/>
      </w:r>
    </w:p>
    <w:p w14:paraId="4B384691">
      <w:pPr>
        <w:pStyle w:val="4"/>
        <w:tabs>
          <w:tab w:val="right" w:leader="dot" w:pos="9900"/>
          <w:tab w:val="clear" w:pos="9629"/>
        </w:tabs>
        <w:ind w:left="420"/>
      </w:pPr>
      <w:r>
        <w:fldChar w:fldCharType="begin"/>
      </w:r>
      <w:r>
        <w:instrText xml:space="preserve"> HYPERLINK \l "_Toc8051" </w:instrText>
      </w:r>
      <w:r>
        <w:fldChar w:fldCharType="separate"/>
      </w:r>
      <w:r>
        <w:rPr>
          <w:rFonts w:hint="eastAsia"/>
          <w:szCs w:val="32"/>
        </w:rPr>
        <w:t>第一章   招标公告</w:t>
      </w:r>
      <w:r>
        <w:tab/>
      </w:r>
      <w:r>
        <w:fldChar w:fldCharType="begin"/>
      </w:r>
      <w:r>
        <w:instrText xml:space="preserve"> PAGEREF _Toc8051 \h </w:instrText>
      </w:r>
      <w:r>
        <w:fldChar w:fldCharType="separate"/>
      </w:r>
      <w:r>
        <w:t>4</w:t>
      </w:r>
      <w:r>
        <w:fldChar w:fldCharType="end"/>
      </w:r>
      <w:r>
        <w:fldChar w:fldCharType="end"/>
      </w:r>
    </w:p>
    <w:p w14:paraId="623CCE34">
      <w:pPr>
        <w:pStyle w:val="4"/>
        <w:tabs>
          <w:tab w:val="right" w:leader="dot" w:pos="9900"/>
          <w:tab w:val="clear" w:pos="9629"/>
        </w:tabs>
        <w:ind w:left="420"/>
      </w:pPr>
      <w:r>
        <w:fldChar w:fldCharType="begin"/>
      </w:r>
      <w:r>
        <w:instrText xml:space="preserve"> HYPERLINK \l "_Toc12643" </w:instrText>
      </w:r>
      <w:r>
        <w:fldChar w:fldCharType="separate"/>
      </w:r>
      <w:r>
        <w:rPr>
          <w:rFonts w:hint="eastAsia"/>
          <w:szCs w:val="32"/>
        </w:rPr>
        <w:t xml:space="preserve">第二章  </w:t>
      </w:r>
      <w:r>
        <w:rPr>
          <w:szCs w:val="32"/>
        </w:rPr>
        <w:t>投标人须知</w:t>
      </w:r>
      <w:r>
        <w:tab/>
      </w:r>
      <w:r>
        <w:fldChar w:fldCharType="begin"/>
      </w:r>
      <w:r>
        <w:instrText xml:space="preserve"> PAGEREF _Toc12643 \h </w:instrText>
      </w:r>
      <w:r>
        <w:fldChar w:fldCharType="separate"/>
      </w:r>
      <w:r>
        <w:t>8</w:t>
      </w:r>
      <w:r>
        <w:fldChar w:fldCharType="end"/>
      </w:r>
      <w:r>
        <w:fldChar w:fldCharType="end"/>
      </w:r>
    </w:p>
    <w:p w14:paraId="04683C07">
      <w:pPr>
        <w:pStyle w:val="15"/>
        <w:tabs>
          <w:tab w:val="right" w:leader="dot" w:pos="9900"/>
        </w:tabs>
      </w:pPr>
      <w:r>
        <w:fldChar w:fldCharType="begin"/>
      </w:r>
      <w:r>
        <w:instrText xml:space="preserve"> HYPERLINK \l "_Toc17148" </w:instrText>
      </w:r>
      <w:r>
        <w:fldChar w:fldCharType="separate"/>
      </w:r>
      <w:r>
        <w:rPr>
          <w:szCs w:val="30"/>
        </w:rPr>
        <w:t>投标人须知前附表</w:t>
      </w:r>
      <w:r>
        <w:tab/>
      </w:r>
      <w:r>
        <w:fldChar w:fldCharType="begin"/>
      </w:r>
      <w:r>
        <w:instrText xml:space="preserve"> PAGEREF _Toc17148 \h </w:instrText>
      </w:r>
      <w:r>
        <w:fldChar w:fldCharType="separate"/>
      </w:r>
      <w:r>
        <w:t>8</w:t>
      </w:r>
      <w:r>
        <w:fldChar w:fldCharType="end"/>
      </w:r>
      <w:r>
        <w:fldChar w:fldCharType="end"/>
      </w:r>
    </w:p>
    <w:p w14:paraId="77E86662">
      <w:pPr>
        <w:pStyle w:val="15"/>
        <w:tabs>
          <w:tab w:val="right" w:leader="dot" w:pos="9900"/>
        </w:tabs>
      </w:pPr>
      <w:r>
        <w:fldChar w:fldCharType="begin"/>
      </w:r>
      <w:r>
        <w:instrText xml:space="preserve"> HYPERLINK \l "_Toc25548" </w:instrText>
      </w:r>
      <w:r>
        <w:fldChar w:fldCharType="separate"/>
      </w:r>
      <w:r>
        <w:rPr>
          <w:szCs w:val="30"/>
        </w:rPr>
        <w:t>1. 总则</w:t>
      </w:r>
      <w:r>
        <w:tab/>
      </w:r>
      <w:r>
        <w:fldChar w:fldCharType="begin"/>
      </w:r>
      <w:r>
        <w:instrText xml:space="preserve"> PAGEREF _Toc25548 \h </w:instrText>
      </w:r>
      <w:r>
        <w:fldChar w:fldCharType="separate"/>
      </w:r>
      <w:r>
        <w:t>16</w:t>
      </w:r>
      <w:r>
        <w:fldChar w:fldCharType="end"/>
      </w:r>
      <w:r>
        <w:fldChar w:fldCharType="end"/>
      </w:r>
    </w:p>
    <w:p w14:paraId="3957FC42">
      <w:pPr>
        <w:pStyle w:val="15"/>
        <w:tabs>
          <w:tab w:val="right" w:leader="dot" w:pos="9900"/>
        </w:tabs>
      </w:pPr>
      <w:r>
        <w:fldChar w:fldCharType="begin"/>
      </w:r>
      <w:r>
        <w:instrText xml:space="preserve"> HYPERLINK \l "_Toc24099" </w:instrText>
      </w:r>
      <w:r>
        <w:fldChar w:fldCharType="separate"/>
      </w:r>
      <w:r>
        <w:rPr>
          <w:szCs w:val="30"/>
        </w:rPr>
        <w:t>2. 招标文件</w:t>
      </w:r>
      <w:r>
        <w:tab/>
      </w:r>
      <w:r>
        <w:fldChar w:fldCharType="begin"/>
      </w:r>
      <w:r>
        <w:instrText xml:space="preserve"> PAGEREF _Toc24099 \h </w:instrText>
      </w:r>
      <w:r>
        <w:fldChar w:fldCharType="separate"/>
      </w:r>
      <w:r>
        <w:t>18</w:t>
      </w:r>
      <w:r>
        <w:fldChar w:fldCharType="end"/>
      </w:r>
      <w:r>
        <w:fldChar w:fldCharType="end"/>
      </w:r>
    </w:p>
    <w:p w14:paraId="0BD59FAD">
      <w:pPr>
        <w:pStyle w:val="15"/>
        <w:tabs>
          <w:tab w:val="right" w:leader="dot" w:pos="9900"/>
        </w:tabs>
      </w:pPr>
      <w:r>
        <w:fldChar w:fldCharType="begin"/>
      </w:r>
      <w:r>
        <w:instrText xml:space="preserve"> HYPERLINK \l "_Toc23324" </w:instrText>
      </w:r>
      <w:r>
        <w:fldChar w:fldCharType="separate"/>
      </w:r>
      <w:r>
        <w:rPr>
          <w:szCs w:val="30"/>
        </w:rPr>
        <w:t>3. 投标文件</w:t>
      </w:r>
      <w:r>
        <w:tab/>
      </w:r>
      <w:r>
        <w:fldChar w:fldCharType="begin"/>
      </w:r>
      <w:r>
        <w:instrText xml:space="preserve"> PAGEREF _Toc23324 \h </w:instrText>
      </w:r>
      <w:r>
        <w:fldChar w:fldCharType="separate"/>
      </w:r>
      <w:r>
        <w:t>19</w:t>
      </w:r>
      <w:r>
        <w:fldChar w:fldCharType="end"/>
      </w:r>
      <w:r>
        <w:fldChar w:fldCharType="end"/>
      </w:r>
    </w:p>
    <w:p w14:paraId="619FC2B8">
      <w:pPr>
        <w:pStyle w:val="15"/>
        <w:tabs>
          <w:tab w:val="right" w:leader="dot" w:pos="9900"/>
        </w:tabs>
      </w:pPr>
      <w:r>
        <w:fldChar w:fldCharType="begin"/>
      </w:r>
      <w:r>
        <w:instrText xml:space="preserve"> HYPERLINK \l "_Toc32292" </w:instrText>
      </w:r>
      <w:r>
        <w:fldChar w:fldCharType="separate"/>
      </w:r>
      <w:r>
        <w:rPr>
          <w:szCs w:val="30"/>
        </w:rPr>
        <w:t>4. 投标</w:t>
      </w:r>
      <w:r>
        <w:tab/>
      </w:r>
      <w:r>
        <w:fldChar w:fldCharType="begin"/>
      </w:r>
      <w:r>
        <w:instrText xml:space="preserve"> PAGEREF _Toc32292 \h </w:instrText>
      </w:r>
      <w:r>
        <w:fldChar w:fldCharType="separate"/>
      </w:r>
      <w:r>
        <w:t>20</w:t>
      </w:r>
      <w:r>
        <w:fldChar w:fldCharType="end"/>
      </w:r>
      <w:r>
        <w:fldChar w:fldCharType="end"/>
      </w:r>
    </w:p>
    <w:p w14:paraId="79C563E1">
      <w:pPr>
        <w:pStyle w:val="15"/>
        <w:tabs>
          <w:tab w:val="right" w:leader="dot" w:pos="9900"/>
        </w:tabs>
      </w:pPr>
      <w:r>
        <w:fldChar w:fldCharType="begin"/>
      </w:r>
      <w:r>
        <w:instrText xml:space="preserve"> HYPERLINK \l "_Toc28002" </w:instrText>
      </w:r>
      <w:r>
        <w:fldChar w:fldCharType="separate"/>
      </w:r>
      <w:r>
        <w:rPr>
          <w:szCs w:val="30"/>
        </w:rPr>
        <w:t>5. 开标</w:t>
      </w:r>
      <w:r>
        <w:tab/>
      </w:r>
      <w:r>
        <w:fldChar w:fldCharType="begin"/>
      </w:r>
      <w:r>
        <w:instrText xml:space="preserve"> PAGEREF _Toc28002 \h </w:instrText>
      </w:r>
      <w:r>
        <w:fldChar w:fldCharType="separate"/>
      </w:r>
      <w:r>
        <w:t>21</w:t>
      </w:r>
      <w:r>
        <w:fldChar w:fldCharType="end"/>
      </w:r>
      <w:r>
        <w:fldChar w:fldCharType="end"/>
      </w:r>
    </w:p>
    <w:p w14:paraId="4CA5AE26">
      <w:pPr>
        <w:pStyle w:val="15"/>
        <w:tabs>
          <w:tab w:val="right" w:leader="dot" w:pos="9900"/>
        </w:tabs>
      </w:pPr>
      <w:r>
        <w:fldChar w:fldCharType="begin"/>
      </w:r>
      <w:r>
        <w:instrText xml:space="preserve"> HYPERLINK \l "_Toc25625" </w:instrText>
      </w:r>
      <w:r>
        <w:fldChar w:fldCharType="separate"/>
      </w:r>
      <w:r>
        <w:rPr>
          <w:szCs w:val="30"/>
        </w:rPr>
        <w:t>6. 评标</w:t>
      </w:r>
      <w:r>
        <w:tab/>
      </w:r>
      <w:r>
        <w:fldChar w:fldCharType="begin"/>
      </w:r>
      <w:r>
        <w:instrText xml:space="preserve"> PAGEREF _Toc25625 \h </w:instrText>
      </w:r>
      <w:r>
        <w:fldChar w:fldCharType="separate"/>
      </w:r>
      <w:r>
        <w:t>23</w:t>
      </w:r>
      <w:r>
        <w:fldChar w:fldCharType="end"/>
      </w:r>
      <w:r>
        <w:fldChar w:fldCharType="end"/>
      </w:r>
    </w:p>
    <w:p w14:paraId="41E19CD5">
      <w:pPr>
        <w:pStyle w:val="15"/>
        <w:tabs>
          <w:tab w:val="right" w:leader="dot" w:pos="9900"/>
        </w:tabs>
      </w:pPr>
      <w:r>
        <w:fldChar w:fldCharType="begin"/>
      </w:r>
      <w:r>
        <w:instrText xml:space="preserve"> HYPERLINK \l "_Toc2637" </w:instrText>
      </w:r>
      <w:r>
        <w:fldChar w:fldCharType="separate"/>
      </w:r>
      <w:r>
        <w:rPr>
          <w:szCs w:val="30"/>
        </w:rPr>
        <w:t>7. 合同授予</w:t>
      </w:r>
      <w:r>
        <w:tab/>
      </w:r>
      <w:r>
        <w:fldChar w:fldCharType="begin"/>
      </w:r>
      <w:r>
        <w:instrText xml:space="preserve"> PAGEREF _Toc2637 \h </w:instrText>
      </w:r>
      <w:r>
        <w:fldChar w:fldCharType="separate"/>
      </w:r>
      <w:r>
        <w:t>23</w:t>
      </w:r>
      <w:r>
        <w:fldChar w:fldCharType="end"/>
      </w:r>
      <w:r>
        <w:fldChar w:fldCharType="end"/>
      </w:r>
    </w:p>
    <w:p w14:paraId="0C981CB1">
      <w:pPr>
        <w:pStyle w:val="15"/>
        <w:tabs>
          <w:tab w:val="right" w:leader="dot" w:pos="9900"/>
        </w:tabs>
      </w:pPr>
      <w:r>
        <w:fldChar w:fldCharType="begin"/>
      </w:r>
      <w:r>
        <w:instrText xml:space="preserve"> HYPERLINK \l "_Toc12695" </w:instrText>
      </w:r>
      <w:r>
        <w:fldChar w:fldCharType="separate"/>
      </w:r>
      <w:r>
        <w:rPr>
          <w:szCs w:val="30"/>
        </w:rPr>
        <w:t>8. 重新招标和不再招标</w:t>
      </w:r>
      <w:r>
        <w:tab/>
      </w:r>
      <w:r>
        <w:fldChar w:fldCharType="begin"/>
      </w:r>
      <w:r>
        <w:instrText xml:space="preserve"> PAGEREF _Toc12695 \h </w:instrText>
      </w:r>
      <w:r>
        <w:fldChar w:fldCharType="separate"/>
      </w:r>
      <w:r>
        <w:t>24</w:t>
      </w:r>
      <w:r>
        <w:fldChar w:fldCharType="end"/>
      </w:r>
      <w:r>
        <w:fldChar w:fldCharType="end"/>
      </w:r>
    </w:p>
    <w:p w14:paraId="724004FC">
      <w:pPr>
        <w:pStyle w:val="15"/>
        <w:tabs>
          <w:tab w:val="right" w:leader="dot" w:pos="9900"/>
        </w:tabs>
      </w:pPr>
      <w:r>
        <w:fldChar w:fldCharType="begin"/>
      </w:r>
      <w:r>
        <w:instrText xml:space="preserve"> HYPERLINK \l "_Toc830" </w:instrText>
      </w:r>
      <w:r>
        <w:fldChar w:fldCharType="separate"/>
      </w:r>
      <w:r>
        <w:rPr>
          <w:szCs w:val="30"/>
        </w:rPr>
        <w:t>9. 纪律和监督</w:t>
      </w:r>
      <w:r>
        <w:tab/>
      </w:r>
      <w:r>
        <w:fldChar w:fldCharType="begin"/>
      </w:r>
      <w:r>
        <w:instrText xml:space="preserve"> PAGEREF _Toc830 \h </w:instrText>
      </w:r>
      <w:r>
        <w:fldChar w:fldCharType="separate"/>
      </w:r>
      <w:r>
        <w:t>24</w:t>
      </w:r>
      <w:r>
        <w:fldChar w:fldCharType="end"/>
      </w:r>
      <w:r>
        <w:fldChar w:fldCharType="end"/>
      </w:r>
    </w:p>
    <w:p w14:paraId="4E195473">
      <w:pPr>
        <w:pStyle w:val="15"/>
        <w:tabs>
          <w:tab w:val="right" w:leader="dot" w:pos="9900"/>
        </w:tabs>
      </w:pPr>
      <w:r>
        <w:fldChar w:fldCharType="begin"/>
      </w:r>
      <w:r>
        <w:instrText xml:space="preserve"> HYPERLINK \l "_Toc14376" </w:instrText>
      </w:r>
      <w:r>
        <w:fldChar w:fldCharType="separate"/>
      </w:r>
      <w:r>
        <w:rPr>
          <w:rFonts w:hint="eastAsia"/>
          <w:szCs w:val="30"/>
        </w:rPr>
        <w:t>1</w:t>
      </w:r>
      <w:r>
        <w:rPr>
          <w:szCs w:val="30"/>
        </w:rPr>
        <w:t>0.</w:t>
      </w:r>
      <w:r>
        <w:rPr>
          <w:rFonts w:hint="eastAsia"/>
          <w:szCs w:val="30"/>
        </w:rPr>
        <w:t>中标人瑕疵滞后发现的处理原则</w:t>
      </w:r>
      <w:r>
        <w:tab/>
      </w:r>
      <w:r>
        <w:fldChar w:fldCharType="begin"/>
      </w:r>
      <w:r>
        <w:instrText xml:space="preserve"> PAGEREF _Toc14376 \h </w:instrText>
      </w:r>
      <w:r>
        <w:fldChar w:fldCharType="separate"/>
      </w:r>
      <w:r>
        <w:t>25</w:t>
      </w:r>
      <w:r>
        <w:fldChar w:fldCharType="end"/>
      </w:r>
      <w:r>
        <w:fldChar w:fldCharType="end"/>
      </w:r>
    </w:p>
    <w:p w14:paraId="46D543C8">
      <w:pPr>
        <w:pStyle w:val="15"/>
        <w:tabs>
          <w:tab w:val="right" w:leader="dot" w:pos="9900"/>
        </w:tabs>
      </w:pPr>
      <w:r>
        <w:fldChar w:fldCharType="begin"/>
      </w:r>
      <w:r>
        <w:instrText xml:space="preserve"> HYPERLINK \l "_Toc23162" </w:instrText>
      </w:r>
      <w:r>
        <w:fldChar w:fldCharType="separate"/>
      </w:r>
      <w:r>
        <w:rPr>
          <w:szCs w:val="30"/>
        </w:rPr>
        <w:t>1</w:t>
      </w:r>
      <w:r>
        <w:rPr>
          <w:rFonts w:hint="eastAsia"/>
          <w:szCs w:val="30"/>
        </w:rPr>
        <w:t>1</w:t>
      </w:r>
      <w:r>
        <w:rPr>
          <w:szCs w:val="30"/>
        </w:rPr>
        <w:t>. 需要补充的其他内容</w:t>
      </w:r>
      <w:r>
        <w:tab/>
      </w:r>
      <w:r>
        <w:fldChar w:fldCharType="begin"/>
      </w:r>
      <w:r>
        <w:instrText xml:space="preserve"> PAGEREF _Toc23162 \h </w:instrText>
      </w:r>
      <w:r>
        <w:fldChar w:fldCharType="separate"/>
      </w:r>
      <w:r>
        <w:t>25</w:t>
      </w:r>
      <w:r>
        <w:fldChar w:fldCharType="end"/>
      </w:r>
      <w:r>
        <w:fldChar w:fldCharType="end"/>
      </w:r>
    </w:p>
    <w:p w14:paraId="775BC5D3">
      <w:pPr>
        <w:pStyle w:val="4"/>
        <w:tabs>
          <w:tab w:val="right" w:leader="dot" w:pos="9900"/>
          <w:tab w:val="clear" w:pos="9629"/>
        </w:tabs>
        <w:ind w:left="420"/>
      </w:pPr>
      <w:r>
        <w:fldChar w:fldCharType="begin"/>
      </w:r>
      <w:r>
        <w:instrText xml:space="preserve"> HYPERLINK \l "_Toc13380" </w:instrText>
      </w:r>
      <w:r>
        <w:fldChar w:fldCharType="separate"/>
      </w:r>
      <w:r>
        <w:rPr>
          <w:szCs w:val="32"/>
        </w:rPr>
        <w:t>第三章 评标办法</w:t>
      </w:r>
      <w:r>
        <w:tab/>
      </w:r>
      <w:r>
        <w:fldChar w:fldCharType="begin"/>
      </w:r>
      <w:r>
        <w:instrText xml:space="preserve"> PAGEREF _Toc13380 \h </w:instrText>
      </w:r>
      <w:r>
        <w:fldChar w:fldCharType="separate"/>
      </w:r>
      <w:r>
        <w:t>26</w:t>
      </w:r>
      <w:r>
        <w:fldChar w:fldCharType="end"/>
      </w:r>
      <w:r>
        <w:fldChar w:fldCharType="end"/>
      </w:r>
    </w:p>
    <w:p w14:paraId="5D172206">
      <w:pPr>
        <w:pStyle w:val="15"/>
        <w:tabs>
          <w:tab w:val="right" w:leader="dot" w:pos="9900"/>
        </w:tabs>
      </w:pPr>
      <w:r>
        <w:fldChar w:fldCharType="begin"/>
      </w:r>
      <w:r>
        <w:instrText xml:space="preserve"> HYPERLINK \l "_Toc6359" </w:instrText>
      </w:r>
      <w:r>
        <w:fldChar w:fldCharType="separate"/>
      </w:r>
      <w:r>
        <w:rPr>
          <w:szCs w:val="30"/>
        </w:rPr>
        <w:t>一、评标办法前附表</w:t>
      </w:r>
      <w:r>
        <w:tab/>
      </w:r>
      <w:r>
        <w:fldChar w:fldCharType="begin"/>
      </w:r>
      <w:r>
        <w:instrText xml:space="preserve"> PAGEREF _Toc6359 \h </w:instrText>
      </w:r>
      <w:r>
        <w:fldChar w:fldCharType="separate"/>
      </w:r>
      <w:r>
        <w:t>26</w:t>
      </w:r>
      <w:r>
        <w:fldChar w:fldCharType="end"/>
      </w:r>
      <w:r>
        <w:fldChar w:fldCharType="end"/>
      </w:r>
    </w:p>
    <w:p w14:paraId="6A07FBB5">
      <w:pPr>
        <w:pStyle w:val="15"/>
        <w:tabs>
          <w:tab w:val="right" w:leader="dot" w:pos="9900"/>
        </w:tabs>
      </w:pPr>
      <w:r>
        <w:fldChar w:fldCharType="begin"/>
      </w:r>
      <w:r>
        <w:instrText xml:space="preserve"> HYPERLINK \l "_Toc14519" </w:instrText>
      </w:r>
      <w:r>
        <w:fldChar w:fldCharType="separate"/>
      </w:r>
      <w:r>
        <w:rPr>
          <w:szCs w:val="30"/>
        </w:rPr>
        <w:t>二、评标办法</w:t>
      </w:r>
      <w:r>
        <w:tab/>
      </w:r>
      <w:r>
        <w:fldChar w:fldCharType="begin"/>
      </w:r>
      <w:r>
        <w:instrText xml:space="preserve"> PAGEREF _Toc14519 \h </w:instrText>
      </w:r>
      <w:r>
        <w:fldChar w:fldCharType="separate"/>
      </w:r>
      <w:r>
        <w:t>29</w:t>
      </w:r>
      <w:r>
        <w:fldChar w:fldCharType="end"/>
      </w:r>
      <w:r>
        <w:fldChar w:fldCharType="end"/>
      </w:r>
    </w:p>
    <w:p w14:paraId="0B72D595">
      <w:pPr>
        <w:pStyle w:val="4"/>
        <w:tabs>
          <w:tab w:val="right" w:leader="dot" w:pos="9900"/>
          <w:tab w:val="clear" w:pos="9629"/>
        </w:tabs>
        <w:ind w:left="420"/>
      </w:pPr>
      <w:r>
        <w:fldChar w:fldCharType="begin"/>
      </w:r>
      <w:r>
        <w:instrText xml:space="preserve"> HYPERLINK \l "_Toc17915" </w:instrText>
      </w:r>
      <w:r>
        <w:fldChar w:fldCharType="separate"/>
      </w:r>
      <w:r>
        <w:rPr>
          <w:szCs w:val="32"/>
        </w:rPr>
        <w:t>第四章合同条款及格式</w:t>
      </w:r>
      <w:r>
        <w:tab/>
      </w:r>
      <w:r>
        <w:fldChar w:fldCharType="begin"/>
      </w:r>
      <w:r>
        <w:instrText xml:space="preserve"> PAGEREF _Toc17915 \h </w:instrText>
      </w:r>
      <w:r>
        <w:fldChar w:fldCharType="separate"/>
      </w:r>
      <w:r>
        <w:t>39</w:t>
      </w:r>
      <w:r>
        <w:fldChar w:fldCharType="end"/>
      </w:r>
      <w:r>
        <w:fldChar w:fldCharType="end"/>
      </w:r>
    </w:p>
    <w:p w14:paraId="437B98F9">
      <w:pPr>
        <w:pStyle w:val="4"/>
        <w:tabs>
          <w:tab w:val="right" w:leader="dot" w:pos="9900"/>
          <w:tab w:val="clear" w:pos="9629"/>
        </w:tabs>
        <w:ind w:left="420"/>
      </w:pPr>
      <w:r>
        <w:fldChar w:fldCharType="begin"/>
      </w:r>
      <w:r>
        <w:instrText xml:space="preserve"> HYPERLINK \l "_Toc22977" </w:instrText>
      </w:r>
      <w:r>
        <w:fldChar w:fldCharType="separate"/>
      </w:r>
      <w:r>
        <w:rPr>
          <w:rFonts w:hint="eastAsia" w:ascii="宋体" w:hAnsi="宋体"/>
        </w:rPr>
        <w:t>第五章 投标报价要求</w:t>
      </w:r>
      <w:r>
        <w:tab/>
      </w:r>
      <w:r>
        <w:fldChar w:fldCharType="begin"/>
      </w:r>
      <w:r>
        <w:instrText xml:space="preserve"> PAGEREF _Toc22977 \h </w:instrText>
      </w:r>
      <w:r>
        <w:fldChar w:fldCharType="separate"/>
      </w:r>
      <w:r>
        <w:t>242</w:t>
      </w:r>
      <w:r>
        <w:fldChar w:fldCharType="end"/>
      </w:r>
      <w:r>
        <w:fldChar w:fldCharType="end"/>
      </w:r>
    </w:p>
    <w:p w14:paraId="7B2D7B92">
      <w:pPr>
        <w:pStyle w:val="4"/>
        <w:tabs>
          <w:tab w:val="right" w:leader="dot" w:pos="9900"/>
          <w:tab w:val="clear" w:pos="9629"/>
        </w:tabs>
        <w:ind w:left="420"/>
      </w:pPr>
      <w:r>
        <w:fldChar w:fldCharType="begin"/>
      </w:r>
      <w:r>
        <w:instrText xml:space="preserve"> HYPERLINK \l "_Toc16069" </w:instrText>
      </w:r>
      <w:r>
        <w:fldChar w:fldCharType="separate"/>
      </w:r>
      <w:r>
        <w:rPr>
          <w:rFonts w:hint="eastAsia" w:ascii="宋体" w:hAnsi="宋体" w:cs="TimesNewRomanPSMT"/>
        </w:rPr>
        <w:t>1 工程量清单部分</w:t>
      </w:r>
      <w:r>
        <w:tab/>
      </w:r>
      <w:r>
        <w:fldChar w:fldCharType="begin"/>
      </w:r>
      <w:r>
        <w:instrText xml:space="preserve"> PAGEREF _Toc16069 \h </w:instrText>
      </w:r>
      <w:r>
        <w:fldChar w:fldCharType="separate"/>
      </w:r>
      <w:r>
        <w:t>242</w:t>
      </w:r>
      <w:r>
        <w:fldChar w:fldCharType="end"/>
      </w:r>
      <w:r>
        <w:fldChar w:fldCharType="end"/>
      </w:r>
    </w:p>
    <w:p w14:paraId="45FB692D">
      <w:pPr>
        <w:pStyle w:val="4"/>
        <w:tabs>
          <w:tab w:val="right" w:leader="dot" w:pos="9900"/>
          <w:tab w:val="clear" w:pos="9629"/>
        </w:tabs>
        <w:ind w:left="420"/>
      </w:pPr>
      <w:r>
        <w:fldChar w:fldCharType="begin"/>
      </w:r>
      <w:r>
        <w:instrText xml:space="preserve"> HYPERLINK \l "_Toc10417" </w:instrText>
      </w:r>
      <w:r>
        <w:fldChar w:fldCharType="separate"/>
      </w:r>
      <w:r>
        <w:rPr>
          <w:rFonts w:hint="eastAsia" w:ascii="宋体" w:hAnsi="宋体" w:cs="TimesNewRomanPSMT"/>
        </w:rPr>
        <w:t>2 清单以外项目</w:t>
      </w:r>
      <w:r>
        <w:tab/>
      </w:r>
      <w:r>
        <w:fldChar w:fldCharType="begin"/>
      </w:r>
      <w:r>
        <w:instrText xml:space="preserve"> PAGEREF _Toc10417 \h </w:instrText>
      </w:r>
      <w:r>
        <w:fldChar w:fldCharType="separate"/>
      </w:r>
      <w:r>
        <w:t>245</w:t>
      </w:r>
      <w:r>
        <w:fldChar w:fldCharType="end"/>
      </w:r>
      <w:r>
        <w:fldChar w:fldCharType="end"/>
      </w:r>
    </w:p>
    <w:p w14:paraId="47500CA1">
      <w:pPr>
        <w:pStyle w:val="4"/>
        <w:tabs>
          <w:tab w:val="right" w:leader="dot" w:pos="9900"/>
          <w:tab w:val="clear" w:pos="9629"/>
        </w:tabs>
        <w:ind w:left="420"/>
      </w:pPr>
      <w:r>
        <w:fldChar w:fldCharType="begin"/>
      </w:r>
      <w:r>
        <w:instrText xml:space="preserve"> HYPERLINK \l "_Toc8694" </w:instrText>
      </w:r>
      <w:r>
        <w:fldChar w:fldCharType="separate"/>
      </w:r>
      <w:r>
        <w:rPr>
          <w:rFonts w:hint="eastAsia" w:ascii="宋体" w:hAnsi="宋体" w:cs="TimesNewRomanPSMT"/>
        </w:rPr>
        <w:t>3 其他说明</w:t>
      </w:r>
      <w:r>
        <w:tab/>
      </w:r>
      <w:r>
        <w:fldChar w:fldCharType="begin"/>
      </w:r>
      <w:r>
        <w:instrText xml:space="preserve"> PAGEREF _Toc8694 \h </w:instrText>
      </w:r>
      <w:r>
        <w:fldChar w:fldCharType="separate"/>
      </w:r>
      <w:r>
        <w:t>246</w:t>
      </w:r>
      <w:r>
        <w:fldChar w:fldCharType="end"/>
      </w:r>
      <w:r>
        <w:fldChar w:fldCharType="end"/>
      </w:r>
    </w:p>
    <w:p w14:paraId="10BDB302">
      <w:pPr>
        <w:pStyle w:val="19"/>
        <w:tabs>
          <w:tab w:val="right" w:leader="dot" w:pos="9900"/>
          <w:tab w:val="clear" w:pos="9629"/>
        </w:tabs>
      </w:pPr>
      <w:r>
        <w:fldChar w:fldCharType="begin"/>
      </w:r>
      <w:r>
        <w:instrText xml:space="preserve"> HYPERLINK \l "_Toc19259" </w:instrText>
      </w:r>
      <w:r>
        <w:fldChar w:fldCharType="separate"/>
      </w:r>
      <w:r>
        <w:rPr>
          <w:szCs w:val="48"/>
        </w:rPr>
        <w:t>第二卷</w:t>
      </w:r>
      <w:r>
        <w:tab/>
      </w:r>
      <w:r>
        <w:fldChar w:fldCharType="begin"/>
      </w:r>
      <w:r>
        <w:instrText xml:space="preserve"> PAGEREF _Toc19259 \h </w:instrText>
      </w:r>
      <w:r>
        <w:fldChar w:fldCharType="separate"/>
      </w:r>
      <w:r>
        <w:t>250</w:t>
      </w:r>
      <w:r>
        <w:fldChar w:fldCharType="end"/>
      </w:r>
      <w:r>
        <w:fldChar w:fldCharType="end"/>
      </w:r>
    </w:p>
    <w:p w14:paraId="0E572E2F">
      <w:pPr>
        <w:pStyle w:val="4"/>
        <w:tabs>
          <w:tab w:val="right" w:leader="dot" w:pos="9900"/>
          <w:tab w:val="clear" w:pos="9629"/>
        </w:tabs>
        <w:ind w:left="420"/>
      </w:pPr>
      <w:r>
        <w:fldChar w:fldCharType="begin"/>
      </w:r>
      <w:r>
        <w:instrText xml:space="preserve"> HYPERLINK \l "_Toc8604" </w:instrText>
      </w:r>
      <w:r>
        <w:fldChar w:fldCharType="separate"/>
      </w:r>
      <w:r>
        <w:rPr>
          <w:szCs w:val="32"/>
        </w:rPr>
        <w:t>第六章  图  纸</w:t>
      </w:r>
      <w:r>
        <w:tab/>
      </w:r>
      <w:r>
        <w:fldChar w:fldCharType="begin"/>
      </w:r>
      <w:r>
        <w:instrText xml:space="preserve"> PAGEREF _Toc8604 \h </w:instrText>
      </w:r>
      <w:r>
        <w:fldChar w:fldCharType="separate"/>
      </w:r>
      <w:r>
        <w:t>251</w:t>
      </w:r>
      <w:r>
        <w:fldChar w:fldCharType="end"/>
      </w:r>
      <w:r>
        <w:fldChar w:fldCharType="end"/>
      </w:r>
    </w:p>
    <w:p w14:paraId="437A955C">
      <w:pPr>
        <w:pStyle w:val="19"/>
        <w:tabs>
          <w:tab w:val="right" w:leader="dot" w:pos="9900"/>
          <w:tab w:val="clear" w:pos="9629"/>
        </w:tabs>
      </w:pPr>
      <w:r>
        <w:fldChar w:fldCharType="begin"/>
      </w:r>
      <w:r>
        <w:instrText xml:space="preserve"> HYPERLINK \l "_Toc13210" </w:instrText>
      </w:r>
      <w:r>
        <w:fldChar w:fldCharType="separate"/>
      </w:r>
      <w:r>
        <w:rPr>
          <w:szCs w:val="48"/>
        </w:rPr>
        <w:t>第三卷</w:t>
      </w:r>
      <w:r>
        <w:tab/>
      </w:r>
      <w:r>
        <w:fldChar w:fldCharType="begin"/>
      </w:r>
      <w:r>
        <w:instrText xml:space="preserve"> PAGEREF _Toc13210 \h </w:instrText>
      </w:r>
      <w:r>
        <w:fldChar w:fldCharType="separate"/>
      </w:r>
      <w:r>
        <w:t>252</w:t>
      </w:r>
      <w:r>
        <w:fldChar w:fldCharType="end"/>
      </w:r>
      <w:r>
        <w:fldChar w:fldCharType="end"/>
      </w:r>
    </w:p>
    <w:p w14:paraId="76A2A2A9">
      <w:pPr>
        <w:pStyle w:val="4"/>
        <w:tabs>
          <w:tab w:val="right" w:leader="dot" w:pos="9900"/>
          <w:tab w:val="clear" w:pos="9629"/>
        </w:tabs>
        <w:ind w:left="420"/>
      </w:pPr>
      <w:r>
        <w:fldChar w:fldCharType="begin"/>
      </w:r>
      <w:r>
        <w:instrText xml:space="preserve"> HYPERLINK \l "_Toc23337" </w:instrText>
      </w:r>
      <w:r>
        <w:fldChar w:fldCharType="separate"/>
      </w:r>
      <w:r>
        <w:rPr>
          <w:szCs w:val="32"/>
        </w:rPr>
        <w:t>第七章  技术标准和要求</w:t>
      </w:r>
      <w:r>
        <w:tab/>
      </w:r>
      <w:r>
        <w:fldChar w:fldCharType="begin"/>
      </w:r>
      <w:r>
        <w:instrText xml:space="preserve"> PAGEREF _Toc23337 \h </w:instrText>
      </w:r>
      <w:r>
        <w:fldChar w:fldCharType="separate"/>
      </w:r>
      <w:r>
        <w:t>253</w:t>
      </w:r>
      <w:r>
        <w:fldChar w:fldCharType="end"/>
      </w:r>
      <w:r>
        <w:fldChar w:fldCharType="end"/>
      </w:r>
    </w:p>
    <w:p w14:paraId="274108EB">
      <w:pPr>
        <w:pStyle w:val="19"/>
        <w:tabs>
          <w:tab w:val="right" w:leader="dot" w:pos="9900"/>
          <w:tab w:val="clear" w:pos="9629"/>
        </w:tabs>
      </w:pPr>
      <w:r>
        <w:fldChar w:fldCharType="begin"/>
      </w:r>
      <w:r>
        <w:instrText xml:space="preserve"> HYPERLINK \l "_Toc13586" </w:instrText>
      </w:r>
      <w:r>
        <w:fldChar w:fldCharType="separate"/>
      </w:r>
      <w:r>
        <w:rPr>
          <w:szCs w:val="48"/>
        </w:rPr>
        <w:t>第四卷</w:t>
      </w:r>
      <w:r>
        <w:tab/>
      </w:r>
      <w:r>
        <w:fldChar w:fldCharType="begin"/>
      </w:r>
      <w:r>
        <w:instrText xml:space="preserve"> PAGEREF _Toc13586 \h </w:instrText>
      </w:r>
      <w:r>
        <w:fldChar w:fldCharType="separate"/>
      </w:r>
      <w:r>
        <w:t>259</w:t>
      </w:r>
      <w:r>
        <w:fldChar w:fldCharType="end"/>
      </w:r>
      <w:r>
        <w:fldChar w:fldCharType="end"/>
      </w:r>
    </w:p>
    <w:p w14:paraId="521392EB">
      <w:pPr>
        <w:pStyle w:val="4"/>
        <w:tabs>
          <w:tab w:val="right" w:leader="dot" w:pos="9900"/>
          <w:tab w:val="clear" w:pos="9629"/>
        </w:tabs>
        <w:ind w:left="420"/>
      </w:pPr>
      <w:r>
        <w:fldChar w:fldCharType="begin"/>
      </w:r>
      <w:r>
        <w:instrText xml:space="preserve"> HYPERLINK \l "_Toc14852" </w:instrText>
      </w:r>
      <w:r>
        <w:fldChar w:fldCharType="separate"/>
      </w:r>
      <w:r>
        <w:rPr>
          <w:szCs w:val="32"/>
        </w:rPr>
        <w:t>第八章  投标文件格式</w:t>
      </w:r>
      <w:r>
        <w:tab/>
      </w:r>
      <w:r>
        <w:fldChar w:fldCharType="begin"/>
      </w:r>
      <w:r>
        <w:instrText xml:space="preserve"> PAGEREF _Toc14852 \h </w:instrText>
      </w:r>
      <w:r>
        <w:fldChar w:fldCharType="separate"/>
      </w:r>
      <w:r>
        <w:t>260</w:t>
      </w:r>
      <w:r>
        <w:fldChar w:fldCharType="end"/>
      </w:r>
      <w:r>
        <w:fldChar w:fldCharType="end"/>
      </w:r>
    </w:p>
    <w:p w14:paraId="2C054389">
      <w:pPr>
        <w:pStyle w:val="15"/>
        <w:tabs>
          <w:tab w:val="right" w:leader="dot" w:pos="9900"/>
        </w:tabs>
      </w:pPr>
      <w:r>
        <w:fldChar w:fldCharType="begin"/>
      </w:r>
      <w:r>
        <w:instrText xml:space="preserve"> HYPERLINK \l "_Toc9688" </w:instrText>
      </w:r>
      <w:r>
        <w:fldChar w:fldCharType="separate"/>
      </w:r>
      <w:r>
        <w:rPr>
          <w:szCs w:val="30"/>
        </w:rPr>
        <w:t>一、投标函及投标函附录</w:t>
      </w:r>
      <w:r>
        <w:tab/>
      </w:r>
      <w:r>
        <w:fldChar w:fldCharType="begin"/>
      </w:r>
      <w:r>
        <w:instrText xml:space="preserve"> PAGEREF _Toc9688 \h </w:instrText>
      </w:r>
      <w:r>
        <w:fldChar w:fldCharType="separate"/>
      </w:r>
      <w:r>
        <w:t>262</w:t>
      </w:r>
      <w:r>
        <w:fldChar w:fldCharType="end"/>
      </w:r>
      <w:r>
        <w:fldChar w:fldCharType="end"/>
      </w:r>
    </w:p>
    <w:p w14:paraId="64A32D95">
      <w:pPr>
        <w:pStyle w:val="15"/>
        <w:tabs>
          <w:tab w:val="right" w:leader="dot" w:pos="9900"/>
        </w:tabs>
      </w:pPr>
      <w:r>
        <w:fldChar w:fldCharType="begin"/>
      </w:r>
      <w:r>
        <w:instrText xml:space="preserve"> HYPERLINK \l "_Toc6737" </w:instrText>
      </w:r>
      <w:r>
        <w:fldChar w:fldCharType="separate"/>
      </w:r>
      <w:r>
        <w:rPr>
          <w:szCs w:val="30"/>
        </w:rPr>
        <w:t>二、法定代表人身份证明</w:t>
      </w:r>
      <w:r>
        <w:tab/>
      </w:r>
      <w:r>
        <w:fldChar w:fldCharType="begin"/>
      </w:r>
      <w:r>
        <w:instrText xml:space="preserve"> PAGEREF _Toc6737 \h </w:instrText>
      </w:r>
      <w:r>
        <w:fldChar w:fldCharType="separate"/>
      </w:r>
      <w:r>
        <w:t>268</w:t>
      </w:r>
      <w:r>
        <w:fldChar w:fldCharType="end"/>
      </w:r>
      <w:r>
        <w:fldChar w:fldCharType="end"/>
      </w:r>
    </w:p>
    <w:p w14:paraId="165E964A">
      <w:pPr>
        <w:pStyle w:val="15"/>
        <w:tabs>
          <w:tab w:val="right" w:leader="dot" w:pos="9900"/>
        </w:tabs>
      </w:pPr>
      <w:r>
        <w:fldChar w:fldCharType="begin"/>
      </w:r>
      <w:r>
        <w:instrText xml:space="preserve"> HYPERLINK \l "_Toc23867" </w:instrText>
      </w:r>
      <w:r>
        <w:fldChar w:fldCharType="separate"/>
      </w:r>
      <w:r>
        <w:rPr>
          <w:szCs w:val="30"/>
        </w:rPr>
        <w:t>三、授权委托书</w:t>
      </w:r>
      <w:r>
        <w:tab/>
      </w:r>
      <w:r>
        <w:fldChar w:fldCharType="begin"/>
      </w:r>
      <w:r>
        <w:instrText xml:space="preserve"> PAGEREF _Toc23867 \h </w:instrText>
      </w:r>
      <w:r>
        <w:fldChar w:fldCharType="separate"/>
      </w:r>
      <w:r>
        <w:t>269</w:t>
      </w:r>
      <w:r>
        <w:fldChar w:fldCharType="end"/>
      </w:r>
      <w:r>
        <w:fldChar w:fldCharType="end"/>
      </w:r>
    </w:p>
    <w:p w14:paraId="690B9224">
      <w:pPr>
        <w:pStyle w:val="15"/>
        <w:tabs>
          <w:tab w:val="right" w:leader="dot" w:pos="9900"/>
        </w:tabs>
      </w:pPr>
      <w:r>
        <w:fldChar w:fldCharType="begin"/>
      </w:r>
      <w:r>
        <w:instrText xml:space="preserve"> HYPERLINK \l "_Toc6899" </w:instrText>
      </w:r>
      <w:r>
        <w:fldChar w:fldCharType="separate"/>
      </w:r>
      <w:r>
        <w:rPr>
          <w:szCs w:val="30"/>
        </w:rPr>
        <w:t>四、投标保证金</w:t>
      </w:r>
      <w:r>
        <w:tab/>
      </w:r>
      <w:r>
        <w:fldChar w:fldCharType="begin"/>
      </w:r>
      <w:r>
        <w:instrText xml:space="preserve"> PAGEREF _Toc6899 \h </w:instrText>
      </w:r>
      <w:r>
        <w:fldChar w:fldCharType="separate"/>
      </w:r>
      <w:r>
        <w:t>270</w:t>
      </w:r>
      <w:r>
        <w:fldChar w:fldCharType="end"/>
      </w:r>
      <w:r>
        <w:fldChar w:fldCharType="end"/>
      </w:r>
    </w:p>
    <w:p w14:paraId="476650DA">
      <w:pPr>
        <w:pStyle w:val="15"/>
        <w:tabs>
          <w:tab w:val="right" w:leader="dot" w:pos="9900"/>
        </w:tabs>
      </w:pPr>
      <w:r>
        <w:fldChar w:fldCharType="begin"/>
      </w:r>
      <w:r>
        <w:instrText xml:space="preserve"> HYPERLINK \l "_Toc22549" </w:instrText>
      </w:r>
      <w:r>
        <w:fldChar w:fldCharType="separate"/>
      </w:r>
      <w:r>
        <w:rPr>
          <w:szCs w:val="30"/>
        </w:rPr>
        <w:t>五、已标价工程量清单</w:t>
      </w:r>
      <w:r>
        <w:tab/>
      </w:r>
      <w:r>
        <w:fldChar w:fldCharType="begin"/>
      </w:r>
      <w:r>
        <w:instrText xml:space="preserve"> PAGEREF _Toc22549 \h </w:instrText>
      </w:r>
      <w:r>
        <w:fldChar w:fldCharType="separate"/>
      </w:r>
      <w:r>
        <w:t>271</w:t>
      </w:r>
      <w:r>
        <w:fldChar w:fldCharType="end"/>
      </w:r>
      <w:r>
        <w:fldChar w:fldCharType="end"/>
      </w:r>
    </w:p>
    <w:p w14:paraId="43CEBCE3">
      <w:pPr>
        <w:pStyle w:val="15"/>
        <w:tabs>
          <w:tab w:val="right" w:leader="dot" w:pos="9900"/>
        </w:tabs>
      </w:pPr>
      <w:r>
        <w:fldChar w:fldCharType="begin"/>
      </w:r>
      <w:r>
        <w:instrText xml:space="preserve"> HYPERLINK \l "_Toc24764" </w:instrText>
      </w:r>
      <w:r>
        <w:fldChar w:fldCharType="separate"/>
      </w:r>
      <w:r>
        <w:rPr>
          <w:rFonts w:hint="eastAsia"/>
          <w:szCs w:val="30"/>
        </w:rPr>
        <w:t xml:space="preserve">六、 </w:t>
      </w:r>
      <w:r>
        <w:rPr>
          <w:szCs w:val="30"/>
        </w:rPr>
        <w:t>施工组织设计</w:t>
      </w:r>
      <w:r>
        <w:tab/>
      </w:r>
      <w:r>
        <w:fldChar w:fldCharType="begin"/>
      </w:r>
      <w:r>
        <w:instrText xml:space="preserve"> PAGEREF _Toc24764 \h </w:instrText>
      </w:r>
      <w:r>
        <w:fldChar w:fldCharType="separate"/>
      </w:r>
      <w:r>
        <w:t>272</w:t>
      </w:r>
      <w:r>
        <w:fldChar w:fldCharType="end"/>
      </w:r>
      <w:r>
        <w:fldChar w:fldCharType="end"/>
      </w:r>
    </w:p>
    <w:p w14:paraId="589002ED">
      <w:pPr>
        <w:pStyle w:val="15"/>
        <w:tabs>
          <w:tab w:val="right" w:leader="dot" w:pos="9900"/>
        </w:tabs>
      </w:pPr>
      <w:r>
        <w:fldChar w:fldCharType="begin"/>
      </w:r>
      <w:r>
        <w:instrText xml:space="preserve"> HYPERLINK \l "_Toc24018" </w:instrText>
      </w:r>
      <w:r>
        <w:fldChar w:fldCharType="separate"/>
      </w:r>
      <w:r>
        <w:rPr>
          <w:rFonts w:hint="eastAsia"/>
          <w:szCs w:val="30"/>
        </w:rPr>
        <w:t>七、 设备技术参数负偏差对比表</w:t>
      </w:r>
      <w:r>
        <w:tab/>
      </w:r>
      <w:r>
        <w:fldChar w:fldCharType="begin"/>
      </w:r>
      <w:r>
        <w:instrText xml:space="preserve"> PAGEREF _Toc24018 \h </w:instrText>
      </w:r>
      <w:r>
        <w:fldChar w:fldCharType="separate"/>
      </w:r>
      <w:r>
        <w:t>273</w:t>
      </w:r>
      <w:r>
        <w:fldChar w:fldCharType="end"/>
      </w:r>
      <w:r>
        <w:fldChar w:fldCharType="end"/>
      </w:r>
    </w:p>
    <w:p w14:paraId="0C0E912E">
      <w:pPr>
        <w:pStyle w:val="15"/>
        <w:tabs>
          <w:tab w:val="right" w:leader="dot" w:pos="9900"/>
        </w:tabs>
      </w:pPr>
      <w:r>
        <w:fldChar w:fldCharType="begin"/>
      </w:r>
      <w:r>
        <w:instrText xml:space="preserve"> HYPERLINK \l "_Toc23516" </w:instrText>
      </w:r>
      <w:r>
        <w:fldChar w:fldCharType="separate"/>
      </w:r>
      <w:r>
        <w:rPr>
          <w:rFonts w:hint="eastAsia"/>
          <w:szCs w:val="30"/>
        </w:rPr>
        <w:t>八、 项目管理机构</w:t>
      </w:r>
      <w:r>
        <w:tab/>
      </w:r>
      <w:r>
        <w:fldChar w:fldCharType="begin"/>
      </w:r>
      <w:r>
        <w:instrText xml:space="preserve"> PAGEREF _Toc23516 \h </w:instrText>
      </w:r>
      <w:r>
        <w:fldChar w:fldCharType="separate"/>
      </w:r>
      <w:r>
        <w:t>274</w:t>
      </w:r>
      <w:r>
        <w:fldChar w:fldCharType="end"/>
      </w:r>
      <w:r>
        <w:fldChar w:fldCharType="end"/>
      </w:r>
    </w:p>
    <w:p w14:paraId="464613C6">
      <w:pPr>
        <w:pStyle w:val="15"/>
        <w:tabs>
          <w:tab w:val="right" w:leader="dot" w:pos="9900"/>
        </w:tabs>
      </w:pPr>
      <w:r>
        <w:fldChar w:fldCharType="begin"/>
      </w:r>
      <w:r>
        <w:instrText xml:space="preserve"> HYPERLINK \l "_Toc4745" </w:instrText>
      </w:r>
      <w:r>
        <w:fldChar w:fldCharType="separate"/>
      </w:r>
      <w:r>
        <w:rPr>
          <w:rFonts w:hint="eastAsia"/>
          <w:szCs w:val="30"/>
        </w:rPr>
        <w:t>九、 其他材料</w:t>
      </w:r>
      <w:r>
        <w:tab/>
      </w:r>
      <w:r>
        <w:fldChar w:fldCharType="begin"/>
      </w:r>
      <w:r>
        <w:instrText xml:space="preserve"> PAGEREF _Toc4745 \h </w:instrText>
      </w:r>
      <w:r>
        <w:fldChar w:fldCharType="separate"/>
      </w:r>
      <w:r>
        <w:t>278</w:t>
      </w:r>
      <w:r>
        <w:fldChar w:fldCharType="end"/>
      </w:r>
      <w:r>
        <w:fldChar w:fldCharType="end"/>
      </w:r>
    </w:p>
    <w:p w14:paraId="40D67A9D">
      <w:pPr>
        <w:pStyle w:val="4"/>
        <w:tabs>
          <w:tab w:val="right" w:leader="dot" w:pos="9900"/>
          <w:tab w:val="clear" w:pos="9629"/>
        </w:tabs>
        <w:ind w:left="420"/>
      </w:pPr>
      <w:r>
        <w:fldChar w:fldCharType="begin"/>
      </w:r>
      <w:r>
        <w:instrText xml:space="preserve"> HYPERLINK \l "_Toc27154" </w:instrText>
      </w:r>
      <w:r>
        <w:fldChar w:fldCharType="separate"/>
      </w:r>
      <w:r>
        <w:rPr>
          <w:szCs w:val="32"/>
        </w:rPr>
        <w:t>第九章  资格审查文件</w:t>
      </w:r>
      <w:r>
        <w:tab/>
      </w:r>
      <w:r>
        <w:fldChar w:fldCharType="begin"/>
      </w:r>
      <w:r>
        <w:instrText xml:space="preserve"> PAGEREF _Toc27154 \h </w:instrText>
      </w:r>
      <w:r>
        <w:fldChar w:fldCharType="separate"/>
      </w:r>
      <w:r>
        <w:t>279</w:t>
      </w:r>
      <w:r>
        <w:fldChar w:fldCharType="end"/>
      </w:r>
      <w:r>
        <w:fldChar w:fldCharType="end"/>
      </w:r>
    </w:p>
    <w:p w14:paraId="6EF220F9">
      <w:pPr>
        <w:spacing w:line="360" w:lineRule="auto"/>
        <w:rPr>
          <w:rStyle w:val="39"/>
          <w:rFonts w:hint="eastAsia" w:ascii="宋体" w:hAnsi="宋体"/>
        </w:rPr>
      </w:pPr>
      <w:r>
        <w:rPr>
          <w:rFonts w:asciiTheme="minorEastAsia" w:hAnsiTheme="minorEastAsia" w:eastAsiaTheme="minorEastAsia"/>
          <w:szCs w:val="21"/>
        </w:rPr>
        <w:fldChar w:fldCharType="end"/>
      </w:r>
    </w:p>
    <w:p w14:paraId="157780CA">
      <w:pPr>
        <w:spacing w:line="500" w:lineRule="exact"/>
        <w:rPr>
          <w:rStyle w:val="39"/>
          <w:rFonts w:hint="eastAsia" w:ascii="宋体" w:hAnsi="宋体"/>
        </w:rPr>
      </w:pPr>
    </w:p>
    <w:p w14:paraId="17B80E54">
      <w:pPr>
        <w:spacing w:line="500" w:lineRule="exact"/>
        <w:rPr>
          <w:rStyle w:val="39"/>
          <w:rFonts w:hint="eastAsia" w:ascii="宋体" w:hAnsi="宋体"/>
        </w:rPr>
      </w:pPr>
    </w:p>
    <w:p w14:paraId="0EFAF8C6">
      <w:pPr>
        <w:spacing w:line="500" w:lineRule="exact"/>
        <w:rPr>
          <w:rStyle w:val="39"/>
          <w:rFonts w:hint="eastAsia" w:ascii="宋体" w:hAnsi="宋体"/>
        </w:rPr>
      </w:pPr>
    </w:p>
    <w:p w14:paraId="27E8BFA3">
      <w:pPr>
        <w:pStyle w:val="13"/>
        <w:rPr>
          <w:lang w:bidi="en-US"/>
        </w:rPr>
      </w:pPr>
    </w:p>
    <w:p w14:paraId="5892B8DF">
      <w:pPr>
        <w:pStyle w:val="13"/>
        <w:rPr>
          <w:lang w:bidi="en-US"/>
        </w:rPr>
      </w:pPr>
    </w:p>
    <w:p w14:paraId="3A0A1823">
      <w:pPr>
        <w:pStyle w:val="13"/>
        <w:rPr>
          <w:lang w:bidi="en-US"/>
        </w:rPr>
      </w:pPr>
    </w:p>
    <w:p w14:paraId="53820902">
      <w:pPr>
        <w:pStyle w:val="13"/>
        <w:rPr>
          <w:lang w:bidi="en-US"/>
        </w:rPr>
      </w:pPr>
    </w:p>
    <w:p w14:paraId="4FBE5DD4">
      <w:pPr>
        <w:pStyle w:val="13"/>
        <w:rPr>
          <w:lang w:bidi="en-US"/>
        </w:rPr>
      </w:pPr>
    </w:p>
    <w:p w14:paraId="1C2D69B2">
      <w:pPr>
        <w:spacing w:line="500" w:lineRule="exact"/>
        <w:rPr>
          <w:rStyle w:val="39"/>
          <w:rFonts w:hint="eastAsia" w:ascii="宋体" w:hAnsi="宋体"/>
        </w:rPr>
      </w:pPr>
    </w:p>
    <w:p w14:paraId="32A53430">
      <w:pPr>
        <w:pStyle w:val="5"/>
        <w:jc w:val="center"/>
        <w:rPr>
          <w:sz w:val="48"/>
          <w:szCs w:val="48"/>
        </w:rPr>
      </w:pPr>
      <w:bookmarkStart w:id="0" w:name="_Toc1616"/>
      <w:bookmarkStart w:id="1" w:name="_Toc9598"/>
      <w:bookmarkStart w:id="2" w:name="_Toc17817319"/>
      <w:bookmarkStart w:id="3" w:name="_Toc11567"/>
      <w:r>
        <w:rPr>
          <w:sz w:val="48"/>
          <w:szCs w:val="48"/>
        </w:rPr>
        <w:t>第一卷</w:t>
      </w:r>
      <w:bookmarkEnd w:id="0"/>
      <w:bookmarkEnd w:id="1"/>
      <w:bookmarkEnd w:id="2"/>
      <w:bookmarkEnd w:id="3"/>
    </w:p>
    <w:p w14:paraId="6C246674">
      <w:pPr>
        <w:spacing w:line="500" w:lineRule="exact"/>
        <w:jc w:val="center"/>
        <w:rPr>
          <w:rStyle w:val="39"/>
          <w:rFonts w:hint="eastAsia" w:ascii="宋体" w:hAnsi="宋体"/>
        </w:rPr>
      </w:pPr>
    </w:p>
    <w:p w14:paraId="34B76E43">
      <w:pPr>
        <w:spacing w:line="500" w:lineRule="exact"/>
        <w:jc w:val="center"/>
        <w:rPr>
          <w:rStyle w:val="39"/>
          <w:rFonts w:hint="eastAsia" w:ascii="宋体" w:hAnsi="宋体"/>
        </w:rPr>
      </w:pPr>
    </w:p>
    <w:p w14:paraId="599FA8F2">
      <w:pPr>
        <w:spacing w:line="500" w:lineRule="exact"/>
        <w:jc w:val="center"/>
        <w:rPr>
          <w:rStyle w:val="39"/>
          <w:rFonts w:hint="eastAsia" w:ascii="宋体" w:hAnsi="宋体"/>
        </w:rPr>
      </w:pPr>
    </w:p>
    <w:p w14:paraId="74B0C9E7">
      <w:pPr>
        <w:spacing w:line="500" w:lineRule="exact"/>
        <w:jc w:val="center"/>
        <w:rPr>
          <w:rStyle w:val="39"/>
          <w:rFonts w:hint="eastAsia" w:ascii="宋体" w:hAnsi="宋体"/>
        </w:rPr>
      </w:pPr>
    </w:p>
    <w:p w14:paraId="552AAFDF">
      <w:pPr>
        <w:spacing w:line="500" w:lineRule="exact"/>
        <w:jc w:val="center"/>
        <w:rPr>
          <w:rStyle w:val="39"/>
          <w:rFonts w:hint="eastAsia" w:ascii="宋体" w:hAnsi="宋体"/>
        </w:rPr>
      </w:pPr>
    </w:p>
    <w:p w14:paraId="2906079C">
      <w:pPr>
        <w:pStyle w:val="13"/>
        <w:rPr>
          <w:lang w:bidi="en-US"/>
        </w:rPr>
      </w:pPr>
    </w:p>
    <w:p w14:paraId="5C6ACA97">
      <w:pPr>
        <w:pStyle w:val="13"/>
        <w:rPr>
          <w:lang w:bidi="en-US"/>
        </w:rPr>
      </w:pPr>
    </w:p>
    <w:p w14:paraId="28A42740">
      <w:pPr>
        <w:spacing w:line="500" w:lineRule="exact"/>
        <w:rPr>
          <w:rStyle w:val="39"/>
          <w:rFonts w:hint="eastAsia" w:ascii="宋体" w:hAnsi="宋体"/>
        </w:rPr>
      </w:pPr>
    </w:p>
    <w:p w14:paraId="3DECFBCF">
      <w:pPr>
        <w:spacing w:line="500" w:lineRule="exact"/>
        <w:jc w:val="center"/>
        <w:rPr>
          <w:rStyle w:val="39"/>
          <w:rFonts w:hint="eastAsia" w:ascii="宋体" w:hAnsi="宋体"/>
        </w:rPr>
      </w:pPr>
    </w:p>
    <w:p w14:paraId="15084974">
      <w:pPr>
        <w:spacing w:line="500" w:lineRule="exact"/>
        <w:jc w:val="center"/>
        <w:rPr>
          <w:rStyle w:val="39"/>
          <w:rFonts w:hint="eastAsia" w:ascii="宋体" w:hAnsi="宋体"/>
        </w:rPr>
      </w:pPr>
    </w:p>
    <w:p w14:paraId="7839F4C5">
      <w:pPr>
        <w:pStyle w:val="13"/>
        <w:rPr>
          <w:rStyle w:val="39"/>
          <w:rFonts w:hint="eastAsia" w:ascii="宋体" w:hAnsi="宋体"/>
        </w:rPr>
      </w:pPr>
    </w:p>
    <w:p w14:paraId="2C82C274"/>
    <w:p w14:paraId="405B8CCE">
      <w:pPr>
        <w:spacing w:line="500" w:lineRule="exact"/>
        <w:jc w:val="center"/>
        <w:rPr>
          <w:rStyle w:val="39"/>
          <w:rFonts w:hint="eastAsia" w:ascii="宋体" w:hAnsi="宋体"/>
        </w:rPr>
      </w:pPr>
    </w:p>
    <w:p w14:paraId="614AB9A3">
      <w:pPr>
        <w:spacing w:line="500" w:lineRule="exact"/>
        <w:jc w:val="center"/>
        <w:rPr>
          <w:rStyle w:val="39"/>
          <w:rFonts w:hint="eastAsia" w:ascii="宋体" w:hAnsi="宋体"/>
        </w:rPr>
      </w:pPr>
    </w:p>
    <w:p w14:paraId="34BD6F98">
      <w:pPr>
        <w:pStyle w:val="6"/>
        <w:jc w:val="center"/>
      </w:pPr>
      <w:bookmarkStart w:id="4" w:name="_Toc8051"/>
      <w:bookmarkStart w:id="5" w:name="_Toc16518"/>
      <w:bookmarkStart w:id="6" w:name="_Toc23462"/>
      <w:bookmarkStart w:id="7" w:name="_Toc22090"/>
      <w:bookmarkStart w:id="8" w:name="_Toc17817321"/>
      <w:bookmarkStart w:id="9" w:name="_Toc9654"/>
      <w:r>
        <w:rPr>
          <w:rFonts w:hint="eastAsia"/>
          <w:i w:val="0"/>
          <w:sz w:val="32"/>
          <w:szCs w:val="32"/>
        </w:rPr>
        <w:t>第一章   招标公告</w:t>
      </w:r>
      <w:bookmarkEnd w:id="4"/>
      <w:bookmarkEnd w:id="5"/>
      <w:bookmarkEnd w:id="6"/>
      <w:bookmarkEnd w:id="7"/>
    </w:p>
    <w:p w14:paraId="6BE92E39">
      <w:pPr>
        <w:pStyle w:val="6"/>
        <w:jc w:val="left"/>
        <w:rPr>
          <w:rFonts w:hint="eastAsia" w:ascii="宋体" w:hAnsi="宋体" w:cs="宋体"/>
          <w:kern w:val="0"/>
          <w:sz w:val="24"/>
          <w:lang w:bidi="en-US"/>
        </w:rPr>
      </w:pPr>
      <w:bookmarkStart w:id="10" w:name="_Toc21867"/>
      <w:r>
        <w:rPr>
          <w:rFonts w:hint="eastAsia" w:ascii="宋体" w:hAnsi="宋体" w:cs="宋体"/>
          <w:i w:val="0"/>
          <w:iCs w:val="0"/>
          <w:kern w:val="0"/>
          <w:sz w:val="24"/>
          <w:szCs w:val="24"/>
          <w:lang w:bidi="en-US"/>
        </w:rPr>
        <w:t>1.招标条件</w:t>
      </w:r>
      <w:bookmarkEnd w:id="10"/>
    </w:p>
    <w:p w14:paraId="61C9B2A8">
      <w:pPr>
        <w:widowControl/>
        <w:spacing w:line="360" w:lineRule="auto"/>
        <w:ind w:firstLine="480" w:firstLineChars="200"/>
        <w:jc w:val="left"/>
        <w:rPr>
          <w:rFonts w:ascii="宋体" w:cs="宋体"/>
          <w:sz w:val="24"/>
          <w:lang w:bidi="ar"/>
        </w:rPr>
      </w:pPr>
      <w:r>
        <w:rPr>
          <w:rFonts w:hint="eastAsia" w:ascii="宋体" w:hAnsi="宋体" w:cs="宋体"/>
          <w:kern w:val="0"/>
          <w:sz w:val="24"/>
          <w:u w:val="single"/>
          <w:lang w:bidi="en-US"/>
        </w:rPr>
        <w:t>中国重汽集团济南卡车股份有限公司</w:t>
      </w:r>
      <w:r>
        <w:rPr>
          <w:rFonts w:hint="eastAsia" w:ascii="宋体" w:hAnsi="宋体" w:cs="宋体"/>
          <w:kern w:val="0"/>
          <w:sz w:val="24"/>
          <w:lang w:bidi="en-US"/>
        </w:rPr>
        <w:t>针对</w:t>
      </w:r>
      <w:r>
        <w:rPr>
          <w:rFonts w:hint="eastAsia" w:ascii="宋体" w:hAnsi="宋体" w:cs="宋体"/>
          <w:kern w:val="0"/>
          <w:sz w:val="24"/>
          <w:u w:val="single"/>
          <w:lang w:bidi="en-US"/>
        </w:rPr>
        <w:t>济南卡车制造公司莱芜厂区新建大棚及地面硬化技改项目、辊压线废料再利用技改项目工程施工</w:t>
      </w:r>
      <w:r>
        <w:rPr>
          <w:rFonts w:hint="eastAsia" w:ascii="宋体" w:hAnsi="宋体" w:cs="宋体"/>
          <w:kern w:val="0"/>
          <w:sz w:val="24"/>
          <w:lang w:bidi="en-US"/>
        </w:rPr>
        <w:t>项目，以公开招标的方式</w:t>
      </w:r>
      <w:r>
        <w:rPr>
          <w:rFonts w:hint="eastAsia" w:ascii="宋体" w:hAnsi="宋体" w:cs="宋体"/>
          <w:kern w:val="0"/>
          <w:sz w:val="24"/>
          <w:u w:val="single"/>
          <w:lang w:bidi="en-US"/>
        </w:rPr>
        <w:t>合并</w:t>
      </w:r>
      <w:r>
        <w:rPr>
          <w:rFonts w:hint="eastAsia" w:ascii="宋体" w:hAnsi="宋体" w:cs="宋体"/>
          <w:kern w:val="0"/>
          <w:sz w:val="24"/>
          <w:lang w:bidi="en-US"/>
        </w:rPr>
        <w:t>组织招标。本项目业主分别为</w:t>
      </w:r>
      <w:r>
        <w:rPr>
          <w:rFonts w:hint="eastAsia" w:ascii="宋体" w:hAnsi="宋体" w:cs="宋体"/>
          <w:kern w:val="0"/>
          <w:sz w:val="24"/>
          <w:u w:val="single"/>
          <w:lang w:bidi="en-US"/>
        </w:rPr>
        <w:t>中国重汽集团济南卡车股份有限公司</w:t>
      </w:r>
      <w:r>
        <w:rPr>
          <w:rFonts w:hint="eastAsia" w:ascii="宋体" w:hAnsi="宋体" w:cs="宋体"/>
          <w:kern w:val="0"/>
          <w:sz w:val="24"/>
          <w:lang w:bidi="en-US"/>
        </w:rPr>
        <w:t>，建设资金来自</w:t>
      </w:r>
      <w:r>
        <w:rPr>
          <w:rFonts w:hint="eastAsia" w:ascii="宋体" w:hAnsi="宋体" w:cs="宋体"/>
          <w:kern w:val="0"/>
          <w:sz w:val="24"/>
          <w:u w:val="single"/>
          <w:lang w:bidi="en-US"/>
        </w:rPr>
        <w:t xml:space="preserve"> 企业自筹 </w:t>
      </w:r>
      <w:r>
        <w:rPr>
          <w:rFonts w:hint="eastAsia" w:ascii="宋体" w:hAnsi="宋体" w:cs="宋体"/>
          <w:kern w:val="0"/>
          <w:sz w:val="24"/>
          <w:lang w:bidi="en-US"/>
        </w:rPr>
        <w:t>，出资比例为</w:t>
      </w:r>
      <w:r>
        <w:rPr>
          <w:rFonts w:hint="eastAsia" w:ascii="宋体" w:hAnsi="宋体" w:cs="宋体"/>
          <w:kern w:val="0"/>
          <w:sz w:val="24"/>
          <w:u w:val="single"/>
          <w:lang w:bidi="en-US"/>
        </w:rPr>
        <w:t xml:space="preserve"> 100% </w:t>
      </w:r>
      <w:r>
        <w:rPr>
          <w:rFonts w:hint="eastAsia" w:ascii="宋体" w:hAnsi="宋体" w:cs="宋体"/>
          <w:kern w:val="0"/>
          <w:sz w:val="24"/>
          <w:lang w:bidi="en-US"/>
        </w:rPr>
        <w:t>。该项目现已具备招标条件，欢迎具备条件的潜在投标人参加投标。</w:t>
      </w:r>
    </w:p>
    <w:p w14:paraId="01AB3F7A">
      <w:pPr>
        <w:widowControl/>
        <w:spacing w:line="500" w:lineRule="exact"/>
        <w:jc w:val="left"/>
        <w:rPr>
          <w:rFonts w:hint="eastAsia" w:ascii="宋体" w:hAnsi="宋体" w:cs="宋体"/>
          <w:kern w:val="0"/>
          <w:sz w:val="24"/>
          <w:lang w:bidi="en-US"/>
        </w:rPr>
      </w:pPr>
      <w:r>
        <w:rPr>
          <w:rFonts w:hint="eastAsia" w:ascii="宋体" w:hAnsi="宋体" w:cs="宋体"/>
          <w:b/>
          <w:bCs/>
          <w:kern w:val="0"/>
          <w:sz w:val="24"/>
          <w:lang w:bidi="en-US"/>
        </w:rPr>
        <w:t>2.项目概况与招标范围</w:t>
      </w:r>
    </w:p>
    <w:p w14:paraId="78DD54A8">
      <w:pPr>
        <w:widowControl/>
        <w:spacing w:line="360" w:lineRule="auto"/>
        <w:jc w:val="left"/>
        <w:rPr>
          <w:rFonts w:hint="eastAsia" w:ascii="宋体" w:hAnsi="宋体" w:cs="宋体"/>
          <w:kern w:val="0"/>
          <w:sz w:val="24"/>
          <w:lang w:bidi="en-US"/>
        </w:rPr>
      </w:pPr>
      <w:bookmarkStart w:id="11" w:name="_Toc152045514"/>
      <w:bookmarkEnd w:id="11"/>
      <w:bookmarkStart w:id="12" w:name="_Toc179632530"/>
      <w:bookmarkEnd w:id="12"/>
      <w:bookmarkStart w:id="13" w:name="_Toc152042290"/>
      <w:bookmarkEnd w:id="13"/>
      <w:bookmarkStart w:id="14" w:name="_Toc144974482"/>
      <w:bookmarkEnd w:id="14"/>
      <w:bookmarkStart w:id="15" w:name="_Toc285809451"/>
      <w:bookmarkEnd w:id="15"/>
      <w:r>
        <w:rPr>
          <w:rFonts w:hint="eastAsia" w:ascii="宋体" w:hAnsi="宋体" w:cs="宋体"/>
          <w:kern w:val="0"/>
          <w:sz w:val="24"/>
          <w:lang w:bidi="en-US"/>
        </w:rPr>
        <w:t>2.1工程名称：</w:t>
      </w:r>
      <w:r>
        <w:rPr>
          <w:rStyle w:val="39"/>
          <w:rFonts w:hint="eastAsia" w:ascii="宋体" w:hAnsi="宋体"/>
          <w:sz w:val="24"/>
          <w:u w:val="single"/>
        </w:rPr>
        <w:t>济南卡车制造公司莱芜厂区新建大棚及地面硬化技改项目、辊压线废料再利用技改项目工程施工；</w:t>
      </w:r>
    </w:p>
    <w:p w14:paraId="6A27EEA1">
      <w:pPr>
        <w:widowControl/>
        <w:spacing w:line="360" w:lineRule="auto"/>
        <w:jc w:val="left"/>
        <w:rPr>
          <w:rStyle w:val="39"/>
          <w:rFonts w:hint="eastAsia" w:ascii="宋体" w:hAnsi="宋体"/>
          <w:sz w:val="24"/>
          <w:u w:val="single"/>
        </w:rPr>
      </w:pPr>
      <w:r>
        <w:rPr>
          <w:rFonts w:hint="eastAsia" w:ascii="宋体" w:hAnsi="宋体" w:cs="宋体"/>
          <w:kern w:val="0"/>
          <w:sz w:val="24"/>
          <w:lang w:bidi="en-US"/>
        </w:rPr>
        <w:t>2.2工程地点：</w:t>
      </w:r>
      <w:r>
        <w:rPr>
          <w:rStyle w:val="39"/>
          <w:rFonts w:hint="eastAsia" w:ascii="宋体" w:hAnsi="宋体"/>
          <w:sz w:val="24"/>
          <w:u w:val="single"/>
        </w:rPr>
        <w:t>山东省济南市莱芜区；</w:t>
      </w:r>
    </w:p>
    <w:p w14:paraId="6DF8562B">
      <w:pPr>
        <w:widowControl/>
        <w:spacing w:line="360" w:lineRule="auto"/>
        <w:jc w:val="left"/>
        <w:rPr>
          <w:rFonts w:hint="eastAsia" w:ascii="宋体" w:hAnsi="宋体" w:cs="宋体"/>
          <w:kern w:val="0"/>
          <w:sz w:val="24"/>
          <w:lang w:bidi="en-US"/>
        </w:rPr>
      </w:pPr>
      <w:r>
        <w:rPr>
          <w:rFonts w:hint="eastAsia" w:ascii="宋体" w:hAnsi="宋体" w:cs="宋体"/>
          <w:kern w:val="0"/>
          <w:sz w:val="24"/>
          <w:lang w:bidi="en-US"/>
        </w:rPr>
        <w:t>2.3工程概况：</w:t>
      </w:r>
    </w:p>
    <w:p w14:paraId="67C2249A">
      <w:pPr>
        <w:widowControl/>
        <w:spacing w:line="360" w:lineRule="auto"/>
        <w:jc w:val="left"/>
        <w:rPr>
          <w:rStyle w:val="39"/>
          <w:rFonts w:hint="eastAsia" w:ascii="宋体" w:hAnsi="宋体" w:eastAsiaTheme="minorEastAsia"/>
          <w:sz w:val="24"/>
          <w:u w:val="single"/>
        </w:rPr>
      </w:pPr>
      <w:r>
        <w:rPr>
          <w:rStyle w:val="39"/>
          <w:rFonts w:hint="eastAsia" w:ascii="宋体" w:hAnsi="宋体"/>
          <w:sz w:val="24"/>
          <w:u w:val="single"/>
        </w:rPr>
        <w:t>（1）莱芜厂区新建大棚及地面硬化技改项目：为满足下线车辆停放要求，改善员工作业环境，在试制车间西侧新建调试大棚（</w:t>
      </w:r>
      <w:r>
        <w:rPr>
          <w:rStyle w:val="39"/>
          <w:rFonts w:hint="eastAsia" w:ascii="宋体" w:hAnsi="宋体"/>
          <w:sz w:val="24"/>
          <w:u w:val="single"/>
          <w:lang w:val="en-US" w:eastAsia="zh-CN"/>
        </w:rPr>
        <w:t>建筑</w:t>
      </w:r>
      <w:r>
        <w:rPr>
          <w:rStyle w:val="39"/>
          <w:rFonts w:hint="eastAsia" w:ascii="宋体" w:hAnsi="宋体"/>
          <w:sz w:val="24"/>
          <w:u w:val="single"/>
        </w:rPr>
        <w:t>面积约10</w:t>
      </w:r>
      <w:r>
        <w:rPr>
          <w:rStyle w:val="39"/>
          <w:rFonts w:hint="eastAsia" w:ascii="宋体" w:hAnsi="宋体"/>
          <w:sz w:val="24"/>
          <w:u w:val="single"/>
          <w:lang w:val="en-US" w:eastAsia="zh-CN"/>
        </w:rPr>
        <w:t>31</w:t>
      </w:r>
      <w:r>
        <w:rPr>
          <w:rStyle w:val="39"/>
          <w:rFonts w:hint="eastAsia" w:ascii="宋体" w:hAnsi="宋体"/>
          <w:sz w:val="24"/>
          <w:u w:val="single"/>
        </w:rPr>
        <w:t>㎡）；恒温库北侧区域进行地面硬化（面积约1</w:t>
      </w:r>
      <w:r>
        <w:rPr>
          <w:rStyle w:val="39"/>
          <w:rFonts w:hint="eastAsia" w:ascii="宋体" w:hAnsi="宋体"/>
          <w:sz w:val="24"/>
          <w:u w:val="single"/>
          <w:lang w:val="en-US" w:eastAsia="zh-CN"/>
        </w:rPr>
        <w:t>595</w:t>
      </w:r>
      <w:r>
        <w:rPr>
          <w:rStyle w:val="39"/>
          <w:rFonts w:hint="eastAsia" w:ascii="宋体" w:hAnsi="宋体"/>
          <w:sz w:val="24"/>
          <w:u w:val="single"/>
        </w:rPr>
        <w:t>㎡）等。本次招标范围</w:t>
      </w:r>
      <w:r>
        <w:rPr>
          <w:rStyle w:val="39"/>
          <w:rFonts w:hint="eastAsia" w:ascii="宋体" w:hAnsi="宋体" w:eastAsiaTheme="minorEastAsia" w:cstheme="minorBidi"/>
          <w:sz w:val="24"/>
          <w:u w:val="single"/>
        </w:rPr>
        <w:t>为本批复内的室内外建安施工内容。(</w:t>
      </w:r>
      <w:r>
        <w:rPr>
          <w:rStyle w:val="39"/>
          <w:rFonts w:hint="eastAsia" w:ascii="宋体" w:hAnsi="宋体"/>
          <w:sz w:val="24"/>
          <w:u w:val="single"/>
        </w:rPr>
        <w:t>以最终规划面积为准，属于</w:t>
      </w:r>
      <w:r>
        <w:rPr>
          <w:rFonts w:hint="eastAsia" w:ascii="宋体" w:cs="宋体"/>
          <w:sz w:val="24"/>
          <w:u w:val="single"/>
        </w:rPr>
        <w:t>政府报建项目)</w:t>
      </w:r>
    </w:p>
    <w:p w14:paraId="38B66E0E">
      <w:pPr>
        <w:widowControl/>
        <w:spacing w:line="360" w:lineRule="auto"/>
        <w:jc w:val="left"/>
        <w:rPr>
          <w:rStyle w:val="39"/>
          <w:rFonts w:hint="eastAsia" w:ascii="宋体" w:hAnsi="宋体" w:eastAsiaTheme="minorEastAsia" w:cstheme="minorBidi"/>
          <w:sz w:val="24"/>
          <w:highlight w:val="yellow"/>
          <w:u w:val="single"/>
        </w:rPr>
      </w:pPr>
      <w:r>
        <w:rPr>
          <w:rStyle w:val="39"/>
          <w:rFonts w:hint="eastAsia" w:ascii="宋体" w:hAnsi="宋体"/>
          <w:sz w:val="24"/>
          <w:u w:val="single"/>
        </w:rPr>
        <w:t>（2）莱芜厂区辊压线废料再利用技改项目：提升辊压线余料利用率，在纵梁加工车间外东侧，新建仓库（</w:t>
      </w:r>
      <w:r>
        <w:rPr>
          <w:rStyle w:val="39"/>
          <w:rFonts w:hint="eastAsia" w:ascii="宋体" w:hAnsi="宋体"/>
          <w:sz w:val="24"/>
          <w:u w:val="single"/>
          <w:lang w:val="en-US" w:eastAsia="zh-CN"/>
        </w:rPr>
        <w:t>建筑</w:t>
      </w:r>
      <w:r>
        <w:rPr>
          <w:rStyle w:val="39"/>
          <w:rFonts w:hint="eastAsia" w:ascii="宋体" w:hAnsi="宋体"/>
          <w:sz w:val="24"/>
          <w:u w:val="single"/>
        </w:rPr>
        <w:t>面积约5</w:t>
      </w:r>
      <w:r>
        <w:rPr>
          <w:rStyle w:val="39"/>
          <w:rFonts w:hint="eastAsia" w:ascii="宋体" w:hAnsi="宋体"/>
          <w:sz w:val="24"/>
          <w:u w:val="single"/>
          <w:lang w:val="en-US" w:eastAsia="zh-CN"/>
        </w:rPr>
        <w:t>56</w:t>
      </w:r>
      <w:r>
        <w:rPr>
          <w:rStyle w:val="39"/>
          <w:rFonts w:hint="eastAsia" w:ascii="宋体" w:hAnsi="宋体"/>
          <w:sz w:val="24"/>
          <w:u w:val="single"/>
        </w:rPr>
        <w:t>㎡）及雨棚（</w:t>
      </w:r>
      <w:r>
        <w:rPr>
          <w:rStyle w:val="39"/>
          <w:rFonts w:hint="eastAsia" w:ascii="宋体" w:hAnsi="宋体"/>
          <w:sz w:val="24"/>
          <w:u w:val="single"/>
          <w:lang w:val="en-US" w:eastAsia="zh-CN"/>
        </w:rPr>
        <w:t>建筑</w:t>
      </w:r>
      <w:r>
        <w:rPr>
          <w:rStyle w:val="39"/>
          <w:rFonts w:hint="eastAsia" w:ascii="宋体" w:hAnsi="宋体"/>
          <w:sz w:val="24"/>
          <w:u w:val="single"/>
        </w:rPr>
        <w:t>面积约</w:t>
      </w:r>
      <w:r>
        <w:rPr>
          <w:rStyle w:val="39"/>
          <w:rFonts w:hint="eastAsia" w:ascii="宋体" w:hAnsi="宋体"/>
          <w:sz w:val="24"/>
          <w:u w:val="single"/>
          <w:lang w:val="en-US" w:eastAsia="zh-CN"/>
        </w:rPr>
        <w:t>57</w:t>
      </w:r>
      <w:r>
        <w:rPr>
          <w:rStyle w:val="39"/>
          <w:rFonts w:hint="eastAsia" w:ascii="宋体" w:hAnsi="宋体"/>
          <w:sz w:val="24"/>
          <w:u w:val="single"/>
        </w:rPr>
        <w:t>㎡）等。</w:t>
      </w:r>
      <w:r>
        <w:rPr>
          <w:rStyle w:val="39"/>
          <w:rFonts w:hint="eastAsia" w:ascii="宋体" w:hAnsi="宋体" w:eastAsiaTheme="minorEastAsia" w:cstheme="minorBidi"/>
          <w:sz w:val="24"/>
          <w:u w:val="single"/>
        </w:rPr>
        <w:t>本次招标范围为本批复内的室内外建安施工内容。(</w:t>
      </w:r>
      <w:r>
        <w:rPr>
          <w:rStyle w:val="39"/>
          <w:rFonts w:hint="eastAsia" w:ascii="宋体" w:hAnsi="宋体"/>
          <w:sz w:val="24"/>
          <w:u w:val="single"/>
        </w:rPr>
        <w:t>以最终规划面积为准，属于</w:t>
      </w:r>
      <w:r>
        <w:rPr>
          <w:rFonts w:hint="eastAsia" w:ascii="宋体" w:cs="宋体"/>
          <w:sz w:val="24"/>
          <w:u w:val="single"/>
        </w:rPr>
        <w:t>政府报建项目)</w:t>
      </w:r>
    </w:p>
    <w:p w14:paraId="2A8D9950">
      <w:pPr>
        <w:widowControl/>
        <w:spacing w:line="360" w:lineRule="auto"/>
        <w:jc w:val="left"/>
        <w:rPr>
          <w:rFonts w:hint="eastAsia" w:ascii="宋体" w:hAnsi="宋体" w:cs="宋体"/>
          <w:kern w:val="0"/>
          <w:sz w:val="24"/>
          <w:highlight w:val="none"/>
          <w:lang w:bidi="en-US"/>
        </w:rPr>
      </w:pPr>
      <w:r>
        <w:rPr>
          <w:rFonts w:hint="eastAsia" w:ascii="宋体" w:hAnsi="宋体" w:cs="宋体"/>
          <w:kern w:val="0"/>
          <w:sz w:val="24"/>
          <w:lang w:bidi="en-US"/>
        </w:rPr>
        <w:t>2.4资金来源：</w:t>
      </w:r>
      <w:r>
        <w:rPr>
          <w:rFonts w:hint="eastAsia" w:ascii="宋体" w:hAnsi="宋体" w:cs="宋体"/>
          <w:kern w:val="0"/>
          <w:sz w:val="24"/>
          <w:u w:val="single"/>
          <w:lang w:bidi="en-US"/>
        </w:rPr>
        <w:t>企</w:t>
      </w:r>
      <w:r>
        <w:rPr>
          <w:rFonts w:hint="eastAsia" w:ascii="宋体" w:hAnsi="宋体" w:cs="宋体"/>
          <w:kern w:val="0"/>
          <w:sz w:val="24"/>
          <w:highlight w:val="none"/>
          <w:u w:val="single"/>
          <w:lang w:bidi="en-US"/>
        </w:rPr>
        <w:t>业自筹，已落实；</w:t>
      </w:r>
    </w:p>
    <w:p w14:paraId="10350B36">
      <w:pPr>
        <w:widowControl/>
        <w:spacing w:line="360" w:lineRule="auto"/>
        <w:jc w:val="left"/>
        <w:rPr>
          <w:rStyle w:val="39"/>
          <w:rFonts w:hint="eastAsia" w:ascii="宋体" w:hAnsi="宋体" w:eastAsiaTheme="minorEastAsia" w:cstheme="minorBidi"/>
          <w:sz w:val="24"/>
          <w:highlight w:val="none"/>
        </w:rPr>
      </w:pPr>
      <w:r>
        <w:rPr>
          <w:rFonts w:hint="eastAsia" w:ascii="宋体" w:hAnsi="宋体" w:cs="宋体"/>
          <w:kern w:val="0"/>
          <w:sz w:val="24"/>
          <w:highlight w:val="none"/>
          <w:lang w:bidi="en-US"/>
        </w:rPr>
        <w:t>2.5工期要求</w:t>
      </w:r>
      <w:r>
        <w:rPr>
          <w:rStyle w:val="39"/>
          <w:rFonts w:hint="eastAsia" w:ascii="宋体" w:hAnsi="宋体" w:eastAsiaTheme="minorEastAsia" w:cstheme="minorBidi"/>
          <w:sz w:val="24"/>
          <w:highlight w:val="none"/>
        </w:rPr>
        <w:t>：</w:t>
      </w:r>
      <w:r>
        <w:rPr>
          <w:rStyle w:val="39"/>
          <w:rFonts w:hint="eastAsia" w:ascii="宋体" w:hAnsi="宋体" w:eastAsiaTheme="minorEastAsia" w:cstheme="minorBidi"/>
          <w:sz w:val="24"/>
          <w:highlight w:val="none"/>
          <w:u w:val="single"/>
        </w:rPr>
        <w:t>总工期暂定</w:t>
      </w:r>
      <w:r>
        <w:rPr>
          <w:rStyle w:val="39"/>
          <w:rFonts w:hint="eastAsia" w:ascii="宋体" w:hAnsi="宋体" w:eastAsiaTheme="minorEastAsia" w:cstheme="minorBidi"/>
          <w:sz w:val="24"/>
          <w:highlight w:val="none"/>
          <w:u w:val="single"/>
          <w:lang w:val="en-US" w:eastAsia="zh-CN"/>
        </w:rPr>
        <w:t>9</w:t>
      </w:r>
      <w:r>
        <w:rPr>
          <w:rStyle w:val="39"/>
          <w:rFonts w:hint="eastAsia" w:ascii="宋体" w:hAnsi="宋体" w:eastAsiaTheme="minorEastAsia" w:cstheme="minorBidi"/>
          <w:sz w:val="24"/>
          <w:highlight w:val="none"/>
          <w:u w:val="single"/>
        </w:rPr>
        <w:t>0</w:t>
      </w:r>
      <w:r>
        <w:rPr>
          <w:rStyle w:val="39"/>
          <w:rFonts w:ascii="宋体" w:hAnsi="宋体" w:eastAsiaTheme="minorEastAsia" w:cstheme="minorBidi"/>
          <w:sz w:val="24"/>
          <w:highlight w:val="none"/>
          <w:u w:val="single"/>
        </w:rPr>
        <w:t>天</w:t>
      </w:r>
      <w:r>
        <w:rPr>
          <w:rStyle w:val="39"/>
          <w:rFonts w:hint="eastAsia" w:ascii="宋体" w:hAnsi="宋体" w:eastAsiaTheme="minorEastAsia" w:cstheme="minorBidi"/>
          <w:sz w:val="24"/>
          <w:highlight w:val="none"/>
          <w:u w:val="single"/>
        </w:rPr>
        <w:t>；</w:t>
      </w:r>
    </w:p>
    <w:p w14:paraId="08306086">
      <w:pPr>
        <w:widowControl/>
        <w:spacing w:line="360" w:lineRule="auto"/>
        <w:jc w:val="left"/>
      </w:pPr>
      <w:r>
        <w:rPr>
          <w:rFonts w:hint="eastAsia" w:ascii="宋体" w:hAnsi="宋体" w:cs="宋体"/>
          <w:kern w:val="0"/>
          <w:sz w:val="24"/>
          <w:lang w:bidi="en-US"/>
        </w:rPr>
        <w:t>2.6招标范围：</w:t>
      </w:r>
      <w:r>
        <w:rPr>
          <w:rFonts w:hint="eastAsia" w:ascii="宋体" w:hAnsi="宋体"/>
          <w:sz w:val="24"/>
          <w:u w:val="single"/>
        </w:rPr>
        <w:t>本次招标范围包括但不限于施工图纸范围内的全部工作内容的施工、验收及质量保修，以及设计变更、补充，以及清单外新增施工内容等。具体详见</w:t>
      </w:r>
      <w:r>
        <w:rPr>
          <w:rFonts w:hint="eastAsia" w:ascii="宋体" w:hAnsi="宋体" w:cs="宋体"/>
          <w:kern w:val="0"/>
          <w:sz w:val="24"/>
          <w:u w:val="single"/>
          <w:lang w:bidi="en-US"/>
        </w:rPr>
        <w:t>招标文件、图纸及工程量清单</w:t>
      </w:r>
      <w:r>
        <w:rPr>
          <w:rFonts w:hint="eastAsia" w:ascii="宋体" w:hAnsi="宋体"/>
          <w:sz w:val="24"/>
        </w:rPr>
        <w:t>。</w:t>
      </w:r>
    </w:p>
    <w:p w14:paraId="42237BC7">
      <w:pPr>
        <w:widowControl/>
        <w:spacing w:line="360" w:lineRule="auto"/>
        <w:jc w:val="left"/>
        <w:rPr>
          <w:rFonts w:hint="eastAsia" w:ascii="宋体" w:hAnsi="宋体" w:cs="宋体"/>
          <w:kern w:val="0"/>
          <w:sz w:val="24"/>
          <w:lang w:bidi="en-US"/>
        </w:rPr>
      </w:pPr>
      <w:r>
        <w:rPr>
          <w:rFonts w:hint="eastAsia" w:ascii="宋体" w:hAnsi="宋体" w:cs="宋体"/>
          <w:kern w:val="0"/>
          <w:sz w:val="24"/>
          <w:lang w:bidi="en-US"/>
        </w:rPr>
        <w:t>2.7本工程共分：</w:t>
      </w:r>
      <w:r>
        <w:rPr>
          <w:rFonts w:hint="eastAsia" w:ascii="宋体" w:hAnsi="宋体" w:cs="宋体"/>
          <w:kern w:val="0"/>
          <w:sz w:val="24"/>
          <w:u w:val="single"/>
          <w:lang w:bidi="en-US"/>
        </w:rPr>
        <w:t>一个</w:t>
      </w:r>
      <w:r>
        <w:rPr>
          <w:rFonts w:hint="eastAsia" w:ascii="宋体" w:hAnsi="宋体" w:cs="宋体"/>
          <w:kern w:val="0"/>
          <w:sz w:val="24"/>
          <w:lang w:bidi="en-US"/>
        </w:rPr>
        <w:t>标段</w:t>
      </w:r>
    </w:p>
    <w:p w14:paraId="5226A7A3">
      <w:pPr>
        <w:widowControl/>
        <w:spacing w:line="500" w:lineRule="exact"/>
        <w:jc w:val="left"/>
        <w:rPr>
          <w:rFonts w:hint="eastAsia" w:ascii="宋体" w:hAnsi="宋体" w:cs="宋体"/>
          <w:b/>
          <w:bCs/>
          <w:kern w:val="0"/>
          <w:sz w:val="24"/>
          <w:lang w:bidi="en-US"/>
        </w:rPr>
      </w:pPr>
      <w:r>
        <w:rPr>
          <w:rFonts w:hint="eastAsia" w:ascii="宋体" w:hAnsi="宋体" w:cs="宋体"/>
          <w:b/>
          <w:bCs/>
          <w:kern w:val="0"/>
          <w:sz w:val="24"/>
          <w:lang w:bidi="en-US"/>
        </w:rPr>
        <w:t>3．投标人资格要求</w:t>
      </w:r>
    </w:p>
    <w:p w14:paraId="7279701D">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3.1 本次招标要求投标人具备：</w:t>
      </w:r>
    </w:p>
    <w:p w14:paraId="70E575E3">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1）投标人必须是在中华人民共和国境内注册的独立法人机构，具有独立承担民事责任能力，注册资金不少于500万人民币；公司成立三年以上（以营业执照成立日期到开标当日满三年为准）；并在人员、设备、资金等方面具有承担本项目的能力；</w:t>
      </w:r>
    </w:p>
    <w:p w14:paraId="6DED6B58">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（2）投标人资质要求：须具有建筑工程施工总承包叁级及以上资质，并具有有效的安全生产许可证；</w:t>
      </w:r>
    </w:p>
    <w:p w14:paraId="24439D20">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（3）投标人拟派项目负责人要求：须具备建筑工程或机电工程专业二级注册建造师证书，具有有效的安全考核合格B证且不得担任其他在施建设工程项目的项目经理；</w:t>
      </w:r>
    </w:p>
    <w:p w14:paraId="09749D10">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（4）财务要求：近三年财务状况良好（近三年指2022、2023、2024年，要求包含企业最近半年完税证明、信用证明材料（中国人民银行征信报告）；年度纳税信用评价信息；企业对外担保说明）；</w:t>
      </w:r>
    </w:p>
    <w:p w14:paraId="1B972674">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（5）信誉要求：公司信誉良好，无行政处罚及失信记录等信息，无与本项目有关的违法违规等不良行为，无招标违规、谎报年度报告信息、提供虚假资质资料等行为或其他行政处罚记录；</w:t>
      </w:r>
    </w:p>
    <w:p w14:paraId="28722B22">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（6）近</w:t>
      </w:r>
      <w:r>
        <w:rPr>
          <w:rFonts w:hint="eastAsia" w:ascii="宋体" w:hAnsi="宋体" w:cs="宋体"/>
          <w:kern w:val="0"/>
          <w:sz w:val="24"/>
          <w:lang w:val="en-US" w:eastAsia="zh-CN" w:bidi="en-US"/>
        </w:rPr>
        <w:t>两</w:t>
      </w:r>
      <w:r>
        <w:rPr>
          <w:rFonts w:hint="eastAsia" w:ascii="宋体" w:hAnsi="宋体" w:cs="宋体"/>
          <w:kern w:val="0"/>
          <w:sz w:val="24"/>
          <w:lang w:bidi="en-US"/>
        </w:rPr>
        <w:t>年（202</w:t>
      </w:r>
      <w:r>
        <w:rPr>
          <w:rFonts w:hint="eastAsia" w:ascii="宋体" w:hAnsi="宋体" w:cs="宋体"/>
          <w:kern w:val="0"/>
          <w:sz w:val="24"/>
          <w:lang w:val="en-US" w:eastAsia="zh-CN" w:bidi="en-US"/>
        </w:rPr>
        <w:t>3</w:t>
      </w:r>
      <w:r>
        <w:rPr>
          <w:rFonts w:hint="eastAsia" w:ascii="宋体" w:hAnsi="宋体" w:cs="宋体"/>
          <w:kern w:val="0"/>
          <w:sz w:val="24"/>
          <w:lang w:bidi="en-US"/>
        </w:rPr>
        <w:t>年12月1日至今）至少承揽一个合同额不低于200万元的类似工业厂房业绩（近</w:t>
      </w:r>
      <w:r>
        <w:rPr>
          <w:rFonts w:hint="eastAsia" w:ascii="宋体" w:hAnsi="宋体" w:cs="宋体"/>
          <w:kern w:val="0"/>
          <w:sz w:val="24"/>
          <w:lang w:val="en-US" w:eastAsia="zh-CN" w:bidi="en-US"/>
        </w:rPr>
        <w:t>两</w:t>
      </w:r>
      <w:r>
        <w:rPr>
          <w:rFonts w:hint="eastAsia" w:ascii="宋体" w:hAnsi="宋体" w:cs="宋体"/>
          <w:kern w:val="0"/>
          <w:sz w:val="24"/>
          <w:lang w:bidi="en-US"/>
        </w:rPr>
        <w:t>年业绩指202</w:t>
      </w:r>
      <w:r>
        <w:rPr>
          <w:rFonts w:hint="eastAsia" w:ascii="宋体" w:hAnsi="宋体" w:cs="宋体"/>
          <w:kern w:val="0"/>
          <w:sz w:val="24"/>
          <w:lang w:val="en-US" w:eastAsia="zh-CN" w:bidi="en-US"/>
        </w:rPr>
        <w:t>3</w:t>
      </w:r>
      <w:r>
        <w:rPr>
          <w:rFonts w:hint="eastAsia" w:ascii="宋体" w:hAnsi="宋体" w:cs="宋体"/>
          <w:kern w:val="0"/>
          <w:sz w:val="24"/>
          <w:lang w:bidi="en-US"/>
        </w:rPr>
        <w:t>年12月1日至今，</w:t>
      </w:r>
      <w:r>
        <w:rPr>
          <w:rFonts w:hint="eastAsia" w:ascii="宋体" w:cs="宋体"/>
          <w:sz w:val="24"/>
          <w:lang w:bidi="ar"/>
        </w:rPr>
        <w:t>以合同签订时间为准，</w:t>
      </w:r>
      <w:r>
        <w:rPr>
          <w:rFonts w:hint="eastAsia" w:ascii="宋体" w:hAnsi="宋体" w:cs="宋体"/>
          <w:kern w:val="0"/>
          <w:sz w:val="24"/>
          <w:lang w:bidi="en-US"/>
        </w:rPr>
        <w:t>取得竣工验收报告的工业厂房业绩，</w:t>
      </w:r>
      <w:r>
        <w:rPr>
          <w:rFonts w:hint="eastAsia" w:ascii="宋体" w:cs="宋体"/>
          <w:sz w:val="24"/>
          <w:lang w:bidi="ar"/>
        </w:rPr>
        <w:t>报名时需提供合同及验收报告原件的扫描件</w:t>
      </w:r>
      <w:r>
        <w:rPr>
          <w:rFonts w:hint="eastAsia" w:ascii="宋体" w:hAnsi="宋体" w:cs="宋体"/>
          <w:kern w:val="0"/>
          <w:sz w:val="24"/>
          <w:lang w:bidi="en-US"/>
        </w:rPr>
        <w:t>）；</w:t>
      </w:r>
    </w:p>
    <w:p w14:paraId="6173C4EF">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（7）单位负责人为同一人或者存在控股、管理关系的不同投标人，不得同时报名参加本次招标活动，否则须另提供上级单位对本项目投标的授权。</w:t>
      </w:r>
    </w:p>
    <w:p w14:paraId="337C5DA5">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（8）投标人没有被我公司列入黑名单；</w:t>
      </w:r>
    </w:p>
    <w:p w14:paraId="2ED99FA6">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（9）投标人的直接或间接股东、法定代表人、董事、监事、高管非重汽员工及其亲属。</w:t>
      </w:r>
    </w:p>
    <w:p w14:paraId="597BC245">
      <w:pPr>
        <w:widowControl/>
        <w:spacing w:line="360" w:lineRule="auto"/>
        <w:ind w:left="2" w:firstLine="480" w:firstLineChars="200"/>
        <w:jc w:val="left"/>
        <w:rPr>
          <w:rFonts w:hint="eastAsia" w:ascii="宋体" w:hAnsi="宋体" w:cs="宋体"/>
          <w:kern w:val="0"/>
          <w:sz w:val="24"/>
          <w:lang w:bidi="en-US"/>
        </w:rPr>
      </w:pPr>
      <w:r>
        <w:rPr>
          <w:rFonts w:hint="eastAsia" w:ascii="宋体" w:hAnsi="宋体" w:cs="宋体"/>
          <w:kern w:val="0"/>
          <w:sz w:val="24"/>
          <w:lang w:bidi="en-US"/>
        </w:rPr>
        <w:t>（10）法律法规对合格投标人的其他要求、规定。</w:t>
      </w:r>
    </w:p>
    <w:p w14:paraId="20802DD3">
      <w:pPr>
        <w:widowControl/>
        <w:spacing w:line="360" w:lineRule="auto"/>
        <w:ind w:firstLine="480" w:firstLineChars="200"/>
        <w:jc w:val="left"/>
        <w:rPr>
          <w:rFonts w:hint="eastAsia" w:ascii="宋体" w:hAnsi="宋体" w:cs="宋体"/>
          <w:kern w:val="0"/>
          <w:sz w:val="24"/>
          <w:lang w:bidi="en-US"/>
        </w:rPr>
      </w:pPr>
      <w:r>
        <w:rPr>
          <w:rFonts w:hint="eastAsia" w:ascii="宋体" w:hAnsi="宋体" w:cs="宋体"/>
          <w:kern w:val="0"/>
          <w:sz w:val="24"/>
          <w:lang w:bidi="en-US"/>
        </w:rPr>
        <w:t>3.2 被邀请单位</w:t>
      </w:r>
      <w:r>
        <w:rPr>
          <w:rFonts w:hint="eastAsia" w:ascii="宋体" w:hAnsi="宋体" w:cs="宋体"/>
          <w:kern w:val="0"/>
          <w:sz w:val="24"/>
          <w:u w:val="single"/>
          <w:lang w:bidi="en-US"/>
        </w:rPr>
        <w:t xml:space="preserve"> 不可以 </w:t>
      </w:r>
      <w:r>
        <w:rPr>
          <w:rFonts w:hint="eastAsia" w:ascii="宋体" w:hAnsi="宋体" w:cs="宋体"/>
          <w:kern w:val="0"/>
          <w:sz w:val="24"/>
          <w:lang w:bidi="en-US"/>
        </w:rPr>
        <w:t>组成联合体投标。</w:t>
      </w:r>
    </w:p>
    <w:p w14:paraId="7279C88A">
      <w:pPr>
        <w:widowControl/>
        <w:spacing w:line="500" w:lineRule="exact"/>
        <w:jc w:val="left"/>
        <w:rPr>
          <w:rFonts w:hint="eastAsia" w:ascii="宋体" w:hAnsi="宋体" w:cs="宋体"/>
          <w:b/>
          <w:bCs/>
          <w:kern w:val="0"/>
          <w:sz w:val="24"/>
          <w:lang w:bidi="en-US"/>
        </w:rPr>
      </w:pPr>
      <w:r>
        <w:rPr>
          <w:rFonts w:hint="eastAsia" w:ascii="宋体" w:hAnsi="宋体" w:cs="宋体"/>
          <w:b/>
          <w:bCs/>
          <w:kern w:val="0"/>
          <w:sz w:val="24"/>
          <w:lang w:bidi="en-US"/>
        </w:rPr>
        <w:t>4．报名及招标文件的获取</w:t>
      </w:r>
    </w:p>
    <w:p w14:paraId="4F9B1FC8">
      <w:pPr>
        <w:widowControl/>
        <w:spacing w:line="360" w:lineRule="auto"/>
        <w:ind w:firstLine="480" w:firstLineChars="200"/>
        <w:rPr>
          <w:rFonts w:ascii="宋体" w:cs="宋体"/>
          <w:sz w:val="24"/>
          <w:lang w:bidi="ar"/>
        </w:rPr>
      </w:pPr>
      <w:r>
        <w:rPr>
          <w:rFonts w:hint="eastAsia" w:ascii="宋体" w:hAnsi="宋体" w:cs="宋体"/>
          <w:kern w:val="0"/>
          <w:sz w:val="24"/>
          <w:lang w:bidi="en-US"/>
        </w:rPr>
        <w:t>4.1</w:t>
      </w:r>
      <w:r>
        <w:rPr>
          <w:rFonts w:hint="eastAsia" w:ascii="宋体" w:cs="宋体"/>
          <w:sz w:val="24"/>
          <w:lang w:bidi="ar"/>
        </w:rPr>
        <w:t>凡有意参加投标者，请于</w:t>
      </w:r>
      <w:r>
        <w:rPr>
          <w:rFonts w:hint="eastAsia" w:ascii="宋体" w:cs="宋体"/>
          <w:sz w:val="24"/>
          <w:highlight w:val="cyan"/>
          <w:lang w:bidi="ar"/>
        </w:rPr>
        <w:t>2025年</w:t>
      </w:r>
      <w:r>
        <w:rPr>
          <w:rFonts w:hint="eastAsia" w:ascii="宋体" w:cs="宋体"/>
          <w:sz w:val="24"/>
          <w:highlight w:val="cyan"/>
          <w:lang w:val="en-US" w:eastAsia="zh-CN" w:bidi="ar"/>
        </w:rPr>
        <w:t>12</w:t>
      </w:r>
      <w:r>
        <w:rPr>
          <w:rFonts w:hint="eastAsia" w:ascii="宋体" w:cs="宋体"/>
          <w:sz w:val="24"/>
          <w:highlight w:val="cyan"/>
          <w:lang w:bidi="ar"/>
        </w:rPr>
        <w:t>月</w:t>
      </w:r>
      <w:r>
        <w:rPr>
          <w:rFonts w:hint="eastAsia" w:ascii="宋体" w:cs="宋体"/>
          <w:sz w:val="24"/>
          <w:highlight w:val="cyan"/>
          <w:lang w:val="en-US" w:eastAsia="zh-CN" w:bidi="ar"/>
        </w:rPr>
        <w:t>13</w:t>
      </w:r>
      <w:r>
        <w:rPr>
          <w:rFonts w:hint="eastAsia" w:ascii="宋体" w:cs="宋体"/>
          <w:sz w:val="24"/>
          <w:highlight w:val="cyan"/>
          <w:lang w:bidi="ar"/>
        </w:rPr>
        <w:t>日</w:t>
      </w:r>
      <w:r>
        <w:rPr>
          <w:rFonts w:hint="eastAsia" w:ascii="宋体" w:cs="宋体"/>
          <w:sz w:val="24"/>
          <w:lang w:bidi="ar"/>
        </w:rPr>
        <w:t>到</w:t>
      </w:r>
      <w:r>
        <w:rPr>
          <w:rFonts w:hint="eastAsia" w:ascii="宋体" w:cs="宋体"/>
          <w:sz w:val="24"/>
          <w:highlight w:val="cyan"/>
          <w:lang w:bidi="ar"/>
        </w:rPr>
        <w:t>2025年</w:t>
      </w:r>
      <w:r>
        <w:rPr>
          <w:rFonts w:hint="eastAsia" w:ascii="宋体" w:cs="宋体"/>
          <w:sz w:val="24"/>
          <w:highlight w:val="cyan"/>
          <w:lang w:val="en-US" w:eastAsia="zh-CN" w:bidi="ar"/>
        </w:rPr>
        <w:t>12</w:t>
      </w:r>
      <w:r>
        <w:rPr>
          <w:rFonts w:hint="eastAsia" w:ascii="宋体" w:cs="宋体"/>
          <w:sz w:val="24"/>
          <w:highlight w:val="cyan"/>
          <w:lang w:bidi="ar"/>
        </w:rPr>
        <w:t>月</w:t>
      </w:r>
      <w:r>
        <w:rPr>
          <w:rFonts w:hint="eastAsia" w:ascii="宋体" w:cs="宋体"/>
          <w:sz w:val="24"/>
          <w:highlight w:val="cyan"/>
          <w:lang w:val="en-US" w:eastAsia="zh-CN" w:bidi="ar"/>
        </w:rPr>
        <w:t>17</w:t>
      </w:r>
      <w:r>
        <w:rPr>
          <w:rFonts w:hint="eastAsia" w:ascii="宋体" w:cs="宋体"/>
          <w:sz w:val="24"/>
          <w:highlight w:val="cyan"/>
          <w:lang w:bidi="ar"/>
        </w:rPr>
        <w:t>日</w:t>
      </w:r>
      <w:r>
        <w:rPr>
          <w:rFonts w:hint="eastAsia" w:ascii="宋体" w:cs="宋体"/>
          <w:sz w:val="24"/>
          <w:lang w:bidi="ar"/>
        </w:rPr>
        <w:t>每天8:30-1</w:t>
      </w:r>
      <w:r>
        <w:rPr>
          <w:rFonts w:hint="eastAsia" w:ascii="宋体" w:cs="宋体"/>
          <w:sz w:val="24"/>
          <w:lang w:val="en-US" w:eastAsia="zh-CN" w:bidi="ar"/>
        </w:rPr>
        <w:t>7:0</w:t>
      </w:r>
      <w:bookmarkStart w:id="1423" w:name="_GoBack"/>
      <w:bookmarkEnd w:id="1423"/>
      <w:r>
        <w:rPr>
          <w:rFonts w:hint="eastAsia" w:ascii="宋体" w:cs="宋体"/>
          <w:sz w:val="24"/>
          <w:lang w:bidi="ar"/>
        </w:rPr>
        <w:t>0</w:t>
      </w:r>
      <w:r>
        <w:rPr>
          <w:rFonts w:hint="eastAsia" w:ascii="宋体" w:hAnsi="宋体" w:cs="宋体"/>
          <w:kern w:val="0"/>
          <w:sz w:val="24"/>
          <w:lang w:bidi="en-US"/>
        </w:rPr>
        <w:t>（北京时间，下同），</w:t>
      </w:r>
      <w:r>
        <w:rPr>
          <w:rFonts w:hint="eastAsia" w:ascii="宋体" w:cs="宋体"/>
          <w:sz w:val="24"/>
          <w:lang w:bidi="ar"/>
        </w:rPr>
        <w:t>按照以下顺序及所列项相关资料的</w:t>
      </w:r>
      <w:r>
        <w:rPr>
          <w:rFonts w:hint="eastAsia" w:ascii="宋体" w:cs="宋体"/>
          <w:b/>
          <w:bCs/>
          <w:sz w:val="24"/>
          <w:lang w:bidi="ar"/>
        </w:rPr>
        <w:t>原件的扫描件</w:t>
      </w:r>
      <w:r>
        <w:rPr>
          <w:rFonts w:hint="eastAsia" w:ascii="宋体" w:cs="宋体"/>
          <w:sz w:val="24"/>
          <w:lang w:bidi="ar"/>
        </w:rPr>
        <w:t>（要求每一页原文件扫描在一页上，扫描文件必须清晰可辨否则影响报名的审核，扫描文件格式为pdf格式，禁止采用压缩文件格式或图片格式，</w:t>
      </w:r>
      <w:r>
        <w:rPr>
          <w:rFonts w:hint="eastAsia" w:ascii="宋体" w:cs="宋体"/>
          <w:b/>
          <w:bCs/>
          <w:sz w:val="24"/>
          <w:lang w:bidi="ar"/>
        </w:rPr>
        <w:t>所有扫描文件都集成到1个pdf文档</w:t>
      </w:r>
      <w:r>
        <w:rPr>
          <w:rFonts w:hint="eastAsia" w:ascii="宋体" w:cs="宋体"/>
          <w:sz w:val="24"/>
          <w:lang w:bidi="ar"/>
        </w:rPr>
        <w:t>并设置目录，</w:t>
      </w:r>
      <w:r>
        <w:rPr>
          <w:rFonts w:hint="eastAsia" w:ascii="宋体" w:cs="宋体"/>
          <w:b/>
          <w:bCs/>
          <w:sz w:val="24"/>
          <w:lang w:bidi="ar"/>
        </w:rPr>
        <w:t>所有文件要求字体向上，不允许横向扫描</w:t>
      </w:r>
      <w:r>
        <w:rPr>
          <w:rFonts w:hint="eastAsia" w:ascii="宋体" w:cs="宋体"/>
          <w:sz w:val="24"/>
          <w:lang w:bidi="ar"/>
        </w:rPr>
        <w:t>）</w:t>
      </w:r>
    </w:p>
    <w:p w14:paraId="0205C2B9">
      <w:pPr>
        <w:pStyle w:val="2"/>
        <w:spacing w:line="360" w:lineRule="auto"/>
        <w:ind w:left="0" w:leftChars="0" w:firstLine="420" w:firstLineChars="0"/>
        <w:rPr>
          <w:rFonts w:ascii="宋体" w:cs="宋体"/>
          <w:sz w:val="24"/>
          <w:lang w:bidi="ar"/>
        </w:rPr>
      </w:pPr>
      <w:r>
        <w:rPr>
          <w:rFonts w:hint="eastAsia" w:ascii="宋体" w:cs="宋体"/>
          <w:sz w:val="24"/>
          <w:lang w:bidi="ar"/>
        </w:rPr>
        <w:t>根据招标人在中国重汽官网等公开媒体上发布的招标信息，在“中国重汽e采通”平台报名。按照中国重汽e采通“SRM非生产供应商注册手册”（附件-供应商注册）进行注册，注册完毕后按照“SRM系统供应商用户手册（附件-供应商应标）”，登录重汽e采通平台后进入“供应商应标”，选择对应的项目，点击“应标”后按照下方资质文件组成准备资料并上传(资质标，要求做好目录），资质审查通过即为报名成功；公示期间请尽快报名。</w:t>
      </w:r>
    </w:p>
    <w:p w14:paraId="4D853507">
      <w:pPr>
        <w:widowControl/>
        <w:spacing w:line="360" w:lineRule="auto"/>
        <w:ind w:firstLine="482" w:firstLineChars="200"/>
        <w:rPr>
          <w:rFonts w:ascii="宋体" w:cs="宋体"/>
          <w:b/>
          <w:bCs/>
          <w:color w:val="FF0000"/>
          <w:sz w:val="24"/>
          <w:lang w:bidi="ar"/>
        </w:rPr>
      </w:pPr>
      <w:r>
        <w:rPr>
          <w:rFonts w:hint="eastAsia" w:ascii="宋体" w:cs="宋体"/>
          <w:b/>
          <w:bCs/>
          <w:color w:val="FF0000"/>
          <w:sz w:val="24"/>
          <w:lang w:bidi="ar"/>
        </w:rPr>
        <w:t>报名时提供的资料不合格的会在系统被驳回，请及时及时查阅并补齐资料，不能按时补充资料的视为自动放弃本次投标。</w:t>
      </w:r>
    </w:p>
    <w:p w14:paraId="4D6A540D">
      <w:pPr>
        <w:pStyle w:val="8"/>
      </w:pPr>
      <w:r>
        <w:rPr>
          <w:rFonts w:hint="eastAsia"/>
        </w:rPr>
        <w:t>资质文件组成</w:t>
      </w:r>
    </w:p>
    <w:p w14:paraId="49193D55">
      <w:pPr>
        <w:widowControl/>
        <w:numPr>
          <w:ilvl w:val="0"/>
          <w:numId w:val="1"/>
        </w:numPr>
        <w:spacing w:line="360" w:lineRule="auto"/>
        <w:rPr>
          <w:kern w:val="0"/>
          <w:sz w:val="24"/>
          <w:szCs w:val="21"/>
          <w:lang w:bidi="en-US"/>
        </w:rPr>
      </w:pPr>
      <w:r>
        <w:rPr>
          <w:rFonts w:hint="eastAsia"/>
          <w:kern w:val="0"/>
          <w:sz w:val="24"/>
          <w:szCs w:val="21"/>
          <w:lang w:bidi="en-US"/>
        </w:rPr>
        <w:t>XXX公司XXX项目投标信息明细表（详见本公告附件1，</w:t>
      </w:r>
      <w:r>
        <w:rPr>
          <w:rFonts w:hint="eastAsia"/>
          <w:b/>
          <w:bCs/>
          <w:kern w:val="0"/>
          <w:sz w:val="24"/>
          <w:szCs w:val="21"/>
          <w:lang w:bidi="en-US"/>
        </w:rPr>
        <w:t>注意要求附件1同时提供一份EXCEL格式，与上述PDF扫描件同时提交</w:t>
      </w:r>
      <w:r>
        <w:rPr>
          <w:rFonts w:hint="eastAsia"/>
          <w:kern w:val="0"/>
          <w:sz w:val="24"/>
          <w:szCs w:val="21"/>
          <w:lang w:bidi="en-US"/>
        </w:rPr>
        <w:t>）</w:t>
      </w:r>
    </w:p>
    <w:p w14:paraId="48574CBE">
      <w:pPr>
        <w:widowControl/>
        <w:numPr>
          <w:ilvl w:val="0"/>
          <w:numId w:val="1"/>
        </w:numPr>
        <w:spacing w:line="360" w:lineRule="auto"/>
        <w:rPr>
          <w:kern w:val="0"/>
          <w:sz w:val="24"/>
          <w:szCs w:val="21"/>
          <w:lang w:bidi="en-US"/>
        </w:rPr>
      </w:pPr>
      <w:r>
        <w:rPr>
          <w:rFonts w:hint="eastAsia"/>
          <w:kern w:val="0"/>
          <w:sz w:val="24"/>
          <w:szCs w:val="21"/>
          <w:lang w:bidi="en-US"/>
        </w:rPr>
        <w:t>营业执照；</w:t>
      </w:r>
    </w:p>
    <w:p w14:paraId="19CA1E22">
      <w:pPr>
        <w:widowControl/>
        <w:numPr>
          <w:ilvl w:val="0"/>
          <w:numId w:val="1"/>
        </w:numPr>
        <w:spacing w:line="360" w:lineRule="auto"/>
        <w:rPr>
          <w:kern w:val="0"/>
          <w:sz w:val="24"/>
          <w:szCs w:val="21"/>
          <w:lang w:bidi="en-US"/>
        </w:rPr>
      </w:pPr>
      <w:r>
        <w:rPr>
          <w:rFonts w:hint="eastAsia"/>
          <w:kern w:val="0"/>
          <w:sz w:val="24"/>
          <w:szCs w:val="21"/>
          <w:lang w:bidi="en-US"/>
        </w:rPr>
        <w:t>资质证书；</w:t>
      </w:r>
    </w:p>
    <w:p w14:paraId="6DAD8D1B">
      <w:pPr>
        <w:widowControl/>
        <w:numPr>
          <w:ilvl w:val="0"/>
          <w:numId w:val="1"/>
        </w:numPr>
        <w:spacing w:line="360" w:lineRule="auto"/>
        <w:rPr>
          <w:kern w:val="0"/>
          <w:sz w:val="24"/>
          <w:szCs w:val="21"/>
          <w:lang w:bidi="en-US"/>
        </w:rPr>
      </w:pPr>
      <w:r>
        <w:rPr>
          <w:rFonts w:hint="eastAsia"/>
          <w:kern w:val="0"/>
          <w:sz w:val="24"/>
          <w:szCs w:val="21"/>
          <w:lang w:bidi="en-US"/>
        </w:rPr>
        <w:t>安全生产许可证；</w:t>
      </w:r>
    </w:p>
    <w:p w14:paraId="4E351637">
      <w:pPr>
        <w:widowControl/>
        <w:numPr>
          <w:ilvl w:val="0"/>
          <w:numId w:val="1"/>
        </w:numPr>
        <w:spacing w:line="360" w:lineRule="auto"/>
        <w:rPr>
          <w:kern w:val="0"/>
          <w:sz w:val="24"/>
          <w:szCs w:val="21"/>
          <w:lang w:bidi="en-US"/>
        </w:rPr>
      </w:pPr>
      <w:r>
        <w:rPr>
          <w:rFonts w:hint="eastAsia"/>
          <w:kern w:val="0"/>
          <w:sz w:val="24"/>
          <w:szCs w:val="21"/>
          <w:lang w:bidi="en-US"/>
        </w:rPr>
        <w:t>信用中国，</w:t>
      </w:r>
      <w:r>
        <w:rPr>
          <w:rFonts w:hint="eastAsia" w:ascii="宋体" w:cs="宋体"/>
          <w:sz w:val="24"/>
          <w:lang w:bidi="ar"/>
        </w:rPr>
        <w:t>“中国执行信息公开网”截图</w:t>
      </w:r>
      <w:r>
        <w:rPr>
          <w:rFonts w:hint="eastAsia"/>
          <w:kern w:val="0"/>
          <w:sz w:val="24"/>
          <w:szCs w:val="21"/>
          <w:lang w:bidi="en-US"/>
        </w:rPr>
        <w:t>；</w:t>
      </w:r>
    </w:p>
    <w:p w14:paraId="049045EE">
      <w:pPr>
        <w:widowControl/>
        <w:numPr>
          <w:ilvl w:val="0"/>
          <w:numId w:val="1"/>
        </w:numPr>
        <w:spacing w:line="360" w:lineRule="auto"/>
        <w:jc w:val="left"/>
      </w:pPr>
      <w:r>
        <w:rPr>
          <w:rFonts w:hint="eastAsia" w:ascii="宋体" w:cs="宋体"/>
          <w:sz w:val="24"/>
          <w:lang w:bidi="ar"/>
        </w:rPr>
        <w:t>投标单位资产情况汇总表，按照下述表格内容及顺序如实填写。填写的依据为经审计事务所审计并盖章的企业财务审计报告等相关资料，并将对应年度（2022-2024年，提供最近三年报告）企业财务审计报告扫描件附后，</w:t>
      </w:r>
      <w:r>
        <w:rPr>
          <w:rFonts w:hint="eastAsia" w:ascii="宋体" w:hAnsi="宋体"/>
          <w:kern w:val="0"/>
          <w:sz w:val="24"/>
          <w:lang w:bidi="en-US"/>
        </w:rPr>
        <w:t>还应包含</w:t>
      </w:r>
      <w:r>
        <w:rPr>
          <w:rFonts w:hint="eastAsia" w:ascii="宋体" w:hAnsi="宋体"/>
          <w:b/>
          <w:bCs/>
          <w:kern w:val="0"/>
          <w:sz w:val="24"/>
          <w:lang w:bidi="en-US"/>
        </w:rPr>
        <w:t>企业最近半年完税证明、信用证明材料</w:t>
      </w:r>
      <w:r>
        <w:rPr>
          <w:rFonts w:hint="eastAsia" w:ascii="宋体" w:hAnsi="宋体"/>
          <w:kern w:val="0"/>
          <w:sz w:val="24"/>
          <w:lang w:bidi="en-US"/>
        </w:rPr>
        <w:t>（中国人民银行征信报告）；</w:t>
      </w:r>
      <w:r>
        <w:rPr>
          <w:rFonts w:hint="eastAsia" w:ascii="宋体" w:hAnsi="宋体"/>
          <w:b/>
          <w:bCs/>
          <w:kern w:val="0"/>
          <w:sz w:val="24"/>
          <w:lang w:bidi="en-US"/>
        </w:rPr>
        <w:t>年度纳税信用评价信息</w:t>
      </w:r>
      <w:r>
        <w:rPr>
          <w:rFonts w:hint="eastAsia"/>
          <w:kern w:val="0"/>
          <w:sz w:val="24"/>
          <w:szCs w:val="21"/>
          <w:lang w:bidi="en-US"/>
        </w:rPr>
        <w:t>（可从电子税务局查询截图，需加盖公章）</w:t>
      </w:r>
      <w:r>
        <w:rPr>
          <w:rFonts w:hint="eastAsia" w:ascii="宋体" w:hAnsi="宋体"/>
          <w:kern w:val="0"/>
          <w:sz w:val="24"/>
          <w:lang w:bidi="en-US"/>
        </w:rPr>
        <w:t>；</w:t>
      </w:r>
      <w:r>
        <w:rPr>
          <w:rFonts w:hint="eastAsia" w:ascii="宋体" w:hAnsi="宋体"/>
          <w:b/>
          <w:bCs/>
          <w:kern w:val="0"/>
          <w:sz w:val="24"/>
          <w:lang w:bidi="en-US"/>
        </w:rPr>
        <w:t>企业对外担保说明</w:t>
      </w:r>
      <w:r>
        <w:rPr>
          <w:rFonts w:hint="eastAsia"/>
          <w:kern w:val="0"/>
          <w:sz w:val="24"/>
          <w:szCs w:val="21"/>
          <w:lang w:bidi="en-US"/>
        </w:rPr>
        <w:t>（写明贵单位对外有无对外担保和质押业务，需加盖公章）</w:t>
      </w:r>
      <w:r>
        <w:rPr>
          <w:rFonts w:hint="eastAsia" w:ascii="宋体" w:cs="宋体"/>
          <w:sz w:val="24"/>
          <w:lang w:bidi="ar"/>
        </w:rPr>
        <w:t>。</w:t>
      </w:r>
      <w:r>
        <w:rPr>
          <w:rFonts w:hint="eastAsia" w:ascii="宋体" w:cs="宋体"/>
          <w:b/>
          <w:bCs/>
          <w:sz w:val="24"/>
          <w:lang w:bidi="ar"/>
        </w:rPr>
        <w:t>注意没有投标单位资产情况汇总表或扫描件不清晰无法辨认则会影响报名成功</w:t>
      </w:r>
      <w:r>
        <w:rPr>
          <w:rFonts w:hint="eastAsia"/>
          <w:kern w:val="0"/>
          <w:sz w:val="24"/>
          <w:lang w:bidi="en-US"/>
        </w:rPr>
        <w:t>；</w:t>
      </w:r>
    </w:p>
    <w:tbl>
      <w:tblPr>
        <w:tblStyle w:val="25"/>
        <w:tblpPr w:leftFromText="180" w:rightFromText="180" w:vertAnchor="text" w:horzAnchor="page" w:tblpX="1431" w:tblpY="3426"/>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26"/>
        <w:gridCol w:w="2295"/>
        <w:gridCol w:w="2283"/>
        <w:gridCol w:w="2283"/>
      </w:tblGrid>
      <w:tr w14:paraId="5891E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trPr>
        <w:tc>
          <w:tcPr>
            <w:tcW w:w="9287" w:type="dxa"/>
            <w:gridSpan w:val="4"/>
            <w:vAlign w:val="center"/>
          </w:tcPr>
          <w:p w14:paraId="605AAE36">
            <w:pPr>
              <w:spacing w:line="360" w:lineRule="auto"/>
              <w:jc w:val="center"/>
              <w:rPr>
                <w:rStyle w:val="39"/>
                <w:rFonts w:ascii="宋体"/>
              </w:rPr>
            </w:pPr>
            <w:r>
              <w:rPr>
                <w:rStyle w:val="39"/>
                <w:rFonts w:hint="eastAsia" w:ascii="宋体"/>
              </w:rPr>
              <w:t>投标单位资产情况汇总表</w:t>
            </w:r>
          </w:p>
        </w:tc>
      </w:tr>
      <w:tr w14:paraId="269410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48414993">
            <w:pPr>
              <w:spacing w:line="360" w:lineRule="auto"/>
              <w:jc w:val="center"/>
              <w:rPr>
                <w:rStyle w:val="39"/>
                <w:rFonts w:ascii="宋体"/>
              </w:rPr>
            </w:pPr>
            <w:r>
              <w:rPr>
                <w:rStyle w:val="39"/>
                <w:rFonts w:hint="eastAsia" w:ascii="宋体"/>
              </w:rPr>
              <w:t>注册资金（万元）</w:t>
            </w:r>
          </w:p>
        </w:tc>
        <w:tc>
          <w:tcPr>
            <w:tcW w:w="6861" w:type="dxa"/>
            <w:gridSpan w:val="3"/>
          </w:tcPr>
          <w:p w14:paraId="42534401">
            <w:pPr>
              <w:spacing w:line="360" w:lineRule="auto"/>
              <w:jc w:val="center"/>
              <w:rPr>
                <w:rStyle w:val="39"/>
                <w:rFonts w:ascii="宋体"/>
              </w:rPr>
            </w:pPr>
          </w:p>
        </w:tc>
      </w:tr>
      <w:tr w14:paraId="100FA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43216AD5">
            <w:pPr>
              <w:spacing w:line="360" w:lineRule="auto"/>
              <w:jc w:val="center"/>
              <w:rPr>
                <w:rStyle w:val="39"/>
                <w:rFonts w:ascii="宋体"/>
              </w:rPr>
            </w:pPr>
            <w:r>
              <w:rPr>
                <w:rStyle w:val="39"/>
                <w:rFonts w:hint="eastAsia" w:ascii="宋体"/>
              </w:rPr>
              <w:t>实收资金（万元）</w:t>
            </w:r>
          </w:p>
        </w:tc>
        <w:tc>
          <w:tcPr>
            <w:tcW w:w="6861" w:type="dxa"/>
            <w:gridSpan w:val="3"/>
          </w:tcPr>
          <w:p w14:paraId="4186F780">
            <w:pPr>
              <w:spacing w:line="360" w:lineRule="auto"/>
              <w:jc w:val="center"/>
              <w:rPr>
                <w:rStyle w:val="39"/>
                <w:rFonts w:ascii="宋体"/>
              </w:rPr>
            </w:pPr>
          </w:p>
        </w:tc>
      </w:tr>
      <w:tr w14:paraId="6936C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68FA6287">
            <w:pPr>
              <w:spacing w:line="360" w:lineRule="auto"/>
              <w:jc w:val="center"/>
              <w:rPr>
                <w:rStyle w:val="39"/>
                <w:rFonts w:ascii="宋体"/>
              </w:rPr>
            </w:pPr>
            <w:r>
              <w:rPr>
                <w:rStyle w:val="39"/>
                <w:rFonts w:hint="eastAsia" w:ascii="宋体"/>
              </w:rPr>
              <w:t>年度资产情况</w:t>
            </w:r>
          </w:p>
        </w:tc>
        <w:tc>
          <w:tcPr>
            <w:tcW w:w="2295" w:type="dxa"/>
          </w:tcPr>
          <w:p w14:paraId="604E12BD">
            <w:pPr>
              <w:spacing w:line="360" w:lineRule="auto"/>
              <w:jc w:val="center"/>
              <w:rPr>
                <w:rStyle w:val="39"/>
                <w:rFonts w:ascii="宋体"/>
              </w:rPr>
            </w:pPr>
            <w:r>
              <w:rPr>
                <w:rStyle w:val="39"/>
                <w:rFonts w:hint="eastAsia" w:ascii="宋体"/>
              </w:rPr>
              <w:t>2022年</w:t>
            </w:r>
          </w:p>
        </w:tc>
        <w:tc>
          <w:tcPr>
            <w:tcW w:w="2283" w:type="dxa"/>
          </w:tcPr>
          <w:p w14:paraId="7758CC68">
            <w:pPr>
              <w:spacing w:line="360" w:lineRule="auto"/>
              <w:jc w:val="center"/>
              <w:rPr>
                <w:rStyle w:val="39"/>
                <w:rFonts w:ascii="宋体"/>
              </w:rPr>
            </w:pPr>
            <w:r>
              <w:rPr>
                <w:rStyle w:val="39"/>
                <w:rFonts w:hint="eastAsia" w:ascii="宋体"/>
              </w:rPr>
              <w:t>2023年</w:t>
            </w:r>
          </w:p>
        </w:tc>
        <w:tc>
          <w:tcPr>
            <w:tcW w:w="2283" w:type="dxa"/>
          </w:tcPr>
          <w:p w14:paraId="6B51F9E4">
            <w:pPr>
              <w:spacing w:line="360" w:lineRule="auto"/>
              <w:jc w:val="center"/>
              <w:rPr>
                <w:rStyle w:val="39"/>
                <w:rFonts w:ascii="宋体"/>
              </w:rPr>
            </w:pPr>
            <w:r>
              <w:rPr>
                <w:rStyle w:val="39"/>
                <w:rFonts w:hint="eastAsia" w:ascii="宋体"/>
              </w:rPr>
              <w:t>2024年</w:t>
            </w:r>
          </w:p>
        </w:tc>
      </w:tr>
      <w:tr w14:paraId="7C811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27F7A0BE">
            <w:pPr>
              <w:spacing w:line="360" w:lineRule="auto"/>
              <w:jc w:val="center"/>
              <w:rPr>
                <w:rStyle w:val="39"/>
                <w:rFonts w:ascii="宋体"/>
              </w:rPr>
            </w:pPr>
            <w:r>
              <w:rPr>
                <w:rStyle w:val="39"/>
                <w:rFonts w:hint="eastAsia" w:ascii="宋体"/>
              </w:rPr>
              <w:t>流动资产（万元）</w:t>
            </w:r>
          </w:p>
        </w:tc>
        <w:tc>
          <w:tcPr>
            <w:tcW w:w="2295" w:type="dxa"/>
          </w:tcPr>
          <w:p w14:paraId="13510DC7">
            <w:pPr>
              <w:spacing w:line="360" w:lineRule="auto"/>
              <w:jc w:val="center"/>
              <w:rPr>
                <w:rStyle w:val="39"/>
                <w:rFonts w:ascii="宋体"/>
              </w:rPr>
            </w:pPr>
          </w:p>
        </w:tc>
        <w:tc>
          <w:tcPr>
            <w:tcW w:w="2283" w:type="dxa"/>
          </w:tcPr>
          <w:p w14:paraId="7D52EFE6">
            <w:pPr>
              <w:spacing w:line="360" w:lineRule="auto"/>
              <w:jc w:val="center"/>
              <w:rPr>
                <w:rStyle w:val="39"/>
                <w:rFonts w:ascii="宋体"/>
              </w:rPr>
            </w:pPr>
          </w:p>
        </w:tc>
        <w:tc>
          <w:tcPr>
            <w:tcW w:w="2283" w:type="dxa"/>
          </w:tcPr>
          <w:p w14:paraId="3BB965A0">
            <w:pPr>
              <w:spacing w:line="360" w:lineRule="auto"/>
              <w:jc w:val="center"/>
              <w:rPr>
                <w:rStyle w:val="39"/>
                <w:rFonts w:ascii="宋体"/>
              </w:rPr>
            </w:pPr>
          </w:p>
        </w:tc>
      </w:tr>
      <w:tr w14:paraId="2A19F5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6B032683">
            <w:pPr>
              <w:spacing w:line="360" w:lineRule="auto"/>
              <w:jc w:val="center"/>
              <w:rPr>
                <w:rStyle w:val="39"/>
                <w:rFonts w:ascii="宋体"/>
              </w:rPr>
            </w:pPr>
            <w:r>
              <w:rPr>
                <w:rStyle w:val="39"/>
                <w:rFonts w:hint="eastAsia" w:ascii="宋体"/>
              </w:rPr>
              <w:t>非流动资产（万元）</w:t>
            </w:r>
          </w:p>
        </w:tc>
        <w:tc>
          <w:tcPr>
            <w:tcW w:w="2295" w:type="dxa"/>
          </w:tcPr>
          <w:p w14:paraId="3FF4BAC8">
            <w:pPr>
              <w:spacing w:line="360" w:lineRule="auto"/>
              <w:jc w:val="center"/>
              <w:rPr>
                <w:rStyle w:val="39"/>
                <w:rFonts w:ascii="宋体"/>
              </w:rPr>
            </w:pPr>
          </w:p>
        </w:tc>
        <w:tc>
          <w:tcPr>
            <w:tcW w:w="2283" w:type="dxa"/>
          </w:tcPr>
          <w:p w14:paraId="20525627">
            <w:pPr>
              <w:spacing w:line="360" w:lineRule="auto"/>
              <w:jc w:val="center"/>
              <w:rPr>
                <w:rStyle w:val="39"/>
                <w:rFonts w:ascii="宋体"/>
              </w:rPr>
            </w:pPr>
          </w:p>
        </w:tc>
        <w:tc>
          <w:tcPr>
            <w:tcW w:w="2283" w:type="dxa"/>
          </w:tcPr>
          <w:p w14:paraId="1E2513AC">
            <w:pPr>
              <w:spacing w:line="360" w:lineRule="auto"/>
              <w:jc w:val="center"/>
              <w:rPr>
                <w:rStyle w:val="39"/>
                <w:rFonts w:ascii="宋体"/>
              </w:rPr>
            </w:pPr>
          </w:p>
        </w:tc>
      </w:tr>
      <w:tr w14:paraId="755117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32812B6B">
            <w:pPr>
              <w:spacing w:line="360" w:lineRule="auto"/>
              <w:jc w:val="center"/>
              <w:rPr>
                <w:rStyle w:val="39"/>
                <w:rFonts w:ascii="宋体"/>
              </w:rPr>
            </w:pPr>
            <w:r>
              <w:rPr>
                <w:rStyle w:val="39"/>
                <w:rFonts w:hint="eastAsia" w:ascii="宋体"/>
              </w:rPr>
              <w:t>营业收入（万元）</w:t>
            </w:r>
          </w:p>
        </w:tc>
        <w:tc>
          <w:tcPr>
            <w:tcW w:w="2295" w:type="dxa"/>
          </w:tcPr>
          <w:p w14:paraId="3DFBD9AD">
            <w:pPr>
              <w:spacing w:line="360" w:lineRule="auto"/>
              <w:jc w:val="center"/>
              <w:rPr>
                <w:rStyle w:val="39"/>
                <w:rFonts w:ascii="宋体"/>
              </w:rPr>
            </w:pPr>
          </w:p>
        </w:tc>
        <w:tc>
          <w:tcPr>
            <w:tcW w:w="2283" w:type="dxa"/>
          </w:tcPr>
          <w:p w14:paraId="4432B9E3">
            <w:pPr>
              <w:spacing w:line="360" w:lineRule="auto"/>
              <w:jc w:val="center"/>
              <w:rPr>
                <w:rStyle w:val="39"/>
                <w:rFonts w:ascii="宋体"/>
              </w:rPr>
            </w:pPr>
          </w:p>
        </w:tc>
        <w:tc>
          <w:tcPr>
            <w:tcW w:w="2283" w:type="dxa"/>
          </w:tcPr>
          <w:p w14:paraId="4F62481D">
            <w:pPr>
              <w:spacing w:line="360" w:lineRule="auto"/>
              <w:jc w:val="center"/>
              <w:rPr>
                <w:rStyle w:val="39"/>
                <w:rFonts w:ascii="宋体"/>
              </w:rPr>
            </w:pPr>
          </w:p>
        </w:tc>
      </w:tr>
      <w:tr w14:paraId="0FC37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6CE512E2">
            <w:pPr>
              <w:spacing w:line="360" w:lineRule="auto"/>
              <w:jc w:val="center"/>
              <w:rPr>
                <w:rStyle w:val="39"/>
                <w:rFonts w:ascii="宋体"/>
              </w:rPr>
            </w:pPr>
            <w:r>
              <w:rPr>
                <w:rStyle w:val="39"/>
                <w:rFonts w:hint="eastAsia" w:ascii="宋体"/>
              </w:rPr>
              <w:t>年底资产总值（万元）</w:t>
            </w:r>
          </w:p>
        </w:tc>
        <w:tc>
          <w:tcPr>
            <w:tcW w:w="2295" w:type="dxa"/>
          </w:tcPr>
          <w:p w14:paraId="2705D734">
            <w:pPr>
              <w:spacing w:line="360" w:lineRule="auto"/>
              <w:jc w:val="center"/>
              <w:rPr>
                <w:rStyle w:val="39"/>
                <w:rFonts w:ascii="宋体"/>
              </w:rPr>
            </w:pPr>
          </w:p>
        </w:tc>
        <w:tc>
          <w:tcPr>
            <w:tcW w:w="2283" w:type="dxa"/>
          </w:tcPr>
          <w:p w14:paraId="7B95D771">
            <w:pPr>
              <w:spacing w:line="360" w:lineRule="auto"/>
              <w:jc w:val="center"/>
              <w:rPr>
                <w:rStyle w:val="39"/>
                <w:rFonts w:ascii="宋体"/>
              </w:rPr>
            </w:pPr>
          </w:p>
        </w:tc>
        <w:tc>
          <w:tcPr>
            <w:tcW w:w="2283" w:type="dxa"/>
          </w:tcPr>
          <w:p w14:paraId="6C29FE73">
            <w:pPr>
              <w:spacing w:line="360" w:lineRule="auto"/>
              <w:jc w:val="center"/>
              <w:rPr>
                <w:rStyle w:val="39"/>
                <w:rFonts w:ascii="宋体"/>
              </w:rPr>
            </w:pPr>
          </w:p>
        </w:tc>
      </w:tr>
      <w:tr w14:paraId="6A2176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5CF9DDE6">
            <w:pPr>
              <w:spacing w:line="360" w:lineRule="auto"/>
              <w:jc w:val="center"/>
              <w:rPr>
                <w:rStyle w:val="39"/>
                <w:rFonts w:ascii="宋体"/>
              </w:rPr>
            </w:pPr>
            <w:r>
              <w:rPr>
                <w:rStyle w:val="39"/>
                <w:rFonts w:hint="eastAsia" w:ascii="宋体"/>
              </w:rPr>
              <w:t>年底负债总值（万元）</w:t>
            </w:r>
          </w:p>
        </w:tc>
        <w:tc>
          <w:tcPr>
            <w:tcW w:w="2295" w:type="dxa"/>
          </w:tcPr>
          <w:p w14:paraId="4B0397D8">
            <w:pPr>
              <w:spacing w:line="360" w:lineRule="auto"/>
              <w:jc w:val="center"/>
              <w:rPr>
                <w:rStyle w:val="39"/>
                <w:rFonts w:ascii="宋体"/>
              </w:rPr>
            </w:pPr>
          </w:p>
        </w:tc>
        <w:tc>
          <w:tcPr>
            <w:tcW w:w="2283" w:type="dxa"/>
          </w:tcPr>
          <w:p w14:paraId="7C97F7AB">
            <w:pPr>
              <w:spacing w:line="360" w:lineRule="auto"/>
              <w:jc w:val="center"/>
              <w:rPr>
                <w:rStyle w:val="39"/>
                <w:rFonts w:ascii="宋体"/>
              </w:rPr>
            </w:pPr>
          </w:p>
        </w:tc>
        <w:tc>
          <w:tcPr>
            <w:tcW w:w="2283" w:type="dxa"/>
          </w:tcPr>
          <w:p w14:paraId="6F1E4F1A">
            <w:pPr>
              <w:spacing w:line="360" w:lineRule="auto"/>
              <w:jc w:val="center"/>
              <w:rPr>
                <w:rStyle w:val="39"/>
                <w:rFonts w:ascii="宋体"/>
              </w:rPr>
            </w:pPr>
          </w:p>
        </w:tc>
      </w:tr>
      <w:tr w14:paraId="20C3CE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2005117E">
            <w:pPr>
              <w:spacing w:line="360" w:lineRule="auto"/>
              <w:jc w:val="center"/>
              <w:rPr>
                <w:rStyle w:val="39"/>
                <w:rFonts w:ascii="宋体"/>
              </w:rPr>
            </w:pPr>
            <w:r>
              <w:rPr>
                <w:rStyle w:val="39"/>
                <w:rFonts w:hint="eastAsia" w:ascii="宋体"/>
              </w:rPr>
              <w:t>资产负债率（</w:t>
            </w:r>
            <w:r>
              <w:rPr>
                <w:rStyle w:val="39"/>
                <w:rFonts w:hint="eastAsia" w:ascii="宋体"/>
                <w:u w:val="single"/>
              </w:rPr>
              <w:t xml:space="preserve">  </w:t>
            </w:r>
            <w:r>
              <w:rPr>
                <w:rStyle w:val="39"/>
                <w:rFonts w:hint="eastAsia" w:ascii="宋体"/>
              </w:rPr>
              <w:t>%）</w:t>
            </w:r>
          </w:p>
        </w:tc>
        <w:tc>
          <w:tcPr>
            <w:tcW w:w="2295" w:type="dxa"/>
          </w:tcPr>
          <w:p w14:paraId="59D59249">
            <w:pPr>
              <w:spacing w:line="360" w:lineRule="auto"/>
              <w:jc w:val="center"/>
              <w:rPr>
                <w:rStyle w:val="39"/>
                <w:rFonts w:ascii="宋体"/>
              </w:rPr>
            </w:pPr>
          </w:p>
        </w:tc>
        <w:tc>
          <w:tcPr>
            <w:tcW w:w="2283" w:type="dxa"/>
          </w:tcPr>
          <w:p w14:paraId="77658D26">
            <w:pPr>
              <w:spacing w:line="360" w:lineRule="auto"/>
              <w:jc w:val="center"/>
              <w:rPr>
                <w:rStyle w:val="39"/>
                <w:rFonts w:ascii="宋体"/>
              </w:rPr>
            </w:pPr>
          </w:p>
        </w:tc>
        <w:tc>
          <w:tcPr>
            <w:tcW w:w="2283" w:type="dxa"/>
          </w:tcPr>
          <w:p w14:paraId="61398051">
            <w:pPr>
              <w:spacing w:line="360" w:lineRule="auto"/>
              <w:jc w:val="center"/>
              <w:rPr>
                <w:rStyle w:val="39"/>
                <w:rFonts w:ascii="宋体"/>
              </w:rPr>
            </w:pPr>
          </w:p>
        </w:tc>
      </w:tr>
      <w:tr w14:paraId="40993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401C6C1F">
            <w:pPr>
              <w:spacing w:line="360" w:lineRule="auto"/>
              <w:jc w:val="center"/>
              <w:rPr>
                <w:rStyle w:val="39"/>
                <w:rFonts w:ascii="宋体"/>
              </w:rPr>
            </w:pPr>
            <w:r>
              <w:rPr>
                <w:rStyle w:val="39"/>
                <w:rFonts w:hint="eastAsia" w:ascii="宋体"/>
              </w:rPr>
              <w:t>净利润（万元）</w:t>
            </w:r>
          </w:p>
        </w:tc>
        <w:tc>
          <w:tcPr>
            <w:tcW w:w="2295" w:type="dxa"/>
          </w:tcPr>
          <w:p w14:paraId="5DFD30C5">
            <w:pPr>
              <w:spacing w:line="360" w:lineRule="auto"/>
              <w:jc w:val="center"/>
              <w:rPr>
                <w:rStyle w:val="39"/>
                <w:rFonts w:ascii="宋体"/>
              </w:rPr>
            </w:pPr>
          </w:p>
        </w:tc>
        <w:tc>
          <w:tcPr>
            <w:tcW w:w="2283" w:type="dxa"/>
          </w:tcPr>
          <w:p w14:paraId="3C4BE586">
            <w:pPr>
              <w:spacing w:line="360" w:lineRule="auto"/>
              <w:jc w:val="center"/>
              <w:rPr>
                <w:rStyle w:val="39"/>
                <w:rFonts w:ascii="宋体"/>
              </w:rPr>
            </w:pPr>
          </w:p>
        </w:tc>
        <w:tc>
          <w:tcPr>
            <w:tcW w:w="2283" w:type="dxa"/>
          </w:tcPr>
          <w:p w14:paraId="2A501879">
            <w:pPr>
              <w:spacing w:line="360" w:lineRule="auto"/>
              <w:jc w:val="center"/>
              <w:rPr>
                <w:rStyle w:val="39"/>
                <w:rFonts w:ascii="宋体"/>
              </w:rPr>
            </w:pPr>
          </w:p>
        </w:tc>
      </w:tr>
      <w:tr w14:paraId="615938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039ED4BE">
            <w:pPr>
              <w:spacing w:line="360" w:lineRule="auto"/>
              <w:jc w:val="center"/>
              <w:rPr>
                <w:rStyle w:val="39"/>
                <w:rFonts w:ascii="宋体"/>
              </w:rPr>
            </w:pPr>
            <w:r>
              <w:rPr>
                <w:rStyle w:val="39"/>
                <w:rFonts w:hint="eastAsia" w:ascii="宋体"/>
              </w:rPr>
              <w:t>未分配利润（万元）</w:t>
            </w:r>
          </w:p>
        </w:tc>
        <w:tc>
          <w:tcPr>
            <w:tcW w:w="2295" w:type="dxa"/>
          </w:tcPr>
          <w:p w14:paraId="4E7C236E">
            <w:pPr>
              <w:spacing w:line="360" w:lineRule="auto"/>
              <w:jc w:val="center"/>
              <w:rPr>
                <w:rStyle w:val="39"/>
                <w:rFonts w:ascii="宋体"/>
              </w:rPr>
            </w:pPr>
          </w:p>
        </w:tc>
        <w:tc>
          <w:tcPr>
            <w:tcW w:w="2283" w:type="dxa"/>
          </w:tcPr>
          <w:p w14:paraId="1F06BBD2">
            <w:pPr>
              <w:spacing w:line="360" w:lineRule="auto"/>
              <w:jc w:val="center"/>
              <w:rPr>
                <w:rStyle w:val="39"/>
                <w:rFonts w:ascii="宋体"/>
              </w:rPr>
            </w:pPr>
          </w:p>
        </w:tc>
        <w:tc>
          <w:tcPr>
            <w:tcW w:w="2283" w:type="dxa"/>
          </w:tcPr>
          <w:p w14:paraId="3F73A6A7">
            <w:pPr>
              <w:spacing w:line="360" w:lineRule="auto"/>
              <w:jc w:val="center"/>
              <w:rPr>
                <w:rStyle w:val="39"/>
                <w:rFonts w:ascii="宋体"/>
              </w:rPr>
            </w:pPr>
          </w:p>
        </w:tc>
      </w:tr>
      <w:tr w14:paraId="701663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623BB73D">
            <w:pPr>
              <w:spacing w:line="360" w:lineRule="auto"/>
              <w:jc w:val="center"/>
              <w:rPr>
                <w:rFonts w:ascii="宋体"/>
              </w:rPr>
            </w:pPr>
            <w:r>
              <w:rPr>
                <w:rStyle w:val="39"/>
                <w:rFonts w:hint="eastAsia" w:ascii="宋体"/>
              </w:rPr>
              <w:t>营运资金</w:t>
            </w:r>
          </w:p>
        </w:tc>
        <w:tc>
          <w:tcPr>
            <w:tcW w:w="2295" w:type="dxa"/>
          </w:tcPr>
          <w:p w14:paraId="3C762BC4">
            <w:pPr>
              <w:spacing w:line="360" w:lineRule="auto"/>
              <w:jc w:val="center"/>
              <w:rPr>
                <w:rStyle w:val="39"/>
                <w:rFonts w:ascii="宋体"/>
              </w:rPr>
            </w:pPr>
          </w:p>
        </w:tc>
        <w:tc>
          <w:tcPr>
            <w:tcW w:w="2283" w:type="dxa"/>
          </w:tcPr>
          <w:p w14:paraId="58F775A2">
            <w:pPr>
              <w:spacing w:line="360" w:lineRule="auto"/>
              <w:jc w:val="center"/>
              <w:rPr>
                <w:rStyle w:val="39"/>
                <w:rFonts w:ascii="宋体"/>
              </w:rPr>
            </w:pPr>
          </w:p>
        </w:tc>
        <w:tc>
          <w:tcPr>
            <w:tcW w:w="2283" w:type="dxa"/>
          </w:tcPr>
          <w:p w14:paraId="64C8A468">
            <w:pPr>
              <w:spacing w:line="360" w:lineRule="auto"/>
              <w:jc w:val="center"/>
              <w:rPr>
                <w:rStyle w:val="39"/>
                <w:rFonts w:ascii="宋体"/>
              </w:rPr>
            </w:pPr>
          </w:p>
        </w:tc>
      </w:tr>
      <w:tr w14:paraId="39810E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26" w:type="dxa"/>
          </w:tcPr>
          <w:p w14:paraId="28EF672E">
            <w:pPr>
              <w:spacing w:line="360" w:lineRule="auto"/>
              <w:jc w:val="center"/>
              <w:rPr>
                <w:rFonts w:ascii="宋体"/>
              </w:rPr>
            </w:pPr>
            <w:r>
              <w:rPr>
                <w:rStyle w:val="39"/>
                <w:rFonts w:hint="eastAsia" w:ascii="宋体"/>
                <w:sz w:val="20"/>
                <w:szCs w:val="20"/>
              </w:rPr>
              <w:t>（本年营业收入-上年营业收入）÷上年营业收入</w:t>
            </w:r>
          </w:p>
        </w:tc>
        <w:tc>
          <w:tcPr>
            <w:tcW w:w="2295" w:type="dxa"/>
          </w:tcPr>
          <w:p w14:paraId="679CF291">
            <w:pPr>
              <w:spacing w:line="360" w:lineRule="auto"/>
              <w:jc w:val="center"/>
              <w:rPr>
                <w:rStyle w:val="39"/>
                <w:rFonts w:ascii="宋体"/>
              </w:rPr>
            </w:pPr>
          </w:p>
        </w:tc>
        <w:tc>
          <w:tcPr>
            <w:tcW w:w="2283" w:type="dxa"/>
          </w:tcPr>
          <w:p w14:paraId="26E3D67B">
            <w:pPr>
              <w:spacing w:line="360" w:lineRule="auto"/>
              <w:jc w:val="center"/>
              <w:rPr>
                <w:rStyle w:val="39"/>
                <w:rFonts w:ascii="宋体"/>
              </w:rPr>
            </w:pPr>
          </w:p>
        </w:tc>
        <w:tc>
          <w:tcPr>
            <w:tcW w:w="2283" w:type="dxa"/>
          </w:tcPr>
          <w:p w14:paraId="1D8E628B">
            <w:pPr>
              <w:spacing w:line="360" w:lineRule="auto"/>
              <w:jc w:val="center"/>
              <w:rPr>
                <w:rStyle w:val="39"/>
                <w:rFonts w:ascii="宋体"/>
              </w:rPr>
            </w:pPr>
          </w:p>
        </w:tc>
      </w:tr>
    </w:tbl>
    <w:p w14:paraId="369C0855">
      <w:pPr>
        <w:widowControl/>
        <w:spacing w:line="360" w:lineRule="auto"/>
        <w:jc w:val="left"/>
        <w:rPr>
          <w:kern w:val="0"/>
          <w:sz w:val="24"/>
          <w:szCs w:val="21"/>
          <w:lang w:bidi="en-US"/>
        </w:rPr>
      </w:pPr>
    </w:p>
    <w:p w14:paraId="32530B8B">
      <w:pPr>
        <w:pStyle w:val="2"/>
        <w:ind w:left="420" w:firstLine="480"/>
        <w:rPr>
          <w:kern w:val="0"/>
          <w:sz w:val="24"/>
          <w:szCs w:val="21"/>
          <w:lang w:bidi="en-US"/>
        </w:rPr>
      </w:pPr>
    </w:p>
    <w:p w14:paraId="0C14CB11">
      <w:pPr>
        <w:widowControl/>
        <w:numPr>
          <w:ilvl w:val="0"/>
          <w:numId w:val="1"/>
        </w:numPr>
        <w:spacing w:line="360" w:lineRule="auto"/>
        <w:rPr>
          <w:kern w:val="0"/>
          <w:sz w:val="24"/>
          <w:szCs w:val="21"/>
          <w:lang w:bidi="en-US"/>
        </w:rPr>
      </w:pPr>
      <w:r>
        <w:rPr>
          <w:rFonts w:hint="eastAsia"/>
          <w:kern w:val="0"/>
          <w:sz w:val="24"/>
          <w:szCs w:val="21"/>
          <w:lang w:bidi="en-US"/>
        </w:rPr>
        <w:t>公司简介：包括但不限于公司发展史、企业文化、企业性质、规模和实力、营业水平、技术人员情况、在建项目情况、企业荣誉及认证、企业优势等；</w:t>
      </w:r>
    </w:p>
    <w:p w14:paraId="336A7E11">
      <w:pPr>
        <w:widowControl/>
        <w:numPr>
          <w:ilvl w:val="0"/>
          <w:numId w:val="1"/>
        </w:numPr>
        <w:spacing w:line="360" w:lineRule="auto"/>
        <w:rPr>
          <w:kern w:val="0"/>
          <w:sz w:val="24"/>
          <w:szCs w:val="21"/>
          <w:lang w:bidi="en-US"/>
        </w:rPr>
      </w:pPr>
      <w:r>
        <w:rPr>
          <w:rFonts w:hint="eastAsia"/>
          <w:kern w:val="0"/>
          <w:sz w:val="24"/>
          <w:szCs w:val="21"/>
          <w:lang w:bidi="en-US"/>
        </w:rPr>
        <w:t>拟派项目经理注册建造师证书证及有效的安全考核合格</w:t>
      </w:r>
      <w:r>
        <w:rPr>
          <w:kern w:val="0"/>
          <w:sz w:val="24"/>
          <w:szCs w:val="21"/>
          <w:lang w:bidi="en-US"/>
        </w:rPr>
        <w:t>B</w:t>
      </w:r>
      <w:r>
        <w:rPr>
          <w:rFonts w:hint="eastAsia"/>
          <w:kern w:val="0"/>
          <w:sz w:val="24"/>
          <w:szCs w:val="21"/>
          <w:lang w:bidi="en-US"/>
        </w:rPr>
        <w:t>证，项目经理的履历简介、从业业绩、近</w:t>
      </w:r>
      <w:r>
        <w:rPr>
          <w:kern w:val="0"/>
          <w:sz w:val="24"/>
          <w:szCs w:val="21"/>
          <w:lang w:bidi="en-US"/>
        </w:rPr>
        <w:t>6</w:t>
      </w:r>
      <w:r>
        <w:rPr>
          <w:rFonts w:hint="eastAsia"/>
          <w:kern w:val="0"/>
          <w:sz w:val="24"/>
          <w:szCs w:val="21"/>
          <w:lang w:bidi="en-US"/>
        </w:rPr>
        <w:t>个月社保缴纳证明；</w:t>
      </w:r>
    </w:p>
    <w:p w14:paraId="69E7EF0E">
      <w:pPr>
        <w:widowControl/>
        <w:numPr>
          <w:ilvl w:val="0"/>
          <w:numId w:val="2"/>
        </w:numPr>
        <w:spacing w:line="360" w:lineRule="auto"/>
        <w:jc w:val="left"/>
        <w:rPr>
          <w:rFonts w:ascii="宋体"/>
          <w:kern w:val="0"/>
          <w:sz w:val="24"/>
          <w:szCs w:val="21"/>
          <w:lang w:bidi="en-US"/>
        </w:rPr>
      </w:pPr>
      <w:r>
        <w:rPr>
          <w:rFonts w:hint="eastAsia"/>
          <w:kern w:val="0"/>
          <w:sz w:val="24"/>
          <w:szCs w:val="21"/>
          <w:lang w:bidi="en-US"/>
        </w:rPr>
        <w:t>近</w:t>
      </w:r>
      <w:r>
        <w:rPr>
          <w:rFonts w:hint="eastAsia"/>
          <w:kern w:val="0"/>
          <w:sz w:val="24"/>
          <w:szCs w:val="21"/>
          <w:lang w:val="en-US" w:eastAsia="zh-CN" w:bidi="en-US"/>
        </w:rPr>
        <w:t>两</w:t>
      </w:r>
      <w:r>
        <w:rPr>
          <w:rFonts w:hint="eastAsia"/>
          <w:kern w:val="0"/>
          <w:sz w:val="24"/>
          <w:szCs w:val="21"/>
          <w:lang w:bidi="en-US"/>
        </w:rPr>
        <w:t>年类似项目业绩（满足</w:t>
      </w:r>
      <w:r>
        <w:rPr>
          <w:rFonts w:hint="eastAsia" w:ascii="宋体" w:hAnsi="宋体" w:cs="宋体"/>
          <w:kern w:val="0"/>
          <w:sz w:val="24"/>
          <w:lang w:bidi="en-US"/>
        </w:rPr>
        <w:t>投标人资格要求第（6）条</w:t>
      </w:r>
      <w:r>
        <w:rPr>
          <w:rFonts w:hint="eastAsia"/>
          <w:kern w:val="0"/>
          <w:sz w:val="24"/>
          <w:szCs w:val="21"/>
          <w:lang w:bidi="en-US"/>
        </w:rPr>
        <w:t>），要求提供合同及验收报告原件扫描件（数量不限，能报尽报，填写附件3）。</w:t>
      </w:r>
    </w:p>
    <w:p w14:paraId="7EB9748A">
      <w:pPr>
        <w:widowControl/>
        <w:numPr>
          <w:ilvl w:val="0"/>
          <w:numId w:val="1"/>
        </w:numPr>
        <w:spacing w:line="360" w:lineRule="auto"/>
        <w:rPr>
          <w:kern w:val="0"/>
          <w:sz w:val="24"/>
          <w:szCs w:val="21"/>
          <w:lang w:bidi="en-US"/>
        </w:rPr>
      </w:pPr>
      <w:r>
        <w:rPr>
          <w:rFonts w:hint="eastAsia"/>
          <w:kern w:val="0"/>
          <w:sz w:val="24"/>
          <w:szCs w:val="21"/>
          <w:lang w:bidi="en-US"/>
        </w:rPr>
        <w:t>唯一的法人授权委托书、授权人和被授权人身份证，及在本单位近</w:t>
      </w:r>
      <w:r>
        <w:rPr>
          <w:kern w:val="0"/>
          <w:sz w:val="24"/>
          <w:szCs w:val="21"/>
          <w:lang w:bidi="en-US"/>
        </w:rPr>
        <w:t>12</w:t>
      </w:r>
      <w:r>
        <w:rPr>
          <w:rFonts w:hint="eastAsia"/>
          <w:kern w:val="0"/>
          <w:sz w:val="24"/>
          <w:szCs w:val="21"/>
          <w:lang w:bidi="en-US"/>
        </w:rPr>
        <w:t>个月社保缴纳证明；</w:t>
      </w:r>
    </w:p>
    <w:p w14:paraId="4B9A9379">
      <w:pPr>
        <w:widowControl/>
        <w:numPr>
          <w:ilvl w:val="0"/>
          <w:numId w:val="1"/>
        </w:numPr>
        <w:spacing w:line="360" w:lineRule="auto"/>
        <w:rPr>
          <w:kern w:val="0"/>
          <w:sz w:val="24"/>
          <w:szCs w:val="21"/>
          <w:lang w:bidi="en-US"/>
        </w:rPr>
      </w:pPr>
      <w:r>
        <w:rPr>
          <w:rFonts w:hint="eastAsia"/>
          <w:kern w:val="0"/>
          <w:sz w:val="24"/>
          <w:szCs w:val="21"/>
          <w:lang w:bidi="en-US"/>
        </w:rPr>
        <w:t>联系人、联系方式、电子邮箱。</w:t>
      </w:r>
    </w:p>
    <w:p w14:paraId="3C149091">
      <w:pPr>
        <w:adjustRightInd w:val="0"/>
        <w:snapToGrid w:val="0"/>
        <w:spacing w:line="360" w:lineRule="auto"/>
        <w:ind w:firstLine="482" w:firstLineChars="200"/>
        <w:rPr>
          <w:rFonts w:ascii="宋体" w:cs="宋体"/>
          <w:b/>
          <w:bCs/>
          <w:kern w:val="0"/>
          <w:sz w:val="24"/>
          <w:u w:val="single"/>
          <w:lang w:bidi="en-US"/>
        </w:rPr>
      </w:pPr>
    </w:p>
    <w:p w14:paraId="72454510">
      <w:pPr>
        <w:adjustRightInd w:val="0"/>
        <w:snapToGrid w:val="0"/>
        <w:spacing w:line="360" w:lineRule="auto"/>
        <w:ind w:firstLine="482" w:firstLineChars="200"/>
        <w:rPr>
          <w:rFonts w:ascii="宋体" w:cs="宋体"/>
          <w:b/>
          <w:bCs/>
          <w:sz w:val="24"/>
        </w:rPr>
      </w:pPr>
      <w:r>
        <w:rPr>
          <w:rFonts w:hint="eastAsia" w:ascii="宋体" w:cs="宋体"/>
          <w:b/>
          <w:bCs/>
          <w:kern w:val="0"/>
          <w:sz w:val="24"/>
          <w:u w:val="single"/>
          <w:lang w:bidi="en-US"/>
        </w:rPr>
        <w:t>以上报名资料均要加盖公章。</w:t>
      </w:r>
    </w:p>
    <w:p w14:paraId="469BD6F2">
      <w:pPr>
        <w:spacing w:line="360" w:lineRule="auto"/>
        <w:ind w:firstLine="482" w:firstLineChars="200"/>
        <w:rPr>
          <w:rFonts w:ascii="宋体" w:cs="宋体"/>
          <w:b/>
          <w:bCs/>
          <w:sz w:val="24"/>
        </w:rPr>
      </w:pPr>
      <w:r>
        <w:rPr>
          <w:rFonts w:hint="eastAsia" w:ascii="宋体" w:cs="宋体"/>
          <w:b/>
          <w:bCs/>
          <w:kern w:val="0"/>
          <w:sz w:val="24"/>
          <w:lang w:bidi="en-US"/>
        </w:rPr>
        <w:t>本项目实行资格预审，报名成功不代表资格审查通过、入围投标名单。发放招标文件前，招标人进行资格审查验证，并对报名企业从公司规模实力、业绩、财务状况等多个方面按所提供的报名材料进行综合考察，根据审查考察结果以合格制、有限数量制确定投标入围名单</w:t>
      </w:r>
      <w:r>
        <w:rPr>
          <w:rFonts w:hint="eastAsia" w:ascii="宋体" w:cs="宋体"/>
          <w:sz w:val="24"/>
          <w:lang w:bidi="ar"/>
        </w:rPr>
        <w:t>。</w:t>
      </w:r>
    </w:p>
    <w:p w14:paraId="7681ED1C">
      <w:pPr>
        <w:spacing w:line="360" w:lineRule="auto"/>
        <w:ind w:firstLine="482" w:firstLineChars="200"/>
        <w:jc w:val="left"/>
        <w:rPr>
          <w:rFonts w:ascii="宋体" w:cs="宋体"/>
          <w:b/>
          <w:bCs/>
          <w:sz w:val="24"/>
        </w:rPr>
      </w:pPr>
      <w:r>
        <w:rPr>
          <w:rFonts w:hint="eastAsia" w:ascii="宋体" w:cs="宋体"/>
          <w:b/>
          <w:bCs/>
          <w:sz w:val="24"/>
        </w:rPr>
        <w:t>入围者通过重汽e采通平台接收电子版招标文件，具体发送时间另行通知。</w:t>
      </w:r>
    </w:p>
    <w:p w14:paraId="590C4D22">
      <w:pPr>
        <w:spacing w:line="360" w:lineRule="auto"/>
        <w:ind w:firstLine="482" w:firstLineChars="200"/>
        <w:jc w:val="left"/>
        <w:rPr>
          <w:rStyle w:val="29"/>
          <w:color w:val="C00000"/>
          <w:lang w:bidi="ar"/>
        </w:rPr>
      </w:pPr>
      <w:r>
        <w:rPr>
          <w:rFonts w:hint="eastAsia" w:ascii="宋体" w:cs="宋体"/>
          <w:b/>
          <w:bCs/>
          <w:sz w:val="24"/>
          <w:lang w:bidi="ar"/>
        </w:rPr>
        <w:t>报名同时请按照本公告附件《非生产供应商注册操作手册》及e采通首页《供应商用户手册》提示完成平台注册（网址：</w:t>
      </w:r>
      <w:r>
        <w:rPr>
          <w:sz w:val="24"/>
        </w:rPr>
        <w:t>http</w:t>
      </w:r>
      <w:r>
        <w:rPr>
          <w:rFonts w:hint="eastAsia"/>
          <w:sz w:val="24"/>
        </w:rPr>
        <w:t>s</w:t>
      </w:r>
      <w:r>
        <w:rPr>
          <w:sz w:val="24"/>
        </w:rPr>
        <w:t>://ecaitong.sinotruk.com:8012/#/login），注册时，</w:t>
      </w:r>
      <w:r>
        <w:rPr>
          <w:rFonts w:hint="eastAsia"/>
          <w:sz w:val="24"/>
        </w:rPr>
        <w:t>供应商属性选择【非生产】、管理单位选择【直管单位】、意向配套单位选择【直管单位】；采购形式编号见本公告标题下方；经营概况“是否提供”原则上选择【能提供】，近三年财务数据</w:t>
      </w:r>
      <w:r>
        <w:rPr>
          <w:sz w:val="24"/>
        </w:rPr>
        <w:t>为必填项，要求如实填写</w:t>
      </w:r>
      <w:r>
        <w:rPr>
          <w:rFonts w:hint="eastAsia"/>
          <w:sz w:val="24"/>
        </w:rPr>
        <w:t>；配套能力的</w:t>
      </w:r>
      <w:r>
        <w:rPr>
          <w:sz w:val="24"/>
        </w:rPr>
        <w:t>供货类别选择“工程建设-工程建设”；账号信息</w:t>
      </w:r>
      <w:r>
        <w:rPr>
          <w:b/>
          <w:bCs/>
          <w:sz w:val="24"/>
          <w:em w:val="dot"/>
        </w:rPr>
        <w:t>不允许有任何空格</w:t>
      </w:r>
      <w:r>
        <w:rPr>
          <w:sz w:val="24"/>
        </w:rPr>
        <w:t>且</w:t>
      </w:r>
      <w:r>
        <w:rPr>
          <w:b/>
          <w:bCs/>
          <w:sz w:val="24"/>
          <w:em w:val="dot"/>
        </w:rPr>
        <w:t>必须填写对公账号</w:t>
      </w:r>
      <w:r>
        <w:rPr>
          <w:sz w:val="24"/>
        </w:rPr>
        <w:t>（不按要求填写的将影响投标保证金退还）。</w:t>
      </w:r>
    </w:p>
    <w:p w14:paraId="4BDE61D4">
      <w:pPr>
        <w:spacing w:line="360" w:lineRule="auto"/>
        <w:ind w:firstLine="482" w:firstLineChars="200"/>
        <w:jc w:val="left"/>
      </w:pPr>
      <w:r>
        <w:rPr>
          <w:rFonts w:hint="eastAsia" w:ascii="宋体" w:cs="宋体"/>
          <w:b/>
          <w:bCs/>
          <w:sz w:val="24"/>
          <w:lang w:bidi="ar"/>
        </w:rPr>
        <w:t>e采通注册并</w:t>
      </w:r>
      <w:r>
        <w:rPr>
          <w:rFonts w:hint="eastAsia" w:ascii="宋体" w:cs="宋体"/>
          <w:b/>
          <w:bCs/>
          <w:sz w:val="24"/>
          <w:em w:val="dot"/>
          <w:lang w:bidi="ar"/>
        </w:rPr>
        <w:t>审核通过后</w:t>
      </w:r>
      <w:r>
        <w:rPr>
          <w:rFonts w:hint="eastAsia" w:ascii="宋体" w:cs="宋体"/>
          <w:b/>
          <w:bCs/>
          <w:sz w:val="24"/>
          <w:lang w:bidi="ar"/>
        </w:rPr>
        <w:t>方能参与本项目应标及后续投标，审核通过后请电话告知招标方联系人。</w:t>
      </w:r>
    </w:p>
    <w:p w14:paraId="21540FE9">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4.2招标文件获取：上述资格预审入围者通过重汽e采通平台接收电子版招标文件。</w:t>
      </w:r>
    </w:p>
    <w:p w14:paraId="1E26869F">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4.3招标文件工本费：无。</w:t>
      </w:r>
    </w:p>
    <w:p w14:paraId="6732FBAA">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4.4投标保证金金额、形式和递交：详见招标文件。</w:t>
      </w:r>
    </w:p>
    <w:p w14:paraId="4F491ADB">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4.5中标服务费：无。</w:t>
      </w:r>
    </w:p>
    <w:p w14:paraId="47325FDC">
      <w:pPr>
        <w:widowControl/>
        <w:spacing w:line="500" w:lineRule="exact"/>
        <w:jc w:val="left"/>
        <w:rPr>
          <w:rFonts w:hint="eastAsia" w:ascii="宋体" w:hAnsi="宋体" w:cs="宋体"/>
          <w:b/>
          <w:bCs/>
          <w:kern w:val="0"/>
          <w:sz w:val="24"/>
          <w:lang w:bidi="en-US"/>
        </w:rPr>
      </w:pPr>
      <w:r>
        <w:rPr>
          <w:rFonts w:hint="eastAsia" w:ascii="宋体" w:hAnsi="宋体" w:cs="宋体"/>
          <w:b/>
          <w:bCs/>
          <w:kern w:val="0"/>
          <w:sz w:val="24"/>
          <w:lang w:bidi="en-US"/>
        </w:rPr>
        <w:t>5．投标文件的递交</w:t>
      </w:r>
    </w:p>
    <w:p w14:paraId="0E0CB459">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5.1 投标文件递交的截止时间：（投标截止时间，下同）详见招标文件。</w:t>
      </w:r>
    </w:p>
    <w:p w14:paraId="43DEB78D">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5.2 逾期送达的或者未送达指定地点的投标文件，招标人不予受理。</w:t>
      </w:r>
    </w:p>
    <w:p w14:paraId="10AB5313">
      <w:pPr>
        <w:widowControl/>
        <w:spacing w:line="500" w:lineRule="exact"/>
        <w:jc w:val="left"/>
        <w:rPr>
          <w:rFonts w:hint="eastAsia" w:ascii="宋体" w:hAnsi="宋体" w:cs="宋体"/>
          <w:b/>
          <w:bCs/>
          <w:kern w:val="0"/>
          <w:sz w:val="24"/>
          <w:lang w:bidi="en-US"/>
        </w:rPr>
      </w:pPr>
      <w:r>
        <w:rPr>
          <w:rFonts w:hint="eastAsia" w:ascii="宋体" w:hAnsi="宋体" w:cs="宋体"/>
          <w:b/>
          <w:bCs/>
          <w:kern w:val="0"/>
          <w:sz w:val="24"/>
          <w:lang w:bidi="en-US"/>
        </w:rPr>
        <w:t>6．招标公告发布媒介</w:t>
      </w:r>
    </w:p>
    <w:p w14:paraId="68052F95">
      <w:pPr>
        <w:widowControl/>
        <w:spacing w:line="500" w:lineRule="exact"/>
        <w:ind w:firstLine="480" w:firstLineChars="200"/>
        <w:jc w:val="left"/>
        <w:rPr>
          <w:rFonts w:hint="eastAsia" w:ascii="宋体" w:hAnsi="宋体" w:cs="宋体"/>
          <w:kern w:val="0"/>
          <w:sz w:val="24"/>
          <w:highlight w:val="cyan"/>
          <w:lang w:bidi="en-US"/>
        </w:rPr>
      </w:pPr>
      <w:r>
        <w:rPr>
          <w:rFonts w:hint="eastAsia" w:ascii="宋体" w:hAnsi="宋体" w:cs="宋体"/>
          <w:kern w:val="0"/>
          <w:sz w:val="24"/>
          <w:highlight w:val="cyan"/>
          <w:lang w:bidi="en-US"/>
        </w:rPr>
        <w:t>本次公告同时在山东省阳光采购服务平台（供应商需同时在阳光采购平台进行注册，并在本公告要求的截止时间前搜索本项目报名）、中国招标投标公共服务平台及中国重型汽车集团有限公司网站上发布。</w:t>
      </w:r>
    </w:p>
    <w:p w14:paraId="14199BB9">
      <w:pPr>
        <w:widowControl/>
        <w:spacing w:line="500" w:lineRule="exact"/>
        <w:jc w:val="left"/>
        <w:rPr>
          <w:rFonts w:hint="eastAsia" w:ascii="宋体" w:hAnsi="宋体" w:cs="宋体"/>
          <w:b/>
          <w:bCs/>
          <w:kern w:val="0"/>
          <w:sz w:val="24"/>
          <w:lang w:bidi="en-US"/>
        </w:rPr>
      </w:pPr>
      <w:r>
        <w:rPr>
          <w:rFonts w:hint="eastAsia" w:ascii="宋体" w:hAnsi="宋体" w:cs="宋体"/>
          <w:b/>
          <w:bCs/>
          <w:kern w:val="0"/>
          <w:sz w:val="24"/>
          <w:lang w:bidi="en-US"/>
        </w:rPr>
        <w:t>7</w:t>
      </w:r>
      <w:bookmarkStart w:id="16" w:name="_Toc234382576"/>
      <w:bookmarkEnd w:id="16"/>
      <w:r>
        <w:rPr>
          <w:rFonts w:hint="eastAsia" w:ascii="宋体" w:hAnsi="宋体" w:cs="宋体"/>
          <w:b/>
          <w:bCs/>
          <w:kern w:val="0"/>
          <w:sz w:val="24"/>
          <w:lang w:bidi="en-US"/>
        </w:rPr>
        <w:t>．联系方式</w:t>
      </w:r>
    </w:p>
    <w:p w14:paraId="5A05D506">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招 标 人：中国重汽集团济南卡车股份有限公司</w:t>
      </w:r>
    </w:p>
    <w:p w14:paraId="58B3026E">
      <w:pPr>
        <w:widowControl/>
        <w:spacing w:line="500" w:lineRule="exact"/>
        <w:ind w:firstLine="480" w:firstLineChars="200"/>
        <w:jc w:val="left"/>
        <w:rPr>
          <w:rFonts w:hint="eastAsia" w:ascii="宋体" w:hAnsi="宋体" w:cs="宋体"/>
          <w:kern w:val="0"/>
          <w:sz w:val="24"/>
          <w:lang w:bidi="en-US"/>
        </w:rPr>
      </w:pPr>
      <w:r>
        <w:rPr>
          <w:rFonts w:cs="宋体"/>
          <w:kern w:val="0"/>
          <w:sz w:val="24"/>
          <w:lang w:bidi="en-US"/>
        </w:rPr>
        <w:t xml:space="preserve">地 </w:t>
      </w:r>
      <w:r>
        <w:rPr>
          <w:rFonts w:hint="eastAsia" w:cs="宋体"/>
          <w:kern w:val="0"/>
          <w:sz w:val="24"/>
          <w:lang w:bidi="en-US"/>
        </w:rPr>
        <w:t xml:space="preserve">  </w:t>
      </w:r>
      <w:r>
        <w:rPr>
          <w:rFonts w:cs="宋体"/>
          <w:kern w:val="0"/>
          <w:sz w:val="24"/>
          <w:lang w:bidi="en-US"/>
        </w:rPr>
        <w:t xml:space="preserve"> 址：</w:t>
      </w:r>
      <w:r>
        <w:rPr>
          <w:rFonts w:hint="eastAsia" w:ascii="宋体" w:hAnsi="宋体" w:cs="宋体"/>
          <w:kern w:val="0"/>
          <w:sz w:val="24"/>
          <w:lang w:bidi="en-US"/>
        </w:rPr>
        <w:t>济南市高新区华奥路777</w:t>
      </w:r>
      <w:r>
        <w:rPr>
          <w:rFonts w:cs="宋体"/>
          <w:kern w:val="0"/>
          <w:sz w:val="24"/>
          <w:lang w:bidi="en-US"/>
        </w:rPr>
        <w:t>号</w:t>
      </w:r>
    </w:p>
    <w:p w14:paraId="7E37EAEC">
      <w:pPr>
        <w:widowControl/>
        <w:spacing w:line="500" w:lineRule="exact"/>
        <w:ind w:firstLine="480" w:firstLineChars="200"/>
        <w:jc w:val="left"/>
        <w:rPr>
          <w:rFonts w:hint="eastAsia" w:ascii="宋体" w:hAnsi="宋体" w:cs="宋体"/>
          <w:kern w:val="0"/>
          <w:sz w:val="24"/>
          <w:lang w:bidi="en-US"/>
        </w:rPr>
      </w:pPr>
      <w:r>
        <w:rPr>
          <w:rFonts w:hint="eastAsia" w:ascii="宋体" w:hAnsi="宋体" w:cs="宋体"/>
          <w:kern w:val="0"/>
          <w:sz w:val="24"/>
          <w:lang w:bidi="en-US"/>
        </w:rPr>
        <w:t>联系人、联系电话：</w:t>
      </w:r>
    </w:p>
    <w:p w14:paraId="55D0AC72">
      <w:pPr>
        <w:widowControl/>
        <w:spacing w:line="500" w:lineRule="exact"/>
        <w:ind w:firstLine="480" w:firstLineChars="200"/>
        <w:jc w:val="left"/>
        <w:rPr>
          <w:rFonts w:hint="eastAsia" w:ascii="宋体" w:hAnsi="宋体" w:cs="宋体"/>
          <w:kern w:val="0"/>
          <w:sz w:val="24"/>
          <w:highlight w:val="cyan"/>
          <w:lang w:bidi="en-US"/>
        </w:rPr>
      </w:pPr>
      <w:r>
        <w:rPr>
          <w:rFonts w:hint="eastAsia" w:ascii="宋体" w:hAnsi="宋体" w:cs="宋体"/>
          <w:kern w:val="0"/>
          <w:sz w:val="24"/>
          <w:highlight w:val="cyan"/>
          <w:lang w:bidi="en-US"/>
        </w:rPr>
        <w:t>（招标管理中心）苏启蒙17553108182</w:t>
      </w:r>
    </w:p>
    <w:p w14:paraId="23E5F5ED">
      <w:pPr>
        <w:widowControl/>
        <w:ind w:firstLine="480" w:firstLineChars="200"/>
        <w:jc w:val="left"/>
      </w:pPr>
      <w:r>
        <w:rPr>
          <w:rFonts w:hint="eastAsia" w:ascii="宋体" w:hAnsi="宋体" w:cs="宋体"/>
          <w:kern w:val="0"/>
          <w:sz w:val="24"/>
          <w:highlight w:val="cyan"/>
          <w:lang w:bidi="en-US"/>
        </w:rPr>
        <w:t>（使用单位：卡车制造公司）刘富强17860603679</w:t>
      </w:r>
    </w:p>
    <w:p w14:paraId="54949CB8">
      <w:pPr>
        <w:pStyle w:val="2"/>
        <w:ind w:left="0" w:leftChars="0" w:firstLine="420"/>
        <w:rPr>
          <w:highlight w:val="cyan"/>
        </w:rPr>
      </w:pPr>
    </w:p>
    <w:p w14:paraId="2B804BAD">
      <w:pPr>
        <w:widowControl/>
        <w:spacing w:line="500" w:lineRule="exact"/>
        <w:ind w:firstLine="480" w:firstLineChars="200"/>
        <w:jc w:val="left"/>
        <w:rPr>
          <w:rFonts w:hint="eastAsia" w:ascii="宋体" w:hAnsi="宋体" w:cs="宋体"/>
          <w:kern w:val="0"/>
          <w:sz w:val="24"/>
          <w:highlight w:val="cyan"/>
          <w:lang w:bidi="en-US"/>
        </w:rPr>
      </w:pPr>
      <w:r>
        <w:rPr>
          <w:rFonts w:hint="eastAsia" w:ascii="宋体" w:hAnsi="宋体" w:cs="宋体"/>
          <w:kern w:val="0"/>
          <w:sz w:val="24"/>
          <w:highlight w:val="cyan"/>
          <w:lang w:bidi="en-US"/>
        </w:rPr>
        <w:t>电子邮件：FSCZB2025120165</w:t>
      </w:r>
      <w:r>
        <w:rPr>
          <w:rFonts w:ascii="宋体" w:hAnsi="宋体" w:cs="宋体"/>
          <w:sz w:val="24"/>
          <w:highlight w:val="cyan"/>
        </w:rPr>
        <w:t>@sinotruk.com</w:t>
      </w:r>
    </w:p>
    <w:p w14:paraId="2A1C9008">
      <w:pPr>
        <w:widowControl/>
        <w:spacing w:line="500" w:lineRule="exact"/>
        <w:ind w:firstLine="480" w:firstLineChars="200"/>
        <w:jc w:val="right"/>
        <w:rPr>
          <w:rFonts w:hint="eastAsia" w:ascii="宋体" w:hAnsi="宋体"/>
          <w:color w:val="FF0000"/>
          <w:kern w:val="0"/>
          <w:sz w:val="24"/>
          <w:szCs w:val="21"/>
          <w:lang w:bidi="en-US"/>
        </w:rPr>
      </w:pPr>
      <w:r>
        <w:rPr>
          <w:rFonts w:hint="eastAsia" w:ascii="宋体" w:hAnsi="宋体"/>
          <w:kern w:val="0"/>
          <w:sz w:val="24"/>
          <w:szCs w:val="21"/>
          <w:highlight w:val="cyan"/>
          <w:lang w:bidi="en-US"/>
        </w:rPr>
        <w:t>2025年</w:t>
      </w:r>
      <w:r>
        <w:rPr>
          <w:rFonts w:hint="eastAsia" w:ascii="宋体" w:hAnsi="宋体"/>
          <w:kern w:val="0"/>
          <w:sz w:val="24"/>
          <w:szCs w:val="21"/>
          <w:highlight w:val="cyan"/>
          <w:lang w:val="en-US" w:eastAsia="zh-CN" w:bidi="en-US"/>
        </w:rPr>
        <w:t>12</w:t>
      </w:r>
      <w:r>
        <w:rPr>
          <w:rFonts w:hint="eastAsia" w:ascii="宋体" w:hAnsi="宋体"/>
          <w:kern w:val="0"/>
          <w:sz w:val="24"/>
          <w:szCs w:val="21"/>
          <w:highlight w:val="cyan"/>
          <w:lang w:bidi="en-US"/>
        </w:rPr>
        <w:t>月</w:t>
      </w:r>
      <w:r>
        <w:rPr>
          <w:rFonts w:hint="eastAsia" w:ascii="宋体" w:hAnsi="宋体"/>
          <w:kern w:val="0"/>
          <w:sz w:val="24"/>
          <w:szCs w:val="21"/>
          <w:highlight w:val="cyan"/>
          <w:lang w:val="en-US" w:eastAsia="zh-CN" w:bidi="en-US"/>
        </w:rPr>
        <w:t>12</w:t>
      </w:r>
      <w:r>
        <w:rPr>
          <w:rFonts w:hint="eastAsia" w:ascii="宋体" w:hAnsi="宋体"/>
          <w:kern w:val="0"/>
          <w:sz w:val="24"/>
          <w:szCs w:val="21"/>
          <w:highlight w:val="cyan"/>
          <w:lang w:bidi="en-US"/>
        </w:rPr>
        <w:t>日</w:t>
      </w:r>
      <w:r>
        <w:rPr>
          <w:rFonts w:hint="eastAsia" w:ascii="宋体" w:hAnsi="宋体"/>
          <w:color w:val="FF0000"/>
          <w:kern w:val="0"/>
          <w:sz w:val="24"/>
          <w:szCs w:val="21"/>
          <w:lang w:bidi="en-US"/>
        </w:rPr>
        <w:t xml:space="preserve"> </w:t>
      </w:r>
    </w:p>
    <w:p w14:paraId="614AD500">
      <w:pPr>
        <w:pStyle w:val="19"/>
        <w:rPr>
          <w:rFonts w:hint="eastAsia" w:ascii="宋体" w:hAnsi="宋体"/>
          <w:color w:val="FF0000"/>
          <w:kern w:val="0"/>
          <w:sz w:val="24"/>
          <w:szCs w:val="21"/>
          <w:lang w:bidi="en-US"/>
        </w:rPr>
      </w:pPr>
    </w:p>
    <w:p w14:paraId="6A94726D">
      <w:pPr>
        <w:rPr>
          <w:rFonts w:hint="eastAsia" w:ascii="宋体" w:hAnsi="宋体"/>
          <w:kern w:val="0"/>
          <w:sz w:val="24"/>
          <w:szCs w:val="21"/>
          <w:lang w:bidi="en-US"/>
        </w:rPr>
      </w:pPr>
    </w:p>
    <w:p w14:paraId="2A377F2C">
      <w:pPr>
        <w:rPr>
          <w:rFonts w:hint="eastAsia" w:ascii="宋体" w:hAnsi="宋体"/>
          <w:kern w:val="0"/>
          <w:sz w:val="24"/>
          <w:szCs w:val="21"/>
          <w:lang w:bidi="en-US"/>
        </w:rPr>
      </w:pPr>
      <w:r>
        <w:rPr>
          <w:rFonts w:hint="eastAsia" w:ascii="宋体" w:hAnsi="宋体"/>
          <w:kern w:val="0"/>
          <w:sz w:val="24"/>
          <w:szCs w:val="21"/>
          <w:lang w:bidi="en-US"/>
        </w:rPr>
        <w:br w:type="page"/>
      </w:r>
    </w:p>
    <w:p w14:paraId="09BDE3C8">
      <w:pPr>
        <w:rPr>
          <w:rFonts w:hint="eastAsia" w:ascii="宋体" w:hAnsi="宋体"/>
          <w:kern w:val="0"/>
          <w:sz w:val="24"/>
          <w:szCs w:val="21"/>
          <w:lang w:bidi="en-US"/>
        </w:rPr>
      </w:pPr>
      <w:r>
        <w:rPr>
          <w:rFonts w:hint="eastAsia" w:ascii="宋体" w:hAnsi="宋体"/>
          <w:kern w:val="0"/>
          <w:sz w:val="24"/>
          <w:szCs w:val="21"/>
          <w:lang w:bidi="en-US"/>
        </w:rPr>
        <w:t>附件1:</w:t>
      </w:r>
    </w:p>
    <w:p w14:paraId="7990AA32">
      <w:pPr>
        <w:pStyle w:val="8"/>
      </w:pPr>
      <w:r>
        <w:rPr>
          <w:rFonts w:hint="eastAsia"/>
        </w:rPr>
        <w:t>投标信息明细表</w:t>
      </w:r>
    </w:p>
    <w:tbl>
      <w:tblPr>
        <w:tblStyle w:val="25"/>
        <w:tblW w:w="5000" w:type="pct"/>
        <w:tblInd w:w="0" w:type="dxa"/>
        <w:tblLayout w:type="autofit"/>
        <w:tblCellMar>
          <w:top w:w="0" w:type="dxa"/>
          <w:left w:w="108" w:type="dxa"/>
          <w:bottom w:w="0" w:type="dxa"/>
          <w:right w:w="108" w:type="dxa"/>
        </w:tblCellMar>
      </w:tblPr>
      <w:tblGrid>
        <w:gridCol w:w="416"/>
        <w:gridCol w:w="946"/>
        <w:gridCol w:w="416"/>
        <w:gridCol w:w="416"/>
        <w:gridCol w:w="743"/>
        <w:gridCol w:w="794"/>
        <w:gridCol w:w="663"/>
        <w:gridCol w:w="523"/>
        <w:gridCol w:w="497"/>
        <w:gridCol w:w="450"/>
        <w:gridCol w:w="450"/>
        <w:gridCol w:w="816"/>
        <w:gridCol w:w="553"/>
        <w:gridCol w:w="470"/>
        <w:gridCol w:w="553"/>
        <w:gridCol w:w="441"/>
        <w:gridCol w:w="553"/>
        <w:gridCol w:w="416"/>
      </w:tblGrid>
      <w:tr w14:paraId="61AD42C3">
        <w:tblPrEx>
          <w:tblCellMar>
            <w:top w:w="0" w:type="dxa"/>
            <w:left w:w="108" w:type="dxa"/>
            <w:bottom w:w="0" w:type="dxa"/>
            <w:right w:w="108" w:type="dxa"/>
          </w:tblCellMar>
        </w:tblPrEx>
        <w:trPr>
          <w:trHeight w:val="285" w:hRule="atLeast"/>
        </w:trPr>
        <w:tc>
          <w:tcPr>
            <w:tcW w:w="152"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6F56677F">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序</w:t>
            </w:r>
            <w:r>
              <w:rPr>
                <w:rFonts w:hint="eastAsia" w:ascii="宋体" w:hAnsi="宋体" w:cs="宋体"/>
                <w:kern w:val="0"/>
                <w:sz w:val="20"/>
                <w:szCs w:val="20"/>
                <w:lang w:bidi="ar"/>
              </w:rPr>
              <w:br w:type="textWrapping"/>
            </w:r>
            <w:r>
              <w:rPr>
                <w:rFonts w:hint="eastAsia" w:ascii="宋体" w:hAnsi="宋体" w:cs="宋体"/>
                <w:kern w:val="0"/>
                <w:sz w:val="20"/>
                <w:szCs w:val="20"/>
                <w:lang w:bidi="ar"/>
              </w:rPr>
              <w:t>号</w:t>
            </w:r>
          </w:p>
        </w:tc>
        <w:tc>
          <w:tcPr>
            <w:tcW w:w="481"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9C2E0FD">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单位名称</w:t>
            </w:r>
          </w:p>
        </w:tc>
        <w:tc>
          <w:tcPr>
            <w:tcW w:w="194"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F12B1BF">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地区</w:t>
            </w:r>
          </w:p>
        </w:tc>
        <w:tc>
          <w:tcPr>
            <w:tcW w:w="216"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98CB029">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联系人</w:t>
            </w:r>
          </w:p>
        </w:tc>
        <w:tc>
          <w:tcPr>
            <w:tcW w:w="383"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50CE160">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联系方式</w:t>
            </w:r>
          </w:p>
        </w:tc>
        <w:tc>
          <w:tcPr>
            <w:tcW w:w="406"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402A628">
            <w:pPr>
              <w:widowControl/>
              <w:jc w:val="center"/>
              <w:textAlignment w:val="center"/>
              <w:rPr>
                <w:rFonts w:hint="eastAsia" w:ascii="宋体" w:hAnsi="宋体" w:cs="宋体"/>
                <w:kern w:val="0"/>
                <w:sz w:val="20"/>
                <w:szCs w:val="20"/>
                <w:lang w:bidi="ar"/>
              </w:rPr>
            </w:pPr>
            <w:r>
              <w:rPr>
                <w:rFonts w:hint="eastAsia" w:ascii="宋体" w:hAnsi="宋体" w:cs="宋体"/>
                <w:kern w:val="0"/>
                <w:sz w:val="20"/>
                <w:szCs w:val="20"/>
                <w:lang w:bidi="ar"/>
              </w:rPr>
              <w:t>唯一指定</w:t>
            </w:r>
          </w:p>
          <w:p w14:paraId="3938F2EB">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邮箱</w:t>
            </w:r>
          </w:p>
        </w:tc>
        <w:tc>
          <w:tcPr>
            <w:tcW w:w="341"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4B94A10F">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注册资金</w:t>
            </w:r>
            <w:r>
              <w:rPr>
                <w:rFonts w:hint="eastAsia" w:ascii="宋体" w:hAnsi="宋体" w:cs="宋体"/>
                <w:kern w:val="0"/>
                <w:sz w:val="20"/>
                <w:szCs w:val="20"/>
                <w:lang w:bidi="ar"/>
              </w:rPr>
              <w:br w:type="textWrapping"/>
            </w:r>
            <w:r>
              <w:rPr>
                <w:rFonts w:hint="eastAsia" w:ascii="宋体" w:hAnsi="宋体" w:cs="宋体"/>
                <w:kern w:val="0"/>
                <w:sz w:val="20"/>
                <w:szCs w:val="20"/>
                <w:lang w:bidi="ar"/>
              </w:rPr>
              <w:t>（≥500万）</w:t>
            </w:r>
          </w:p>
        </w:tc>
        <w:tc>
          <w:tcPr>
            <w:tcW w:w="272"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1FD1EF08">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注册时间</w:t>
            </w:r>
          </w:p>
        </w:tc>
        <w:tc>
          <w:tcPr>
            <w:tcW w:w="259"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7E2283D">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企业性质</w:t>
            </w:r>
          </w:p>
        </w:tc>
        <w:tc>
          <w:tcPr>
            <w:tcW w:w="236" w:type="pct"/>
            <w:vMerge w:val="restart"/>
            <w:tcBorders>
              <w:top w:val="single" w:color="000000" w:sz="4" w:space="0"/>
              <w:left w:val="single" w:color="000000" w:sz="4" w:space="0"/>
              <w:right w:val="single" w:color="000000" w:sz="4" w:space="0"/>
            </w:tcBorders>
            <w:shd w:val="clear" w:color="auto" w:fill="FFFFFF"/>
          </w:tcPr>
          <w:p w14:paraId="28FCA764">
            <w:pPr>
              <w:widowControl/>
              <w:jc w:val="center"/>
              <w:textAlignment w:val="center"/>
              <w:rPr>
                <w:rFonts w:hint="eastAsia" w:ascii="宋体" w:hAnsi="宋体" w:cs="宋体"/>
                <w:kern w:val="0"/>
                <w:sz w:val="20"/>
                <w:szCs w:val="20"/>
                <w:lang w:bidi="ar"/>
              </w:rPr>
            </w:pPr>
            <w:r>
              <w:rPr>
                <w:rFonts w:hint="eastAsia" w:ascii="宋体" w:hAnsi="宋体" w:cs="宋体"/>
                <w:kern w:val="0"/>
                <w:sz w:val="20"/>
                <w:szCs w:val="20"/>
                <w:lang w:bidi="ar"/>
              </w:rPr>
              <w:t>施工总承包资质</w:t>
            </w:r>
          </w:p>
        </w:tc>
        <w:tc>
          <w:tcPr>
            <w:tcW w:w="236"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69C4B686">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项目经理</w:t>
            </w:r>
          </w:p>
        </w:tc>
        <w:tc>
          <w:tcPr>
            <w:tcW w:w="272" w:type="pct"/>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2078BD6F">
            <w:pPr>
              <w:widowControl/>
              <w:jc w:val="center"/>
              <w:textAlignment w:val="center"/>
              <w:rPr>
                <w:rFonts w:hint="eastAsia" w:ascii="宋体" w:hAnsi="宋体" w:cs="宋体"/>
                <w:kern w:val="0"/>
                <w:sz w:val="20"/>
                <w:szCs w:val="20"/>
                <w:lang w:bidi="ar"/>
              </w:rPr>
            </w:pPr>
            <w:r>
              <w:rPr>
                <w:rFonts w:hint="eastAsia" w:ascii="宋体" w:hAnsi="宋体" w:cs="宋体"/>
                <w:kern w:val="0"/>
                <w:sz w:val="20"/>
                <w:szCs w:val="20"/>
                <w:lang w:bidi="ar"/>
              </w:rPr>
              <w:t>类似</w:t>
            </w:r>
            <w:r>
              <w:rPr>
                <w:rFonts w:hint="eastAsia" w:ascii="宋体" w:hAnsi="宋体" w:cs="宋体"/>
                <w:kern w:val="0"/>
                <w:sz w:val="20"/>
                <w:szCs w:val="20"/>
                <w:lang w:bidi="ar"/>
              </w:rPr>
              <w:br w:type="textWrapping"/>
            </w:r>
            <w:r>
              <w:rPr>
                <w:rFonts w:hint="eastAsia" w:ascii="宋体" w:hAnsi="宋体" w:cs="宋体"/>
                <w:kern w:val="0"/>
                <w:sz w:val="20"/>
                <w:szCs w:val="20"/>
                <w:lang w:bidi="ar"/>
              </w:rPr>
              <w:t>业绩</w:t>
            </w:r>
          </w:p>
          <w:p w14:paraId="54859CE3">
            <w:pPr>
              <w:widowControl/>
              <w:jc w:val="center"/>
              <w:textAlignment w:val="center"/>
              <w:rPr>
                <w:rFonts w:hint="eastAsia" w:ascii="宋体" w:hAnsi="宋体" w:cs="宋体"/>
                <w:kern w:val="0"/>
                <w:sz w:val="20"/>
                <w:szCs w:val="20"/>
                <w:lang w:bidi="ar"/>
              </w:rPr>
            </w:pPr>
            <w:r>
              <w:rPr>
                <w:rFonts w:hint="eastAsia" w:ascii="宋体" w:hAnsi="宋体" w:cs="宋体"/>
                <w:kern w:val="0"/>
                <w:sz w:val="20"/>
                <w:szCs w:val="20"/>
                <w:lang w:bidi="ar"/>
              </w:rPr>
              <w:t>数量</w:t>
            </w:r>
          </w:p>
          <w:p w14:paraId="27530DA0">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（项）</w:t>
            </w:r>
          </w:p>
        </w:tc>
        <w:tc>
          <w:tcPr>
            <w:tcW w:w="531" w:type="pct"/>
            <w:gridSpan w:val="2"/>
            <w:tcBorders>
              <w:top w:val="single" w:color="000000" w:sz="4" w:space="0"/>
              <w:left w:val="single" w:color="000000" w:sz="4" w:space="0"/>
              <w:bottom w:val="single" w:color="000000" w:sz="4" w:space="0"/>
              <w:right w:val="single" w:color="000000" w:sz="4" w:space="0"/>
            </w:tcBorders>
            <w:shd w:val="clear" w:color="auto" w:fill="FFFFFF"/>
            <w:vAlign w:val="center"/>
          </w:tcPr>
          <w:p w14:paraId="309349CA">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202</w:t>
            </w:r>
            <w:r>
              <w:rPr>
                <w:rFonts w:ascii="宋体" w:hAnsi="宋体" w:cs="宋体"/>
                <w:kern w:val="0"/>
                <w:sz w:val="20"/>
                <w:szCs w:val="20"/>
                <w:lang w:bidi="ar"/>
              </w:rPr>
              <w:t>2</w:t>
            </w:r>
            <w:r>
              <w:rPr>
                <w:rFonts w:hint="eastAsia" w:ascii="宋体" w:hAnsi="宋体" w:cs="宋体"/>
                <w:kern w:val="0"/>
                <w:sz w:val="20"/>
                <w:szCs w:val="20"/>
                <w:lang w:bidi="ar"/>
              </w:rPr>
              <w:t>年</w:t>
            </w:r>
          </w:p>
        </w:tc>
        <w:tc>
          <w:tcPr>
            <w:tcW w:w="517" w:type="pct"/>
            <w:gridSpan w:val="2"/>
            <w:tcBorders>
              <w:top w:val="single" w:color="000000" w:sz="4" w:space="0"/>
              <w:left w:val="single" w:color="000000" w:sz="4" w:space="0"/>
              <w:bottom w:val="single" w:color="000000" w:sz="4" w:space="0"/>
              <w:right w:val="single" w:color="000000" w:sz="4" w:space="0"/>
            </w:tcBorders>
            <w:shd w:val="clear" w:color="auto" w:fill="FFFFFF"/>
            <w:vAlign w:val="center"/>
          </w:tcPr>
          <w:p w14:paraId="06B97850">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202</w:t>
            </w:r>
            <w:r>
              <w:rPr>
                <w:rFonts w:ascii="宋体" w:hAnsi="宋体" w:cs="宋体"/>
                <w:kern w:val="0"/>
                <w:sz w:val="20"/>
                <w:szCs w:val="20"/>
                <w:lang w:bidi="ar"/>
              </w:rPr>
              <w:t>3</w:t>
            </w:r>
            <w:r>
              <w:rPr>
                <w:rFonts w:hint="eastAsia" w:ascii="宋体" w:hAnsi="宋体" w:cs="宋体"/>
                <w:kern w:val="0"/>
                <w:sz w:val="20"/>
                <w:szCs w:val="20"/>
                <w:lang w:bidi="ar"/>
              </w:rPr>
              <w:t>年</w:t>
            </w:r>
          </w:p>
        </w:tc>
        <w:tc>
          <w:tcPr>
            <w:tcW w:w="504" w:type="pct"/>
            <w:gridSpan w:val="2"/>
            <w:tcBorders>
              <w:top w:val="single" w:color="000000" w:sz="4" w:space="0"/>
              <w:left w:val="single" w:color="000000" w:sz="4" w:space="0"/>
              <w:bottom w:val="single" w:color="000000" w:sz="4" w:space="0"/>
              <w:right w:val="single" w:color="000000" w:sz="4" w:space="0"/>
            </w:tcBorders>
            <w:shd w:val="clear" w:color="auto" w:fill="FFFFFF"/>
            <w:vAlign w:val="center"/>
          </w:tcPr>
          <w:p w14:paraId="6D185462">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202</w:t>
            </w:r>
            <w:r>
              <w:rPr>
                <w:rFonts w:ascii="宋体" w:hAnsi="宋体" w:cs="宋体"/>
                <w:kern w:val="0"/>
                <w:sz w:val="20"/>
                <w:szCs w:val="20"/>
                <w:lang w:bidi="ar"/>
              </w:rPr>
              <w:t>4</w:t>
            </w:r>
            <w:r>
              <w:rPr>
                <w:rFonts w:hint="eastAsia" w:ascii="宋体" w:hAnsi="宋体" w:cs="宋体"/>
                <w:kern w:val="0"/>
                <w:sz w:val="20"/>
                <w:szCs w:val="20"/>
                <w:lang w:bidi="ar"/>
              </w:rPr>
              <w:t>年</w:t>
            </w:r>
          </w:p>
        </w:tc>
      </w:tr>
      <w:tr w14:paraId="7ACFFD90">
        <w:tblPrEx>
          <w:tblCellMar>
            <w:top w:w="0" w:type="dxa"/>
            <w:left w:w="108" w:type="dxa"/>
            <w:bottom w:w="0" w:type="dxa"/>
            <w:right w:w="108" w:type="dxa"/>
          </w:tblCellMar>
        </w:tblPrEx>
        <w:trPr>
          <w:trHeight w:val="480" w:hRule="atLeast"/>
        </w:trPr>
        <w:tc>
          <w:tcPr>
            <w:tcW w:w="152"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AEAC842">
            <w:pPr>
              <w:rPr>
                <w:sz w:val="20"/>
                <w:szCs w:val="20"/>
              </w:rPr>
            </w:pPr>
          </w:p>
        </w:tc>
        <w:tc>
          <w:tcPr>
            <w:tcW w:w="481"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88B1292">
            <w:pPr>
              <w:rPr>
                <w:sz w:val="20"/>
                <w:szCs w:val="20"/>
              </w:rPr>
            </w:pPr>
          </w:p>
        </w:tc>
        <w:tc>
          <w:tcPr>
            <w:tcW w:w="194"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58EC80B">
            <w:pPr>
              <w:rPr>
                <w:sz w:val="20"/>
                <w:szCs w:val="20"/>
              </w:rPr>
            </w:pPr>
          </w:p>
        </w:tc>
        <w:tc>
          <w:tcPr>
            <w:tcW w:w="216"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080B021">
            <w:pPr>
              <w:rPr>
                <w:sz w:val="20"/>
                <w:szCs w:val="20"/>
              </w:rPr>
            </w:pPr>
          </w:p>
        </w:tc>
        <w:tc>
          <w:tcPr>
            <w:tcW w:w="383"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4B6738A9">
            <w:pPr>
              <w:rPr>
                <w:sz w:val="20"/>
                <w:szCs w:val="20"/>
              </w:rPr>
            </w:pPr>
          </w:p>
        </w:tc>
        <w:tc>
          <w:tcPr>
            <w:tcW w:w="406"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97EA18E">
            <w:pPr>
              <w:rPr>
                <w:sz w:val="20"/>
                <w:szCs w:val="20"/>
              </w:rPr>
            </w:pPr>
          </w:p>
        </w:tc>
        <w:tc>
          <w:tcPr>
            <w:tcW w:w="341"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07AD2FD0">
            <w:pPr>
              <w:rPr>
                <w:sz w:val="20"/>
                <w:szCs w:val="20"/>
              </w:rPr>
            </w:pPr>
          </w:p>
        </w:tc>
        <w:tc>
          <w:tcPr>
            <w:tcW w:w="272"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1F249454">
            <w:pPr>
              <w:rPr>
                <w:sz w:val="20"/>
                <w:szCs w:val="20"/>
              </w:rPr>
            </w:pPr>
          </w:p>
        </w:tc>
        <w:tc>
          <w:tcPr>
            <w:tcW w:w="259"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4A92B95">
            <w:pPr>
              <w:rPr>
                <w:sz w:val="20"/>
                <w:szCs w:val="20"/>
              </w:rPr>
            </w:pPr>
          </w:p>
        </w:tc>
        <w:tc>
          <w:tcPr>
            <w:tcW w:w="236" w:type="pct"/>
            <w:vMerge w:val="continue"/>
            <w:tcBorders>
              <w:left w:val="single" w:color="000000" w:sz="4" w:space="0"/>
              <w:bottom w:val="single" w:color="000000" w:sz="4" w:space="0"/>
              <w:right w:val="single" w:color="000000" w:sz="4" w:space="0"/>
            </w:tcBorders>
            <w:shd w:val="clear" w:color="auto" w:fill="FFFFFF"/>
          </w:tcPr>
          <w:p w14:paraId="3BBC8C3A">
            <w:pPr>
              <w:rPr>
                <w:sz w:val="20"/>
                <w:szCs w:val="20"/>
              </w:rPr>
            </w:pPr>
          </w:p>
        </w:tc>
        <w:tc>
          <w:tcPr>
            <w:tcW w:w="236"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755CF8B8">
            <w:pPr>
              <w:rPr>
                <w:sz w:val="20"/>
                <w:szCs w:val="20"/>
              </w:rPr>
            </w:pPr>
          </w:p>
        </w:tc>
        <w:tc>
          <w:tcPr>
            <w:tcW w:w="272" w:type="pct"/>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286011E2">
            <w:pPr>
              <w:rPr>
                <w:sz w:val="20"/>
                <w:szCs w:val="20"/>
              </w:rPr>
            </w:pP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0D7F5AC">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营收</w:t>
            </w:r>
            <w:r>
              <w:rPr>
                <w:rFonts w:hint="eastAsia" w:ascii="宋体" w:hAnsi="宋体" w:cs="宋体"/>
                <w:kern w:val="0"/>
                <w:sz w:val="20"/>
                <w:szCs w:val="20"/>
                <w:lang w:bidi="ar"/>
              </w:rPr>
              <w:br w:type="textWrapping"/>
            </w:r>
            <w:r>
              <w:rPr>
                <w:rFonts w:hint="eastAsia" w:ascii="宋体" w:hAnsi="宋体" w:cs="宋体"/>
                <w:kern w:val="0"/>
                <w:sz w:val="20"/>
                <w:szCs w:val="20"/>
                <w:lang w:bidi="ar"/>
              </w:rPr>
              <w:t>/万元</w:t>
            </w:r>
          </w:p>
        </w:tc>
        <w:tc>
          <w:tcPr>
            <w:tcW w:w="24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8001A0B">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资产负债率</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E75D8FA">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营收</w:t>
            </w:r>
            <w:r>
              <w:rPr>
                <w:rFonts w:hint="eastAsia" w:ascii="宋体" w:hAnsi="宋体" w:cs="宋体"/>
                <w:kern w:val="0"/>
                <w:sz w:val="20"/>
                <w:szCs w:val="20"/>
                <w:lang w:bidi="ar"/>
              </w:rPr>
              <w:br w:type="textWrapping"/>
            </w:r>
            <w:r>
              <w:rPr>
                <w:rFonts w:hint="eastAsia" w:ascii="宋体" w:hAnsi="宋体" w:cs="宋体"/>
                <w:kern w:val="0"/>
                <w:sz w:val="20"/>
                <w:szCs w:val="20"/>
                <w:lang w:bidi="ar"/>
              </w:rPr>
              <w:t>/万元</w:t>
            </w:r>
          </w:p>
        </w:tc>
        <w:tc>
          <w:tcPr>
            <w:tcW w:w="23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5CE5031">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资产负债率</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26CC838">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营收</w:t>
            </w:r>
            <w:r>
              <w:rPr>
                <w:rFonts w:hint="eastAsia" w:ascii="宋体" w:hAnsi="宋体" w:cs="宋体"/>
                <w:kern w:val="0"/>
                <w:sz w:val="20"/>
                <w:szCs w:val="20"/>
                <w:lang w:bidi="ar"/>
              </w:rPr>
              <w:br w:type="textWrapping"/>
            </w:r>
            <w:r>
              <w:rPr>
                <w:rFonts w:hint="eastAsia" w:ascii="宋体" w:hAnsi="宋体" w:cs="宋体"/>
                <w:kern w:val="0"/>
                <w:sz w:val="20"/>
                <w:szCs w:val="20"/>
                <w:lang w:bidi="ar"/>
              </w:rPr>
              <w:t>/万元</w:t>
            </w:r>
          </w:p>
        </w:tc>
        <w:tc>
          <w:tcPr>
            <w:tcW w:w="218"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2911115">
            <w:pPr>
              <w:widowControl/>
              <w:jc w:val="center"/>
              <w:textAlignment w:val="center"/>
              <w:rPr>
                <w:rFonts w:hint="eastAsia" w:ascii="宋体" w:hAnsi="宋体" w:cs="宋体"/>
                <w:sz w:val="20"/>
                <w:szCs w:val="20"/>
              </w:rPr>
            </w:pPr>
            <w:r>
              <w:rPr>
                <w:rFonts w:hint="eastAsia" w:ascii="宋体" w:hAnsi="宋体" w:cs="宋体"/>
                <w:kern w:val="0"/>
                <w:sz w:val="20"/>
                <w:szCs w:val="20"/>
                <w:lang w:bidi="ar"/>
              </w:rPr>
              <w:t>资产负债率</w:t>
            </w:r>
          </w:p>
        </w:tc>
      </w:tr>
      <w:tr w14:paraId="7A96CCA3">
        <w:tblPrEx>
          <w:tblCellMar>
            <w:top w:w="0" w:type="dxa"/>
            <w:left w:w="108" w:type="dxa"/>
            <w:bottom w:w="0" w:type="dxa"/>
            <w:right w:w="108" w:type="dxa"/>
          </w:tblCellMar>
        </w:tblPrEx>
        <w:trPr>
          <w:trHeight w:val="649" w:hRule="atLeast"/>
        </w:trPr>
        <w:tc>
          <w:tcPr>
            <w:tcW w:w="15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A48C3C5">
            <w:pPr>
              <w:jc w:val="center"/>
              <w:rPr>
                <w:rFonts w:hint="eastAsia" w:ascii="宋体" w:hAnsi="宋体" w:cs="宋体"/>
                <w:sz w:val="20"/>
                <w:szCs w:val="20"/>
              </w:rPr>
            </w:pPr>
          </w:p>
        </w:tc>
        <w:tc>
          <w:tcPr>
            <w:tcW w:w="48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FEB50F0">
            <w:pPr>
              <w:rPr>
                <w:rFonts w:hint="eastAsia" w:ascii="宋体" w:hAnsi="宋体" w:cs="宋体"/>
                <w:sz w:val="20"/>
                <w:szCs w:val="20"/>
              </w:rPr>
            </w:pP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06273B2">
            <w:pPr>
              <w:jc w:val="center"/>
              <w:rPr>
                <w:rFonts w:hint="eastAsia" w:ascii="宋体" w:hAnsi="宋体" w:cs="宋体"/>
                <w:sz w:val="20"/>
                <w:szCs w:val="20"/>
              </w:rPr>
            </w:pPr>
          </w:p>
        </w:tc>
        <w:tc>
          <w:tcPr>
            <w:tcW w:w="21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734BF8E">
            <w:pPr>
              <w:jc w:val="center"/>
              <w:rPr>
                <w:rFonts w:hint="eastAsia" w:ascii="宋体" w:hAnsi="宋体" w:cs="宋体"/>
                <w:sz w:val="20"/>
                <w:szCs w:val="20"/>
              </w:rPr>
            </w:pPr>
          </w:p>
        </w:tc>
        <w:tc>
          <w:tcPr>
            <w:tcW w:w="3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4890510">
            <w:pPr>
              <w:jc w:val="center"/>
              <w:rPr>
                <w:rFonts w:hint="eastAsia" w:ascii="宋体" w:hAnsi="宋体" w:cs="宋体"/>
                <w:sz w:val="20"/>
                <w:szCs w:val="20"/>
              </w:rPr>
            </w:pPr>
          </w:p>
        </w:tc>
        <w:tc>
          <w:tcPr>
            <w:tcW w:w="40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B913BD8">
            <w:pPr>
              <w:jc w:val="center"/>
              <w:rPr>
                <w:rFonts w:hint="eastAsia" w:ascii="宋体" w:hAnsi="宋体" w:cs="宋体"/>
                <w:sz w:val="20"/>
                <w:szCs w:val="20"/>
              </w:rPr>
            </w:pPr>
          </w:p>
        </w:tc>
        <w:tc>
          <w:tcPr>
            <w:tcW w:w="34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39573A1">
            <w:pPr>
              <w:jc w:val="center"/>
              <w:rPr>
                <w:rFonts w:hint="eastAsia" w:ascii="宋体" w:hAnsi="宋体" w:cs="宋体"/>
                <w:sz w:val="20"/>
                <w:szCs w:val="20"/>
              </w:rPr>
            </w:pPr>
          </w:p>
        </w:tc>
        <w:tc>
          <w:tcPr>
            <w:tcW w:w="27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5070CF7">
            <w:pPr>
              <w:jc w:val="center"/>
              <w:rPr>
                <w:rFonts w:hint="eastAsia" w:ascii="宋体" w:hAnsi="宋体" w:cs="宋体"/>
                <w:sz w:val="20"/>
                <w:szCs w:val="20"/>
              </w:rPr>
            </w:pPr>
          </w:p>
        </w:tc>
        <w:tc>
          <w:tcPr>
            <w:tcW w:w="2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38EA158">
            <w:pPr>
              <w:jc w:val="left"/>
              <w:rPr>
                <w:rFonts w:hint="eastAsia" w:ascii="宋体" w:hAnsi="宋体" w:cs="宋体"/>
                <w:sz w:val="20"/>
                <w:szCs w:val="20"/>
              </w:rPr>
            </w:pPr>
          </w:p>
        </w:tc>
        <w:tc>
          <w:tcPr>
            <w:tcW w:w="236" w:type="pct"/>
            <w:tcBorders>
              <w:top w:val="single" w:color="000000" w:sz="4" w:space="0"/>
              <w:left w:val="single" w:color="000000" w:sz="4" w:space="0"/>
              <w:bottom w:val="single" w:color="000000" w:sz="4" w:space="0"/>
              <w:right w:val="single" w:color="000000" w:sz="4" w:space="0"/>
            </w:tcBorders>
            <w:shd w:val="clear" w:color="auto" w:fill="FFFFFF"/>
          </w:tcPr>
          <w:p w14:paraId="1D530C31">
            <w:pPr>
              <w:jc w:val="center"/>
              <w:rPr>
                <w:rFonts w:hint="eastAsia" w:ascii="宋体" w:hAnsi="宋体" w:cs="宋体"/>
                <w:sz w:val="20"/>
                <w:szCs w:val="20"/>
              </w:rPr>
            </w:pPr>
          </w:p>
        </w:tc>
        <w:tc>
          <w:tcPr>
            <w:tcW w:w="23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DB29E4D">
            <w:pPr>
              <w:jc w:val="center"/>
              <w:rPr>
                <w:rFonts w:hint="eastAsia" w:ascii="宋体" w:hAnsi="宋体" w:cs="宋体"/>
                <w:sz w:val="20"/>
                <w:szCs w:val="20"/>
              </w:rPr>
            </w:pPr>
          </w:p>
        </w:tc>
        <w:tc>
          <w:tcPr>
            <w:tcW w:w="27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0DE3053">
            <w:pPr>
              <w:jc w:val="center"/>
              <w:rPr>
                <w:rFonts w:hint="eastAsia" w:ascii="宋体" w:hAnsi="宋体" w:cs="宋体"/>
                <w:sz w:val="20"/>
                <w:szCs w:val="20"/>
              </w:rPr>
            </w:pP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D720A20">
            <w:pPr>
              <w:jc w:val="center"/>
              <w:rPr>
                <w:rFonts w:hint="eastAsia" w:ascii="宋体" w:hAnsi="宋体" w:cs="宋体"/>
                <w:sz w:val="20"/>
                <w:szCs w:val="20"/>
              </w:rPr>
            </w:pPr>
          </w:p>
        </w:tc>
        <w:tc>
          <w:tcPr>
            <w:tcW w:w="245"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279951C">
            <w:pPr>
              <w:jc w:val="center"/>
              <w:rPr>
                <w:rFonts w:hint="eastAsia" w:ascii="宋体" w:hAnsi="宋体" w:cs="宋体"/>
                <w:sz w:val="20"/>
                <w:szCs w:val="20"/>
              </w:rPr>
            </w:pPr>
            <w:r>
              <w:rPr>
                <w:rFonts w:hint="eastAsia" w:ascii="宋体" w:hAnsi="宋体" w:cs="宋体"/>
                <w:sz w:val="20"/>
                <w:szCs w:val="20"/>
              </w:rPr>
              <w:t>%</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A31CE49">
            <w:pPr>
              <w:jc w:val="center"/>
              <w:rPr>
                <w:rFonts w:hint="eastAsia" w:ascii="宋体" w:hAnsi="宋体" w:cs="宋体"/>
                <w:sz w:val="20"/>
                <w:szCs w:val="20"/>
              </w:rPr>
            </w:pPr>
          </w:p>
        </w:tc>
        <w:tc>
          <w:tcPr>
            <w:tcW w:w="231" w:type="pct"/>
            <w:tcBorders>
              <w:top w:val="single" w:color="000000" w:sz="4" w:space="0"/>
              <w:left w:val="single" w:color="000000" w:sz="4" w:space="0"/>
              <w:bottom w:val="single" w:color="000000" w:sz="4" w:space="0"/>
              <w:right w:val="single" w:color="000000" w:sz="4" w:space="0"/>
            </w:tcBorders>
            <w:shd w:val="clear" w:color="auto" w:fill="FFFFFF"/>
          </w:tcPr>
          <w:p w14:paraId="3FF89D2C">
            <w:pPr>
              <w:jc w:val="center"/>
              <w:rPr>
                <w:rFonts w:hint="eastAsia" w:ascii="宋体" w:hAnsi="宋体" w:cs="宋体"/>
                <w:sz w:val="20"/>
                <w:szCs w:val="20"/>
              </w:rPr>
            </w:pPr>
            <w:r>
              <w:rPr>
                <w:rFonts w:hint="eastAsia" w:ascii="宋体" w:hAnsi="宋体" w:cs="宋体"/>
                <w:sz w:val="20"/>
                <w:szCs w:val="20"/>
              </w:rPr>
              <w:t>%</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75E6839">
            <w:pPr>
              <w:jc w:val="center"/>
              <w:rPr>
                <w:rFonts w:hint="eastAsia" w:ascii="宋体" w:hAnsi="宋体" w:cs="宋体"/>
                <w:sz w:val="20"/>
                <w:szCs w:val="20"/>
              </w:rPr>
            </w:pPr>
          </w:p>
        </w:tc>
        <w:tc>
          <w:tcPr>
            <w:tcW w:w="218" w:type="pct"/>
            <w:tcBorders>
              <w:top w:val="single" w:color="000000" w:sz="4" w:space="0"/>
              <w:left w:val="single" w:color="000000" w:sz="4" w:space="0"/>
              <w:bottom w:val="single" w:color="000000" w:sz="4" w:space="0"/>
              <w:right w:val="single" w:color="000000" w:sz="4" w:space="0"/>
            </w:tcBorders>
            <w:shd w:val="clear" w:color="auto" w:fill="FFFFFF"/>
          </w:tcPr>
          <w:p w14:paraId="569F1ADD">
            <w:pPr>
              <w:jc w:val="center"/>
              <w:rPr>
                <w:rFonts w:hint="eastAsia" w:ascii="宋体" w:hAnsi="宋体" w:cs="宋体"/>
                <w:sz w:val="20"/>
                <w:szCs w:val="20"/>
              </w:rPr>
            </w:pPr>
            <w:r>
              <w:rPr>
                <w:rFonts w:hint="eastAsia" w:ascii="宋体" w:hAnsi="宋体" w:cs="宋体"/>
                <w:sz w:val="20"/>
                <w:szCs w:val="20"/>
              </w:rPr>
              <w:t>%</w:t>
            </w:r>
          </w:p>
        </w:tc>
      </w:tr>
      <w:tr w14:paraId="4F7C48A3">
        <w:tblPrEx>
          <w:tblCellMar>
            <w:top w:w="0" w:type="dxa"/>
            <w:left w:w="108" w:type="dxa"/>
            <w:bottom w:w="0" w:type="dxa"/>
            <w:right w:w="108" w:type="dxa"/>
          </w:tblCellMar>
        </w:tblPrEx>
        <w:trPr>
          <w:trHeight w:val="694" w:hRule="atLeast"/>
        </w:trPr>
        <w:tc>
          <w:tcPr>
            <w:tcW w:w="15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E6ADF08">
            <w:pPr>
              <w:jc w:val="center"/>
              <w:rPr>
                <w:rFonts w:hint="eastAsia" w:ascii="宋体" w:hAnsi="宋体" w:cs="宋体"/>
                <w:sz w:val="20"/>
                <w:szCs w:val="20"/>
              </w:rPr>
            </w:pPr>
          </w:p>
        </w:tc>
        <w:tc>
          <w:tcPr>
            <w:tcW w:w="48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06DE3CF">
            <w:pPr>
              <w:rPr>
                <w:rFonts w:hint="eastAsia" w:ascii="宋体" w:hAnsi="宋体" w:cs="宋体"/>
                <w:sz w:val="20"/>
                <w:szCs w:val="20"/>
              </w:rPr>
            </w:pP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14C04C2">
            <w:pPr>
              <w:jc w:val="center"/>
              <w:rPr>
                <w:rFonts w:hint="eastAsia" w:ascii="宋体" w:hAnsi="宋体" w:cs="宋体"/>
                <w:sz w:val="20"/>
                <w:szCs w:val="20"/>
              </w:rPr>
            </w:pPr>
          </w:p>
        </w:tc>
        <w:tc>
          <w:tcPr>
            <w:tcW w:w="21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822CBF7">
            <w:pPr>
              <w:jc w:val="center"/>
              <w:rPr>
                <w:rFonts w:hint="eastAsia" w:ascii="宋体" w:hAnsi="宋体" w:cs="宋体"/>
                <w:sz w:val="20"/>
                <w:szCs w:val="20"/>
              </w:rPr>
            </w:pPr>
          </w:p>
        </w:tc>
        <w:tc>
          <w:tcPr>
            <w:tcW w:w="3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E67ED7A">
            <w:pPr>
              <w:jc w:val="center"/>
              <w:rPr>
                <w:rFonts w:hint="eastAsia" w:ascii="宋体" w:hAnsi="宋体" w:cs="宋体"/>
                <w:sz w:val="20"/>
                <w:szCs w:val="20"/>
              </w:rPr>
            </w:pPr>
          </w:p>
        </w:tc>
        <w:tc>
          <w:tcPr>
            <w:tcW w:w="40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621E515">
            <w:pPr>
              <w:jc w:val="center"/>
              <w:rPr>
                <w:rFonts w:hint="eastAsia" w:ascii="宋体" w:hAnsi="宋体" w:cs="宋体"/>
                <w:sz w:val="20"/>
                <w:szCs w:val="20"/>
              </w:rPr>
            </w:pPr>
          </w:p>
        </w:tc>
        <w:tc>
          <w:tcPr>
            <w:tcW w:w="34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39330124">
            <w:pPr>
              <w:jc w:val="center"/>
              <w:rPr>
                <w:rFonts w:hint="eastAsia" w:ascii="宋体" w:hAnsi="宋体" w:cs="宋体"/>
                <w:sz w:val="20"/>
                <w:szCs w:val="20"/>
              </w:rPr>
            </w:pPr>
          </w:p>
        </w:tc>
        <w:tc>
          <w:tcPr>
            <w:tcW w:w="27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659BA6F">
            <w:pPr>
              <w:jc w:val="center"/>
              <w:rPr>
                <w:rFonts w:hint="eastAsia" w:ascii="宋体" w:hAnsi="宋体" w:cs="宋体"/>
                <w:sz w:val="20"/>
                <w:szCs w:val="20"/>
              </w:rPr>
            </w:pPr>
          </w:p>
        </w:tc>
        <w:tc>
          <w:tcPr>
            <w:tcW w:w="2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C5F83D4">
            <w:pPr>
              <w:jc w:val="left"/>
              <w:rPr>
                <w:rFonts w:hint="eastAsia" w:ascii="宋体" w:hAnsi="宋体" w:cs="宋体"/>
                <w:sz w:val="20"/>
                <w:szCs w:val="20"/>
              </w:rPr>
            </w:pPr>
          </w:p>
        </w:tc>
        <w:tc>
          <w:tcPr>
            <w:tcW w:w="236" w:type="pct"/>
            <w:tcBorders>
              <w:top w:val="single" w:color="000000" w:sz="4" w:space="0"/>
              <w:left w:val="single" w:color="000000" w:sz="4" w:space="0"/>
              <w:bottom w:val="single" w:color="000000" w:sz="4" w:space="0"/>
              <w:right w:val="single" w:color="000000" w:sz="4" w:space="0"/>
            </w:tcBorders>
            <w:shd w:val="clear" w:color="auto" w:fill="FFFFFF"/>
          </w:tcPr>
          <w:p w14:paraId="2266B485">
            <w:pPr>
              <w:jc w:val="center"/>
              <w:rPr>
                <w:rFonts w:hint="eastAsia" w:ascii="宋体" w:hAnsi="宋体" w:cs="宋体"/>
                <w:sz w:val="20"/>
                <w:szCs w:val="20"/>
              </w:rPr>
            </w:pPr>
          </w:p>
        </w:tc>
        <w:tc>
          <w:tcPr>
            <w:tcW w:w="23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7D796BA">
            <w:pPr>
              <w:jc w:val="center"/>
              <w:rPr>
                <w:rFonts w:hint="eastAsia" w:ascii="宋体" w:hAnsi="宋体" w:cs="宋体"/>
                <w:sz w:val="20"/>
                <w:szCs w:val="20"/>
              </w:rPr>
            </w:pPr>
          </w:p>
        </w:tc>
        <w:tc>
          <w:tcPr>
            <w:tcW w:w="27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3A399F7">
            <w:pPr>
              <w:jc w:val="center"/>
              <w:rPr>
                <w:rFonts w:hint="eastAsia" w:ascii="宋体" w:hAnsi="宋体" w:cs="宋体"/>
                <w:sz w:val="20"/>
                <w:szCs w:val="20"/>
              </w:rPr>
            </w:pP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7B77E8B">
            <w:pPr>
              <w:jc w:val="center"/>
              <w:rPr>
                <w:rFonts w:hint="eastAsia" w:ascii="宋体" w:hAnsi="宋体" w:cs="宋体"/>
                <w:sz w:val="20"/>
                <w:szCs w:val="20"/>
              </w:rPr>
            </w:pPr>
          </w:p>
        </w:tc>
        <w:tc>
          <w:tcPr>
            <w:tcW w:w="245" w:type="pct"/>
            <w:tcBorders>
              <w:top w:val="single" w:color="000000" w:sz="4" w:space="0"/>
              <w:left w:val="single" w:color="000000" w:sz="4" w:space="0"/>
              <w:bottom w:val="single" w:color="000000" w:sz="4" w:space="0"/>
              <w:right w:val="single" w:color="000000" w:sz="4" w:space="0"/>
            </w:tcBorders>
            <w:shd w:val="clear" w:color="auto" w:fill="FFFFFF"/>
          </w:tcPr>
          <w:p w14:paraId="1359F9E5">
            <w:pPr>
              <w:jc w:val="center"/>
              <w:rPr>
                <w:rFonts w:hint="eastAsia" w:ascii="宋体" w:hAnsi="宋体" w:cs="宋体"/>
                <w:sz w:val="20"/>
                <w:szCs w:val="20"/>
              </w:rPr>
            </w:pPr>
            <w:r>
              <w:rPr>
                <w:rFonts w:hint="eastAsia" w:ascii="宋体" w:hAnsi="宋体" w:cs="宋体"/>
                <w:sz w:val="20"/>
                <w:szCs w:val="20"/>
              </w:rPr>
              <w:t>%</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951A104">
            <w:pPr>
              <w:jc w:val="center"/>
              <w:rPr>
                <w:rFonts w:hint="eastAsia" w:ascii="宋体" w:hAnsi="宋体" w:cs="宋体"/>
                <w:sz w:val="20"/>
                <w:szCs w:val="20"/>
              </w:rPr>
            </w:pPr>
          </w:p>
        </w:tc>
        <w:tc>
          <w:tcPr>
            <w:tcW w:w="231" w:type="pct"/>
            <w:tcBorders>
              <w:top w:val="single" w:color="000000" w:sz="4" w:space="0"/>
              <w:left w:val="single" w:color="000000" w:sz="4" w:space="0"/>
              <w:bottom w:val="single" w:color="000000" w:sz="4" w:space="0"/>
              <w:right w:val="single" w:color="000000" w:sz="4" w:space="0"/>
            </w:tcBorders>
            <w:shd w:val="clear" w:color="auto" w:fill="FFFFFF"/>
          </w:tcPr>
          <w:p w14:paraId="54B26CB4">
            <w:pPr>
              <w:jc w:val="center"/>
              <w:rPr>
                <w:rFonts w:hint="eastAsia" w:ascii="宋体" w:hAnsi="宋体" w:cs="宋体"/>
                <w:sz w:val="20"/>
                <w:szCs w:val="20"/>
              </w:rPr>
            </w:pPr>
            <w:r>
              <w:rPr>
                <w:rFonts w:hint="eastAsia" w:ascii="宋体" w:hAnsi="宋体" w:cs="宋体"/>
                <w:sz w:val="20"/>
                <w:szCs w:val="20"/>
              </w:rPr>
              <w:t>%</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8B50225">
            <w:pPr>
              <w:jc w:val="center"/>
              <w:rPr>
                <w:rFonts w:hint="eastAsia" w:ascii="宋体" w:hAnsi="宋体" w:cs="宋体"/>
                <w:sz w:val="20"/>
                <w:szCs w:val="20"/>
              </w:rPr>
            </w:pPr>
          </w:p>
        </w:tc>
        <w:tc>
          <w:tcPr>
            <w:tcW w:w="218" w:type="pct"/>
            <w:tcBorders>
              <w:top w:val="single" w:color="000000" w:sz="4" w:space="0"/>
              <w:left w:val="single" w:color="000000" w:sz="4" w:space="0"/>
              <w:bottom w:val="single" w:color="000000" w:sz="4" w:space="0"/>
              <w:right w:val="single" w:color="000000" w:sz="4" w:space="0"/>
            </w:tcBorders>
            <w:shd w:val="clear" w:color="auto" w:fill="FFFFFF"/>
          </w:tcPr>
          <w:p w14:paraId="773A065C">
            <w:pPr>
              <w:jc w:val="center"/>
              <w:rPr>
                <w:rFonts w:hint="eastAsia" w:ascii="宋体" w:hAnsi="宋体" w:cs="宋体"/>
                <w:sz w:val="20"/>
                <w:szCs w:val="20"/>
              </w:rPr>
            </w:pPr>
            <w:r>
              <w:rPr>
                <w:rFonts w:hint="eastAsia" w:ascii="宋体" w:hAnsi="宋体" w:cs="宋体"/>
                <w:sz w:val="20"/>
                <w:szCs w:val="20"/>
              </w:rPr>
              <w:t>%</w:t>
            </w:r>
          </w:p>
        </w:tc>
      </w:tr>
      <w:tr w14:paraId="03001F3D">
        <w:tblPrEx>
          <w:tblCellMar>
            <w:top w:w="0" w:type="dxa"/>
            <w:left w:w="108" w:type="dxa"/>
            <w:bottom w:w="0" w:type="dxa"/>
            <w:right w:w="108" w:type="dxa"/>
          </w:tblCellMar>
        </w:tblPrEx>
        <w:trPr>
          <w:trHeight w:val="719" w:hRule="atLeast"/>
        </w:trPr>
        <w:tc>
          <w:tcPr>
            <w:tcW w:w="15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1749AE9">
            <w:pPr>
              <w:jc w:val="center"/>
              <w:rPr>
                <w:rFonts w:hint="eastAsia" w:ascii="宋体" w:hAnsi="宋体" w:cs="宋体"/>
                <w:sz w:val="20"/>
                <w:szCs w:val="20"/>
              </w:rPr>
            </w:pPr>
          </w:p>
        </w:tc>
        <w:tc>
          <w:tcPr>
            <w:tcW w:w="48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F2F4BE4">
            <w:pPr>
              <w:rPr>
                <w:rFonts w:hint="eastAsia" w:ascii="宋体" w:hAnsi="宋体" w:cs="宋体"/>
                <w:sz w:val="20"/>
                <w:szCs w:val="20"/>
              </w:rPr>
            </w:pPr>
          </w:p>
        </w:tc>
        <w:tc>
          <w:tcPr>
            <w:tcW w:w="194"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5E464F7A">
            <w:pPr>
              <w:jc w:val="center"/>
              <w:rPr>
                <w:rFonts w:hint="eastAsia" w:ascii="宋体" w:hAnsi="宋体" w:cs="宋体"/>
                <w:sz w:val="20"/>
                <w:szCs w:val="20"/>
              </w:rPr>
            </w:pPr>
          </w:p>
        </w:tc>
        <w:tc>
          <w:tcPr>
            <w:tcW w:w="21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DD43E20">
            <w:pPr>
              <w:jc w:val="center"/>
              <w:rPr>
                <w:rFonts w:hint="eastAsia" w:ascii="宋体" w:hAnsi="宋体" w:cs="宋体"/>
                <w:sz w:val="20"/>
                <w:szCs w:val="20"/>
              </w:rPr>
            </w:pPr>
          </w:p>
        </w:tc>
        <w:tc>
          <w:tcPr>
            <w:tcW w:w="383"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45AA0BCF">
            <w:pPr>
              <w:jc w:val="center"/>
              <w:rPr>
                <w:rFonts w:hint="eastAsia" w:ascii="宋体" w:hAnsi="宋体" w:cs="宋体"/>
                <w:sz w:val="20"/>
                <w:szCs w:val="20"/>
              </w:rPr>
            </w:pPr>
          </w:p>
        </w:tc>
        <w:tc>
          <w:tcPr>
            <w:tcW w:w="40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B2C3A75">
            <w:pPr>
              <w:jc w:val="center"/>
              <w:rPr>
                <w:rFonts w:hint="eastAsia" w:ascii="宋体" w:hAnsi="宋体" w:cs="宋体"/>
                <w:sz w:val="20"/>
                <w:szCs w:val="20"/>
              </w:rPr>
            </w:pPr>
          </w:p>
        </w:tc>
        <w:tc>
          <w:tcPr>
            <w:tcW w:w="341"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C007CE6">
            <w:pPr>
              <w:jc w:val="center"/>
              <w:rPr>
                <w:rFonts w:hint="eastAsia" w:ascii="宋体" w:hAnsi="宋体" w:cs="宋体"/>
                <w:sz w:val="20"/>
                <w:szCs w:val="20"/>
              </w:rPr>
            </w:pPr>
          </w:p>
        </w:tc>
        <w:tc>
          <w:tcPr>
            <w:tcW w:w="27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06732EF">
            <w:pPr>
              <w:jc w:val="center"/>
              <w:rPr>
                <w:rFonts w:hint="eastAsia" w:ascii="宋体" w:hAnsi="宋体" w:cs="宋体"/>
                <w:sz w:val="20"/>
                <w:szCs w:val="20"/>
              </w:rPr>
            </w:pPr>
          </w:p>
        </w:tc>
        <w:tc>
          <w:tcPr>
            <w:tcW w:w="259"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4F1A1D5">
            <w:pPr>
              <w:jc w:val="left"/>
              <w:rPr>
                <w:rFonts w:hint="eastAsia" w:ascii="宋体" w:hAnsi="宋体" w:cs="宋体"/>
                <w:sz w:val="20"/>
                <w:szCs w:val="20"/>
              </w:rPr>
            </w:pPr>
          </w:p>
        </w:tc>
        <w:tc>
          <w:tcPr>
            <w:tcW w:w="236" w:type="pct"/>
            <w:tcBorders>
              <w:top w:val="single" w:color="000000" w:sz="4" w:space="0"/>
              <w:left w:val="single" w:color="000000" w:sz="4" w:space="0"/>
              <w:bottom w:val="single" w:color="000000" w:sz="4" w:space="0"/>
              <w:right w:val="single" w:color="000000" w:sz="4" w:space="0"/>
            </w:tcBorders>
            <w:shd w:val="clear" w:color="auto" w:fill="FFFFFF"/>
          </w:tcPr>
          <w:p w14:paraId="75FA21B7">
            <w:pPr>
              <w:jc w:val="center"/>
              <w:rPr>
                <w:rFonts w:hint="eastAsia" w:ascii="宋体" w:hAnsi="宋体" w:cs="宋体"/>
                <w:sz w:val="20"/>
                <w:szCs w:val="20"/>
              </w:rPr>
            </w:pPr>
          </w:p>
        </w:tc>
        <w:tc>
          <w:tcPr>
            <w:tcW w:w="23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74C0093F">
            <w:pPr>
              <w:jc w:val="center"/>
              <w:rPr>
                <w:rFonts w:hint="eastAsia" w:ascii="宋体" w:hAnsi="宋体" w:cs="宋体"/>
                <w:sz w:val="20"/>
                <w:szCs w:val="20"/>
              </w:rPr>
            </w:pPr>
          </w:p>
        </w:tc>
        <w:tc>
          <w:tcPr>
            <w:tcW w:w="272"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298B5EB5">
            <w:pPr>
              <w:jc w:val="center"/>
              <w:rPr>
                <w:rFonts w:hint="eastAsia" w:ascii="宋体" w:hAnsi="宋体" w:cs="宋体"/>
                <w:sz w:val="20"/>
                <w:szCs w:val="20"/>
              </w:rPr>
            </w:pP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1AA05DD2">
            <w:pPr>
              <w:jc w:val="center"/>
              <w:rPr>
                <w:rFonts w:hint="eastAsia" w:ascii="宋体" w:hAnsi="宋体" w:cs="宋体"/>
                <w:sz w:val="20"/>
                <w:szCs w:val="20"/>
              </w:rPr>
            </w:pPr>
          </w:p>
        </w:tc>
        <w:tc>
          <w:tcPr>
            <w:tcW w:w="245" w:type="pct"/>
            <w:tcBorders>
              <w:top w:val="single" w:color="000000" w:sz="4" w:space="0"/>
              <w:left w:val="single" w:color="000000" w:sz="4" w:space="0"/>
              <w:bottom w:val="single" w:color="000000" w:sz="4" w:space="0"/>
              <w:right w:val="single" w:color="000000" w:sz="4" w:space="0"/>
            </w:tcBorders>
            <w:shd w:val="clear" w:color="auto" w:fill="FFFFFF"/>
          </w:tcPr>
          <w:p w14:paraId="61DA7CA6">
            <w:pPr>
              <w:jc w:val="center"/>
              <w:rPr>
                <w:rFonts w:hint="eastAsia" w:ascii="宋体" w:hAnsi="宋体" w:cs="宋体"/>
                <w:sz w:val="20"/>
                <w:szCs w:val="20"/>
              </w:rPr>
            </w:pPr>
            <w:r>
              <w:rPr>
                <w:rFonts w:hint="eastAsia" w:ascii="宋体" w:hAnsi="宋体" w:cs="宋体"/>
                <w:sz w:val="20"/>
                <w:szCs w:val="20"/>
              </w:rPr>
              <w:t>%</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0CEDDB7E">
            <w:pPr>
              <w:jc w:val="center"/>
              <w:rPr>
                <w:rFonts w:hint="eastAsia" w:ascii="宋体" w:hAnsi="宋体" w:cs="宋体"/>
                <w:sz w:val="20"/>
                <w:szCs w:val="20"/>
              </w:rPr>
            </w:pPr>
          </w:p>
        </w:tc>
        <w:tc>
          <w:tcPr>
            <w:tcW w:w="231" w:type="pct"/>
            <w:tcBorders>
              <w:top w:val="single" w:color="000000" w:sz="4" w:space="0"/>
              <w:left w:val="single" w:color="000000" w:sz="4" w:space="0"/>
              <w:bottom w:val="single" w:color="000000" w:sz="4" w:space="0"/>
              <w:right w:val="single" w:color="000000" w:sz="4" w:space="0"/>
            </w:tcBorders>
            <w:shd w:val="clear" w:color="auto" w:fill="FFFFFF"/>
          </w:tcPr>
          <w:p w14:paraId="3F3AC8AA">
            <w:pPr>
              <w:jc w:val="center"/>
              <w:rPr>
                <w:rFonts w:hint="eastAsia" w:ascii="宋体" w:hAnsi="宋体" w:cs="宋体"/>
                <w:sz w:val="20"/>
                <w:szCs w:val="20"/>
              </w:rPr>
            </w:pPr>
            <w:r>
              <w:rPr>
                <w:rFonts w:hint="eastAsia" w:ascii="宋体" w:hAnsi="宋体" w:cs="宋体"/>
                <w:sz w:val="20"/>
                <w:szCs w:val="20"/>
              </w:rPr>
              <w:t>%</w:t>
            </w:r>
          </w:p>
        </w:tc>
        <w:tc>
          <w:tcPr>
            <w:tcW w:w="286" w:type="pct"/>
            <w:tcBorders>
              <w:top w:val="single" w:color="000000" w:sz="4" w:space="0"/>
              <w:left w:val="single" w:color="000000" w:sz="4" w:space="0"/>
              <w:bottom w:val="single" w:color="000000" w:sz="4" w:space="0"/>
              <w:right w:val="single" w:color="000000" w:sz="4" w:space="0"/>
            </w:tcBorders>
            <w:shd w:val="clear" w:color="auto" w:fill="FFFFFF"/>
            <w:vAlign w:val="center"/>
          </w:tcPr>
          <w:p w14:paraId="6B6E14DF">
            <w:pPr>
              <w:jc w:val="center"/>
              <w:rPr>
                <w:rFonts w:hint="eastAsia" w:ascii="宋体" w:hAnsi="宋体" w:cs="宋体"/>
                <w:sz w:val="20"/>
                <w:szCs w:val="20"/>
              </w:rPr>
            </w:pPr>
          </w:p>
        </w:tc>
        <w:tc>
          <w:tcPr>
            <w:tcW w:w="218" w:type="pct"/>
            <w:tcBorders>
              <w:top w:val="single" w:color="000000" w:sz="4" w:space="0"/>
              <w:left w:val="single" w:color="000000" w:sz="4" w:space="0"/>
              <w:bottom w:val="single" w:color="000000" w:sz="4" w:space="0"/>
              <w:right w:val="single" w:color="000000" w:sz="4" w:space="0"/>
            </w:tcBorders>
            <w:shd w:val="clear" w:color="auto" w:fill="FFFFFF"/>
          </w:tcPr>
          <w:p w14:paraId="67DEF5FE">
            <w:pPr>
              <w:jc w:val="center"/>
              <w:rPr>
                <w:rFonts w:hint="eastAsia" w:ascii="宋体" w:hAnsi="宋体" w:cs="宋体"/>
                <w:sz w:val="20"/>
                <w:szCs w:val="20"/>
              </w:rPr>
            </w:pPr>
            <w:r>
              <w:rPr>
                <w:rFonts w:hint="eastAsia" w:ascii="宋体" w:hAnsi="宋体" w:cs="宋体"/>
                <w:sz w:val="20"/>
                <w:szCs w:val="20"/>
              </w:rPr>
              <w:t>%</w:t>
            </w:r>
          </w:p>
        </w:tc>
      </w:tr>
    </w:tbl>
    <w:p w14:paraId="78F3098D">
      <w:pPr>
        <w:rPr>
          <w:rFonts w:hint="eastAsia" w:ascii="宋体" w:hAnsi="宋体"/>
          <w:kern w:val="0"/>
          <w:sz w:val="24"/>
          <w:szCs w:val="21"/>
          <w:lang w:bidi="en-US"/>
        </w:rPr>
      </w:pPr>
    </w:p>
    <w:p w14:paraId="142C803C">
      <w:pPr>
        <w:autoSpaceDE w:val="0"/>
        <w:autoSpaceDN w:val="0"/>
        <w:adjustRightInd w:val="0"/>
        <w:snapToGrid w:val="0"/>
        <w:spacing w:line="420" w:lineRule="exact"/>
        <w:jc w:val="left"/>
        <w:rPr>
          <w:rFonts w:ascii="宋体" w:cs="宋体"/>
          <w:b/>
          <w:bCs/>
          <w:sz w:val="24"/>
          <w:lang w:bidi="ar"/>
        </w:rPr>
      </w:pPr>
      <w:r>
        <w:rPr>
          <w:rFonts w:hint="eastAsia" w:ascii="宋体" w:cs="宋体"/>
          <w:b/>
          <w:bCs/>
          <w:sz w:val="24"/>
          <w:lang w:bidi="ar"/>
        </w:rPr>
        <w:t>注意：数据依据为报名单位提供的</w:t>
      </w:r>
      <w:r>
        <w:rPr>
          <w:rFonts w:hint="eastAsia" w:ascii="宋体" w:cs="宋体"/>
          <w:b/>
          <w:bCs/>
          <w:sz w:val="24"/>
          <w:em w:val="dot"/>
          <w:lang w:bidi="ar"/>
        </w:rPr>
        <w:t>近三年财务审计报告数据</w:t>
      </w:r>
      <w:r>
        <w:rPr>
          <w:rFonts w:hint="eastAsia" w:ascii="宋体" w:cs="宋体"/>
          <w:b/>
          <w:bCs/>
          <w:sz w:val="24"/>
          <w:lang w:bidi="ar"/>
        </w:rPr>
        <w:t>，各报名单位务必确保数据真实及填写格式准确，如有不实之处一经核实将取消报名资格，e采通注册时未填报财务数据的，将无法提交应标资料并无法参加投标，请及时补充资料，详见后附说明。</w:t>
      </w:r>
    </w:p>
    <w:p w14:paraId="7090B49A">
      <w:pPr>
        <w:rPr>
          <w:rFonts w:hint="eastAsia" w:ascii="宋体" w:hAnsi="宋体"/>
          <w:kern w:val="0"/>
          <w:sz w:val="24"/>
          <w:szCs w:val="21"/>
          <w:lang w:bidi="en-US"/>
        </w:rPr>
        <w:sectPr>
          <w:headerReference r:id="rId3" w:type="default"/>
          <w:footerReference r:id="rId4" w:type="default"/>
          <w:pgSz w:w="11906" w:h="16838"/>
          <w:pgMar w:top="833" w:right="1003" w:bottom="777" w:left="1003" w:header="227" w:footer="227" w:gutter="0"/>
          <w:cols w:space="720" w:num="1"/>
          <w:docGrid w:type="lines" w:linePitch="381" w:charSpace="0"/>
        </w:sectPr>
      </w:pPr>
    </w:p>
    <w:p w14:paraId="0FA4A349">
      <w:pPr>
        <w:rPr>
          <w:rFonts w:hint="eastAsia" w:ascii="宋体" w:hAnsi="宋体"/>
          <w:kern w:val="0"/>
          <w:sz w:val="24"/>
          <w:szCs w:val="21"/>
          <w:lang w:bidi="en-US"/>
        </w:rPr>
      </w:pPr>
    </w:p>
    <w:p w14:paraId="50ABE338">
      <w:pPr>
        <w:pStyle w:val="2"/>
        <w:widowControl/>
        <w:ind w:left="0" w:leftChars="0" w:firstLine="0" w:firstLineChars="0"/>
        <w:rPr>
          <w:rFonts w:ascii="宋体"/>
          <w:b/>
          <w:iCs/>
          <w:sz w:val="36"/>
          <w:szCs w:val="20"/>
        </w:rPr>
      </w:pPr>
      <w:r>
        <w:rPr>
          <w:rFonts w:hint="eastAsia" w:ascii="宋体" w:cs="宋体"/>
          <w:sz w:val="24"/>
        </w:rPr>
        <w:t>附件2</w:t>
      </w:r>
    </w:p>
    <w:p w14:paraId="1C2F35D1">
      <w:pPr>
        <w:jc w:val="center"/>
        <w:rPr>
          <w:b/>
          <w:bCs/>
          <w:sz w:val="30"/>
          <w:szCs w:val="30"/>
        </w:rPr>
      </w:pPr>
      <w:bookmarkStart w:id="17" w:name="_Toc20729"/>
      <w:bookmarkStart w:id="18" w:name="_Toc25980"/>
      <w:bookmarkStart w:id="19" w:name="_Toc9534"/>
      <w:bookmarkStart w:id="20" w:name="_Toc6557"/>
      <w:bookmarkStart w:id="21" w:name="_Toc3889"/>
      <w:r>
        <w:rPr>
          <w:rFonts w:hint="eastAsia"/>
          <w:b/>
          <w:bCs/>
          <w:sz w:val="30"/>
          <w:szCs w:val="30"/>
        </w:rPr>
        <w:t>非生产供应商注册操作手册</w:t>
      </w:r>
      <w:bookmarkEnd w:id="17"/>
      <w:bookmarkEnd w:id="18"/>
      <w:bookmarkEnd w:id="19"/>
      <w:bookmarkEnd w:id="20"/>
      <w:bookmarkEnd w:id="21"/>
    </w:p>
    <w:p w14:paraId="6B80311F">
      <w:pPr>
        <w:snapToGrid w:val="0"/>
        <w:spacing w:line="288" w:lineRule="auto"/>
        <w:rPr>
          <w:rFonts w:hint="eastAsia" w:ascii="宋体" w:hAnsi="宋体" w:cs="宋体"/>
          <w:b/>
          <w:bCs/>
          <w:color w:val="FF0000"/>
          <w:szCs w:val="21"/>
        </w:rPr>
      </w:pPr>
      <w:r>
        <w:rPr>
          <w:rFonts w:hint="eastAsia" w:ascii="宋体" w:hAnsi="宋体" w:cs="宋体"/>
          <w:b/>
          <w:bCs/>
          <w:szCs w:val="21"/>
        </w:rPr>
        <w:t>e采通账号注册</w:t>
      </w:r>
    </w:p>
    <w:p w14:paraId="0F20C10F">
      <w:pPr>
        <w:snapToGrid w:val="0"/>
        <w:spacing w:line="288" w:lineRule="auto"/>
        <w:rPr>
          <w:rFonts w:hint="eastAsia" w:ascii="宋体" w:hAnsi="宋体" w:cs="宋体"/>
          <w:b/>
          <w:bCs/>
          <w:color w:val="FF0000"/>
          <w:szCs w:val="21"/>
        </w:rPr>
      </w:pPr>
      <w:r>
        <w:rPr>
          <w:rFonts w:hint="eastAsia" w:ascii="宋体" w:hAnsi="宋体" w:cs="宋体"/>
          <w:szCs w:val="21"/>
        </w:rPr>
        <w:t>投标人必须在报名时完成账号注册，</w:t>
      </w:r>
      <w:r>
        <w:rPr>
          <w:rFonts w:hint="eastAsia" w:ascii="宋体" w:hAnsi="宋体" w:cs="宋体"/>
          <w:b/>
          <w:bCs/>
          <w:color w:val="FF0000"/>
          <w:szCs w:val="21"/>
        </w:rPr>
        <w:t>注册成功后会收到短信通知，用收到的供应商账号和密码登录，请牢记。已注册过账号密码丢失的，用注册时的手机号登录，点击忘记密码，自行重新设置。已注册过账号登录时提示账号已注销的请联系招标人协调解决。</w:t>
      </w:r>
    </w:p>
    <w:p w14:paraId="60C6921C">
      <w:pPr>
        <w:snapToGrid w:val="0"/>
        <w:spacing w:line="288" w:lineRule="auto"/>
        <w:rPr>
          <w:rFonts w:hint="eastAsia" w:ascii="宋体" w:hAnsi="宋体" w:cs="宋体"/>
          <w:b/>
          <w:bCs/>
          <w:szCs w:val="21"/>
        </w:rPr>
      </w:pPr>
      <w:r>
        <w:rPr>
          <w:rFonts w:hint="eastAsia" w:ascii="宋体" w:hAnsi="宋体" w:cs="宋体"/>
          <w:b/>
          <w:bCs/>
          <w:szCs w:val="21"/>
        </w:rPr>
        <w:t>投标单位名称带有括号的，应确保括号的样式（区分英文或汉字输入法）与银行预留的、e采通注册的完全一致，不一致的请自行在e采通中修改，否则影响后续退保证金及付款。</w:t>
      </w:r>
    </w:p>
    <w:p w14:paraId="035A66D1">
      <w:pPr>
        <w:snapToGrid w:val="0"/>
        <w:spacing w:line="288" w:lineRule="auto"/>
        <w:rPr>
          <w:b/>
          <w:bCs/>
        </w:rPr>
      </w:pPr>
      <w:r>
        <w:rPr>
          <w:rFonts w:hint="eastAsia" w:ascii="宋体" w:hAnsi="宋体" w:cs="宋体"/>
          <w:b/>
          <w:bCs/>
          <w:color w:val="0000FF"/>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3979740F">
      <w:pPr>
        <w:rPr>
          <w:rFonts w:ascii="宋体" w:cs="宋体"/>
          <w:b/>
          <w:bCs/>
          <w:color w:val="C00000"/>
          <w:lang w:bidi="ar"/>
        </w:rPr>
      </w:pPr>
    </w:p>
    <w:p w14:paraId="2E24F70E">
      <w:pPr>
        <w:rPr>
          <w:rFonts w:ascii="宋体" w:cs="宋体"/>
          <w:b/>
          <w:bCs/>
          <w:color w:val="C00000"/>
          <w:lang w:bidi="ar"/>
        </w:rPr>
      </w:pPr>
    </w:p>
    <w:p w14:paraId="4AF2215E">
      <w:pPr>
        <w:rPr>
          <w:rFonts w:ascii="宋体" w:cs="宋体"/>
          <w:b/>
          <w:bCs/>
          <w:sz w:val="32"/>
          <w:szCs w:val="40"/>
          <w:highlight w:val="yellow"/>
        </w:rPr>
      </w:pPr>
      <w:r>
        <w:rPr>
          <w:rFonts w:hint="eastAsia" w:ascii="宋体" w:cs="宋体"/>
          <w:b/>
          <w:bCs/>
          <w:sz w:val="32"/>
          <w:szCs w:val="40"/>
          <w:highlight w:val="yellow"/>
          <w:lang w:bidi="ar"/>
        </w:rPr>
        <w:t>供应商注册</w:t>
      </w:r>
    </w:p>
    <w:p w14:paraId="5D67F6EE">
      <w:pPr>
        <w:rPr>
          <w:rFonts w:ascii="宋体" w:cs="宋体"/>
          <w:b/>
          <w:bCs/>
          <w:color w:val="C00000"/>
        </w:rPr>
      </w:pPr>
      <w:r>
        <w:rPr>
          <w:rFonts w:hint="eastAsia" w:ascii="宋体" w:cs="宋体"/>
          <w:b/>
          <w:bCs/>
          <w:color w:val="C00000"/>
          <w:lang w:bidi="ar"/>
        </w:rPr>
        <w:t>归口部门选“技术改造部”</w:t>
      </w:r>
    </w:p>
    <w:p w14:paraId="7F72C288">
      <w:r>
        <w:rPr>
          <w:rFonts w:hint="eastAsia" w:ascii="宋体" w:cs="宋体"/>
          <w:color w:val="000000"/>
          <w:lang w:bidi="ar"/>
        </w:rPr>
        <w:t>浏览器中输入地址</w:t>
      </w:r>
      <w:r>
        <w:rPr>
          <w:rFonts w:ascii="Calibri" w:hAnsi="Calibri" w:eastAsia="Calibri" w:cs="Calibri"/>
          <w:color w:val="000000"/>
          <w:lang w:bidi="ar"/>
        </w:rPr>
        <w:t>;</w:t>
      </w:r>
    </w:p>
    <w:p w14:paraId="04A92EBB">
      <w:r>
        <w:fldChar w:fldCharType="begin"/>
      </w:r>
      <w:r>
        <w:instrText xml:space="preserve"> HYPERLINK "http://ecaitong.sinotruk.com:8012/" \l "/login normalLink /tdkey d38o9f /tdfe -10 /tdfu http:/ecaitong.sinotruk.com:8012/#/login /tdlt inline" </w:instrText>
      </w:r>
      <w:r>
        <w:fldChar w:fldCharType="separate"/>
      </w:r>
      <w:r>
        <w:rPr>
          <w:rStyle w:val="29"/>
        </w:rPr>
        <w:t>http</w:t>
      </w:r>
      <w:r>
        <w:rPr>
          <w:rStyle w:val="29"/>
          <w:rFonts w:hint="eastAsia"/>
        </w:rPr>
        <w:t>s</w:t>
      </w:r>
      <w:r>
        <w:rPr>
          <w:rStyle w:val="29"/>
        </w:rPr>
        <w:t>://ecaitong.sinotruk.com:8012/#/login</w:t>
      </w:r>
      <w:r>
        <w:rPr>
          <w:rStyle w:val="29"/>
        </w:rPr>
        <w:fldChar w:fldCharType="end"/>
      </w:r>
    </w:p>
    <w:p w14:paraId="59D01CF9">
      <w:pPr>
        <w:numPr>
          <w:ilvl w:val="0"/>
          <w:numId w:val="3"/>
        </w:numPr>
        <w:rPr>
          <w:rFonts w:ascii="宋体" w:cs="宋体"/>
          <w:color w:val="000000"/>
          <w:lang w:bidi="ar"/>
        </w:rPr>
      </w:pPr>
      <w:r>
        <w:rPr>
          <w:rFonts w:hint="eastAsia" w:ascii="宋体" w:cs="宋体"/>
          <w:color w:val="000000"/>
          <w:lang w:bidi="ar"/>
        </w:rPr>
        <w:t>点击立即注册</w:t>
      </w:r>
    </w:p>
    <w:p w14:paraId="7AF86BB9">
      <w:pPr>
        <w:rPr>
          <w:sz w:val="13"/>
          <w:szCs w:val="16"/>
          <w:highlight w:val="red"/>
        </w:rPr>
      </w:pPr>
      <w:r>
        <w:rPr>
          <w:rFonts w:hint="eastAsia" w:ascii="宋体" w:cs="宋体"/>
          <w:b/>
          <w:bCs/>
          <w:color w:val="C00000"/>
          <w:sz w:val="28"/>
          <w:szCs w:val="36"/>
          <w:highlight w:val="yellow"/>
          <w:lang w:bidi="ar"/>
        </w:rPr>
        <w:t>新用户注册前请务必仔细阅读系统中的供应商用户手册，根据手册提示进行操作，见下图所示</w:t>
      </w:r>
    </w:p>
    <w:p w14:paraId="7556CA39">
      <w:pPr>
        <w:snapToGrid w:val="0"/>
        <w:spacing w:line="312" w:lineRule="auto"/>
      </w:pPr>
      <w:r>
        <w:rPr>
          <w:rFonts w:ascii="宋体" w:hAnsi="宋体" w:cs="宋体"/>
          <w:sz w:val="24"/>
        </w:rPr>
        <w:drawing>
          <wp:inline distT="0" distB="0" distL="114300" distR="114300">
            <wp:extent cx="5605145" cy="2578735"/>
            <wp:effectExtent l="0" t="0" r="5080" b="2540"/>
            <wp:docPr id="196354397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3543973" name="图片 1" descr="IMG_256"/>
                    <pic:cNvPicPr>
                      <a:picLocks noChangeAspect="1"/>
                    </pic:cNvPicPr>
                  </pic:nvPicPr>
                  <pic:blipFill>
                    <a:blip r:embed="rId21"/>
                    <a:stretch>
                      <a:fillRect/>
                    </a:stretch>
                  </pic:blipFill>
                  <pic:spPr>
                    <a:xfrm>
                      <a:off x="0" y="0"/>
                      <a:ext cx="5605145" cy="2578735"/>
                    </a:xfrm>
                    <a:prstGeom prst="rect">
                      <a:avLst/>
                    </a:prstGeom>
                    <a:noFill/>
                    <a:ln w="9525">
                      <a:noFill/>
                    </a:ln>
                  </pic:spPr>
                </pic:pic>
              </a:graphicData>
            </a:graphic>
          </wp:inline>
        </w:drawing>
      </w:r>
    </w:p>
    <w:p w14:paraId="5A0A8EB6">
      <w:r>
        <w:rPr>
          <w:rFonts w:ascii="Calibri" w:hAnsi="Calibri" w:eastAsia="Calibri" w:cs="Calibri"/>
          <w:color w:val="000000"/>
          <w:lang w:bidi="ar"/>
        </w:rPr>
        <w:t xml:space="preserve">2.     </w:t>
      </w:r>
      <w:r>
        <w:rPr>
          <w:rFonts w:hint="eastAsia" w:ascii="宋体" w:cs="宋体"/>
          <w:color w:val="000000"/>
          <w:lang w:bidi="ar"/>
        </w:rPr>
        <w:t>填写手机号码（没有注册过的）</w:t>
      </w:r>
    </w:p>
    <w:p w14:paraId="5ECC8143">
      <w:pPr>
        <w:snapToGrid w:val="0"/>
        <w:spacing w:line="312" w:lineRule="auto"/>
      </w:pPr>
      <w:r>
        <w:drawing>
          <wp:inline distT="0" distB="0" distL="114300" distR="114300">
            <wp:extent cx="5758180" cy="2765425"/>
            <wp:effectExtent l="0" t="0" r="4445" b="6350"/>
            <wp:docPr id="17" name="图片 17" descr="descript"/>
            <wp:cNvGraphicFramePr/>
            <a:graphic xmlns:a="http://schemas.openxmlformats.org/drawingml/2006/main">
              <a:graphicData uri="http://schemas.openxmlformats.org/drawingml/2006/picture">
                <pic:pic xmlns:pic="http://schemas.openxmlformats.org/drawingml/2006/picture">
                  <pic:nvPicPr>
                    <pic:cNvPr id="17" name="图片 17" descr="descript"/>
                    <pic:cNvPicPr/>
                  </pic:nvPicPr>
                  <pic:blipFill>
                    <a:blip r:embed="rId22"/>
                    <a:stretch>
                      <a:fillRect/>
                    </a:stretch>
                  </pic:blipFill>
                  <pic:spPr>
                    <a:xfrm>
                      <a:off x="0" y="0"/>
                      <a:ext cx="5758180" cy="2765425"/>
                    </a:xfrm>
                    <a:prstGeom prst="rect">
                      <a:avLst/>
                    </a:prstGeom>
                    <a:noFill/>
                    <a:ln>
                      <a:noFill/>
                    </a:ln>
                  </pic:spPr>
                </pic:pic>
              </a:graphicData>
            </a:graphic>
          </wp:inline>
        </w:drawing>
      </w:r>
    </w:p>
    <w:p w14:paraId="5F211881">
      <w:pPr>
        <w:rPr>
          <w:b/>
          <w:bCs/>
        </w:rPr>
      </w:pPr>
      <w:r>
        <w:rPr>
          <w:rFonts w:ascii="Calibri" w:hAnsi="Calibri" w:eastAsia="Calibri" w:cs="Calibri"/>
          <w:b/>
          <w:bCs/>
          <w:color w:val="000000"/>
          <w:lang w:bidi="ar"/>
        </w:rPr>
        <w:t xml:space="preserve">3.     </w:t>
      </w:r>
      <w:r>
        <w:rPr>
          <w:rFonts w:hint="eastAsia" w:ascii="宋体" w:cs="宋体"/>
          <w:b/>
          <w:bCs/>
          <w:color w:val="000000"/>
          <w:lang w:bidi="ar"/>
        </w:rPr>
        <w:t>注册成功登录这个手机号码的账号进入系统，点击供应商注册</w:t>
      </w:r>
    </w:p>
    <w:p w14:paraId="43AE76E1">
      <w:pPr>
        <w:snapToGrid w:val="0"/>
        <w:spacing w:line="312" w:lineRule="auto"/>
      </w:pPr>
      <w:r>
        <w:drawing>
          <wp:inline distT="0" distB="0" distL="114300" distR="114300">
            <wp:extent cx="5760085" cy="2867025"/>
            <wp:effectExtent l="0" t="0" r="2540" b="0"/>
            <wp:docPr id="5" name="图片 5" descr="descript"/>
            <wp:cNvGraphicFramePr/>
            <a:graphic xmlns:a="http://schemas.openxmlformats.org/drawingml/2006/main">
              <a:graphicData uri="http://schemas.openxmlformats.org/drawingml/2006/picture">
                <pic:pic xmlns:pic="http://schemas.openxmlformats.org/drawingml/2006/picture">
                  <pic:nvPicPr>
                    <pic:cNvPr id="5" name="图片 5" descr="descript"/>
                    <pic:cNvPicPr/>
                  </pic:nvPicPr>
                  <pic:blipFill>
                    <a:blip r:embed="rId23"/>
                    <a:stretch>
                      <a:fillRect/>
                    </a:stretch>
                  </pic:blipFill>
                  <pic:spPr>
                    <a:xfrm>
                      <a:off x="0" y="0"/>
                      <a:ext cx="5760085" cy="2867025"/>
                    </a:xfrm>
                    <a:prstGeom prst="rect">
                      <a:avLst/>
                    </a:prstGeom>
                    <a:noFill/>
                    <a:ln>
                      <a:noFill/>
                    </a:ln>
                  </pic:spPr>
                </pic:pic>
              </a:graphicData>
            </a:graphic>
          </wp:inline>
        </w:drawing>
      </w:r>
    </w:p>
    <w:p w14:paraId="014BE73E">
      <w:r>
        <w:rPr>
          <w:rFonts w:ascii="Calibri" w:hAnsi="Calibri" w:eastAsia="Calibri" w:cs="Calibri"/>
          <w:color w:val="000000"/>
          <w:lang w:bidi="ar"/>
        </w:rPr>
        <w:t xml:space="preserve">4.     </w:t>
      </w:r>
      <w:r>
        <w:rPr>
          <w:rFonts w:hint="eastAsia" w:ascii="宋体" w:cs="宋体"/>
          <w:color w:val="000000"/>
          <w:lang w:bidi="ar"/>
        </w:rPr>
        <w:t>点击新增</w:t>
      </w:r>
    </w:p>
    <w:p w14:paraId="36EC96A3">
      <w:pPr>
        <w:snapToGrid w:val="0"/>
        <w:spacing w:line="312" w:lineRule="auto"/>
      </w:pPr>
      <w:r>
        <w:drawing>
          <wp:inline distT="0" distB="0" distL="114300" distR="114300">
            <wp:extent cx="5758180" cy="2852420"/>
            <wp:effectExtent l="0" t="0" r="4445" b="5080"/>
            <wp:docPr id="4" name="图片 4" descr="descript"/>
            <wp:cNvGraphicFramePr/>
            <a:graphic xmlns:a="http://schemas.openxmlformats.org/drawingml/2006/main">
              <a:graphicData uri="http://schemas.openxmlformats.org/drawingml/2006/picture">
                <pic:pic xmlns:pic="http://schemas.openxmlformats.org/drawingml/2006/picture">
                  <pic:nvPicPr>
                    <pic:cNvPr id="4" name="图片 4" descr="descript"/>
                    <pic:cNvPicPr/>
                  </pic:nvPicPr>
                  <pic:blipFill>
                    <a:blip r:embed="rId24"/>
                    <a:stretch>
                      <a:fillRect/>
                    </a:stretch>
                  </pic:blipFill>
                  <pic:spPr>
                    <a:xfrm>
                      <a:off x="0" y="0"/>
                      <a:ext cx="5758180" cy="2852420"/>
                    </a:xfrm>
                    <a:prstGeom prst="rect">
                      <a:avLst/>
                    </a:prstGeom>
                    <a:noFill/>
                    <a:ln>
                      <a:noFill/>
                    </a:ln>
                  </pic:spPr>
                </pic:pic>
              </a:graphicData>
            </a:graphic>
          </wp:inline>
        </w:drawing>
      </w:r>
    </w:p>
    <w:p w14:paraId="68F571D8">
      <w:r>
        <w:rPr>
          <w:lang w:bidi="ar"/>
        </w:rPr>
        <w:t>5</w:t>
      </w:r>
      <w:r>
        <w:rPr>
          <w:rFonts w:ascii="Calibri" w:hAnsi="Calibri" w:eastAsia="Calibri" w:cs="Calibri"/>
          <w:color w:val="000000"/>
          <w:lang w:bidi="ar"/>
        </w:rPr>
        <w:t xml:space="preserve"> </w:t>
      </w:r>
      <w:r>
        <w:rPr>
          <w:rFonts w:hint="eastAsia" w:ascii="宋体" w:cs="宋体"/>
          <w:color w:val="000000"/>
          <w:lang w:bidi="ar"/>
        </w:rPr>
        <w:t>按要求填写所有信息，注意非生产类要填写合作单位，最后提交审批</w:t>
      </w:r>
    </w:p>
    <w:p w14:paraId="44FCFB29">
      <w:pPr>
        <w:rPr>
          <w:rFonts w:ascii="宋体" w:cs="宋体"/>
          <w:color w:val="000000"/>
        </w:rPr>
      </w:pPr>
      <w:r>
        <w:drawing>
          <wp:inline distT="0" distB="0" distL="114300" distR="114300">
            <wp:extent cx="5760085" cy="2807335"/>
            <wp:effectExtent l="0" t="0" r="2540" b="2540"/>
            <wp:docPr id="18" name="图片 18" descr="descript"/>
            <wp:cNvGraphicFramePr/>
            <a:graphic xmlns:a="http://schemas.openxmlformats.org/drawingml/2006/main">
              <a:graphicData uri="http://schemas.openxmlformats.org/drawingml/2006/picture">
                <pic:pic xmlns:pic="http://schemas.openxmlformats.org/drawingml/2006/picture">
                  <pic:nvPicPr>
                    <pic:cNvPr id="18" name="图片 18" descr="descript"/>
                    <pic:cNvPicPr/>
                  </pic:nvPicPr>
                  <pic:blipFill>
                    <a:blip r:embed="rId25"/>
                    <a:stretch>
                      <a:fillRect/>
                    </a:stretch>
                  </pic:blipFill>
                  <pic:spPr>
                    <a:xfrm>
                      <a:off x="0" y="0"/>
                      <a:ext cx="5760085" cy="2807335"/>
                    </a:xfrm>
                    <a:prstGeom prst="rect">
                      <a:avLst/>
                    </a:prstGeom>
                    <a:noFill/>
                    <a:ln>
                      <a:noFill/>
                    </a:ln>
                  </pic:spPr>
                </pic:pic>
              </a:graphicData>
            </a:graphic>
          </wp:inline>
        </w:drawing>
      </w:r>
      <w:r>
        <w:drawing>
          <wp:inline distT="0" distB="0" distL="114300" distR="114300">
            <wp:extent cx="5758180" cy="2817495"/>
            <wp:effectExtent l="0" t="0" r="4445" b="1905"/>
            <wp:docPr id="6" name="图片 6" descr="descript"/>
            <wp:cNvGraphicFramePr/>
            <a:graphic xmlns:a="http://schemas.openxmlformats.org/drawingml/2006/main">
              <a:graphicData uri="http://schemas.openxmlformats.org/drawingml/2006/picture">
                <pic:pic xmlns:pic="http://schemas.openxmlformats.org/drawingml/2006/picture">
                  <pic:nvPicPr>
                    <pic:cNvPr id="6" name="图片 6" descr="descript"/>
                    <pic:cNvPicPr/>
                  </pic:nvPicPr>
                  <pic:blipFill>
                    <a:blip r:embed="rId26"/>
                    <a:stretch>
                      <a:fillRect/>
                    </a:stretch>
                  </pic:blipFill>
                  <pic:spPr>
                    <a:xfrm>
                      <a:off x="0" y="0"/>
                      <a:ext cx="5758180" cy="2817495"/>
                    </a:xfrm>
                    <a:prstGeom prst="rect">
                      <a:avLst/>
                    </a:prstGeom>
                    <a:noFill/>
                    <a:ln>
                      <a:noFill/>
                    </a:ln>
                  </pic:spPr>
                </pic:pic>
              </a:graphicData>
            </a:graphic>
          </wp:inline>
        </w:drawing>
      </w:r>
      <w:r>
        <w:drawing>
          <wp:inline distT="0" distB="0" distL="114300" distR="114300">
            <wp:extent cx="5758180" cy="2817495"/>
            <wp:effectExtent l="0" t="0" r="4445" b="1905"/>
            <wp:docPr id="7" name="图片 7" descr="descript"/>
            <wp:cNvGraphicFramePr/>
            <a:graphic xmlns:a="http://schemas.openxmlformats.org/drawingml/2006/main">
              <a:graphicData uri="http://schemas.openxmlformats.org/drawingml/2006/picture">
                <pic:pic xmlns:pic="http://schemas.openxmlformats.org/drawingml/2006/picture">
                  <pic:nvPicPr>
                    <pic:cNvPr id="7" name="图片 7" descr="descript"/>
                    <pic:cNvPicPr/>
                  </pic:nvPicPr>
                  <pic:blipFill>
                    <a:blip r:embed="rId26"/>
                    <a:stretch>
                      <a:fillRect/>
                    </a:stretch>
                  </pic:blipFill>
                  <pic:spPr>
                    <a:xfrm>
                      <a:off x="0" y="0"/>
                      <a:ext cx="5758180" cy="2817495"/>
                    </a:xfrm>
                    <a:prstGeom prst="rect">
                      <a:avLst/>
                    </a:prstGeom>
                    <a:noFill/>
                    <a:ln>
                      <a:noFill/>
                    </a:ln>
                  </pic:spPr>
                </pic:pic>
              </a:graphicData>
            </a:graphic>
          </wp:inline>
        </w:drawing>
      </w:r>
    </w:p>
    <w:p w14:paraId="28F9393F"/>
    <w:p w14:paraId="22635A8E">
      <w:pPr>
        <w:snapToGrid w:val="0"/>
        <w:spacing w:line="312" w:lineRule="auto"/>
      </w:pPr>
    </w:p>
    <w:p w14:paraId="0EC25764"/>
    <w:p w14:paraId="6BFE0FC9">
      <w:pPr>
        <w:pStyle w:val="8"/>
        <w:widowControl/>
        <w:rPr>
          <w:rFonts w:ascii="Cambria" w:hAnsi="Cambria" w:cs="Cambria"/>
          <w:highlight w:val="yellow"/>
        </w:rPr>
      </w:pPr>
      <w:r>
        <w:rPr>
          <w:rFonts w:hint="eastAsia" w:ascii="宋体" w:cs="宋体"/>
          <w:highlight w:val="yellow"/>
        </w:rPr>
        <w:t>附件-e采通登录界面</w:t>
      </w:r>
    </w:p>
    <w:p w14:paraId="76723C9C">
      <w:pPr>
        <w:spacing w:line="360" w:lineRule="auto"/>
      </w:pPr>
      <w:r>
        <w:rPr>
          <w:lang w:bidi="ar"/>
        </w:rPr>
        <w:t>1</w:t>
      </w:r>
      <w:r>
        <w:rPr>
          <w:rFonts w:hint="eastAsia" w:ascii="宋体" w:cs="宋体"/>
          <w:lang w:bidi="ar"/>
        </w:rPr>
        <w:t>）功能简介</w:t>
      </w:r>
    </w:p>
    <w:p w14:paraId="23713CE5">
      <w:pPr>
        <w:spacing w:line="360" w:lineRule="auto"/>
      </w:pPr>
      <w:r>
        <w:rPr>
          <w:rFonts w:hint="eastAsia" w:ascii="宋体" w:cs="宋体"/>
          <w:lang w:bidi="ar"/>
        </w:rPr>
        <w:t>此页面用于进行账号登录，找回密码。</w:t>
      </w:r>
    </w:p>
    <w:p w14:paraId="57251529">
      <w:pPr>
        <w:numPr>
          <w:ilvl w:val="0"/>
          <w:numId w:val="4"/>
        </w:numPr>
        <w:spacing w:line="360" w:lineRule="auto"/>
      </w:pPr>
      <w:r>
        <w:rPr>
          <w:rFonts w:hint="eastAsia" w:ascii="宋体" w:cs="宋体"/>
          <w:lang w:bidi="ar"/>
        </w:rPr>
        <w:t>界面如下</w:t>
      </w:r>
    </w:p>
    <w:p w14:paraId="22711B1B">
      <w:r>
        <w:drawing>
          <wp:inline distT="0" distB="0" distL="114300" distR="114300">
            <wp:extent cx="5278120" cy="2660650"/>
            <wp:effectExtent l="0" t="0" r="8255" b="6350"/>
            <wp:docPr id="9" name="图片 9"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
                    <pic:cNvPicPr>
                      <a:picLocks noChangeAspect="1"/>
                    </pic:cNvPicPr>
                  </pic:nvPicPr>
                  <pic:blipFill>
                    <a:blip r:embed="rId27"/>
                    <a:stretch>
                      <a:fillRect/>
                    </a:stretch>
                  </pic:blipFill>
                  <pic:spPr>
                    <a:xfrm>
                      <a:off x="0" y="0"/>
                      <a:ext cx="5278120" cy="2660650"/>
                    </a:xfrm>
                    <a:prstGeom prst="rect">
                      <a:avLst/>
                    </a:prstGeom>
                    <a:noFill/>
                    <a:ln>
                      <a:noFill/>
                    </a:ln>
                  </pic:spPr>
                </pic:pic>
              </a:graphicData>
            </a:graphic>
          </wp:inline>
        </w:drawing>
      </w:r>
    </w:p>
    <w:p w14:paraId="32A1471B">
      <w:pPr>
        <w:pStyle w:val="66"/>
        <w:widowControl/>
        <w:ind w:firstLine="0" w:firstLineChars="0"/>
        <w:rPr>
          <w:kern w:val="2"/>
          <w:sz w:val="21"/>
          <w:szCs w:val="21"/>
        </w:rPr>
      </w:pPr>
      <w:r>
        <w:rPr>
          <w:kern w:val="2"/>
          <w:sz w:val="21"/>
          <w:szCs w:val="21"/>
        </w:rPr>
        <w:t>3</w:t>
      </w:r>
      <w:r>
        <w:rPr>
          <w:rFonts w:hint="eastAsia" w:ascii="宋体" w:cs="宋体"/>
          <w:kern w:val="2"/>
          <w:sz w:val="21"/>
          <w:szCs w:val="21"/>
        </w:rPr>
        <w:t>）页面规则</w:t>
      </w:r>
    </w:p>
    <w:p w14:paraId="6671DC30">
      <w:pPr>
        <w:pStyle w:val="66"/>
        <w:widowControl/>
        <w:ind w:firstLine="0" w:firstLineChars="0"/>
        <w:rPr>
          <w:kern w:val="2"/>
          <w:sz w:val="21"/>
          <w:szCs w:val="21"/>
        </w:rPr>
      </w:pPr>
      <w:r>
        <w:rPr>
          <w:rFonts w:hint="eastAsia" w:ascii="宋体" w:cs="宋体"/>
          <w:b/>
          <w:bCs/>
          <w:kern w:val="2"/>
          <w:sz w:val="21"/>
          <w:szCs w:val="21"/>
        </w:rPr>
        <w:t>重置密码：</w:t>
      </w:r>
      <w:r>
        <w:rPr>
          <w:rFonts w:hint="eastAsia" w:ascii="宋体" w:cs="宋体"/>
          <w:kern w:val="2"/>
          <w:sz w:val="21"/>
          <w:szCs w:val="21"/>
        </w:rPr>
        <w:t>对于新注册的供应商，审批流程结束之后</w:t>
      </w:r>
      <w:r>
        <w:rPr>
          <w:kern w:val="2"/>
          <w:sz w:val="21"/>
          <w:szCs w:val="21"/>
        </w:rPr>
        <w:t>e</w:t>
      </w:r>
      <w:r>
        <w:rPr>
          <w:rFonts w:hint="eastAsia" w:ascii="宋体" w:cs="宋体"/>
          <w:kern w:val="2"/>
          <w:sz w:val="21"/>
          <w:szCs w:val="21"/>
        </w:rPr>
        <w:t>采通系统会发送短信到注册的收据号上，会告知登录账号和密码，</w:t>
      </w:r>
      <w:r>
        <w:rPr>
          <w:rFonts w:hint="eastAsia" w:ascii="宋体" w:cs="宋体"/>
          <w:b/>
          <w:bCs/>
          <w:kern w:val="2"/>
          <w:sz w:val="21"/>
          <w:szCs w:val="21"/>
        </w:rPr>
        <w:t>账号为供应商注册完成后发送到手机上的账号密码。</w:t>
      </w:r>
      <w:r>
        <w:rPr>
          <w:rFonts w:hint="eastAsia" w:ascii="宋体" w:cs="宋体"/>
          <w:kern w:val="2"/>
          <w:sz w:val="21"/>
          <w:szCs w:val="21"/>
        </w:rPr>
        <w:t>登录系统之后，立即绑定手机号，后续所有的密码重置都可以在登录界面点击忘记密码按钮，验证手机号码进行重置！</w:t>
      </w:r>
    </w:p>
    <w:p w14:paraId="18E46FE0">
      <w:pPr>
        <w:spacing w:line="360" w:lineRule="auto"/>
      </w:pPr>
      <w:r>
        <w:rPr>
          <w:rFonts w:hint="eastAsia" w:ascii="宋体" w:cs="宋体"/>
          <w:lang w:bidi="ar"/>
        </w:rPr>
        <w:t>如果供应商从未在系统内注册，此时认为是新供应商注册，需要点击“立即注册”按钮，用自己的手机号码登陆系统，进入系统之后点击供应商中心——》供应商注册，填写供应商注册信息，注意此时需要尽量把所有信息都维护完整，才可以提交成功，如果点击提交系统报错或者系统没反应请先仔细检查自己的填写数据是否完整正确。</w:t>
      </w:r>
    </w:p>
    <w:p w14:paraId="2B6BF4E0">
      <w:pPr>
        <w:pStyle w:val="8"/>
        <w:widowControl/>
        <w:spacing w:line="360" w:lineRule="auto"/>
        <w:rPr>
          <w:rFonts w:ascii="Cambria" w:hAnsi="Cambria" w:cs="Cambria"/>
          <w:highlight w:val="yellow"/>
        </w:rPr>
      </w:pPr>
      <w:r>
        <w:rPr>
          <w:rFonts w:hint="eastAsia" w:ascii="宋体" w:cs="宋体"/>
          <w:highlight w:val="yellow"/>
        </w:rPr>
        <w:t>附件-供应商注册</w:t>
      </w:r>
    </w:p>
    <w:p w14:paraId="49A536D6">
      <w:pPr>
        <w:spacing w:line="360" w:lineRule="auto"/>
      </w:pPr>
      <w:r>
        <w:rPr>
          <w:lang w:bidi="ar"/>
        </w:rPr>
        <w:t>1</w:t>
      </w:r>
      <w:r>
        <w:rPr>
          <w:rFonts w:hint="eastAsia" w:ascii="宋体" w:cs="宋体"/>
          <w:lang w:bidi="ar"/>
        </w:rPr>
        <w:t>）功能简介</w:t>
      </w:r>
    </w:p>
    <w:p w14:paraId="4E860D8D">
      <w:pPr>
        <w:spacing w:line="360" w:lineRule="auto"/>
      </w:pPr>
      <w:r>
        <w:rPr>
          <w:rFonts w:hint="eastAsia" w:ascii="宋体" w:cs="宋体"/>
          <w:lang w:bidi="ar"/>
        </w:rPr>
        <w:t>此页面用于进行供应商注册</w:t>
      </w:r>
    </w:p>
    <w:p w14:paraId="2D9232EA">
      <w:pPr>
        <w:pStyle w:val="66"/>
        <w:widowControl/>
        <w:ind w:firstLine="0" w:firstLineChars="0"/>
        <w:rPr>
          <w:kern w:val="2"/>
          <w:sz w:val="21"/>
          <w:szCs w:val="21"/>
        </w:rPr>
      </w:pPr>
      <w:r>
        <w:rPr>
          <w:kern w:val="2"/>
          <w:sz w:val="21"/>
          <w:szCs w:val="21"/>
        </w:rPr>
        <w:t>2</w:t>
      </w:r>
      <w:r>
        <w:rPr>
          <w:rFonts w:hint="eastAsia" w:ascii="宋体" w:cs="宋体"/>
          <w:kern w:val="2"/>
          <w:sz w:val="21"/>
          <w:szCs w:val="21"/>
        </w:rPr>
        <w:t>）界面如下</w:t>
      </w:r>
    </w:p>
    <w:p w14:paraId="649AE9EE">
      <w:r>
        <w:drawing>
          <wp:inline distT="0" distB="0" distL="114300" distR="114300">
            <wp:extent cx="5342255" cy="2485390"/>
            <wp:effectExtent l="0" t="0" r="1270" b="635"/>
            <wp:docPr id="1505033164" name="图片 150503316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5033164" name="图片 1505033164" descr="8"/>
                    <pic:cNvPicPr>
                      <a:picLocks noChangeAspect="1"/>
                    </pic:cNvPicPr>
                  </pic:nvPicPr>
                  <pic:blipFill>
                    <a:blip r:embed="rId28"/>
                    <a:stretch>
                      <a:fillRect/>
                    </a:stretch>
                  </pic:blipFill>
                  <pic:spPr>
                    <a:xfrm>
                      <a:off x="0" y="0"/>
                      <a:ext cx="5342255" cy="2485390"/>
                    </a:xfrm>
                    <a:prstGeom prst="rect">
                      <a:avLst/>
                    </a:prstGeom>
                    <a:noFill/>
                    <a:ln>
                      <a:noFill/>
                    </a:ln>
                  </pic:spPr>
                </pic:pic>
              </a:graphicData>
            </a:graphic>
          </wp:inline>
        </w:drawing>
      </w:r>
    </w:p>
    <w:p w14:paraId="437DFA90">
      <w:pPr>
        <w:pStyle w:val="66"/>
        <w:widowControl/>
        <w:tabs>
          <w:tab w:val="left" w:pos="0"/>
        </w:tabs>
        <w:ind w:firstLine="0" w:firstLineChars="0"/>
        <w:rPr>
          <w:kern w:val="2"/>
          <w:sz w:val="21"/>
          <w:szCs w:val="21"/>
        </w:rPr>
      </w:pPr>
      <w:r>
        <w:rPr>
          <w:rFonts w:hint="eastAsia" w:ascii="宋体" w:cs="宋体"/>
          <w:kern w:val="2"/>
          <w:sz w:val="21"/>
          <w:szCs w:val="21"/>
        </w:rPr>
        <w:t>3）页面规则</w:t>
      </w:r>
    </w:p>
    <w:p w14:paraId="6A85B684">
      <w:pPr>
        <w:pStyle w:val="66"/>
        <w:widowControl/>
        <w:ind w:firstLine="0" w:firstLineChars="0"/>
        <w:rPr>
          <w:kern w:val="2"/>
          <w:sz w:val="21"/>
          <w:szCs w:val="21"/>
        </w:rPr>
      </w:pPr>
      <w:r>
        <w:rPr>
          <w:rFonts w:hint="eastAsia" w:ascii="宋体" w:cs="宋体"/>
          <w:kern w:val="2"/>
          <w:sz w:val="21"/>
          <w:szCs w:val="21"/>
        </w:rPr>
        <w:t>点击新增按钮进入注册界面，如果点击提交，系统报错或者系统没反应请先仔细检查自己的填写数据是否完整正确。</w:t>
      </w:r>
    </w:p>
    <w:p w14:paraId="426ABE37">
      <w:pPr>
        <w:spacing w:line="360" w:lineRule="auto"/>
      </w:pPr>
      <w:r>
        <w:rPr>
          <w:rFonts w:hint="eastAsia" w:ascii="宋体" w:cs="宋体"/>
          <w:lang w:bidi="ar"/>
        </w:rPr>
        <w:t>注册信息的字段：尽量把所有信息都填写完整，</w:t>
      </w:r>
    </w:p>
    <w:p w14:paraId="073B0498">
      <w:pPr>
        <w:numPr>
          <w:ilvl w:val="0"/>
          <w:numId w:val="5"/>
        </w:numPr>
        <w:spacing w:line="360" w:lineRule="auto"/>
      </w:pPr>
      <w:r>
        <w:rPr>
          <w:rFonts w:hint="eastAsia" w:ascii="宋体" w:cs="宋体"/>
          <w:lang w:bidi="ar"/>
        </w:rPr>
        <w:t>统一社会信用代码字段，是供应商的唯一标识字段，没有校验规则，如果系统报统一社会信用代码重复则说明此供应商已经在</w:t>
      </w:r>
      <w:r>
        <w:rPr>
          <w:lang w:bidi="ar"/>
        </w:rPr>
        <w:t>e</w:t>
      </w:r>
      <w:r>
        <w:rPr>
          <w:rFonts w:hint="eastAsia" w:ascii="宋体" w:cs="宋体"/>
          <w:lang w:bidi="ar"/>
        </w:rPr>
        <w:t>采通内存在，请咨询对应的采购工程师账号密码。</w:t>
      </w:r>
    </w:p>
    <w:p w14:paraId="6AD9E0FC">
      <w:pPr>
        <w:numPr>
          <w:ilvl w:val="0"/>
          <w:numId w:val="5"/>
        </w:numPr>
        <w:spacing w:line="360" w:lineRule="auto"/>
        <w:rPr>
          <w:b/>
          <w:bCs/>
          <w:color w:val="C00000"/>
        </w:rPr>
      </w:pPr>
      <w:r>
        <w:rPr>
          <w:rFonts w:hint="eastAsia" w:ascii="宋体" w:cs="宋体"/>
          <w:b/>
          <w:bCs/>
          <w:color w:val="C00000"/>
          <w:lang w:bidi="ar"/>
        </w:rPr>
        <w:t>采购形式编号和投标项目名称、近三年财务指标情况，对于非生产类供应商都是必填项。</w:t>
      </w:r>
    </w:p>
    <w:p w14:paraId="4286CC71">
      <w:pPr>
        <w:numPr>
          <w:ilvl w:val="0"/>
          <w:numId w:val="5"/>
        </w:numPr>
        <w:spacing w:line="360" w:lineRule="auto"/>
      </w:pPr>
      <w:r>
        <w:rPr>
          <w:rFonts w:hint="eastAsia" w:ascii="宋体" w:cs="宋体"/>
          <w:lang w:bidi="ar"/>
        </w:rPr>
        <w:t>营业执照有效结束日期目前限制在当前日期及之前，应该限制在当前日期之后，最大允许“</w:t>
      </w:r>
      <w:r>
        <w:rPr>
          <w:lang w:bidi="ar"/>
        </w:rPr>
        <w:t>9999-12-31</w:t>
      </w:r>
      <w:r>
        <w:rPr>
          <w:rFonts w:hint="eastAsia" w:ascii="宋体" w:cs="宋体"/>
          <w:lang w:bidi="ar"/>
        </w:rPr>
        <w:t>”，即代表永久有效。</w:t>
      </w:r>
    </w:p>
    <w:p w14:paraId="50D86AEB">
      <w:pPr>
        <w:numPr>
          <w:ilvl w:val="0"/>
          <w:numId w:val="5"/>
        </w:numPr>
        <w:spacing w:line="360" w:lineRule="auto"/>
      </w:pPr>
      <w:r>
        <w:rPr>
          <w:rFonts w:hint="eastAsia" w:ascii="宋体" w:cs="宋体"/>
          <w:lang w:bidi="ar"/>
        </w:rPr>
        <w:t>提交成功之后进入审批流，每个节点都会由</w:t>
      </w:r>
      <w:r>
        <w:rPr>
          <w:lang w:bidi="ar"/>
        </w:rPr>
        <w:t>1</w:t>
      </w:r>
      <w:r>
        <w:rPr>
          <w:rFonts w:hint="eastAsia" w:ascii="宋体" w:cs="宋体"/>
          <w:lang w:bidi="ar"/>
        </w:rPr>
        <w:t>个或多个负责人审批，</w:t>
      </w:r>
      <w:r>
        <w:rPr>
          <w:rFonts w:hint="eastAsia" w:ascii="宋体" w:cs="宋体"/>
          <w:color w:val="C00000"/>
          <w:em w:val="dot"/>
          <w:lang w:bidi="ar"/>
        </w:rPr>
        <w:t>提交之后需要随时关注审批进度，被驳回的需要修改后重新提交信息。</w:t>
      </w:r>
      <w:r>
        <w:rPr>
          <w:rFonts w:hint="eastAsia" w:ascii="宋体" w:cs="宋体"/>
          <w:b/>
          <w:bCs/>
          <w:color w:val="C00000"/>
          <w:em w:val="dot"/>
          <w:lang w:bidi="ar"/>
        </w:rPr>
        <w:t>审批流程全部走完结束之后，且有短信通知供应商才算注册成功</w:t>
      </w:r>
      <w:r>
        <w:rPr>
          <w:rFonts w:hint="eastAsia" w:ascii="宋体" w:cs="宋体"/>
          <w:b/>
          <w:bCs/>
          <w:lang w:bidi="ar"/>
        </w:rPr>
        <w:t>。</w:t>
      </w:r>
    </w:p>
    <w:p w14:paraId="2076EC38">
      <w:pPr>
        <w:pStyle w:val="10"/>
        <w:widowControl/>
        <w:numPr>
          <w:ilvl w:val="0"/>
          <w:numId w:val="5"/>
        </w:numPr>
        <w:spacing w:line="360" w:lineRule="auto"/>
        <w:ind w:firstLine="420"/>
        <w:jc w:val="left"/>
      </w:pPr>
      <w:r>
        <w:rPr>
          <w:rFonts w:hint="eastAsia" w:ascii="宋体" w:cs="宋体"/>
          <w:kern w:val="2"/>
        </w:rPr>
        <w:t>点击“查看”按钮可以进行查看注册信息，供应商提交注册之后想查看审批进度，可以点击此按钮。</w:t>
      </w:r>
    </w:p>
    <w:p w14:paraId="6470709D">
      <w:pPr>
        <w:pStyle w:val="10"/>
        <w:widowControl/>
        <w:tabs>
          <w:tab w:val="left" w:pos="312"/>
        </w:tabs>
        <w:spacing w:line="360" w:lineRule="auto"/>
        <w:ind w:firstLine="422"/>
        <w:jc w:val="left"/>
        <w:rPr>
          <w:rFonts w:ascii="宋体" w:cs="宋体"/>
          <w:kern w:val="2"/>
          <w:szCs w:val="21"/>
        </w:rPr>
      </w:pPr>
      <w:r>
        <w:rPr>
          <w:rFonts w:hint="eastAsia" w:ascii="宋体" w:hAnsi="宋体" w:cs="宋体"/>
          <w:b/>
          <w:bCs/>
          <w:szCs w:val="21"/>
          <w:lang w:val="de-DE"/>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p>
    <w:p w14:paraId="627283CB">
      <w:pPr>
        <w:pStyle w:val="10"/>
        <w:widowControl/>
        <w:tabs>
          <w:tab w:val="left" w:pos="312"/>
        </w:tabs>
        <w:spacing w:line="360" w:lineRule="auto"/>
        <w:ind w:firstLine="420"/>
        <w:jc w:val="left"/>
        <w:rPr>
          <w:rFonts w:ascii="宋体" w:cs="宋体"/>
          <w:kern w:val="2"/>
        </w:rPr>
      </w:pPr>
    </w:p>
    <w:p w14:paraId="6E4883A5">
      <w:pPr>
        <w:pStyle w:val="8"/>
        <w:widowControl/>
        <w:rPr>
          <w:highlight w:val="yellow"/>
        </w:rPr>
      </w:pPr>
      <w:r>
        <w:rPr>
          <w:rFonts w:hint="eastAsia" w:eastAsia="黑体" w:cs="黑体"/>
          <w:highlight w:val="yellow"/>
        </w:rPr>
        <w:t>附件-供应商应标</w:t>
      </w:r>
    </w:p>
    <w:p w14:paraId="22F3C169">
      <w:pPr>
        <w:rPr>
          <w:rFonts w:hint="eastAsia" w:ascii="宋体" w:hAnsi="宋体" w:cs="宋体"/>
          <w:sz w:val="28"/>
          <w:szCs w:val="28"/>
        </w:rPr>
      </w:pPr>
      <w:r>
        <w:rPr>
          <w:rFonts w:hint="eastAsia" w:ascii="宋体" w:hAnsi="宋体" w:cs="宋体"/>
          <w:sz w:val="28"/>
          <w:szCs w:val="28"/>
          <w:lang w:bidi="ar"/>
        </w:rPr>
        <w:t>路径：招投标中心-非生产类招投标-供应商应标</w:t>
      </w:r>
    </w:p>
    <w:p w14:paraId="66B2DAD4">
      <w:pPr>
        <w:rPr>
          <w:rFonts w:hint="eastAsia" w:ascii="宋体" w:hAnsi="宋体" w:cs="宋体"/>
          <w:sz w:val="28"/>
          <w:szCs w:val="28"/>
          <w:lang w:bidi="ar"/>
        </w:rPr>
      </w:pPr>
      <w:r>
        <w:rPr>
          <w:rFonts w:hint="eastAsia" w:ascii="宋体" w:hAnsi="宋体" w:cs="宋体"/>
          <w:sz w:val="28"/>
          <w:szCs w:val="28"/>
          <w:lang w:bidi="ar"/>
        </w:rPr>
        <w:t>e采通发布招标文件后，根据项目编号搜索本项目并点击应标，上传文件之后点击提交。</w:t>
      </w:r>
    </w:p>
    <w:p w14:paraId="5A4FD69A">
      <w:r>
        <w:rPr>
          <w:rFonts w:hint="eastAsia" w:ascii="宋体" w:hAnsi="宋体" w:cs="宋体"/>
          <w:b/>
          <w:bCs/>
          <w:sz w:val="24"/>
        </w:rPr>
        <w:t>此处应标为线上资格审查环节，不是投标环节，不需要上传投标文件。投标单位应尽快应标以验证e采通账号是否可以正常使用，账号异常的请按下述提示修改账号后提交应标资料，</w:t>
      </w:r>
      <w:r>
        <w:rPr>
          <w:rFonts w:hint="eastAsia" w:ascii="宋体" w:hAnsi="宋体" w:cs="宋体"/>
          <w:b/>
          <w:bCs/>
          <w:color w:val="FF0000"/>
          <w:sz w:val="24"/>
        </w:rPr>
        <w:t>应标审核通过后方可进入投标环节，逾期不应标的无法参与投标</w:t>
      </w:r>
      <w:r>
        <w:rPr>
          <w:rFonts w:hint="eastAsia" w:ascii="宋体" w:hAnsi="宋体" w:cs="宋体"/>
          <w:b/>
          <w:bCs/>
          <w:sz w:val="24"/>
        </w:rPr>
        <w:t>。</w:t>
      </w:r>
    </w:p>
    <w:p w14:paraId="6B206824">
      <w:r>
        <w:drawing>
          <wp:inline distT="0" distB="0" distL="114300" distR="114300">
            <wp:extent cx="5393690" cy="2126615"/>
            <wp:effectExtent l="0" t="0" r="6985" b="698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9"/>
                    <a:stretch>
                      <a:fillRect/>
                    </a:stretch>
                  </pic:blipFill>
                  <pic:spPr>
                    <a:xfrm>
                      <a:off x="0" y="0"/>
                      <a:ext cx="5393690" cy="2126615"/>
                    </a:xfrm>
                    <a:prstGeom prst="rect">
                      <a:avLst/>
                    </a:prstGeom>
                    <a:noFill/>
                    <a:ln>
                      <a:noFill/>
                    </a:ln>
                  </pic:spPr>
                </pic:pic>
              </a:graphicData>
            </a:graphic>
          </wp:inline>
        </w:drawing>
      </w:r>
    </w:p>
    <w:p w14:paraId="1C08A64C">
      <w:pPr>
        <w:rPr>
          <w:rFonts w:cs="宋体"/>
          <w:sz w:val="24"/>
          <w:lang w:bidi="ar"/>
        </w:rPr>
      </w:pPr>
      <w:r>
        <w:rPr>
          <w:rFonts w:hint="eastAsia" w:cs="宋体"/>
          <w:sz w:val="24"/>
          <w:lang w:bidi="ar"/>
        </w:rPr>
        <w:t>注意：</w:t>
      </w:r>
    </w:p>
    <w:p w14:paraId="46AB9D88">
      <w:pPr>
        <w:ind w:firstLine="480" w:firstLineChars="200"/>
        <w:rPr>
          <w:rFonts w:cs="宋体"/>
          <w:sz w:val="24"/>
          <w:lang w:bidi="ar"/>
        </w:rPr>
      </w:pPr>
      <w:r>
        <w:rPr>
          <w:rFonts w:hint="eastAsia" w:cs="宋体"/>
          <w:sz w:val="24"/>
          <w:lang w:bidi="ar"/>
        </w:rPr>
        <w:t>此处如果出现“请到供应商基本信息界面，编辑补充提供财务数据再参与招投标！”提示，则说明供应商基本信息缺失财务数据，重汽财务部门和采购中心要求必须提供财务数据才可以参与招标（极特殊情况无法提供财务数据的请联系采购中心李晓斌</w:t>
      </w:r>
      <w:r>
        <w:rPr>
          <w:sz w:val="24"/>
          <w:lang w:bidi="ar"/>
        </w:rPr>
        <w:t xml:space="preserve">+86-17860603455  </w:t>
      </w:r>
      <w:r>
        <w:rPr>
          <w:rFonts w:hint="eastAsia" w:cs="宋体"/>
          <w:sz w:val="24"/>
          <w:lang w:bidi="ar"/>
        </w:rPr>
        <w:t>）</w:t>
      </w:r>
    </w:p>
    <w:p w14:paraId="1508E977">
      <w:pPr>
        <w:ind w:firstLine="480" w:firstLineChars="200"/>
        <w:rPr>
          <w:rFonts w:cs="宋体"/>
          <w:sz w:val="24"/>
          <w:lang w:bidi="ar"/>
        </w:rPr>
      </w:pPr>
      <w:r>
        <w:rPr>
          <w:rFonts w:hint="eastAsia" w:cs="宋体"/>
          <w:sz w:val="24"/>
          <w:lang w:bidi="ar"/>
        </w:rPr>
        <w:t>补充信息请到供应商中心——供应商变更任务——发起变更，进入信息填写界面，有①基本信息变更②供货类别变更③供货类别变更，选择《是否提供？一般是提供》，此处如果选择“否”系统则允许不提供财务数据的情况下参与应标，但是必须要先和采购中心联系，且此时提交的流程财务数据是不显示的且为空的，慎重。</w:t>
      </w:r>
    </w:p>
    <w:p w14:paraId="37687EE2">
      <w:pPr>
        <w:ind w:firstLine="480" w:firstLineChars="200"/>
        <w:rPr>
          <w:sz w:val="24"/>
        </w:rPr>
      </w:pPr>
      <w:r>
        <w:rPr>
          <w:rFonts w:hint="eastAsia" w:cs="宋体"/>
          <w:sz w:val="24"/>
          <w:lang w:bidi="ar"/>
        </w:rPr>
        <w:t>按要求填写财务数据，财务数据除长期借款、短期借款、对外担保金额可以为</w:t>
      </w:r>
      <w:r>
        <w:rPr>
          <w:sz w:val="24"/>
          <w:lang w:bidi="ar"/>
        </w:rPr>
        <w:t>0</w:t>
      </w:r>
      <w:r>
        <w:rPr>
          <w:rFonts w:hint="eastAsia" w:cs="宋体"/>
          <w:sz w:val="24"/>
          <w:lang w:bidi="ar"/>
        </w:rPr>
        <w:t>其他数据不允许为空，全部信息补充完整（上面其他的名称、地址、等等其他数据不变更不需要填写）之后选择采购工程师提交，经过审批后后才可以参与招标。</w:t>
      </w:r>
    </w:p>
    <w:p w14:paraId="74306074">
      <w:pPr>
        <w:ind w:firstLine="480" w:firstLineChars="200"/>
        <w:rPr>
          <w:sz w:val="24"/>
        </w:rPr>
      </w:pPr>
      <w:r>
        <w:rPr>
          <w:rFonts w:hint="eastAsia" w:cs="宋体"/>
          <w:sz w:val="24"/>
          <w:lang w:bidi="ar"/>
        </w:rPr>
        <w:t>但是注意，如果您无法选择采购工程师，采购工程师可选为空，则说明您家缺失供货类别信息，请退出界面后重新发起优先走供货类别变更增加供货类别！！！审批通过之后再走基本信息变更补充财务数据。截图路径如下</w:t>
      </w:r>
    </w:p>
    <w:p w14:paraId="7D0BBE5F">
      <w:r>
        <w:drawing>
          <wp:inline distT="0" distB="0" distL="114300" distR="114300">
            <wp:extent cx="5426075" cy="2279015"/>
            <wp:effectExtent l="0" t="0" r="3175" b="6985"/>
            <wp:docPr id="77"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32"/>
                    <pic:cNvPicPr>
                      <a:picLocks noChangeAspect="1"/>
                    </pic:cNvPicPr>
                  </pic:nvPicPr>
                  <pic:blipFill>
                    <a:blip r:embed="rId30"/>
                    <a:stretch>
                      <a:fillRect/>
                    </a:stretch>
                  </pic:blipFill>
                  <pic:spPr>
                    <a:xfrm>
                      <a:off x="0" y="0"/>
                      <a:ext cx="5426075" cy="2279015"/>
                    </a:xfrm>
                    <a:prstGeom prst="rect">
                      <a:avLst/>
                    </a:prstGeom>
                    <a:noFill/>
                    <a:ln>
                      <a:noFill/>
                    </a:ln>
                  </pic:spPr>
                </pic:pic>
              </a:graphicData>
            </a:graphic>
          </wp:inline>
        </w:drawing>
      </w:r>
    </w:p>
    <w:p w14:paraId="038C361B">
      <w:pPr>
        <w:pStyle w:val="10"/>
        <w:widowControl/>
        <w:tabs>
          <w:tab w:val="left" w:pos="312"/>
        </w:tabs>
        <w:spacing w:line="360" w:lineRule="auto"/>
        <w:ind w:firstLine="420"/>
        <w:jc w:val="left"/>
        <w:rPr>
          <w:rFonts w:ascii="宋体" w:cs="宋体"/>
          <w:kern w:val="2"/>
        </w:rPr>
      </w:pPr>
      <w:r>
        <w:drawing>
          <wp:inline distT="0" distB="0" distL="114300" distR="114300">
            <wp:extent cx="5331460" cy="2324100"/>
            <wp:effectExtent l="0" t="0" r="2540" b="0"/>
            <wp:docPr id="78"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33"/>
                    <pic:cNvPicPr>
                      <a:picLocks noChangeAspect="1"/>
                    </pic:cNvPicPr>
                  </pic:nvPicPr>
                  <pic:blipFill>
                    <a:blip r:embed="rId31"/>
                    <a:stretch>
                      <a:fillRect/>
                    </a:stretch>
                  </pic:blipFill>
                  <pic:spPr>
                    <a:xfrm>
                      <a:off x="0" y="0"/>
                      <a:ext cx="5331460" cy="2324100"/>
                    </a:xfrm>
                    <a:prstGeom prst="rect">
                      <a:avLst/>
                    </a:prstGeom>
                    <a:noFill/>
                    <a:ln>
                      <a:noFill/>
                    </a:ln>
                  </pic:spPr>
                </pic:pic>
              </a:graphicData>
            </a:graphic>
          </wp:inline>
        </w:drawing>
      </w:r>
    </w:p>
    <w:p w14:paraId="7B1F07F7"/>
    <w:p w14:paraId="29FB6C02">
      <w:r>
        <w:br w:type="page"/>
      </w:r>
    </w:p>
    <w:p w14:paraId="2ABAA5C6">
      <w:pPr>
        <w:rPr>
          <w:rFonts w:hint="eastAsia" w:ascii="宋体" w:hAnsi="宋体"/>
          <w:kern w:val="0"/>
          <w:sz w:val="24"/>
          <w:szCs w:val="21"/>
          <w:lang w:bidi="en-US"/>
        </w:rPr>
      </w:pPr>
      <w:r>
        <w:rPr>
          <w:rFonts w:hint="eastAsia" w:ascii="宋体" w:hAnsi="宋体"/>
          <w:kern w:val="0"/>
          <w:sz w:val="24"/>
          <w:szCs w:val="21"/>
          <w:lang w:bidi="en-US"/>
        </w:rPr>
        <w:t>附件3:</w:t>
      </w:r>
    </w:p>
    <w:tbl>
      <w:tblPr>
        <w:tblStyle w:val="25"/>
        <w:tblW w:w="903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2"/>
        <w:gridCol w:w="1259"/>
        <w:gridCol w:w="1329"/>
        <w:gridCol w:w="1263"/>
        <w:gridCol w:w="1261"/>
        <w:gridCol w:w="1067"/>
        <w:gridCol w:w="1230"/>
        <w:gridCol w:w="943"/>
      </w:tblGrid>
      <w:tr w14:paraId="0CB479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034" w:type="dxa"/>
            <w:gridSpan w:val="8"/>
            <w:tcBorders>
              <w:top w:val="single" w:color="auto" w:sz="4" w:space="0"/>
              <w:left w:val="single" w:color="auto" w:sz="4" w:space="0"/>
              <w:bottom w:val="single" w:color="auto" w:sz="4" w:space="0"/>
              <w:right w:val="single" w:color="auto" w:sz="4" w:space="0"/>
            </w:tcBorders>
            <w:noWrap/>
          </w:tcPr>
          <w:p w14:paraId="447D733F">
            <w:pPr>
              <w:autoSpaceDE w:val="0"/>
              <w:autoSpaceDN w:val="0"/>
              <w:jc w:val="center"/>
              <w:rPr>
                <w:b/>
                <w:bCs/>
                <w:sz w:val="30"/>
                <w:szCs w:val="30"/>
              </w:rPr>
            </w:pPr>
            <w:r>
              <w:rPr>
                <w:rFonts w:hint="eastAsia"/>
                <w:b/>
                <w:bCs/>
                <w:sz w:val="28"/>
                <w:szCs w:val="28"/>
              </w:rPr>
              <w:t>近三年</w:t>
            </w:r>
            <w:r>
              <w:rPr>
                <w:rFonts w:hint="eastAsia"/>
                <w:b/>
                <w:bCs/>
                <w:sz w:val="28"/>
                <w:szCs w:val="28"/>
                <w:u w:val="single"/>
              </w:rPr>
              <w:t xml:space="preserve">  200 </w:t>
            </w:r>
            <w:r>
              <w:rPr>
                <w:rFonts w:hint="eastAsia"/>
                <w:b/>
                <w:bCs/>
                <w:sz w:val="28"/>
                <w:szCs w:val="28"/>
              </w:rPr>
              <w:t>万元及以上的类似项目</w:t>
            </w:r>
            <w:r>
              <w:rPr>
                <w:b/>
                <w:bCs/>
                <w:sz w:val="28"/>
                <w:szCs w:val="28"/>
              </w:rPr>
              <w:t>业绩</w:t>
            </w:r>
            <w:r>
              <w:rPr>
                <w:rFonts w:hint="eastAsia"/>
                <w:b/>
                <w:bCs/>
                <w:sz w:val="28"/>
                <w:szCs w:val="28"/>
              </w:rPr>
              <w:t>列表</w:t>
            </w:r>
          </w:p>
        </w:tc>
      </w:tr>
      <w:tr w14:paraId="1919F3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9" w:hRule="atLeast"/>
          <w:jc w:val="center"/>
        </w:trPr>
        <w:tc>
          <w:tcPr>
            <w:tcW w:w="682" w:type="dxa"/>
            <w:tcBorders>
              <w:top w:val="single" w:color="auto" w:sz="4" w:space="0"/>
              <w:left w:val="single" w:color="auto" w:sz="4" w:space="0"/>
              <w:bottom w:val="single" w:color="auto" w:sz="4" w:space="0"/>
              <w:right w:val="single" w:color="auto" w:sz="4" w:space="0"/>
            </w:tcBorders>
            <w:noWrap/>
            <w:vAlign w:val="center"/>
          </w:tcPr>
          <w:p w14:paraId="58DFF2EF">
            <w:pPr>
              <w:autoSpaceDE w:val="0"/>
              <w:autoSpaceDN w:val="0"/>
              <w:jc w:val="center"/>
              <w:rPr>
                <w:sz w:val="24"/>
              </w:rPr>
            </w:pPr>
            <w:r>
              <w:rPr>
                <w:rFonts w:hint="eastAsia"/>
                <w:sz w:val="24"/>
              </w:rPr>
              <w:t>序号</w:t>
            </w:r>
          </w:p>
        </w:tc>
        <w:tc>
          <w:tcPr>
            <w:tcW w:w="1259" w:type="dxa"/>
            <w:tcBorders>
              <w:top w:val="single" w:color="auto" w:sz="4" w:space="0"/>
              <w:left w:val="single" w:color="auto" w:sz="4" w:space="0"/>
              <w:bottom w:val="single" w:color="auto" w:sz="4" w:space="0"/>
              <w:right w:val="single" w:color="auto" w:sz="4" w:space="0"/>
            </w:tcBorders>
            <w:noWrap/>
            <w:vAlign w:val="center"/>
          </w:tcPr>
          <w:p w14:paraId="0481045A">
            <w:pPr>
              <w:autoSpaceDE w:val="0"/>
              <w:autoSpaceDN w:val="0"/>
              <w:jc w:val="center"/>
              <w:rPr>
                <w:sz w:val="24"/>
              </w:rPr>
            </w:pPr>
            <w:r>
              <w:rPr>
                <w:rFonts w:hint="eastAsia"/>
                <w:sz w:val="24"/>
              </w:rPr>
              <w:t>项目/合同</w:t>
            </w:r>
          </w:p>
          <w:p w14:paraId="3EA6D0C9">
            <w:pPr>
              <w:autoSpaceDE w:val="0"/>
              <w:autoSpaceDN w:val="0"/>
              <w:jc w:val="center"/>
              <w:rPr>
                <w:sz w:val="24"/>
              </w:rPr>
            </w:pPr>
            <w:r>
              <w:rPr>
                <w:rFonts w:hint="eastAsia"/>
                <w:sz w:val="24"/>
              </w:rPr>
              <w:t>名称</w:t>
            </w:r>
          </w:p>
        </w:tc>
        <w:tc>
          <w:tcPr>
            <w:tcW w:w="1329" w:type="dxa"/>
            <w:tcBorders>
              <w:top w:val="single" w:color="auto" w:sz="4" w:space="0"/>
              <w:left w:val="single" w:color="auto" w:sz="4" w:space="0"/>
              <w:bottom w:val="single" w:color="auto" w:sz="4" w:space="0"/>
              <w:right w:val="single" w:color="auto" w:sz="4" w:space="0"/>
            </w:tcBorders>
            <w:noWrap/>
            <w:vAlign w:val="center"/>
          </w:tcPr>
          <w:p w14:paraId="078FB98F">
            <w:pPr>
              <w:autoSpaceDE w:val="0"/>
              <w:autoSpaceDN w:val="0"/>
              <w:jc w:val="center"/>
              <w:rPr>
                <w:sz w:val="24"/>
              </w:rPr>
            </w:pPr>
            <w:r>
              <w:rPr>
                <w:rFonts w:hint="eastAsia"/>
                <w:sz w:val="24"/>
              </w:rPr>
              <w:t>项目地点</w:t>
            </w:r>
          </w:p>
        </w:tc>
        <w:tc>
          <w:tcPr>
            <w:tcW w:w="1263" w:type="dxa"/>
            <w:tcBorders>
              <w:top w:val="single" w:color="auto" w:sz="4" w:space="0"/>
              <w:left w:val="single" w:color="auto" w:sz="4" w:space="0"/>
              <w:bottom w:val="single" w:color="auto" w:sz="4" w:space="0"/>
              <w:right w:val="single" w:color="auto" w:sz="4" w:space="0"/>
            </w:tcBorders>
            <w:noWrap/>
            <w:vAlign w:val="center"/>
          </w:tcPr>
          <w:p w14:paraId="2B5B9C57">
            <w:pPr>
              <w:autoSpaceDE w:val="0"/>
              <w:autoSpaceDN w:val="0"/>
              <w:jc w:val="center"/>
              <w:rPr>
                <w:sz w:val="24"/>
              </w:rPr>
            </w:pPr>
            <w:r>
              <w:rPr>
                <w:rFonts w:hint="eastAsia"/>
                <w:sz w:val="24"/>
              </w:rPr>
              <w:t>工程规模</w:t>
            </w:r>
          </w:p>
        </w:tc>
        <w:tc>
          <w:tcPr>
            <w:tcW w:w="1261" w:type="dxa"/>
            <w:tcBorders>
              <w:top w:val="single" w:color="auto" w:sz="4" w:space="0"/>
              <w:left w:val="single" w:color="auto" w:sz="4" w:space="0"/>
              <w:bottom w:val="single" w:color="auto" w:sz="4" w:space="0"/>
              <w:right w:val="single" w:color="auto" w:sz="4" w:space="0"/>
            </w:tcBorders>
            <w:noWrap/>
            <w:vAlign w:val="center"/>
          </w:tcPr>
          <w:p w14:paraId="4DA02D78">
            <w:pPr>
              <w:autoSpaceDE w:val="0"/>
              <w:autoSpaceDN w:val="0"/>
              <w:jc w:val="center"/>
              <w:rPr>
                <w:sz w:val="24"/>
              </w:rPr>
            </w:pPr>
            <w:r>
              <w:rPr>
                <w:rFonts w:hint="eastAsia"/>
                <w:sz w:val="24"/>
              </w:rPr>
              <w:t>内容及范围</w:t>
            </w:r>
          </w:p>
        </w:tc>
        <w:tc>
          <w:tcPr>
            <w:tcW w:w="1067" w:type="dxa"/>
            <w:tcBorders>
              <w:top w:val="single" w:color="auto" w:sz="4" w:space="0"/>
              <w:left w:val="single" w:color="auto" w:sz="4" w:space="0"/>
              <w:bottom w:val="single" w:color="auto" w:sz="4" w:space="0"/>
              <w:right w:val="single" w:color="auto" w:sz="4" w:space="0"/>
            </w:tcBorders>
            <w:noWrap/>
            <w:vAlign w:val="center"/>
          </w:tcPr>
          <w:p w14:paraId="1DA55E0D">
            <w:pPr>
              <w:autoSpaceDE w:val="0"/>
              <w:autoSpaceDN w:val="0"/>
              <w:jc w:val="center"/>
              <w:rPr>
                <w:sz w:val="24"/>
              </w:rPr>
            </w:pPr>
            <w:r>
              <w:rPr>
                <w:rFonts w:hint="eastAsia"/>
                <w:sz w:val="24"/>
              </w:rPr>
              <w:t>合同额（万元）</w:t>
            </w:r>
          </w:p>
        </w:tc>
        <w:tc>
          <w:tcPr>
            <w:tcW w:w="1230" w:type="dxa"/>
            <w:tcBorders>
              <w:top w:val="single" w:color="auto" w:sz="4" w:space="0"/>
              <w:left w:val="single" w:color="auto" w:sz="4" w:space="0"/>
              <w:bottom w:val="single" w:color="auto" w:sz="4" w:space="0"/>
              <w:right w:val="single" w:color="auto" w:sz="4" w:space="0"/>
            </w:tcBorders>
            <w:noWrap/>
            <w:vAlign w:val="center"/>
          </w:tcPr>
          <w:p w14:paraId="4CBE48E0">
            <w:pPr>
              <w:autoSpaceDE w:val="0"/>
              <w:autoSpaceDN w:val="0"/>
              <w:jc w:val="center"/>
              <w:rPr>
                <w:sz w:val="24"/>
              </w:rPr>
            </w:pPr>
            <w:r>
              <w:rPr>
                <w:rFonts w:hint="eastAsia"/>
                <w:sz w:val="24"/>
              </w:rPr>
              <w:t>项目负责人</w:t>
            </w:r>
          </w:p>
        </w:tc>
        <w:tc>
          <w:tcPr>
            <w:tcW w:w="943" w:type="dxa"/>
            <w:tcBorders>
              <w:top w:val="single" w:color="auto" w:sz="4" w:space="0"/>
              <w:left w:val="single" w:color="auto" w:sz="4" w:space="0"/>
              <w:bottom w:val="single" w:color="auto" w:sz="4" w:space="0"/>
              <w:right w:val="single" w:color="auto" w:sz="4" w:space="0"/>
            </w:tcBorders>
            <w:noWrap/>
            <w:vAlign w:val="center"/>
          </w:tcPr>
          <w:p w14:paraId="69EF4699">
            <w:pPr>
              <w:autoSpaceDE w:val="0"/>
              <w:autoSpaceDN w:val="0"/>
              <w:jc w:val="center"/>
              <w:rPr>
                <w:sz w:val="24"/>
              </w:rPr>
            </w:pPr>
            <w:r>
              <w:rPr>
                <w:rFonts w:hint="eastAsia"/>
                <w:sz w:val="24"/>
              </w:rPr>
              <w:t>是否已竣工</w:t>
            </w:r>
          </w:p>
        </w:tc>
      </w:tr>
      <w:tr w14:paraId="1A13AE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4" w:hRule="atLeast"/>
          <w:jc w:val="center"/>
        </w:trPr>
        <w:tc>
          <w:tcPr>
            <w:tcW w:w="682" w:type="dxa"/>
            <w:tcBorders>
              <w:top w:val="single" w:color="auto" w:sz="4" w:space="0"/>
              <w:left w:val="single" w:color="auto" w:sz="4" w:space="0"/>
              <w:bottom w:val="single" w:color="auto" w:sz="4" w:space="0"/>
              <w:right w:val="single" w:color="auto" w:sz="4" w:space="0"/>
            </w:tcBorders>
            <w:noWrap/>
            <w:vAlign w:val="center"/>
          </w:tcPr>
          <w:p w14:paraId="71CE7016">
            <w:pPr>
              <w:autoSpaceDE w:val="0"/>
              <w:autoSpaceDN w:val="0"/>
              <w:jc w:val="center"/>
              <w:rPr>
                <w:sz w:val="24"/>
              </w:rPr>
            </w:pPr>
            <w:r>
              <w:rPr>
                <w:rFonts w:hint="eastAsia"/>
                <w:sz w:val="24"/>
              </w:rPr>
              <w:t>1</w:t>
            </w:r>
          </w:p>
        </w:tc>
        <w:tc>
          <w:tcPr>
            <w:tcW w:w="1259" w:type="dxa"/>
            <w:tcBorders>
              <w:top w:val="single" w:color="auto" w:sz="4" w:space="0"/>
              <w:left w:val="single" w:color="auto" w:sz="4" w:space="0"/>
              <w:bottom w:val="single" w:color="auto" w:sz="4" w:space="0"/>
              <w:right w:val="single" w:color="auto" w:sz="4" w:space="0"/>
            </w:tcBorders>
            <w:noWrap/>
          </w:tcPr>
          <w:p w14:paraId="172F7BF4">
            <w:pPr>
              <w:autoSpaceDE w:val="0"/>
              <w:autoSpaceDN w:val="0"/>
              <w:rPr>
                <w:sz w:val="24"/>
              </w:rPr>
            </w:pPr>
          </w:p>
        </w:tc>
        <w:tc>
          <w:tcPr>
            <w:tcW w:w="1329" w:type="dxa"/>
            <w:tcBorders>
              <w:top w:val="single" w:color="auto" w:sz="4" w:space="0"/>
              <w:left w:val="single" w:color="auto" w:sz="4" w:space="0"/>
              <w:bottom w:val="single" w:color="auto" w:sz="4" w:space="0"/>
              <w:right w:val="single" w:color="auto" w:sz="4" w:space="0"/>
            </w:tcBorders>
            <w:noWrap/>
          </w:tcPr>
          <w:p w14:paraId="64BB0BC9">
            <w:pPr>
              <w:autoSpaceDE w:val="0"/>
              <w:autoSpaceDN w:val="0"/>
              <w:rPr>
                <w:sz w:val="24"/>
              </w:rPr>
            </w:pPr>
          </w:p>
        </w:tc>
        <w:tc>
          <w:tcPr>
            <w:tcW w:w="1263" w:type="dxa"/>
            <w:tcBorders>
              <w:top w:val="single" w:color="auto" w:sz="4" w:space="0"/>
              <w:left w:val="single" w:color="auto" w:sz="4" w:space="0"/>
              <w:bottom w:val="single" w:color="auto" w:sz="4" w:space="0"/>
              <w:right w:val="single" w:color="auto" w:sz="4" w:space="0"/>
            </w:tcBorders>
            <w:noWrap/>
          </w:tcPr>
          <w:p w14:paraId="08EB06A0">
            <w:pPr>
              <w:autoSpaceDE w:val="0"/>
              <w:autoSpaceDN w:val="0"/>
              <w:rPr>
                <w:sz w:val="24"/>
              </w:rPr>
            </w:pPr>
          </w:p>
        </w:tc>
        <w:tc>
          <w:tcPr>
            <w:tcW w:w="1261" w:type="dxa"/>
            <w:tcBorders>
              <w:top w:val="single" w:color="auto" w:sz="4" w:space="0"/>
              <w:left w:val="single" w:color="auto" w:sz="4" w:space="0"/>
              <w:bottom w:val="single" w:color="auto" w:sz="4" w:space="0"/>
              <w:right w:val="single" w:color="auto" w:sz="4" w:space="0"/>
            </w:tcBorders>
            <w:noWrap/>
          </w:tcPr>
          <w:p w14:paraId="753EABB7">
            <w:pPr>
              <w:autoSpaceDE w:val="0"/>
              <w:autoSpaceDN w:val="0"/>
              <w:rPr>
                <w:sz w:val="24"/>
              </w:rPr>
            </w:pPr>
          </w:p>
        </w:tc>
        <w:tc>
          <w:tcPr>
            <w:tcW w:w="1067" w:type="dxa"/>
            <w:tcBorders>
              <w:top w:val="single" w:color="auto" w:sz="4" w:space="0"/>
              <w:left w:val="single" w:color="auto" w:sz="4" w:space="0"/>
              <w:bottom w:val="single" w:color="auto" w:sz="4" w:space="0"/>
              <w:right w:val="single" w:color="auto" w:sz="4" w:space="0"/>
            </w:tcBorders>
            <w:noWrap/>
          </w:tcPr>
          <w:p w14:paraId="675E07DC">
            <w:pPr>
              <w:autoSpaceDE w:val="0"/>
              <w:autoSpaceDN w:val="0"/>
              <w:rPr>
                <w:sz w:val="24"/>
              </w:rPr>
            </w:pPr>
          </w:p>
        </w:tc>
        <w:tc>
          <w:tcPr>
            <w:tcW w:w="1230" w:type="dxa"/>
            <w:tcBorders>
              <w:top w:val="single" w:color="auto" w:sz="4" w:space="0"/>
              <w:left w:val="single" w:color="auto" w:sz="4" w:space="0"/>
              <w:bottom w:val="single" w:color="auto" w:sz="4" w:space="0"/>
              <w:right w:val="single" w:color="auto" w:sz="4" w:space="0"/>
            </w:tcBorders>
            <w:noWrap/>
          </w:tcPr>
          <w:p w14:paraId="4D23A383">
            <w:pPr>
              <w:autoSpaceDE w:val="0"/>
              <w:autoSpaceDN w:val="0"/>
              <w:rPr>
                <w:sz w:val="24"/>
              </w:rPr>
            </w:pPr>
          </w:p>
        </w:tc>
        <w:tc>
          <w:tcPr>
            <w:tcW w:w="943" w:type="dxa"/>
            <w:tcBorders>
              <w:top w:val="single" w:color="auto" w:sz="4" w:space="0"/>
              <w:left w:val="single" w:color="auto" w:sz="4" w:space="0"/>
              <w:bottom w:val="single" w:color="auto" w:sz="4" w:space="0"/>
              <w:right w:val="single" w:color="auto" w:sz="4" w:space="0"/>
            </w:tcBorders>
            <w:noWrap/>
          </w:tcPr>
          <w:p w14:paraId="111A0761">
            <w:pPr>
              <w:autoSpaceDE w:val="0"/>
              <w:autoSpaceDN w:val="0"/>
              <w:rPr>
                <w:sz w:val="24"/>
              </w:rPr>
            </w:pPr>
          </w:p>
        </w:tc>
      </w:tr>
      <w:tr w14:paraId="0140F7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82" w:type="dxa"/>
            <w:tcBorders>
              <w:top w:val="single" w:color="auto" w:sz="4" w:space="0"/>
              <w:left w:val="single" w:color="auto" w:sz="4" w:space="0"/>
              <w:bottom w:val="single" w:color="auto" w:sz="4" w:space="0"/>
              <w:right w:val="single" w:color="auto" w:sz="4" w:space="0"/>
            </w:tcBorders>
            <w:noWrap/>
            <w:vAlign w:val="center"/>
          </w:tcPr>
          <w:p w14:paraId="728EED0F">
            <w:pPr>
              <w:autoSpaceDE w:val="0"/>
              <w:autoSpaceDN w:val="0"/>
              <w:jc w:val="center"/>
              <w:rPr>
                <w:sz w:val="24"/>
              </w:rPr>
            </w:pPr>
            <w:r>
              <w:rPr>
                <w:rFonts w:hint="eastAsia"/>
                <w:sz w:val="24"/>
              </w:rPr>
              <w:t>2</w:t>
            </w:r>
          </w:p>
        </w:tc>
        <w:tc>
          <w:tcPr>
            <w:tcW w:w="1259" w:type="dxa"/>
            <w:tcBorders>
              <w:top w:val="single" w:color="auto" w:sz="4" w:space="0"/>
              <w:left w:val="single" w:color="auto" w:sz="4" w:space="0"/>
              <w:bottom w:val="single" w:color="auto" w:sz="4" w:space="0"/>
              <w:right w:val="single" w:color="auto" w:sz="4" w:space="0"/>
            </w:tcBorders>
            <w:noWrap/>
          </w:tcPr>
          <w:p w14:paraId="7F2CDEDB">
            <w:pPr>
              <w:autoSpaceDE w:val="0"/>
              <w:autoSpaceDN w:val="0"/>
              <w:rPr>
                <w:sz w:val="24"/>
              </w:rPr>
            </w:pPr>
          </w:p>
        </w:tc>
        <w:tc>
          <w:tcPr>
            <w:tcW w:w="1329" w:type="dxa"/>
            <w:tcBorders>
              <w:top w:val="single" w:color="auto" w:sz="4" w:space="0"/>
              <w:left w:val="single" w:color="auto" w:sz="4" w:space="0"/>
              <w:bottom w:val="single" w:color="auto" w:sz="4" w:space="0"/>
              <w:right w:val="single" w:color="auto" w:sz="4" w:space="0"/>
            </w:tcBorders>
            <w:noWrap/>
          </w:tcPr>
          <w:p w14:paraId="479630F0">
            <w:pPr>
              <w:autoSpaceDE w:val="0"/>
              <w:autoSpaceDN w:val="0"/>
              <w:rPr>
                <w:sz w:val="24"/>
              </w:rPr>
            </w:pPr>
          </w:p>
        </w:tc>
        <w:tc>
          <w:tcPr>
            <w:tcW w:w="1263" w:type="dxa"/>
            <w:tcBorders>
              <w:top w:val="single" w:color="auto" w:sz="4" w:space="0"/>
              <w:left w:val="single" w:color="auto" w:sz="4" w:space="0"/>
              <w:bottom w:val="single" w:color="auto" w:sz="4" w:space="0"/>
              <w:right w:val="single" w:color="auto" w:sz="4" w:space="0"/>
            </w:tcBorders>
            <w:noWrap/>
          </w:tcPr>
          <w:p w14:paraId="20E20F06">
            <w:pPr>
              <w:autoSpaceDE w:val="0"/>
              <w:autoSpaceDN w:val="0"/>
              <w:rPr>
                <w:sz w:val="24"/>
              </w:rPr>
            </w:pPr>
          </w:p>
        </w:tc>
        <w:tc>
          <w:tcPr>
            <w:tcW w:w="1261" w:type="dxa"/>
            <w:tcBorders>
              <w:top w:val="single" w:color="auto" w:sz="4" w:space="0"/>
              <w:left w:val="single" w:color="auto" w:sz="4" w:space="0"/>
              <w:bottom w:val="single" w:color="auto" w:sz="4" w:space="0"/>
              <w:right w:val="single" w:color="auto" w:sz="4" w:space="0"/>
            </w:tcBorders>
            <w:noWrap/>
          </w:tcPr>
          <w:p w14:paraId="2F22AD54">
            <w:pPr>
              <w:autoSpaceDE w:val="0"/>
              <w:autoSpaceDN w:val="0"/>
              <w:rPr>
                <w:sz w:val="24"/>
              </w:rPr>
            </w:pPr>
          </w:p>
        </w:tc>
        <w:tc>
          <w:tcPr>
            <w:tcW w:w="1067" w:type="dxa"/>
            <w:tcBorders>
              <w:top w:val="single" w:color="auto" w:sz="4" w:space="0"/>
              <w:left w:val="single" w:color="auto" w:sz="4" w:space="0"/>
              <w:bottom w:val="single" w:color="auto" w:sz="4" w:space="0"/>
              <w:right w:val="single" w:color="auto" w:sz="4" w:space="0"/>
            </w:tcBorders>
            <w:noWrap/>
          </w:tcPr>
          <w:p w14:paraId="68073354">
            <w:pPr>
              <w:autoSpaceDE w:val="0"/>
              <w:autoSpaceDN w:val="0"/>
              <w:rPr>
                <w:sz w:val="24"/>
              </w:rPr>
            </w:pPr>
          </w:p>
        </w:tc>
        <w:tc>
          <w:tcPr>
            <w:tcW w:w="1230" w:type="dxa"/>
            <w:tcBorders>
              <w:top w:val="single" w:color="auto" w:sz="4" w:space="0"/>
              <w:left w:val="single" w:color="auto" w:sz="4" w:space="0"/>
              <w:bottom w:val="single" w:color="auto" w:sz="4" w:space="0"/>
              <w:right w:val="single" w:color="auto" w:sz="4" w:space="0"/>
            </w:tcBorders>
            <w:noWrap/>
          </w:tcPr>
          <w:p w14:paraId="1297BE79">
            <w:pPr>
              <w:autoSpaceDE w:val="0"/>
              <w:autoSpaceDN w:val="0"/>
              <w:jc w:val="center"/>
              <w:rPr>
                <w:sz w:val="24"/>
              </w:rPr>
            </w:pPr>
          </w:p>
        </w:tc>
        <w:tc>
          <w:tcPr>
            <w:tcW w:w="943" w:type="dxa"/>
            <w:tcBorders>
              <w:top w:val="single" w:color="auto" w:sz="4" w:space="0"/>
              <w:left w:val="single" w:color="auto" w:sz="4" w:space="0"/>
              <w:bottom w:val="single" w:color="auto" w:sz="4" w:space="0"/>
              <w:right w:val="single" w:color="auto" w:sz="4" w:space="0"/>
            </w:tcBorders>
            <w:noWrap/>
          </w:tcPr>
          <w:p w14:paraId="32A21317">
            <w:pPr>
              <w:autoSpaceDE w:val="0"/>
              <w:autoSpaceDN w:val="0"/>
              <w:jc w:val="center"/>
              <w:rPr>
                <w:sz w:val="24"/>
              </w:rPr>
            </w:pPr>
          </w:p>
        </w:tc>
      </w:tr>
      <w:tr w14:paraId="61F970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82" w:type="dxa"/>
            <w:tcBorders>
              <w:top w:val="single" w:color="auto" w:sz="4" w:space="0"/>
              <w:left w:val="single" w:color="auto" w:sz="4" w:space="0"/>
              <w:bottom w:val="single" w:color="auto" w:sz="4" w:space="0"/>
              <w:right w:val="single" w:color="auto" w:sz="4" w:space="0"/>
            </w:tcBorders>
            <w:noWrap/>
            <w:vAlign w:val="center"/>
          </w:tcPr>
          <w:p w14:paraId="0B2DBD6D">
            <w:pPr>
              <w:autoSpaceDE w:val="0"/>
              <w:autoSpaceDN w:val="0"/>
              <w:jc w:val="center"/>
              <w:rPr>
                <w:sz w:val="24"/>
              </w:rPr>
            </w:pPr>
            <w:r>
              <w:rPr>
                <w:rFonts w:hint="eastAsia"/>
                <w:sz w:val="24"/>
              </w:rPr>
              <w:t>3</w:t>
            </w:r>
          </w:p>
        </w:tc>
        <w:tc>
          <w:tcPr>
            <w:tcW w:w="1259" w:type="dxa"/>
            <w:tcBorders>
              <w:top w:val="single" w:color="auto" w:sz="4" w:space="0"/>
              <w:left w:val="single" w:color="auto" w:sz="4" w:space="0"/>
              <w:bottom w:val="single" w:color="auto" w:sz="4" w:space="0"/>
              <w:right w:val="single" w:color="auto" w:sz="4" w:space="0"/>
            </w:tcBorders>
            <w:noWrap/>
          </w:tcPr>
          <w:p w14:paraId="5D7DDB92">
            <w:pPr>
              <w:autoSpaceDE w:val="0"/>
              <w:autoSpaceDN w:val="0"/>
              <w:rPr>
                <w:sz w:val="24"/>
              </w:rPr>
            </w:pPr>
          </w:p>
        </w:tc>
        <w:tc>
          <w:tcPr>
            <w:tcW w:w="1329" w:type="dxa"/>
            <w:tcBorders>
              <w:top w:val="single" w:color="auto" w:sz="4" w:space="0"/>
              <w:left w:val="single" w:color="auto" w:sz="4" w:space="0"/>
              <w:bottom w:val="single" w:color="auto" w:sz="4" w:space="0"/>
              <w:right w:val="single" w:color="auto" w:sz="4" w:space="0"/>
            </w:tcBorders>
            <w:noWrap/>
          </w:tcPr>
          <w:p w14:paraId="0B02F78C">
            <w:pPr>
              <w:autoSpaceDE w:val="0"/>
              <w:autoSpaceDN w:val="0"/>
              <w:rPr>
                <w:sz w:val="24"/>
              </w:rPr>
            </w:pPr>
          </w:p>
        </w:tc>
        <w:tc>
          <w:tcPr>
            <w:tcW w:w="1263" w:type="dxa"/>
            <w:tcBorders>
              <w:top w:val="single" w:color="auto" w:sz="4" w:space="0"/>
              <w:left w:val="single" w:color="auto" w:sz="4" w:space="0"/>
              <w:bottom w:val="single" w:color="auto" w:sz="4" w:space="0"/>
              <w:right w:val="single" w:color="auto" w:sz="4" w:space="0"/>
            </w:tcBorders>
            <w:noWrap/>
          </w:tcPr>
          <w:p w14:paraId="79850424">
            <w:pPr>
              <w:autoSpaceDE w:val="0"/>
              <w:autoSpaceDN w:val="0"/>
              <w:rPr>
                <w:sz w:val="24"/>
              </w:rPr>
            </w:pPr>
          </w:p>
        </w:tc>
        <w:tc>
          <w:tcPr>
            <w:tcW w:w="1261" w:type="dxa"/>
            <w:tcBorders>
              <w:top w:val="single" w:color="auto" w:sz="4" w:space="0"/>
              <w:left w:val="single" w:color="auto" w:sz="4" w:space="0"/>
              <w:bottom w:val="single" w:color="auto" w:sz="4" w:space="0"/>
              <w:right w:val="single" w:color="auto" w:sz="4" w:space="0"/>
            </w:tcBorders>
            <w:noWrap/>
          </w:tcPr>
          <w:p w14:paraId="60B4C412">
            <w:pPr>
              <w:autoSpaceDE w:val="0"/>
              <w:autoSpaceDN w:val="0"/>
              <w:rPr>
                <w:sz w:val="24"/>
              </w:rPr>
            </w:pPr>
          </w:p>
        </w:tc>
        <w:tc>
          <w:tcPr>
            <w:tcW w:w="1067" w:type="dxa"/>
            <w:tcBorders>
              <w:top w:val="single" w:color="auto" w:sz="4" w:space="0"/>
              <w:left w:val="single" w:color="auto" w:sz="4" w:space="0"/>
              <w:bottom w:val="single" w:color="auto" w:sz="4" w:space="0"/>
              <w:right w:val="single" w:color="auto" w:sz="4" w:space="0"/>
            </w:tcBorders>
            <w:noWrap/>
          </w:tcPr>
          <w:p w14:paraId="4AF2E355">
            <w:pPr>
              <w:autoSpaceDE w:val="0"/>
              <w:autoSpaceDN w:val="0"/>
              <w:rPr>
                <w:sz w:val="24"/>
              </w:rPr>
            </w:pPr>
          </w:p>
        </w:tc>
        <w:tc>
          <w:tcPr>
            <w:tcW w:w="1230" w:type="dxa"/>
            <w:tcBorders>
              <w:top w:val="single" w:color="auto" w:sz="4" w:space="0"/>
              <w:left w:val="single" w:color="auto" w:sz="4" w:space="0"/>
              <w:bottom w:val="single" w:color="auto" w:sz="4" w:space="0"/>
              <w:right w:val="single" w:color="auto" w:sz="4" w:space="0"/>
            </w:tcBorders>
            <w:noWrap/>
          </w:tcPr>
          <w:p w14:paraId="64F14B39">
            <w:pPr>
              <w:autoSpaceDE w:val="0"/>
              <w:autoSpaceDN w:val="0"/>
              <w:jc w:val="center"/>
              <w:rPr>
                <w:sz w:val="24"/>
              </w:rPr>
            </w:pPr>
          </w:p>
        </w:tc>
        <w:tc>
          <w:tcPr>
            <w:tcW w:w="943" w:type="dxa"/>
            <w:tcBorders>
              <w:top w:val="single" w:color="auto" w:sz="4" w:space="0"/>
              <w:left w:val="single" w:color="auto" w:sz="4" w:space="0"/>
              <w:bottom w:val="single" w:color="auto" w:sz="4" w:space="0"/>
              <w:right w:val="single" w:color="auto" w:sz="4" w:space="0"/>
            </w:tcBorders>
            <w:noWrap/>
          </w:tcPr>
          <w:p w14:paraId="13F3B829">
            <w:pPr>
              <w:autoSpaceDE w:val="0"/>
              <w:autoSpaceDN w:val="0"/>
              <w:jc w:val="center"/>
              <w:rPr>
                <w:sz w:val="24"/>
              </w:rPr>
            </w:pPr>
          </w:p>
        </w:tc>
      </w:tr>
      <w:tr w14:paraId="596ECF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4" w:hRule="atLeast"/>
          <w:jc w:val="center"/>
        </w:trPr>
        <w:tc>
          <w:tcPr>
            <w:tcW w:w="682" w:type="dxa"/>
            <w:tcBorders>
              <w:top w:val="single" w:color="auto" w:sz="4" w:space="0"/>
              <w:left w:val="single" w:color="auto" w:sz="4" w:space="0"/>
              <w:bottom w:val="single" w:color="auto" w:sz="4" w:space="0"/>
              <w:right w:val="single" w:color="auto" w:sz="4" w:space="0"/>
            </w:tcBorders>
            <w:noWrap/>
            <w:vAlign w:val="center"/>
          </w:tcPr>
          <w:p w14:paraId="157561DB">
            <w:pPr>
              <w:autoSpaceDE w:val="0"/>
              <w:autoSpaceDN w:val="0"/>
              <w:jc w:val="center"/>
              <w:rPr>
                <w:sz w:val="24"/>
              </w:rPr>
            </w:pPr>
            <w:r>
              <w:rPr>
                <w:rFonts w:hint="eastAsia"/>
                <w:sz w:val="24"/>
              </w:rPr>
              <w:t>4</w:t>
            </w:r>
          </w:p>
        </w:tc>
        <w:tc>
          <w:tcPr>
            <w:tcW w:w="1259" w:type="dxa"/>
            <w:tcBorders>
              <w:top w:val="single" w:color="auto" w:sz="4" w:space="0"/>
              <w:left w:val="single" w:color="auto" w:sz="4" w:space="0"/>
              <w:bottom w:val="single" w:color="auto" w:sz="4" w:space="0"/>
              <w:right w:val="single" w:color="auto" w:sz="4" w:space="0"/>
            </w:tcBorders>
            <w:noWrap/>
          </w:tcPr>
          <w:p w14:paraId="40A8B79B">
            <w:pPr>
              <w:autoSpaceDE w:val="0"/>
              <w:autoSpaceDN w:val="0"/>
              <w:rPr>
                <w:sz w:val="24"/>
              </w:rPr>
            </w:pPr>
          </w:p>
        </w:tc>
        <w:tc>
          <w:tcPr>
            <w:tcW w:w="1329" w:type="dxa"/>
            <w:tcBorders>
              <w:top w:val="single" w:color="auto" w:sz="4" w:space="0"/>
              <w:left w:val="single" w:color="auto" w:sz="4" w:space="0"/>
              <w:bottom w:val="single" w:color="auto" w:sz="4" w:space="0"/>
              <w:right w:val="single" w:color="auto" w:sz="4" w:space="0"/>
            </w:tcBorders>
            <w:noWrap/>
          </w:tcPr>
          <w:p w14:paraId="37E2DE5C">
            <w:pPr>
              <w:autoSpaceDE w:val="0"/>
              <w:autoSpaceDN w:val="0"/>
              <w:rPr>
                <w:sz w:val="24"/>
              </w:rPr>
            </w:pPr>
          </w:p>
        </w:tc>
        <w:tc>
          <w:tcPr>
            <w:tcW w:w="1263" w:type="dxa"/>
            <w:tcBorders>
              <w:top w:val="single" w:color="auto" w:sz="4" w:space="0"/>
              <w:left w:val="single" w:color="auto" w:sz="4" w:space="0"/>
              <w:bottom w:val="single" w:color="auto" w:sz="4" w:space="0"/>
              <w:right w:val="single" w:color="auto" w:sz="4" w:space="0"/>
            </w:tcBorders>
            <w:noWrap/>
          </w:tcPr>
          <w:p w14:paraId="2405347D">
            <w:pPr>
              <w:autoSpaceDE w:val="0"/>
              <w:autoSpaceDN w:val="0"/>
              <w:rPr>
                <w:sz w:val="24"/>
              </w:rPr>
            </w:pPr>
          </w:p>
        </w:tc>
        <w:tc>
          <w:tcPr>
            <w:tcW w:w="1261" w:type="dxa"/>
            <w:tcBorders>
              <w:top w:val="single" w:color="auto" w:sz="4" w:space="0"/>
              <w:left w:val="single" w:color="auto" w:sz="4" w:space="0"/>
              <w:bottom w:val="single" w:color="auto" w:sz="4" w:space="0"/>
              <w:right w:val="single" w:color="auto" w:sz="4" w:space="0"/>
            </w:tcBorders>
            <w:noWrap/>
          </w:tcPr>
          <w:p w14:paraId="26C8952C">
            <w:pPr>
              <w:autoSpaceDE w:val="0"/>
              <w:autoSpaceDN w:val="0"/>
              <w:rPr>
                <w:sz w:val="24"/>
              </w:rPr>
            </w:pPr>
          </w:p>
        </w:tc>
        <w:tc>
          <w:tcPr>
            <w:tcW w:w="1067" w:type="dxa"/>
            <w:tcBorders>
              <w:top w:val="single" w:color="auto" w:sz="4" w:space="0"/>
              <w:left w:val="single" w:color="auto" w:sz="4" w:space="0"/>
              <w:bottom w:val="single" w:color="auto" w:sz="4" w:space="0"/>
              <w:right w:val="single" w:color="auto" w:sz="4" w:space="0"/>
            </w:tcBorders>
            <w:noWrap/>
          </w:tcPr>
          <w:p w14:paraId="2A6FCD53">
            <w:pPr>
              <w:autoSpaceDE w:val="0"/>
              <w:autoSpaceDN w:val="0"/>
              <w:rPr>
                <w:sz w:val="24"/>
              </w:rPr>
            </w:pPr>
          </w:p>
        </w:tc>
        <w:tc>
          <w:tcPr>
            <w:tcW w:w="1230" w:type="dxa"/>
            <w:tcBorders>
              <w:top w:val="single" w:color="auto" w:sz="4" w:space="0"/>
              <w:left w:val="single" w:color="auto" w:sz="4" w:space="0"/>
              <w:bottom w:val="single" w:color="auto" w:sz="4" w:space="0"/>
              <w:right w:val="single" w:color="auto" w:sz="4" w:space="0"/>
            </w:tcBorders>
            <w:noWrap/>
          </w:tcPr>
          <w:p w14:paraId="6719DDA2">
            <w:pPr>
              <w:autoSpaceDE w:val="0"/>
              <w:autoSpaceDN w:val="0"/>
              <w:jc w:val="center"/>
              <w:rPr>
                <w:sz w:val="24"/>
              </w:rPr>
            </w:pPr>
          </w:p>
        </w:tc>
        <w:tc>
          <w:tcPr>
            <w:tcW w:w="943" w:type="dxa"/>
            <w:tcBorders>
              <w:top w:val="single" w:color="auto" w:sz="4" w:space="0"/>
              <w:left w:val="single" w:color="auto" w:sz="4" w:space="0"/>
              <w:bottom w:val="single" w:color="auto" w:sz="4" w:space="0"/>
              <w:right w:val="single" w:color="auto" w:sz="4" w:space="0"/>
            </w:tcBorders>
            <w:noWrap/>
          </w:tcPr>
          <w:p w14:paraId="30D7F004">
            <w:pPr>
              <w:autoSpaceDE w:val="0"/>
              <w:autoSpaceDN w:val="0"/>
              <w:jc w:val="center"/>
              <w:rPr>
                <w:sz w:val="24"/>
              </w:rPr>
            </w:pPr>
          </w:p>
        </w:tc>
      </w:tr>
      <w:tr w14:paraId="26DD4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4" w:hRule="atLeast"/>
          <w:jc w:val="center"/>
        </w:trPr>
        <w:tc>
          <w:tcPr>
            <w:tcW w:w="682" w:type="dxa"/>
            <w:tcBorders>
              <w:top w:val="single" w:color="auto" w:sz="4" w:space="0"/>
              <w:left w:val="single" w:color="auto" w:sz="4" w:space="0"/>
              <w:bottom w:val="single" w:color="auto" w:sz="4" w:space="0"/>
              <w:right w:val="single" w:color="auto" w:sz="4" w:space="0"/>
            </w:tcBorders>
            <w:noWrap/>
          </w:tcPr>
          <w:p w14:paraId="19631266">
            <w:pPr>
              <w:autoSpaceDE w:val="0"/>
              <w:autoSpaceDN w:val="0"/>
              <w:rPr>
                <w:sz w:val="24"/>
              </w:rPr>
            </w:pPr>
            <w:r>
              <w:rPr>
                <w:rFonts w:hint="eastAsia"/>
                <w:sz w:val="24"/>
              </w:rPr>
              <w:t>......</w:t>
            </w:r>
          </w:p>
        </w:tc>
        <w:tc>
          <w:tcPr>
            <w:tcW w:w="1259" w:type="dxa"/>
            <w:tcBorders>
              <w:top w:val="single" w:color="auto" w:sz="4" w:space="0"/>
              <w:left w:val="single" w:color="auto" w:sz="4" w:space="0"/>
              <w:bottom w:val="single" w:color="auto" w:sz="4" w:space="0"/>
              <w:right w:val="single" w:color="auto" w:sz="4" w:space="0"/>
            </w:tcBorders>
            <w:noWrap/>
          </w:tcPr>
          <w:p w14:paraId="18E7DF06">
            <w:pPr>
              <w:autoSpaceDE w:val="0"/>
              <w:autoSpaceDN w:val="0"/>
              <w:rPr>
                <w:sz w:val="24"/>
              </w:rPr>
            </w:pPr>
          </w:p>
        </w:tc>
        <w:tc>
          <w:tcPr>
            <w:tcW w:w="1329" w:type="dxa"/>
            <w:tcBorders>
              <w:top w:val="single" w:color="auto" w:sz="4" w:space="0"/>
              <w:left w:val="single" w:color="auto" w:sz="4" w:space="0"/>
              <w:bottom w:val="single" w:color="auto" w:sz="4" w:space="0"/>
              <w:right w:val="single" w:color="auto" w:sz="4" w:space="0"/>
            </w:tcBorders>
            <w:noWrap/>
          </w:tcPr>
          <w:p w14:paraId="0DF2B2B2">
            <w:pPr>
              <w:autoSpaceDE w:val="0"/>
              <w:autoSpaceDN w:val="0"/>
              <w:rPr>
                <w:sz w:val="24"/>
              </w:rPr>
            </w:pPr>
          </w:p>
        </w:tc>
        <w:tc>
          <w:tcPr>
            <w:tcW w:w="1263" w:type="dxa"/>
            <w:tcBorders>
              <w:top w:val="single" w:color="auto" w:sz="4" w:space="0"/>
              <w:left w:val="single" w:color="auto" w:sz="4" w:space="0"/>
              <w:bottom w:val="single" w:color="auto" w:sz="4" w:space="0"/>
              <w:right w:val="single" w:color="auto" w:sz="4" w:space="0"/>
            </w:tcBorders>
            <w:noWrap/>
          </w:tcPr>
          <w:p w14:paraId="22E9F382">
            <w:pPr>
              <w:autoSpaceDE w:val="0"/>
              <w:autoSpaceDN w:val="0"/>
              <w:rPr>
                <w:sz w:val="24"/>
              </w:rPr>
            </w:pPr>
          </w:p>
        </w:tc>
        <w:tc>
          <w:tcPr>
            <w:tcW w:w="1261" w:type="dxa"/>
            <w:tcBorders>
              <w:top w:val="single" w:color="auto" w:sz="4" w:space="0"/>
              <w:left w:val="single" w:color="auto" w:sz="4" w:space="0"/>
              <w:bottom w:val="single" w:color="auto" w:sz="4" w:space="0"/>
              <w:right w:val="single" w:color="auto" w:sz="4" w:space="0"/>
            </w:tcBorders>
            <w:noWrap/>
          </w:tcPr>
          <w:p w14:paraId="78251BF4">
            <w:pPr>
              <w:autoSpaceDE w:val="0"/>
              <w:autoSpaceDN w:val="0"/>
              <w:rPr>
                <w:sz w:val="24"/>
              </w:rPr>
            </w:pPr>
          </w:p>
        </w:tc>
        <w:tc>
          <w:tcPr>
            <w:tcW w:w="1067" w:type="dxa"/>
            <w:tcBorders>
              <w:top w:val="single" w:color="auto" w:sz="4" w:space="0"/>
              <w:left w:val="single" w:color="auto" w:sz="4" w:space="0"/>
              <w:bottom w:val="single" w:color="auto" w:sz="4" w:space="0"/>
              <w:right w:val="single" w:color="auto" w:sz="4" w:space="0"/>
            </w:tcBorders>
            <w:noWrap/>
          </w:tcPr>
          <w:p w14:paraId="161433A6">
            <w:pPr>
              <w:autoSpaceDE w:val="0"/>
              <w:autoSpaceDN w:val="0"/>
              <w:rPr>
                <w:sz w:val="24"/>
              </w:rPr>
            </w:pPr>
          </w:p>
        </w:tc>
        <w:tc>
          <w:tcPr>
            <w:tcW w:w="1230" w:type="dxa"/>
            <w:tcBorders>
              <w:top w:val="single" w:color="auto" w:sz="4" w:space="0"/>
              <w:left w:val="single" w:color="auto" w:sz="4" w:space="0"/>
              <w:bottom w:val="single" w:color="auto" w:sz="4" w:space="0"/>
              <w:right w:val="single" w:color="auto" w:sz="4" w:space="0"/>
            </w:tcBorders>
            <w:noWrap/>
          </w:tcPr>
          <w:p w14:paraId="3031FB66">
            <w:pPr>
              <w:autoSpaceDE w:val="0"/>
              <w:autoSpaceDN w:val="0"/>
              <w:rPr>
                <w:sz w:val="24"/>
              </w:rPr>
            </w:pPr>
          </w:p>
        </w:tc>
        <w:tc>
          <w:tcPr>
            <w:tcW w:w="943" w:type="dxa"/>
            <w:tcBorders>
              <w:top w:val="single" w:color="auto" w:sz="4" w:space="0"/>
              <w:left w:val="single" w:color="auto" w:sz="4" w:space="0"/>
              <w:bottom w:val="single" w:color="auto" w:sz="4" w:space="0"/>
              <w:right w:val="single" w:color="auto" w:sz="4" w:space="0"/>
            </w:tcBorders>
            <w:noWrap/>
          </w:tcPr>
          <w:p w14:paraId="170FC136">
            <w:pPr>
              <w:autoSpaceDE w:val="0"/>
              <w:autoSpaceDN w:val="0"/>
              <w:rPr>
                <w:sz w:val="24"/>
              </w:rPr>
            </w:pPr>
          </w:p>
        </w:tc>
      </w:tr>
      <w:tr w14:paraId="271889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2" w:hRule="atLeast"/>
          <w:jc w:val="center"/>
        </w:trPr>
        <w:tc>
          <w:tcPr>
            <w:tcW w:w="682" w:type="dxa"/>
            <w:tcBorders>
              <w:top w:val="single" w:color="auto" w:sz="4" w:space="0"/>
              <w:left w:val="single" w:color="auto" w:sz="4" w:space="0"/>
              <w:bottom w:val="single" w:color="auto" w:sz="4" w:space="0"/>
              <w:right w:val="single" w:color="auto" w:sz="4" w:space="0"/>
            </w:tcBorders>
            <w:noWrap/>
          </w:tcPr>
          <w:p w14:paraId="1B1EAD15">
            <w:pPr>
              <w:autoSpaceDE w:val="0"/>
              <w:autoSpaceDN w:val="0"/>
              <w:rPr>
                <w:sz w:val="24"/>
              </w:rPr>
            </w:pPr>
          </w:p>
        </w:tc>
        <w:tc>
          <w:tcPr>
            <w:tcW w:w="1259" w:type="dxa"/>
            <w:tcBorders>
              <w:top w:val="single" w:color="auto" w:sz="4" w:space="0"/>
              <w:left w:val="single" w:color="auto" w:sz="4" w:space="0"/>
              <w:bottom w:val="single" w:color="auto" w:sz="4" w:space="0"/>
              <w:right w:val="single" w:color="auto" w:sz="4" w:space="0"/>
            </w:tcBorders>
            <w:noWrap/>
            <w:vAlign w:val="center"/>
          </w:tcPr>
          <w:p w14:paraId="34B49AC7">
            <w:pPr>
              <w:autoSpaceDE w:val="0"/>
              <w:autoSpaceDN w:val="0"/>
              <w:rPr>
                <w:sz w:val="24"/>
              </w:rPr>
            </w:pPr>
            <w:r>
              <w:rPr>
                <w:rFonts w:hint="eastAsia"/>
                <w:sz w:val="24"/>
              </w:rPr>
              <w:t>数量不限，能报尽报</w:t>
            </w:r>
          </w:p>
        </w:tc>
        <w:tc>
          <w:tcPr>
            <w:tcW w:w="1329" w:type="dxa"/>
            <w:tcBorders>
              <w:top w:val="single" w:color="auto" w:sz="4" w:space="0"/>
              <w:left w:val="single" w:color="auto" w:sz="4" w:space="0"/>
              <w:bottom w:val="single" w:color="auto" w:sz="4" w:space="0"/>
              <w:right w:val="single" w:color="auto" w:sz="4" w:space="0"/>
            </w:tcBorders>
            <w:noWrap/>
          </w:tcPr>
          <w:p w14:paraId="3FB93222">
            <w:pPr>
              <w:autoSpaceDE w:val="0"/>
              <w:autoSpaceDN w:val="0"/>
              <w:rPr>
                <w:sz w:val="24"/>
              </w:rPr>
            </w:pPr>
          </w:p>
        </w:tc>
        <w:tc>
          <w:tcPr>
            <w:tcW w:w="1263" w:type="dxa"/>
            <w:tcBorders>
              <w:top w:val="single" w:color="auto" w:sz="4" w:space="0"/>
              <w:left w:val="single" w:color="auto" w:sz="4" w:space="0"/>
              <w:bottom w:val="single" w:color="auto" w:sz="4" w:space="0"/>
              <w:right w:val="single" w:color="auto" w:sz="4" w:space="0"/>
            </w:tcBorders>
            <w:noWrap/>
          </w:tcPr>
          <w:p w14:paraId="02CF2767">
            <w:pPr>
              <w:autoSpaceDE w:val="0"/>
              <w:autoSpaceDN w:val="0"/>
              <w:rPr>
                <w:sz w:val="24"/>
              </w:rPr>
            </w:pPr>
          </w:p>
        </w:tc>
        <w:tc>
          <w:tcPr>
            <w:tcW w:w="1261" w:type="dxa"/>
            <w:tcBorders>
              <w:top w:val="single" w:color="auto" w:sz="4" w:space="0"/>
              <w:left w:val="single" w:color="auto" w:sz="4" w:space="0"/>
              <w:bottom w:val="single" w:color="auto" w:sz="4" w:space="0"/>
              <w:right w:val="single" w:color="auto" w:sz="4" w:space="0"/>
            </w:tcBorders>
            <w:noWrap/>
          </w:tcPr>
          <w:p w14:paraId="0CD8B37A">
            <w:pPr>
              <w:autoSpaceDE w:val="0"/>
              <w:autoSpaceDN w:val="0"/>
              <w:rPr>
                <w:sz w:val="24"/>
              </w:rPr>
            </w:pPr>
          </w:p>
        </w:tc>
        <w:tc>
          <w:tcPr>
            <w:tcW w:w="1067" w:type="dxa"/>
            <w:tcBorders>
              <w:top w:val="single" w:color="auto" w:sz="4" w:space="0"/>
              <w:left w:val="single" w:color="auto" w:sz="4" w:space="0"/>
              <w:bottom w:val="single" w:color="auto" w:sz="4" w:space="0"/>
              <w:right w:val="single" w:color="auto" w:sz="4" w:space="0"/>
            </w:tcBorders>
            <w:noWrap/>
          </w:tcPr>
          <w:p w14:paraId="3C7076FE">
            <w:pPr>
              <w:autoSpaceDE w:val="0"/>
              <w:autoSpaceDN w:val="0"/>
              <w:rPr>
                <w:sz w:val="24"/>
              </w:rPr>
            </w:pPr>
          </w:p>
        </w:tc>
        <w:tc>
          <w:tcPr>
            <w:tcW w:w="1230" w:type="dxa"/>
            <w:tcBorders>
              <w:top w:val="single" w:color="auto" w:sz="4" w:space="0"/>
              <w:left w:val="single" w:color="auto" w:sz="4" w:space="0"/>
              <w:bottom w:val="single" w:color="auto" w:sz="4" w:space="0"/>
              <w:right w:val="single" w:color="auto" w:sz="4" w:space="0"/>
            </w:tcBorders>
            <w:noWrap/>
          </w:tcPr>
          <w:p w14:paraId="6BD3AA06">
            <w:pPr>
              <w:autoSpaceDE w:val="0"/>
              <w:autoSpaceDN w:val="0"/>
              <w:rPr>
                <w:sz w:val="24"/>
              </w:rPr>
            </w:pPr>
          </w:p>
        </w:tc>
        <w:tc>
          <w:tcPr>
            <w:tcW w:w="943" w:type="dxa"/>
            <w:tcBorders>
              <w:top w:val="single" w:color="auto" w:sz="4" w:space="0"/>
              <w:left w:val="single" w:color="auto" w:sz="4" w:space="0"/>
              <w:bottom w:val="single" w:color="auto" w:sz="4" w:space="0"/>
              <w:right w:val="single" w:color="auto" w:sz="4" w:space="0"/>
            </w:tcBorders>
            <w:noWrap/>
          </w:tcPr>
          <w:p w14:paraId="67ED0AE5">
            <w:pPr>
              <w:autoSpaceDE w:val="0"/>
              <w:autoSpaceDN w:val="0"/>
              <w:rPr>
                <w:sz w:val="24"/>
              </w:rPr>
            </w:pPr>
          </w:p>
        </w:tc>
      </w:tr>
    </w:tbl>
    <w:p w14:paraId="075C6E1D">
      <w:pPr>
        <w:pStyle w:val="10"/>
        <w:widowControl/>
        <w:tabs>
          <w:tab w:val="left" w:pos="312"/>
        </w:tabs>
        <w:spacing w:line="360" w:lineRule="auto"/>
        <w:ind w:firstLine="0" w:firstLineChars="0"/>
        <w:jc w:val="left"/>
        <w:rPr>
          <w:rFonts w:ascii="宋体" w:cs="宋体"/>
          <w:kern w:val="2"/>
        </w:rPr>
      </w:pPr>
    </w:p>
    <w:p w14:paraId="44EF95BC">
      <w:pPr>
        <w:rPr>
          <w:sz w:val="32"/>
          <w:szCs w:val="32"/>
        </w:rPr>
      </w:pPr>
      <w:r>
        <w:rPr>
          <w:rFonts w:hint="eastAsia"/>
          <w:sz w:val="32"/>
          <w:szCs w:val="32"/>
        </w:rPr>
        <w:br w:type="page"/>
      </w:r>
    </w:p>
    <w:p w14:paraId="7EFBAFB2">
      <w:pPr>
        <w:pStyle w:val="6"/>
        <w:jc w:val="center"/>
        <w:rPr>
          <w:i w:val="0"/>
          <w:iCs w:val="0"/>
          <w:sz w:val="32"/>
          <w:szCs w:val="32"/>
        </w:rPr>
      </w:pPr>
      <w:bookmarkStart w:id="22" w:name="_Toc7755"/>
      <w:bookmarkStart w:id="23" w:name="_Toc12643"/>
      <w:r>
        <w:rPr>
          <w:rFonts w:hint="eastAsia"/>
          <w:i w:val="0"/>
          <w:iCs w:val="0"/>
          <w:sz w:val="32"/>
          <w:szCs w:val="32"/>
        </w:rPr>
        <w:t xml:space="preserve">第二章  </w:t>
      </w:r>
      <w:r>
        <w:rPr>
          <w:i w:val="0"/>
          <w:iCs w:val="0"/>
          <w:sz w:val="32"/>
          <w:szCs w:val="32"/>
        </w:rPr>
        <w:t>投标人须知</w:t>
      </w:r>
      <w:bookmarkEnd w:id="8"/>
      <w:bookmarkEnd w:id="9"/>
      <w:bookmarkEnd w:id="22"/>
      <w:bookmarkEnd w:id="23"/>
    </w:p>
    <w:p w14:paraId="0A55DA2E">
      <w:pPr>
        <w:pStyle w:val="7"/>
        <w:spacing w:before="0" w:after="0"/>
        <w:jc w:val="center"/>
        <w:rPr>
          <w:sz w:val="30"/>
          <w:szCs w:val="30"/>
        </w:rPr>
      </w:pPr>
      <w:bookmarkStart w:id="24" w:name="_Toc17148"/>
      <w:bookmarkStart w:id="25" w:name="_Toc17817322"/>
      <w:bookmarkStart w:id="26" w:name="_Toc15632"/>
      <w:bookmarkStart w:id="27" w:name="_Toc6745"/>
      <w:r>
        <w:rPr>
          <w:sz w:val="30"/>
          <w:szCs w:val="30"/>
        </w:rPr>
        <w:t>投标人须知前附表</w:t>
      </w:r>
      <w:bookmarkEnd w:id="24"/>
      <w:bookmarkEnd w:id="25"/>
      <w:bookmarkEnd w:id="26"/>
      <w:bookmarkEnd w:id="27"/>
    </w:p>
    <w:tbl>
      <w:tblPr>
        <w:tblStyle w:val="25"/>
        <w:tblW w:w="10185" w:type="dxa"/>
        <w:jc w:val="cente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0" w:type="dxa"/>
          <w:bottom w:w="0" w:type="dxa"/>
          <w:right w:w="0" w:type="dxa"/>
        </w:tblCellMar>
      </w:tblPr>
      <w:tblGrid>
        <w:gridCol w:w="962"/>
        <w:gridCol w:w="2293"/>
        <w:gridCol w:w="6930"/>
      </w:tblGrid>
      <w:tr w14:paraId="5DE0D20B">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Ex>
        <w:trPr>
          <w:trHeight w:val="605" w:hRule="atLeast"/>
          <w:jc w:val="center"/>
        </w:trPr>
        <w:tc>
          <w:tcPr>
            <w:tcW w:w="962" w:type="dxa"/>
            <w:tcBorders>
              <w:top w:val="single" w:color="000000" w:sz="12" w:space="0"/>
              <w:left w:val="single" w:color="000000" w:sz="12" w:space="0"/>
              <w:bottom w:val="single" w:color="000000" w:sz="6" w:space="0"/>
              <w:right w:val="single" w:color="000000" w:sz="6" w:space="0"/>
            </w:tcBorders>
            <w:vAlign w:val="center"/>
          </w:tcPr>
          <w:p w14:paraId="755606A8">
            <w:pPr>
              <w:rPr>
                <w:rStyle w:val="39"/>
                <w:rFonts w:hint="eastAsia" w:ascii="宋体" w:hAnsi="宋体"/>
                <w:b/>
                <w:szCs w:val="21"/>
              </w:rPr>
            </w:pPr>
            <w:r>
              <w:rPr>
                <w:rStyle w:val="39"/>
                <w:rFonts w:ascii="宋体" w:hAnsi="宋体"/>
                <w:b/>
                <w:szCs w:val="21"/>
              </w:rPr>
              <w:t>条款号</w:t>
            </w:r>
          </w:p>
        </w:tc>
        <w:tc>
          <w:tcPr>
            <w:tcW w:w="2293" w:type="dxa"/>
            <w:tcBorders>
              <w:top w:val="single" w:color="000000" w:sz="12" w:space="0"/>
              <w:left w:val="single" w:color="000000" w:sz="6" w:space="0"/>
              <w:bottom w:val="single" w:color="000000" w:sz="6" w:space="0"/>
              <w:right w:val="single" w:color="000000" w:sz="6" w:space="0"/>
            </w:tcBorders>
            <w:vAlign w:val="center"/>
          </w:tcPr>
          <w:p w14:paraId="324ECD8F">
            <w:pPr>
              <w:jc w:val="center"/>
              <w:rPr>
                <w:rStyle w:val="39"/>
                <w:rFonts w:hint="eastAsia" w:ascii="宋体" w:hAnsi="宋体"/>
                <w:b/>
                <w:szCs w:val="21"/>
              </w:rPr>
            </w:pPr>
            <w:r>
              <w:rPr>
                <w:rStyle w:val="39"/>
                <w:rFonts w:ascii="宋体" w:hAnsi="宋体"/>
                <w:b/>
                <w:szCs w:val="21"/>
              </w:rPr>
              <w:t>条款名称</w:t>
            </w:r>
          </w:p>
        </w:tc>
        <w:tc>
          <w:tcPr>
            <w:tcW w:w="6930" w:type="dxa"/>
            <w:tcBorders>
              <w:top w:val="single" w:color="000000" w:sz="12" w:space="0"/>
              <w:left w:val="single" w:color="000000" w:sz="6" w:space="0"/>
              <w:bottom w:val="single" w:color="000000" w:sz="6" w:space="0"/>
              <w:right w:val="single" w:color="000000" w:sz="12" w:space="0"/>
            </w:tcBorders>
            <w:vAlign w:val="center"/>
          </w:tcPr>
          <w:p w14:paraId="4D8F3A6D">
            <w:pPr>
              <w:jc w:val="center"/>
              <w:rPr>
                <w:rStyle w:val="39"/>
                <w:rFonts w:hint="eastAsia" w:ascii="宋体" w:hAnsi="宋体"/>
                <w:b/>
                <w:szCs w:val="21"/>
              </w:rPr>
            </w:pPr>
            <w:r>
              <w:rPr>
                <w:rStyle w:val="39"/>
                <w:rFonts w:ascii="宋体" w:hAnsi="宋体"/>
                <w:b/>
                <w:szCs w:val="21"/>
              </w:rPr>
              <w:t>编  列  内  容</w:t>
            </w:r>
          </w:p>
        </w:tc>
      </w:tr>
      <w:tr w14:paraId="653CA48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252F68A2">
            <w:pPr>
              <w:rPr>
                <w:rStyle w:val="39"/>
                <w:rFonts w:hint="eastAsia" w:ascii="宋体" w:hAnsi="宋体"/>
                <w:szCs w:val="21"/>
              </w:rPr>
            </w:pPr>
            <w:r>
              <w:rPr>
                <w:rStyle w:val="39"/>
                <w:rFonts w:ascii="宋体" w:hAnsi="宋体"/>
                <w:szCs w:val="21"/>
              </w:rPr>
              <w:t>1.1.2</w:t>
            </w:r>
          </w:p>
        </w:tc>
        <w:tc>
          <w:tcPr>
            <w:tcW w:w="2293" w:type="dxa"/>
            <w:tcBorders>
              <w:top w:val="single" w:color="000000" w:sz="6" w:space="0"/>
              <w:left w:val="single" w:color="000000" w:sz="6" w:space="0"/>
              <w:bottom w:val="single" w:color="000000" w:sz="6" w:space="0"/>
              <w:right w:val="single" w:color="000000" w:sz="6" w:space="0"/>
            </w:tcBorders>
            <w:vAlign w:val="center"/>
          </w:tcPr>
          <w:p w14:paraId="01E6CE31">
            <w:pPr>
              <w:rPr>
                <w:rStyle w:val="39"/>
                <w:rFonts w:hint="eastAsia" w:ascii="宋体" w:hAnsi="宋体"/>
                <w:szCs w:val="21"/>
              </w:rPr>
            </w:pPr>
            <w:r>
              <w:rPr>
                <w:rStyle w:val="39"/>
                <w:rFonts w:ascii="宋体" w:hAnsi="宋体"/>
                <w:szCs w:val="21"/>
              </w:rPr>
              <w:t>招标人</w:t>
            </w:r>
          </w:p>
        </w:tc>
        <w:tc>
          <w:tcPr>
            <w:tcW w:w="6930" w:type="dxa"/>
            <w:tcBorders>
              <w:top w:val="single" w:color="000000" w:sz="6" w:space="0"/>
              <w:left w:val="single" w:color="000000" w:sz="6" w:space="0"/>
              <w:bottom w:val="single" w:color="000000" w:sz="6" w:space="0"/>
              <w:right w:val="single" w:color="000000" w:sz="12" w:space="0"/>
            </w:tcBorders>
          </w:tcPr>
          <w:p w14:paraId="0EC2397B">
            <w:pPr>
              <w:rPr>
                <w:rStyle w:val="39"/>
                <w:rFonts w:hint="eastAsia" w:ascii="宋体" w:hAnsi="宋体"/>
                <w:szCs w:val="21"/>
              </w:rPr>
            </w:pPr>
            <w:r>
              <w:rPr>
                <w:rStyle w:val="39"/>
                <w:rFonts w:hint="eastAsia" w:ascii="宋体" w:hAnsi="宋体"/>
                <w:szCs w:val="21"/>
              </w:rPr>
              <w:t>招 标 人：中国重汽集团济南卡车股份有限公司</w:t>
            </w:r>
          </w:p>
          <w:p w14:paraId="62F17344">
            <w:pPr>
              <w:rPr>
                <w:rStyle w:val="39"/>
                <w:rFonts w:hint="eastAsia" w:ascii="宋体" w:hAnsi="宋体"/>
                <w:szCs w:val="21"/>
                <w:highlight w:val="none"/>
              </w:rPr>
            </w:pPr>
            <w:r>
              <w:rPr>
                <w:rStyle w:val="39"/>
                <w:rFonts w:ascii="宋体" w:hAnsi="宋体"/>
                <w:szCs w:val="21"/>
              </w:rPr>
              <w:t xml:space="preserve">地 </w:t>
            </w:r>
            <w:r>
              <w:rPr>
                <w:rStyle w:val="39"/>
                <w:rFonts w:hint="eastAsia" w:ascii="宋体" w:hAnsi="宋体"/>
                <w:szCs w:val="21"/>
              </w:rPr>
              <w:t xml:space="preserve">  </w:t>
            </w:r>
            <w:r>
              <w:rPr>
                <w:rStyle w:val="39"/>
                <w:rFonts w:ascii="宋体" w:hAnsi="宋体"/>
                <w:szCs w:val="21"/>
              </w:rPr>
              <w:t xml:space="preserve"> 址</w:t>
            </w:r>
            <w:r>
              <w:rPr>
                <w:rStyle w:val="39"/>
                <w:rFonts w:ascii="宋体" w:hAnsi="宋体"/>
                <w:szCs w:val="21"/>
                <w:highlight w:val="none"/>
              </w:rPr>
              <w:t>：</w:t>
            </w:r>
            <w:r>
              <w:rPr>
                <w:rStyle w:val="39"/>
                <w:rFonts w:hint="eastAsia" w:ascii="宋体" w:hAnsi="宋体"/>
                <w:szCs w:val="21"/>
                <w:highlight w:val="none"/>
              </w:rPr>
              <w:t>济南市高新区华奥路777</w:t>
            </w:r>
            <w:r>
              <w:rPr>
                <w:rStyle w:val="39"/>
                <w:rFonts w:ascii="宋体" w:hAnsi="宋体"/>
                <w:szCs w:val="21"/>
                <w:highlight w:val="none"/>
              </w:rPr>
              <w:t>号</w:t>
            </w:r>
          </w:p>
          <w:p w14:paraId="6E4B9151">
            <w:pPr>
              <w:rPr>
                <w:rStyle w:val="39"/>
                <w:rFonts w:hint="eastAsia" w:ascii="宋体" w:hAnsi="宋体"/>
                <w:szCs w:val="21"/>
                <w:highlight w:val="none"/>
              </w:rPr>
            </w:pPr>
            <w:r>
              <w:rPr>
                <w:rStyle w:val="39"/>
                <w:rFonts w:hint="eastAsia" w:ascii="宋体" w:hAnsi="宋体"/>
                <w:szCs w:val="21"/>
                <w:highlight w:val="none"/>
              </w:rPr>
              <w:t>联系人、联系电话：</w:t>
            </w:r>
          </w:p>
          <w:p w14:paraId="054C1174">
            <w:pPr>
              <w:rPr>
                <w:rStyle w:val="39"/>
                <w:rFonts w:hint="eastAsia" w:ascii="宋体" w:hAnsi="宋体"/>
                <w:szCs w:val="21"/>
                <w:highlight w:val="none"/>
              </w:rPr>
            </w:pPr>
            <w:r>
              <w:rPr>
                <w:rStyle w:val="39"/>
                <w:rFonts w:hint="eastAsia" w:ascii="宋体" w:hAnsi="宋体"/>
                <w:szCs w:val="21"/>
                <w:highlight w:val="none"/>
              </w:rPr>
              <w:t>（招标管理中心）苏启蒙17553108182</w:t>
            </w:r>
          </w:p>
          <w:p w14:paraId="5A976B05">
            <w:pPr>
              <w:rPr>
                <w:rStyle w:val="39"/>
                <w:rFonts w:hint="eastAsia" w:ascii="宋体" w:hAnsi="宋体"/>
                <w:szCs w:val="21"/>
                <w:highlight w:val="none"/>
              </w:rPr>
            </w:pPr>
            <w:r>
              <w:rPr>
                <w:rStyle w:val="39"/>
                <w:rFonts w:hint="eastAsia" w:ascii="宋体" w:hAnsi="宋体"/>
                <w:szCs w:val="21"/>
                <w:highlight w:val="none"/>
              </w:rPr>
              <w:t>（使用单位：卡车制造公司）刘富强17860603679</w:t>
            </w:r>
          </w:p>
          <w:p w14:paraId="5721688A">
            <w:pPr>
              <w:rPr>
                <w:rStyle w:val="39"/>
                <w:rFonts w:hint="eastAsia" w:ascii="宋体" w:hAnsi="宋体"/>
              </w:rPr>
            </w:pPr>
            <w:r>
              <w:rPr>
                <w:rStyle w:val="39"/>
                <w:rFonts w:hint="eastAsia" w:ascii="宋体" w:hAnsi="宋体"/>
                <w:szCs w:val="21"/>
                <w:highlight w:val="none"/>
              </w:rPr>
              <w:t>电子邮件：17553108182</w:t>
            </w:r>
            <w:r>
              <w:rPr>
                <w:rStyle w:val="39"/>
                <w:rFonts w:ascii="宋体" w:hAnsi="宋体"/>
                <w:szCs w:val="21"/>
                <w:highlight w:val="none"/>
              </w:rPr>
              <w:t>@sinotruk.com</w:t>
            </w:r>
          </w:p>
        </w:tc>
      </w:tr>
      <w:tr w14:paraId="0A2B0C5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692"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7ECE4072">
            <w:pPr>
              <w:rPr>
                <w:rStyle w:val="39"/>
                <w:rFonts w:hint="eastAsia" w:ascii="宋体" w:hAnsi="宋体"/>
                <w:szCs w:val="21"/>
              </w:rPr>
            </w:pPr>
            <w:r>
              <w:rPr>
                <w:rStyle w:val="39"/>
                <w:rFonts w:ascii="宋体" w:hAnsi="宋体"/>
                <w:szCs w:val="21"/>
              </w:rPr>
              <w:t>1.1.4</w:t>
            </w:r>
          </w:p>
        </w:tc>
        <w:tc>
          <w:tcPr>
            <w:tcW w:w="2293" w:type="dxa"/>
            <w:tcBorders>
              <w:top w:val="single" w:color="000000" w:sz="6" w:space="0"/>
              <w:left w:val="single" w:color="000000" w:sz="6" w:space="0"/>
              <w:bottom w:val="single" w:color="000000" w:sz="6" w:space="0"/>
              <w:right w:val="single" w:color="000000" w:sz="6" w:space="0"/>
            </w:tcBorders>
            <w:vAlign w:val="center"/>
          </w:tcPr>
          <w:p w14:paraId="34A12146">
            <w:pPr>
              <w:rPr>
                <w:rStyle w:val="39"/>
                <w:rFonts w:hint="eastAsia" w:ascii="宋体" w:hAnsi="宋体"/>
                <w:szCs w:val="21"/>
              </w:rPr>
            </w:pPr>
            <w:r>
              <w:rPr>
                <w:rStyle w:val="39"/>
                <w:rFonts w:ascii="宋体" w:hAnsi="宋体"/>
                <w:szCs w:val="21"/>
              </w:rPr>
              <w:t>项目名称</w:t>
            </w:r>
          </w:p>
        </w:tc>
        <w:tc>
          <w:tcPr>
            <w:tcW w:w="6930" w:type="dxa"/>
            <w:tcBorders>
              <w:top w:val="single" w:color="000000" w:sz="6" w:space="0"/>
              <w:left w:val="single" w:color="000000" w:sz="6" w:space="0"/>
              <w:bottom w:val="single" w:color="000000" w:sz="6" w:space="0"/>
              <w:right w:val="single" w:color="000000" w:sz="12" w:space="0"/>
            </w:tcBorders>
            <w:vAlign w:val="center"/>
          </w:tcPr>
          <w:p w14:paraId="22770ACF">
            <w:pPr>
              <w:spacing w:line="276" w:lineRule="auto"/>
              <w:rPr>
                <w:rStyle w:val="39"/>
                <w:rFonts w:hint="eastAsia" w:ascii="宋体" w:hAnsi="宋体"/>
                <w:szCs w:val="21"/>
              </w:rPr>
            </w:pPr>
            <w:r>
              <w:rPr>
                <w:rStyle w:val="39"/>
                <w:rFonts w:hint="eastAsia" w:ascii="宋体" w:hAnsi="宋体"/>
                <w:szCs w:val="21"/>
              </w:rPr>
              <w:t>济南卡车制造公司莱芜厂区新建大棚及地面硬化技改项目、辊压线废料再利用技改项目工程施工</w:t>
            </w:r>
          </w:p>
        </w:tc>
      </w:tr>
      <w:tr w14:paraId="6CDE8CE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87"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3FC1B2E1">
            <w:pPr>
              <w:rPr>
                <w:rStyle w:val="39"/>
                <w:rFonts w:hint="eastAsia" w:ascii="宋体" w:hAnsi="宋体"/>
                <w:szCs w:val="21"/>
              </w:rPr>
            </w:pPr>
            <w:r>
              <w:rPr>
                <w:rStyle w:val="39"/>
                <w:rFonts w:ascii="宋体" w:hAnsi="宋体"/>
                <w:szCs w:val="21"/>
              </w:rPr>
              <w:t>1.1.</w:t>
            </w:r>
            <w:r>
              <w:rPr>
                <w:rStyle w:val="39"/>
                <w:rFonts w:hint="eastAsia" w:ascii="宋体" w:hAnsi="宋体"/>
                <w:szCs w:val="21"/>
              </w:rPr>
              <w:t>5</w:t>
            </w:r>
          </w:p>
        </w:tc>
        <w:tc>
          <w:tcPr>
            <w:tcW w:w="2293" w:type="dxa"/>
            <w:tcBorders>
              <w:top w:val="single" w:color="000000" w:sz="6" w:space="0"/>
              <w:left w:val="single" w:color="000000" w:sz="6" w:space="0"/>
              <w:bottom w:val="single" w:color="000000" w:sz="6" w:space="0"/>
              <w:right w:val="single" w:color="000000" w:sz="6" w:space="0"/>
            </w:tcBorders>
            <w:vAlign w:val="center"/>
          </w:tcPr>
          <w:p w14:paraId="733B4C84">
            <w:pPr>
              <w:spacing w:line="276" w:lineRule="auto"/>
              <w:rPr>
                <w:rStyle w:val="39"/>
                <w:rFonts w:hint="eastAsia" w:ascii="宋体" w:hAnsi="宋体"/>
                <w:szCs w:val="21"/>
              </w:rPr>
            </w:pPr>
            <w:r>
              <w:rPr>
                <w:rStyle w:val="39"/>
                <w:rFonts w:ascii="宋体" w:hAnsi="宋体"/>
                <w:szCs w:val="21"/>
              </w:rPr>
              <w:t>建设地点</w:t>
            </w:r>
          </w:p>
        </w:tc>
        <w:tc>
          <w:tcPr>
            <w:tcW w:w="6930" w:type="dxa"/>
            <w:tcBorders>
              <w:top w:val="single" w:color="000000" w:sz="6" w:space="0"/>
              <w:left w:val="single" w:color="000000" w:sz="6" w:space="0"/>
              <w:bottom w:val="single" w:color="000000" w:sz="6" w:space="0"/>
              <w:right w:val="single" w:color="000000" w:sz="12" w:space="0"/>
            </w:tcBorders>
            <w:vAlign w:val="center"/>
          </w:tcPr>
          <w:p w14:paraId="3FD70F74">
            <w:pPr>
              <w:spacing w:line="276" w:lineRule="auto"/>
              <w:rPr>
                <w:rStyle w:val="39"/>
                <w:rFonts w:hint="eastAsia" w:ascii="宋体" w:hAnsi="宋体"/>
                <w:szCs w:val="21"/>
              </w:rPr>
            </w:pPr>
            <w:r>
              <w:rPr>
                <w:rStyle w:val="39"/>
                <w:rFonts w:ascii="宋体" w:hAnsi="宋体"/>
                <w:szCs w:val="21"/>
              </w:rPr>
              <w:t>济南市</w:t>
            </w:r>
            <w:r>
              <w:rPr>
                <w:rStyle w:val="39"/>
                <w:rFonts w:hint="eastAsia" w:ascii="宋体" w:hAnsi="宋体"/>
                <w:szCs w:val="21"/>
              </w:rPr>
              <w:t>莱芜区</w:t>
            </w:r>
          </w:p>
        </w:tc>
      </w:tr>
      <w:tr w14:paraId="7EDCEFAF">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65"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32E47247">
            <w:pPr>
              <w:rPr>
                <w:rStyle w:val="39"/>
                <w:rFonts w:hint="eastAsia" w:ascii="宋体" w:hAnsi="宋体"/>
                <w:szCs w:val="21"/>
              </w:rPr>
            </w:pPr>
            <w:r>
              <w:rPr>
                <w:rStyle w:val="39"/>
                <w:rFonts w:ascii="宋体" w:hAnsi="宋体"/>
                <w:szCs w:val="21"/>
              </w:rPr>
              <w:t>1.2.1</w:t>
            </w:r>
          </w:p>
        </w:tc>
        <w:tc>
          <w:tcPr>
            <w:tcW w:w="2293" w:type="dxa"/>
            <w:tcBorders>
              <w:top w:val="single" w:color="000000" w:sz="6" w:space="0"/>
              <w:left w:val="single" w:color="000000" w:sz="6" w:space="0"/>
              <w:bottom w:val="single" w:color="000000" w:sz="6" w:space="0"/>
              <w:right w:val="single" w:color="000000" w:sz="6" w:space="0"/>
            </w:tcBorders>
            <w:vAlign w:val="center"/>
          </w:tcPr>
          <w:p w14:paraId="30B4C8A9">
            <w:pPr>
              <w:rPr>
                <w:rStyle w:val="39"/>
                <w:rFonts w:hint="eastAsia" w:ascii="宋体" w:hAnsi="宋体"/>
                <w:szCs w:val="21"/>
              </w:rPr>
            </w:pPr>
            <w:r>
              <w:rPr>
                <w:rStyle w:val="39"/>
                <w:rFonts w:ascii="宋体" w:hAnsi="宋体"/>
                <w:szCs w:val="21"/>
              </w:rPr>
              <w:t>资金来源</w:t>
            </w:r>
          </w:p>
        </w:tc>
        <w:tc>
          <w:tcPr>
            <w:tcW w:w="6930" w:type="dxa"/>
            <w:tcBorders>
              <w:top w:val="single" w:color="000000" w:sz="6" w:space="0"/>
              <w:left w:val="single" w:color="000000" w:sz="6" w:space="0"/>
              <w:bottom w:val="single" w:color="000000" w:sz="6" w:space="0"/>
              <w:right w:val="single" w:color="000000" w:sz="12" w:space="0"/>
            </w:tcBorders>
            <w:vAlign w:val="center"/>
          </w:tcPr>
          <w:p w14:paraId="7533CD87">
            <w:pPr>
              <w:spacing w:line="276" w:lineRule="auto"/>
              <w:rPr>
                <w:rStyle w:val="39"/>
                <w:rFonts w:hint="eastAsia" w:ascii="宋体" w:hAnsi="宋体"/>
                <w:szCs w:val="21"/>
              </w:rPr>
            </w:pPr>
            <w:r>
              <w:rPr>
                <w:rStyle w:val="39"/>
                <w:rFonts w:ascii="宋体" w:hAnsi="宋体"/>
                <w:szCs w:val="21"/>
              </w:rPr>
              <w:t>自筹</w:t>
            </w:r>
          </w:p>
        </w:tc>
      </w:tr>
      <w:tr w14:paraId="4DFBABB5">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59"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062130F3">
            <w:pPr>
              <w:rPr>
                <w:rStyle w:val="39"/>
                <w:rFonts w:hint="eastAsia" w:ascii="宋体" w:hAnsi="宋体"/>
                <w:szCs w:val="21"/>
              </w:rPr>
            </w:pPr>
            <w:r>
              <w:rPr>
                <w:rStyle w:val="39"/>
                <w:rFonts w:ascii="宋体" w:hAnsi="宋体"/>
                <w:szCs w:val="21"/>
              </w:rPr>
              <w:t>1.2.2</w:t>
            </w:r>
          </w:p>
        </w:tc>
        <w:tc>
          <w:tcPr>
            <w:tcW w:w="2293" w:type="dxa"/>
            <w:tcBorders>
              <w:top w:val="single" w:color="000000" w:sz="6" w:space="0"/>
              <w:left w:val="single" w:color="000000" w:sz="6" w:space="0"/>
              <w:bottom w:val="single" w:color="000000" w:sz="6" w:space="0"/>
              <w:right w:val="single" w:color="000000" w:sz="6" w:space="0"/>
            </w:tcBorders>
            <w:vAlign w:val="center"/>
          </w:tcPr>
          <w:p w14:paraId="59AF7142">
            <w:pPr>
              <w:rPr>
                <w:rStyle w:val="39"/>
                <w:rFonts w:hint="eastAsia" w:ascii="宋体" w:hAnsi="宋体"/>
                <w:szCs w:val="21"/>
              </w:rPr>
            </w:pPr>
            <w:r>
              <w:rPr>
                <w:rStyle w:val="39"/>
                <w:rFonts w:ascii="宋体" w:hAnsi="宋体"/>
                <w:szCs w:val="21"/>
              </w:rPr>
              <w:t>出资比例</w:t>
            </w:r>
          </w:p>
        </w:tc>
        <w:tc>
          <w:tcPr>
            <w:tcW w:w="6930" w:type="dxa"/>
            <w:tcBorders>
              <w:top w:val="single" w:color="000000" w:sz="6" w:space="0"/>
              <w:left w:val="single" w:color="000000" w:sz="6" w:space="0"/>
              <w:bottom w:val="single" w:color="000000" w:sz="6" w:space="0"/>
              <w:right w:val="single" w:color="000000" w:sz="12" w:space="0"/>
            </w:tcBorders>
            <w:vAlign w:val="center"/>
          </w:tcPr>
          <w:p w14:paraId="5AF2059C">
            <w:pPr>
              <w:spacing w:line="276" w:lineRule="auto"/>
              <w:rPr>
                <w:rStyle w:val="39"/>
                <w:rFonts w:hint="eastAsia" w:ascii="宋体" w:hAnsi="宋体"/>
                <w:szCs w:val="21"/>
              </w:rPr>
            </w:pPr>
            <w:r>
              <w:rPr>
                <w:rStyle w:val="39"/>
                <w:rFonts w:ascii="宋体" w:hAnsi="宋体"/>
                <w:szCs w:val="21"/>
              </w:rPr>
              <w:t>100%</w:t>
            </w:r>
          </w:p>
        </w:tc>
      </w:tr>
      <w:tr w14:paraId="2CBEC502">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53"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676E3480">
            <w:pPr>
              <w:rPr>
                <w:rStyle w:val="39"/>
                <w:rFonts w:hint="eastAsia" w:ascii="宋体" w:hAnsi="宋体"/>
                <w:szCs w:val="21"/>
              </w:rPr>
            </w:pPr>
            <w:r>
              <w:rPr>
                <w:rStyle w:val="39"/>
                <w:rFonts w:ascii="宋体" w:hAnsi="宋体"/>
                <w:szCs w:val="21"/>
              </w:rPr>
              <w:t>1.2.3</w:t>
            </w:r>
          </w:p>
        </w:tc>
        <w:tc>
          <w:tcPr>
            <w:tcW w:w="2293" w:type="dxa"/>
            <w:tcBorders>
              <w:top w:val="single" w:color="000000" w:sz="6" w:space="0"/>
              <w:left w:val="single" w:color="000000" w:sz="6" w:space="0"/>
              <w:bottom w:val="single" w:color="000000" w:sz="6" w:space="0"/>
              <w:right w:val="single" w:color="000000" w:sz="6" w:space="0"/>
            </w:tcBorders>
            <w:vAlign w:val="center"/>
          </w:tcPr>
          <w:p w14:paraId="42B9D48B">
            <w:pPr>
              <w:rPr>
                <w:rStyle w:val="39"/>
                <w:rFonts w:hint="eastAsia" w:ascii="宋体" w:hAnsi="宋体"/>
                <w:szCs w:val="21"/>
              </w:rPr>
            </w:pPr>
            <w:r>
              <w:rPr>
                <w:rStyle w:val="39"/>
                <w:rFonts w:ascii="宋体" w:hAnsi="宋体"/>
                <w:szCs w:val="21"/>
              </w:rPr>
              <w:t>资金落实情况</w:t>
            </w:r>
          </w:p>
        </w:tc>
        <w:tc>
          <w:tcPr>
            <w:tcW w:w="6930" w:type="dxa"/>
            <w:tcBorders>
              <w:top w:val="single" w:color="000000" w:sz="6" w:space="0"/>
              <w:left w:val="single" w:color="000000" w:sz="6" w:space="0"/>
              <w:bottom w:val="single" w:color="000000" w:sz="6" w:space="0"/>
              <w:right w:val="single" w:color="000000" w:sz="12" w:space="0"/>
            </w:tcBorders>
            <w:vAlign w:val="center"/>
          </w:tcPr>
          <w:p w14:paraId="7A0454A2">
            <w:pPr>
              <w:spacing w:line="276" w:lineRule="auto"/>
              <w:rPr>
                <w:rStyle w:val="39"/>
                <w:rFonts w:hint="eastAsia" w:ascii="宋体" w:hAnsi="宋体"/>
                <w:szCs w:val="21"/>
              </w:rPr>
            </w:pPr>
            <w:r>
              <w:rPr>
                <w:rStyle w:val="39"/>
                <w:rFonts w:ascii="宋体" w:hAnsi="宋体"/>
                <w:szCs w:val="21"/>
              </w:rPr>
              <w:t>已落实</w:t>
            </w:r>
          </w:p>
        </w:tc>
      </w:tr>
      <w:tr w14:paraId="19298F37">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67" w:hRule="atLeas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20C38581">
            <w:pPr>
              <w:rPr>
                <w:rStyle w:val="39"/>
                <w:rFonts w:hint="eastAsia" w:ascii="宋体" w:hAnsi="宋体"/>
                <w:szCs w:val="21"/>
              </w:rPr>
            </w:pPr>
            <w:r>
              <w:rPr>
                <w:rStyle w:val="39"/>
                <w:rFonts w:ascii="宋体" w:hAnsi="宋体"/>
                <w:szCs w:val="21"/>
              </w:rPr>
              <w:t>1.3.1</w:t>
            </w:r>
          </w:p>
        </w:tc>
        <w:tc>
          <w:tcPr>
            <w:tcW w:w="2293" w:type="dxa"/>
            <w:tcBorders>
              <w:top w:val="single" w:color="000000" w:sz="6" w:space="0"/>
              <w:left w:val="single" w:color="000000" w:sz="6" w:space="0"/>
              <w:bottom w:val="single" w:color="000000" w:sz="6" w:space="0"/>
              <w:right w:val="single" w:color="000000" w:sz="6" w:space="0"/>
            </w:tcBorders>
            <w:vAlign w:val="center"/>
          </w:tcPr>
          <w:p w14:paraId="5A4DDF06">
            <w:pPr>
              <w:rPr>
                <w:rStyle w:val="39"/>
                <w:rFonts w:hint="eastAsia" w:ascii="宋体" w:hAnsi="宋体"/>
                <w:szCs w:val="21"/>
              </w:rPr>
            </w:pPr>
            <w:r>
              <w:rPr>
                <w:rStyle w:val="39"/>
                <w:rFonts w:ascii="宋体" w:hAnsi="宋体"/>
                <w:szCs w:val="21"/>
              </w:rPr>
              <w:t>招标范围</w:t>
            </w:r>
          </w:p>
        </w:tc>
        <w:tc>
          <w:tcPr>
            <w:tcW w:w="6930" w:type="dxa"/>
            <w:tcBorders>
              <w:top w:val="single" w:color="000000" w:sz="6" w:space="0"/>
              <w:left w:val="single" w:color="000000" w:sz="6" w:space="0"/>
              <w:bottom w:val="single" w:color="000000" w:sz="6" w:space="0"/>
              <w:right w:val="single" w:color="000000" w:sz="12" w:space="0"/>
            </w:tcBorders>
          </w:tcPr>
          <w:p w14:paraId="1E485309">
            <w:pPr>
              <w:rPr>
                <w:rStyle w:val="39"/>
                <w:rFonts w:hint="eastAsia" w:ascii="宋体" w:hAnsi="宋体" w:eastAsia="宋体" w:cs="Times New Roman"/>
                <w:kern w:val="2"/>
                <w:sz w:val="21"/>
                <w:szCs w:val="21"/>
                <w:lang w:val="en-US" w:eastAsia="zh-CN" w:bidi="ar-SA"/>
              </w:rPr>
            </w:pPr>
            <w:r>
              <w:rPr>
                <w:rStyle w:val="39"/>
                <w:rFonts w:hint="eastAsia" w:ascii="宋体" w:hAnsi="宋体"/>
                <w:szCs w:val="21"/>
              </w:rPr>
              <w:t>（1）莱芜厂区新建大棚及地面硬化技改项目：为满足下线车辆停放要求，改善员工作业环境，</w:t>
            </w:r>
            <w:r>
              <w:rPr>
                <w:rStyle w:val="39"/>
                <w:rFonts w:hint="eastAsia" w:ascii="宋体" w:hAnsi="宋体" w:eastAsia="宋体" w:cs="Times New Roman"/>
                <w:kern w:val="2"/>
                <w:sz w:val="21"/>
                <w:szCs w:val="21"/>
                <w:lang w:val="en-US" w:eastAsia="zh-CN" w:bidi="ar-SA"/>
              </w:rPr>
              <w:t>在试制车间西侧新建调试大棚（建筑面积约1031㎡）；恒温库北侧区域进行地面硬化（面积约1595㎡）</w:t>
            </w:r>
            <w:r>
              <w:rPr>
                <w:rStyle w:val="39"/>
                <w:rFonts w:hint="eastAsia" w:ascii="宋体" w:hAnsi="宋体"/>
                <w:szCs w:val="21"/>
              </w:rPr>
              <w:t>等。本次招标范围为本批复内的室内外建安施工内容。</w:t>
            </w:r>
            <w:r>
              <w:rPr>
                <w:rStyle w:val="39"/>
                <w:rFonts w:hint="eastAsia" w:ascii="宋体" w:hAnsi="宋体" w:eastAsia="宋体" w:cs="Times New Roman"/>
                <w:kern w:val="2"/>
                <w:sz w:val="21"/>
                <w:szCs w:val="21"/>
                <w:lang w:val="en-US" w:eastAsia="zh-CN" w:bidi="ar-SA"/>
              </w:rPr>
              <w:t>(以最终规划面积为准，属于政府报建项目)</w:t>
            </w:r>
          </w:p>
          <w:p w14:paraId="0FBAAC9C">
            <w:pPr>
              <w:rPr>
                <w:rStyle w:val="39"/>
                <w:rFonts w:hint="eastAsia" w:ascii="宋体" w:hAnsi="宋体" w:eastAsia="宋体" w:cs="Times New Roman"/>
                <w:kern w:val="2"/>
                <w:sz w:val="21"/>
                <w:szCs w:val="21"/>
                <w:lang w:val="en-US" w:eastAsia="zh-CN" w:bidi="ar-SA"/>
              </w:rPr>
            </w:pPr>
            <w:r>
              <w:rPr>
                <w:rStyle w:val="39"/>
                <w:rFonts w:hint="eastAsia" w:ascii="宋体" w:hAnsi="宋体"/>
                <w:szCs w:val="21"/>
              </w:rPr>
              <w:t>（2）莱芜厂区辊压线废料再利用技改项目：提升辊压线余料利用率，在纵梁加工车间外东侧，</w:t>
            </w:r>
            <w:r>
              <w:rPr>
                <w:rStyle w:val="39"/>
                <w:rFonts w:hint="eastAsia" w:ascii="宋体" w:hAnsi="宋体" w:eastAsia="宋体" w:cs="Times New Roman"/>
                <w:kern w:val="2"/>
                <w:sz w:val="21"/>
                <w:szCs w:val="21"/>
                <w:lang w:val="en-US" w:eastAsia="zh-CN" w:bidi="ar-SA"/>
              </w:rPr>
              <w:t>新建仓库（建筑面积约556㎡）及雨棚（建筑面积约57㎡）等</w:t>
            </w:r>
            <w:r>
              <w:rPr>
                <w:rStyle w:val="39"/>
                <w:rFonts w:hint="eastAsia" w:ascii="宋体" w:hAnsi="宋体"/>
                <w:szCs w:val="21"/>
              </w:rPr>
              <w:t>本次招标范围为本批复内的室内外建安施工内容。</w:t>
            </w:r>
            <w:r>
              <w:rPr>
                <w:rStyle w:val="39"/>
                <w:rFonts w:hint="eastAsia" w:ascii="宋体" w:hAnsi="宋体" w:eastAsia="宋体" w:cs="Times New Roman"/>
                <w:kern w:val="2"/>
                <w:sz w:val="21"/>
                <w:szCs w:val="21"/>
                <w:lang w:val="en-US" w:eastAsia="zh-CN" w:bidi="ar-SA"/>
              </w:rPr>
              <w:t>(以最终规划面积为准，属于政府报建项目)</w:t>
            </w:r>
          </w:p>
          <w:p w14:paraId="1FA5F36D">
            <w:pPr>
              <w:pStyle w:val="2"/>
              <w:ind w:left="0" w:leftChars="0" w:firstLine="0" w:firstLineChars="0"/>
              <w:rPr>
                <w:rStyle w:val="39"/>
                <w:rFonts w:hint="eastAsia" w:ascii="宋体" w:hAnsi="宋体"/>
              </w:rPr>
            </w:pPr>
            <w:r>
              <w:rPr>
                <w:rStyle w:val="39"/>
                <w:rFonts w:hint="eastAsia" w:ascii="宋体" w:hAnsi="宋体"/>
                <w:szCs w:val="21"/>
              </w:rPr>
              <w:t>本次招标范围包括但不限于施工图纸范围内的全部工作内容的施工、验收及质量保修，以及设计变更、补充（设备基础、机电二次侧），以及清单外新增施工内容等。具体详见招标文件、图纸及工程量清单。</w:t>
            </w:r>
          </w:p>
        </w:tc>
      </w:tr>
      <w:tr w14:paraId="753BCEB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1105" w:hRule="atLeas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1D8F3536">
            <w:pPr>
              <w:rPr>
                <w:rStyle w:val="39"/>
                <w:rFonts w:hint="eastAsia" w:ascii="宋体" w:hAnsi="宋体"/>
                <w:szCs w:val="21"/>
              </w:rPr>
            </w:pPr>
            <w:r>
              <w:rPr>
                <w:rStyle w:val="39"/>
                <w:rFonts w:ascii="宋体" w:hAnsi="宋体"/>
                <w:szCs w:val="21"/>
              </w:rPr>
              <w:t>1.3.2</w:t>
            </w:r>
          </w:p>
        </w:tc>
        <w:tc>
          <w:tcPr>
            <w:tcW w:w="2293" w:type="dxa"/>
            <w:tcBorders>
              <w:top w:val="single" w:color="000000" w:sz="6" w:space="0"/>
              <w:left w:val="single" w:color="000000" w:sz="6" w:space="0"/>
              <w:bottom w:val="single" w:color="000000" w:sz="6" w:space="0"/>
              <w:right w:val="single" w:color="000000" w:sz="6" w:space="0"/>
            </w:tcBorders>
            <w:vAlign w:val="center"/>
          </w:tcPr>
          <w:p w14:paraId="7845EFB2">
            <w:pPr>
              <w:spacing w:line="276" w:lineRule="auto"/>
              <w:rPr>
                <w:rFonts w:hint="eastAsia" w:ascii="宋体" w:hAnsi="宋体" w:cs="宋体"/>
                <w:b/>
                <w:bCs/>
                <w:szCs w:val="21"/>
              </w:rPr>
            </w:pPr>
            <w:r>
              <w:rPr>
                <w:rStyle w:val="39"/>
                <w:rFonts w:hint="eastAsia" w:ascii="宋体" w:hAnsi="宋体" w:cs="宋体"/>
                <w:b/>
                <w:bCs/>
                <w:szCs w:val="21"/>
              </w:rPr>
              <w:t>计划工期</w:t>
            </w:r>
          </w:p>
        </w:tc>
        <w:tc>
          <w:tcPr>
            <w:tcW w:w="6930" w:type="dxa"/>
            <w:tcBorders>
              <w:top w:val="single" w:color="000000" w:sz="6" w:space="0"/>
              <w:left w:val="single" w:color="000000" w:sz="6" w:space="0"/>
              <w:bottom w:val="single" w:color="000000" w:sz="6" w:space="0"/>
              <w:right w:val="single" w:color="000000" w:sz="12" w:space="0"/>
            </w:tcBorders>
          </w:tcPr>
          <w:p w14:paraId="05F6E0CF">
            <w:pPr>
              <w:pStyle w:val="2"/>
              <w:numPr>
                <w:ilvl w:val="0"/>
                <w:numId w:val="6"/>
              </w:numPr>
              <w:ind w:left="0" w:leftChars="0" w:firstLine="0" w:firstLineChars="0"/>
              <w:rPr>
                <w:rStyle w:val="39"/>
                <w:rFonts w:hint="eastAsia" w:ascii="宋体" w:hAnsi="宋体"/>
                <w:szCs w:val="21"/>
                <w:highlight w:val="none"/>
              </w:rPr>
            </w:pPr>
            <w:r>
              <w:rPr>
                <w:rStyle w:val="39"/>
                <w:rFonts w:hint="eastAsia" w:ascii="宋体" w:hAnsi="宋体"/>
                <w:szCs w:val="21"/>
                <w:highlight w:val="none"/>
              </w:rPr>
              <w:t>莱芜厂区新建大棚及地面硬化技改项目：</w:t>
            </w:r>
          </w:p>
          <w:p w14:paraId="0FD11B58">
            <w:pPr>
              <w:spacing w:line="276" w:lineRule="auto"/>
              <w:ind w:firstLine="210" w:firstLineChars="100"/>
              <w:rPr>
                <w:highlight w:val="none"/>
              </w:rPr>
            </w:pPr>
            <w:r>
              <w:rPr>
                <w:rFonts w:hint="eastAsia"/>
                <w:highlight w:val="none"/>
              </w:rPr>
              <w:t>计划总工期：</w:t>
            </w:r>
            <w:r>
              <w:rPr>
                <w:rFonts w:hint="eastAsia"/>
                <w:highlight w:val="none"/>
                <w:lang w:val="en-US" w:eastAsia="zh-CN"/>
              </w:rPr>
              <w:t>4</w:t>
            </w:r>
            <w:r>
              <w:rPr>
                <w:rFonts w:hint="eastAsia"/>
                <w:highlight w:val="none"/>
              </w:rPr>
              <w:t>0日历天；</w:t>
            </w:r>
          </w:p>
          <w:p w14:paraId="24481D08">
            <w:pPr>
              <w:spacing w:line="276" w:lineRule="auto"/>
              <w:ind w:firstLine="210" w:firstLineChars="100"/>
              <w:rPr>
                <w:highlight w:val="none"/>
              </w:rPr>
            </w:pPr>
            <w:r>
              <w:rPr>
                <w:rFonts w:hint="eastAsia"/>
                <w:highlight w:val="none"/>
              </w:rPr>
              <w:t>计划开工日期：202</w:t>
            </w:r>
            <w:r>
              <w:rPr>
                <w:rFonts w:hint="eastAsia"/>
                <w:highlight w:val="none"/>
                <w:lang w:val="en-US" w:eastAsia="zh-CN"/>
              </w:rPr>
              <w:t>6</w:t>
            </w:r>
            <w:r>
              <w:rPr>
                <w:rFonts w:hint="eastAsia"/>
                <w:highlight w:val="none"/>
              </w:rPr>
              <w:t>年</w:t>
            </w:r>
            <w:r>
              <w:rPr>
                <w:rFonts w:hint="eastAsia"/>
                <w:highlight w:val="none"/>
                <w:lang w:val="en-US" w:eastAsia="zh-CN"/>
              </w:rPr>
              <w:t>1</w:t>
            </w:r>
            <w:r>
              <w:rPr>
                <w:rFonts w:hint="eastAsia"/>
                <w:highlight w:val="none"/>
              </w:rPr>
              <w:t>月</w:t>
            </w:r>
            <w:r>
              <w:rPr>
                <w:rFonts w:hint="eastAsia"/>
                <w:highlight w:val="none"/>
                <w:lang w:val="en-US" w:eastAsia="zh-CN"/>
              </w:rPr>
              <w:t>1</w:t>
            </w:r>
            <w:r>
              <w:rPr>
                <w:rFonts w:hint="eastAsia"/>
                <w:highlight w:val="none"/>
              </w:rPr>
              <w:t>日（以招标人开工令为准）；</w:t>
            </w:r>
          </w:p>
          <w:p w14:paraId="08848A20">
            <w:pPr>
              <w:spacing w:line="276" w:lineRule="auto"/>
              <w:ind w:firstLine="210" w:firstLineChars="100"/>
              <w:rPr>
                <w:b w:val="0"/>
                <w:bCs w:val="0"/>
                <w:highlight w:val="none"/>
              </w:rPr>
            </w:pPr>
            <w:r>
              <w:rPr>
                <w:rFonts w:hint="eastAsia"/>
                <w:highlight w:val="none"/>
              </w:rPr>
              <w:t>计划竣工</w:t>
            </w:r>
            <w:r>
              <w:rPr>
                <w:rFonts w:hint="eastAsia"/>
                <w:b w:val="0"/>
                <w:bCs w:val="0"/>
                <w:highlight w:val="none"/>
              </w:rPr>
              <w:t>日期：2026年</w:t>
            </w:r>
            <w:r>
              <w:rPr>
                <w:rFonts w:hint="eastAsia"/>
                <w:b w:val="0"/>
                <w:bCs w:val="0"/>
                <w:highlight w:val="none"/>
                <w:lang w:val="en-US" w:eastAsia="zh-CN"/>
              </w:rPr>
              <w:t>2</w:t>
            </w:r>
            <w:r>
              <w:rPr>
                <w:rFonts w:hint="eastAsia"/>
                <w:b w:val="0"/>
                <w:bCs w:val="0"/>
                <w:highlight w:val="none"/>
              </w:rPr>
              <w:t>月</w:t>
            </w:r>
            <w:r>
              <w:rPr>
                <w:rFonts w:hint="eastAsia"/>
                <w:b w:val="0"/>
                <w:bCs w:val="0"/>
                <w:highlight w:val="none"/>
                <w:lang w:val="en-US" w:eastAsia="zh-CN"/>
              </w:rPr>
              <w:t>9</w:t>
            </w:r>
            <w:r>
              <w:rPr>
                <w:rFonts w:hint="eastAsia"/>
                <w:b w:val="0"/>
                <w:bCs w:val="0"/>
                <w:highlight w:val="none"/>
              </w:rPr>
              <w:t>日</w:t>
            </w:r>
          </w:p>
          <w:p w14:paraId="0315E4A0">
            <w:pPr>
              <w:pStyle w:val="4"/>
              <w:rPr>
                <w:rFonts w:hint="eastAsia"/>
                <w:b w:val="0"/>
                <w:bCs w:val="0"/>
                <w:highlight w:val="none"/>
                <w:lang w:val="en-US" w:eastAsia="zh-CN"/>
              </w:rPr>
            </w:pPr>
            <w:r>
              <w:rPr>
                <w:rFonts w:hint="eastAsia"/>
                <w:b w:val="0"/>
                <w:bCs w:val="0"/>
                <w:highlight w:val="none"/>
                <w:lang w:val="en-US" w:eastAsia="zh-CN"/>
              </w:rPr>
              <w:t>关键节点：地面硬化、大棚基础回填完成：2016年1月20日前</w:t>
            </w:r>
          </w:p>
          <w:p w14:paraId="3E08F668">
            <w:pPr>
              <w:pStyle w:val="4"/>
              <w:rPr>
                <w:rFonts w:hint="eastAsia"/>
                <w:b w:val="0"/>
                <w:bCs w:val="0"/>
                <w:highlight w:val="none"/>
                <w:lang w:val="en-US" w:eastAsia="zh-CN"/>
              </w:rPr>
            </w:pPr>
            <w:r>
              <w:rPr>
                <w:rFonts w:hint="eastAsia"/>
                <w:b w:val="0"/>
                <w:bCs w:val="0"/>
                <w:highlight w:val="none"/>
                <w:lang w:val="en-US" w:eastAsia="zh-CN"/>
              </w:rPr>
              <w:t>主体结构完成：2026年2月9日前</w:t>
            </w:r>
          </w:p>
          <w:p w14:paraId="24F51C66">
            <w:pPr>
              <w:rPr>
                <w:rFonts w:hint="default"/>
                <w:b w:val="0"/>
                <w:bCs w:val="0"/>
                <w:highlight w:val="none"/>
                <w:lang w:val="en-US" w:eastAsia="zh-CN"/>
              </w:rPr>
            </w:pPr>
          </w:p>
          <w:p w14:paraId="0DF7C6C5">
            <w:pPr>
              <w:pStyle w:val="2"/>
              <w:ind w:left="0" w:leftChars="0" w:firstLine="0" w:firstLineChars="0"/>
              <w:rPr>
                <w:rStyle w:val="39"/>
                <w:rFonts w:hint="eastAsia" w:ascii="宋体" w:hAnsi="宋体"/>
                <w:b w:val="0"/>
                <w:bCs w:val="0"/>
                <w:szCs w:val="21"/>
                <w:highlight w:val="none"/>
              </w:rPr>
            </w:pPr>
            <w:r>
              <w:rPr>
                <w:rStyle w:val="39"/>
                <w:rFonts w:hint="eastAsia" w:ascii="宋体" w:hAnsi="宋体"/>
                <w:b w:val="0"/>
                <w:bCs w:val="0"/>
                <w:szCs w:val="21"/>
                <w:highlight w:val="none"/>
              </w:rPr>
              <w:t>（2）莱芜厂区辊压线废料再利用技改项目：</w:t>
            </w:r>
          </w:p>
          <w:p w14:paraId="6E147691">
            <w:pPr>
              <w:spacing w:line="276" w:lineRule="auto"/>
              <w:ind w:firstLine="210" w:firstLineChars="100"/>
              <w:rPr>
                <w:b w:val="0"/>
                <w:bCs w:val="0"/>
                <w:highlight w:val="none"/>
              </w:rPr>
            </w:pPr>
            <w:r>
              <w:rPr>
                <w:rFonts w:hint="eastAsia"/>
                <w:b w:val="0"/>
                <w:bCs w:val="0"/>
                <w:highlight w:val="none"/>
              </w:rPr>
              <w:t>计划总工期：</w:t>
            </w:r>
            <w:r>
              <w:rPr>
                <w:rFonts w:hint="eastAsia"/>
                <w:b w:val="0"/>
                <w:bCs w:val="0"/>
                <w:highlight w:val="none"/>
                <w:lang w:val="en-US" w:eastAsia="zh-CN"/>
              </w:rPr>
              <w:t>9</w:t>
            </w:r>
            <w:r>
              <w:rPr>
                <w:rFonts w:hint="eastAsia"/>
                <w:b w:val="0"/>
                <w:bCs w:val="0"/>
                <w:highlight w:val="none"/>
              </w:rPr>
              <w:t>0日历天；</w:t>
            </w:r>
          </w:p>
          <w:p w14:paraId="3D2431F0">
            <w:pPr>
              <w:spacing w:line="276" w:lineRule="auto"/>
              <w:ind w:firstLine="210" w:firstLineChars="100"/>
              <w:rPr>
                <w:b w:val="0"/>
                <w:bCs w:val="0"/>
                <w:highlight w:val="none"/>
              </w:rPr>
            </w:pPr>
            <w:r>
              <w:rPr>
                <w:rFonts w:hint="eastAsia"/>
                <w:b w:val="0"/>
                <w:bCs w:val="0"/>
                <w:highlight w:val="none"/>
              </w:rPr>
              <w:t>计划开工日期：202</w:t>
            </w:r>
            <w:r>
              <w:rPr>
                <w:rFonts w:hint="eastAsia"/>
                <w:b w:val="0"/>
                <w:bCs w:val="0"/>
                <w:highlight w:val="none"/>
                <w:lang w:val="en-US" w:eastAsia="zh-CN"/>
              </w:rPr>
              <w:t>6</w:t>
            </w:r>
            <w:r>
              <w:rPr>
                <w:rFonts w:hint="eastAsia"/>
                <w:b w:val="0"/>
                <w:bCs w:val="0"/>
                <w:highlight w:val="none"/>
              </w:rPr>
              <w:t>年</w:t>
            </w:r>
            <w:r>
              <w:rPr>
                <w:rFonts w:hint="eastAsia"/>
                <w:b w:val="0"/>
                <w:bCs w:val="0"/>
                <w:highlight w:val="none"/>
                <w:lang w:val="en-US" w:eastAsia="zh-CN"/>
              </w:rPr>
              <w:t>1</w:t>
            </w:r>
            <w:r>
              <w:rPr>
                <w:rFonts w:hint="eastAsia"/>
                <w:b w:val="0"/>
                <w:bCs w:val="0"/>
                <w:highlight w:val="none"/>
              </w:rPr>
              <w:t>月</w:t>
            </w:r>
            <w:r>
              <w:rPr>
                <w:rFonts w:hint="eastAsia"/>
                <w:b w:val="0"/>
                <w:bCs w:val="0"/>
                <w:highlight w:val="none"/>
                <w:lang w:val="en-US" w:eastAsia="zh-CN"/>
              </w:rPr>
              <w:t>1</w:t>
            </w:r>
            <w:r>
              <w:rPr>
                <w:rFonts w:hint="eastAsia"/>
                <w:b w:val="0"/>
                <w:bCs w:val="0"/>
                <w:highlight w:val="none"/>
              </w:rPr>
              <w:t>日（以招标人开工令为准）；</w:t>
            </w:r>
          </w:p>
          <w:p w14:paraId="17ADF325">
            <w:pPr>
              <w:spacing w:line="276" w:lineRule="auto"/>
              <w:ind w:firstLine="210" w:firstLineChars="100"/>
              <w:rPr>
                <w:b w:val="0"/>
                <w:bCs w:val="0"/>
                <w:highlight w:val="none"/>
              </w:rPr>
            </w:pPr>
            <w:r>
              <w:rPr>
                <w:rFonts w:hint="eastAsia"/>
                <w:b w:val="0"/>
                <w:bCs w:val="0"/>
                <w:highlight w:val="none"/>
              </w:rPr>
              <w:t>计划竣工日期：2026年</w:t>
            </w:r>
            <w:r>
              <w:rPr>
                <w:rFonts w:hint="eastAsia"/>
                <w:b w:val="0"/>
                <w:bCs w:val="0"/>
                <w:highlight w:val="none"/>
                <w:lang w:val="en-US" w:eastAsia="zh-CN"/>
              </w:rPr>
              <w:t>3</w:t>
            </w:r>
            <w:r>
              <w:rPr>
                <w:rFonts w:hint="eastAsia"/>
                <w:b w:val="0"/>
                <w:bCs w:val="0"/>
                <w:highlight w:val="none"/>
              </w:rPr>
              <w:t>月</w:t>
            </w:r>
            <w:r>
              <w:rPr>
                <w:rFonts w:hint="eastAsia"/>
                <w:b w:val="0"/>
                <w:bCs w:val="0"/>
                <w:highlight w:val="none"/>
                <w:lang w:val="en-US" w:eastAsia="zh-CN"/>
              </w:rPr>
              <w:t>31</w:t>
            </w:r>
            <w:r>
              <w:rPr>
                <w:rFonts w:hint="eastAsia"/>
                <w:b w:val="0"/>
                <w:bCs w:val="0"/>
                <w:highlight w:val="none"/>
              </w:rPr>
              <w:t>日</w:t>
            </w:r>
          </w:p>
          <w:p w14:paraId="6C5270BD">
            <w:pPr>
              <w:pStyle w:val="4"/>
              <w:rPr>
                <w:rFonts w:hint="default"/>
                <w:b w:val="0"/>
                <w:bCs w:val="0"/>
                <w:lang w:val="en-US" w:eastAsia="zh-CN"/>
              </w:rPr>
            </w:pPr>
            <w:r>
              <w:rPr>
                <w:rFonts w:hint="eastAsia"/>
                <w:b w:val="0"/>
                <w:bCs w:val="0"/>
                <w:highlight w:val="none"/>
                <w:lang w:val="en-US" w:eastAsia="zh-CN"/>
              </w:rPr>
              <w:t>关键节点：基础回填完成：2026年1月31</w:t>
            </w:r>
            <w:r>
              <w:rPr>
                <w:rFonts w:hint="eastAsia"/>
                <w:b w:val="0"/>
                <w:bCs w:val="0"/>
                <w:lang w:val="en-US" w:eastAsia="zh-CN"/>
              </w:rPr>
              <w:t>日前</w:t>
            </w:r>
          </w:p>
          <w:p w14:paraId="0C942247">
            <w:pPr>
              <w:pStyle w:val="4"/>
              <w:rPr>
                <w:rFonts w:hint="eastAsia"/>
                <w:b w:val="0"/>
                <w:bCs w:val="0"/>
                <w:lang w:val="en-US" w:eastAsia="zh-CN"/>
              </w:rPr>
            </w:pPr>
            <w:r>
              <w:rPr>
                <w:rFonts w:hint="eastAsia"/>
                <w:b w:val="0"/>
                <w:bCs w:val="0"/>
                <w:lang w:val="en-US" w:eastAsia="zh-CN"/>
              </w:rPr>
              <w:t>主体结构完成：2026年2月15日前</w:t>
            </w:r>
          </w:p>
          <w:p w14:paraId="37F59CE5">
            <w:pPr>
              <w:ind w:firstLine="420" w:firstLineChars="200"/>
              <w:rPr>
                <w:rFonts w:hint="eastAsia"/>
                <w:b w:val="0"/>
                <w:bCs w:val="0"/>
                <w:lang w:val="en-US" w:eastAsia="zh-CN"/>
              </w:rPr>
            </w:pPr>
            <w:r>
              <w:rPr>
                <w:rFonts w:hint="eastAsia"/>
                <w:b w:val="0"/>
                <w:bCs w:val="0"/>
                <w:lang w:val="en-US" w:eastAsia="zh-CN"/>
              </w:rPr>
              <w:t>墙面屋面封闭完成：2026年3月15日前</w:t>
            </w:r>
          </w:p>
          <w:p w14:paraId="39BA00B9">
            <w:pPr>
              <w:pStyle w:val="2"/>
              <w:ind w:left="0" w:leftChars="0" w:firstLine="420" w:firstLineChars="200"/>
            </w:pPr>
            <w:r>
              <w:rPr>
                <w:rFonts w:hint="eastAsia"/>
                <w:b w:val="0"/>
                <w:bCs w:val="0"/>
                <w:lang w:val="en-US" w:eastAsia="zh-CN"/>
              </w:rPr>
              <w:t>竣工投用：2026年3月31日前</w:t>
            </w:r>
          </w:p>
        </w:tc>
      </w:tr>
      <w:tr w14:paraId="63FA001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1C0804DD">
            <w:pPr>
              <w:rPr>
                <w:rStyle w:val="39"/>
                <w:rFonts w:hint="eastAsia" w:ascii="宋体" w:hAnsi="宋体"/>
                <w:szCs w:val="21"/>
              </w:rPr>
            </w:pPr>
            <w:r>
              <w:rPr>
                <w:rStyle w:val="39"/>
                <w:rFonts w:ascii="宋体" w:hAnsi="宋体"/>
                <w:szCs w:val="21"/>
              </w:rPr>
              <w:t>1.3.3</w:t>
            </w:r>
          </w:p>
        </w:tc>
        <w:tc>
          <w:tcPr>
            <w:tcW w:w="2293" w:type="dxa"/>
            <w:tcBorders>
              <w:top w:val="single" w:color="000000" w:sz="6" w:space="0"/>
              <w:left w:val="single" w:color="000000" w:sz="6" w:space="0"/>
              <w:bottom w:val="single" w:color="000000" w:sz="6" w:space="0"/>
              <w:right w:val="single" w:color="000000" w:sz="6" w:space="0"/>
            </w:tcBorders>
            <w:vAlign w:val="center"/>
          </w:tcPr>
          <w:p w14:paraId="22F46144">
            <w:pPr>
              <w:spacing w:line="400" w:lineRule="exact"/>
              <w:rPr>
                <w:rStyle w:val="39"/>
                <w:rFonts w:hint="eastAsia" w:ascii="宋体" w:hAnsi="宋体"/>
                <w:szCs w:val="21"/>
              </w:rPr>
            </w:pPr>
            <w:r>
              <w:rPr>
                <w:rStyle w:val="39"/>
                <w:rFonts w:ascii="宋体" w:hAnsi="宋体"/>
                <w:szCs w:val="21"/>
              </w:rPr>
              <w:t>质量要求</w:t>
            </w:r>
          </w:p>
        </w:tc>
        <w:tc>
          <w:tcPr>
            <w:tcW w:w="6930" w:type="dxa"/>
            <w:tcBorders>
              <w:top w:val="single" w:color="000000" w:sz="6" w:space="0"/>
              <w:left w:val="single" w:color="000000" w:sz="6" w:space="0"/>
              <w:bottom w:val="single" w:color="000000" w:sz="6" w:space="0"/>
              <w:right w:val="single" w:color="000000" w:sz="12" w:space="0"/>
            </w:tcBorders>
          </w:tcPr>
          <w:p w14:paraId="41ADC1DF">
            <w:pPr>
              <w:spacing w:line="276" w:lineRule="auto"/>
              <w:rPr>
                <w:rStyle w:val="39"/>
                <w:rFonts w:hint="eastAsia" w:ascii="宋体" w:hAnsi="宋体"/>
                <w:szCs w:val="21"/>
              </w:rPr>
            </w:pPr>
            <w:r>
              <w:rPr>
                <w:rStyle w:val="39"/>
                <w:rFonts w:ascii="宋体" w:hAnsi="宋体"/>
                <w:szCs w:val="21"/>
              </w:rPr>
              <w:t>质量标准：</w:t>
            </w:r>
            <w:r>
              <w:rPr>
                <w:rStyle w:val="39"/>
                <w:rFonts w:ascii="宋体" w:hAnsi="宋体"/>
                <w:szCs w:val="21"/>
                <w:u w:val="single"/>
              </w:rPr>
              <w:t>合格</w:t>
            </w:r>
            <w:r>
              <w:rPr>
                <w:rStyle w:val="39"/>
                <w:rFonts w:hint="eastAsia" w:ascii="宋体" w:hAnsi="宋体"/>
                <w:szCs w:val="21"/>
              </w:rPr>
              <w:t>；</w:t>
            </w:r>
          </w:p>
          <w:p w14:paraId="7517C13E">
            <w:pPr>
              <w:spacing w:line="276" w:lineRule="auto"/>
              <w:rPr>
                <w:rStyle w:val="39"/>
                <w:rFonts w:hint="eastAsia" w:ascii="宋体" w:hAnsi="宋体"/>
                <w:szCs w:val="21"/>
              </w:rPr>
            </w:pPr>
            <w:r>
              <w:rPr>
                <w:rStyle w:val="39"/>
                <w:rFonts w:ascii="宋体" w:hAnsi="宋体"/>
                <w:szCs w:val="21"/>
              </w:rPr>
              <w:t>关于质量要求的详细说明见第七章“技术标准和要求”。</w:t>
            </w:r>
          </w:p>
        </w:tc>
      </w:tr>
      <w:tr w14:paraId="4C3A7968">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cantSplit/>
          <w:jc w:val="center"/>
        </w:trPr>
        <w:tc>
          <w:tcPr>
            <w:tcW w:w="962" w:type="dxa"/>
            <w:vMerge w:val="restart"/>
            <w:tcBorders>
              <w:top w:val="single" w:color="000000" w:sz="6" w:space="0"/>
              <w:left w:val="single" w:color="000000" w:sz="12" w:space="0"/>
              <w:bottom w:val="single" w:color="000000" w:sz="6" w:space="0"/>
              <w:right w:val="single" w:color="000000" w:sz="6" w:space="0"/>
            </w:tcBorders>
            <w:vAlign w:val="center"/>
          </w:tcPr>
          <w:p w14:paraId="13DA2ACF">
            <w:pPr>
              <w:rPr>
                <w:rStyle w:val="39"/>
                <w:rFonts w:hint="eastAsia" w:ascii="宋体" w:hAnsi="宋体"/>
                <w:szCs w:val="21"/>
              </w:rPr>
            </w:pPr>
            <w:r>
              <w:rPr>
                <w:rStyle w:val="39"/>
                <w:rFonts w:ascii="宋体" w:hAnsi="宋体"/>
                <w:szCs w:val="21"/>
              </w:rPr>
              <w:t>1.4.1</w:t>
            </w:r>
          </w:p>
        </w:tc>
        <w:tc>
          <w:tcPr>
            <w:tcW w:w="2293" w:type="dxa"/>
            <w:tcBorders>
              <w:top w:val="single" w:color="000000" w:sz="6" w:space="0"/>
              <w:left w:val="single" w:color="000000" w:sz="6" w:space="0"/>
              <w:bottom w:val="single" w:color="000000" w:sz="6" w:space="0"/>
              <w:right w:val="single" w:color="000000" w:sz="6" w:space="0"/>
            </w:tcBorders>
            <w:vAlign w:val="center"/>
          </w:tcPr>
          <w:p w14:paraId="4502C820">
            <w:pPr>
              <w:spacing w:line="400" w:lineRule="exact"/>
              <w:rPr>
                <w:rStyle w:val="39"/>
                <w:rFonts w:hint="eastAsia" w:ascii="宋体" w:hAnsi="宋体"/>
                <w:szCs w:val="21"/>
              </w:rPr>
            </w:pPr>
            <w:r>
              <w:rPr>
                <w:rStyle w:val="39"/>
                <w:rFonts w:ascii="宋体" w:hAnsi="宋体"/>
                <w:szCs w:val="21"/>
              </w:rPr>
              <w:t>投标人资格</w:t>
            </w:r>
          </w:p>
        </w:tc>
        <w:tc>
          <w:tcPr>
            <w:tcW w:w="6930" w:type="dxa"/>
            <w:tcBorders>
              <w:top w:val="single" w:color="000000" w:sz="6" w:space="0"/>
              <w:left w:val="single" w:color="000000" w:sz="6" w:space="0"/>
              <w:bottom w:val="single" w:color="000000" w:sz="6" w:space="0"/>
              <w:right w:val="single" w:color="000000" w:sz="12" w:space="0"/>
            </w:tcBorders>
          </w:tcPr>
          <w:p w14:paraId="1AE5C7ED">
            <w:pPr>
              <w:spacing w:line="276" w:lineRule="auto"/>
              <w:rPr>
                <w:rFonts w:hint="eastAsia" w:ascii="宋体" w:hAnsi="宋体"/>
                <w:szCs w:val="21"/>
              </w:rPr>
            </w:pPr>
            <w:r>
              <w:rPr>
                <w:rFonts w:hint="eastAsia" w:ascii="宋体" w:hAnsi="宋体"/>
                <w:szCs w:val="21"/>
              </w:rPr>
              <w:t>1.资质条件：详见招标公告；</w:t>
            </w:r>
          </w:p>
          <w:p w14:paraId="58F92BEE">
            <w:pPr>
              <w:spacing w:line="276" w:lineRule="auto"/>
              <w:rPr>
                <w:rFonts w:hint="eastAsia" w:ascii="宋体" w:hAnsi="宋体"/>
                <w:szCs w:val="21"/>
              </w:rPr>
            </w:pPr>
            <w:r>
              <w:rPr>
                <w:rFonts w:hint="eastAsia" w:ascii="宋体" w:hAnsi="宋体"/>
                <w:szCs w:val="21"/>
              </w:rPr>
              <w:t>2.财务要求：详见招标公告；</w:t>
            </w:r>
          </w:p>
          <w:p w14:paraId="28CDEEF1">
            <w:pPr>
              <w:spacing w:line="276" w:lineRule="auto"/>
              <w:rPr>
                <w:rFonts w:hint="eastAsia" w:ascii="宋体" w:hAnsi="宋体"/>
                <w:szCs w:val="21"/>
              </w:rPr>
            </w:pPr>
            <w:r>
              <w:rPr>
                <w:rFonts w:hint="eastAsia" w:ascii="宋体" w:hAnsi="宋体"/>
                <w:szCs w:val="21"/>
              </w:rPr>
              <w:t>3.信誉要求：详见招标公告；</w:t>
            </w:r>
          </w:p>
          <w:p w14:paraId="1FC6A320">
            <w:pPr>
              <w:spacing w:line="276" w:lineRule="auto"/>
              <w:rPr>
                <w:rFonts w:hint="eastAsia" w:ascii="宋体" w:hAnsi="宋体"/>
                <w:szCs w:val="21"/>
              </w:rPr>
            </w:pPr>
            <w:r>
              <w:rPr>
                <w:rFonts w:hint="eastAsia" w:ascii="宋体" w:hAnsi="宋体"/>
                <w:szCs w:val="21"/>
              </w:rPr>
              <w:t>4.拟派项目经理资格要求：详见招标公告；</w:t>
            </w:r>
          </w:p>
          <w:p w14:paraId="22C25D82">
            <w:pPr>
              <w:rPr>
                <w:rStyle w:val="39"/>
                <w:rFonts w:hint="eastAsia" w:ascii="宋体" w:hAnsi="宋体"/>
                <w:b/>
                <w:szCs w:val="21"/>
              </w:rPr>
            </w:pPr>
            <w:r>
              <w:rPr>
                <w:rFonts w:hint="eastAsia" w:ascii="宋体" w:hAnsi="宋体"/>
                <w:szCs w:val="21"/>
              </w:rPr>
              <w:t>对投标人的资格审查实行资格后审，资格审查资料的具体编制要求详见第九章资格审查文件。</w:t>
            </w:r>
          </w:p>
        </w:tc>
      </w:tr>
      <w:tr w14:paraId="1EC89CC8">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cantSplit/>
          <w:jc w:val="center"/>
        </w:trPr>
        <w:tc>
          <w:tcPr>
            <w:tcW w:w="962" w:type="dxa"/>
            <w:vMerge w:val="continue"/>
            <w:tcBorders>
              <w:top w:val="single" w:color="000000" w:sz="6" w:space="0"/>
              <w:left w:val="single" w:color="000000" w:sz="12" w:space="0"/>
              <w:bottom w:val="single" w:color="000000" w:sz="6" w:space="0"/>
              <w:right w:val="single" w:color="000000" w:sz="6" w:space="0"/>
            </w:tcBorders>
            <w:vAlign w:val="center"/>
          </w:tcPr>
          <w:p w14:paraId="318B34EE">
            <w:pPr>
              <w:rPr>
                <w:rStyle w:val="39"/>
                <w:rFonts w:hint="eastAsia" w:ascii="宋体" w:hAnsi="宋体"/>
                <w:szCs w:val="21"/>
              </w:rPr>
            </w:pPr>
          </w:p>
        </w:tc>
        <w:tc>
          <w:tcPr>
            <w:tcW w:w="2293" w:type="dxa"/>
            <w:tcBorders>
              <w:top w:val="single" w:color="000000" w:sz="6" w:space="0"/>
              <w:left w:val="single" w:color="000000" w:sz="6" w:space="0"/>
              <w:bottom w:val="single" w:color="000000" w:sz="6" w:space="0"/>
              <w:right w:val="single" w:color="000000" w:sz="6" w:space="0"/>
            </w:tcBorders>
            <w:vAlign w:val="center"/>
          </w:tcPr>
          <w:p w14:paraId="739E82D8">
            <w:pPr>
              <w:spacing w:line="276" w:lineRule="auto"/>
              <w:rPr>
                <w:rStyle w:val="39"/>
                <w:rFonts w:hint="eastAsia" w:ascii="宋体" w:hAnsi="宋体"/>
                <w:szCs w:val="21"/>
              </w:rPr>
            </w:pPr>
            <w:r>
              <w:rPr>
                <w:rStyle w:val="39"/>
                <w:rFonts w:ascii="宋体" w:hAnsi="宋体"/>
                <w:szCs w:val="21"/>
              </w:rPr>
              <w:t>近年财务状况的年份要求</w:t>
            </w:r>
          </w:p>
        </w:tc>
        <w:tc>
          <w:tcPr>
            <w:tcW w:w="6930" w:type="dxa"/>
            <w:tcBorders>
              <w:top w:val="single" w:color="000000" w:sz="6" w:space="0"/>
              <w:left w:val="single" w:color="000000" w:sz="6" w:space="0"/>
              <w:bottom w:val="single" w:color="000000" w:sz="6" w:space="0"/>
              <w:right w:val="single" w:color="000000" w:sz="12" w:space="0"/>
            </w:tcBorders>
            <w:vAlign w:val="center"/>
          </w:tcPr>
          <w:p w14:paraId="7043841D">
            <w:pPr>
              <w:spacing w:line="276" w:lineRule="auto"/>
              <w:rPr>
                <w:rStyle w:val="39"/>
                <w:rFonts w:hint="eastAsia" w:ascii="宋体" w:hAnsi="宋体"/>
                <w:szCs w:val="21"/>
              </w:rPr>
            </w:pPr>
            <w:r>
              <w:rPr>
                <w:rStyle w:val="39"/>
                <w:rFonts w:hint="eastAsia" w:ascii="宋体" w:hAnsi="宋体"/>
                <w:szCs w:val="21"/>
              </w:rPr>
              <w:t>2022年</w:t>
            </w:r>
            <w:r>
              <w:rPr>
                <w:rStyle w:val="39"/>
                <w:rFonts w:ascii="宋体" w:hAnsi="宋体"/>
                <w:szCs w:val="21"/>
              </w:rPr>
              <w:t>、202</w:t>
            </w:r>
            <w:r>
              <w:rPr>
                <w:rStyle w:val="39"/>
                <w:rFonts w:hint="eastAsia" w:ascii="宋体" w:hAnsi="宋体"/>
                <w:szCs w:val="21"/>
              </w:rPr>
              <w:t>3年</w:t>
            </w:r>
            <w:r>
              <w:rPr>
                <w:rStyle w:val="39"/>
                <w:rFonts w:ascii="宋体" w:hAnsi="宋体"/>
                <w:szCs w:val="21"/>
              </w:rPr>
              <w:t>、202</w:t>
            </w:r>
            <w:r>
              <w:rPr>
                <w:rStyle w:val="39"/>
                <w:rFonts w:hint="eastAsia" w:ascii="宋体" w:hAnsi="宋体"/>
                <w:szCs w:val="21"/>
              </w:rPr>
              <w:t>4年，</w:t>
            </w:r>
            <w:r>
              <w:rPr>
                <w:rStyle w:val="39"/>
                <w:rFonts w:hint="eastAsia" w:ascii="宋体" w:hAnsi="宋体"/>
                <w:b/>
                <w:bCs/>
                <w:szCs w:val="21"/>
              </w:rPr>
              <w:t>要求包含企业最近半年完税证明、信用证明材料（中国人民银行征信报告）；年度纳税信用评价信息（可从电子税务局查询截图）；企业对外担保说明（写明贵单位对外有无对外担保和质押业务）</w:t>
            </w:r>
          </w:p>
        </w:tc>
      </w:tr>
      <w:tr w14:paraId="154F959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cantSplit/>
          <w:jc w:val="center"/>
        </w:trPr>
        <w:tc>
          <w:tcPr>
            <w:tcW w:w="962" w:type="dxa"/>
            <w:vMerge w:val="continue"/>
            <w:tcBorders>
              <w:top w:val="single" w:color="000000" w:sz="6" w:space="0"/>
              <w:left w:val="single" w:color="000000" w:sz="12" w:space="0"/>
              <w:bottom w:val="single" w:color="000000" w:sz="6" w:space="0"/>
              <w:right w:val="single" w:color="000000" w:sz="6" w:space="0"/>
            </w:tcBorders>
            <w:vAlign w:val="center"/>
          </w:tcPr>
          <w:p w14:paraId="5905A027">
            <w:pPr>
              <w:rPr>
                <w:rStyle w:val="39"/>
                <w:rFonts w:hint="eastAsia" w:ascii="宋体" w:hAnsi="宋体"/>
                <w:szCs w:val="21"/>
              </w:rPr>
            </w:pPr>
          </w:p>
        </w:tc>
        <w:tc>
          <w:tcPr>
            <w:tcW w:w="2293" w:type="dxa"/>
            <w:tcBorders>
              <w:top w:val="single" w:color="000000" w:sz="6" w:space="0"/>
              <w:left w:val="single" w:color="000000" w:sz="6" w:space="0"/>
              <w:bottom w:val="single" w:color="000000" w:sz="6" w:space="0"/>
              <w:right w:val="single" w:color="000000" w:sz="6" w:space="0"/>
            </w:tcBorders>
            <w:vAlign w:val="center"/>
          </w:tcPr>
          <w:p w14:paraId="5DA6F065">
            <w:pPr>
              <w:spacing w:line="276" w:lineRule="auto"/>
              <w:rPr>
                <w:rStyle w:val="39"/>
                <w:rFonts w:hint="eastAsia" w:ascii="宋体" w:hAnsi="宋体"/>
                <w:szCs w:val="21"/>
              </w:rPr>
            </w:pPr>
            <w:r>
              <w:rPr>
                <w:rStyle w:val="39"/>
                <w:rFonts w:ascii="宋体" w:hAnsi="宋体"/>
                <w:szCs w:val="21"/>
              </w:rPr>
              <w:t>近年承担的类似工程的年份要求</w:t>
            </w:r>
          </w:p>
        </w:tc>
        <w:tc>
          <w:tcPr>
            <w:tcW w:w="6930" w:type="dxa"/>
            <w:tcBorders>
              <w:top w:val="single" w:color="000000" w:sz="6" w:space="0"/>
              <w:left w:val="single" w:color="000000" w:sz="6" w:space="0"/>
              <w:bottom w:val="single" w:color="000000" w:sz="6" w:space="0"/>
              <w:right w:val="single" w:color="000000" w:sz="12" w:space="0"/>
            </w:tcBorders>
            <w:vAlign w:val="center"/>
          </w:tcPr>
          <w:p w14:paraId="52B1EF3A">
            <w:pPr>
              <w:spacing w:line="276" w:lineRule="auto"/>
              <w:rPr>
                <w:rStyle w:val="39"/>
                <w:rFonts w:hint="eastAsia" w:ascii="宋体" w:hAnsi="宋体"/>
                <w:szCs w:val="21"/>
              </w:rPr>
            </w:pPr>
            <w:r>
              <w:rPr>
                <w:rStyle w:val="39"/>
                <w:rFonts w:ascii="宋体" w:hAnsi="宋体"/>
                <w:szCs w:val="21"/>
                <w:u w:val="single"/>
              </w:rPr>
              <w:t xml:space="preserve"> 三 </w:t>
            </w:r>
            <w:r>
              <w:rPr>
                <w:rStyle w:val="39"/>
                <w:rFonts w:ascii="宋体" w:hAnsi="宋体"/>
                <w:szCs w:val="21"/>
              </w:rPr>
              <w:t>年，指</w:t>
            </w:r>
            <w:r>
              <w:rPr>
                <w:rStyle w:val="39"/>
                <w:rFonts w:ascii="宋体" w:hAnsi="宋体"/>
                <w:szCs w:val="21"/>
                <w:u w:val="single"/>
              </w:rPr>
              <w:t>20</w:t>
            </w:r>
            <w:r>
              <w:rPr>
                <w:rStyle w:val="39"/>
                <w:rFonts w:hint="eastAsia" w:ascii="宋体" w:hAnsi="宋体"/>
                <w:szCs w:val="21"/>
                <w:u w:val="single"/>
              </w:rPr>
              <w:t>22</w:t>
            </w:r>
            <w:r>
              <w:rPr>
                <w:rStyle w:val="39"/>
                <w:rFonts w:ascii="宋体" w:hAnsi="宋体"/>
                <w:szCs w:val="21"/>
              </w:rPr>
              <w:t>年</w:t>
            </w:r>
            <w:r>
              <w:rPr>
                <w:rStyle w:val="39"/>
                <w:rFonts w:hint="eastAsia" w:ascii="宋体" w:hAnsi="宋体"/>
                <w:szCs w:val="21"/>
                <w:u w:val="single"/>
              </w:rPr>
              <w:t>12</w:t>
            </w:r>
            <w:r>
              <w:rPr>
                <w:rStyle w:val="39"/>
                <w:rFonts w:ascii="宋体" w:hAnsi="宋体"/>
                <w:szCs w:val="21"/>
              </w:rPr>
              <w:t>月</w:t>
            </w:r>
            <w:r>
              <w:rPr>
                <w:rStyle w:val="39"/>
                <w:rFonts w:ascii="宋体" w:hAnsi="宋体"/>
                <w:szCs w:val="21"/>
                <w:u w:val="single"/>
              </w:rPr>
              <w:t>1</w:t>
            </w:r>
            <w:r>
              <w:rPr>
                <w:rStyle w:val="39"/>
                <w:rFonts w:ascii="宋体" w:hAnsi="宋体"/>
                <w:szCs w:val="21"/>
              </w:rPr>
              <w:t>日至开标之日（以竣工验收报告时间为准）。</w:t>
            </w:r>
          </w:p>
        </w:tc>
      </w:tr>
      <w:tr w14:paraId="76E05DEE">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cantSplit/>
          <w:jc w:val="center"/>
        </w:trPr>
        <w:tc>
          <w:tcPr>
            <w:tcW w:w="962" w:type="dxa"/>
            <w:vMerge w:val="continue"/>
            <w:tcBorders>
              <w:top w:val="single" w:color="000000" w:sz="6" w:space="0"/>
              <w:left w:val="single" w:color="000000" w:sz="12" w:space="0"/>
              <w:bottom w:val="single" w:color="000000" w:sz="6" w:space="0"/>
              <w:right w:val="single" w:color="000000" w:sz="6" w:space="0"/>
            </w:tcBorders>
            <w:vAlign w:val="center"/>
          </w:tcPr>
          <w:p w14:paraId="29FF804D">
            <w:pPr>
              <w:rPr>
                <w:rStyle w:val="39"/>
                <w:rFonts w:hint="eastAsia" w:ascii="宋体" w:hAnsi="宋体"/>
                <w:szCs w:val="21"/>
              </w:rPr>
            </w:pPr>
          </w:p>
        </w:tc>
        <w:tc>
          <w:tcPr>
            <w:tcW w:w="2293" w:type="dxa"/>
            <w:tcBorders>
              <w:top w:val="single" w:color="000000" w:sz="6" w:space="0"/>
              <w:left w:val="single" w:color="000000" w:sz="6" w:space="0"/>
              <w:bottom w:val="single" w:color="000000" w:sz="6" w:space="0"/>
              <w:right w:val="single" w:color="000000" w:sz="6" w:space="0"/>
            </w:tcBorders>
            <w:vAlign w:val="center"/>
          </w:tcPr>
          <w:p w14:paraId="5427936B">
            <w:pPr>
              <w:spacing w:line="276" w:lineRule="auto"/>
              <w:rPr>
                <w:rStyle w:val="39"/>
                <w:rFonts w:hint="eastAsia" w:ascii="宋体" w:hAnsi="宋体"/>
                <w:szCs w:val="21"/>
              </w:rPr>
            </w:pPr>
            <w:r>
              <w:rPr>
                <w:rStyle w:val="39"/>
                <w:rFonts w:ascii="宋体" w:hAnsi="宋体"/>
                <w:szCs w:val="21"/>
              </w:rPr>
              <w:t>近年发生的诉讼及仲裁情况的年份要求</w:t>
            </w:r>
          </w:p>
        </w:tc>
        <w:tc>
          <w:tcPr>
            <w:tcW w:w="6930" w:type="dxa"/>
            <w:tcBorders>
              <w:top w:val="single" w:color="000000" w:sz="6" w:space="0"/>
              <w:left w:val="single" w:color="000000" w:sz="6" w:space="0"/>
              <w:bottom w:val="single" w:color="000000" w:sz="6" w:space="0"/>
              <w:right w:val="single" w:color="000000" w:sz="12" w:space="0"/>
            </w:tcBorders>
            <w:vAlign w:val="center"/>
          </w:tcPr>
          <w:p w14:paraId="6B4AAD65">
            <w:pPr>
              <w:spacing w:line="276" w:lineRule="auto"/>
              <w:rPr>
                <w:rStyle w:val="39"/>
                <w:rFonts w:hint="eastAsia" w:ascii="宋体" w:hAnsi="宋体"/>
                <w:szCs w:val="21"/>
              </w:rPr>
            </w:pPr>
            <w:r>
              <w:rPr>
                <w:rStyle w:val="39"/>
                <w:rFonts w:ascii="宋体" w:hAnsi="宋体"/>
                <w:szCs w:val="21"/>
                <w:u w:val="single"/>
              </w:rPr>
              <w:t xml:space="preserve"> 三 </w:t>
            </w:r>
            <w:r>
              <w:rPr>
                <w:rStyle w:val="39"/>
                <w:rFonts w:ascii="宋体" w:hAnsi="宋体"/>
                <w:szCs w:val="21"/>
              </w:rPr>
              <w:t>年，指</w:t>
            </w:r>
            <w:r>
              <w:rPr>
                <w:rStyle w:val="39"/>
                <w:rFonts w:ascii="宋体" w:hAnsi="宋体"/>
                <w:szCs w:val="21"/>
                <w:u w:val="single"/>
              </w:rPr>
              <w:t>20</w:t>
            </w:r>
            <w:r>
              <w:rPr>
                <w:rStyle w:val="39"/>
                <w:rFonts w:hint="eastAsia" w:ascii="宋体" w:hAnsi="宋体"/>
                <w:szCs w:val="21"/>
                <w:u w:val="single"/>
              </w:rPr>
              <w:t>22</w:t>
            </w:r>
            <w:r>
              <w:rPr>
                <w:rStyle w:val="39"/>
                <w:rFonts w:ascii="宋体" w:hAnsi="宋体"/>
                <w:szCs w:val="21"/>
              </w:rPr>
              <w:t>年</w:t>
            </w:r>
            <w:r>
              <w:rPr>
                <w:rStyle w:val="39"/>
                <w:rFonts w:hint="eastAsia" w:ascii="宋体" w:hAnsi="宋体"/>
                <w:szCs w:val="21"/>
                <w:u w:val="single"/>
              </w:rPr>
              <w:t>12</w:t>
            </w:r>
            <w:r>
              <w:rPr>
                <w:rStyle w:val="39"/>
                <w:rFonts w:ascii="宋体" w:hAnsi="宋体"/>
                <w:szCs w:val="21"/>
              </w:rPr>
              <w:t>月</w:t>
            </w:r>
            <w:r>
              <w:rPr>
                <w:rStyle w:val="39"/>
                <w:rFonts w:ascii="宋体" w:hAnsi="宋体"/>
                <w:szCs w:val="21"/>
                <w:u w:val="single"/>
              </w:rPr>
              <w:t>1</w:t>
            </w:r>
            <w:r>
              <w:rPr>
                <w:rStyle w:val="39"/>
                <w:rFonts w:ascii="宋体" w:hAnsi="宋体"/>
                <w:szCs w:val="21"/>
              </w:rPr>
              <w:t>日至开标之日。</w:t>
            </w:r>
          </w:p>
        </w:tc>
      </w:tr>
      <w:tr w14:paraId="3AAA4A5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cantSplit/>
          <w:jc w:val="center"/>
        </w:trPr>
        <w:tc>
          <w:tcPr>
            <w:tcW w:w="962" w:type="dxa"/>
            <w:vMerge w:val="continue"/>
            <w:tcBorders>
              <w:top w:val="single" w:color="000000" w:sz="6" w:space="0"/>
              <w:left w:val="single" w:color="000000" w:sz="12" w:space="0"/>
              <w:bottom w:val="single" w:color="000000" w:sz="6" w:space="0"/>
              <w:right w:val="single" w:color="000000" w:sz="6" w:space="0"/>
            </w:tcBorders>
            <w:vAlign w:val="center"/>
          </w:tcPr>
          <w:p w14:paraId="78033592">
            <w:pPr>
              <w:rPr>
                <w:rStyle w:val="39"/>
                <w:rFonts w:hint="eastAsia" w:ascii="宋体" w:hAnsi="宋体"/>
                <w:szCs w:val="21"/>
              </w:rPr>
            </w:pPr>
          </w:p>
        </w:tc>
        <w:tc>
          <w:tcPr>
            <w:tcW w:w="2293" w:type="dxa"/>
            <w:tcBorders>
              <w:top w:val="single" w:color="000000" w:sz="6" w:space="0"/>
              <w:left w:val="single" w:color="000000" w:sz="6" w:space="0"/>
              <w:bottom w:val="single" w:color="000000" w:sz="6" w:space="0"/>
              <w:right w:val="single" w:color="000000" w:sz="6" w:space="0"/>
            </w:tcBorders>
            <w:vAlign w:val="center"/>
          </w:tcPr>
          <w:p w14:paraId="51A9A42B">
            <w:pPr>
              <w:spacing w:line="276" w:lineRule="auto"/>
              <w:rPr>
                <w:rStyle w:val="39"/>
                <w:rFonts w:hint="eastAsia" w:ascii="宋体" w:hAnsi="宋体"/>
                <w:szCs w:val="21"/>
              </w:rPr>
            </w:pPr>
            <w:r>
              <w:rPr>
                <w:rStyle w:val="39"/>
                <w:rFonts w:ascii="宋体" w:hAnsi="宋体"/>
                <w:szCs w:val="21"/>
              </w:rPr>
              <w:t>是否允许递交备选投标方案</w:t>
            </w:r>
          </w:p>
        </w:tc>
        <w:tc>
          <w:tcPr>
            <w:tcW w:w="6930" w:type="dxa"/>
            <w:tcBorders>
              <w:top w:val="single" w:color="000000" w:sz="6" w:space="0"/>
              <w:left w:val="single" w:color="000000" w:sz="6" w:space="0"/>
              <w:bottom w:val="single" w:color="000000" w:sz="6" w:space="0"/>
              <w:right w:val="single" w:color="000000" w:sz="12" w:space="0"/>
            </w:tcBorders>
            <w:vAlign w:val="center"/>
          </w:tcPr>
          <w:p w14:paraId="596FFE7E">
            <w:pPr>
              <w:spacing w:line="276" w:lineRule="auto"/>
              <w:rPr>
                <w:rStyle w:val="39"/>
                <w:rFonts w:hint="eastAsia" w:ascii="宋体" w:hAnsi="宋体"/>
                <w:szCs w:val="21"/>
                <w:u w:val="single"/>
              </w:rPr>
            </w:pPr>
            <w:r>
              <w:rPr>
                <w:rStyle w:val="39"/>
                <w:rFonts w:ascii="宋体" w:hAnsi="宋体"/>
                <w:szCs w:val="21"/>
              </w:rPr>
              <w:t>不允许</w:t>
            </w:r>
          </w:p>
        </w:tc>
      </w:tr>
      <w:tr w14:paraId="0DF8CE3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5522DC5C">
            <w:pPr>
              <w:rPr>
                <w:rStyle w:val="39"/>
                <w:rFonts w:hint="eastAsia" w:ascii="宋体" w:hAnsi="宋体"/>
                <w:szCs w:val="21"/>
              </w:rPr>
            </w:pPr>
            <w:r>
              <w:rPr>
                <w:rStyle w:val="39"/>
                <w:rFonts w:ascii="宋体" w:hAnsi="宋体"/>
                <w:szCs w:val="21"/>
              </w:rPr>
              <w:t>1.4.2</w:t>
            </w:r>
          </w:p>
        </w:tc>
        <w:tc>
          <w:tcPr>
            <w:tcW w:w="2293" w:type="dxa"/>
            <w:tcBorders>
              <w:top w:val="single" w:color="000000" w:sz="6" w:space="0"/>
              <w:left w:val="single" w:color="000000" w:sz="6" w:space="0"/>
              <w:bottom w:val="single" w:color="000000" w:sz="6" w:space="0"/>
              <w:right w:val="single" w:color="000000" w:sz="6" w:space="0"/>
            </w:tcBorders>
            <w:vAlign w:val="center"/>
          </w:tcPr>
          <w:p w14:paraId="62B4747C">
            <w:pPr>
              <w:spacing w:line="276" w:lineRule="auto"/>
              <w:rPr>
                <w:rStyle w:val="39"/>
                <w:rFonts w:hint="eastAsia" w:ascii="宋体" w:hAnsi="宋体"/>
                <w:szCs w:val="21"/>
              </w:rPr>
            </w:pPr>
            <w:r>
              <w:rPr>
                <w:rStyle w:val="39"/>
                <w:rFonts w:ascii="宋体" w:hAnsi="宋体"/>
                <w:szCs w:val="21"/>
              </w:rPr>
              <w:t>是否接受联合体投标</w:t>
            </w:r>
          </w:p>
        </w:tc>
        <w:tc>
          <w:tcPr>
            <w:tcW w:w="6930" w:type="dxa"/>
            <w:tcBorders>
              <w:top w:val="single" w:color="000000" w:sz="6" w:space="0"/>
              <w:left w:val="single" w:color="000000" w:sz="6" w:space="0"/>
              <w:bottom w:val="single" w:color="000000" w:sz="6" w:space="0"/>
              <w:right w:val="single" w:color="000000" w:sz="12" w:space="0"/>
            </w:tcBorders>
            <w:vAlign w:val="center"/>
          </w:tcPr>
          <w:p w14:paraId="1EF23ACC">
            <w:pPr>
              <w:spacing w:line="276" w:lineRule="auto"/>
              <w:rPr>
                <w:rStyle w:val="39"/>
                <w:rFonts w:hint="eastAsia" w:ascii="宋体" w:hAnsi="宋体"/>
                <w:szCs w:val="21"/>
              </w:rPr>
            </w:pPr>
            <w:r>
              <w:rPr>
                <w:rStyle w:val="39"/>
                <w:rFonts w:ascii="宋体" w:hAnsi="宋体"/>
                <w:szCs w:val="21"/>
              </w:rPr>
              <w:t>不接受</w:t>
            </w:r>
          </w:p>
        </w:tc>
      </w:tr>
      <w:tr w14:paraId="2B45C3F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2247" w:hRule="atLeas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00E38C1D">
            <w:pPr>
              <w:rPr>
                <w:rStyle w:val="39"/>
                <w:rFonts w:hint="eastAsia" w:ascii="宋体" w:hAnsi="宋体"/>
                <w:szCs w:val="21"/>
              </w:rPr>
            </w:pPr>
            <w:r>
              <w:rPr>
                <w:rStyle w:val="39"/>
                <w:rFonts w:ascii="宋体" w:hAnsi="宋体"/>
                <w:szCs w:val="21"/>
              </w:rPr>
              <w:t>1.9.1</w:t>
            </w:r>
          </w:p>
        </w:tc>
        <w:tc>
          <w:tcPr>
            <w:tcW w:w="2293" w:type="dxa"/>
            <w:tcBorders>
              <w:top w:val="single" w:color="000000" w:sz="6" w:space="0"/>
              <w:left w:val="single" w:color="000000" w:sz="6" w:space="0"/>
              <w:bottom w:val="single" w:color="000000" w:sz="6" w:space="0"/>
              <w:right w:val="single" w:color="000000" w:sz="6" w:space="0"/>
            </w:tcBorders>
            <w:vAlign w:val="center"/>
          </w:tcPr>
          <w:p w14:paraId="412C8691">
            <w:pPr>
              <w:spacing w:line="276" w:lineRule="auto"/>
              <w:rPr>
                <w:rStyle w:val="39"/>
                <w:rFonts w:hint="eastAsia" w:ascii="宋体" w:hAnsi="宋体"/>
                <w:szCs w:val="21"/>
              </w:rPr>
            </w:pPr>
            <w:r>
              <w:rPr>
                <w:rStyle w:val="39"/>
                <w:rFonts w:ascii="宋体" w:hAnsi="宋体"/>
                <w:szCs w:val="21"/>
              </w:rPr>
              <w:t>踏勘现场</w:t>
            </w:r>
          </w:p>
        </w:tc>
        <w:tc>
          <w:tcPr>
            <w:tcW w:w="6930" w:type="dxa"/>
            <w:tcBorders>
              <w:top w:val="single" w:color="000000" w:sz="6" w:space="0"/>
              <w:left w:val="single" w:color="000000" w:sz="6" w:space="0"/>
              <w:bottom w:val="single" w:color="000000" w:sz="6" w:space="0"/>
              <w:right w:val="single" w:color="000000" w:sz="12" w:space="0"/>
            </w:tcBorders>
            <w:vAlign w:val="center"/>
          </w:tcPr>
          <w:p w14:paraId="108C0243">
            <w:pPr>
              <w:spacing w:line="276" w:lineRule="auto"/>
              <w:rPr>
                <w:rFonts w:hint="eastAsia" w:ascii="宋体" w:hAnsi="宋体"/>
                <w:szCs w:val="21"/>
              </w:rPr>
            </w:pPr>
            <w:r>
              <w:rPr>
                <w:rFonts w:hint="eastAsia" w:ascii="宋体" w:hAnsi="宋体"/>
                <w:szCs w:val="21"/>
              </w:rPr>
              <w:t>组织统一踏勘，时间：</w:t>
            </w:r>
            <w:r>
              <w:rPr>
                <w:rFonts w:hint="eastAsia" w:ascii="宋体" w:hAnsi="宋体"/>
                <w:szCs w:val="21"/>
                <w:highlight w:val="green"/>
                <w:u w:val="single"/>
              </w:rPr>
              <w:t>2025年</w:t>
            </w:r>
            <w:r>
              <w:rPr>
                <w:rFonts w:hint="eastAsia" w:ascii="宋体" w:hAnsi="宋体"/>
                <w:szCs w:val="21"/>
                <w:highlight w:val="green"/>
                <w:u w:val="single"/>
                <w:lang w:val="en-US" w:eastAsia="zh-CN"/>
              </w:rPr>
              <w:t>12</w:t>
            </w:r>
            <w:r>
              <w:rPr>
                <w:rFonts w:hint="eastAsia" w:ascii="宋体" w:hAnsi="宋体"/>
                <w:szCs w:val="21"/>
                <w:highlight w:val="green"/>
                <w:u w:val="single"/>
              </w:rPr>
              <w:t>月</w:t>
            </w:r>
            <w:r>
              <w:rPr>
                <w:rFonts w:hint="eastAsia" w:ascii="宋体" w:hAnsi="宋体"/>
                <w:szCs w:val="21"/>
                <w:highlight w:val="green"/>
                <w:u w:val="single"/>
                <w:lang w:val="en-US" w:eastAsia="zh-CN"/>
              </w:rPr>
              <w:t>18</w:t>
            </w:r>
            <w:r>
              <w:rPr>
                <w:rFonts w:hint="eastAsia" w:ascii="宋体" w:hAnsi="宋体"/>
                <w:szCs w:val="21"/>
                <w:highlight w:val="green"/>
                <w:u w:val="single"/>
              </w:rPr>
              <w:t>日</w:t>
            </w:r>
            <w:r>
              <w:rPr>
                <w:rFonts w:hint="eastAsia" w:ascii="宋体" w:hAnsi="宋体"/>
                <w:szCs w:val="21"/>
                <w:u w:val="single"/>
              </w:rPr>
              <w:t>14:00</w:t>
            </w:r>
            <w:r>
              <w:rPr>
                <w:rFonts w:hint="eastAsia" w:ascii="宋体" w:hAnsi="宋体"/>
                <w:szCs w:val="21"/>
              </w:rPr>
              <w:t>，请自行前往，提前对接踏勘联系人进行入厂报备。</w:t>
            </w:r>
          </w:p>
          <w:p w14:paraId="64499814">
            <w:pPr>
              <w:spacing w:line="276" w:lineRule="auto"/>
              <w:rPr>
                <w:rStyle w:val="39"/>
                <w:rFonts w:hint="eastAsia" w:ascii="宋体" w:hAnsi="宋体"/>
                <w:szCs w:val="21"/>
              </w:rPr>
            </w:pPr>
            <w:r>
              <w:rPr>
                <w:rStyle w:val="39"/>
                <w:rFonts w:hint="eastAsia" w:ascii="宋体" w:hAnsi="宋体"/>
                <w:szCs w:val="21"/>
              </w:rPr>
              <w:t>如因对现场情况了解、考虑不周造成的投标风险和一切后果由投标人自行承担。</w:t>
            </w:r>
          </w:p>
          <w:p w14:paraId="6CA63D35">
            <w:pPr>
              <w:spacing w:line="276" w:lineRule="auto"/>
              <w:rPr>
                <w:rStyle w:val="39"/>
                <w:rFonts w:hint="eastAsia" w:ascii="宋体" w:hAnsi="宋体"/>
                <w:szCs w:val="21"/>
              </w:rPr>
            </w:pPr>
            <w:r>
              <w:rPr>
                <w:rStyle w:val="39"/>
                <w:rFonts w:ascii="宋体" w:hAnsi="宋体"/>
                <w:szCs w:val="21"/>
              </w:rPr>
              <w:t>踏勘联系人：</w:t>
            </w:r>
            <w:r>
              <w:rPr>
                <w:rFonts w:hint="eastAsia" w:cs="宋体"/>
                <w:sz w:val="24"/>
                <w:u w:val="single"/>
              </w:rPr>
              <w:t xml:space="preserve"> </w:t>
            </w:r>
            <w:r>
              <w:rPr>
                <w:rStyle w:val="39"/>
                <w:rFonts w:hint="eastAsia" w:ascii="宋体" w:hAnsi="宋体"/>
                <w:szCs w:val="21"/>
                <w:u w:val="single"/>
              </w:rPr>
              <w:t xml:space="preserve">朱明亮 </w:t>
            </w:r>
            <w:r>
              <w:rPr>
                <w:rFonts w:cs="宋体"/>
                <w:szCs w:val="21"/>
                <w:u w:val="single"/>
              </w:rPr>
              <w:t xml:space="preserve"> </w:t>
            </w:r>
            <w:r>
              <w:rPr>
                <w:rStyle w:val="39"/>
                <w:rFonts w:ascii="宋体" w:hAnsi="宋体"/>
                <w:szCs w:val="21"/>
              </w:rPr>
              <w:t>，联系电话：</w:t>
            </w:r>
            <w:r>
              <w:rPr>
                <w:rStyle w:val="39"/>
                <w:rFonts w:hint="eastAsia" w:ascii="宋体" w:hAnsi="宋体"/>
                <w:szCs w:val="21"/>
                <w:u w:val="single"/>
              </w:rPr>
              <w:t xml:space="preserve"> 18810318892  </w:t>
            </w:r>
            <w:r>
              <w:rPr>
                <w:rStyle w:val="39"/>
                <w:rFonts w:hint="eastAsia" w:ascii="宋体" w:hAnsi="宋体"/>
                <w:szCs w:val="21"/>
              </w:rPr>
              <w:t>。</w:t>
            </w:r>
          </w:p>
          <w:p w14:paraId="3B33BBEF">
            <w:pPr>
              <w:jc w:val="left"/>
            </w:pPr>
            <w:r>
              <w:rPr>
                <w:rStyle w:val="39"/>
                <w:rFonts w:hint="eastAsia" w:ascii="宋体" w:hAnsi="宋体"/>
                <w:szCs w:val="21"/>
              </w:rPr>
              <w:t>使用单位负责人：</w:t>
            </w:r>
            <w:r>
              <w:rPr>
                <w:rFonts w:hint="eastAsia" w:cs="宋体"/>
                <w:sz w:val="24"/>
                <w:u w:val="single"/>
              </w:rPr>
              <w:t xml:space="preserve"> </w:t>
            </w:r>
            <w:r>
              <w:rPr>
                <w:rStyle w:val="39"/>
                <w:rFonts w:hint="eastAsia" w:ascii="宋体" w:hAnsi="宋体"/>
                <w:szCs w:val="21"/>
                <w:u w:val="single"/>
              </w:rPr>
              <w:t>陈安然</w:t>
            </w:r>
            <w:r>
              <w:rPr>
                <w:rStyle w:val="39"/>
                <w:rFonts w:hint="eastAsia" w:ascii="宋体" w:hAnsi="宋体"/>
                <w:szCs w:val="21"/>
                <w:u w:val="single"/>
                <w:lang w:val="en-US" w:eastAsia="zh-CN"/>
              </w:rPr>
              <w:t>/张勇</w:t>
            </w:r>
            <w:r>
              <w:rPr>
                <w:rFonts w:hint="eastAsia" w:cs="宋体"/>
                <w:szCs w:val="21"/>
                <w:u w:val="single"/>
              </w:rPr>
              <w:t xml:space="preserve"> </w:t>
            </w:r>
            <w:r>
              <w:rPr>
                <w:rStyle w:val="39"/>
                <w:rFonts w:ascii="宋体" w:hAnsi="宋体"/>
                <w:szCs w:val="21"/>
              </w:rPr>
              <w:t>，联系电话：</w:t>
            </w:r>
            <w:r>
              <w:rPr>
                <w:rStyle w:val="39"/>
                <w:rFonts w:hint="eastAsia" w:ascii="宋体" w:hAnsi="宋体"/>
                <w:szCs w:val="21"/>
                <w:u w:val="single"/>
              </w:rPr>
              <w:t>15966333317</w:t>
            </w:r>
            <w:r>
              <w:rPr>
                <w:rStyle w:val="39"/>
                <w:rFonts w:hint="eastAsia" w:ascii="宋体" w:hAnsi="宋体"/>
                <w:szCs w:val="21"/>
                <w:u w:val="single"/>
                <w:lang w:val="en-US" w:eastAsia="zh-CN"/>
              </w:rPr>
              <w:t>/</w:t>
            </w:r>
            <w:r>
              <w:rPr>
                <w:rStyle w:val="39"/>
                <w:rFonts w:hint="eastAsia" w:ascii="宋体" w:hAnsi="宋体"/>
                <w:szCs w:val="21"/>
                <w:u w:val="single"/>
              </w:rPr>
              <w:t xml:space="preserve">13969065152 </w:t>
            </w:r>
            <w:r>
              <w:rPr>
                <w:rStyle w:val="39"/>
                <w:rFonts w:hint="eastAsia" w:ascii="宋体" w:hAnsi="宋体"/>
                <w:szCs w:val="21"/>
              </w:rPr>
              <w:t>。</w:t>
            </w:r>
          </w:p>
        </w:tc>
      </w:tr>
      <w:tr w14:paraId="2270A54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31" w:hRule="atLeas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411826F7">
            <w:pPr>
              <w:rPr>
                <w:rStyle w:val="39"/>
                <w:rFonts w:hint="eastAsia" w:ascii="宋体" w:hAnsi="宋体"/>
                <w:szCs w:val="21"/>
              </w:rPr>
            </w:pPr>
            <w:r>
              <w:rPr>
                <w:rStyle w:val="39"/>
                <w:rFonts w:ascii="宋体" w:hAnsi="宋体"/>
                <w:szCs w:val="21"/>
              </w:rPr>
              <w:t>1.10.1</w:t>
            </w:r>
          </w:p>
        </w:tc>
        <w:tc>
          <w:tcPr>
            <w:tcW w:w="2293" w:type="dxa"/>
            <w:tcBorders>
              <w:top w:val="single" w:color="000000" w:sz="6" w:space="0"/>
              <w:left w:val="single" w:color="000000" w:sz="6" w:space="0"/>
              <w:bottom w:val="single" w:color="000000" w:sz="6" w:space="0"/>
              <w:right w:val="single" w:color="000000" w:sz="6" w:space="0"/>
            </w:tcBorders>
            <w:vAlign w:val="center"/>
          </w:tcPr>
          <w:p w14:paraId="1A8AA3E7">
            <w:pPr>
              <w:spacing w:line="276" w:lineRule="auto"/>
              <w:rPr>
                <w:rStyle w:val="39"/>
                <w:rFonts w:hint="eastAsia" w:ascii="宋体" w:hAnsi="宋体"/>
                <w:szCs w:val="21"/>
              </w:rPr>
            </w:pPr>
            <w:r>
              <w:rPr>
                <w:rStyle w:val="39"/>
                <w:rFonts w:ascii="宋体" w:hAnsi="宋体"/>
                <w:szCs w:val="21"/>
              </w:rPr>
              <w:t>投标预备会</w:t>
            </w:r>
          </w:p>
        </w:tc>
        <w:tc>
          <w:tcPr>
            <w:tcW w:w="6930" w:type="dxa"/>
            <w:tcBorders>
              <w:top w:val="single" w:color="000000" w:sz="6" w:space="0"/>
              <w:left w:val="single" w:color="000000" w:sz="6" w:space="0"/>
              <w:bottom w:val="single" w:color="000000" w:sz="6" w:space="0"/>
              <w:right w:val="single" w:color="000000" w:sz="12" w:space="0"/>
            </w:tcBorders>
            <w:vAlign w:val="center"/>
          </w:tcPr>
          <w:p w14:paraId="3057AE20">
            <w:pPr>
              <w:spacing w:line="276" w:lineRule="auto"/>
              <w:rPr>
                <w:rStyle w:val="39"/>
                <w:rFonts w:hint="eastAsia" w:ascii="宋体" w:hAnsi="宋体"/>
                <w:szCs w:val="21"/>
              </w:rPr>
            </w:pPr>
            <w:r>
              <w:rPr>
                <w:rStyle w:val="39"/>
                <w:rFonts w:ascii="宋体" w:hAnsi="宋体"/>
                <w:szCs w:val="21"/>
              </w:rPr>
              <w:t>不召开</w:t>
            </w:r>
          </w:p>
        </w:tc>
      </w:tr>
      <w:tr w14:paraId="5114F3F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78E913F9">
            <w:pPr>
              <w:rPr>
                <w:rStyle w:val="39"/>
                <w:rFonts w:hint="eastAsia" w:ascii="宋体" w:hAnsi="宋体"/>
                <w:szCs w:val="21"/>
              </w:rPr>
            </w:pPr>
            <w:r>
              <w:rPr>
                <w:rStyle w:val="39"/>
                <w:rFonts w:ascii="宋体" w:hAnsi="宋体"/>
                <w:szCs w:val="21"/>
              </w:rPr>
              <w:t>1.10.2</w:t>
            </w:r>
          </w:p>
        </w:tc>
        <w:tc>
          <w:tcPr>
            <w:tcW w:w="2293" w:type="dxa"/>
            <w:tcBorders>
              <w:top w:val="single" w:color="000000" w:sz="6" w:space="0"/>
              <w:left w:val="single" w:color="000000" w:sz="6" w:space="0"/>
              <w:bottom w:val="single" w:color="000000" w:sz="6" w:space="0"/>
              <w:right w:val="single" w:color="000000" w:sz="6" w:space="0"/>
            </w:tcBorders>
            <w:vAlign w:val="center"/>
          </w:tcPr>
          <w:p w14:paraId="1EDF0EBA">
            <w:pPr>
              <w:spacing w:line="276" w:lineRule="auto"/>
              <w:rPr>
                <w:rStyle w:val="39"/>
                <w:rFonts w:hint="eastAsia" w:ascii="宋体" w:hAnsi="宋体"/>
                <w:szCs w:val="21"/>
              </w:rPr>
            </w:pPr>
            <w:r>
              <w:rPr>
                <w:rStyle w:val="39"/>
                <w:rFonts w:ascii="宋体" w:hAnsi="宋体"/>
                <w:szCs w:val="21"/>
              </w:rPr>
              <w:t>投标人提出问题的截止时间</w:t>
            </w:r>
          </w:p>
        </w:tc>
        <w:tc>
          <w:tcPr>
            <w:tcW w:w="6930" w:type="dxa"/>
            <w:tcBorders>
              <w:top w:val="single" w:color="000000" w:sz="6" w:space="0"/>
              <w:left w:val="single" w:color="000000" w:sz="6" w:space="0"/>
              <w:bottom w:val="single" w:color="000000" w:sz="6" w:space="0"/>
              <w:right w:val="single" w:color="000000" w:sz="12" w:space="0"/>
            </w:tcBorders>
          </w:tcPr>
          <w:p w14:paraId="01ED13EA">
            <w:pPr>
              <w:spacing w:line="276" w:lineRule="auto"/>
              <w:rPr>
                <w:rStyle w:val="39"/>
                <w:rFonts w:hint="eastAsia" w:ascii="宋体" w:hAnsi="宋体"/>
                <w:bCs/>
                <w:szCs w:val="21"/>
              </w:rPr>
            </w:pPr>
            <w:r>
              <w:rPr>
                <w:rFonts w:hint="eastAsia" w:ascii="宋体" w:hAnsi="宋体"/>
                <w:szCs w:val="21"/>
                <w:highlight w:val="green"/>
                <w:u w:val="single"/>
              </w:rPr>
              <w:t>2025年</w:t>
            </w:r>
            <w:r>
              <w:rPr>
                <w:rFonts w:hint="eastAsia" w:ascii="宋体" w:hAnsi="宋体"/>
                <w:szCs w:val="21"/>
                <w:highlight w:val="green"/>
                <w:u w:val="single"/>
                <w:lang w:val="en-US" w:eastAsia="zh-CN"/>
              </w:rPr>
              <w:t>12</w:t>
            </w:r>
            <w:r>
              <w:rPr>
                <w:rFonts w:hint="eastAsia" w:ascii="宋体" w:hAnsi="宋体"/>
                <w:szCs w:val="21"/>
                <w:highlight w:val="green"/>
                <w:u w:val="single"/>
              </w:rPr>
              <w:t>月</w:t>
            </w:r>
            <w:r>
              <w:rPr>
                <w:rFonts w:hint="eastAsia" w:ascii="宋体" w:hAnsi="宋体"/>
                <w:szCs w:val="21"/>
                <w:highlight w:val="green"/>
                <w:u w:val="single"/>
                <w:lang w:val="en-US" w:eastAsia="zh-CN"/>
              </w:rPr>
              <w:t>18</w:t>
            </w:r>
            <w:r>
              <w:rPr>
                <w:rFonts w:hint="eastAsia" w:ascii="宋体" w:hAnsi="宋体"/>
                <w:szCs w:val="21"/>
                <w:highlight w:val="green"/>
                <w:u w:val="single"/>
              </w:rPr>
              <w:t>日</w:t>
            </w:r>
            <w:r>
              <w:rPr>
                <w:rStyle w:val="39"/>
                <w:rFonts w:ascii="宋体" w:hAnsi="宋体"/>
                <w:szCs w:val="21"/>
                <w:u w:val="single"/>
              </w:rPr>
              <w:t>1</w:t>
            </w:r>
            <w:r>
              <w:rPr>
                <w:rStyle w:val="39"/>
                <w:rFonts w:hint="eastAsia" w:ascii="宋体" w:hAnsi="宋体"/>
                <w:szCs w:val="21"/>
                <w:u w:val="single"/>
                <w:lang w:val="en-US" w:eastAsia="zh-CN"/>
              </w:rPr>
              <w:t>7</w:t>
            </w:r>
            <w:r>
              <w:rPr>
                <w:rStyle w:val="39"/>
                <w:rFonts w:ascii="宋体" w:hAnsi="宋体"/>
                <w:szCs w:val="21"/>
                <w:u w:val="single"/>
              </w:rPr>
              <w:t>：00前，</w:t>
            </w:r>
            <w:r>
              <w:rPr>
                <w:rStyle w:val="39"/>
                <w:rFonts w:ascii="宋体" w:hAnsi="宋体"/>
                <w:szCs w:val="21"/>
              </w:rPr>
              <w:t>发电子邮件（WORD版及加盖公章的扫描件）至</w:t>
            </w:r>
            <w:r>
              <w:rPr>
                <w:rStyle w:val="39"/>
                <w:rFonts w:hint="eastAsia" w:ascii="宋体" w:hAnsi="宋体"/>
                <w:szCs w:val="21"/>
                <w:highlight w:val="cyan"/>
                <w:u w:val="single"/>
                <w:lang w:val="en-US" w:eastAsia="zh-CN"/>
              </w:rPr>
              <w:t>liuyuan</w:t>
            </w:r>
            <w:r>
              <w:rPr>
                <w:rStyle w:val="39"/>
                <w:rFonts w:ascii="宋体" w:hAnsi="宋体"/>
                <w:szCs w:val="21"/>
                <w:highlight w:val="cyan"/>
              </w:rPr>
              <w:t>@sinotruk.com</w:t>
            </w:r>
            <w:r>
              <w:rPr>
                <w:rStyle w:val="39"/>
                <w:rFonts w:ascii="宋体" w:hAnsi="宋体"/>
                <w:szCs w:val="21"/>
              </w:rPr>
              <w:t>，并</w:t>
            </w:r>
            <w:r>
              <w:rPr>
                <w:rStyle w:val="39"/>
                <w:rFonts w:hint="eastAsia" w:ascii="宋体" w:hAnsi="宋体"/>
                <w:bCs/>
                <w:szCs w:val="21"/>
              </w:rPr>
              <w:t>电话通知工作人员查收</w:t>
            </w:r>
            <w:r>
              <w:rPr>
                <w:rStyle w:val="39"/>
                <w:rFonts w:hint="eastAsia" w:ascii="宋体" w:hAnsi="宋体"/>
                <w:bCs/>
                <w:szCs w:val="21"/>
                <w:highlight w:val="cyan"/>
              </w:rPr>
              <w:t>（联系人：</w:t>
            </w:r>
            <w:r>
              <w:rPr>
                <w:rStyle w:val="39"/>
                <w:rFonts w:hint="eastAsia" w:ascii="宋体" w:hAnsi="宋体"/>
                <w:bCs/>
                <w:szCs w:val="21"/>
                <w:highlight w:val="cyan"/>
                <w:lang w:val="en-US" w:eastAsia="zh-CN"/>
              </w:rPr>
              <w:t>刘圆</w:t>
            </w:r>
            <w:r>
              <w:rPr>
                <w:rStyle w:val="39"/>
                <w:rFonts w:hint="eastAsia" w:ascii="宋体" w:hAnsi="宋体"/>
                <w:bCs/>
                <w:szCs w:val="21"/>
                <w:highlight w:val="cyan"/>
              </w:rPr>
              <w:t>；联系方式：</w:t>
            </w:r>
            <w:r>
              <w:rPr>
                <w:rStyle w:val="39"/>
                <w:rFonts w:hint="eastAsia" w:ascii="宋体" w:hAnsi="宋体"/>
                <w:bCs/>
                <w:szCs w:val="21"/>
                <w:highlight w:val="cyan"/>
                <w:lang w:val="en-US" w:eastAsia="zh-CN"/>
              </w:rPr>
              <w:t>13953178362</w:t>
            </w:r>
            <w:r>
              <w:rPr>
                <w:rStyle w:val="39"/>
                <w:rFonts w:hint="eastAsia" w:ascii="宋体" w:hAnsi="宋体"/>
                <w:bCs/>
                <w:szCs w:val="21"/>
              </w:rPr>
              <w:t>）。</w:t>
            </w:r>
          </w:p>
          <w:p w14:paraId="3972830C">
            <w:pPr>
              <w:spacing w:line="276" w:lineRule="auto"/>
            </w:pPr>
            <w:r>
              <w:rPr>
                <w:rStyle w:val="39"/>
                <w:rFonts w:hint="eastAsia" w:ascii="宋体" w:hAnsi="宋体"/>
                <w:b/>
                <w:szCs w:val="21"/>
              </w:rPr>
              <w:t>对招标文件及附件有任何疑问均应在此阶段提出，此阶段未提出异议的视为完全认可招标文件约定的各项条款要求。</w:t>
            </w:r>
          </w:p>
        </w:tc>
      </w:tr>
      <w:tr w14:paraId="7A88AA0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649"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76FF7BCB">
            <w:pPr>
              <w:rPr>
                <w:rStyle w:val="39"/>
                <w:rFonts w:hint="eastAsia" w:ascii="宋体" w:hAnsi="宋体"/>
                <w:szCs w:val="21"/>
              </w:rPr>
            </w:pPr>
            <w:r>
              <w:rPr>
                <w:rStyle w:val="39"/>
                <w:rFonts w:ascii="宋体" w:hAnsi="宋体"/>
                <w:szCs w:val="21"/>
              </w:rPr>
              <w:t>1.10.3</w:t>
            </w:r>
          </w:p>
        </w:tc>
        <w:tc>
          <w:tcPr>
            <w:tcW w:w="2293" w:type="dxa"/>
            <w:tcBorders>
              <w:top w:val="single" w:color="000000" w:sz="6" w:space="0"/>
              <w:left w:val="single" w:color="000000" w:sz="6" w:space="0"/>
              <w:bottom w:val="single" w:color="000000" w:sz="6" w:space="0"/>
              <w:right w:val="single" w:color="000000" w:sz="6" w:space="0"/>
            </w:tcBorders>
            <w:vAlign w:val="center"/>
          </w:tcPr>
          <w:p w14:paraId="1F3277EC">
            <w:pPr>
              <w:spacing w:line="276" w:lineRule="auto"/>
              <w:rPr>
                <w:rStyle w:val="39"/>
                <w:rFonts w:hint="eastAsia" w:ascii="宋体" w:hAnsi="宋体"/>
                <w:szCs w:val="21"/>
              </w:rPr>
            </w:pPr>
            <w:r>
              <w:rPr>
                <w:rStyle w:val="39"/>
                <w:rFonts w:ascii="宋体" w:hAnsi="宋体"/>
                <w:szCs w:val="21"/>
              </w:rPr>
              <w:t>招标人书面澄清时间</w:t>
            </w:r>
          </w:p>
        </w:tc>
        <w:tc>
          <w:tcPr>
            <w:tcW w:w="6930" w:type="dxa"/>
            <w:tcBorders>
              <w:top w:val="single" w:color="000000" w:sz="6" w:space="0"/>
              <w:left w:val="single" w:color="000000" w:sz="6" w:space="0"/>
              <w:bottom w:val="single" w:color="000000" w:sz="6" w:space="0"/>
              <w:right w:val="single" w:color="000000" w:sz="12" w:space="0"/>
            </w:tcBorders>
            <w:vAlign w:val="center"/>
          </w:tcPr>
          <w:p w14:paraId="728F9F7E">
            <w:pPr>
              <w:spacing w:line="276" w:lineRule="auto"/>
              <w:jc w:val="left"/>
              <w:rPr>
                <w:rStyle w:val="39"/>
                <w:rFonts w:hint="eastAsia" w:ascii="宋体" w:hAnsi="宋体"/>
                <w:szCs w:val="21"/>
                <w:u w:val="single"/>
              </w:rPr>
            </w:pPr>
            <w:r>
              <w:rPr>
                <w:rFonts w:hint="eastAsia" w:ascii="宋体" w:hAnsi="宋体"/>
                <w:szCs w:val="21"/>
                <w:highlight w:val="green"/>
                <w:u w:val="single"/>
              </w:rPr>
              <w:t>2025年</w:t>
            </w:r>
            <w:r>
              <w:rPr>
                <w:rFonts w:hint="eastAsia" w:ascii="宋体" w:hAnsi="宋体"/>
                <w:szCs w:val="21"/>
                <w:highlight w:val="green"/>
                <w:u w:val="single"/>
                <w:lang w:val="en-US" w:eastAsia="zh-CN"/>
              </w:rPr>
              <w:t>12</w:t>
            </w:r>
            <w:r>
              <w:rPr>
                <w:rFonts w:hint="eastAsia" w:ascii="宋体" w:hAnsi="宋体"/>
                <w:szCs w:val="21"/>
                <w:highlight w:val="green"/>
                <w:u w:val="single"/>
              </w:rPr>
              <w:t>月</w:t>
            </w:r>
            <w:r>
              <w:rPr>
                <w:rFonts w:hint="eastAsia" w:ascii="宋体" w:hAnsi="宋体"/>
                <w:szCs w:val="21"/>
                <w:highlight w:val="green"/>
                <w:u w:val="single"/>
                <w:lang w:val="en-US" w:eastAsia="zh-CN"/>
              </w:rPr>
              <w:t>19</w:t>
            </w:r>
            <w:r>
              <w:rPr>
                <w:rFonts w:hint="eastAsia" w:ascii="宋体" w:hAnsi="宋体"/>
                <w:szCs w:val="21"/>
                <w:highlight w:val="green"/>
                <w:u w:val="single"/>
              </w:rPr>
              <w:t>日</w:t>
            </w:r>
            <w:r>
              <w:rPr>
                <w:rStyle w:val="39"/>
                <w:rFonts w:ascii="宋体" w:hAnsi="宋体"/>
                <w:szCs w:val="21"/>
                <w:u w:val="single"/>
              </w:rPr>
              <w:t>1</w:t>
            </w:r>
            <w:r>
              <w:rPr>
                <w:rStyle w:val="39"/>
                <w:rFonts w:hint="eastAsia" w:ascii="宋体" w:hAnsi="宋体"/>
                <w:szCs w:val="21"/>
                <w:u w:val="single"/>
              </w:rPr>
              <w:t>7</w:t>
            </w:r>
            <w:r>
              <w:rPr>
                <w:rStyle w:val="39"/>
                <w:rFonts w:ascii="宋体" w:hAnsi="宋体"/>
                <w:szCs w:val="21"/>
                <w:u w:val="single"/>
              </w:rPr>
              <w:t>：00前</w:t>
            </w:r>
          </w:p>
        </w:tc>
      </w:tr>
      <w:tr w14:paraId="692B49C7">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79986B7B">
            <w:pPr>
              <w:rPr>
                <w:rStyle w:val="39"/>
                <w:rFonts w:hint="eastAsia" w:ascii="宋体" w:hAnsi="宋体"/>
                <w:szCs w:val="21"/>
              </w:rPr>
            </w:pPr>
            <w:r>
              <w:rPr>
                <w:rStyle w:val="39"/>
                <w:rFonts w:ascii="宋体" w:hAnsi="宋体"/>
                <w:szCs w:val="21"/>
              </w:rPr>
              <w:t>1.11</w:t>
            </w:r>
          </w:p>
        </w:tc>
        <w:tc>
          <w:tcPr>
            <w:tcW w:w="2293" w:type="dxa"/>
            <w:tcBorders>
              <w:top w:val="single" w:color="000000" w:sz="6" w:space="0"/>
              <w:left w:val="single" w:color="000000" w:sz="6" w:space="0"/>
              <w:bottom w:val="single" w:color="000000" w:sz="6" w:space="0"/>
              <w:right w:val="single" w:color="000000" w:sz="6" w:space="0"/>
            </w:tcBorders>
            <w:vAlign w:val="center"/>
          </w:tcPr>
          <w:p w14:paraId="767814DF">
            <w:pPr>
              <w:spacing w:line="276" w:lineRule="auto"/>
              <w:rPr>
                <w:rStyle w:val="39"/>
                <w:rFonts w:hint="eastAsia" w:ascii="宋体" w:hAnsi="宋体"/>
                <w:szCs w:val="21"/>
              </w:rPr>
            </w:pPr>
            <w:r>
              <w:rPr>
                <w:rStyle w:val="39"/>
                <w:rFonts w:ascii="宋体" w:hAnsi="宋体"/>
                <w:szCs w:val="21"/>
              </w:rPr>
              <w:t>工程分包</w:t>
            </w:r>
          </w:p>
        </w:tc>
        <w:tc>
          <w:tcPr>
            <w:tcW w:w="6930" w:type="dxa"/>
            <w:tcBorders>
              <w:top w:val="single" w:color="000000" w:sz="6" w:space="0"/>
              <w:left w:val="single" w:color="000000" w:sz="6" w:space="0"/>
              <w:bottom w:val="single" w:color="000000" w:sz="6" w:space="0"/>
              <w:right w:val="single" w:color="000000" w:sz="12" w:space="0"/>
            </w:tcBorders>
            <w:vAlign w:val="center"/>
          </w:tcPr>
          <w:p w14:paraId="71AD732C">
            <w:pPr>
              <w:spacing w:line="276" w:lineRule="auto"/>
              <w:rPr>
                <w:rStyle w:val="39"/>
                <w:rFonts w:hint="eastAsia" w:ascii="宋体" w:hAnsi="宋体"/>
                <w:szCs w:val="21"/>
              </w:rPr>
            </w:pPr>
            <w:r>
              <w:rPr>
                <w:rStyle w:val="39"/>
                <w:rFonts w:hint="eastAsia" w:ascii="宋体" w:hAnsi="宋体"/>
                <w:bCs/>
                <w:szCs w:val="21"/>
              </w:rPr>
              <w:t>原则上</w:t>
            </w:r>
            <w:r>
              <w:rPr>
                <w:rStyle w:val="39"/>
                <w:rFonts w:ascii="宋体" w:hAnsi="宋体"/>
                <w:bCs/>
                <w:szCs w:val="21"/>
              </w:rPr>
              <w:t>不允许</w:t>
            </w:r>
            <w:r>
              <w:rPr>
                <w:rStyle w:val="39"/>
                <w:rFonts w:hint="eastAsia" w:ascii="宋体" w:hAnsi="宋体"/>
                <w:bCs/>
                <w:szCs w:val="21"/>
              </w:rPr>
              <w:t>，</w:t>
            </w:r>
            <w:r>
              <w:rPr>
                <w:rFonts w:hint="eastAsia"/>
              </w:rPr>
              <w:t>如需专业分包须经招标人审核同意</w:t>
            </w:r>
          </w:p>
        </w:tc>
      </w:tr>
      <w:tr w14:paraId="72F46F1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12" w:space="0"/>
              <w:right w:val="single" w:color="000000" w:sz="6" w:space="0"/>
            </w:tcBorders>
            <w:vAlign w:val="center"/>
          </w:tcPr>
          <w:p w14:paraId="7885B643">
            <w:pPr>
              <w:rPr>
                <w:rStyle w:val="39"/>
                <w:rFonts w:hint="eastAsia" w:ascii="宋体" w:hAnsi="宋体"/>
                <w:szCs w:val="21"/>
              </w:rPr>
            </w:pPr>
            <w:r>
              <w:rPr>
                <w:rStyle w:val="39"/>
                <w:rFonts w:ascii="宋体" w:hAnsi="宋体"/>
                <w:szCs w:val="21"/>
              </w:rPr>
              <w:t>1.12</w:t>
            </w:r>
          </w:p>
        </w:tc>
        <w:tc>
          <w:tcPr>
            <w:tcW w:w="2293" w:type="dxa"/>
            <w:tcBorders>
              <w:top w:val="single" w:color="000000" w:sz="6" w:space="0"/>
              <w:left w:val="single" w:color="000000" w:sz="6" w:space="0"/>
              <w:bottom w:val="single" w:color="000000" w:sz="12" w:space="0"/>
              <w:right w:val="single" w:color="000000" w:sz="6" w:space="0"/>
            </w:tcBorders>
            <w:vAlign w:val="center"/>
          </w:tcPr>
          <w:p w14:paraId="0C149276">
            <w:pPr>
              <w:spacing w:line="276" w:lineRule="auto"/>
              <w:rPr>
                <w:rStyle w:val="39"/>
                <w:rFonts w:hint="eastAsia" w:ascii="宋体" w:hAnsi="宋体"/>
                <w:szCs w:val="21"/>
              </w:rPr>
            </w:pPr>
            <w:r>
              <w:rPr>
                <w:rStyle w:val="39"/>
                <w:rFonts w:ascii="宋体" w:hAnsi="宋体"/>
                <w:szCs w:val="21"/>
              </w:rPr>
              <w:t>偏离</w:t>
            </w:r>
          </w:p>
        </w:tc>
        <w:tc>
          <w:tcPr>
            <w:tcW w:w="6930" w:type="dxa"/>
            <w:tcBorders>
              <w:top w:val="single" w:color="000000" w:sz="6" w:space="0"/>
              <w:left w:val="single" w:color="000000" w:sz="6" w:space="0"/>
              <w:bottom w:val="single" w:color="000000" w:sz="12" w:space="0"/>
              <w:right w:val="single" w:color="000000" w:sz="12" w:space="0"/>
            </w:tcBorders>
            <w:vAlign w:val="center"/>
          </w:tcPr>
          <w:p w14:paraId="7B68794D">
            <w:pPr>
              <w:spacing w:line="276" w:lineRule="auto"/>
              <w:rPr>
                <w:rStyle w:val="39"/>
                <w:rFonts w:hint="eastAsia" w:ascii="宋体" w:hAnsi="宋体"/>
                <w:szCs w:val="21"/>
              </w:rPr>
            </w:pPr>
            <w:r>
              <w:rPr>
                <w:rStyle w:val="39"/>
                <w:rFonts w:ascii="宋体" w:hAnsi="宋体"/>
                <w:szCs w:val="21"/>
              </w:rPr>
              <w:t>不允许</w:t>
            </w:r>
          </w:p>
        </w:tc>
      </w:tr>
      <w:tr w14:paraId="3783DBC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12" w:space="0"/>
              <w:left w:val="single" w:color="000000" w:sz="12" w:space="0"/>
              <w:bottom w:val="single" w:color="000000" w:sz="6" w:space="0"/>
              <w:right w:val="single" w:color="000000" w:sz="6" w:space="0"/>
            </w:tcBorders>
            <w:vAlign w:val="center"/>
          </w:tcPr>
          <w:p w14:paraId="2C166166">
            <w:pPr>
              <w:rPr>
                <w:rStyle w:val="39"/>
                <w:rFonts w:hint="eastAsia" w:ascii="宋体" w:hAnsi="宋体"/>
                <w:szCs w:val="21"/>
              </w:rPr>
            </w:pPr>
            <w:r>
              <w:rPr>
                <w:rStyle w:val="39"/>
                <w:rFonts w:ascii="宋体" w:hAnsi="宋体"/>
                <w:szCs w:val="21"/>
              </w:rPr>
              <w:t>2.1</w:t>
            </w:r>
          </w:p>
        </w:tc>
        <w:tc>
          <w:tcPr>
            <w:tcW w:w="2293" w:type="dxa"/>
            <w:tcBorders>
              <w:top w:val="single" w:color="000000" w:sz="12" w:space="0"/>
              <w:left w:val="single" w:color="000000" w:sz="6" w:space="0"/>
              <w:bottom w:val="single" w:color="000000" w:sz="6" w:space="0"/>
              <w:right w:val="single" w:color="000000" w:sz="6" w:space="0"/>
            </w:tcBorders>
            <w:vAlign w:val="center"/>
          </w:tcPr>
          <w:p w14:paraId="1564FA3D">
            <w:pPr>
              <w:spacing w:line="276" w:lineRule="auto"/>
              <w:rPr>
                <w:rStyle w:val="39"/>
                <w:rFonts w:hint="eastAsia" w:ascii="宋体" w:hAnsi="宋体"/>
                <w:szCs w:val="21"/>
              </w:rPr>
            </w:pPr>
            <w:r>
              <w:rPr>
                <w:rStyle w:val="39"/>
                <w:rFonts w:ascii="宋体" w:hAnsi="宋体"/>
                <w:szCs w:val="21"/>
              </w:rPr>
              <w:t>构成招标文件的其他材料</w:t>
            </w:r>
          </w:p>
        </w:tc>
        <w:tc>
          <w:tcPr>
            <w:tcW w:w="6930" w:type="dxa"/>
            <w:tcBorders>
              <w:top w:val="single" w:color="000000" w:sz="12" w:space="0"/>
              <w:left w:val="single" w:color="000000" w:sz="6" w:space="0"/>
              <w:bottom w:val="single" w:color="000000" w:sz="6" w:space="0"/>
              <w:right w:val="single" w:color="000000" w:sz="12" w:space="0"/>
            </w:tcBorders>
            <w:vAlign w:val="center"/>
          </w:tcPr>
          <w:p w14:paraId="32C12428">
            <w:pPr>
              <w:spacing w:line="276" w:lineRule="auto"/>
              <w:rPr>
                <w:rStyle w:val="39"/>
                <w:rFonts w:hint="eastAsia" w:ascii="宋体" w:hAnsi="宋体"/>
                <w:szCs w:val="21"/>
                <w:shd w:val="pct10" w:color="auto" w:fill="FFFFFF"/>
              </w:rPr>
            </w:pPr>
            <w:r>
              <w:rPr>
                <w:rStyle w:val="39"/>
                <w:rFonts w:ascii="宋体" w:hAnsi="宋体"/>
                <w:szCs w:val="21"/>
              </w:rPr>
              <w:t>本项目的招标答疑文件及补充通知（如有）</w:t>
            </w:r>
          </w:p>
        </w:tc>
      </w:tr>
      <w:tr w14:paraId="7ED7537B">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0D9D8445">
            <w:pPr>
              <w:rPr>
                <w:rStyle w:val="39"/>
                <w:rFonts w:hint="eastAsia" w:ascii="宋体" w:hAnsi="宋体"/>
                <w:szCs w:val="21"/>
              </w:rPr>
            </w:pPr>
            <w:r>
              <w:rPr>
                <w:rStyle w:val="39"/>
                <w:rFonts w:ascii="宋体" w:hAnsi="宋体"/>
                <w:szCs w:val="21"/>
              </w:rPr>
              <w:t>2.2.1</w:t>
            </w:r>
          </w:p>
        </w:tc>
        <w:tc>
          <w:tcPr>
            <w:tcW w:w="2293" w:type="dxa"/>
            <w:tcBorders>
              <w:top w:val="single" w:color="000000" w:sz="6" w:space="0"/>
              <w:left w:val="single" w:color="000000" w:sz="6" w:space="0"/>
              <w:bottom w:val="single" w:color="000000" w:sz="6" w:space="0"/>
              <w:right w:val="single" w:color="000000" w:sz="6" w:space="0"/>
            </w:tcBorders>
            <w:vAlign w:val="center"/>
          </w:tcPr>
          <w:p w14:paraId="6A85BCEF">
            <w:pPr>
              <w:spacing w:line="276" w:lineRule="auto"/>
              <w:rPr>
                <w:rStyle w:val="39"/>
                <w:rFonts w:hint="eastAsia" w:ascii="宋体" w:hAnsi="宋体"/>
                <w:szCs w:val="21"/>
              </w:rPr>
            </w:pPr>
            <w:r>
              <w:rPr>
                <w:rStyle w:val="39"/>
                <w:rFonts w:ascii="宋体" w:hAnsi="宋体"/>
                <w:szCs w:val="21"/>
              </w:rPr>
              <w:t>投标人要求澄清招标文件的截止时间</w:t>
            </w:r>
          </w:p>
        </w:tc>
        <w:tc>
          <w:tcPr>
            <w:tcW w:w="6930" w:type="dxa"/>
            <w:tcBorders>
              <w:top w:val="single" w:color="000000" w:sz="6" w:space="0"/>
              <w:left w:val="single" w:color="000000" w:sz="6" w:space="0"/>
              <w:bottom w:val="single" w:color="000000" w:sz="6" w:space="0"/>
              <w:right w:val="single" w:color="000000" w:sz="12" w:space="0"/>
            </w:tcBorders>
            <w:vAlign w:val="center"/>
          </w:tcPr>
          <w:p w14:paraId="56F251F4">
            <w:pPr>
              <w:spacing w:line="276" w:lineRule="auto"/>
              <w:rPr>
                <w:rStyle w:val="39"/>
                <w:rFonts w:hint="eastAsia" w:ascii="宋体" w:hAnsi="宋体"/>
                <w:szCs w:val="21"/>
                <w:u w:val="single"/>
              </w:rPr>
            </w:pPr>
            <w:r>
              <w:rPr>
                <w:rFonts w:hint="eastAsia" w:ascii="宋体" w:hAnsi="宋体"/>
                <w:szCs w:val="21"/>
                <w:highlight w:val="green"/>
                <w:u w:val="single"/>
              </w:rPr>
              <w:t>2025年</w:t>
            </w:r>
            <w:r>
              <w:rPr>
                <w:rFonts w:hint="eastAsia" w:ascii="宋体" w:hAnsi="宋体"/>
                <w:szCs w:val="21"/>
                <w:highlight w:val="green"/>
                <w:u w:val="single"/>
                <w:lang w:val="en-US" w:eastAsia="zh-CN"/>
              </w:rPr>
              <w:t>12</w:t>
            </w:r>
            <w:r>
              <w:rPr>
                <w:rFonts w:hint="eastAsia" w:ascii="宋体" w:hAnsi="宋体"/>
                <w:szCs w:val="21"/>
                <w:highlight w:val="green"/>
                <w:u w:val="single"/>
              </w:rPr>
              <w:t>月</w:t>
            </w:r>
            <w:r>
              <w:rPr>
                <w:rFonts w:hint="eastAsia" w:ascii="宋体" w:hAnsi="宋体"/>
                <w:szCs w:val="21"/>
                <w:highlight w:val="green"/>
                <w:u w:val="single"/>
                <w:lang w:val="en-US" w:eastAsia="zh-CN"/>
              </w:rPr>
              <w:t>19</w:t>
            </w:r>
            <w:r>
              <w:rPr>
                <w:rFonts w:hint="eastAsia" w:ascii="宋体" w:hAnsi="宋体"/>
                <w:szCs w:val="21"/>
                <w:highlight w:val="green"/>
                <w:u w:val="single"/>
              </w:rPr>
              <w:t>日</w:t>
            </w:r>
            <w:r>
              <w:rPr>
                <w:rStyle w:val="39"/>
                <w:rFonts w:ascii="宋体" w:hAnsi="宋体"/>
                <w:szCs w:val="21"/>
                <w:u w:val="single"/>
              </w:rPr>
              <w:t>1</w:t>
            </w:r>
            <w:r>
              <w:rPr>
                <w:rStyle w:val="39"/>
                <w:rFonts w:hint="eastAsia" w:ascii="宋体" w:hAnsi="宋体"/>
                <w:szCs w:val="21"/>
                <w:u w:val="single"/>
              </w:rPr>
              <w:t>7</w:t>
            </w:r>
            <w:r>
              <w:rPr>
                <w:rStyle w:val="39"/>
                <w:rFonts w:ascii="宋体" w:hAnsi="宋体"/>
                <w:szCs w:val="21"/>
                <w:u w:val="single"/>
              </w:rPr>
              <w:t>时00</w:t>
            </w:r>
          </w:p>
        </w:tc>
      </w:tr>
      <w:tr w14:paraId="6D404F82">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710"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7DF5523F">
            <w:pPr>
              <w:rPr>
                <w:rStyle w:val="39"/>
                <w:rFonts w:hint="eastAsia" w:ascii="宋体" w:hAnsi="宋体"/>
                <w:szCs w:val="21"/>
              </w:rPr>
            </w:pPr>
            <w:r>
              <w:rPr>
                <w:rStyle w:val="39"/>
                <w:rFonts w:ascii="宋体" w:hAnsi="宋体"/>
                <w:szCs w:val="21"/>
              </w:rPr>
              <w:t>2.2.2</w:t>
            </w:r>
          </w:p>
        </w:tc>
        <w:tc>
          <w:tcPr>
            <w:tcW w:w="2293" w:type="dxa"/>
            <w:tcBorders>
              <w:top w:val="single" w:color="000000" w:sz="6" w:space="0"/>
              <w:left w:val="single" w:color="000000" w:sz="6" w:space="0"/>
              <w:bottom w:val="single" w:color="000000" w:sz="6" w:space="0"/>
              <w:right w:val="single" w:color="000000" w:sz="6" w:space="0"/>
            </w:tcBorders>
            <w:vAlign w:val="center"/>
          </w:tcPr>
          <w:p w14:paraId="24DEFE5D">
            <w:pPr>
              <w:spacing w:line="276" w:lineRule="auto"/>
              <w:rPr>
                <w:rStyle w:val="39"/>
                <w:rFonts w:hint="eastAsia" w:ascii="宋体" w:hAnsi="宋体"/>
                <w:szCs w:val="21"/>
              </w:rPr>
            </w:pPr>
            <w:r>
              <w:rPr>
                <w:rStyle w:val="39"/>
                <w:rFonts w:ascii="宋体" w:hAnsi="宋体"/>
                <w:szCs w:val="21"/>
              </w:rPr>
              <w:t>投标截止时间</w:t>
            </w:r>
          </w:p>
        </w:tc>
        <w:tc>
          <w:tcPr>
            <w:tcW w:w="6930" w:type="dxa"/>
            <w:tcBorders>
              <w:top w:val="single" w:color="000000" w:sz="6" w:space="0"/>
              <w:left w:val="single" w:color="000000" w:sz="6" w:space="0"/>
              <w:bottom w:val="single" w:color="000000" w:sz="6" w:space="0"/>
              <w:right w:val="single" w:color="000000" w:sz="12" w:space="0"/>
            </w:tcBorders>
            <w:vAlign w:val="center"/>
          </w:tcPr>
          <w:p w14:paraId="0E376AC9">
            <w:pPr>
              <w:spacing w:line="276" w:lineRule="auto"/>
              <w:rPr>
                <w:rStyle w:val="39"/>
                <w:rFonts w:hint="eastAsia" w:ascii="宋体" w:hAnsi="宋体"/>
                <w:szCs w:val="21"/>
                <w:u w:val="single"/>
              </w:rPr>
            </w:pPr>
            <w:r>
              <w:rPr>
                <w:rFonts w:hint="eastAsia" w:ascii="宋体" w:hAnsi="宋体"/>
                <w:szCs w:val="21"/>
                <w:highlight w:val="green"/>
                <w:u w:val="single"/>
              </w:rPr>
              <w:t>2025年</w:t>
            </w:r>
            <w:r>
              <w:rPr>
                <w:rFonts w:hint="eastAsia" w:ascii="宋体" w:hAnsi="宋体"/>
                <w:szCs w:val="21"/>
                <w:highlight w:val="green"/>
                <w:u w:val="single"/>
                <w:lang w:val="en-US" w:eastAsia="zh-CN"/>
              </w:rPr>
              <w:t>12</w:t>
            </w:r>
            <w:r>
              <w:rPr>
                <w:rFonts w:hint="eastAsia" w:ascii="宋体" w:hAnsi="宋体"/>
                <w:szCs w:val="21"/>
                <w:highlight w:val="green"/>
                <w:u w:val="single"/>
              </w:rPr>
              <w:t>月</w:t>
            </w:r>
            <w:r>
              <w:rPr>
                <w:rFonts w:hint="eastAsia" w:ascii="宋体" w:hAnsi="宋体"/>
                <w:szCs w:val="21"/>
                <w:highlight w:val="green"/>
                <w:u w:val="single"/>
                <w:lang w:val="en-US" w:eastAsia="zh-CN"/>
              </w:rPr>
              <w:t>23</w:t>
            </w:r>
            <w:r>
              <w:rPr>
                <w:rFonts w:hint="eastAsia" w:ascii="宋体" w:hAnsi="宋体"/>
                <w:szCs w:val="21"/>
                <w:highlight w:val="green"/>
                <w:u w:val="single"/>
              </w:rPr>
              <w:t>日</w:t>
            </w:r>
            <w:r>
              <w:rPr>
                <w:rStyle w:val="39"/>
                <w:rFonts w:hint="eastAsia" w:ascii="宋体" w:hAnsi="宋体"/>
                <w:szCs w:val="21"/>
                <w:u w:val="single"/>
              </w:rPr>
              <w:t>9</w:t>
            </w:r>
            <w:r>
              <w:rPr>
                <w:rStyle w:val="39"/>
                <w:rFonts w:ascii="宋体" w:hAnsi="宋体"/>
                <w:szCs w:val="21"/>
                <w:u w:val="single"/>
              </w:rPr>
              <w:t>时</w:t>
            </w:r>
            <w:r>
              <w:rPr>
                <w:rStyle w:val="39"/>
                <w:rFonts w:hint="eastAsia" w:ascii="宋体" w:hAnsi="宋体"/>
                <w:szCs w:val="21"/>
                <w:u w:val="single"/>
              </w:rPr>
              <w:t>00</w:t>
            </w:r>
          </w:p>
        </w:tc>
      </w:tr>
      <w:tr w14:paraId="7D76B465">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67A7E2D9">
            <w:pPr>
              <w:rPr>
                <w:rStyle w:val="39"/>
                <w:rFonts w:hint="eastAsia" w:ascii="宋体" w:hAnsi="宋体"/>
                <w:szCs w:val="21"/>
              </w:rPr>
            </w:pPr>
            <w:r>
              <w:rPr>
                <w:rStyle w:val="39"/>
                <w:rFonts w:ascii="宋体" w:hAnsi="宋体"/>
                <w:szCs w:val="21"/>
              </w:rPr>
              <w:t>2.2.3</w:t>
            </w:r>
          </w:p>
        </w:tc>
        <w:tc>
          <w:tcPr>
            <w:tcW w:w="2293" w:type="dxa"/>
            <w:tcBorders>
              <w:top w:val="single" w:color="000000" w:sz="6" w:space="0"/>
              <w:left w:val="single" w:color="000000" w:sz="6" w:space="0"/>
              <w:bottom w:val="single" w:color="000000" w:sz="6" w:space="0"/>
              <w:right w:val="single" w:color="000000" w:sz="6" w:space="0"/>
            </w:tcBorders>
            <w:vAlign w:val="center"/>
          </w:tcPr>
          <w:p w14:paraId="36AC26D5">
            <w:pPr>
              <w:spacing w:line="276" w:lineRule="auto"/>
              <w:rPr>
                <w:rStyle w:val="39"/>
                <w:rFonts w:hint="eastAsia" w:ascii="宋体" w:hAnsi="宋体"/>
                <w:szCs w:val="21"/>
              </w:rPr>
            </w:pPr>
            <w:r>
              <w:rPr>
                <w:rStyle w:val="39"/>
                <w:rFonts w:ascii="宋体" w:hAnsi="宋体"/>
                <w:szCs w:val="21"/>
              </w:rPr>
              <w:t>投标人确认收到招标文件澄清的时间及方式</w:t>
            </w:r>
          </w:p>
        </w:tc>
        <w:tc>
          <w:tcPr>
            <w:tcW w:w="6930" w:type="dxa"/>
            <w:tcBorders>
              <w:top w:val="single" w:color="000000" w:sz="6" w:space="0"/>
              <w:left w:val="single" w:color="000000" w:sz="6" w:space="0"/>
              <w:bottom w:val="single" w:color="000000" w:sz="6" w:space="0"/>
              <w:right w:val="single" w:color="000000" w:sz="12" w:space="0"/>
            </w:tcBorders>
            <w:vAlign w:val="center"/>
          </w:tcPr>
          <w:p w14:paraId="1088B96A">
            <w:pPr>
              <w:spacing w:line="276" w:lineRule="auto"/>
              <w:ind w:left="-2" w:leftChars="-1" w:firstLine="2" w:firstLineChars="1"/>
              <w:rPr>
                <w:rStyle w:val="39"/>
                <w:rFonts w:hint="eastAsia" w:ascii="宋体" w:hAnsi="宋体"/>
                <w:szCs w:val="21"/>
                <w:u w:val="single"/>
              </w:rPr>
            </w:pPr>
            <w:r>
              <w:rPr>
                <w:rStyle w:val="39"/>
                <w:rFonts w:ascii="宋体" w:hAnsi="宋体"/>
                <w:szCs w:val="21"/>
              </w:rPr>
              <w:t>在收到相应澄清文件后</w:t>
            </w:r>
            <w:r>
              <w:rPr>
                <w:rStyle w:val="39"/>
                <w:rFonts w:ascii="宋体" w:hAnsi="宋体"/>
                <w:szCs w:val="21"/>
                <w:u w:val="single"/>
              </w:rPr>
              <w:t>24</w:t>
            </w:r>
            <w:r>
              <w:rPr>
                <w:rStyle w:val="39"/>
                <w:rFonts w:ascii="宋体" w:hAnsi="宋体"/>
                <w:szCs w:val="21"/>
              </w:rPr>
              <w:t>小时内；在回执单上盖上单位公章，以书面方式回执。</w:t>
            </w:r>
          </w:p>
        </w:tc>
      </w:tr>
      <w:tr w14:paraId="7EFE8FD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59FD0225">
            <w:pPr>
              <w:rPr>
                <w:rStyle w:val="39"/>
                <w:rFonts w:hint="eastAsia" w:ascii="宋体" w:hAnsi="宋体"/>
                <w:szCs w:val="21"/>
              </w:rPr>
            </w:pPr>
            <w:r>
              <w:rPr>
                <w:rStyle w:val="39"/>
                <w:rFonts w:ascii="宋体" w:hAnsi="宋体"/>
                <w:szCs w:val="21"/>
              </w:rPr>
              <w:t>2.3.2</w:t>
            </w:r>
          </w:p>
        </w:tc>
        <w:tc>
          <w:tcPr>
            <w:tcW w:w="2293" w:type="dxa"/>
            <w:tcBorders>
              <w:top w:val="single" w:color="000000" w:sz="6" w:space="0"/>
              <w:left w:val="single" w:color="000000" w:sz="6" w:space="0"/>
              <w:bottom w:val="single" w:color="000000" w:sz="6" w:space="0"/>
              <w:right w:val="single" w:color="000000" w:sz="6" w:space="0"/>
            </w:tcBorders>
            <w:vAlign w:val="center"/>
          </w:tcPr>
          <w:p w14:paraId="72E5F8D7">
            <w:pPr>
              <w:spacing w:line="276" w:lineRule="auto"/>
              <w:rPr>
                <w:rStyle w:val="39"/>
                <w:rFonts w:hint="eastAsia" w:ascii="宋体" w:hAnsi="宋体"/>
                <w:szCs w:val="21"/>
              </w:rPr>
            </w:pPr>
            <w:r>
              <w:rPr>
                <w:rStyle w:val="39"/>
                <w:rFonts w:ascii="宋体" w:hAnsi="宋体"/>
                <w:szCs w:val="21"/>
              </w:rPr>
              <w:t>投标人确认收到招标文件修改的时间及方式</w:t>
            </w:r>
          </w:p>
        </w:tc>
        <w:tc>
          <w:tcPr>
            <w:tcW w:w="6930" w:type="dxa"/>
            <w:tcBorders>
              <w:top w:val="single" w:color="000000" w:sz="6" w:space="0"/>
              <w:left w:val="single" w:color="000000" w:sz="6" w:space="0"/>
              <w:bottom w:val="single" w:color="000000" w:sz="6" w:space="0"/>
              <w:right w:val="single" w:color="000000" w:sz="12" w:space="0"/>
            </w:tcBorders>
            <w:vAlign w:val="center"/>
          </w:tcPr>
          <w:p w14:paraId="6CD423F7">
            <w:pPr>
              <w:spacing w:line="276" w:lineRule="auto"/>
              <w:rPr>
                <w:rStyle w:val="39"/>
                <w:rFonts w:hint="eastAsia" w:ascii="宋体" w:hAnsi="宋体"/>
                <w:szCs w:val="21"/>
              </w:rPr>
            </w:pPr>
            <w:r>
              <w:rPr>
                <w:rStyle w:val="39"/>
                <w:rFonts w:ascii="宋体" w:hAnsi="宋体"/>
                <w:szCs w:val="21"/>
              </w:rPr>
              <w:t>在收到相应修改文件后</w:t>
            </w:r>
            <w:r>
              <w:rPr>
                <w:rStyle w:val="39"/>
                <w:rFonts w:ascii="宋体" w:hAnsi="宋体"/>
                <w:szCs w:val="21"/>
                <w:u w:val="single"/>
              </w:rPr>
              <w:t>24</w:t>
            </w:r>
            <w:r>
              <w:rPr>
                <w:rStyle w:val="39"/>
                <w:rFonts w:ascii="宋体" w:hAnsi="宋体"/>
                <w:szCs w:val="21"/>
              </w:rPr>
              <w:t>小时内；在回执单上盖上单位公章，以书面方式回执。</w:t>
            </w:r>
          </w:p>
        </w:tc>
      </w:tr>
      <w:tr w14:paraId="360D98B2">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1939924F">
            <w:pPr>
              <w:rPr>
                <w:rStyle w:val="39"/>
                <w:rFonts w:hint="eastAsia" w:ascii="宋体" w:hAnsi="宋体"/>
                <w:szCs w:val="21"/>
              </w:rPr>
            </w:pPr>
            <w:r>
              <w:rPr>
                <w:rStyle w:val="39"/>
                <w:rFonts w:ascii="宋体" w:hAnsi="宋体"/>
                <w:szCs w:val="21"/>
              </w:rPr>
              <w:t>3.1.1</w:t>
            </w:r>
          </w:p>
        </w:tc>
        <w:tc>
          <w:tcPr>
            <w:tcW w:w="2293" w:type="dxa"/>
            <w:tcBorders>
              <w:top w:val="single" w:color="000000" w:sz="6" w:space="0"/>
              <w:left w:val="single" w:color="000000" w:sz="6" w:space="0"/>
              <w:bottom w:val="single" w:color="000000" w:sz="6" w:space="0"/>
              <w:right w:val="single" w:color="000000" w:sz="6" w:space="0"/>
            </w:tcBorders>
            <w:vAlign w:val="center"/>
          </w:tcPr>
          <w:p w14:paraId="1016B984">
            <w:pPr>
              <w:spacing w:line="276" w:lineRule="auto"/>
              <w:rPr>
                <w:rStyle w:val="39"/>
                <w:rFonts w:hint="eastAsia" w:ascii="宋体" w:hAnsi="宋体"/>
                <w:szCs w:val="21"/>
              </w:rPr>
            </w:pPr>
            <w:r>
              <w:rPr>
                <w:rStyle w:val="39"/>
                <w:rFonts w:ascii="宋体" w:hAnsi="宋体"/>
                <w:szCs w:val="21"/>
              </w:rPr>
              <w:t>构成投标文件的其他材料</w:t>
            </w:r>
          </w:p>
        </w:tc>
        <w:tc>
          <w:tcPr>
            <w:tcW w:w="6930" w:type="dxa"/>
            <w:tcBorders>
              <w:top w:val="single" w:color="000000" w:sz="6" w:space="0"/>
              <w:left w:val="single" w:color="000000" w:sz="6" w:space="0"/>
              <w:bottom w:val="single" w:color="000000" w:sz="6" w:space="0"/>
              <w:right w:val="single" w:color="000000" w:sz="12" w:space="0"/>
            </w:tcBorders>
            <w:vAlign w:val="center"/>
          </w:tcPr>
          <w:p w14:paraId="5BDD4A8A">
            <w:pPr>
              <w:spacing w:line="276" w:lineRule="auto"/>
              <w:rPr>
                <w:rStyle w:val="39"/>
                <w:rFonts w:hint="eastAsia" w:ascii="宋体" w:hAnsi="宋体"/>
                <w:szCs w:val="21"/>
              </w:rPr>
            </w:pPr>
            <w:r>
              <w:rPr>
                <w:rStyle w:val="39"/>
                <w:rFonts w:ascii="宋体" w:hAnsi="宋体"/>
                <w:szCs w:val="21"/>
              </w:rPr>
              <w:t>投标人的澄清及承诺（如果有）</w:t>
            </w:r>
          </w:p>
        </w:tc>
      </w:tr>
      <w:tr w14:paraId="1EFE6B42">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55" w:hRule="atLeas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1F512AEF">
            <w:pPr>
              <w:rPr>
                <w:rStyle w:val="39"/>
                <w:rFonts w:hint="eastAsia" w:ascii="宋体" w:hAnsi="宋体"/>
                <w:szCs w:val="21"/>
              </w:rPr>
            </w:pPr>
            <w:r>
              <w:rPr>
                <w:rStyle w:val="39"/>
                <w:rFonts w:ascii="宋体" w:hAnsi="宋体"/>
                <w:szCs w:val="21"/>
              </w:rPr>
              <w:t>3.3.1</w:t>
            </w:r>
          </w:p>
        </w:tc>
        <w:tc>
          <w:tcPr>
            <w:tcW w:w="2293" w:type="dxa"/>
            <w:tcBorders>
              <w:top w:val="single" w:color="000000" w:sz="6" w:space="0"/>
              <w:left w:val="single" w:color="000000" w:sz="6" w:space="0"/>
              <w:bottom w:val="single" w:color="000000" w:sz="6" w:space="0"/>
              <w:right w:val="single" w:color="000000" w:sz="6" w:space="0"/>
            </w:tcBorders>
            <w:vAlign w:val="center"/>
          </w:tcPr>
          <w:p w14:paraId="38845FEE">
            <w:pPr>
              <w:spacing w:line="276" w:lineRule="auto"/>
              <w:rPr>
                <w:rStyle w:val="39"/>
                <w:rFonts w:hint="eastAsia" w:ascii="宋体" w:hAnsi="宋体"/>
                <w:szCs w:val="21"/>
              </w:rPr>
            </w:pPr>
            <w:r>
              <w:rPr>
                <w:rStyle w:val="39"/>
                <w:rFonts w:ascii="宋体" w:hAnsi="宋体"/>
                <w:szCs w:val="21"/>
              </w:rPr>
              <w:t>投标有效期</w:t>
            </w:r>
          </w:p>
        </w:tc>
        <w:tc>
          <w:tcPr>
            <w:tcW w:w="6930" w:type="dxa"/>
            <w:tcBorders>
              <w:top w:val="single" w:color="000000" w:sz="6" w:space="0"/>
              <w:left w:val="single" w:color="000000" w:sz="6" w:space="0"/>
              <w:bottom w:val="single" w:color="000000" w:sz="6" w:space="0"/>
              <w:right w:val="single" w:color="000000" w:sz="12" w:space="0"/>
            </w:tcBorders>
            <w:vAlign w:val="center"/>
          </w:tcPr>
          <w:p w14:paraId="067CA1EA">
            <w:pPr>
              <w:spacing w:line="276" w:lineRule="auto"/>
              <w:rPr>
                <w:rStyle w:val="39"/>
                <w:rFonts w:hint="eastAsia" w:ascii="宋体" w:hAnsi="宋体"/>
                <w:szCs w:val="21"/>
              </w:rPr>
            </w:pPr>
            <w:r>
              <w:rPr>
                <w:rStyle w:val="39"/>
                <w:rFonts w:ascii="宋体" w:hAnsi="宋体"/>
                <w:szCs w:val="21"/>
                <w:u w:val="single"/>
              </w:rPr>
              <w:t>90</w:t>
            </w:r>
            <w:r>
              <w:rPr>
                <w:rStyle w:val="39"/>
                <w:rFonts w:ascii="宋体" w:hAnsi="宋体"/>
                <w:szCs w:val="21"/>
              </w:rPr>
              <w:t>天</w:t>
            </w:r>
          </w:p>
        </w:tc>
      </w:tr>
      <w:tr w14:paraId="523DF4C9">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00D48007">
            <w:pPr>
              <w:rPr>
                <w:rStyle w:val="39"/>
                <w:rFonts w:hint="eastAsia" w:ascii="宋体" w:hAnsi="宋体"/>
                <w:szCs w:val="21"/>
              </w:rPr>
            </w:pPr>
            <w:r>
              <w:rPr>
                <w:rStyle w:val="39"/>
                <w:rFonts w:ascii="宋体" w:hAnsi="宋体"/>
                <w:szCs w:val="21"/>
              </w:rPr>
              <w:t>3.4.1</w:t>
            </w:r>
          </w:p>
        </w:tc>
        <w:tc>
          <w:tcPr>
            <w:tcW w:w="2293" w:type="dxa"/>
            <w:tcBorders>
              <w:top w:val="single" w:color="000000" w:sz="6" w:space="0"/>
              <w:left w:val="single" w:color="000000" w:sz="6" w:space="0"/>
              <w:bottom w:val="single" w:color="000000" w:sz="6" w:space="0"/>
              <w:right w:val="single" w:color="000000" w:sz="6" w:space="0"/>
            </w:tcBorders>
            <w:vAlign w:val="center"/>
          </w:tcPr>
          <w:p w14:paraId="742A4C98">
            <w:pPr>
              <w:spacing w:line="276" w:lineRule="auto"/>
              <w:rPr>
                <w:rStyle w:val="39"/>
                <w:rFonts w:hint="eastAsia" w:ascii="宋体" w:hAnsi="宋体"/>
                <w:szCs w:val="21"/>
              </w:rPr>
            </w:pPr>
            <w:r>
              <w:rPr>
                <w:rStyle w:val="39"/>
                <w:rFonts w:ascii="宋体" w:hAnsi="宋体"/>
                <w:szCs w:val="21"/>
              </w:rPr>
              <w:t>投标保证金的递交及相关费用的收取</w:t>
            </w:r>
          </w:p>
        </w:tc>
        <w:tc>
          <w:tcPr>
            <w:tcW w:w="6930" w:type="dxa"/>
            <w:tcBorders>
              <w:top w:val="single" w:color="000000" w:sz="6" w:space="0"/>
              <w:left w:val="single" w:color="000000" w:sz="6" w:space="0"/>
              <w:bottom w:val="single" w:color="000000" w:sz="6" w:space="0"/>
              <w:right w:val="single" w:color="000000" w:sz="12" w:space="0"/>
            </w:tcBorders>
          </w:tcPr>
          <w:p w14:paraId="2A5E405B">
            <w:r>
              <w:t>投标保证金的形式：</w:t>
            </w:r>
          </w:p>
          <w:p w14:paraId="43A195CB">
            <w:r>
              <w:rPr/>
              <w:sym w:font="Wingdings 2" w:char="0052"/>
            </w:r>
            <w:r>
              <w:t>电汇或网银</w:t>
            </w:r>
            <w:r>
              <w:rPr>
                <w:rFonts w:hint="eastAsia"/>
              </w:rPr>
              <w:t>或银行保函；</w:t>
            </w:r>
          </w:p>
          <w:p w14:paraId="56C7E1C0">
            <w:r>
              <w:t>投标保证金的金额：</w:t>
            </w:r>
            <w:r>
              <w:rPr>
                <w:rFonts w:hint="eastAsia"/>
              </w:rPr>
              <w:t>贰万元整（20000元）</w:t>
            </w:r>
          </w:p>
          <w:p w14:paraId="05AD4957">
            <w:r>
              <w:t>投标保证金提交截止期限：</w:t>
            </w:r>
            <w:r>
              <w:rPr>
                <w:rFonts w:hint="eastAsia" w:ascii="宋体" w:hAnsi="宋体"/>
                <w:szCs w:val="21"/>
                <w:highlight w:val="green"/>
                <w:u w:val="single"/>
              </w:rPr>
              <w:t>2025年</w:t>
            </w:r>
            <w:r>
              <w:rPr>
                <w:rFonts w:hint="eastAsia" w:ascii="宋体" w:hAnsi="宋体"/>
                <w:szCs w:val="21"/>
                <w:highlight w:val="green"/>
                <w:u w:val="single"/>
                <w:lang w:val="en-US" w:eastAsia="zh-CN"/>
              </w:rPr>
              <w:t>12</w:t>
            </w:r>
            <w:r>
              <w:rPr>
                <w:rFonts w:hint="eastAsia" w:ascii="宋体" w:hAnsi="宋体"/>
                <w:szCs w:val="21"/>
                <w:highlight w:val="green"/>
                <w:u w:val="single"/>
              </w:rPr>
              <w:t>月</w:t>
            </w:r>
            <w:r>
              <w:rPr>
                <w:rFonts w:hint="eastAsia" w:ascii="宋体" w:hAnsi="宋体"/>
                <w:szCs w:val="21"/>
                <w:highlight w:val="green"/>
                <w:u w:val="single"/>
                <w:lang w:val="en-US" w:eastAsia="zh-CN"/>
              </w:rPr>
              <w:t>19</w:t>
            </w:r>
            <w:r>
              <w:rPr>
                <w:rFonts w:hint="eastAsia" w:ascii="宋体" w:hAnsi="宋体"/>
                <w:szCs w:val="21"/>
                <w:highlight w:val="green"/>
                <w:u w:val="single"/>
              </w:rPr>
              <w:t>日</w:t>
            </w:r>
            <w:r>
              <w:t>1</w:t>
            </w:r>
            <w:r>
              <w:rPr>
                <w:rFonts w:hint="eastAsia"/>
              </w:rPr>
              <w:t>7</w:t>
            </w:r>
            <w:r>
              <w:t>:00时前</w:t>
            </w:r>
            <w:r>
              <w:rPr>
                <w:rFonts w:hint="eastAsia"/>
              </w:rPr>
              <w:t>（逾期未提交的视为自动弃标）</w:t>
            </w:r>
          </w:p>
          <w:p w14:paraId="54A51881">
            <w:r>
              <w:rPr>
                <w:rFonts w:hint="eastAsia"/>
              </w:rPr>
              <w:t>投标保证金提交到：</w:t>
            </w:r>
          </w:p>
          <w:p w14:paraId="66111AD3">
            <w:pPr>
              <w:pStyle w:val="13"/>
              <w:rPr>
                <w:rFonts w:hint="eastAsia" w:ascii="宋体" w:hAnsi="宋体" w:eastAsia="宋体"/>
                <w:sz w:val="21"/>
                <w:szCs w:val="21"/>
              </w:rPr>
            </w:pPr>
            <w:r>
              <w:rPr>
                <w:rFonts w:hint="eastAsia" w:ascii="宋体" w:hAnsi="宋体" w:eastAsia="宋体"/>
                <w:sz w:val="21"/>
                <w:szCs w:val="21"/>
              </w:rPr>
              <w:t>开户名称：中国重汽集团济南动力有限公司</w:t>
            </w:r>
          </w:p>
          <w:p w14:paraId="032ADD82">
            <w:pPr>
              <w:pStyle w:val="13"/>
              <w:rPr>
                <w:rFonts w:hint="eastAsia" w:ascii="宋体" w:hAnsi="宋体" w:eastAsia="宋体"/>
                <w:sz w:val="21"/>
                <w:szCs w:val="21"/>
              </w:rPr>
            </w:pPr>
            <w:r>
              <w:rPr>
                <w:rFonts w:hint="eastAsia" w:ascii="宋体" w:hAnsi="宋体" w:eastAsia="宋体"/>
                <w:sz w:val="21"/>
                <w:szCs w:val="21"/>
              </w:rPr>
              <w:t>开户银行：中国建设银行济南市天桥区支行</w:t>
            </w:r>
          </w:p>
          <w:p w14:paraId="05DECFB9">
            <w:pPr>
              <w:pStyle w:val="13"/>
              <w:rPr>
                <w:rFonts w:hint="eastAsia" w:ascii="宋体" w:hAnsi="宋体" w:eastAsia="宋体"/>
                <w:sz w:val="21"/>
                <w:szCs w:val="21"/>
              </w:rPr>
            </w:pPr>
            <w:r>
              <w:rPr>
                <w:rFonts w:hint="eastAsia" w:ascii="宋体" w:hAnsi="宋体" w:eastAsia="宋体"/>
                <w:sz w:val="21"/>
                <w:szCs w:val="21"/>
              </w:rPr>
              <w:t>银行帐号：37001616508050150300</w:t>
            </w:r>
          </w:p>
          <w:p w14:paraId="689DD299">
            <w:pPr>
              <w:pStyle w:val="13"/>
              <w:rPr>
                <w:rFonts w:hint="eastAsia" w:ascii="宋体" w:hAnsi="宋体" w:eastAsia="宋体"/>
                <w:sz w:val="21"/>
                <w:szCs w:val="21"/>
              </w:rPr>
            </w:pPr>
            <w:r>
              <w:rPr>
                <w:rFonts w:hint="eastAsia" w:ascii="宋体" w:hAnsi="宋体" w:eastAsia="宋体"/>
                <w:sz w:val="21"/>
                <w:szCs w:val="21"/>
              </w:rPr>
              <w:t>开户行行号：105451000362</w:t>
            </w:r>
          </w:p>
          <w:p w14:paraId="2F14E9FC">
            <w:r>
              <w:rPr>
                <w:rFonts w:hint="eastAsia"/>
              </w:rPr>
              <w:t>保证金未按上述规定缴纳的，视为自动放弃投标资格。</w:t>
            </w:r>
          </w:p>
          <w:p w14:paraId="655B1611">
            <w:r>
              <w:rPr>
                <w:rFonts w:hint="eastAsia"/>
              </w:rPr>
              <w:t>特别提醒：</w:t>
            </w:r>
          </w:p>
          <w:p w14:paraId="6AED4F94">
            <w:pPr>
              <w:pStyle w:val="12"/>
            </w:pPr>
            <w:r>
              <w:rPr>
                <w:rFonts w:hint="eastAsia"/>
                <w:b/>
                <w:bCs/>
              </w:rPr>
              <w:t>投标人原则上应以提交银行投标保函或从银行基本账户转账的方式缴纳投标保证金。</w:t>
            </w:r>
            <w:r>
              <w:rPr>
                <w:rFonts w:hint="eastAsia"/>
              </w:rPr>
              <w:t>投标人提交银行投标保函的，应在开标时提交投标保函正本</w:t>
            </w:r>
            <w:r>
              <w:rPr>
                <w:rFonts w:hint="eastAsia"/>
                <w:b/>
                <w:bCs/>
              </w:rPr>
              <w:t>（若有，需单独密封）</w:t>
            </w:r>
            <w:r>
              <w:rPr>
                <w:rFonts w:hint="eastAsia"/>
              </w:rPr>
              <w:t>，该投标保函应是不可撤销的“见索即付”保函，保函有效期应满足投标有效期要求</w:t>
            </w:r>
          </w:p>
          <w:p w14:paraId="6959436C">
            <w:r>
              <w:t>投标保证金的退还</w:t>
            </w:r>
            <w:r>
              <w:rPr>
                <w:rFonts w:hint="eastAsia"/>
              </w:rPr>
              <w:t>：</w:t>
            </w:r>
            <w:r>
              <w:t>按照招投标法保证金返还相关条款约定，结合我公司财务管理流程等综合因素，保证金退款流程申请成功退款到账时间为：自定标之日起最长约</w:t>
            </w:r>
            <w:r>
              <w:rPr>
                <w:rFonts w:hint="eastAsia"/>
              </w:rPr>
              <w:t>60</w:t>
            </w:r>
            <w:r>
              <w:t>天。退款方式为无息退款，原路径返还。请各投标单位知悉且视为认同此条款。</w:t>
            </w:r>
          </w:p>
        </w:tc>
      </w:tr>
      <w:tr w14:paraId="5992937C">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518276FA">
            <w:pPr>
              <w:spacing w:line="276" w:lineRule="auto"/>
              <w:rPr>
                <w:rStyle w:val="39"/>
                <w:rFonts w:hint="eastAsia" w:ascii="宋体" w:hAnsi="宋体"/>
                <w:szCs w:val="21"/>
              </w:rPr>
            </w:pPr>
            <w:r>
              <w:rPr>
                <w:rStyle w:val="39"/>
                <w:rFonts w:ascii="宋体" w:hAnsi="宋体"/>
                <w:szCs w:val="21"/>
              </w:rPr>
              <w:t>3.6.3</w:t>
            </w:r>
          </w:p>
        </w:tc>
        <w:tc>
          <w:tcPr>
            <w:tcW w:w="2293" w:type="dxa"/>
            <w:tcBorders>
              <w:top w:val="single" w:color="000000" w:sz="6" w:space="0"/>
              <w:left w:val="single" w:color="000000" w:sz="6" w:space="0"/>
              <w:bottom w:val="single" w:color="000000" w:sz="6" w:space="0"/>
              <w:right w:val="single" w:color="000000" w:sz="6" w:space="0"/>
            </w:tcBorders>
            <w:vAlign w:val="center"/>
          </w:tcPr>
          <w:p w14:paraId="5AE94423">
            <w:pPr>
              <w:spacing w:line="276" w:lineRule="auto"/>
              <w:rPr>
                <w:rStyle w:val="39"/>
                <w:rFonts w:hint="eastAsia" w:ascii="宋体" w:hAnsi="宋体"/>
                <w:szCs w:val="21"/>
              </w:rPr>
            </w:pPr>
            <w:r>
              <w:rPr>
                <w:rStyle w:val="39"/>
                <w:rFonts w:ascii="宋体" w:hAnsi="宋体"/>
                <w:szCs w:val="21"/>
              </w:rPr>
              <w:t>签字和（或）盖章要求</w:t>
            </w:r>
          </w:p>
        </w:tc>
        <w:tc>
          <w:tcPr>
            <w:tcW w:w="6930" w:type="dxa"/>
            <w:tcBorders>
              <w:top w:val="single" w:color="000000" w:sz="6" w:space="0"/>
              <w:left w:val="single" w:color="000000" w:sz="6" w:space="0"/>
              <w:bottom w:val="single" w:color="000000" w:sz="6" w:space="0"/>
              <w:right w:val="single" w:color="000000" w:sz="12" w:space="0"/>
            </w:tcBorders>
          </w:tcPr>
          <w:p w14:paraId="3D12868F">
            <w:pPr>
              <w:spacing w:line="276" w:lineRule="auto"/>
              <w:rPr>
                <w:rStyle w:val="39"/>
                <w:rFonts w:hint="eastAsia" w:ascii="宋体" w:hAnsi="宋体"/>
                <w:szCs w:val="21"/>
              </w:rPr>
            </w:pPr>
            <w:r>
              <w:rPr>
                <w:rStyle w:val="39"/>
                <w:rFonts w:ascii="宋体" w:hAnsi="宋体"/>
                <w:szCs w:val="21"/>
              </w:rPr>
              <w:t>投标文件封面处及投标函均应加盖投标人印章并经法定代表人或其委托代理人签字或盖章。</w:t>
            </w:r>
          </w:p>
        </w:tc>
      </w:tr>
      <w:tr w14:paraId="70E2800E">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547" w:hRule="atLeas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0C78777F">
            <w:pPr>
              <w:spacing w:line="276" w:lineRule="auto"/>
              <w:rPr>
                <w:rStyle w:val="39"/>
                <w:rFonts w:hint="eastAsia" w:ascii="宋体" w:hAnsi="宋体"/>
                <w:szCs w:val="21"/>
              </w:rPr>
            </w:pPr>
            <w:r>
              <w:rPr>
                <w:rStyle w:val="39"/>
                <w:rFonts w:ascii="宋体" w:hAnsi="宋体"/>
                <w:szCs w:val="21"/>
              </w:rPr>
              <w:t>3.6.4</w:t>
            </w:r>
          </w:p>
        </w:tc>
        <w:tc>
          <w:tcPr>
            <w:tcW w:w="2293" w:type="dxa"/>
            <w:tcBorders>
              <w:top w:val="single" w:color="000000" w:sz="6" w:space="0"/>
              <w:left w:val="single" w:color="000000" w:sz="6" w:space="0"/>
              <w:bottom w:val="single" w:color="000000" w:sz="6" w:space="0"/>
              <w:right w:val="single" w:color="000000" w:sz="6" w:space="0"/>
            </w:tcBorders>
            <w:vAlign w:val="center"/>
          </w:tcPr>
          <w:p w14:paraId="4AAF6F75">
            <w:pPr>
              <w:spacing w:line="276" w:lineRule="auto"/>
              <w:rPr>
                <w:rStyle w:val="39"/>
                <w:rFonts w:hint="eastAsia" w:ascii="宋体" w:hAnsi="宋体"/>
                <w:szCs w:val="21"/>
              </w:rPr>
            </w:pPr>
            <w:r>
              <w:rPr>
                <w:rStyle w:val="39"/>
                <w:rFonts w:ascii="宋体" w:hAnsi="宋体"/>
                <w:szCs w:val="21"/>
              </w:rPr>
              <w:t>投标文件副本份数</w:t>
            </w:r>
          </w:p>
        </w:tc>
        <w:tc>
          <w:tcPr>
            <w:tcW w:w="6930" w:type="dxa"/>
            <w:tcBorders>
              <w:top w:val="single" w:color="000000" w:sz="6" w:space="0"/>
              <w:left w:val="single" w:color="000000" w:sz="6" w:space="0"/>
              <w:bottom w:val="single" w:color="000000" w:sz="6" w:space="0"/>
              <w:right w:val="single" w:color="000000" w:sz="12" w:space="0"/>
            </w:tcBorders>
            <w:vAlign w:val="center"/>
          </w:tcPr>
          <w:p w14:paraId="7D9C2717">
            <w:pPr>
              <w:spacing w:line="276" w:lineRule="auto"/>
              <w:jc w:val="left"/>
              <w:rPr>
                <w:rStyle w:val="39"/>
                <w:rFonts w:hint="eastAsia" w:ascii="宋体" w:hAnsi="宋体"/>
                <w:szCs w:val="21"/>
              </w:rPr>
            </w:pPr>
            <w:r>
              <w:rPr>
                <w:rStyle w:val="39"/>
                <w:rFonts w:hint="eastAsia" w:ascii="宋体" w:hAnsi="宋体"/>
                <w:szCs w:val="21"/>
              </w:rPr>
              <w:t>商务标二份；技术标</w:t>
            </w:r>
            <w:r>
              <w:rPr>
                <w:rStyle w:val="39"/>
                <w:rFonts w:ascii="宋体" w:hAnsi="宋体"/>
                <w:szCs w:val="21"/>
              </w:rPr>
              <w:t>四份</w:t>
            </w:r>
          </w:p>
        </w:tc>
      </w:tr>
      <w:tr w14:paraId="3A5C15EA">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76622E30">
            <w:pPr>
              <w:spacing w:line="276" w:lineRule="auto"/>
              <w:rPr>
                <w:rStyle w:val="39"/>
                <w:rFonts w:hint="eastAsia" w:ascii="宋体" w:hAnsi="宋体"/>
                <w:szCs w:val="21"/>
              </w:rPr>
            </w:pPr>
            <w:r>
              <w:rPr>
                <w:rStyle w:val="39"/>
                <w:rFonts w:ascii="宋体" w:hAnsi="宋体"/>
                <w:szCs w:val="21"/>
              </w:rPr>
              <w:t>3.6.5</w:t>
            </w:r>
          </w:p>
        </w:tc>
        <w:tc>
          <w:tcPr>
            <w:tcW w:w="2293" w:type="dxa"/>
            <w:tcBorders>
              <w:top w:val="single" w:color="000000" w:sz="6" w:space="0"/>
              <w:left w:val="single" w:color="000000" w:sz="6" w:space="0"/>
              <w:bottom w:val="single" w:color="000000" w:sz="6" w:space="0"/>
              <w:right w:val="single" w:color="000000" w:sz="6" w:space="0"/>
            </w:tcBorders>
            <w:vAlign w:val="center"/>
          </w:tcPr>
          <w:p w14:paraId="7152435A">
            <w:pPr>
              <w:spacing w:line="276" w:lineRule="auto"/>
              <w:rPr>
                <w:rStyle w:val="39"/>
                <w:rFonts w:hint="eastAsia" w:ascii="宋体" w:hAnsi="宋体"/>
                <w:szCs w:val="21"/>
              </w:rPr>
            </w:pPr>
            <w:r>
              <w:rPr>
                <w:rStyle w:val="39"/>
                <w:rFonts w:ascii="宋体" w:hAnsi="宋体"/>
                <w:szCs w:val="21"/>
              </w:rPr>
              <w:t>装订要求</w:t>
            </w:r>
          </w:p>
        </w:tc>
        <w:tc>
          <w:tcPr>
            <w:tcW w:w="6930" w:type="dxa"/>
            <w:tcBorders>
              <w:top w:val="single" w:color="000000" w:sz="6" w:space="0"/>
              <w:left w:val="single" w:color="000000" w:sz="6" w:space="0"/>
              <w:bottom w:val="single" w:color="000000" w:sz="6" w:space="0"/>
              <w:right w:val="single" w:color="000000" w:sz="12" w:space="0"/>
            </w:tcBorders>
          </w:tcPr>
          <w:p w14:paraId="367577CC">
            <w:pPr>
              <w:spacing w:line="276" w:lineRule="auto"/>
              <w:rPr>
                <w:rStyle w:val="39"/>
                <w:rFonts w:hint="eastAsia" w:ascii="宋体" w:hAnsi="宋体"/>
                <w:szCs w:val="21"/>
              </w:rPr>
            </w:pPr>
            <w:r>
              <w:rPr>
                <w:rStyle w:val="39"/>
                <w:rFonts w:ascii="宋体" w:hAnsi="宋体"/>
                <w:szCs w:val="21"/>
              </w:rPr>
              <w:t>按照</w:t>
            </w:r>
            <w:r>
              <w:rPr>
                <w:rStyle w:val="39"/>
                <w:rFonts w:hint="eastAsia" w:ascii="宋体" w:hAnsi="宋体"/>
                <w:szCs w:val="21"/>
              </w:rPr>
              <w:t>总则、</w:t>
            </w:r>
            <w:r>
              <w:rPr>
                <w:rStyle w:val="39"/>
                <w:rFonts w:ascii="宋体" w:hAnsi="宋体"/>
                <w:szCs w:val="21"/>
              </w:rPr>
              <w:t>投标人须知第3.1.1项规定的投标文件组成内容，投标文件应按以下要求装订；</w:t>
            </w:r>
          </w:p>
          <w:p w14:paraId="7ACDEA15">
            <w:pPr>
              <w:spacing w:line="276" w:lineRule="auto"/>
            </w:pPr>
            <w:r>
              <w:rPr>
                <w:rFonts w:hint="eastAsia"/>
              </w:rPr>
              <w:t>（1）</w:t>
            </w:r>
            <w:r>
              <w:rPr>
                <w:rFonts w:hint="eastAsia"/>
                <w:b/>
                <w:bCs/>
              </w:rPr>
              <w:t>工程唱标单</w:t>
            </w:r>
            <w:r>
              <w:rPr>
                <w:rFonts w:hint="eastAsia"/>
              </w:rPr>
              <w:t>：一式二份，单独密封。</w:t>
            </w:r>
          </w:p>
          <w:p w14:paraId="5E53A792">
            <w:pPr>
              <w:spacing w:line="276" w:lineRule="auto"/>
            </w:pPr>
            <w:r>
              <w:rPr>
                <w:rFonts w:hint="eastAsia"/>
              </w:rPr>
              <w:t>（2）</w:t>
            </w:r>
            <w:r>
              <w:rPr>
                <w:rFonts w:hint="eastAsia"/>
                <w:b/>
                <w:bCs/>
              </w:rPr>
              <w:t>投标文件电子版</w:t>
            </w:r>
            <w:r>
              <w:rPr>
                <w:rFonts w:hint="eastAsia"/>
              </w:rPr>
              <w:t>：</w:t>
            </w:r>
            <w:r>
              <w:rPr>
                <w:rStyle w:val="39"/>
                <w:rFonts w:ascii="宋体" w:hAnsi="宋体"/>
                <w:szCs w:val="21"/>
              </w:rPr>
              <w:t>U盘</w:t>
            </w:r>
            <w:r>
              <w:rPr>
                <w:rStyle w:val="39"/>
                <w:rFonts w:hint="eastAsia" w:ascii="宋体" w:hAnsi="宋体"/>
                <w:szCs w:val="21"/>
              </w:rPr>
              <w:t>，两份，</w:t>
            </w:r>
            <w:r>
              <w:rPr>
                <w:rStyle w:val="39"/>
                <w:rFonts w:ascii="宋体" w:hAnsi="宋体"/>
                <w:szCs w:val="21"/>
              </w:rPr>
              <w:t>单独放入一个密封袋中</w:t>
            </w:r>
            <w:r>
              <w:rPr>
                <w:rStyle w:val="39"/>
                <w:rFonts w:hint="eastAsia" w:ascii="宋体" w:hAnsi="宋体"/>
                <w:szCs w:val="21"/>
              </w:rPr>
              <w:t>。投标文件电子版应包含</w:t>
            </w:r>
            <w:r>
              <w:rPr>
                <w:rStyle w:val="39"/>
                <w:rFonts w:ascii="宋体" w:hAnsi="宋体"/>
                <w:szCs w:val="21"/>
              </w:rPr>
              <w:t>PDF</w:t>
            </w:r>
            <w:r>
              <w:rPr>
                <w:rStyle w:val="39"/>
                <w:rFonts w:hint="eastAsia" w:ascii="宋体" w:hAnsi="宋体"/>
                <w:szCs w:val="21"/>
              </w:rPr>
              <w:t>、</w:t>
            </w:r>
            <w:r>
              <w:rPr>
                <w:rStyle w:val="39"/>
                <w:rFonts w:ascii="宋体" w:hAnsi="宋体"/>
                <w:szCs w:val="21"/>
              </w:rPr>
              <w:t>WORD</w:t>
            </w:r>
            <w:r>
              <w:rPr>
                <w:rStyle w:val="39"/>
                <w:rFonts w:hint="eastAsia" w:ascii="宋体" w:hAnsi="宋体"/>
                <w:szCs w:val="21"/>
              </w:rPr>
              <w:t>、</w:t>
            </w:r>
            <w:r>
              <w:rPr>
                <w:rStyle w:val="39"/>
                <w:rFonts w:ascii="宋体" w:hAnsi="宋体"/>
                <w:szCs w:val="21"/>
              </w:rPr>
              <w:t>EXCEL格式</w:t>
            </w:r>
            <w:r>
              <w:rPr>
                <w:rStyle w:val="39"/>
                <w:rFonts w:hint="eastAsia" w:ascii="宋体" w:hAnsi="宋体"/>
                <w:szCs w:val="21"/>
              </w:rPr>
              <w:t>（P</w:t>
            </w:r>
            <w:r>
              <w:rPr>
                <w:rStyle w:val="39"/>
                <w:rFonts w:ascii="宋体" w:hAnsi="宋体"/>
                <w:szCs w:val="21"/>
              </w:rPr>
              <w:t>DF</w:t>
            </w:r>
            <w:r>
              <w:rPr>
                <w:rStyle w:val="39"/>
                <w:rFonts w:hint="eastAsia" w:ascii="宋体" w:hAnsi="宋体"/>
                <w:szCs w:val="21"/>
              </w:rPr>
              <w:t>版需逐页加盖公章），确保与上传重汽e采通的投标文件电子版一致。其中，</w:t>
            </w:r>
            <w:r>
              <w:rPr>
                <w:rStyle w:val="39"/>
                <w:rFonts w:ascii="宋体" w:hAnsi="宋体"/>
                <w:b/>
                <w:bCs/>
                <w:szCs w:val="21"/>
              </w:rPr>
              <w:t>《分部分项工程量清单与计价表》应为EXCEL格式</w:t>
            </w:r>
            <w:r>
              <w:rPr>
                <w:rStyle w:val="39"/>
                <w:rFonts w:hint="eastAsia" w:ascii="宋体" w:hAnsi="宋体"/>
                <w:b/>
                <w:bCs/>
                <w:szCs w:val="21"/>
              </w:rPr>
              <w:t>，并应包含广联达软件版报价文件。</w:t>
            </w:r>
          </w:p>
          <w:p w14:paraId="51BE2976">
            <w:pPr>
              <w:spacing w:line="276" w:lineRule="auto"/>
              <w:rPr>
                <w:rStyle w:val="39"/>
                <w:rFonts w:hint="eastAsia" w:ascii="宋体" w:hAnsi="宋体"/>
                <w:szCs w:val="21"/>
              </w:rPr>
            </w:pPr>
            <w:r>
              <w:rPr>
                <w:rStyle w:val="39"/>
                <w:rFonts w:ascii="宋体" w:hAnsi="宋体"/>
                <w:szCs w:val="21"/>
              </w:rPr>
              <w:t>（</w:t>
            </w:r>
            <w:r>
              <w:rPr>
                <w:rStyle w:val="39"/>
                <w:rFonts w:hint="eastAsia" w:ascii="宋体" w:hAnsi="宋体"/>
                <w:szCs w:val="21"/>
              </w:rPr>
              <w:t>3</w:t>
            </w:r>
            <w:r>
              <w:rPr>
                <w:rStyle w:val="39"/>
                <w:rFonts w:ascii="宋体" w:hAnsi="宋体"/>
                <w:szCs w:val="21"/>
              </w:rPr>
              <w:t>）资格审查文件：</w:t>
            </w:r>
            <w:r>
              <w:rPr>
                <w:rStyle w:val="29"/>
                <w:rFonts w:ascii="宋体" w:hAnsi="宋体"/>
                <w:color w:val="auto"/>
              </w:rPr>
              <w:t>第九章</w:t>
            </w:r>
            <w:r>
              <w:rPr>
                <w:rStyle w:val="39"/>
                <w:rFonts w:ascii="宋体" w:hAnsi="宋体"/>
                <w:szCs w:val="21"/>
              </w:rPr>
              <w:t>内容（只需一份，单独装密封）</w:t>
            </w:r>
          </w:p>
          <w:p w14:paraId="2C49F4DB">
            <w:pPr>
              <w:spacing w:line="276" w:lineRule="auto"/>
              <w:rPr>
                <w:rStyle w:val="39"/>
                <w:rFonts w:hint="eastAsia" w:ascii="宋体" w:hAnsi="宋体"/>
                <w:b/>
                <w:bCs/>
                <w:szCs w:val="21"/>
              </w:rPr>
            </w:pPr>
            <w:r>
              <w:rPr>
                <w:rStyle w:val="39"/>
                <w:rFonts w:ascii="宋体" w:hAnsi="宋体"/>
                <w:szCs w:val="21"/>
              </w:rPr>
              <w:t>（</w:t>
            </w:r>
            <w:r>
              <w:rPr>
                <w:rStyle w:val="39"/>
                <w:rFonts w:hint="eastAsia" w:ascii="宋体" w:hAnsi="宋体"/>
                <w:b/>
                <w:bCs/>
                <w:szCs w:val="21"/>
              </w:rPr>
              <w:t>4</w:t>
            </w:r>
            <w:r>
              <w:rPr>
                <w:rStyle w:val="39"/>
                <w:rFonts w:ascii="宋体" w:hAnsi="宋体"/>
                <w:b/>
                <w:bCs/>
                <w:szCs w:val="21"/>
              </w:rPr>
              <w:t>）商务标及技术标文件，分两册装订，分别为：</w:t>
            </w:r>
          </w:p>
          <w:p w14:paraId="16ABA2DA">
            <w:pPr>
              <w:spacing w:line="276" w:lineRule="auto"/>
              <w:ind w:firstLine="211" w:firstLineChars="100"/>
              <w:rPr>
                <w:rStyle w:val="39"/>
                <w:rFonts w:hint="eastAsia" w:ascii="宋体" w:hAnsi="宋体"/>
                <w:b/>
                <w:bCs/>
                <w:szCs w:val="21"/>
              </w:rPr>
            </w:pPr>
            <w:r>
              <w:rPr>
                <w:rStyle w:val="39"/>
                <w:rFonts w:ascii="宋体" w:hAnsi="宋体"/>
                <w:b/>
                <w:bCs/>
                <w:szCs w:val="21"/>
              </w:rPr>
              <w:t>商务标册：包括</w:t>
            </w:r>
            <w:r>
              <w:rPr>
                <w:rStyle w:val="39"/>
                <w:rFonts w:ascii="宋体" w:hAnsi="宋体"/>
                <w:b/>
                <w:bCs/>
                <w:szCs w:val="21"/>
                <w:u w:val="single"/>
              </w:rPr>
              <w:t>（1）</w:t>
            </w:r>
            <w:r>
              <w:rPr>
                <w:rStyle w:val="39"/>
                <w:rFonts w:ascii="宋体" w:hAnsi="宋体"/>
                <w:b/>
                <w:bCs/>
                <w:szCs w:val="21"/>
              </w:rPr>
              <w:t>至</w:t>
            </w:r>
            <w:r>
              <w:rPr>
                <w:rStyle w:val="39"/>
                <w:rFonts w:ascii="宋体" w:hAnsi="宋体"/>
                <w:b/>
                <w:bCs/>
                <w:szCs w:val="21"/>
                <w:u w:val="single"/>
              </w:rPr>
              <w:t>（5）</w:t>
            </w:r>
            <w:r>
              <w:rPr>
                <w:rStyle w:val="39"/>
                <w:rFonts w:ascii="宋体" w:hAnsi="宋体"/>
                <w:b/>
                <w:bCs/>
                <w:szCs w:val="21"/>
              </w:rPr>
              <w:t>的内容（</w:t>
            </w:r>
            <w:r>
              <w:rPr>
                <w:rStyle w:val="39"/>
                <w:rFonts w:ascii="宋体" w:hAnsi="宋体"/>
                <w:b/>
                <w:bCs/>
                <w:szCs w:val="21"/>
                <w:u w:val="single"/>
              </w:rPr>
              <w:t>一正</w:t>
            </w:r>
            <w:r>
              <w:rPr>
                <w:rStyle w:val="39"/>
                <w:rFonts w:hint="eastAsia" w:ascii="宋体" w:hAnsi="宋体"/>
                <w:b/>
                <w:bCs/>
                <w:szCs w:val="21"/>
                <w:u w:val="single"/>
              </w:rPr>
              <w:t>二</w:t>
            </w:r>
            <w:r>
              <w:rPr>
                <w:rStyle w:val="39"/>
                <w:rFonts w:ascii="宋体" w:hAnsi="宋体"/>
                <w:b/>
                <w:bCs/>
                <w:szCs w:val="21"/>
                <w:u w:val="single"/>
              </w:rPr>
              <w:t>副</w:t>
            </w:r>
            <w:r>
              <w:rPr>
                <w:rStyle w:val="39"/>
                <w:rFonts w:ascii="宋体" w:hAnsi="宋体"/>
                <w:b/>
                <w:bCs/>
                <w:szCs w:val="21"/>
              </w:rPr>
              <w:t>）</w:t>
            </w:r>
          </w:p>
          <w:p w14:paraId="5E4B28E0">
            <w:pPr>
              <w:spacing w:line="276" w:lineRule="auto"/>
              <w:ind w:firstLine="211" w:firstLineChars="100"/>
              <w:rPr>
                <w:rStyle w:val="39"/>
                <w:rFonts w:hint="eastAsia" w:ascii="宋体" w:hAnsi="宋体"/>
                <w:b/>
                <w:bCs/>
                <w:szCs w:val="21"/>
              </w:rPr>
            </w:pPr>
            <w:r>
              <w:rPr>
                <w:rStyle w:val="39"/>
                <w:rFonts w:ascii="宋体" w:hAnsi="宋体"/>
                <w:b/>
                <w:bCs/>
                <w:szCs w:val="21"/>
              </w:rPr>
              <w:t>技术标册：包括</w:t>
            </w:r>
            <w:r>
              <w:rPr>
                <w:rStyle w:val="39"/>
                <w:rFonts w:ascii="宋体" w:hAnsi="宋体"/>
                <w:b/>
                <w:bCs/>
                <w:szCs w:val="21"/>
                <w:u w:val="single"/>
              </w:rPr>
              <w:t>（6）</w:t>
            </w:r>
            <w:r>
              <w:rPr>
                <w:rStyle w:val="39"/>
                <w:rFonts w:ascii="宋体" w:hAnsi="宋体"/>
                <w:b/>
                <w:bCs/>
                <w:szCs w:val="21"/>
              </w:rPr>
              <w:t>至</w:t>
            </w:r>
            <w:r>
              <w:rPr>
                <w:rStyle w:val="39"/>
                <w:rFonts w:ascii="宋体" w:hAnsi="宋体"/>
                <w:b/>
                <w:bCs/>
                <w:szCs w:val="21"/>
                <w:u w:val="single"/>
              </w:rPr>
              <w:t>（</w:t>
            </w:r>
            <w:r>
              <w:rPr>
                <w:rStyle w:val="39"/>
                <w:rFonts w:hint="eastAsia" w:ascii="宋体" w:hAnsi="宋体"/>
                <w:b/>
                <w:bCs/>
                <w:szCs w:val="21"/>
                <w:u w:val="single"/>
              </w:rPr>
              <w:t>9</w:t>
            </w:r>
            <w:r>
              <w:rPr>
                <w:rStyle w:val="39"/>
                <w:rFonts w:ascii="宋体" w:hAnsi="宋体"/>
                <w:b/>
                <w:bCs/>
                <w:szCs w:val="21"/>
                <w:u w:val="single"/>
              </w:rPr>
              <w:t>）</w:t>
            </w:r>
            <w:r>
              <w:rPr>
                <w:rStyle w:val="39"/>
                <w:rFonts w:ascii="宋体" w:hAnsi="宋体"/>
                <w:b/>
                <w:bCs/>
                <w:szCs w:val="21"/>
              </w:rPr>
              <w:t>的内容（一正四副）</w:t>
            </w:r>
          </w:p>
          <w:p w14:paraId="09A46BDB">
            <w:pPr>
              <w:spacing w:line="276" w:lineRule="auto"/>
              <w:rPr>
                <w:rStyle w:val="39"/>
                <w:rFonts w:hint="eastAsia" w:ascii="宋体" w:hAnsi="宋体"/>
                <w:szCs w:val="21"/>
              </w:rPr>
            </w:pPr>
            <w:r>
              <w:rPr>
                <w:rStyle w:val="39"/>
                <w:rFonts w:ascii="宋体" w:hAnsi="宋体"/>
                <w:szCs w:val="21"/>
              </w:rPr>
              <w:t>以上文件每册采用</w:t>
            </w:r>
            <w:r>
              <w:rPr>
                <w:rStyle w:val="39"/>
                <w:rFonts w:ascii="宋体" w:hAnsi="宋体"/>
                <w:szCs w:val="21"/>
                <w:u w:val="single"/>
              </w:rPr>
              <w:t>胶装</w:t>
            </w:r>
            <w:r>
              <w:rPr>
                <w:rStyle w:val="39"/>
                <w:rFonts w:ascii="宋体" w:hAnsi="宋体"/>
                <w:szCs w:val="21"/>
              </w:rPr>
              <w:t>方式装订，应牢固、不易拆散和换页，不得采用活页装订。</w:t>
            </w:r>
          </w:p>
        </w:tc>
      </w:tr>
      <w:tr w14:paraId="20F3DF1C">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4764F47B">
            <w:pPr>
              <w:spacing w:line="276" w:lineRule="auto"/>
              <w:rPr>
                <w:rStyle w:val="39"/>
                <w:rFonts w:hint="eastAsia" w:ascii="宋体" w:hAnsi="宋体"/>
                <w:szCs w:val="21"/>
              </w:rPr>
            </w:pPr>
            <w:r>
              <w:rPr>
                <w:rStyle w:val="39"/>
                <w:rFonts w:ascii="宋体" w:hAnsi="宋体"/>
                <w:szCs w:val="21"/>
              </w:rPr>
              <w:t>4.1.2</w:t>
            </w:r>
          </w:p>
        </w:tc>
        <w:tc>
          <w:tcPr>
            <w:tcW w:w="2293" w:type="dxa"/>
            <w:tcBorders>
              <w:top w:val="single" w:color="000000" w:sz="6" w:space="0"/>
              <w:left w:val="single" w:color="000000" w:sz="6" w:space="0"/>
              <w:bottom w:val="single" w:color="000000" w:sz="6" w:space="0"/>
              <w:right w:val="single" w:color="000000" w:sz="6" w:space="0"/>
            </w:tcBorders>
            <w:vAlign w:val="center"/>
          </w:tcPr>
          <w:p w14:paraId="4CB329E3">
            <w:pPr>
              <w:spacing w:line="276" w:lineRule="auto"/>
              <w:jc w:val="center"/>
              <w:rPr>
                <w:rStyle w:val="39"/>
                <w:rFonts w:hint="eastAsia" w:ascii="宋体" w:hAnsi="宋体"/>
                <w:szCs w:val="21"/>
              </w:rPr>
            </w:pPr>
            <w:r>
              <w:rPr>
                <w:rStyle w:val="39"/>
                <w:rFonts w:ascii="宋体" w:hAnsi="宋体"/>
                <w:szCs w:val="21"/>
              </w:rPr>
              <w:t>封套上写明</w:t>
            </w:r>
          </w:p>
        </w:tc>
        <w:tc>
          <w:tcPr>
            <w:tcW w:w="6930" w:type="dxa"/>
            <w:tcBorders>
              <w:top w:val="single" w:color="000000" w:sz="6" w:space="0"/>
              <w:left w:val="single" w:color="000000" w:sz="6" w:space="0"/>
              <w:bottom w:val="single" w:color="000000" w:sz="6" w:space="0"/>
              <w:right w:val="single" w:color="000000" w:sz="12" w:space="0"/>
            </w:tcBorders>
          </w:tcPr>
          <w:p w14:paraId="1F28D24B">
            <w:pPr>
              <w:spacing w:line="276" w:lineRule="auto"/>
              <w:rPr>
                <w:rStyle w:val="39"/>
                <w:rFonts w:hint="eastAsia" w:ascii="宋体" w:hAnsi="宋体"/>
                <w:szCs w:val="21"/>
              </w:rPr>
            </w:pPr>
            <w:r>
              <w:rPr>
                <w:rStyle w:val="39"/>
                <w:rFonts w:hint="eastAsia" w:ascii="宋体" w:hAnsi="宋体"/>
                <w:szCs w:val="21"/>
              </w:rPr>
              <w:t>1) 项目编号、项目名称；</w:t>
            </w:r>
          </w:p>
          <w:p w14:paraId="578D78E8">
            <w:pPr>
              <w:spacing w:line="276" w:lineRule="auto"/>
              <w:rPr>
                <w:rStyle w:val="39"/>
                <w:rFonts w:hint="eastAsia" w:ascii="宋体" w:hAnsi="宋体"/>
                <w:szCs w:val="21"/>
              </w:rPr>
            </w:pPr>
            <w:r>
              <w:rPr>
                <w:rStyle w:val="39"/>
                <w:rFonts w:hint="eastAsia" w:ascii="宋体" w:hAnsi="宋体"/>
                <w:szCs w:val="21"/>
              </w:rPr>
              <w:t>2) 技术标书、开标一览表、投标文件电子版、商务标书、资格审核文件；</w:t>
            </w:r>
          </w:p>
          <w:p w14:paraId="32CDE42E">
            <w:pPr>
              <w:spacing w:line="276" w:lineRule="auto"/>
              <w:rPr>
                <w:rStyle w:val="39"/>
                <w:rFonts w:hint="eastAsia" w:ascii="宋体" w:hAnsi="宋体"/>
                <w:szCs w:val="21"/>
              </w:rPr>
            </w:pPr>
            <w:r>
              <w:rPr>
                <w:rStyle w:val="39"/>
                <w:rFonts w:hint="eastAsia" w:ascii="宋体" w:hAnsi="宋体"/>
                <w:szCs w:val="21"/>
              </w:rPr>
              <w:t>3) 投标人名称（加盖公章）、地址、固定电话、授权人手机号；</w:t>
            </w:r>
          </w:p>
          <w:p w14:paraId="70A6DA03">
            <w:pPr>
              <w:spacing w:line="276" w:lineRule="auto"/>
              <w:rPr>
                <w:rStyle w:val="39"/>
                <w:rFonts w:hint="eastAsia" w:ascii="宋体" w:hAnsi="宋体"/>
                <w:szCs w:val="21"/>
              </w:rPr>
            </w:pPr>
            <w:r>
              <w:rPr>
                <w:rStyle w:val="39"/>
                <w:rFonts w:hint="eastAsia" w:ascii="宋体" w:hAnsi="宋体"/>
                <w:szCs w:val="21"/>
              </w:rPr>
              <w:t>4）每一密封件在封口处注明“于    年  月   日  时  分</w:t>
            </w:r>
            <w:r>
              <w:rPr>
                <w:rStyle w:val="39"/>
                <w:rFonts w:ascii="宋体" w:hAnsi="宋体"/>
                <w:szCs w:val="21"/>
              </w:rPr>
              <w:t>（按实际开标时间填写）</w:t>
            </w:r>
            <w:r>
              <w:rPr>
                <w:rStyle w:val="39"/>
                <w:rFonts w:hint="eastAsia" w:ascii="宋体" w:hAnsi="宋体"/>
                <w:szCs w:val="21"/>
              </w:rPr>
              <w:t>之前不准启封”字样。</w:t>
            </w:r>
          </w:p>
        </w:tc>
      </w:tr>
      <w:tr w14:paraId="2004530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39D434F4">
            <w:pPr>
              <w:spacing w:line="276" w:lineRule="auto"/>
              <w:rPr>
                <w:rStyle w:val="39"/>
                <w:rFonts w:hint="eastAsia" w:ascii="宋体" w:hAnsi="宋体"/>
                <w:szCs w:val="21"/>
              </w:rPr>
            </w:pPr>
            <w:r>
              <w:rPr>
                <w:rStyle w:val="39"/>
                <w:rFonts w:ascii="宋体" w:hAnsi="宋体"/>
                <w:szCs w:val="21"/>
              </w:rPr>
              <w:t>4.2.2</w:t>
            </w:r>
          </w:p>
        </w:tc>
        <w:tc>
          <w:tcPr>
            <w:tcW w:w="2293" w:type="dxa"/>
            <w:tcBorders>
              <w:top w:val="single" w:color="000000" w:sz="6" w:space="0"/>
              <w:left w:val="single" w:color="000000" w:sz="6" w:space="0"/>
              <w:bottom w:val="single" w:color="000000" w:sz="6" w:space="0"/>
              <w:right w:val="single" w:color="000000" w:sz="6" w:space="0"/>
            </w:tcBorders>
            <w:vAlign w:val="center"/>
          </w:tcPr>
          <w:p w14:paraId="1A200340">
            <w:pPr>
              <w:spacing w:line="276" w:lineRule="auto"/>
              <w:jc w:val="center"/>
              <w:rPr>
                <w:rStyle w:val="39"/>
                <w:rFonts w:hint="eastAsia" w:ascii="宋体" w:hAnsi="宋体"/>
                <w:szCs w:val="21"/>
              </w:rPr>
            </w:pPr>
            <w:r>
              <w:rPr>
                <w:rStyle w:val="39"/>
                <w:rFonts w:ascii="宋体" w:hAnsi="宋体"/>
                <w:szCs w:val="21"/>
              </w:rPr>
              <w:t>递交投标文件地点</w:t>
            </w:r>
          </w:p>
        </w:tc>
        <w:tc>
          <w:tcPr>
            <w:tcW w:w="6930" w:type="dxa"/>
            <w:tcBorders>
              <w:top w:val="single" w:color="000000" w:sz="6" w:space="0"/>
              <w:left w:val="single" w:color="000000" w:sz="6" w:space="0"/>
              <w:bottom w:val="single" w:color="000000" w:sz="6" w:space="0"/>
              <w:right w:val="single" w:color="000000" w:sz="12" w:space="0"/>
            </w:tcBorders>
          </w:tcPr>
          <w:p w14:paraId="31D303D9">
            <w:pPr>
              <w:snapToGrid w:val="0"/>
              <w:spacing w:line="288" w:lineRule="auto"/>
              <w:rPr>
                <w:rFonts w:hint="eastAsia" w:ascii="宋体" w:hAnsi="宋体" w:cs="宋体"/>
                <w:szCs w:val="21"/>
              </w:rPr>
            </w:pPr>
            <w:r>
              <w:rPr>
                <w:rFonts w:hint="eastAsia" w:ascii="宋体" w:hAnsi="宋体" w:cs="宋体"/>
                <w:szCs w:val="21"/>
              </w:rPr>
              <w:t>纸版投标文件递交地点：济南市高新区华奥路777号重汽科技大厦</w:t>
            </w:r>
            <w:r>
              <w:rPr>
                <w:rFonts w:hint="eastAsia" w:ascii="宋体" w:hAnsi="宋体" w:cs="宋体"/>
                <w:szCs w:val="21"/>
                <w:u w:val="single"/>
              </w:rPr>
              <w:t xml:space="preserve"> 1307 </w:t>
            </w:r>
            <w:r>
              <w:rPr>
                <w:rFonts w:hint="eastAsia" w:ascii="宋体" w:hAnsi="宋体" w:cs="宋体"/>
                <w:szCs w:val="21"/>
              </w:rPr>
              <w:t>会议室，</w:t>
            </w:r>
            <w:r>
              <w:rPr>
                <w:rFonts w:hint="eastAsia" w:ascii="宋体" w:hAnsi="宋体" w:cs="宋体"/>
                <w:b/>
                <w:bCs/>
                <w:color w:val="C00000"/>
                <w:szCs w:val="21"/>
              </w:rPr>
              <w:t>线上线下同时开标</w:t>
            </w:r>
            <w:r>
              <w:rPr>
                <w:rFonts w:hint="eastAsia" w:ascii="宋体" w:hAnsi="宋体" w:cs="宋体"/>
                <w:szCs w:val="21"/>
              </w:rPr>
              <w:t>。</w:t>
            </w:r>
          </w:p>
          <w:p w14:paraId="3407F58C">
            <w:pPr>
              <w:snapToGrid w:val="0"/>
              <w:spacing w:line="288" w:lineRule="auto"/>
              <w:rPr>
                <w:rFonts w:hint="eastAsia" w:ascii="宋体" w:hAnsi="宋体" w:cs="宋体"/>
                <w:color w:val="FF0000"/>
                <w:szCs w:val="21"/>
              </w:rPr>
            </w:pPr>
            <w:r>
              <w:rPr>
                <w:rFonts w:hint="eastAsia" w:ascii="宋体" w:hAnsi="宋体" w:cs="宋体"/>
                <w:color w:val="FF0000"/>
                <w:szCs w:val="21"/>
              </w:rPr>
              <w:t>同时，投标人须在投标截止日期前（</w:t>
            </w:r>
            <w:r>
              <w:rPr>
                <w:rFonts w:hint="eastAsia" w:ascii="宋体" w:hAnsi="宋体" w:cs="宋体"/>
                <w:color w:val="FF0000"/>
                <w:szCs w:val="21"/>
                <w:em w:val="dot"/>
              </w:rPr>
              <w:t>为避免网络或电脑设备等临时出现问题，建议在投标截止日期前至少一天</w:t>
            </w:r>
            <w:r>
              <w:rPr>
                <w:rFonts w:hint="eastAsia" w:ascii="宋体" w:hAnsi="宋体" w:cs="宋体"/>
                <w:color w:val="FF0000"/>
                <w:szCs w:val="21"/>
              </w:rPr>
              <w:t>）将电子标书上传到重汽e采通平台</w:t>
            </w:r>
            <w:r>
              <w:rPr>
                <w:rFonts w:hint="eastAsia"/>
              </w:rPr>
              <w:fldChar w:fldCharType="begin"/>
            </w:r>
            <w:r>
              <w:instrText xml:space="preserve"> HYPERLINK "http://ecaitong.sinotruk.com:8012/%20normalLink" </w:instrText>
            </w:r>
            <w:r>
              <w:rPr>
                <w:rFonts w:hint="eastAsia"/>
              </w:rPr>
              <w:fldChar w:fldCharType="separate"/>
            </w:r>
            <w:r>
              <w:rPr>
                <w:rFonts w:hint="eastAsia" w:ascii="宋体" w:hAnsi="宋体" w:cs="宋体"/>
                <w:color w:val="FF0000"/>
                <w:szCs w:val="21"/>
              </w:rPr>
              <w:t>https://ecaitong.sinotruk.com:8012/</w:t>
            </w:r>
            <w:r>
              <w:rPr>
                <w:rFonts w:hint="eastAsia" w:ascii="宋体" w:hAnsi="宋体" w:cs="宋体"/>
                <w:color w:val="FF0000"/>
                <w:szCs w:val="21"/>
              </w:rPr>
              <w:fldChar w:fldCharType="end"/>
            </w:r>
            <w:r>
              <w:rPr>
                <w:rFonts w:hint="eastAsia" w:ascii="宋体" w:hAnsi="宋体" w:cs="宋体"/>
                <w:color w:val="FF0000"/>
                <w:szCs w:val="21"/>
              </w:rPr>
              <w:t>，操作方式详见《SRM-系统用户手册-非生产招投标（供应商使用）》。</w:t>
            </w:r>
            <w:r>
              <w:rPr>
                <w:rFonts w:hint="eastAsia" w:ascii="宋体" w:hAnsi="宋体" w:cs="宋体"/>
                <w:b/>
                <w:bCs/>
                <w:color w:val="FF0000"/>
                <w:szCs w:val="21"/>
                <w:em w:val="dot"/>
              </w:rPr>
              <w:t>若逾期未完成重汽e采通上传标书，开标时间截止之后投标系统自动关闭，即便递交了纸版投标文件，一律视为自动放弃本次投标</w:t>
            </w:r>
            <w:r>
              <w:rPr>
                <w:rFonts w:hint="eastAsia" w:ascii="宋体" w:hAnsi="宋体" w:cs="宋体"/>
                <w:b/>
                <w:bCs/>
                <w:color w:val="FF0000"/>
                <w:szCs w:val="21"/>
              </w:rPr>
              <w:t>。</w:t>
            </w:r>
          </w:p>
          <w:p w14:paraId="6B0CCFE2">
            <w:pPr>
              <w:snapToGrid w:val="0"/>
              <w:spacing w:line="288" w:lineRule="auto"/>
              <w:rPr>
                <w:rFonts w:hint="eastAsia" w:ascii="宋体" w:hAnsi="宋体" w:cs="宋体"/>
                <w:szCs w:val="21"/>
              </w:rPr>
            </w:pPr>
            <w:r>
              <w:rPr>
                <w:rFonts w:hint="eastAsia" w:ascii="宋体" w:hAnsi="宋体" w:cs="宋体"/>
                <w:szCs w:val="21"/>
              </w:rPr>
              <w:t>注意：投标人必须在报名时根据《非生产供应商注册操作手册》完成账号注册，注册审核需2-4日，审核通过后使用企业账号gsy+供应商编码，初始密码为scm@2022（或@2023，以注册成功收到的短信通知为准）登录。报名成功后进入“招投标中心-非生产类招投标-供应商应标”，上传资格审查资料后通知招标联系人。</w:t>
            </w:r>
            <w:bookmarkStart w:id="28" w:name="_Hlk161833507"/>
          </w:p>
          <w:p w14:paraId="1266D188">
            <w:pPr>
              <w:snapToGrid w:val="0"/>
              <w:spacing w:line="288" w:lineRule="auto"/>
            </w:pPr>
            <w:r>
              <w:rPr>
                <w:rFonts w:hint="eastAsia" w:ascii="宋体" w:hAnsi="宋体" w:cs="宋体"/>
                <w:szCs w:val="21"/>
              </w:rPr>
              <w:t>各投标单位的重汽e采通账户注册成功后，务必自行修改默认密码并妥善管理，本单位账户不得转给其他非本单位人员操作，投标单位需对通过重汽e采通进行的一切操作（包括但不限于递交资料、投标报价等）负责，所有操作均视为有效，产生的一切结果均由各投标单位自行承担。</w:t>
            </w:r>
            <w:bookmarkEnd w:id="28"/>
          </w:p>
          <w:p w14:paraId="5CD2E102">
            <w:pPr>
              <w:snapToGrid w:val="0"/>
              <w:spacing w:line="288" w:lineRule="auto"/>
              <w:rPr>
                <w:rFonts w:hint="eastAsia" w:ascii="宋体" w:hAnsi="宋体" w:cs="宋体"/>
                <w:color w:val="FF0000"/>
                <w:szCs w:val="21"/>
              </w:rPr>
            </w:pPr>
            <w:r>
              <w:rPr>
                <w:rFonts w:hint="eastAsia" w:ascii="宋体" w:hAnsi="宋体" w:cs="宋体"/>
                <w:color w:val="FF0000"/>
                <w:szCs w:val="21"/>
              </w:rPr>
              <w:t>应标截止时间为</w:t>
            </w:r>
            <w:r>
              <w:rPr>
                <w:rFonts w:hint="eastAsia" w:ascii="宋体" w:hAnsi="宋体" w:cs="宋体"/>
                <w:color w:val="FF0000"/>
                <w:szCs w:val="21"/>
                <w:highlight w:val="green"/>
              </w:rPr>
              <w:t>2025年</w:t>
            </w:r>
            <w:r>
              <w:rPr>
                <w:rFonts w:hint="eastAsia" w:ascii="宋体" w:hAnsi="宋体" w:cs="宋体"/>
                <w:color w:val="FF0000"/>
                <w:szCs w:val="21"/>
                <w:highlight w:val="green"/>
                <w:lang w:val="en-US" w:eastAsia="zh-CN"/>
              </w:rPr>
              <w:t>12</w:t>
            </w:r>
            <w:r>
              <w:rPr>
                <w:rFonts w:hint="eastAsia" w:ascii="宋体" w:hAnsi="宋体" w:cs="宋体"/>
                <w:color w:val="FF0000"/>
                <w:szCs w:val="21"/>
                <w:highlight w:val="green"/>
              </w:rPr>
              <w:t>月</w:t>
            </w:r>
            <w:r>
              <w:rPr>
                <w:rFonts w:hint="eastAsia" w:ascii="宋体" w:hAnsi="宋体" w:cs="宋体"/>
                <w:color w:val="FF0000"/>
                <w:szCs w:val="21"/>
                <w:highlight w:val="green"/>
                <w:lang w:val="en-US" w:eastAsia="zh-CN"/>
              </w:rPr>
              <w:t>17</w:t>
            </w:r>
            <w:r>
              <w:rPr>
                <w:rFonts w:hint="eastAsia" w:ascii="宋体" w:hAnsi="宋体" w:cs="宋体"/>
                <w:color w:val="FF0000"/>
                <w:szCs w:val="21"/>
                <w:highlight w:val="green"/>
              </w:rPr>
              <w:t>日</w:t>
            </w:r>
            <w:r>
              <w:rPr>
                <w:rFonts w:hint="eastAsia" w:ascii="宋体" w:hAnsi="宋体" w:cs="宋体"/>
                <w:color w:val="FF0000"/>
                <w:szCs w:val="21"/>
              </w:rPr>
              <w:t>17:00:00精确到秒，逾期将无法应标，视为报名不成功，无法参与投标。请自行掌握时间安排，避免无法应标。</w:t>
            </w:r>
          </w:p>
          <w:p w14:paraId="6E032063">
            <w:pPr>
              <w:spacing w:line="360" w:lineRule="auto"/>
            </w:pPr>
            <w:r>
              <w:rPr>
                <w:rFonts w:hint="eastAsia" w:ascii="宋体" w:hAnsi="宋体" w:cs="宋体"/>
                <w:szCs w:val="21"/>
              </w:rPr>
              <w:t>注：资格审查未通过，不允许进入技术和商务开标、评审</w:t>
            </w:r>
          </w:p>
        </w:tc>
      </w:tr>
      <w:tr w14:paraId="671FF9B9">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12010008">
            <w:pPr>
              <w:spacing w:line="276" w:lineRule="auto"/>
              <w:rPr>
                <w:rStyle w:val="39"/>
                <w:rFonts w:hint="eastAsia" w:ascii="宋体" w:hAnsi="宋体"/>
                <w:szCs w:val="21"/>
              </w:rPr>
            </w:pPr>
            <w:r>
              <w:rPr>
                <w:rStyle w:val="39"/>
                <w:rFonts w:ascii="宋体" w:hAnsi="宋体"/>
                <w:szCs w:val="21"/>
              </w:rPr>
              <w:t>4.2.3</w:t>
            </w:r>
          </w:p>
        </w:tc>
        <w:tc>
          <w:tcPr>
            <w:tcW w:w="2293" w:type="dxa"/>
            <w:tcBorders>
              <w:top w:val="single" w:color="000000" w:sz="6" w:space="0"/>
              <w:left w:val="single" w:color="000000" w:sz="6" w:space="0"/>
              <w:bottom w:val="single" w:color="000000" w:sz="6" w:space="0"/>
              <w:right w:val="single" w:color="000000" w:sz="6" w:space="0"/>
            </w:tcBorders>
          </w:tcPr>
          <w:p w14:paraId="30B60223">
            <w:pPr>
              <w:spacing w:line="276" w:lineRule="auto"/>
              <w:rPr>
                <w:rStyle w:val="39"/>
                <w:rFonts w:hint="eastAsia" w:ascii="宋体" w:hAnsi="宋体"/>
                <w:szCs w:val="21"/>
              </w:rPr>
            </w:pPr>
            <w:r>
              <w:rPr>
                <w:rStyle w:val="39"/>
                <w:rFonts w:ascii="宋体" w:hAnsi="宋体"/>
                <w:szCs w:val="21"/>
              </w:rPr>
              <w:t>是否退还投标文件</w:t>
            </w:r>
          </w:p>
        </w:tc>
        <w:tc>
          <w:tcPr>
            <w:tcW w:w="6930" w:type="dxa"/>
            <w:tcBorders>
              <w:top w:val="single" w:color="000000" w:sz="6" w:space="0"/>
              <w:left w:val="single" w:color="000000" w:sz="6" w:space="0"/>
              <w:bottom w:val="single" w:color="000000" w:sz="6" w:space="0"/>
              <w:right w:val="single" w:color="000000" w:sz="12" w:space="0"/>
            </w:tcBorders>
          </w:tcPr>
          <w:p w14:paraId="444628A0">
            <w:pPr>
              <w:spacing w:line="276" w:lineRule="auto"/>
              <w:rPr>
                <w:rStyle w:val="39"/>
                <w:rFonts w:hint="eastAsia" w:ascii="宋体" w:hAnsi="宋体"/>
                <w:szCs w:val="21"/>
              </w:rPr>
            </w:pPr>
            <w:r>
              <w:rPr>
                <w:rStyle w:val="39"/>
                <w:rFonts w:ascii="宋体" w:hAnsi="宋体"/>
                <w:szCs w:val="21"/>
              </w:rPr>
              <w:t>否</w:t>
            </w:r>
          </w:p>
        </w:tc>
      </w:tr>
      <w:tr w14:paraId="6031C42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3E7B5B7C">
            <w:pPr>
              <w:spacing w:line="276" w:lineRule="auto"/>
              <w:rPr>
                <w:rStyle w:val="39"/>
                <w:rFonts w:hint="eastAsia" w:ascii="宋体" w:hAnsi="宋体"/>
                <w:szCs w:val="21"/>
              </w:rPr>
            </w:pPr>
            <w:r>
              <w:rPr>
                <w:rStyle w:val="39"/>
                <w:rFonts w:ascii="宋体" w:hAnsi="宋体"/>
                <w:szCs w:val="21"/>
              </w:rPr>
              <w:t>5.1</w:t>
            </w:r>
          </w:p>
        </w:tc>
        <w:tc>
          <w:tcPr>
            <w:tcW w:w="2293" w:type="dxa"/>
            <w:tcBorders>
              <w:top w:val="single" w:color="000000" w:sz="6" w:space="0"/>
              <w:left w:val="single" w:color="000000" w:sz="6" w:space="0"/>
              <w:bottom w:val="single" w:color="000000" w:sz="6" w:space="0"/>
              <w:right w:val="single" w:color="000000" w:sz="6" w:space="0"/>
            </w:tcBorders>
          </w:tcPr>
          <w:p w14:paraId="600D6DE1">
            <w:pPr>
              <w:spacing w:line="276" w:lineRule="auto"/>
              <w:rPr>
                <w:rStyle w:val="39"/>
                <w:rFonts w:hint="eastAsia" w:ascii="宋体" w:hAnsi="宋体"/>
                <w:szCs w:val="21"/>
              </w:rPr>
            </w:pPr>
            <w:r>
              <w:rPr>
                <w:rStyle w:val="39"/>
                <w:rFonts w:ascii="宋体" w:hAnsi="宋体"/>
                <w:szCs w:val="21"/>
              </w:rPr>
              <w:t>开标时间和地点</w:t>
            </w:r>
          </w:p>
        </w:tc>
        <w:tc>
          <w:tcPr>
            <w:tcW w:w="6930" w:type="dxa"/>
            <w:tcBorders>
              <w:top w:val="single" w:color="000000" w:sz="6" w:space="0"/>
              <w:left w:val="single" w:color="000000" w:sz="6" w:space="0"/>
              <w:bottom w:val="single" w:color="000000" w:sz="6" w:space="0"/>
              <w:right w:val="single" w:color="000000" w:sz="12" w:space="0"/>
            </w:tcBorders>
          </w:tcPr>
          <w:p w14:paraId="7D7AF3A7">
            <w:pPr>
              <w:spacing w:line="276" w:lineRule="auto"/>
              <w:rPr>
                <w:rStyle w:val="39"/>
                <w:rFonts w:hint="eastAsia" w:ascii="宋体" w:hAnsi="宋体"/>
                <w:szCs w:val="21"/>
              </w:rPr>
            </w:pPr>
            <w:r>
              <w:rPr>
                <w:rStyle w:val="39"/>
                <w:rFonts w:ascii="宋体" w:hAnsi="宋体"/>
                <w:szCs w:val="21"/>
              </w:rPr>
              <w:t>开标时间：同投标截止时间</w:t>
            </w:r>
          </w:p>
          <w:p w14:paraId="3ADA812C">
            <w:pPr>
              <w:spacing w:line="276" w:lineRule="auto"/>
              <w:rPr>
                <w:rStyle w:val="39"/>
                <w:rFonts w:hint="eastAsia" w:ascii="宋体" w:hAnsi="宋体"/>
                <w:szCs w:val="21"/>
              </w:rPr>
            </w:pPr>
            <w:r>
              <w:rPr>
                <w:rStyle w:val="39"/>
                <w:rFonts w:ascii="宋体" w:hAnsi="宋体"/>
                <w:szCs w:val="21"/>
              </w:rPr>
              <w:t>开标地点：</w:t>
            </w:r>
            <w:r>
              <w:rPr>
                <w:rStyle w:val="39"/>
                <w:rFonts w:hint="eastAsia" w:ascii="宋体" w:hAnsi="宋体"/>
                <w:szCs w:val="21"/>
              </w:rPr>
              <w:t>济南市华奥路777号重汽科技大厦1307室</w:t>
            </w:r>
          </w:p>
        </w:tc>
      </w:tr>
      <w:tr w14:paraId="03F34A52">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5F7C94BE">
            <w:pPr>
              <w:spacing w:line="276" w:lineRule="auto"/>
              <w:rPr>
                <w:rStyle w:val="39"/>
                <w:rFonts w:hint="eastAsia" w:ascii="宋体" w:hAnsi="宋体"/>
                <w:szCs w:val="21"/>
              </w:rPr>
            </w:pPr>
            <w:r>
              <w:rPr>
                <w:rStyle w:val="39"/>
                <w:rFonts w:ascii="宋体" w:hAnsi="宋体"/>
                <w:szCs w:val="21"/>
              </w:rPr>
              <w:t>5.2</w:t>
            </w:r>
          </w:p>
        </w:tc>
        <w:tc>
          <w:tcPr>
            <w:tcW w:w="2293" w:type="dxa"/>
            <w:tcBorders>
              <w:top w:val="single" w:color="000000" w:sz="6" w:space="0"/>
              <w:left w:val="single" w:color="000000" w:sz="6" w:space="0"/>
              <w:bottom w:val="single" w:color="000000" w:sz="6" w:space="0"/>
              <w:right w:val="single" w:color="000000" w:sz="6" w:space="0"/>
            </w:tcBorders>
          </w:tcPr>
          <w:p w14:paraId="032B4A96">
            <w:pPr>
              <w:spacing w:line="276" w:lineRule="auto"/>
              <w:rPr>
                <w:rStyle w:val="39"/>
                <w:rFonts w:hint="eastAsia" w:ascii="宋体" w:hAnsi="宋体"/>
                <w:szCs w:val="21"/>
              </w:rPr>
            </w:pPr>
            <w:r>
              <w:rPr>
                <w:rStyle w:val="39"/>
                <w:rFonts w:ascii="宋体" w:hAnsi="宋体"/>
                <w:szCs w:val="21"/>
              </w:rPr>
              <w:t>开标程序</w:t>
            </w:r>
          </w:p>
        </w:tc>
        <w:tc>
          <w:tcPr>
            <w:tcW w:w="6930" w:type="dxa"/>
            <w:tcBorders>
              <w:top w:val="single" w:color="000000" w:sz="6" w:space="0"/>
              <w:left w:val="single" w:color="000000" w:sz="6" w:space="0"/>
              <w:bottom w:val="single" w:color="000000" w:sz="6" w:space="0"/>
              <w:right w:val="single" w:color="000000" w:sz="12" w:space="0"/>
            </w:tcBorders>
          </w:tcPr>
          <w:p w14:paraId="3A126C26">
            <w:pPr>
              <w:spacing w:line="276" w:lineRule="auto"/>
              <w:rPr>
                <w:rStyle w:val="39"/>
                <w:rFonts w:hint="eastAsia" w:ascii="宋体" w:hAnsi="宋体"/>
                <w:szCs w:val="21"/>
              </w:rPr>
            </w:pPr>
            <w:r>
              <w:rPr>
                <w:rStyle w:val="39"/>
                <w:rFonts w:ascii="宋体" w:hAnsi="宋体"/>
                <w:szCs w:val="21"/>
              </w:rPr>
              <w:t>详见投标人须知</w:t>
            </w:r>
          </w:p>
        </w:tc>
      </w:tr>
      <w:tr w14:paraId="0FE75B2C">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16DC1716">
            <w:pPr>
              <w:spacing w:line="276" w:lineRule="auto"/>
              <w:rPr>
                <w:rStyle w:val="39"/>
                <w:rFonts w:hint="eastAsia" w:ascii="宋体" w:hAnsi="宋体"/>
                <w:szCs w:val="21"/>
              </w:rPr>
            </w:pPr>
            <w:r>
              <w:rPr>
                <w:rStyle w:val="39"/>
                <w:rFonts w:ascii="宋体" w:hAnsi="宋体"/>
                <w:szCs w:val="21"/>
              </w:rPr>
              <w:t>6.1.1</w:t>
            </w:r>
          </w:p>
        </w:tc>
        <w:tc>
          <w:tcPr>
            <w:tcW w:w="2293" w:type="dxa"/>
            <w:tcBorders>
              <w:top w:val="single" w:color="000000" w:sz="6" w:space="0"/>
              <w:left w:val="single" w:color="000000" w:sz="6" w:space="0"/>
              <w:bottom w:val="single" w:color="000000" w:sz="6" w:space="0"/>
              <w:right w:val="single" w:color="000000" w:sz="6" w:space="0"/>
            </w:tcBorders>
          </w:tcPr>
          <w:p w14:paraId="0E77A32B">
            <w:pPr>
              <w:spacing w:line="276" w:lineRule="auto"/>
              <w:rPr>
                <w:rStyle w:val="39"/>
                <w:rFonts w:hint="eastAsia" w:ascii="宋体" w:hAnsi="宋体"/>
                <w:szCs w:val="21"/>
              </w:rPr>
            </w:pPr>
            <w:r>
              <w:rPr>
                <w:rStyle w:val="39"/>
                <w:rFonts w:ascii="宋体" w:hAnsi="宋体"/>
                <w:szCs w:val="21"/>
              </w:rPr>
              <w:t>评标委员会的组建</w:t>
            </w:r>
          </w:p>
        </w:tc>
        <w:tc>
          <w:tcPr>
            <w:tcW w:w="6930" w:type="dxa"/>
            <w:tcBorders>
              <w:top w:val="single" w:color="000000" w:sz="6" w:space="0"/>
              <w:left w:val="single" w:color="000000" w:sz="6" w:space="0"/>
              <w:bottom w:val="single" w:color="000000" w:sz="6" w:space="0"/>
              <w:right w:val="single" w:color="000000" w:sz="12" w:space="0"/>
            </w:tcBorders>
          </w:tcPr>
          <w:p w14:paraId="75443F81">
            <w:pPr>
              <w:spacing w:line="276" w:lineRule="auto"/>
              <w:rPr>
                <w:rStyle w:val="39"/>
                <w:rFonts w:hint="eastAsia" w:ascii="宋体" w:hAnsi="宋体"/>
                <w:szCs w:val="21"/>
              </w:rPr>
            </w:pPr>
            <w:r>
              <w:rPr>
                <w:rStyle w:val="39"/>
                <w:rFonts w:ascii="宋体" w:hAnsi="宋体"/>
                <w:szCs w:val="21"/>
              </w:rPr>
              <w:t>评标委员会构成：</w:t>
            </w:r>
            <w:r>
              <w:rPr>
                <w:rStyle w:val="39"/>
                <w:rFonts w:hint="eastAsia" w:ascii="宋体" w:hAnsi="宋体"/>
                <w:szCs w:val="21"/>
              </w:rPr>
              <w:t>技术标/商务标专家组均为3</w:t>
            </w:r>
            <w:r>
              <w:rPr>
                <w:rStyle w:val="39"/>
                <w:rFonts w:ascii="宋体" w:hAnsi="宋体"/>
                <w:szCs w:val="21"/>
              </w:rPr>
              <w:t>人或以上单数。</w:t>
            </w:r>
          </w:p>
        </w:tc>
      </w:tr>
      <w:tr w14:paraId="22204D15">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6ADA7752">
            <w:pPr>
              <w:spacing w:line="276" w:lineRule="auto"/>
              <w:rPr>
                <w:rStyle w:val="39"/>
                <w:rFonts w:hint="eastAsia" w:ascii="宋体" w:hAnsi="宋体"/>
                <w:szCs w:val="21"/>
              </w:rPr>
            </w:pPr>
            <w:r>
              <w:rPr>
                <w:rStyle w:val="39"/>
                <w:rFonts w:ascii="宋体" w:hAnsi="宋体"/>
                <w:szCs w:val="21"/>
              </w:rPr>
              <w:t>7.1</w:t>
            </w:r>
          </w:p>
        </w:tc>
        <w:tc>
          <w:tcPr>
            <w:tcW w:w="2293" w:type="dxa"/>
            <w:tcBorders>
              <w:top w:val="single" w:color="000000" w:sz="6" w:space="0"/>
              <w:left w:val="single" w:color="000000" w:sz="6" w:space="0"/>
              <w:bottom w:val="single" w:color="000000" w:sz="6" w:space="0"/>
              <w:right w:val="single" w:color="000000" w:sz="6" w:space="0"/>
            </w:tcBorders>
          </w:tcPr>
          <w:p w14:paraId="0FEE0E8E">
            <w:pPr>
              <w:spacing w:line="276" w:lineRule="auto"/>
              <w:rPr>
                <w:rStyle w:val="39"/>
                <w:rFonts w:hint="eastAsia" w:ascii="宋体" w:hAnsi="宋体"/>
                <w:szCs w:val="21"/>
              </w:rPr>
            </w:pPr>
            <w:r>
              <w:rPr>
                <w:rStyle w:val="39"/>
                <w:rFonts w:ascii="宋体" w:hAnsi="宋体"/>
                <w:szCs w:val="21"/>
              </w:rPr>
              <w:t>是否授权评标委员会确定中标人</w:t>
            </w:r>
          </w:p>
        </w:tc>
        <w:tc>
          <w:tcPr>
            <w:tcW w:w="6930" w:type="dxa"/>
            <w:tcBorders>
              <w:top w:val="single" w:color="000000" w:sz="6" w:space="0"/>
              <w:left w:val="single" w:color="000000" w:sz="6" w:space="0"/>
              <w:bottom w:val="single" w:color="000000" w:sz="6" w:space="0"/>
              <w:right w:val="single" w:color="000000" w:sz="12" w:space="0"/>
            </w:tcBorders>
            <w:vAlign w:val="center"/>
          </w:tcPr>
          <w:p w14:paraId="002302DB">
            <w:pPr>
              <w:spacing w:line="276" w:lineRule="auto"/>
              <w:rPr>
                <w:rStyle w:val="39"/>
                <w:rFonts w:hint="eastAsia" w:ascii="宋体" w:hAnsi="宋体"/>
                <w:szCs w:val="21"/>
              </w:rPr>
            </w:pPr>
            <w:r>
              <w:rPr>
                <w:rStyle w:val="39"/>
                <w:rFonts w:ascii="宋体" w:hAnsi="宋体"/>
                <w:szCs w:val="21"/>
              </w:rPr>
              <w:t>否</w:t>
            </w:r>
          </w:p>
        </w:tc>
      </w:tr>
      <w:tr w14:paraId="6FD59875">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6AE6AAF5">
            <w:pPr>
              <w:spacing w:line="276" w:lineRule="auto"/>
              <w:rPr>
                <w:rStyle w:val="39"/>
                <w:rFonts w:hint="eastAsia" w:ascii="宋体" w:hAnsi="宋体"/>
                <w:szCs w:val="21"/>
              </w:rPr>
            </w:pPr>
            <w:r>
              <w:rPr>
                <w:rStyle w:val="39"/>
                <w:rFonts w:ascii="宋体" w:hAnsi="宋体"/>
                <w:szCs w:val="21"/>
              </w:rPr>
              <w:t>7.3.1</w:t>
            </w:r>
          </w:p>
        </w:tc>
        <w:tc>
          <w:tcPr>
            <w:tcW w:w="2293" w:type="dxa"/>
            <w:tcBorders>
              <w:top w:val="single" w:color="000000" w:sz="6" w:space="0"/>
              <w:left w:val="single" w:color="000000" w:sz="6" w:space="0"/>
              <w:bottom w:val="single" w:color="000000" w:sz="6" w:space="0"/>
              <w:right w:val="single" w:color="000000" w:sz="6" w:space="0"/>
            </w:tcBorders>
          </w:tcPr>
          <w:p w14:paraId="3A3BE879">
            <w:pPr>
              <w:spacing w:line="276" w:lineRule="auto"/>
              <w:rPr>
                <w:rStyle w:val="39"/>
                <w:rFonts w:hint="eastAsia" w:ascii="宋体" w:hAnsi="宋体"/>
                <w:szCs w:val="21"/>
              </w:rPr>
            </w:pPr>
            <w:r>
              <w:rPr>
                <w:rStyle w:val="39"/>
                <w:rFonts w:ascii="宋体" w:hAnsi="宋体"/>
                <w:szCs w:val="21"/>
              </w:rPr>
              <w:t>履约担保</w:t>
            </w:r>
          </w:p>
        </w:tc>
        <w:tc>
          <w:tcPr>
            <w:tcW w:w="6930" w:type="dxa"/>
            <w:tcBorders>
              <w:top w:val="single" w:color="000000" w:sz="6" w:space="0"/>
              <w:left w:val="single" w:color="000000" w:sz="6" w:space="0"/>
              <w:bottom w:val="single" w:color="000000" w:sz="6" w:space="0"/>
              <w:right w:val="single" w:color="000000" w:sz="12" w:space="0"/>
            </w:tcBorders>
          </w:tcPr>
          <w:p w14:paraId="56BA89B1">
            <w:pPr>
              <w:spacing w:line="276" w:lineRule="auto"/>
            </w:pPr>
            <w:r>
              <w:rPr>
                <w:rFonts w:hint="eastAsia"/>
              </w:rPr>
              <w:sym w:font="Wingdings 2" w:char="00A3"/>
            </w:r>
            <w:r>
              <w:rPr>
                <w:rFonts w:hint="eastAsia"/>
              </w:rPr>
              <w:t>银行保函（中标价的10%）</w:t>
            </w:r>
            <w:r>
              <w:rPr>
                <w:rFonts w:hint="eastAsia"/>
                <w:b/>
                <w:bCs/>
              </w:rPr>
              <w:sym w:font="Wingdings 2" w:char="00A3"/>
            </w:r>
            <w:r>
              <w:rPr>
                <w:rFonts w:hint="eastAsia"/>
                <w:b/>
                <w:bCs/>
              </w:rPr>
              <w:t>投标保证金转为履约保证金</w:t>
            </w:r>
          </w:p>
        </w:tc>
      </w:tr>
      <w:tr w14:paraId="61026F18">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41"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606C99DC">
            <w:pPr>
              <w:spacing w:line="276" w:lineRule="auto"/>
              <w:rPr>
                <w:rStyle w:val="39"/>
                <w:rFonts w:hint="eastAsia" w:ascii="宋体" w:hAnsi="宋体"/>
                <w:szCs w:val="21"/>
              </w:rPr>
            </w:pPr>
            <w:r>
              <w:rPr>
                <w:rStyle w:val="39"/>
                <w:rFonts w:ascii="宋体" w:hAnsi="宋体"/>
                <w:szCs w:val="21"/>
              </w:rPr>
              <w:t>10. 需要补充的其他内容</w:t>
            </w:r>
          </w:p>
        </w:tc>
      </w:tr>
      <w:tr w14:paraId="4A0BF9EF">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33"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6C9CA325">
            <w:pPr>
              <w:spacing w:line="276" w:lineRule="auto"/>
              <w:rPr>
                <w:rStyle w:val="39"/>
                <w:rFonts w:hint="eastAsia" w:ascii="宋体" w:hAnsi="宋体"/>
                <w:szCs w:val="21"/>
              </w:rPr>
            </w:pPr>
            <w:r>
              <w:rPr>
                <w:rStyle w:val="39"/>
                <w:rFonts w:ascii="宋体" w:hAnsi="宋体"/>
                <w:szCs w:val="21"/>
              </w:rPr>
              <w:t>10.1词语定义</w:t>
            </w:r>
          </w:p>
        </w:tc>
      </w:tr>
      <w:tr w14:paraId="073516A3">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1349"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388D4774">
            <w:pPr>
              <w:spacing w:line="276" w:lineRule="auto"/>
              <w:rPr>
                <w:rStyle w:val="39"/>
                <w:rFonts w:hint="eastAsia" w:ascii="宋体" w:hAnsi="宋体"/>
                <w:szCs w:val="21"/>
              </w:rPr>
            </w:pPr>
            <w:r>
              <w:rPr>
                <w:rStyle w:val="39"/>
                <w:rFonts w:ascii="宋体" w:hAnsi="宋体"/>
                <w:szCs w:val="21"/>
              </w:rPr>
              <w:t>10.1.1</w:t>
            </w:r>
          </w:p>
        </w:tc>
        <w:tc>
          <w:tcPr>
            <w:tcW w:w="2293" w:type="dxa"/>
            <w:tcBorders>
              <w:top w:val="single" w:color="000000" w:sz="6" w:space="0"/>
              <w:left w:val="single" w:color="000000" w:sz="6" w:space="0"/>
              <w:bottom w:val="single" w:color="000000" w:sz="6" w:space="0"/>
              <w:right w:val="single" w:color="000000" w:sz="6" w:space="0"/>
            </w:tcBorders>
            <w:vAlign w:val="center"/>
          </w:tcPr>
          <w:p w14:paraId="5ED0AB6E">
            <w:pPr>
              <w:spacing w:line="276" w:lineRule="auto"/>
              <w:rPr>
                <w:rStyle w:val="39"/>
                <w:rFonts w:hint="eastAsia" w:ascii="宋体" w:hAnsi="宋体"/>
                <w:szCs w:val="21"/>
              </w:rPr>
            </w:pPr>
            <w:r>
              <w:rPr>
                <w:rStyle w:val="39"/>
                <w:rFonts w:ascii="宋体" w:hAnsi="宋体"/>
                <w:szCs w:val="21"/>
              </w:rPr>
              <w:t>类似工程</w:t>
            </w:r>
          </w:p>
        </w:tc>
        <w:tc>
          <w:tcPr>
            <w:tcW w:w="6930" w:type="dxa"/>
            <w:tcBorders>
              <w:top w:val="single" w:color="000000" w:sz="6" w:space="0"/>
              <w:left w:val="single" w:color="000000" w:sz="6" w:space="0"/>
              <w:bottom w:val="single" w:color="000000" w:sz="6" w:space="0"/>
              <w:right w:val="single" w:color="000000" w:sz="12" w:space="0"/>
            </w:tcBorders>
            <w:vAlign w:val="center"/>
          </w:tcPr>
          <w:p w14:paraId="7B8DEFB6">
            <w:pPr>
              <w:spacing w:line="276" w:lineRule="auto"/>
            </w:pPr>
            <w:r>
              <w:rPr>
                <w:rStyle w:val="39"/>
                <w:rFonts w:ascii="宋体" w:hAnsi="宋体"/>
                <w:b/>
                <w:bCs/>
                <w:szCs w:val="21"/>
              </w:rPr>
              <w:t>类似工程是指：</w:t>
            </w:r>
            <w:r>
              <w:rPr>
                <w:rStyle w:val="39"/>
                <w:rFonts w:hint="eastAsia" w:ascii="宋体" w:hAnsi="宋体"/>
                <w:b/>
                <w:bCs/>
                <w:szCs w:val="21"/>
              </w:rPr>
              <w:t>近</w:t>
            </w:r>
            <w:r>
              <w:rPr>
                <w:rStyle w:val="39"/>
                <w:rFonts w:hint="eastAsia" w:ascii="宋体" w:hAnsi="宋体"/>
                <w:b/>
                <w:bCs/>
                <w:szCs w:val="21"/>
                <w:lang w:val="en-US" w:eastAsia="zh-CN"/>
              </w:rPr>
              <w:t>两</w:t>
            </w:r>
            <w:r>
              <w:rPr>
                <w:rStyle w:val="39"/>
                <w:rFonts w:hint="eastAsia" w:ascii="宋体" w:hAnsi="宋体"/>
                <w:b/>
                <w:bCs/>
                <w:szCs w:val="21"/>
              </w:rPr>
              <w:t>年（202</w:t>
            </w:r>
            <w:r>
              <w:rPr>
                <w:rStyle w:val="39"/>
                <w:rFonts w:hint="eastAsia" w:ascii="宋体" w:hAnsi="宋体"/>
                <w:b/>
                <w:bCs/>
                <w:szCs w:val="21"/>
                <w:lang w:val="en-US" w:eastAsia="zh-CN"/>
              </w:rPr>
              <w:t>3</w:t>
            </w:r>
            <w:r>
              <w:rPr>
                <w:rStyle w:val="39"/>
                <w:rFonts w:hint="eastAsia" w:ascii="宋体" w:hAnsi="宋体"/>
                <w:b/>
                <w:bCs/>
                <w:szCs w:val="21"/>
              </w:rPr>
              <w:t>年12月1日至今）单项合同额不低于200万元的类似工业厂房</w:t>
            </w:r>
            <w:r>
              <w:rPr>
                <w:rStyle w:val="39"/>
                <w:rFonts w:hint="eastAsia" w:ascii="宋体" w:hAnsi="宋体"/>
                <w:b/>
                <w:bCs/>
                <w:szCs w:val="21"/>
                <w:lang w:val="en-US" w:eastAsia="zh-CN"/>
              </w:rPr>
              <w:t>施工</w:t>
            </w:r>
            <w:r>
              <w:rPr>
                <w:rStyle w:val="39"/>
                <w:rFonts w:hint="eastAsia" w:ascii="宋体" w:hAnsi="宋体"/>
                <w:b/>
                <w:bCs/>
                <w:szCs w:val="21"/>
              </w:rPr>
              <w:t>业绩（以合同签订时间为准，取得竣工验收报告的工业厂房业绩，需提供合同及验收报告原件的扫描件）</w:t>
            </w:r>
          </w:p>
          <w:p w14:paraId="249E3A49">
            <w:pPr>
              <w:pStyle w:val="2"/>
              <w:ind w:left="420" w:firstLine="420"/>
            </w:pPr>
          </w:p>
          <w:p w14:paraId="6D1440F0">
            <w:pPr>
              <w:pStyle w:val="4"/>
              <w:ind w:left="420"/>
            </w:pPr>
          </w:p>
          <w:p w14:paraId="3CCCB196"/>
          <w:p w14:paraId="3C4BE308">
            <w:pPr>
              <w:pStyle w:val="2"/>
              <w:ind w:left="420" w:firstLine="420"/>
            </w:pPr>
          </w:p>
          <w:p w14:paraId="1EE95899">
            <w:pPr>
              <w:pStyle w:val="4"/>
              <w:ind w:left="420"/>
            </w:pPr>
          </w:p>
          <w:p w14:paraId="15FE8A9C">
            <w:pPr>
              <w:pStyle w:val="2"/>
              <w:ind w:left="420" w:firstLine="420"/>
            </w:pPr>
          </w:p>
          <w:p w14:paraId="521B8096">
            <w:pPr>
              <w:pStyle w:val="4"/>
              <w:ind w:left="420"/>
            </w:pPr>
          </w:p>
          <w:p w14:paraId="1CA51D13"/>
        </w:tc>
      </w:tr>
      <w:tr w14:paraId="4ACE0FC5">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1907" w:hRule="exact"/>
          <w:jc w:val="center"/>
        </w:trPr>
        <w:tc>
          <w:tcPr>
            <w:tcW w:w="962" w:type="dxa"/>
            <w:tcBorders>
              <w:top w:val="single" w:color="000000" w:sz="6" w:space="0"/>
              <w:left w:val="single" w:color="000000" w:sz="12" w:space="0"/>
              <w:bottom w:val="single" w:color="000000" w:sz="6" w:space="0"/>
              <w:right w:val="single" w:color="000000" w:sz="6" w:space="0"/>
            </w:tcBorders>
            <w:vAlign w:val="center"/>
          </w:tcPr>
          <w:p w14:paraId="30080A4B">
            <w:pPr>
              <w:spacing w:line="276" w:lineRule="auto"/>
              <w:rPr>
                <w:rStyle w:val="39"/>
                <w:rFonts w:hint="eastAsia" w:ascii="宋体" w:hAnsi="宋体"/>
                <w:szCs w:val="21"/>
              </w:rPr>
            </w:pPr>
            <w:r>
              <w:rPr>
                <w:rStyle w:val="39"/>
                <w:rFonts w:ascii="宋体" w:hAnsi="宋体"/>
                <w:szCs w:val="21"/>
              </w:rPr>
              <w:t>10.1.2</w:t>
            </w:r>
          </w:p>
        </w:tc>
        <w:tc>
          <w:tcPr>
            <w:tcW w:w="2293" w:type="dxa"/>
            <w:tcBorders>
              <w:top w:val="single" w:color="000000" w:sz="6" w:space="0"/>
              <w:left w:val="single" w:color="000000" w:sz="6" w:space="0"/>
              <w:bottom w:val="single" w:color="000000" w:sz="6" w:space="0"/>
              <w:right w:val="single" w:color="000000" w:sz="6" w:space="0"/>
            </w:tcBorders>
            <w:vAlign w:val="center"/>
          </w:tcPr>
          <w:p w14:paraId="564FE992">
            <w:pPr>
              <w:spacing w:line="276" w:lineRule="auto"/>
              <w:rPr>
                <w:rStyle w:val="39"/>
                <w:rFonts w:hint="eastAsia" w:ascii="宋体" w:hAnsi="宋体"/>
                <w:szCs w:val="21"/>
              </w:rPr>
            </w:pPr>
            <w:r>
              <w:rPr>
                <w:rStyle w:val="39"/>
                <w:rFonts w:ascii="宋体" w:hAnsi="宋体"/>
                <w:szCs w:val="21"/>
              </w:rPr>
              <w:t>不良行为记录</w:t>
            </w:r>
          </w:p>
        </w:tc>
        <w:tc>
          <w:tcPr>
            <w:tcW w:w="6930" w:type="dxa"/>
            <w:tcBorders>
              <w:top w:val="single" w:color="000000" w:sz="6" w:space="0"/>
              <w:left w:val="single" w:color="000000" w:sz="6" w:space="0"/>
              <w:bottom w:val="single" w:color="000000" w:sz="6" w:space="0"/>
              <w:right w:val="single" w:color="000000" w:sz="12" w:space="0"/>
            </w:tcBorders>
          </w:tcPr>
          <w:p w14:paraId="1C14775B">
            <w:pPr>
              <w:spacing w:line="276" w:lineRule="auto"/>
              <w:rPr>
                <w:rStyle w:val="39"/>
                <w:rFonts w:hint="eastAsia" w:ascii="宋体" w:hAnsi="宋体"/>
                <w:szCs w:val="21"/>
              </w:rPr>
            </w:pPr>
            <w:r>
              <w:rPr>
                <w:rStyle w:val="39"/>
                <w:rFonts w:ascii="宋体" w:hAnsi="宋体"/>
                <w:szCs w:val="21"/>
              </w:rPr>
              <w:t>不良行为记录是指：</w:t>
            </w:r>
            <w:r>
              <w:rPr>
                <w:rStyle w:val="39"/>
                <w:szCs w:val="21"/>
              </w:rPr>
              <w:t>a、</w:t>
            </w:r>
            <w:r>
              <w:rPr>
                <w:rStyle w:val="39"/>
                <w:rFonts w:ascii="宋体" w:hAnsi="宋体"/>
                <w:szCs w:val="21"/>
              </w:rPr>
              <w:t>企业不良行为记录情况主要是近年投标人在工程建设过程中因违反有关工程建设的法律、法规、规章或强制性标准和执业行为规范，经县级以上建设行政主管部门或其委托的执法监督机构查实和行政处罚，形成的不良行为记录。</w:t>
            </w:r>
            <w:r>
              <w:rPr>
                <w:rStyle w:val="39"/>
                <w:b/>
                <w:szCs w:val="21"/>
              </w:rPr>
              <w:t>b、经中国裁判文书网查询投标人有单位行贿犯罪记录的（投标人自行查询，并附在投标文件中）。</w:t>
            </w:r>
          </w:p>
        </w:tc>
      </w:tr>
      <w:tr w14:paraId="1506702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72" w:hRule="exact"/>
          <w:jc w:val="center"/>
        </w:trPr>
        <w:tc>
          <w:tcPr>
            <w:tcW w:w="10185" w:type="dxa"/>
            <w:gridSpan w:val="3"/>
            <w:tcBorders>
              <w:top w:val="single" w:color="000000" w:sz="6" w:space="0"/>
              <w:left w:val="single" w:color="000000" w:sz="12" w:space="0"/>
              <w:bottom w:val="single" w:color="000000" w:sz="12" w:space="0"/>
              <w:right w:val="single" w:color="000000" w:sz="12" w:space="0"/>
            </w:tcBorders>
            <w:vAlign w:val="center"/>
          </w:tcPr>
          <w:p w14:paraId="6DBF5E7F">
            <w:pPr>
              <w:spacing w:line="276" w:lineRule="auto"/>
              <w:rPr>
                <w:rStyle w:val="39"/>
                <w:rFonts w:hint="eastAsia" w:ascii="宋体" w:hAnsi="宋体"/>
                <w:szCs w:val="21"/>
              </w:rPr>
            </w:pPr>
            <w:r>
              <w:rPr>
                <w:rStyle w:val="39"/>
                <w:rFonts w:ascii="宋体" w:hAnsi="宋体"/>
                <w:szCs w:val="21"/>
              </w:rPr>
              <w:t>10.2 “暗标”评审</w:t>
            </w:r>
          </w:p>
        </w:tc>
      </w:tr>
      <w:tr w14:paraId="6D92D61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12" w:space="0"/>
              <w:left w:val="single" w:color="000000" w:sz="12" w:space="0"/>
              <w:bottom w:val="single" w:color="000000" w:sz="6" w:space="0"/>
              <w:right w:val="single" w:color="000000" w:sz="6" w:space="0"/>
            </w:tcBorders>
          </w:tcPr>
          <w:p w14:paraId="5224931A">
            <w:pPr>
              <w:spacing w:line="276" w:lineRule="auto"/>
              <w:rPr>
                <w:rStyle w:val="39"/>
                <w:rFonts w:hint="eastAsia" w:ascii="宋体" w:hAnsi="宋体"/>
                <w:szCs w:val="21"/>
              </w:rPr>
            </w:pPr>
          </w:p>
        </w:tc>
        <w:tc>
          <w:tcPr>
            <w:tcW w:w="2293" w:type="dxa"/>
            <w:tcBorders>
              <w:top w:val="single" w:color="000000" w:sz="12" w:space="0"/>
              <w:left w:val="single" w:color="000000" w:sz="6" w:space="0"/>
              <w:bottom w:val="single" w:color="000000" w:sz="6" w:space="0"/>
              <w:right w:val="single" w:color="000000" w:sz="6" w:space="0"/>
            </w:tcBorders>
          </w:tcPr>
          <w:p w14:paraId="78CCB327">
            <w:pPr>
              <w:spacing w:line="276" w:lineRule="auto"/>
              <w:rPr>
                <w:rStyle w:val="39"/>
                <w:rFonts w:hint="eastAsia" w:ascii="宋体" w:hAnsi="宋体"/>
                <w:szCs w:val="21"/>
              </w:rPr>
            </w:pPr>
            <w:r>
              <w:rPr>
                <w:rStyle w:val="39"/>
                <w:rFonts w:ascii="宋体" w:hAnsi="宋体"/>
                <w:szCs w:val="21"/>
              </w:rPr>
              <w:t>施工组织设计是否采用“暗标”评审方式</w:t>
            </w:r>
          </w:p>
        </w:tc>
        <w:tc>
          <w:tcPr>
            <w:tcW w:w="6930" w:type="dxa"/>
            <w:tcBorders>
              <w:top w:val="single" w:color="000000" w:sz="12" w:space="0"/>
              <w:left w:val="single" w:color="000000" w:sz="6" w:space="0"/>
              <w:bottom w:val="single" w:color="000000" w:sz="6" w:space="0"/>
              <w:right w:val="single" w:color="000000" w:sz="12" w:space="0"/>
            </w:tcBorders>
          </w:tcPr>
          <w:p w14:paraId="2A833757">
            <w:pPr>
              <w:spacing w:line="276" w:lineRule="auto"/>
              <w:rPr>
                <w:rStyle w:val="39"/>
                <w:rFonts w:hint="eastAsia" w:ascii="宋体" w:hAnsi="宋体"/>
                <w:szCs w:val="21"/>
              </w:rPr>
            </w:pPr>
            <w:r>
              <w:rPr>
                <w:rStyle w:val="39"/>
                <w:rFonts w:ascii="宋体" w:hAnsi="宋体"/>
                <w:szCs w:val="21"/>
              </w:rPr>
              <w:t>不采用</w:t>
            </w:r>
          </w:p>
        </w:tc>
      </w:tr>
      <w:tr w14:paraId="2EDE7B0E">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58"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1F7D025B">
            <w:pPr>
              <w:spacing w:line="276" w:lineRule="auto"/>
              <w:rPr>
                <w:rStyle w:val="39"/>
                <w:rFonts w:hint="eastAsia" w:ascii="宋体" w:hAnsi="宋体"/>
                <w:szCs w:val="21"/>
              </w:rPr>
            </w:pPr>
            <w:r>
              <w:rPr>
                <w:rStyle w:val="39"/>
                <w:rFonts w:ascii="宋体" w:hAnsi="宋体"/>
                <w:szCs w:val="21"/>
              </w:rPr>
              <w:t>10.3  投标文件电子版</w:t>
            </w:r>
          </w:p>
        </w:tc>
      </w:tr>
      <w:tr w14:paraId="5B8EE980">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65A56EAB">
            <w:pPr>
              <w:spacing w:line="276" w:lineRule="auto"/>
              <w:rPr>
                <w:rStyle w:val="39"/>
                <w:rFonts w:hint="eastAsia" w:ascii="宋体" w:hAnsi="宋体"/>
                <w:szCs w:val="21"/>
              </w:rPr>
            </w:pPr>
          </w:p>
        </w:tc>
        <w:tc>
          <w:tcPr>
            <w:tcW w:w="2293" w:type="dxa"/>
            <w:tcBorders>
              <w:top w:val="single" w:color="000000" w:sz="6" w:space="0"/>
              <w:left w:val="single" w:color="000000" w:sz="6" w:space="0"/>
              <w:bottom w:val="single" w:color="000000" w:sz="6" w:space="0"/>
              <w:right w:val="single" w:color="000000" w:sz="6" w:space="0"/>
            </w:tcBorders>
            <w:vAlign w:val="center"/>
          </w:tcPr>
          <w:p w14:paraId="6A392858">
            <w:pPr>
              <w:spacing w:line="276" w:lineRule="auto"/>
              <w:rPr>
                <w:rStyle w:val="39"/>
                <w:rFonts w:hint="eastAsia" w:ascii="宋体" w:hAnsi="宋体"/>
                <w:szCs w:val="21"/>
              </w:rPr>
            </w:pPr>
            <w:r>
              <w:rPr>
                <w:rStyle w:val="39"/>
                <w:rFonts w:ascii="宋体" w:hAnsi="宋体"/>
                <w:szCs w:val="21"/>
              </w:rPr>
              <w:t>是否要求投标人在递交投标文件时，同时递交投标文件电子版</w:t>
            </w:r>
          </w:p>
        </w:tc>
        <w:tc>
          <w:tcPr>
            <w:tcW w:w="6930" w:type="dxa"/>
            <w:tcBorders>
              <w:top w:val="single" w:color="000000" w:sz="6" w:space="0"/>
              <w:left w:val="single" w:color="000000" w:sz="6" w:space="0"/>
              <w:bottom w:val="single" w:color="000000" w:sz="6" w:space="0"/>
              <w:right w:val="single" w:color="000000" w:sz="12" w:space="0"/>
            </w:tcBorders>
          </w:tcPr>
          <w:p w14:paraId="31942848">
            <w:pPr>
              <w:spacing w:line="276" w:lineRule="auto"/>
              <w:rPr>
                <w:rStyle w:val="39"/>
                <w:rFonts w:hint="eastAsia" w:ascii="宋体" w:hAnsi="宋体"/>
                <w:szCs w:val="21"/>
              </w:rPr>
            </w:pPr>
            <w:r>
              <w:rPr>
                <w:rStyle w:val="39"/>
                <w:rFonts w:ascii="宋体" w:hAnsi="宋体"/>
                <w:szCs w:val="21"/>
              </w:rPr>
              <w:t>要求，投标文件电子版内容：</w:t>
            </w:r>
          </w:p>
          <w:p w14:paraId="487D3641">
            <w:pPr>
              <w:spacing w:line="276" w:lineRule="auto"/>
              <w:rPr>
                <w:rStyle w:val="39"/>
                <w:rFonts w:hint="eastAsia" w:ascii="宋体" w:hAnsi="宋体"/>
                <w:szCs w:val="21"/>
              </w:rPr>
            </w:pPr>
            <w:r>
              <w:rPr>
                <w:rStyle w:val="39"/>
                <w:rFonts w:ascii="宋体" w:hAnsi="宋体"/>
                <w:szCs w:val="21"/>
              </w:rPr>
              <w:t>投标文件电子版份数：两份；</w:t>
            </w:r>
          </w:p>
          <w:p w14:paraId="55CB9DDA">
            <w:pPr>
              <w:spacing w:line="276" w:lineRule="auto"/>
              <w:rPr>
                <w:rStyle w:val="39"/>
                <w:rFonts w:hint="eastAsia" w:ascii="宋体" w:hAnsi="宋体"/>
                <w:szCs w:val="21"/>
              </w:rPr>
            </w:pPr>
            <w:r>
              <w:rPr>
                <w:rStyle w:val="39"/>
                <w:rFonts w:ascii="宋体" w:hAnsi="宋体"/>
                <w:szCs w:val="21"/>
              </w:rPr>
              <w:t>投标文件电子版形式：U盘。</w:t>
            </w:r>
            <w:r>
              <w:rPr>
                <w:rStyle w:val="39"/>
                <w:rFonts w:hint="eastAsia" w:ascii="宋体" w:hAnsi="宋体"/>
                <w:szCs w:val="21"/>
              </w:rPr>
              <w:t>应包含</w:t>
            </w:r>
            <w:r>
              <w:rPr>
                <w:rStyle w:val="39"/>
                <w:rFonts w:ascii="宋体" w:hAnsi="宋体"/>
                <w:szCs w:val="21"/>
              </w:rPr>
              <w:t>PDF</w:t>
            </w:r>
            <w:r>
              <w:rPr>
                <w:rStyle w:val="39"/>
                <w:rFonts w:hint="eastAsia" w:ascii="宋体" w:hAnsi="宋体"/>
                <w:szCs w:val="21"/>
              </w:rPr>
              <w:t>、</w:t>
            </w:r>
            <w:r>
              <w:rPr>
                <w:rStyle w:val="39"/>
                <w:rFonts w:ascii="宋体" w:hAnsi="宋体"/>
                <w:szCs w:val="21"/>
              </w:rPr>
              <w:t>WORD</w:t>
            </w:r>
            <w:r>
              <w:rPr>
                <w:rStyle w:val="39"/>
                <w:rFonts w:hint="eastAsia" w:ascii="宋体" w:hAnsi="宋体"/>
                <w:szCs w:val="21"/>
              </w:rPr>
              <w:t>、</w:t>
            </w:r>
            <w:r>
              <w:rPr>
                <w:rStyle w:val="39"/>
                <w:rFonts w:ascii="宋体" w:hAnsi="宋体"/>
                <w:szCs w:val="21"/>
              </w:rPr>
              <w:t>EXCEL格式</w:t>
            </w:r>
            <w:r>
              <w:rPr>
                <w:rStyle w:val="39"/>
                <w:rFonts w:hint="eastAsia" w:ascii="宋体" w:hAnsi="宋体"/>
                <w:szCs w:val="21"/>
              </w:rPr>
              <w:t>（P</w:t>
            </w:r>
            <w:r>
              <w:rPr>
                <w:rStyle w:val="39"/>
                <w:rFonts w:ascii="宋体" w:hAnsi="宋体"/>
                <w:szCs w:val="21"/>
              </w:rPr>
              <w:t>DF</w:t>
            </w:r>
            <w:r>
              <w:rPr>
                <w:rStyle w:val="39"/>
                <w:rFonts w:hint="eastAsia" w:ascii="宋体" w:hAnsi="宋体"/>
                <w:szCs w:val="21"/>
              </w:rPr>
              <w:t>版需逐页加盖公章），确保与上传重汽e采通的投标文件电子版一致。其中，</w:t>
            </w:r>
            <w:r>
              <w:rPr>
                <w:rStyle w:val="39"/>
                <w:rFonts w:ascii="宋体" w:hAnsi="宋体"/>
                <w:szCs w:val="21"/>
              </w:rPr>
              <w:t>《分部分项工程量清单与计价表》应为EXCEL格式</w:t>
            </w:r>
            <w:r>
              <w:rPr>
                <w:rStyle w:val="39"/>
                <w:rFonts w:hint="eastAsia" w:ascii="宋体" w:hAnsi="宋体"/>
                <w:szCs w:val="21"/>
              </w:rPr>
              <w:t>，并应包含广联达软件版报价文件。</w:t>
            </w:r>
          </w:p>
          <w:p w14:paraId="60289318">
            <w:pPr>
              <w:spacing w:line="276" w:lineRule="auto"/>
              <w:rPr>
                <w:rStyle w:val="39"/>
                <w:rFonts w:hint="eastAsia" w:ascii="宋体" w:hAnsi="宋体"/>
                <w:szCs w:val="21"/>
              </w:rPr>
            </w:pPr>
            <w:r>
              <w:rPr>
                <w:rStyle w:val="39"/>
                <w:rFonts w:ascii="宋体" w:hAnsi="宋体"/>
                <w:szCs w:val="21"/>
              </w:rPr>
              <w:t>投标文件电子版密封方式：单独放入一个密封袋中，并在封套每个封口处加盖投标人单位公章，在封套上标记“投标文件电子版”字样。</w:t>
            </w:r>
          </w:p>
          <w:p w14:paraId="15F37311">
            <w:pPr>
              <w:spacing w:line="276" w:lineRule="auto"/>
              <w:rPr>
                <w:rStyle w:val="39"/>
                <w:rFonts w:hint="eastAsia" w:ascii="宋体" w:hAnsi="宋体"/>
                <w:szCs w:val="21"/>
              </w:rPr>
            </w:pPr>
            <w:r>
              <w:rPr>
                <w:rStyle w:val="39"/>
                <w:rFonts w:hint="eastAsia" w:ascii="宋体" w:hAnsi="宋体"/>
                <w:b/>
                <w:bCs/>
                <w:szCs w:val="21"/>
              </w:rPr>
              <w:t>投标人需确保与上传重汽e采通的投标文件电子版一致</w:t>
            </w:r>
          </w:p>
        </w:tc>
      </w:tr>
      <w:tr w14:paraId="176AD6EA">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76"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259240BE">
            <w:pPr>
              <w:spacing w:line="276" w:lineRule="auto"/>
              <w:rPr>
                <w:rStyle w:val="39"/>
                <w:rFonts w:hint="eastAsia" w:ascii="宋体" w:hAnsi="宋体"/>
                <w:szCs w:val="21"/>
              </w:rPr>
            </w:pPr>
            <w:r>
              <w:rPr>
                <w:rStyle w:val="39"/>
                <w:rFonts w:ascii="宋体" w:hAnsi="宋体"/>
                <w:szCs w:val="21"/>
              </w:rPr>
              <w:t>10.4 计算机辅助评标</w:t>
            </w:r>
          </w:p>
        </w:tc>
      </w:tr>
      <w:tr w14:paraId="2F300636">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2EFC7C43">
            <w:pPr>
              <w:spacing w:line="276" w:lineRule="auto"/>
              <w:rPr>
                <w:rStyle w:val="39"/>
                <w:rFonts w:hint="eastAsia" w:ascii="宋体" w:hAnsi="宋体"/>
                <w:szCs w:val="21"/>
              </w:rPr>
            </w:pPr>
          </w:p>
        </w:tc>
        <w:tc>
          <w:tcPr>
            <w:tcW w:w="2293" w:type="dxa"/>
            <w:tcBorders>
              <w:top w:val="single" w:color="000000" w:sz="6" w:space="0"/>
              <w:left w:val="single" w:color="000000" w:sz="6" w:space="0"/>
              <w:bottom w:val="single" w:color="000000" w:sz="6" w:space="0"/>
              <w:right w:val="single" w:color="000000" w:sz="6" w:space="0"/>
            </w:tcBorders>
          </w:tcPr>
          <w:p w14:paraId="3C14D332">
            <w:pPr>
              <w:spacing w:line="276" w:lineRule="auto"/>
              <w:rPr>
                <w:rStyle w:val="39"/>
                <w:rFonts w:hint="eastAsia" w:ascii="宋体" w:hAnsi="宋体"/>
                <w:szCs w:val="21"/>
              </w:rPr>
            </w:pPr>
            <w:r>
              <w:rPr>
                <w:rStyle w:val="39"/>
                <w:rFonts w:ascii="宋体" w:hAnsi="宋体"/>
                <w:szCs w:val="21"/>
              </w:rPr>
              <w:t>是否实行计算机辅助评标</w:t>
            </w:r>
          </w:p>
        </w:tc>
        <w:tc>
          <w:tcPr>
            <w:tcW w:w="6930" w:type="dxa"/>
            <w:tcBorders>
              <w:top w:val="single" w:color="000000" w:sz="6" w:space="0"/>
              <w:left w:val="single" w:color="000000" w:sz="6" w:space="0"/>
              <w:bottom w:val="single" w:color="000000" w:sz="6" w:space="0"/>
              <w:right w:val="single" w:color="000000" w:sz="12" w:space="0"/>
            </w:tcBorders>
          </w:tcPr>
          <w:p w14:paraId="47F7BFA7">
            <w:pPr>
              <w:spacing w:line="276" w:lineRule="auto"/>
              <w:rPr>
                <w:rStyle w:val="39"/>
                <w:rFonts w:hint="eastAsia" w:ascii="宋体" w:hAnsi="宋体"/>
                <w:szCs w:val="21"/>
              </w:rPr>
            </w:pPr>
            <w:r>
              <w:rPr>
                <w:rStyle w:val="39"/>
                <w:rFonts w:ascii="宋体" w:hAnsi="宋体"/>
                <w:szCs w:val="21"/>
              </w:rPr>
              <w:t>否</w:t>
            </w:r>
          </w:p>
        </w:tc>
      </w:tr>
      <w:tr w14:paraId="62D0698B">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48"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6035167F">
            <w:pPr>
              <w:spacing w:line="276" w:lineRule="auto"/>
              <w:rPr>
                <w:rStyle w:val="39"/>
                <w:rFonts w:hint="eastAsia" w:ascii="宋体" w:hAnsi="宋体"/>
                <w:szCs w:val="21"/>
              </w:rPr>
            </w:pPr>
            <w:r>
              <w:rPr>
                <w:rStyle w:val="39"/>
                <w:rFonts w:ascii="宋体" w:hAnsi="宋体"/>
                <w:szCs w:val="21"/>
              </w:rPr>
              <w:t>10.5 投标人代表出席开标会</w:t>
            </w:r>
          </w:p>
        </w:tc>
      </w:tr>
      <w:tr w14:paraId="79BB58E3">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1DF00FCB">
            <w:pPr>
              <w:spacing w:line="276" w:lineRule="auto"/>
              <w:rPr>
                <w:rStyle w:val="39"/>
                <w:rFonts w:hint="eastAsia" w:ascii="宋体" w:hAnsi="宋体"/>
                <w:szCs w:val="21"/>
              </w:rPr>
            </w:pPr>
          </w:p>
        </w:tc>
        <w:tc>
          <w:tcPr>
            <w:tcW w:w="9223" w:type="dxa"/>
            <w:gridSpan w:val="2"/>
            <w:tcBorders>
              <w:top w:val="single" w:color="000000" w:sz="6" w:space="0"/>
              <w:left w:val="single" w:color="000000" w:sz="6" w:space="0"/>
              <w:bottom w:val="single" w:color="000000" w:sz="6" w:space="0"/>
              <w:right w:val="single" w:color="000000" w:sz="12" w:space="0"/>
            </w:tcBorders>
          </w:tcPr>
          <w:p w14:paraId="08F7060C">
            <w:pPr>
              <w:spacing w:line="276" w:lineRule="auto"/>
            </w:pPr>
            <w:r>
              <w:rPr>
                <w:rFonts w:hint="eastAsia"/>
              </w:rPr>
              <w:t>按照本须知</w:t>
            </w:r>
            <w:r>
              <w:fldChar w:fldCharType="begin"/>
            </w:r>
            <w:r>
              <w:instrText xml:space="preserve"> HYPERLINK \l "开标时间和地点" </w:instrText>
            </w:r>
            <w:r>
              <w:fldChar w:fldCharType="separate"/>
            </w:r>
            <w:r>
              <w:rPr>
                <w:rFonts w:hint="eastAsia"/>
              </w:rPr>
              <w:t>第</w:t>
            </w:r>
            <w:bookmarkStart w:id="29" w:name="_Hlt363566421"/>
            <w:r>
              <w:rPr>
                <w:rFonts w:hint="eastAsia"/>
              </w:rPr>
              <w:t>5</w:t>
            </w:r>
            <w:bookmarkEnd w:id="29"/>
            <w:r>
              <w:rPr>
                <w:rFonts w:hint="eastAsia"/>
              </w:rPr>
              <w:t>.</w:t>
            </w:r>
            <w:bookmarkStart w:id="30" w:name="_Hlt363565524"/>
            <w:bookmarkStart w:id="31" w:name="_Hlt364843078"/>
            <w:bookmarkStart w:id="32" w:name="_Hlt364843077"/>
            <w:r>
              <w:rPr>
                <w:rFonts w:hint="eastAsia"/>
              </w:rPr>
              <w:t>1</w:t>
            </w:r>
            <w:bookmarkEnd w:id="30"/>
            <w:bookmarkEnd w:id="31"/>
            <w:bookmarkEnd w:id="32"/>
            <w:r>
              <w:rPr>
                <w:rFonts w:hint="eastAsia"/>
              </w:rPr>
              <w:t>款</w:t>
            </w:r>
            <w:r>
              <w:rPr>
                <w:rFonts w:hint="eastAsia"/>
              </w:rPr>
              <w:fldChar w:fldCharType="end"/>
            </w:r>
            <w:r>
              <w:rPr>
                <w:rFonts w:hint="eastAsia"/>
              </w:rPr>
              <w:t>的规定，招标人邀请</w:t>
            </w:r>
            <w:r>
              <w:rPr>
                <w:rFonts w:hint="eastAsia"/>
                <w:b/>
                <w:bCs/>
              </w:rPr>
              <w:t>所有投标人的法定代表人或其委托代理人参加现场开标会，同时登录重汽e采通平台</w:t>
            </w:r>
            <w:r>
              <w:rPr>
                <w:rFonts w:hint="eastAsia"/>
              </w:rPr>
              <w:t>。投标人的法定代表人或其委托代理人应当按时参加开标会，并在招标人按开标程序进行点名时，向招标人提交法定代表人身份证明文件（或法定代表人授权委托书）原件及本人身份证原件供校验。</w:t>
            </w:r>
          </w:p>
        </w:tc>
      </w:tr>
      <w:tr w14:paraId="6FD3128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41"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612A552D">
            <w:pPr>
              <w:spacing w:line="276" w:lineRule="auto"/>
              <w:rPr>
                <w:rStyle w:val="39"/>
                <w:rFonts w:hint="eastAsia" w:ascii="宋体" w:hAnsi="宋体"/>
                <w:szCs w:val="21"/>
              </w:rPr>
            </w:pPr>
            <w:r>
              <w:rPr>
                <w:rStyle w:val="39"/>
                <w:rFonts w:ascii="宋体" w:hAnsi="宋体"/>
                <w:szCs w:val="21"/>
              </w:rPr>
              <w:t>10.6 中标公示</w:t>
            </w:r>
          </w:p>
        </w:tc>
      </w:tr>
      <w:tr w14:paraId="10A56505">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365123DC">
            <w:pPr>
              <w:spacing w:line="276" w:lineRule="auto"/>
              <w:rPr>
                <w:rStyle w:val="39"/>
                <w:rFonts w:hint="eastAsia" w:ascii="宋体" w:hAnsi="宋体"/>
                <w:szCs w:val="21"/>
              </w:rPr>
            </w:pPr>
          </w:p>
        </w:tc>
        <w:tc>
          <w:tcPr>
            <w:tcW w:w="9223" w:type="dxa"/>
            <w:gridSpan w:val="2"/>
            <w:tcBorders>
              <w:top w:val="single" w:color="000000" w:sz="6" w:space="0"/>
              <w:left w:val="single" w:color="000000" w:sz="6" w:space="0"/>
              <w:bottom w:val="single" w:color="000000" w:sz="6" w:space="0"/>
              <w:right w:val="single" w:color="000000" w:sz="12" w:space="0"/>
            </w:tcBorders>
          </w:tcPr>
          <w:p w14:paraId="20E045E6">
            <w:pPr>
              <w:spacing w:line="276" w:lineRule="auto"/>
              <w:rPr>
                <w:rStyle w:val="39"/>
                <w:rFonts w:hint="eastAsia" w:ascii="宋体" w:hAnsi="宋体"/>
                <w:szCs w:val="21"/>
              </w:rPr>
            </w:pPr>
            <w:r>
              <w:rPr>
                <w:rStyle w:val="39"/>
                <w:rFonts w:ascii="宋体" w:hAnsi="宋体"/>
                <w:szCs w:val="21"/>
              </w:rPr>
              <w:t>/</w:t>
            </w:r>
          </w:p>
        </w:tc>
      </w:tr>
      <w:tr w14:paraId="7F500DEB">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02"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7F97F084">
            <w:pPr>
              <w:spacing w:line="276" w:lineRule="auto"/>
              <w:rPr>
                <w:rStyle w:val="39"/>
                <w:rFonts w:hint="eastAsia" w:ascii="宋体" w:hAnsi="宋体"/>
                <w:szCs w:val="21"/>
              </w:rPr>
            </w:pPr>
            <w:r>
              <w:rPr>
                <w:rStyle w:val="39"/>
                <w:rFonts w:ascii="宋体" w:hAnsi="宋体"/>
                <w:szCs w:val="21"/>
              </w:rPr>
              <w:t>10.7 知识产权</w:t>
            </w:r>
          </w:p>
        </w:tc>
      </w:tr>
      <w:tr w14:paraId="3D1BF41D">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46F7DBC8">
            <w:pPr>
              <w:spacing w:line="276" w:lineRule="auto"/>
              <w:rPr>
                <w:rStyle w:val="39"/>
                <w:rFonts w:hint="eastAsia" w:ascii="宋体" w:hAnsi="宋体"/>
                <w:szCs w:val="21"/>
              </w:rPr>
            </w:pPr>
          </w:p>
        </w:tc>
        <w:tc>
          <w:tcPr>
            <w:tcW w:w="9223" w:type="dxa"/>
            <w:gridSpan w:val="2"/>
            <w:tcBorders>
              <w:top w:val="single" w:color="000000" w:sz="6" w:space="0"/>
              <w:left w:val="single" w:color="000000" w:sz="6" w:space="0"/>
              <w:bottom w:val="single" w:color="000000" w:sz="6" w:space="0"/>
              <w:right w:val="single" w:color="000000" w:sz="12" w:space="0"/>
            </w:tcBorders>
          </w:tcPr>
          <w:p w14:paraId="3B7EA61E">
            <w:pPr>
              <w:spacing w:line="276" w:lineRule="auto"/>
              <w:rPr>
                <w:rStyle w:val="39"/>
                <w:rFonts w:hint="eastAsia" w:ascii="宋体" w:hAnsi="宋体"/>
                <w:szCs w:val="21"/>
              </w:rPr>
            </w:pPr>
            <w:r>
              <w:rPr>
                <w:rStyle w:val="39"/>
                <w:rFonts w:ascii="宋体" w:hAnsi="宋体"/>
                <w:szCs w:val="21"/>
              </w:rPr>
              <w:t>构成本招标文件各个组成部分的文件，未经招标人书面同意，投标人不得擅自复印和用于非本招标项目所需的其他目的。招标人全部或者部分使用未中标人投标文件中的技术成果或技术方案时，需征得其书面同意，并不得擅自复印或提供给第三人。</w:t>
            </w:r>
          </w:p>
        </w:tc>
      </w:tr>
      <w:tr w14:paraId="54832D71">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67"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05327AD1">
            <w:pPr>
              <w:spacing w:line="276" w:lineRule="auto"/>
              <w:rPr>
                <w:rStyle w:val="39"/>
                <w:rFonts w:hint="eastAsia" w:ascii="宋体" w:hAnsi="宋体"/>
                <w:szCs w:val="21"/>
              </w:rPr>
            </w:pPr>
            <w:r>
              <w:rPr>
                <w:rStyle w:val="39"/>
                <w:rFonts w:ascii="宋体" w:hAnsi="宋体"/>
                <w:szCs w:val="21"/>
              </w:rPr>
              <w:t>10.8 重新招标的其他情形</w:t>
            </w:r>
          </w:p>
        </w:tc>
      </w:tr>
      <w:tr w14:paraId="62F3E3C7">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06102183">
            <w:pPr>
              <w:spacing w:line="276" w:lineRule="auto"/>
              <w:rPr>
                <w:rStyle w:val="39"/>
                <w:rFonts w:hint="eastAsia" w:ascii="宋体" w:hAnsi="宋体"/>
                <w:szCs w:val="21"/>
              </w:rPr>
            </w:pPr>
          </w:p>
        </w:tc>
        <w:tc>
          <w:tcPr>
            <w:tcW w:w="9223" w:type="dxa"/>
            <w:gridSpan w:val="2"/>
            <w:tcBorders>
              <w:top w:val="single" w:color="000000" w:sz="6" w:space="0"/>
              <w:left w:val="single" w:color="000000" w:sz="6" w:space="0"/>
              <w:bottom w:val="single" w:color="000000" w:sz="6" w:space="0"/>
              <w:right w:val="single" w:color="000000" w:sz="12" w:space="0"/>
            </w:tcBorders>
          </w:tcPr>
          <w:p w14:paraId="7A8B669B">
            <w:pPr>
              <w:spacing w:line="276" w:lineRule="auto"/>
              <w:rPr>
                <w:rStyle w:val="39"/>
                <w:rFonts w:hint="eastAsia" w:ascii="宋体" w:hAnsi="宋体"/>
                <w:szCs w:val="21"/>
              </w:rPr>
            </w:pPr>
            <w:r>
              <w:rPr>
                <w:rStyle w:val="39"/>
                <w:rFonts w:ascii="宋体" w:hAnsi="宋体"/>
                <w:szCs w:val="21"/>
              </w:rPr>
              <w:t>除投标人须知正文第8条规定的情形外，除非已经产生中标候选人，在投标有效期内同意延长投标有效期的投标人少于三个的，招标人应当依法重新招标。</w:t>
            </w:r>
          </w:p>
        </w:tc>
      </w:tr>
      <w:tr w14:paraId="65823E43">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16"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70346697">
            <w:pPr>
              <w:spacing w:line="276" w:lineRule="auto"/>
              <w:rPr>
                <w:rStyle w:val="39"/>
                <w:rFonts w:hint="eastAsia" w:ascii="宋体" w:hAnsi="宋体"/>
                <w:szCs w:val="21"/>
              </w:rPr>
            </w:pPr>
            <w:r>
              <w:rPr>
                <w:rStyle w:val="39"/>
                <w:rFonts w:ascii="宋体" w:hAnsi="宋体"/>
                <w:szCs w:val="21"/>
              </w:rPr>
              <w:t>10.9 同义词语</w:t>
            </w:r>
          </w:p>
        </w:tc>
      </w:tr>
      <w:tr w14:paraId="37247C5A">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962" w:type="dxa"/>
            <w:tcBorders>
              <w:top w:val="single" w:color="000000" w:sz="6" w:space="0"/>
              <w:left w:val="single" w:color="000000" w:sz="12" w:space="0"/>
              <w:bottom w:val="single" w:color="000000" w:sz="6" w:space="0"/>
              <w:right w:val="single" w:color="000000" w:sz="6" w:space="0"/>
            </w:tcBorders>
          </w:tcPr>
          <w:p w14:paraId="66F0A234">
            <w:pPr>
              <w:spacing w:line="276" w:lineRule="auto"/>
              <w:rPr>
                <w:rStyle w:val="39"/>
                <w:rFonts w:hint="eastAsia" w:ascii="宋体" w:hAnsi="宋体"/>
                <w:szCs w:val="21"/>
              </w:rPr>
            </w:pPr>
          </w:p>
        </w:tc>
        <w:tc>
          <w:tcPr>
            <w:tcW w:w="9223" w:type="dxa"/>
            <w:gridSpan w:val="2"/>
            <w:tcBorders>
              <w:top w:val="single" w:color="000000" w:sz="6" w:space="0"/>
              <w:left w:val="single" w:color="000000" w:sz="6" w:space="0"/>
              <w:bottom w:val="single" w:color="000000" w:sz="6" w:space="0"/>
              <w:right w:val="single" w:color="000000" w:sz="12" w:space="0"/>
            </w:tcBorders>
          </w:tcPr>
          <w:p w14:paraId="3392B569">
            <w:pPr>
              <w:spacing w:line="276" w:lineRule="auto"/>
              <w:rPr>
                <w:rStyle w:val="39"/>
                <w:rFonts w:hint="eastAsia" w:ascii="宋体" w:hAnsi="宋体"/>
                <w:szCs w:val="21"/>
              </w:rPr>
            </w:pPr>
            <w:r>
              <w:rPr>
                <w:rStyle w:val="39"/>
                <w:rFonts w:ascii="宋体" w:hAnsi="宋体"/>
                <w:szCs w:val="21"/>
              </w:rPr>
              <w:t>构成招标文件组成部分的“通用合同条款”、“专用合同条款”、“技术标准和要求”和“工程量清单”等章节中出现的措辞“发包人”和“承包人”，在招标投标阶段应当分别按“招标人”和“投标人”进行理解。</w:t>
            </w:r>
          </w:p>
        </w:tc>
      </w:tr>
      <w:tr w14:paraId="3748202C">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66" w:hRule="exac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6C59DEB9">
            <w:pPr>
              <w:spacing w:line="276" w:lineRule="auto"/>
              <w:rPr>
                <w:rStyle w:val="39"/>
                <w:rFonts w:hint="eastAsia" w:ascii="宋体" w:hAnsi="宋体"/>
                <w:szCs w:val="21"/>
              </w:rPr>
            </w:pPr>
            <w:r>
              <w:rPr>
                <w:rStyle w:val="39"/>
                <w:rFonts w:ascii="宋体" w:hAnsi="宋体"/>
                <w:szCs w:val="21"/>
              </w:rPr>
              <w:t>10.10 解释权</w:t>
            </w:r>
          </w:p>
        </w:tc>
      </w:tr>
      <w:tr w14:paraId="465C16C6">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jc w:val="center"/>
        </w:trPr>
        <w:tc>
          <w:tcPr>
            <w:tcW w:w="10185" w:type="dxa"/>
            <w:gridSpan w:val="3"/>
            <w:tcBorders>
              <w:top w:val="single" w:color="000000" w:sz="6" w:space="0"/>
              <w:left w:val="single" w:color="000000" w:sz="12" w:space="0"/>
              <w:bottom w:val="single" w:color="000000" w:sz="6" w:space="0"/>
              <w:right w:val="single" w:color="000000" w:sz="12" w:space="0"/>
            </w:tcBorders>
          </w:tcPr>
          <w:p w14:paraId="5AB7291E">
            <w:pPr>
              <w:spacing w:line="276" w:lineRule="auto"/>
              <w:rPr>
                <w:rStyle w:val="39"/>
                <w:rFonts w:hint="eastAsia" w:ascii="宋体" w:hAnsi="宋体"/>
                <w:szCs w:val="21"/>
              </w:rPr>
            </w:pPr>
            <w:r>
              <w:rPr>
                <w:rStyle w:val="39"/>
                <w:rFonts w:ascii="宋体" w:hAnsi="宋体"/>
                <w:szCs w:val="21"/>
              </w:rPr>
              <w:t>构成本招标文件的各个组成文件应互为解释，互为说明；如有不明确或不一致，构成合同文件组成内容的，以合同文件约定内容为准，且以专用合同条款约定的合同文件优先顺序解释；除招标文件中有特别规定外，仅适用于招标投标阶段的规定，按</w:t>
            </w:r>
            <w:r>
              <w:rPr>
                <w:rStyle w:val="39"/>
                <w:rFonts w:hint="eastAsia" w:ascii="宋体" w:hAnsi="宋体"/>
                <w:szCs w:val="21"/>
              </w:rPr>
              <w:t>招标公告</w:t>
            </w:r>
            <w:r>
              <w:rPr>
                <w:rStyle w:val="39"/>
                <w:rFonts w:ascii="宋体" w:hAnsi="宋体"/>
                <w:szCs w:val="21"/>
              </w:rPr>
              <w:t>（投标邀请书）、投标人须知、评标办法、投标文件格式的先后顺序解释；同一组成文件中就同一事项的规定或约定不一致的，以编排顺序在后者为准；同一组成文件不同版本之间有不一致的，以形成时间在后者为准。按本款前述规定仍不能形成结论的，由招标人负责解释。</w:t>
            </w:r>
          </w:p>
        </w:tc>
      </w:tr>
      <w:tr w14:paraId="7B1AC3C4">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378" w:hRule="atLeast"/>
          <w:jc w:val="center"/>
        </w:trPr>
        <w:tc>
          <w:tcPr>
            <w:tcW w:w="10185" w:type="dxa"/>
            <w:gridSpan w:val="3"/>
            <w:tcBorders>
              <w:top w:val="single" w:color="000000" w:sz="6" w:space="0"/>
              <w:left w:val="single" w:color="000000" w:sz="12" w:space="0"/>
              <w:bottom w:val="single" w:color="000000" w:sz="6" w:space="0"/>
              <w:right w:val="single" w:color="000000" w:sz="12" w:space="0"/>
            </w:tcBorders>
            <w:vAlign w:val="center"/>
          </w:tcPr>
          <w:p w14:paraId="3E213275">
            <w:pPr>
              <w:spacing w:line="276" w:lineRule="auto"/>
              <w:rPr>
                <w:rStyle w:val="39"/>
                <w:rFonts w:hint="eastAsia" w:ascii="宋体" w:hAnsi="宋体"/>
                <w:szCs w:val="21"/>
              </w:rPr>
            </w:pPr>
            <w:r>
              <w:rPr>
                <w:rStyle w:val="39"/>
                <w:rFonts w:ascii="宋体" w:hAnsi="宋体"/>
                <w:szCs w:val="21"/>
              </w:rPr>
              <w:t>10.11 招标人补充的其他内容</w:t>
            </w:r>
          </w:p>
        </w:tc>
      </w:tr>
      <w:tr w14:paraId="0112C743">
        <w:tblPrEx>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CellMar>
            <w:top w:w="0" w:type="dxa"/>
            <w:left w:w="0" w:type="dxa"/>
            <w:bottom w:w="0" w:type="dxa"/>
            <w:right w:w="0" w:type="dxa"/>
          </w:tblCellMar>
        </w:tblPrEx>
        <w:trPr>
          <w:trHeight w:val="4096" w:hRule="atLeast"/>
          <w:jc w:val="center"/>
        </w:trPr>
        <w:tc>
          <w:tcPr>
            <w:tcW w:w="10185" w:type="dxa"/>
            <w:gridSpan w:val="3"/>
            <w:tcBorders>
              <w:top w:val="single" w:color="000000" w:sz="6" w:space="0"/>
              <w:left w:val="single" w:color="000000" w:sz="12" w:space="0"/>
              <w:bottom w:val="single" w:color="000000" w:sz="6" w:space="0"/>
              <w:right w:val="single" w:color="000000" w:sz="12" w:space="0"/>
            </w:tcBorders>
          </w:tcPr>
          <w:p w14:paraId="4B6EB6F6">
            <w:pPr>
              <w:numPr>
                <w:ilvl w:val="0"/>
                <w:numId w:val="7"/>
              </w:numPr>
              <w:snapToGrid w:val="0"/>
              <w:spacing w:line="276" w:lineRule="auto"/>
              <w:rPr>
                <w:b/>
                <w:bCs/>
              </w:rPr>
            </w:pPr>
            <w:r>
              <w:rPr>
                <w:rFonts w:hint="eastAsia"/>
                <w:b/>
                <w:bCs/>
              </w:rPr>
              <w:t>招标结束后，预中标单位应无条件按照项目所在地建设主管部门要求办理人员证件备案代管手续，并履行新建部分二次进场招标（若需）全部过程的队伍资源、相关投标准备及最终中标、备案手续完善，以及手续未完善情况下可能带来的质监安监、扬尘办、城管等各项关系协调、手续办理，办理质安监提前介入、配合发包人办理项目规划批前批后公示</w:t>
            </w:r>
            <w:r>
              <w:rPr>
                <w:rFonts w:hint="eastAsia"/>
                <w:b/>
                <w:bCs/>
                <w:lang w:eastAsia="zh-CN"/>
              </w:rPr>
              <w:t>（</w:t>
            </w:r>
            <w:r>
              <w:rPr>
                <w:rFonts w:hint="eastAsia"/>
                <w:b/>
                <w:bCs/>
                <w:lang w:val="en-US" w:eastAsia="zh-CN"/>
              </w:rPr>
              <w:t>制作及安装费用</w:t>
            </w:r>
            <w:r>
              <w:rPr>
                <w:rFonts w:hint="eastAsia"/>
                <w:b/>
                <w:bCs/>
                <w:lang w:eastAsia="zh-CN"/>
              </w:rPr>
              <w:t>）</w:t>
            </w:r>
            <w:r>
              <w:rPr>
                <w:rFonts w:hint="eastAsia"/>
                <w:b/>
                <w:bCs/>
              </w:rPr>
              <w:t>、施工许可证等工作，相关各项费用综合考虑到本次投标报价中，不另行计取。因投标单位原因无法办理开工许可等手续的，招标人有权取消其中标资格，并向发包人支付因此造成的损失。二次进场招标（若需）及招标备案须一次性完成，若因组织配合不力，造成废标重新招标或招标备案超期的情形，投标保证金不予退还同时考核5万元/次，并承担由此给招标人造成的损失和工期违约。</w:t>
            </w:r>
          </w:p>
          <w:p w14:paraId="45CB1579">
            <w:pPr>
              <w:numPr>
                <w:ilvl w:val="0"/>
                <w:numId w:val="7"/>
              </w:numPr>
              <w:snapToGrid w:val="0"/>
              <w:spacing w:line="276" w:lineRule="auto"/>
              <w:rPr>
                <w:b/>
                <w:bCs/>
              </w:rPr>
            </w:pPr>
            <w:r>
              <w:rPr>
                <w:rFonts w:hint="eastAsia"/>
                <w:b/>
                <w:bCs/>
              </w:rPr>
              <w:t>本招标项目不得以施工许可证实际办结时间为由作为申请工期延期的理由。为保证工期，项目所在地质量安全监督机构未正式介入前，组织基础施工产生基础及主体结构的鉴定费用，请综合考虑到投标报价中，不另行计取。</w:t>
            </w:r>
          </w:p>
          <w:p w14:paraId="5B54BAD2">
            <w:pPr>
              <w:snapToGrid w:val="0"/>
              <w:spacing w:line="276" w:lineRule="auto"/>
            </w:pPr>
          </w:p>
          <w:p w14:paraId="47FBCA0A">
            <w:pPr>
              <w:snapToGrid w:val="0"/>
              <w:spacing w:line="276" w:lineRule="auto"/>
            </w:pPr>
            <w:r>
              <w:rPr>
                <w:rFonts w:hint="eastAsia"/>
              </w:rPr>
              <w:t>（3）预</w:t>
            </w:r>
            <w:r>
              <w:t>中标</w:t>
            </w:r>
            <w:r>
              <w:rPr>
                <w:rFonts w:hint="eastAsia"/>
              </w:rPr>
              <w:t>单位</w:t>
            </w:r>
            <w:r>
              <w:t>放弃中标、因不可抗力不能履行合同、不按照招标文件要求提交履约保证金</w:t>
            </w:r>
            <w:r>
              <w:rPr>
                <w:rFonts w:hint="eastAsia"/>
              </w:rPr>
              <w:t>/保函</w:t>
            </w:r>
            <w:r>
              <w:t>，或者被查实存在影响中标结果的违法行为等情形，不符合中标条件的，招标人可以按照评标委员会提出的中标候选人名单</w:t>
            </w:r>
            <w:r>
              <w:rPr>
                <w:rFonts w:hint="eastAsia"/>
              </w:rPr>
              <w:t>择优</w:t>
            </w:r>
            <w:r>
              <w:t>确定其他中标候选人为中标人，也可以重新招标。</w:t>
            </w:r>
          </w:p>
          <w:p w14:paraId="127948C4">
            <w:pPr>
              <w:snapToGrid w:val="0"/>
              <w:spacing w:line="276" w:lineRule="auto"/>
              <w:rPr>
                <w:b/>
                <w:bCs/>
              </w:rPr>
            </w:pPr>
            <w:r>
              <w:rPr>
                <w:rFonts w:hint="eastAsia"/>
                <w:b/>
                <w:bCs/>
              </w:rPr>
              <w:t>（4）工程量清单编制及施工阶段造价咨询（不驻场跟踪服务）以中标人的中标价为依据。</w:t>
            </w:r>
          </w:p>
          <w:p w14:paraId="45C91EDB">
            <w:pPr>
              <w:snapToGrid w:val="0"/>
              <w:spacing w:line="276" w:lineRule="auto"/>
              <w:rPr>
                <w:b/>
                <w:bCs/>
              </w:rPr>
            </w:pPr>
            <w:r>
              <w:rPr>
                <w:rFonts w:hint="eastAsia"/>
                <w:b/>
                <w:bCs/>
              </w:rPr>
              <w:t>其中：</w:t>
            </w:r>
          </w:p>
          <w:p w14:paraId="7AF5BB3F">
            <w:pPr>
              <w:snapToGrid w:val="0"/>
              <w:spacing w:line="276" w:lineRule="auto"/>
              <w:rPr>
                <w:b/>
                <w:bCs/>
              </w:rPr>
            </w:pPr>
            <w:r>
              <w:rPr>
                <w:rFonts w:hint="eastAsia"/>
                <w:b/>
                <w:bCs/>
              </w:rPr>
              <w:t>招标阶段清单编制：固定费率0.218‰（中标人的中标价*费率），施工单位中标并签订施工合同后一次性支付。</w:t>
            </w:r>
          </w:p>
          <w:p w14:paraId="74D432C0">
            <w:pPr>
              <w:snapToGrid w:val="0"/>
              <w:spacing w:line="276" w:lineRule="auto"/>
              <w:rPr>
                <w:b/>
                <w:bCs/>
              </w:rPr>
            </w:pPr>
            <w:r>
              <w:rPr>
                <w:rFonts w:hint="eastAsia"/>
                <w:b/>
                <w:bCs/>
              </w:rPr>
              <w:t>施工阶段造价咨询（不驻场跟踪服务）：固定费率0.109‰，待所跟踪合同完成竣工结算正式报审后一次性支付。</w:t>
            </w:r>
          </w:p>
          <w:p w14:paraId="62B83158">
            <w:pPr>
              <w:snapToGrid w:val="0"/>
              <w:spacing w:line="276" w:lineRule="auto"/>
              <w:rPr>
                <w:b/>
                <w:bCs/>
              </w:rPr>
            </w:pPr>
          </w:p>
          <w:p w14:paraId="126016D7">
            <w:pPr>
              <w:snapToGrid w:val="0"/>
              <w:spacing w:line="276" w:lineRule="auto"/>
              <w:rPr>
                <w:b/>
                <w:bCs/>
              </w:rPr>
            </w:pPr>
            <w:r>
              <w:rPr>
                <w:rFonts w:hint="eastAsia"/>
                <w:b/>
                <w:bCs/>
              </w:rPr>
              <w:t>上述费用由中标人单独向造价咨询单位缴纳，持相应收费发票，按招标文件约定时间申请退还投标保证金，各报价人无需将本项费用单独列项，但应将其综合考虑到报价中。</w:t>
            </w:r>
          </w:p>
          <w:p w14:paraId="21FBEE0A">
            <w:pPr>
              <w:snapToGrid w:val="0"/>
              <w:spacing w:line="276" w:lineRule="auto"/>
              <w:ind w:firstLine="420" w:firstLineChars="200"/>
              <w:rPr>
                <w:highlight w:val="green"/>
              </w:rPr>
            </w:pPr>
          </w:p>
          <w:p w14:paraId="3A631BC1">
            <w:pPr>
              <w:snapToGrid w:val="0"/>
              <w:spacing w:line="276" w:lineRule="auto"/>
            </w:pPr>
            <w:r>
              <w:rPr>
                <w:rFonts w:hint="eastAsia"/>
              </w:rPr>
              <w:t>（5）投标人应到工地踏勘以充分了解工地位置、周边情况、地质水文、道路、储存空间、装卸限制及任何其它足以影响投标报价的情况。任何因忽视或误解工地情况而导致的索赔或工期延长申请将不予批准。施工期间服从、配合招标人厂区生产要求。</w:t>
            </w:r>
          </w:p>
          <w:p w14:paraId="7716AE03">
            <w:pPr>
              <w:pStyle w:val="2"/>
              <w:ind w:left="0" w:leftChars="0" w:firstLine="0" w:firstLineChars="0"/>
            </w:pPr>
          </w:p>
          <w:p w14:paraId="36922FBD">
            <w:r>
              <w:rPr>
                <w:rFonts w:hint="eastAsia"/>
              </w:rPr>
              <w:t>（6）现场施工要求</w:t>
            </w:r>
          </w:p>
          <w:p w14:paraId="76CCBBBA">
            <w:pPr>
              <w:rPr>
                <w:highlight w:val="none"/>
              </w:rPr>
            </w:pPr>
            <w:r>
              <w:rPr>
                <w:rFonts w:hint="eastAsia"/>
              </w:rPr>
              <w:sym w:font="Wingdings 2" w:char="0052"/>
            </w:r>
            <w:r>
              <w:rPr>
                <w:rFonts w:hint="eastAsia"/>
              </w:rPr>
              <w:t>投标人投报的项目班子成员必须始终在工地现场管理，不得擅自更换、不得兼职其他项目，否则按合同条款执行。施工过程中如发现另行设立执行项目经理的情况，给予警告或</w:t>
            </w:r>
            <w:r>
              <w:rPr>
                <w:rFonts w:hint="eastAsia"/>
                <w:highlight w:val="none"/>
              </w:rPr>
              <w:t>违约金处罚，若仍不整改，视为承包人违约，招标人有权终止协议并要求赔偿损失。</w:t>
            </w:r>
          </w:p>
          <w:p w14:paraId="5FD6417A">
            <w:pPr>
              <w:pStyle w:val="12"/>
              <w:rPr>
                <w:rFonts w:hint="eastAsia" w:eastAsia="宋体"/>
                <w:highlight w:val="none"/>
                <w:lang w:eastAsia="zh-CN"/>
              </w:rPr>
            </w:pPr>
            <w:r>
              <w:rPr>
                <w:rFonts w:hint="eastAsia"/>
                <w:highlight w:val="none"/>
              </w:rPr>
              <w:sym w:font="Wingdings 2" w:char="0052"/>
            </w:r>
            <w:r>
              <w:rPr>
                <w:rFonts w:hint="eastAsia"/>
                <w:highlight w:val="none"/>
              </w:rPr>
              <w:t>现场不提供工人生活区和办公区，自行解决。发包人在施工范围周边指定水电接驳点，由承包人自行敷设至施工区，施工水电费</w:t>
            </w:r>
            <w:r>
              <w:rPr>
                <w:rFonts w:hint="eastAsia"/>
                <w:highlight w:val="none"/>
                <w:lang w:val="en-US" w:eastAsia="zh-CN"/>
              </w:rPr>
              <w:t>挂表计量，发生费用据实缴纳至厂区管理单位</w:t>
            </w:r>
            <w:r>
              <w:rPr>
                <w:rFonts w:hint="eastAsia"/>
                <w:highlight w:val="none"/>
                <w:lang w:eastAsia="zh-CN"/>
              </w:rPr>
              <w:t>，</w:t>
            </w:r>
            <w:r>
              <w:rPr>
                <w:rFonts w:hint="eastAsia"/>
                <w:highlight w:val="none"/>
                <w:lang w:val="en-US" w:eastAsia="zh-CN"/>
              </w:rPr>
              <w:t>否则</w:t>
            </w:r>
            <w:r>
              <w:rPr>
                <w:rFonts w:hint="eastAsia"/>
                <w:highlight w:val="none"/>
              </w:rPr>
              <w:t>按照结算造价直接费的0.</w:t>
            </w:r>
            <w:r>
              <w:rPr>
                <w:rFonts w:hint="eastAsia"/>
                <w:highlight w:val="none"/>
                <w:lang w:val="en-US" w:eastAsia="zh-CN"/>
              </w:rPr>
              <w:t>1</w:t>
            </w:r>
            <w:r>
              <w:rPr>
                <w:rFonts w:hint="eastAsia"/>
                <w:highlight w:val="none"/>
              </w:rPr>
              <w:t>%扣除</w:t>
            </w:r>
            <w:r>
              <w:rPr>
                <w:rFonts w:hint="eastAsia"/>
                <w:highlight w:val="none"/>
                <w:lang w:eastAsia="zh-CN"/>
              </w:rPr>
              <w:t>。</w:t>
            </w:r>
          </w:p>
          <w:p w14:paraId="01400EA7">
            <w:pPr>
              <w:pStyle w:val="12"/>
            </w:pPr>
            <w:r>
              <w:rPr>
                <w:rFonts w:hint="eastAsia"/>
                <w:highlight w:val="none"/>
              </w:rPr>
              <w:sym w:font="Wingdings 2" w:char="0052"/>
            </w:r>
            <w:r>
              <w:rPr>
                <w:rFonts w:hint="eastAsia"/>
                <w:highlight w:val="none"/>
              </w:rPr>
              <w:t>施工期间应服从厂区安全文明管理规定，车辆人员进出管理规定（物流运输</w:t>
            </w:r>
            <w:r>
              <w:rPr>
                <w:rFonts w:hint="eastAsia"/>
              </w:rPr>
              <w:t>、施工车辆，优先选用重汽品牌以及一切厂区管理制度，如人员登记、防疫管理、禁止吸烟、特种作业、动火审批用电审批、登高审批及相关安全环保检查等。</w:t>
            </w:r>
          </w:p>
          <w:p w14:paraId="19326762">
            <w:pPr>
              <w:widowControl/>
              <w:snapToGrid w:val="0"/>
              <w:spacing w:line="276" w:lineRule="auto"/>
            </w:pPr>
            <w:r>
              <w:rPr/>
              <w:sym w:font="Wingdings 2" w:char="0052"/>
            </w:r>
            <w:r>
              <w:t>中标人自行负责进场设备材料物资的看护责任，若现场发生的丢失损坏，不得以此向招标人索赔工期和费用。</w:t>
            </w:r>
          </w:p>
          <w:p w14:paraId="469DB755">
            <w:r>
              <w:rPr/>
              <w:sym w:font="Wingdings 2" w:char="0052"/>
            </w:r>
            <w:r>
              <w:rPr>
                <w:rFonts w:hint="eastAsia"/>
              </w:rPr>
              <w:t>中标人自进场施工开始至交接验收前负责施工范围内的成品保护工作，包括自身自己的成品及其它施工单位的成品、半成品等，如发生损坏、更改变化，由中标人负责免费进行恢复原状。尤其是施工区域地下管网工程，须采取成品保护措施，施工前提前告知报备，同时施工前要采取相关技术手段，结合厂区原有管网图纸对施工场地区域的地下管网进行提前探测，地下管线探测清楚后，再进行后续施工，管道保护、探测措施等相关费用包含在报价中，不再另行计取，施工过程安排人员旁站监督，施工结束及时与相关方交接见证，严禁野蛮施工。因施工造成地下原有管网破坏需要无条件的进行免费维修，同时承担影响生产带来的相关损失。</w:t>
            </w:r>
          </w:p>
          <w:p w14:paraId="4853AC53">
            <w:r>
              <w:rPr>
                <w:rFonts w:hint="eastAsia"/>
              </w:rPr>
              <w:sym w:font="Wingdings 2" w:char="0052"/>
            </w:r>
            <w:r>
              <w:rPr>
                <w:rFonts w:hint="eastAsia"/>
              </w:rPr>
              <w:t>施工期间不得以进入冬雨季施工、中高考期间、秋冬季大气污染应急响应（均为可预见因素）、法定节假日等作为工期延误的理由，必须采取施工措施保证施工质量和进度。</w:t>
            </w:r>
          </w:p>
          <w:p w14:paraId="122E0739">
            <w:pPr>
              <w:pStyle w:val="31"/>
              <w:ind w:firstLine="0" w:firstLineChars="0"/>
              <w:rPr>
                <w:rFonts w:hint="default"/>
              </w:rPr>
            </w:pPr>
            <w:r>
              <w:rPr/>
              <w:sym w:font="Wingdings 2" w:char="0052"/>
            </w:r>
            <w:r>
              <w:t>施工期间必须采取抑尘降尘措施，施工区域采用封闭围挡进行封闭施工，与生产交叉时应采取保生产措施，服从厂区生产需要，充分考虑施工机械多次进场，积极采取夜间施工、加班加人等赶工措施。不得以此申请延长工期和增加费用。</w:t>
            </w:r>
          </w:p>
          <w:p w14:paraId="5C58BB09">
            <w:pPr>
              <w:pStyle w:val="12"/>
            </w:pPr>
            <w:r>
              <w:rPr>
                <w:rFonts w:hint="eastAsia"/>
              </w:rPr>
              <w:sym w:font="Wingdings 2" w:char="0052"/>
            </w:r>
            <w:r>
              <w:rPr>
                <w:rFonts w:hint="eastAsia"/>
              </w:rPr>
              <w:t>投标人须认可招标人的工作指令，包括节、假日（包含春节）能正常开展工作的要求。</w:t>
            </w:r>
          </w:p>
          <w:p w14:paraId="537A03DC">
            <w:pPr>
              <w:pStyle w:val="12"/>
            </w:pPr>
            <w:r>
              <w:rPr>
                <w:rFonts w:hint="eastAsia"/>
              </w:rPr>
              <w:sym w:font="Wingdings 2" w:char="0052"/>
            </w:r>
            <w:r>
              <w:rPr>
                <w:rFonts w:hint="eastAsia"/>
              </w:rPr>
              <w:t>现场分区域分段施工、交叉施工、错时施工是必然的，必须服从厂区生产安排、建设方统一指挥，施工降效等费用综合考虑到措施费用中。</w:t>
            </w:r>
          </w:p>
          <w:p w14:paraId="69904277">
            <w:pPr>
              <w:pStyle w:val="12"/>
            </w:pPr>
            <w:r>
              <w:rPr>
                <w:rFonts w:hint="eastAsia"/>
              </w:rPr>
              <w:t>施工期间应严格落实项目所在地的政府安全文明标准、渣土处置标准、扬尘环保、重污染天气应急响应等标准，做到六个百分百，采取湿法作业，冲洗设备、密目网裸土全覆盖，施工结束每日及时恢复，运输期间，中标人负责运输路线上道路的及时清理、冲洗，确保文明卫生。</w:t>
            </w:r>
          </w:p>
          <w:p w14:paraId="4FB82677">
            <w:pPr>
              <w:widowControl/>
              <w:snapToGrid w:val="0"/>
              <w:spacing w:line="276" w:lineRule="auto"/>
            </w:pPr>
            <w:r>
              <w:rPr>
                <w:rFonts w:hint="eastAsia"/>
              </w:rPr>
              <w:sym w:font="Wingdings 2" w:char="0052"/>
            </w:r>
            <w:r>
              <w:rPr>
                <w:rFonts w:hint="eastAsia"/>
              </w:rPr>
              <w:t>现场施工人员登高、电工、焊工等作业必须持证上岗。</w:t>
            </w:r>
          </w:p>
          <w:p w14:paraId="155D94A3">
            <w:pPr>
              <w:pStyle w:val="2"/>
              <w:widowControl/>
              <w:snapToGrid w:val="0"/>
              <w:ind w:left="0" w:leftChars="0" w:firstLine="0" w:firstLineChars="0"/>
            </w:pPr>
            <w:r>
              <w:rPr>
                <w:rFonts w:hint="eastAsia"/>
              </w:rPr>
              <w:sym w:font="Wingdings 2" w:char="F052"/>
            </w:r>
            <w:r>
              <w:rPr>
                <w:rFonts w:hint="eastAsia"/>
              </w:rPr>
              <w:t>若承包人施工进度严重滞后且无有效抢工措施，施工进度无明显改善的，经发包人函告后仍未在通知的时间内积极采取有效措施达到现场进度要求的，发包人有权自行委托其他施工单位（第三方）替代施工，而不构成违约，承包人须无条件服从。第三方施工单位施工所发生的费用，由发包人书面认可即视为有效且承包人亦认可，最终由承包人承担，承担方式：承包人直接向第三方支付或由发包人代为支付，在承包人的竣工结算中对成本增加部分（双方价差）予以扣减。</w:t>
            </w:r>
          </w:p>
          <w:p w14:paraId="0C15D612">
            <w:pPr>
              <w:pStyle w:val="2"/>
              <w:widowControl/>
              <w:snapToGrid w:val="0"/>
              <w:ind w:left="0" w:leftChars="0" w:firstLine="0" w:firstLineChars="0"/>
            </w:pPr>
            <w:r>
              <w:rPr>
                <w:rFonts w:hint="eastAsia"/>
              </w:rPr>
              <w:sym w:font="Wingdings" w:char="00FE"/>
            </w:r>
            <w:r>
              <w:rPr>
                <w:rFonts w:hint="eastAsia"/>
              </w:rPr>
              <w:t>施工过程中产生的废旧有价值物资，一律交由招标人，运至厂区内甲方指定位置。</w:t>
            </w:r>
          </w:p>
          <w:p w14:paraId="3BD6B048">
            <w:pPr>
              <w:pStyle w:val="2"/>
              <w:widowControl/>
              <w:snapToGrid w:val="0"/>
              <w:ind w:left="0" w:leftChars="0" w:firstLine="0" w:firstLineChars="0"/>
              <w:rPr>
                <w:lang w:bidi="ar"/>
              </w:rPr>
            </w:pPr>
            <w:r>
              <w:rPr>
                <w:rFonts w:hint="eastAsia"/>
              </w:rPr>
              <w:sym w:font="Wingdings" w:char="00FE"/>
            </w:r>
            <w:r>
              <w:rPr>
                <w:rFonts w:hint="eastAsia"/>
                <w:lang w:bidi="ar"/>
              </w:rPr>
              <w:t>进场施工每个项目必须配置至少一名专职安全员持证上岗，特种作业时必须到场实时监护。</w:t>
            </w:r>
          </w:p>
          <w:p w14:paraId="41D4DA6F">
            <w:pPr>
              <w:pStyle w:val="12"/>
              <w:rPr>
                <w:rFonts w:ascii="Times New Roman" w:hAnsi="Times New Roman" w:cs="Times New Roman"/>
                <w:lang w:bidi="ar"/>
              </w:rPr>
            </w:pPr>
          </w:p>
          <w:p w14:paraId="75E97BF7">
            <w:pPr>
              <w:pStyle w:val="2"/>
              <w:widowControl/>
              <w:snapToGrid w:val="0"/>
              <w:spacing w:after="0"/>
              <w:ind w:left="0" w:leftChars="0" w:firstLine="0" w:firstLineChars="0"/>
              <w:jc w:val="both"/>
            </w:pPr>
            <w:r>
              <w:rPr>
                <w:rFonts w:hint="eastAsia"/>
              </w:rPr>
              <w:t>（7）商务报价注意内容</w:t>
            </w:r>
          </w:p>
          <w:p w14:paraId="3A213C46">
            <w:pPr>
              <w:snapToGrid w:val="0"/>
              <w:spacing w:line="276" w:lineRule="auto"/>
              <w:rPr>
                <w:highlight w:val="none"/>
              </w:rPr>
            </w:pPr>
            <w:r>
              <w:rPr>
                <w:rFonts w:hint="eastAsia"/>
              </w:rPr>
              <w:sym w:font="Wingdings 2" w:char="0052"/>
            </w:r>
            <w:r>
              <w:rPr>
                <w:rFonts w:hint="eastAsia"/>
              </w:rPr>
              <w:t>本工程不设暂列</w:t>
            </w:r>
            <w:r>
              <w:rPr>
                <w:rFonts w:hint="eastAsia"/>
                <w:highlight w:val="none"/>
              </w:rPr>
              <w:t>金。</w:t>
            </w:r>
          </w:p>
          <w:p w14:paraId="109CB7AB">
            <w:pPr>
              <w:snapToGrid w:val="0"/>
              <w:spacing w:line="276" w:lineRule="auto"/>
              <w:rPr>
                <w:highlight w:val="none"/>
              </w:rPr>
            </w:pPr>
            <w:r>
              <w:rPr>
                <w:rFonts w:hint="eastAsia"/>
                <w:highlight w:val="none"/>
              </w:rPr>
              <w:sym w:font="Wingdings 2" w:char="0052"/>
            </w:r>
            <w:r>
              <w:rPr>
                <w:rFonts w:hint="eastAsia"/>
                <w:highlight w:val="none"/>
              </w:rPr>
              <w:t>本次招标无甲供材料（设备）、无甲分包，不计取采保费和总承包管理费。</w:t>
            </w:r>
          </w:p>
          <w:p w14:paraId="2A386525">
            <w:pPr>
              <w:snapToGrid w:val="0"/>
              <w:spacing w:line="276" w:lineRule="auto"/>
              <w:rPr>
                <w:b/>
                <w:bCs/>
                <w:color w:val="FF0000"/>
                <w:highlight w:val="none"/>
              </w:rPr>
            </w:pPr>
            <w:r>
              <w:rPr>
                <w:rFonts w:hint="eastAsia"/>
                <w:b/>
                <w:bCs/>
                <w:color w:val="FF0000"/>
                <w:highlight w:val="none"/>
              </w:rPr>
              <w:sym w:font="Wingdings 2" w:char="0052"/>
            </w:r>
            <w:r>
              <w:rPr>
                <w:rFonts w:hint="eastAsia"/>
                <w:b/>
                <w:bCs/>
                <w:color w:val="FF0000"/>
                <w:highlight w:val="none"/>
              </w:rPr>
              <w:t>本项目的投标限价268.58万元/含税（其中，莱芜厂区新建大棚及地面硬化技改项目工程施工116.63万元/含税、莱芜厂区辊压线废料再利用技改项目工程施工151.95万元/含税），报价不得高于限价，超出限价自动视为落标。</w:t>
            </w:r>
          </w:p>
          <w:p w14:paraId="12ADCA7E">
            <w:pPr>
              <w:snapToGrid w:val="0"/>
              <w:spacing w:line="276" w:lineRule="auto"/>
              <w:ind w:firstLine="0" w:firstLineChars="0"/>
              <w:rPr>
                <w:rFonts w:hint="eastAsia" w:ascii="宋体" w:hAnsi="宋体"/>
                <w:b/>
                <w:bCs/>
                <w:szCs w:val="21"/>
              </w:rPr>
            </w:pPr>
          </w:p>
          <w:p w14:paraId="34AA4782">
            <w:pPr>
              <w:snapToGrid w:val="0"/>
              <w:spacing w:line="276" w:lineRule="auto"/>
            </w:pPr>
            <w:r>
              <w:rPr>
                <w:rFonts w:hint="eastAsia"/>
              </w:rPr>
              <w:t>（8）合同付款条件</w:t>
            </w:r>
          </w:p>
          <w:p w14:paraId="49F47AF7">
            <w:pPr>
              <w:snapToGrid w:val="0"/>
              <w:spacing w:line="276" w:lineRule="auto"/>
            </w:pPr>
            <w:r>
              <w:rPr>
                <w:rFonts w:hint="eastAsia"/>
              </w:rPr>
              <w:t>付款方式：半年期商业汇票（包含银行承兑汇票和商业承兑汇票）。</w:t>
            </w:r>
          </w:p>
          <w:p w14:paraId="63135095">
            <w:pPr>
              <w:pStyle w:val="2"/>
              <w:ind w:left="0" w:leftChars="0" w:firstLine="0" w:firstLineChars="0"/>
            </w:pPr>
            <w:r>
              <w:rPr>
                <w:rFonts w:hint="eastAsia"/>
              </w:rPr>
              <w:t>工程款支付按月形象进度报表，经监理工程师、发包人审核后于次月底前付至工程月形象进度造价的75%，累计进度款最高付至合同签约价的75%；完成工程竣工资料移交、竣工结算申报及内部竣工验收后付至已完成形象进度产值的80%，且最高付至合同签约价80%；竣工结算审计完毕后付款至工程结算款的97%，结算款的3%作为质量保修金，无质量问题两年后支付。</w:t>
            </w:r>
          </w:p>
          <w:p w14:paraId="202E37E8">
            <w:pPr>
              <w:snapToGrid w:val="0"/>
              <w:spacing w:line="276" w:lineRule="auto"/>
            </w:pPr>
            <w:r>
              <w:rPr>
                <w:rFonts w:hint="eastAsia"/>
              </w:rPr>
              <w:t>发包人所有款项的支付均需承包人持当批付款金额一致的符合国家要求的增值税专用发票、收据、授权委托书、经办人身份证明原件及复印件等其他发包人财务制度要求的资料办理。</w:t>
            </w:r>
          </w:p>
          <w:p w14:paraId="417DD664">
            <w:pPr>
              <w:snapToGrid w:val="0"/>
              <w:spacing w:line="276" w:lineRule="auto"/>
            </w:pPr>
          </w:p>
          <w:p w14:paraId="2827553E">
            <w:pPr>
              <w:snapToGrid w:val="0"/>
              <w:spacing w:line="276" w:lineRule="auto"/>
            </w:pPr>
            <w:r>
              <w:rPr>
                <w:rFonts w:hint="eastAsia"/>
              </w:rPr>
              <w:t>（9）其他</w:t>
            </w:r>
          </w:p>
          <w:p w14:paraId="607447DD">
            <w:pPr>
              <w:pStyle w:val="2"/>
              <w:widowControl/>
              <w:snapToGrid w:val="0"/>
              <w:spacing w:after="0"/>
              <w:ind w:left="0" w:leftChars="0" w:firstLine="0" w:firstLineChars="0"/>
              <w:jc w:val="both"/>
            </w:pPr>
            <w:r>
              <w:rPr/>
              <w:sym w:font="Wingdings 2" w:char="0052"/>
            </w:r>
            <w:r>
              <w:t>中标人应严格落实项目所在地的最新农民工工资保证金管理规定</w:t>
            </w:r>
            <w:r>
              <w:rPr>
                <w:rFonts w:hint="eastAsia" w:ascii="仿宋_GB2312" w:hAnsi="仿宋_GB2312" w:eastAsia="仿宋_GB2312" w:cs="仿宋_GB2312"/>
                <w:kern w:val="0"/>
                <w:szCs w:val="21"/>
              </w:rPr>
              <w:t>、</w:t>
            </w:r>
            <w:r>
              <w:t>建筑工程项目农民工实名制和工资专用账户管理制度，负责按规定及时全额缴纳</w:t>
            </w:r>
            <w:r>
              <w:rPr>
                <w:rFonts w:hint="eastAsia"/>
              </w:rPr>
              <w:t>，并负责将进度款中的人工费及时转账至农民工工资专用账户中，确保账户金额充足。若发包人现金转账支付人工费至农民工工资专用账户的，因付款方式发生变化，承包人须承担此部分汇票与现金的贴息费用（3.6%），从当期应付进度款（扣除已支付人工费）中予以扣除（当期应付进度款开票金额不变，视为当期应付进度款已全额支付）。同时杜绝层层分包，转包行为，确保工资及时发放到劳务工人本人手中</w:t>
            </w:r>
            <w:r>
              <w:t>，并负责及时办理工伤保险。否则视为严重违约，除承担违约责任外，对造成的一切后果和责任自行承担。</w:t>
            </w:r>
            <w:r>
              <w:rPr>
                <w:rFonts w:hint="eastAsia"/>
              </w:rPr>
              <w:t>若本项目中标人发生农民工欠薪，产生政府投诉、堵门、阻挠施工等事件的，每发生一起，除妥善及时处理、消除影响外还有承担违约责任，视情节严重情况给予1万-5万元/次考核。</w:t>
            </w:r>
          </w:p>
          <w:p w14:paraId="1EB9DF3C">
            <w:pPr>
              <w:pStyle w:val="2"/>
              <w:widowControl/>
              <w:snapToGrid w:val="0"/>
              <w:spacing w:after="0"/>
              <w:ind w:left="0" w:leftChars="0" w:firstLine="0" w:firstLineChars="0"/>
            </w:pPr>
            <w:r>
              <w:rPr/>
              <w:sym w:font="Wingdings 2" w:char="0052"/>
            </w:r>
            <w:r>
              <w:t>若承包人施工进度严重滞后且无有效抢工措施，施工进度无明显改善的，经发包人函告后仍未在通知的时间内积极采取有效措施达到现场进度要求的，发包人有权自行委托其他施工单位（第三方）替代施工，而不构成违约，承包人须无条件服从。第三方施工单位施工所发生的费用，由招标人书面认可即视为有效且承包人亦认可，最终由承包人承担，承担方式：承包人直接向第三方支付或由发包人代为支付，在承包人的竣工结算中对成本增加部分（双方价差）予以扣减。</w:t>
            </w:r>
          </w:p>
          <w:p w14:paraId="1FA7184B">
            <w:pPr>
              <w:pStyle w:val="4"/>
              <w:ind w:left="0" w:leftChars="0"/>
              <w:rPr>
                <w:b w:val="0"/>
                <w:bCs/>
              </w:rPr>
            </w:pPr>
            <w:r>
              <w:rPr>
                <w:b w:val="0"/>
                <w:bCs/>
              </w:rPr>
              <w:sym w:font="Wingdings 2" w:char="0052"/>
            </w:r>
            <w:r>
              <w:rPr>
                <w:rFonts w:hint="eastAsia"/>
                <w:b w:val="0"/>
                <w:bCs/>
              </w:rPr>
              <w:t>对于设计图纸技术标准高于国家、行业相关标准或验收规范等标准的，应严格按照设计标准施工，施工方案及费用已充分考虑。</w:t>
            </w:r>
          </w:p>
          <w:p w14:paraId="3B60139C">
            <w:pPr>
              <w:pStyle w:val="4"/>
              <w:ind w:left="0" w:leftChars="0"/>
              <w:jc w:val="left"/>
            </w:pPr>
            <w:r>
              <w:rPr>
                <w:b w:val="0"/>
              </w:rPr>
              <w:sym w:font="Wingdings 2" w:char="0052"/>
            </w:r>
            <w:r>
              <w:rPr>
                <w:b w:val="0"/>
              </w:rPr>
              <w:t>项目施工所有（不含甲供材料设备、甲分包部分）试验检测费用（包括但不限于见证取样复试、地基基础检测、主体结构检测、钢结构检测、空气质量检测、弱电检测、外墙保温系统型式检测、防雷检测、消防检测、沉降观测、焊缝检测、配电平台高低压设备的相关试验、各类流量计、能量计、温度压力传感器的校验（项目内部验收完移交时，计量装置必须在有效期内）等）均已综合考虑并包含在承包人投标总价中。根据《建设工程质量检测管理办法》第二十一条及《山东省住房和城乡建设厅关于压实建设单位工程质量首要责任的实施办法》，非建设单位委托的检测机构出具的检测报告不得作为工程质量验收资料。乙购材料设备的见证取样送检及施工专项检测（如焊缝探伤等），由</w:t>
            </w:r>
            <w:r>
              <w:rPr>
                <w:rFonts w:hint="eastAsia"/>
                <w:b w:val="0"/>
              </w:rPr>
              <w:t>发包人</w:t>
            </w:r>
            <w:r>
              <w:rPr>
                <w:b w:val="0"/>
              </w:rPr>
              <w:t>委托具有相应资质的第三方检测单位进行检测</w:t>
            </w:r>
            <w:r>
              <w:rPr>
                <w:rFonts w:hint="eastAsia"/>
                <w:b w:val="0"/>
              </w:rPr>
              <w:t>。若</w:t>
            </w:r>
            <w:r>
              <w:rPr>
                <w:b w:val="0"/>
              </w:rPr>
              <w:t>所发生的检测费用由发包人</w:t>
            </w:r>
            <w:r>
              <w:rPr>
                <w:rFonts w:hint="eastAsia"/>
                <w:b w:val="0"/>
              </w:rPr>
              <w:t>按检测委托合同</w:t>
            </w:r>
            <w:r>
              <w:rPr>
                <w:b w:val="0"/>
              </w:rPr>
              <w:t>支付的，在竣工结算时按实际发生检测总费用予以扣除</w:t>
            </w:r>
            <w:r>
              <w:rPr>
                <w:rFonts w:hint="eastAsia"/>
                <w:b w:val="0"/>
              </w:rPr>
              <w:t>。若所发生的检测费由发包人委托人直接垫付的，</w:t>
            </w:r>
            <w:r>
              <w:rPr>
                <w:b w:val="0"/>
              </w:rPr>
              <w:t>由承包人支付给发包</w:t>
            </w:r>
            <w:r>
              <w:rPr>
                <w:rFonts w:hint="eastAsia"/>
                <w:b w:val="0"/>
              </w:rPr>
              <w:t>人委托人</w:t>
            </w:r>
            <w:r>
              <w:rPr>
                <w:b w:val="0"/>
              </w:rPr>
              <w:t>。</w:t>
            </w:r>
          </w:p>
          <w:p w14:paraId="287296E3">
            <w:pPr>
              <w:snapToGrid w:val="0"/>
              <w:spacing w:line="276" w:lineRule="auto"/>
              <w:rPr>
                <w:b/>
                <w:bCs/>
              </w:rPr>
            </w:pPr>
            <w:r>
              <w:rPr>
                <w:rFonts w:hint="eastAsia"/>
                <w:b/>
                <w:bCs/>
              </w:rPr>
              <w:sym w:font="Wingdings 2" w:char="0052"/>
            </w:r>
            <w:r>
              <w:rPr>
                <w:rFonts w:hint="eastAsia"/>
                <w:b/>
                <w:bCs/>
              </w:rPr>
              <w:t>承包人申请工程款支付时需按发包人要求同步完善工程技术及质量控制资料，因资料不完善影响工程款支付的，不得以此为由影响施工进度。</w:t>
            </w:r>
          </w:p>
          <w:p w14:paraId="5821C4A0">
            <w:pPr>
              <w:pStyle w:val="4"/>
              <w:ind w:left="0" w:leftChars="0"/>
              <w:jc w:val="left"/>
              <w:rPr>
                <w:b w:val="0"/>
              </w:rPr>
            </w:pPr>
          </w:p>
          <w:p w14:paraId="3D5C38FA">
            <w:pPr>
              <w:pStyle w:val="12"/>
            </w:pPr>
            <w:r>
              <w:rPr>
                <w:rFonts w:hint="eastAsia"/>
              </w:rPr>
              <w:t>工程结算审计，由发包人委托造价咨询单位审计或自行审计，基本审计费由发包人支付。对审减额超过5%的部分，按审减额的5%计取审计费，由承包人支付;审增部分按实际审增额的5%计取审计费，由承包人支付。承包人应支付的审计费，由发包人在工程款中代扣代缴或者由承包人直接支付。</w:t>
            </w:r>
          </w:p>
          <w:p w14:paraId="274E3FAE"/>
          <w:p w14:paraId="351CCAF2">
            <w:pPr>
              <w:snapToGrid w:val="0"/>
              <w:spacing w:line="276" w:lineRule="auto"/>
            </w:pPr>
            <w:r>
              <w:rPr>
                <w:rFonts w:hint="eastAsia"/>
              </w:rPr>
              <w:t>（10）开标进场注意事项</w:t>
            </w:r>
          </w:p>
          <w:p w14:paraId="7A9375B1">
            <w:pPr>
              <w:numPr>
                <w:ilvl w:val="255"/>
                <w:numId w:val="0"/>
              </w:numPr>
              <w:snapToGrid w:val="0"/>
              <w:spacing w:line="276" w:lineRule="auto"/>
            </w:pPr>
            <w:r>
              <w:rPr/>
              <w:sym w:font="Wingdings 2" w:char="0052"/>
            </w:r>
            <w:r>
              <w:t>开标当日，投标单位的授权委托人</w:t>
            </w:r>
            <w:r>
              <w:rPr>
                <w:rFonts w:hint="eastAsia"/>
              </w:rPr>
              <w:t>及投标项目经理、技术标编制人员、商务标编制人员必须到场。且</w:t>
            </w:r>
            <w:r>
              <w:t>所有到场人员必须出具在本单位连续缴纳不低于1年的社保记录和证明，否则不予进入开标现场。</w:t>
            </w:r>
          </w:p>
          <w:p w14:paraId="49DD3476">
            <w:pPr>
              <w:pStyle w:val="2"/>
              <w:snapToGrid w:val="0"/>
              <w:spacing w:after="0"/>
              <w:ind w:left="0" w:leftChars="0" w:firstLine="0" w:firstLineChars="0"/>
              <w:jc w:val="both"/>
            </w:pPr>
          </w:p>
          <w:p w14:paraId="3825CA38">
            <w:pPr>
              <w:pStyle w:val="2"/>
              <w:snapToGrid w:val="0"/>
              <w:spacing w:after="0"/>
              <w:ind w:left="0" w:leftChars="0" w:firstLine="0" w:firstLineChars="0"/>
              <w:jc w:val="both"/>
            </w:pPr>
            <w:r>
              <w:rPr>
                <w:rFonts w:hint="eastAsia"/>
              </w:rPr>
              <w:t>特别着重提醒：</w:t>
            </w:r>
          </w:p>
          <w:p w14:paraId="2DD4A1B5">
            <w:pPr>
              <w:pStyle w:val="2"/>
              <w:numPr>
                <w:ilvl w:val="0"/>
                <w:numId w:val="8"/>
              </w:numPr>
              <w:snapToGrid w:val="0"/>
              <w:spacing w:after="0"/>
              <w:ind w:left="0" w:leftChars="0" w:firstLine="0" w:firstLineChars="0"/>
              <w:jc w:val="both"/>
            </w:pPr>
            <w:r>
              <w:rPr>
                <w:rFonts w:hint="eastAsia"/>
              </w:rPr>
              <w:t>投标时须提交杜绝挂靠、转包承诺函（详见投标函附录-4），函必须经公司法务部门/人员签字及法定代表人签字盖公章。</w:t>
            </w:r>
          </w:p>
          <w:p w14:paraId="0D3E2E49">
            <w:pPr>
              <w:pStyle w:val="2"/>
              <w:numPr>
                <w:ilvl w:val="0"/>
                <w:numId w:val="8"/>
              </w:numPr>
              <w:snapToGrid w:val="0"/>
              <w:spacing w:after="0"/>
              <w:ind w:left="0" w:leftChars="0" w:firstLine="0" w:firstLineChars="0"/>
              <w:jc w:val="both"/>
              <w:rPr>
                <w:rFonts w:hint="eastAsia"/>
                <w:b/>
                <w:bCs/>
              </w:rPr>
            </w:pPr>
            <w:r>
              <w:rPr>
                <w:rFonts w:hint="eastAsia"/>
                <w:b/>
                <w:bCs/>
              </w:rPr>
              <w:sym w:font="Wingdings 2" w:char="0052"/>
            </w:r>
            <w:r>
              <w:rPr>
                <w:rFonts w:hint="eastAsia"/>
                <w:b/>
                <w:bCs/>
              </w:rPr>
              <w:t>本项目的投标限价268.58万元/含税（其中，其中，莱芜厂区新建大棚及地面硬化技改项目工程施工116.63万元/含税、莱芜厂区辊压线废料再利用技改项目工程施工151.95万元/含税</w:t>
            </w:r>
            <w:r>
              <w:rPr>
                <w:rFonts w:hint="eastAsia"/>
                <w:b/>
                <w:bCs/>
                <w:lang w:eastAsia="zh-CN"/>
              </w:rPr>
              <w:t>）</w:t>
            </w:r>
            <w:r>
              <w:rPr>
                <w:rFonts w:hint="eastAsia"/>
                <w:b/>
                <w:bCs/>
              </w:rPr>
              <w:t>，报价不得高于限价，超出限价自动视为落标。</w:t>
            </w:r>
          </w:p>
          <w:p w14:paraId="7F98DD41">
            <w:pPr>
              <w:pStyle w:val="2"/>
              <w:numPr>
                <w:ilvl w:val="0"/>
                <w:numId w:val="8"/>
              </w:numPr>
              <w:snapToGrid w:val="0"/>
              <w:spacing w:after="0"/>
              <w:ind w:left="0" w:leftChars="0" w:firstLine="0" w:firstLineChars="0"/>
              <w:jc w:val="both"/>
              <w:rPr>
                <w:rFonts w:hint="default" w:eastAsia="宋体"/>
                <w:lang w:val="en-US" w:eastAsia="zh-CN"/>
              </w:rPr>
            </w:pPr>
            <w:r>
              <w:rPr>
                <w:rFonts w:hint="eastAsia"/>
                <w:b/>
                <w:bCs/>
                <w:lang w:val="en-US" w:eastAsia="zh-CN"/>
              </w:rPr>
              <w:t>室外混凝土地面施工必须采取冬季施工措施及抗冻融措施，相关费用综合考虑到投标总报价中。</w:t>
            </w:r>
          </w:p>
        </w:tc>
      </w:tr>
    </w:tbl>
    <w:p w14:paraId="24A36468">
      <w:pPr>
        <w:pStyle w:val="13"/>
        <w:rPr>
          <w:lang w:bidi="en-US"/>
        </w:rPr>
      </w:pPr>
      <w:bookmarkStart w:id="33" w:name="_Toc17817323"/>
      <w:bookmarkStart w:id="34" w:name="_Toc28870"/>
      <w:bookmarkStart w:id="35" w:name="_Toc16063893"/>
    </w:p>
    <w:p w14:paraId="10947DEE">
      <w:pPr>
        <w:pStyle w:val="7"/>
        <w:spacing w:before="0" w:after="0"/>
        <w:jc w:val="center"/>
        <w:rPr>
          <w:sz w:val="30"/>
          <w:szCs w:val="30"/>
        </w:rPr>
      </w:pPr>
      <w:bookmarkStart w:id="36" w:name="_Toc20487"/>
      <w:bookmarkStart w:id="37" w:name="_Toc25548"/>
      <w:r>
        <w:rPr>
          <w:sz w:val="30"/>
          <w:szCs w:val="30"/>
        </w:rPr>
        <w:t>1. 总则</w:t>
      </w:r>
      <w:bookmarkEnd w:id="33"/>
      <w:bookmarkEnd w:id="34"/>
      <w:bookmarkEnd w:id="35"/>
      <w:bookmarkEnd w:id="36"/>
      <w:bookmarkEnd w:id="37"/>
    </w:p>
    <w:p w14:paraId="1DF66042">
      <w:pPr>
        <w:pStyle w:val="43"/>
        <w:spacing w:before="0" w:after="0"/>
        <w:rPr>
          <w:rStyle w:val="39"/>
          <w:rFonts w:hint="eastAsia" w:ascii="宋体" w:hAnsi="宋体"/>
        </w:rPr>
      </w:pPr>
      <w:r>
        <w:rPr>
          <w:rStyle w:val="39"/>
          <w:rFonts w:ascii="宋体" w:hAnsi="宋体"/>
        </w:rPr>
        <w:t>1.1 项目概况</w:t>
      </w:r>
    </w:p>
    <w:p w14:paraId="6A988F22">
      <w:pPr>
        <w:spacing w:line="360" w:lineRule="auto"/>
        <w:ind w:firstLine="420" w:firstLineChars="200"/>
        <w:rPr>
          <w:rStyle w:val="39"/>
          <w:rFonts w:hint="eastAsia" w:ascii="宋体" w:hAnsi="宋体"/>
        </w:rPr>
      </w:pPr>
      <w:r>
        <w:rPr>
          <w:rStyle w:val="39"/>
          <w:rFonts w:ascii="宋体" w:hAnsi="宋体"/>
        </w:rPr>
        <w:t>1.1.1根据《中华人民共和国招标投标法》等有关法律、法规和规章的规定，本招标项目已具备招标条件，现对本项目施工进行招标。</w:t>
      </w:r>
    </w:p>
    <w:p w14:paraId="69654642">
      <w:pPr>
        <w:spacing w:line="360" w:lineRule="auto"/>
        <w:ind w:firstLine="420" w:firstLineChars="200"/>
        <w:rPr>
          <w:rStyle w:val="39"/>
          <w:rFonts w:hint="eastAsia" w:ascii="宋体" w:hAnsi="宋体"/>
        </w:rPr>
      </w:pPr>
      <w:r>
        <w:rPr>
          <w:rStyle w:val="39"/>
          <w:rFonts w:ascii="宋体" w:hAnsi="宋体"/>
        </w:rPr>
        <w:t>1.1.2 本招标项目招标人：见投标人须知前附表。</w:t>
      </w:r>
    </w:p>
    <w:p w14:paraId="36F88ED5">
      <w:pPr>
        <w:spacing w:line="360" w:lineRule="auto"/>
        <w:ind w:firstLine="420" w:firstLineChars="200"/>
        <w:rPr>
          <w:rStyle w:val="39"/>
          <w:rFonts w:hint="eastAsia" w:ascii="宋体" w:hAnsi="宋体"/>
        </w:rPr>
      </w:pPr>
      <w:r>
        <w:rPr>
          <w:rStyle w:val="39"/>
          <w:rFonts w:ascii="宋体" w:hAnsi="宋体"/>
        </w:rPr>
        <w:t>1.1.3 本项目招标代理机构：见投标人须知前附表。</w:t>
      </w:r>
    </w:p>
    <w:p w14:paraId="5417D784">
      <w:pPr>
        <w:spacing w:line="360" w:lineRule="auto"/>
        <w:ind w:firstLine="420" w:firstLineChars="200"/>
        <w:rPr>
          <w:rStyle w:val="39"/>
          <w:rFonts w:hint="eastAsia" w:ascii="宋体" w:hAnsi="宋体"/>
        </w:rPr>
      </w:pPr>
      <w:r>
        <w:rPr>
          <w:rStyle w:val="39"/>
          <w:rFonts w:ascii="宋体" w:hAnsi="宋体"/>
        </w:rPr>
        <w:t>1.1.4 本招标项目名称：见投标人须知前附表。</w:t>
      </w:r>
    </w:p>
    <w:p w14:paraId="7B220D0A">
      <w:pPr>
        <w:spacing w:line="360" w:lineRule="auto"/>
        <w:ind w:firstLine="420" w:firstLineChars="200"/>
        <w:rPr>
          <w:rStyle w:val="39"/>
          <w:rFonts w:hint="eastAsia" w:ascii="宋体" w:hAnsi="宋体"/>
        </w:rPr>
      </w:pPr>
      <w:r>
        <w:rPr>
          <w:rStyle w:val="39"/>
          <w:rFonts w:ascii="宋体" w:hAnsi="宋体"/>
        </w:rPr>
        <w:t>1.1.5 本招标项目建设规模：见投标人须知前附表。</w:t>
      </w:r>
    </w:p>
    <w:p w14:paraId="46D71F1C">
      <w:pPr>
        <w:spacing w:line="360" w:lineRule="auto"/>
        <w:ind w:firstLine="420" w:firstLineChars="200"/>
        <w:rPr>
          <w:rStyle w:val="39"/>
          <w:rFonts w:hint="eastAsia" w:ascii="宋体" w:hAnsi="宋体"/>
        </w:rPr>
      </w:pPr>
      <w:r>
        <w:rPr>
          <w:rStyle w:val="39"/>
          <w:rFonts w:ascii="宋体" w:hAnsi="宋体"/>
        </w:rPr>
        <w:t>1.1.6 本项目建设地点：见投标人须知前附表。</w:t>
      </w:r>
    </w:p>
    <w:p w14:paraId="45C8F8E3">
      <w:pPr>
        <w:pStyle w:val="43"/>
        <w:spacing w:before="0" w:after="0"/>
        <w:rPr>
          <w:rStyle w:val="39"/>
          <w:rFonts w:hint="eastAsia" w:ascii="宋体" w:hAnsi="宋体"/>
          <w:sz w:val="24"/>
        </w:rPr>
      </w:pPr>
      <w:r>
        <w:rPr>
          <w:rStyle w:val="39"/>
          <w:rFonts w:ascii="宋体" w:hAnsi="宋体"/>
          <w:sz w:val="24"/>
        </w:rPr>
        <w:t>1.2 资金来源和落实情况</w:t>
      </w:r>
    </w:p>
    <w:p w14:paraId="3CF99DB7">
      <w:pPr>
        <w:spacing w:line="360" w:lineRule="auto"/>
        <w:ind w:firstLine="420" w:firstLineChars="200"/>
        <w:rPr>
          <w:rStyle w:val="39"/>
          <w:rFonts w:hint="eastAsia" w:ascii="宋体" w:hAnsi="宋体"/>
        </w:rPr>
      </w:pPr>
      <w:r>
        <w:rPr>
          <w:rStyle w:val="39"/>
          <w:rFonts w:ascii="宋体" w:hAnsi="宋体"/>
        </w:rPr>
        <w:t>1.2.1 本招标项目的资金来源：见投标人须知前附表。</w:t>
      </w:r>
    </w:p>
    <w:p w14:paraId="54C2D7A9">
      <w:pPr>
        <w:spacing w:line="360" w:lineRule="auto"/>
        <w:ind w:firstLine="420" w:firstLineChars="200"/>
        <w:rPr>
          <w:rStyle w:val="39"/>
          <w:rFonts w:hint="eastAsia" w:ascii="宋体" w:hAnsi="宋体"/>
        </w:rPr>
      </w:pPr>
      <w:r>
        <w:rPr>
          <w:rStyle w:val="39"/>
          <w:rFonts w:ascii="宋体" w:hAnsi="宋体"/>
        </w:rPr>
        <w:t>1.2.2 本招标项目的出资比例：见投标人须知前附表。</w:t>
      </w:r>
    </w:p>
    <w:p w14:paraId="7F55D37B">
      <w:pPr>
        <w:spacing w:line="360" w:lineRule="auto"/>
        <w:ind w:firstLine="420" w:firstLineChars="200"/>
        <w:rPr>
          <w:rStyle w:val="39"/>
          <w:rFonts w:hint="eastAsia" w:ascii="宋体" w:hAnsi="宋体"/>
        </w:rPr>
      </w:pPr>
      <w:r>
        <w:rPr>
          <w:rStyle w:val="39"/>
          <w:rFonts w:ascii="宋体" w:hAnsi="宋体"/>
        </w:rPr>
        <w:t>1.2.3 本招标项目的资金落实情况：见投标人须知前附表。</w:t>
      </w:r>
    </w:p>
    <w:p w14:paraId="584C3DA5">
      <w:pPr>
        <w:pStyle w:val="43"/>
        <w:spacing w:before="0" w:after="0"/>
        <w:rPr>
          <w:rStyle w:val="39"/>
          <w:rFonts w:hint="eastAsia" w:ascii="宋体" w:hAnsi="宋体"/>
          <w:sz w:val="24"/>
        </w:rPr>
      </w:pPr>
      <w:r>
        <w:rPr>
          <w:rStyle w:val="39"/>
          <w:rFonts w:ascii="宋体" w:hAnsi="宋体"/>
          <w:sz w:val="24"/>
        </w:rPr>
        <w:t>1.3 招标范围、计划工期和质量要求</w:t>
      </w:r>
    </w:p>
    <w:p w14:paraId="1D53EEF0">
      <w:pPr>
        <w:spacing w:line="360" w:lineRule="auto"/>
        <w:ind w:firstLine="420" w:firstLineChars="200"/>
        <w:rPr>
          <w:rStyle w:val="39"/>
          <w:rFonts w:hint="eastAsia" w:ascii="宋体" w:hAnsi="宋体"/>
        </w:rPr>
      </w:pPr>
      <w:r>
        <w:rPr>
          <w:rStyle w:val="39"/>
          <w:rFonts w:ascii="宋体" w:hAnsi="宋体"/>
        </w:rPr>
        <w:t>1.3.1 本次招标范围：见投标人须知前附表。</w:t>
      </w:r>
    </w:p>
    <w:p w14:paraId="148FC8BE">
      <w:pPr>
        <w:spacing w:line="360" w:lineRule="auto"/>
        <w:ind w:firstLine="420" w:firstLineChars="200"/>
        <w:rPr>
          <w:rStyle w:val="39"/>
          <w:rFonts w:hint="eastAsia" w:ascii="宋体" w:hAnsi="宋体"/>
        </w:rPr>
      </w:pPr>
      <w:r>
        <w:rPr>
          <w:rStyle w:val="39"/>
          <w:rFonts w:ascii="宋体" w:hAnsi="宋体"/>
        </w:rPr>
        <w:t>1.3.2 本项目的计划工期：见投标人须知前附表。</w:t>
      </w:r>
    </w:p>
    <w:p w14:paraId="15B12700">
      <w:pPr>
        <w:spacing w:line="360" w:lineRule="auto"/>
        <w:ind w:firstLine="420" w:firstLineChars="200"/>
        <w:rPr>
          <w:rStyle w:val="39"/>
          <w:rFonts w:hint="eastAsia" w:ascii="宋体" w:hAnsi="宋体"/>
        </w:rPr>
      </w:pPr>
      <w:r>
        <w:rPr>
          <w:rStyle w:val="39"/>
          <w:rFonts w:ascii="宋体" w:hAnsi="宋体"/>
        </w:rPr>
        <w:t>1.3.3 本项目的质量要求：见投标人须知前附表。</w:t>
      </w:r>
    </w:p>
    <w:p w14:paraId="660DFA58">
      <w:pPr>
        <w:pStyle w:val="43"/>
        <w:spacing w:before="0" w:after="0"/>
        <w:rPr>
          <w:rStyle w:val="39"/>
          <w:rFonts w:hint="eastAsia" w:ascii="宋体" w:hAnsi="宋体"/>
          <w:sz w:val="24"/>
        </w:rPr>
      </w:pPr>
      <w:r>
        <w:rPr>
          <w:rStyle w:val="39"/>
          <w:rFonts w:ascii="宋体" w:hAnsi="宋体"/>
          <w:sz w:val="24"/>
        </w:rPr>
        <w:t>1.4 投标人资格要求</w:t>
      </w:r>
    </w:p>
    <w:p w14:paraId="3F55C17B">
      <w:pPr>
        <w:spacing w:line="360" w:lineRule="auto"/>
        <w:ind w:firstLine="420" w:firstLineChars="200"/>
        <w:rPr>
          <w:rStyle w:val="39"/>
          <w:rFonts w:hint="eastAsia" w:ascii="宋体" w:hAnsi="宋体"/>
        </w:rPr>
      </w:pPr>
      <w:r>
        <w:rPr>
          <w:rStyle w:val="39"/>
          <w:rFonts w:ascii="宋体" w:hAnsi="宋体"/>
        </w:rPr>
        <w:t>1.4.1投标人应具备承担本项目施工的资质条件、能力和信誉。</w:t>
      </w:r>
    </w:p>
    <w:p w14:paraId="1C7F7F52">
      <w:pPr>
        <w:spacing w:line="360" w:lineRule="auto"/>
        <w:ind w:firstLine="718" w:firstLineChars="342"/>
        <w:rPr>
          <w:rStyle w:val="39"/>
          <w:rFonts w:hint="eastAsia" w:ascii="宋体" w:hAnsi="宋体"/>
        </w:rPr>
      </w:pPr>
      <w:r>
        <w:rPr>
          <w:rStyle w:val="39"/>
          <w:rFonts w:ascii="宋体" w:hAnsi="宋体"/>
        </w:rPr>
        <w:t>（1）资质条件：见投标人须知前附表；</w:t>
      </w:r>
    </w:p>
    <w:p w14:paraId="668F23D8">
      <w:pPr>
        <w:spacing w:line="360" w:lineRule="auto"/>
        <w:ind w:firstLine="718" w:firstLineChars="342"/>
        <w:rPr>
          <w:rStyle w:val="39"/>
          <w:rFonts w:hint="eastAsia" w:ascii="宋体" w:hAnsi="宋体"/>
        </w:rPr>
      </w:pPr>
      <w:r>
        <w:rPr>
          <w:rStyle w:val="39"/>
          <w:rFonts w:ascii="宋体" w:hAnsi="宋体"/>
        </w:rPr>
        <w:t>（2）财务要求：见投标人须知前附表；</w:t>
      </w:r>
    </w:p>
    <w:p w14:paraId="6FCD88ED">
      <w:pPr>
        <w:spacing w:line="360" w:lineRule="auto"/>
        <w:ind w:firstLine="718" w:firstLineChars="342"/>
        <w:rPr>
          <w:rStyle w:val="39"/>
          <w:rFonts w:hint="eastAsia" w:ascii="宋体" w:hAnsi="宋体"/>
        </w:rPr>
      </w:pPr>
      <w:r>
        <w:rPr>
          <w:rStyle w:val="39"/>
          <w:rFonts w:ascii="宋体" w:hAnsi="宋体"/>
        </w:rPr>
        <w:t>（3）信誉要求：见投标人须知前附表；</w:t>
      </w:r>
    </w:p>
    <w:p w14:paraId="31EDF87D">
      <w:pPr>
        <w:spacing w:line="360" w:lineRule="auto"/>
        <w:ind w:firstLine="735" w:firstLineChars="350"/>
        <w:rPr>
          <w:rStyle w:val="39"/>
          <w:rFonts w:hint="eastAsia" w:ascii="宋体" w:hAnsi="宋体"/>
        </w:rPr>
      </w:pPr>
      <w:r>
        <w:rPr>
          <w:rStyle w:val="39"/>
          <w:rFonts w:ascii="宋体" w:hAnsi="宋体"/>
        </w:rPr>
        <w:t>（4）项目经理资格：见投标人须知前附表；</w:t>
      </w:r>
    </w:p>
    <w:p w14:paraId="50E56750">
      <w:pPr>
        <w:spacing w:line="360" w:lineRule="auto"/>
        <w:ind w:firstLine="735" w:firstLineChars="350"/>
        <w:rPr>
          <w:rStyle w:val="39"/>
          <w:rFonts w:hint="eastAsia" w:ascii="宋体" w:hAnsi="宋体"/>
        </w:rPr>
      </w:pPr>
      <w:r>
        <w:rPr>
          <w:rStyle w:val="39"/>
          <w:rFonts w:ascii="宋体" w:hAnsi="宋体"/>
        </w:rPr>
        <w:t>（5）其他要求：见投标人须知前附表。</w:t>
      </w:r>
    </w:p>
    <w:p w14:paraId="66B38678">
      <w:pPr>
        <w:spacing w:line="360" w:lineRule="auto"/>
        <w:rPr>
          <w:rStyle w:val="39"/>
          <w:rFonts w:hint="eastAsia" w:ascii="宋体" w:hAnsi="宋体"/>
        </w:rPr>
      </w:pPr>
      <w:r>
        <w:rPr>
          <w:rStyle w:val="39"/>
          <w:rFonts w:ascii="宋体" w:hAnsi="宋体"/>
        </w:rPr>
        <w:t xml:space="preserve">    1.4.2 本工程不接受联合体投标；</w:t>
      </w:r>
    </w:p>
    <w:p w14:paraId="641EDEC9">
      <w:pPr>
        <w:spacing w:line="360" w:lineRule="auto"/>
        <w:ind w:firstLine="420" w:firstLineChars="200"/>
        <w:rPr>
          <w:rStyle w:val="39"/>
          <w:rFonts w:hint="eastAsia" w:ascii="宋体" w:hAnsi="宋体"/>
        </w:rPr>
      </w:pPr>
      <w:r>
        <w:rPr>
          <w:rStyle w:val="39"/>
          <w:rFonts w:ascii="宋体" w:hAnsi="宋体"/>
        </w:rPr>
        <w:t>1.4.3 投标人不得存在下列情形之一：</w:t>
      </w:r>
    </w:p>
    <w:p w14:paraId="4C5C6941">
      <w:pPr>
        <w:spacing w:line="360" w:lineRule="auto"/>
        <w:ind w:firstLine="718" w:firstLineChars="342"/>
        <w:rPr>
          <w:rStyle w:val="39"/>
          <w:rFonts w:hint="eastAsia" w:ascii="宋体" w:hAnsi="宋体"/>
        </w:rPr>
      </w:pPr>
      <w:r>
        <w:rPr>
          <w:rStyle w:val="39"/>
          <w:rFonts w:ascii="宋体" w:hAnsi="宋体"/>
        </w:rPr>
        <w:t xml:space="preserve">（1）为招标人不具有独立法人资格的附属机构（单位）； </w:t>
      </w:r>
    </w:p>
    <w:p w14:paraId="089365A1">
      <w:pPr>
        <w:spacing w:line="360" w:lineRule="auto"/>
        <w:ind w:firstLine="718" w:firstLineChars="342"/>
        <w:rPr>
          <w:rStyle w:val="39"/>
          <w:rFonts w:hint="eastAsia" w:ascii="宋体" w:hAnsi="宋体"/>
        </w:rPr>
      </w:pPr>
      <w:r>
        <w:rPr>
          <w:rStyle w:val="39"/>
          <w:rFonts w:ascii="宋体" w:hAnsi="宋体"/>
        </w:rPr>
        <w:t xml:space="preserve">（2）为本项目前期准备提供设计或咨询服务的，但设计施工总承包的除外； </w:t>
      </w:r>
    </w:p>
    <w:p w14:paraId="150CB7C5">
      <w:pPr>
        <w:spacing w:line="360" w:lineRule="auto"/>
        <w:ind w:firstLine="718" w:firstLineChars="342"/>
        <w:rPr>
          <w:rStyle w:val="39"/>
          <w:rFonts w:hint="eastAsia" w:ascii="宋体" w:hAnsi="宋体"/>
        </w:rPr>
      </w:pPr>
      <w:r>
        <w:rPr>
          <w:rStyle w:val="39"/>
          <w:rFonts w:ascii="宋体" w:hAnsi="宋体"/>
        </w:rPr>
        <w:t>（3）为本项目的监理人；</w:t>
      </w:r>
    </w:p>
    <w:p w14:paraId="0D986465">
      <w:pPr>
        <w:spacing w:line="360" w:lineRule="auto"/>
        <w:ind w:firstLine="718" w:firstLineChars="342"/>
        <w:rPr>
          <w:rStyle w:val="39"/>
          <w:rFonts w:hint="eastAsia" w:ascii="宋体" w:hAnsi="宋体"/>
        </w:rPr>
      </w:pPr>
      <w:r>
        <w:rPr>
          <w:rStyle w:val="39"/>
          <w:rFonts w:ascii="宋体" w:hAnsi="宋体"/>
        </w:rPr>
        <w:t>（4）为本项目的代建人；</w:t>
      </w:r>
    </w:p>
    <w:p w14:paraId="7A3E5720">
      <w:pPr>
        <w:spacing w:line="360" w:lineRule="auto"/>
        <w:ind w:firstLine="718" w:firstLineChars="342"/>
        <w:rPr>
          <w:rStyle w:val="39"/>
          <w:rFonts w:hint="eastAsia" w:ascii="宋体" w:hAnsi="宋体"/>
        </w:rPr>
      </w:pPr>
      <w:r>
        <w:rPr>
          <w:rStyle w:val="39"/>
          <w:rFonts w:ascii="宋体" w:hAnsi="宋体"/>
        </w:rPr>
        <w:t xml:space="preserve">（5）为本项目提供招标代理服务的； </w:t>
      </w:r>
    </w:p>
    <w:p w14:paraId="12D99F09">
      <w:pPr>
        <w:spacing w:line="360" w:lineRule="auto"/>
        <w:ind w:firstLine="718" w:firstLineChars="342"/>
        <w:rPr>
          <w:rStyle w:val="39"/>
          <w:rFonts w:hint="eastAsia" w:ascii="宋体" w:hAnsi="宋体"/>
        </w:rPr>
      </w:pPr>
      <w:r>
        <w:rPr>
          <w:rStyle w:val="39"/>
          <w:rFonts w:ascii="宋体" w:hAnsi="宋体"/>
        </w:rPr>
        <w:t>（6）与本项目的监理人或代建人或招标代理机构同为一个法定代表人的；</w:t>
      </w:r>
    </w:p>
    <w:p w14:paraId="53BA5D64">
      <w:pPr>
        <w:spacing w:line="360" w:lineRule="auto"/>
        <w:ind w:firstLine="718" w:firstLineChars="342"/>
        <w:rPr>
          <w:rStyle w:val="39"/>
          <w:rFonts w:hint="eastAsia" w:ascii="宋体" w:hAnsi="宋体"/>
        </w:rPr>
      </w:pPr>
      <w:r>
        <w:rPr>
          <w:rStyle w:val="39"/>
          <w:rFonts w:ascii="宋体" w:hAnsi="宋体"/>
        </w:rPr>
        <w:t>（7）与本项目的监理人或代建人或招标代理机构相互控股或参股的；</w:t>
      </w:r>
    </w:p>
    <w:p w14:paraId="0EF7CB41">
      <w:pPr>
        <w:spacing w:line="360" w:lineRule="auto"/>
        <w:ind w:firstLine="718" w:firstLineChars="342"/>
        <w:rPr>
          <w:rStyle w:val="39"/>
          <w:rFonts w:hint="eastAsia" w:ascii="宋体" w:hAnsi="宋体"/>
        </w:rPr>
      </w:pPr>
      <w:r>
        <w:rPr>
          <w:rStyle w:val="39"/>
          <w:rFonts w:ascii="宋体" w:hAnsi="宋体"/>
        </w:rPr>
        <w:t>（8）与本项目的监理人或代建人或招标代理机构相互任职或工作的；</w:t>
      </w:r>
    </w:p>
    <w:p w14:paraId="1833D192">
      <w:pPr>
        <w:spacing w:line="360" w:lineRule="auto"/>
        <w:ind w:firstLine="718" w:firstLineChars="342"/>
        <w:rPr>
          <w:rStyle w:val="39"/>
          <w:rFonts w:hint="eastAsia" w:ascii="宋体" w:hAnsi="宋体"/>
        </w:rPr>
      </w:pPr>
      <w:r>
        <w:rPr>
          <w:rStyle w:val="39"/>
          <w:rFonts w:ascii="宋体" w:hAnsi="宋体"/>
        </w:rPr>
        <w:t xml:space="preserve">（9）被责令停业的； </w:t>
      </w:r>
    </w:p>
    <w:p w14:paraId="34EF08AA">
      <w:pPr>
        <w:spacing w:line="360" w:lineRule="auto"/>
        <w:ind w:firstLine="718" w:firstLineChars="342"/>
        <w:rPr>
          <w:rStyle w:val="39"/>
          <w:rFonts w:hint="eastAsia" w:ascii="宋体" w:hAnsi="宋体"/>
        </w:rPr>
      </w:pPr>
      <w:r>
        <w:rPr>
          <w:rStyle w:val="39"/>
          <w:rFonts w:ascii="宋体" w:hAnsi="宋体"/>
        </w:rPr>
        <w:t xml:space="preserve">（10）被暂停或取消投标资格的； </w:t>
      </w:r>
    </w:p>
    <w:p w14:paraId="40C6F4B2">
      <w:pPr>
        <w:spacing w:line="360" w:lineRule="auto"/>
        <w:ind w:firstLine="718" w:firstLineChars="342"/>
        <w:rPr>
          <w:rStyle w:val="39"/>
          <w:rFonts w:hint="eastAsia" w:ascii="宋体" w:hAnsi="宋体"/>
        </w:rPr>
      </w:pPr>
      <w:r>
        <w:rPr>
          <w:rStyle w:val="39"/>
          <w:rFonts w:ascii="宋体" w:hAnsi="宋体"/>
        </w:rPr>
        <w:t>（11）财产被接管或冻结的；</w:t>
      </w:r>
    </w:p>
    <w:p w14:paraId="4EE9A29C">
      <w:pPr>
        <w:spacing w:line="360" w:lineRule="auto"/>
        <w:ind w:firstLine="718" w:firstLineChars="342"/>
        <w:rPr>
          <w:rStyle w:val="39"/>
          <w:rFonts w:hint="eastAsia" w:ascii="宋体" w:hAnsi="宋体"/>
        </w:rPr>
      </w:pPr>
      <w:r>
        <w:rPr>
          <w:rStyle w:val="39"/>
          <w:rFonts w:ascii="宋体" w:hAnsi="宋体"/>
        </w:rPr>
        <w:t>（12）在最近三年内有骗取中标或严重违约或重大工程质量问题的。</w:t>
      </w:r>
    </w:p>
    <w:p w14:paraId="2867EADD">
      <w:pPr>
        <w:pStyle w:val="43"/>
        <w:spacing w:before="0" w:after="0"/>
        <w:rPr>
          <w:rStyle w:val="39"/>
          <w:rFonts w:hint="eastAsia" w:ascii="宋体" w:hAnsi="宋体"/>
          <w:sz w:val="24"/>
        </w:rPr>
      </w:pPr>
      <w:r>
        <w:rPr>
          <w:rStyle w:val="39"/>
          <w:rFonts w:ascii="宋体" w:hAnsi="宋体"/>
          <w:sz w:val="24"/>
        </w:rPr>
        <w:t>1.5 费用承担</w:t>
      </w:r>
    </w:p>
    <w:p w14:paraId="26F6DA7B">
      <w:pPr>
        <w:spacing w:line="360" w:lineRule="auto"/>
        <w:ind w:firstLine="420" w:firstLineChars="200"/>
        <w:rPr>
          <w:rStyle w:val="39"/>
          <w:rFonts w:hint="eastAsia" w:ascii="宋体" w:hAnsi="宋体"/>
        </w:rPr>
      </w:pPr>
      <w:r>
        <w:rPr>
          <w:rStyle w:val="39"/>
          <w:rFonts w:ascii="宋体" w:hAnsi="宋体"/>
        </w:rPr>
        <w:t>投标人准备和参加投标活动发生的费用自理。招标代理费由中标单位支付。</w:t>
      </w:r>
    </w:p>
    <w:p w14:paraId="20635406">
      <w:pPr>
        <w:pStyle w:val="43"/>
        <w:spacing w:before="0" w:after="0"/>
        <w:rPr>
          <w:rStyle w:val="39"/>
          <w:rFonts w:hint="eastAsia" w:ascii="宋体" w:hAnsi="宋体"/>
          <w:sz w:val="24"/>
        </w:rPr>
      </w:pPr>
      <w:r>
        <w:rPr>
          <w:rStyle w:val="39"/>
          <w:rFonts w:ascii="宋体" w:hAnsi="宋体"/>
          <w:sz w:val="24"/>
        </w:rPr>
        <w:t>1.6 保密</w:t>
      </w:r>
    </w:p>
    <w:p w14:paraId="55963FBA">
      <w:pPr>
        <w:spacing w:line="360" w:lineRule="auto"/>
        <w:ind w:firstLine="420" w:firstLineChars="200"/>
        <w:rPr>
          <w:rStyle w:val="39"/>
          <w:rFonts w:hint="eastAsia" w:ascii="宋体" w:hAnsi="宋体"/>
        </w:rPr>
      </w:pPr>
      <w:r>
        <w:rPr>
          <w:rStyle w:val="39"/>
          <w:rFonts w:ascii="宋体" w:hAnsi="宋体"/>
        </w:rPr>
        <w:t xml:space="preserve">参与招标投标活动的各方应对招标文件和投标文件中的商业和技术等秘密保密，违者应对由此造成的后果承担法律责任。 </w:t>
      </w:r>
    </w:p>
    <w:p w14:paraId="44BA15A3">
      <w:pPr>
        <w:pStyle w:val="43"/>
        <w:spacing w:before="0" w:after="0"/>
        <w:rPr>
          <w:rStyle w:val="39"/>
          <w:rFonts w:hint="eastAsia" w:ascii="宋体" w:hAnsi="宋体"/>
          <w:sz w:val="24"/>
        </w:rPr>
      </w:pPr>
      <w:r>
        <w:rPr>
          <w:rStyle w:val="39"/>
          <w:rFonts w:ascii="宋体" w:hAnsi="宋体"/>
          <w:sz w:val="24"/>
        </w:rPr>
        <w:t>1.7 语言文字</w:t>
      </w:r>
    </w:p>
    <w:p w14:paraId="1C5D0503">
      <w:pPr>
        <w:spacing w:line="360" w:lineRule="auto"/>
        <w:ind w:firstLine="420" w:firstLineChars="200"/>
        <w:rPr>
          <w:rStyle w:val="39"/>
          <w:rFonts w:hint="eastAsia" w:ascii="宋体" w:hAnsi="宋体"/>
        </w:rPr>
      </w:pPr>
      <w:r>
        <w:rPr>
          <w:rStyle w:val="39"/>
          <w:rFonts w:ascii="宋体" w:hAnsi="宋体"/>
        </w:rPr>
        <w:t>除专用术语外，与招标投标有关的语言均使用中文。必要时专用术语应附有中文注释。</w:t>
      </w:r>
    </w:p>
    <w:p w14:paraId="1A6D889C">
      <w:pPr>
        <w:pStyle w:val="43"/>
        <w:spacing w:before="0" w:after="0"/>
        <w:rPr>
          <w:rStyle w:val="39"/>
          <w:rFonts w:hint="eastAsia" w:ascii="宋体" w:hAnsi="宋体"/>
          <w:sz w:val="24"/>
        </w:rPr>
      </w:pPr>
      <w:r>
        <w:rPr>
          <w:rStyle w:val="39"/>
          <w:rFonts w:ascii="宋体" w:hAnsi="宋体"/>
          <w:sz w:val="24"/>
        </w:rPr>
        <w:t>1.8 计量单位</w:t>
      </w:r>
    </w:p>
    <w:p w14:paraId="7832ED20">
      <w:pPr>
        <w:spacing w:line="360" w:lineRule="auto"/>
        <w:ind w:firstLine="420" w:firstLineChars="200"/>
        <w:rPr>
          <w:rStyle w:val="39"/>
          <w:rFonts w:hint="eastAsia" w:ascii="宋体" w:hAnsi="宋体"/>
        </w:rPr>
      </w:pPr>
      <w:r>
        <w:rPr>
          <w:rStyle w:val="39"/>
          <w:rFonts w:ascii="宋体" w:hAnsi="宋体"/>
        </w:rPr>
        <w:t>所有计量均采用中华人民共和国法定计量单位。</w:t>
      </w:r>
    </w:p>
    <w:p w14:paraId="668E9DD1">
      <w:pPr>
        <w:pStyle w:val="43"/>
        <w:spacing w:before="0" w:after="0"/>
        <w:rPr>
          <w:rStyle w:val="39"/>
          <w:rFonts w:hint="eastAsia" w:ascii="宋体" w:hAnsi="宋体"/>
          <w:sz w:val="24"/>
        </w:rPr>
      </w:pPr>
      <w:r>
        <w:rPr>
          <w:rStyle w:val="39"/>
          <w:rFonts w:ascii="宋体" w:hAnsi="宋体"/>
          <w:sz w:val="24"/>
        </w:rPr>
        <w:t>1.9 踏勘现场</w:t>
      </w:r>
    </w:p>
    <w:p w14:paraId="6792C211">
      <w:pPr>
        <w:spacing w:line="360" w:lineRule="auto"/>
        <w:ind w:firstLine="420" w:firstLineChars="200"/>
        <w:rPr>
          <w:rStyle w:val="39"/>
          <w:rFonts w:hint="eastAsia" w:ascii="宋体" w:hAnsi="宋体"/>
        </w:rPr>
      </w:pPr>
      <w:r>
        <w:rPr>
          <w:rStyle w:val="39"/>
          <w:rFonts w:ascii="宋体" w:hAnsi="宋体"/>
        </w:rPr>
        <w:t xml:space="preserve">1.9.1 投标人须知前附表规定组织踏勘现场的，招标人按投标人须知前附表规定的时间、地点组织投标人踏勘项目现场。 </w:t>
      </w:r>
    </w:p>
    <w:p w14:paraId="556FC282">
      <w:pPr>
        <w:spacing w:line="360" w:lineRule="auto"/>
        <w:ind w:firstLine="420" w:firstLineChars="200"/>
        <w:rPr>
          <w:rStyle w:val="39"/>
          <w:rFonts w:hint="eastAsia" w:ascii="宋体" w:hAnsi="宋体"/>
        </w:rPr>
      </w:pPr>
      <w:r>
        <w:rPr>
          <w:rStyle w:val="39"/>
          <w:rFonts w:ascii="宋体" w:hAnsi="宋体"/>
        </w:rPr>
        <w:t>1.9.2 投标人踏勘现场发生的费用自理。</w:t>
      </w:r>
    </w:p>
    <w:p w14:paraId="5B7A0E4C">
      <w:pPr>
        <w:spacing w:line="360" w:lineRule="auto"/>
        <w:ind w:firstLine="420" w:firstLineChars="200"/>
        <w:rPr>
          <w:rStyle w:val="39"/>
          <w:rFonts w:hint="eastAsia" w:ascii="宋体" w:hAnsi="宋体"/>
        </w:rPr>
      </w:pPr>
      <w:r>
        <w:rPr>
          <w:rStyle w:val="39"/>
          <w:rFonts w:ascii="宋体" w:hAnsi="宋体"/>
        </w:rPr>
        <w:t>1.9.3 除招标人的原因外，投标人自行负责在踏勘现场中所发生的人员伤亡和财产损失。</w:t>
      </w:r>
    </w:p>
    <w:p w14:paraId="4796250D">
      <w:pPr>
        <w:spacing w:line="360" w:lineRule="auto"/>
        <w:ind w:firstLine="420" w:firstLineChars="200"/>
        <w:rPr>
          <w:rStyle w:val="39"/>
          <w:rFonts w:hint="eastAsia" w:ascii="宋体" w:hAnsi="宋体"/>
        </w:rPr>
      </w:pPr>
      <w:r>
        <w:rPr>
          <w:rStyle w:val="39"/>
          <w:rFonts w:ascii="宋体" w:hAnsi="宋体"/>
        </w:rPr>
        <w:t>1.9.4 招标人在踏勘现场中介绍的工程场地和相关的周边环境情况，供投标人在编制投标文件时参考，招标人不对投标人据此作出的判断和决策负责。</w:t>
      </w:r>
    </w:p>
    <w:p w14:paraId="23398451">
      <w:pPr>
        <w:pStyle w:val="43"/>
        <w:spacing w:before="0" w:after="0"/>
        <w:rPr>
          <w:rStyle w:val="39"/>
          <w:rFonts w:hint="eastAsia" w:ascii="宋体" w:hAnsi="宋体"/>
          <w:sz w:val="24"/>
        </w:rPr>
      </w:pPr>
      <w:r>
        <w:rPr>
          <w:rStyle w:val="39"/>
          <w:rFonts w:ascii="宋体" w:hAnsi="宋体"/>
          <w:sz w:val="24"/>
        </w:rPr>
        <w:t>1.10 投标预备会</w:t>
      </w:r>
    </w:p>
    <w:p w14:paraId="5B50FC48">
      <w:pPr>
        <w:spacing w:line="360" w:lineRule="auto"/>
        <w:ind w:firstLine="567" w:firstLineChars="270"/>
        <w:rPr>
          <w:rStyle w:val="39"/>
          <w:rFonts w:hint="eastAsia" w:ascii="宋体" w:hAnsi="宋体"/>
        </w:rPr>
      </w:pPr>
      <w:r>
        <w:rPr>
          <w:rStyle w:val="39"/>
          <w:rFonts w:ascii="宋体" w:hAnsi="宋体"/>
        </w:rPr>
        <w:t>按投标人须知前附表规定不召开投标预备会。</w:t>
      </w:r>
    </w:p>
    <w:p w14:paraId="67B8FD7B">
      <w:pPr>
        <w:pStyle w:val="43"/>
        <w:spacing w:before="0" w:after="0"/>
        <w:rPr>
          <w:rStyle w:val="39"/>
          <w:rFonts w:hint="eastAsia" w:ascii="宋体" w:hAnsi="宋体"/>
          <w:sz w:val="24"/>
        </w:rPr>
      </w:pPr>
      <w:r>
        <w:rPr>
          <w:rStyle w:val="39"/>
          <w:rFonts w:ascii="宋体" w:hAnsi="宋体"/>
          <w:sz w:val="24"/>
        </w:rPr>
        <w:t>1.11 工程分包</w:t>
      </w:r>
    </w:p>
    <w:p w14:paraId="592FEA96">
      <w:pPr>
        <w:spacing w:line="360" w:lineRule="auto"/>
        <w:ind w:firstLine="567" w:firstLineChars="270"/>
        <w:rPr>
          <w:rStyle w:val="39"/>
          <w:rFonts w:hint="eastAsia" w:ascii="宋体" w:hAnsi="宋体"/>
        </w:rPr>
      </w:pPr>
      <w:r>
        <w:rPr>
          <w:rStyle w:val="39"/>
          <w:rFonts w:ascii="宋体" w:hAnsi="宋体"/>
        </w:rPr>
        <w:t>详见投标人须知前附表。</w:t>
      </w:r>
    </w:p>
    <w:p w14:paraId="15FAD2AF">
      <w:pPr>
        <w:pStyle w:val="43"/>
        <w:spacing w:before="0" w:after="0"/>
        <w:rPr>
          <w:rStyle w:val="39"/>
          <w:rFonts w:hint="eastAsia" w:ascii="宋体" w:hAnsi="宋体"/>
          <w:sz w:val="24"/>
        </w:rPr>
      </w:pPr>
      <w:r>
        <w:rPr>
          <w:rStyle w:val="39"/>
          <w:rFonts w:ascii="宋体" w:hAnsi="宋体"/>
          <w:sz w:val="24"/>
        </w:rPr>
        <w:t>1.12 偏离</w:t>
      </w:r>
    </w:p>
    <w:p w14:paraId="4AD5025F">
      <w:pPr>
        <w:spacing w:line="360" w:lineRule="auto"/>
        <w:ind w:firstLine="464" w:firstLineChars="221"/>
        <w:rPr>
          <w:rStyle w:val="39"/>
          <w:rFonts w:hint="eastAsia" w:ascii="宋体" w:hAnsi="宋体"/>
        </w:rPr>
      </w:pPr>
      <w:r>
        <w:rPr>
          <w:rStyle w:val="39"/>
          <w:rFonts w:ascii="宋体" w:hAnsi="宋体"/>
        </w:rPr>
        <w:t>不允许。</w:t>
      </w:r>
    </w:p>
    <w:p w14:paraId="5113A100">
      <w:pPr>
        <w:pStyle w:val="7"/>
        <w:spacing w:before="0" w:after="0"/>
        <w:jc w:val="center"/>
        <w:rPr>
          <w:sz w:val="30"/>
          <w:szCs w:val="30"/>
        </w:rPr>
      </w:pPr>
      <w:bookmarkStart w:id="38" w:name="_Toc16063894"/>
      <w:bookmarkStart w:id="39" w:name="_Toc17817324"/>
      <w:bookmarkStart w:id="40" w:name="_Toc29571"/>
      <w:bookmarkStart w:id="41" w:name="_Toc11696"/>
      <w:bookmarkStart w:id="42" w:name="_Toc24099"/>
      <w:r>
        <w:rPr>
          <w:sz w:val="30"/>
          <w:szCs w:val="30"/>
        </w:rPr>
        <w:t>2. 招标文件</w:t>
      </w:r>
      <w:bookmarkEnd w:id="38"/>
      <w:bookmarkEnd w:id="39"/>
      <w:bookmarkEnd w:id="40"/>
      <w:bookmarkEnd w:id="41"/>
      <w:bookmarkEnd w:id="42"/>
    </w:p>
    <w:p w14:paraId="7658F704">
      <w:pPr>
        <w:pStyle w:val="43"/>
        <w:spacing w:before="0" w:after="0"/>
        <w:rPr>
          <w:rStyle w:val="39"/>
          <w:rFonts w:hint="eastAsia" w:ascii="宋体" w:hAnsi="宋体"/>
          <w:sz w:val="24"/>
        </w:rPr>
      </w:pPr>
      <w:r>
        <w:rPr>
          <w:rStyle w:val="39"/>
          <w:rFonts w:ascii="宋体" w:hAnsi="宋体"/>
          <w:sz w:val="24"/>
        </w:rPr>
        <w:t>2.1 招标文件的组成</w:t>
      </w:r>
    </w:p>
    <w:p w14:paraId="3F43E774">
      <w:pPr>
        <w:spacing w:line="360" w:lineRule="auto"/>
        <w:rPr>
          <w:rStyle w:val="39"/>
          <w:rFonts w:hint="eastAsia" w:ascii="宋体" w:hAnsi="宋体"/>
        </w:rPr>
      </w:pPr>
      <w:r>
        <w:rPr>
          <w:rStyle w:val="39"/>
          <w:rFonts w:ascii="宋体" w:hAnsi="宋体"/>
        </w:rPr>
        <w:t>　　本招标文件包括：</w:t>
      </w:r>
    </w:p>
    <w:p w14:paraId="1A086209">
      <w:pPr>
        <w:spacing w:line="360" w:lineRule="auto"/>
        <w:ind w:firstLine="359" w:firstLineChars="171"/>
        <w:rPr>
          <w:rStyle w:val="39"/>
          <w:rFonts w:hint="eastAsia" w:ascii="宋体" w:hAnsi="宋体"/>
        </w:rPr>
      </w:pPr>
      <w:r>
        <w:rPr>
          <w:rStyle w:val="39"/>
          <w:rFonts w:ascii="宋体" w:hAnsi="宋体"/>
        </w:rPr>
        <w:t>（1）</w:t>
      </w:r>
      <w:r>
        <w:rPr>
          <w:rStyle w:val="39"/>
          <w:rFonts w:hint="eastAsia" w:ascii="宋体" w:hAnsi="宋体"/>
        </w:rPr>
        <w:t>招标公告</w:t>
      </w:r>
      <w:r>
        <w:rPr>
          <w:rStyle w:val="39"/>
          <w:rFonts w:ascii="宋体" w:hAnsi="宋体"/>
        </w:rPr>
        <w:t>；</w:t>
      </w:r>
    </w:p>
    <w:p w14:paraId="7772C160">
      <w:pPr>
        <w:spacing w:line="360" w:lineRule="auto"/>
        <w:ind w:firstLine="359" w:firstLineChars="171"/>
        <w:rPr>
          <w:rStyle w:val="39"/>
          <w:rFonts w:hint="eastAsia" w:ascii="宋体" w:hAnsi="宋体"/>
        </w:rPr>
      </w:pPr>
      <w:r>
        <w:rPr>
          <w:rStyle w:val="39"/>
          <w:rFonts w:ascii="宋体" w:hAnsi="宋体"/>
        </w:rPr>
        <w:t>（2）投标人须知；</w:t>
      </w:r>
    </w:p>
    <w:p w14:paraId="7DA0DC17">
      <w:pPr>
        <w:spacing w:line="360" w:lineRule="auto"/>
        <w:ind w:firstLine="359" w:firstLineChars="171"/>
        <w:rPr>
          <w:rStyle w:val="39"/>
          <w:rFonts w:hint="eastAsia" w:ascii="宋体" w:hAnsi="宋体"/>
        </w:rPr>
      </w:pPr>
      <w:r>
        <w:rPr>
          <w:rStyle w:val="39"/>
          <w:rFonts w:ascii="宋体" w:hAnsi="宋体"/>
        </w:rPr>
        <w:t>（3）评标办法；</w:t>
      </w:r>
    </w:p>
    <w:p w14:paraId="4370668F">
      <w:pPr>
        <w:spacing w:line="360" w:lineRule="auto"/>
        <w:ind w:firstLine="359" w:firstLineChars="171"/>
        <w:rPr>
          <w:rStyle w:val="39"/>
          <w:rFonts w:hint="eastAsia" w:ascii="宋体" w:hAnsi="宋体"/>
        </w:rPr>
      </w:pPr>
      <w:r>
        <w:rPr>
          <w:rStyle w:val="39"/>
          <w:rFonts w:ascii="宋体" w:hAnsi="宋体"/>
        </w:rPr>
        <w:t>（4）合同条款及格式；</w:t>
      </w:r>
    </w:p>
    <w:p w14:paraId="0CCDADAE">
      <w:pPr>
        <w:spacing w:line="360" w:lineRule="auto"/>
        <w:ind w:firstLine="359" w:firstLineChars="171"/>
        <w:rPr>
          <w:rStyle w:val="39"/>
          <w:rFonts w:hint="eastAsia" w:ascii="宋体" w:hAnsi="宋体"/>
        </w:rPr>
      </w:pPr>
      <w:r>
        <w:rPr>
          <w:rStyle w:val="39"/>
          <w:rFonts w:ascii="宋体" w:hAnsi="宋体"/>
        </w:rPr>
        <w:t xml:space="preserve">（5）工程量清单； </w:t>
      </w:r>
    </w:p>
    <w:p w14:paraId="3642B457">
      <w:pPr>
        <w:spacing w:line="360" w:lineRule="auto"/>
        <w:ind w:firstLine="359" w:firstLineChars="171"/>
        <w:rPr>
          <w:rStyle w:val="39"/>
          <w:rFonts w:hint="eastAsia" w:ascii="宋体" w:hAnsi="宋体"/>
        </w:rPr>
      </w:pPr>
      <w:r>
        <w:rPr>
          <w:rStyle w:val="39"/>
          <w:rFonts w:ascii="宋体" w:hAnsi="宋体"/>
        </w:rPr>
        <w:t xml:space="preserve">（6）图纸； </w:t>
      </w:r>
    </w:p>
    <w:p w14:paraId="0CCFEFD3">
      <w:pPr>
        <w:spacing w:line="360" w:lineRule="auto"/>
        <w:ind w:firstLine="359" w:firstLineChars="171"/>
        <w:rPr>
          <w:rStyle w:val="39"/>
          <w:rFonts w:hint="eastAsia" w:ascii="宋体" w:hAnsi="宋体"/>
        </w:rPr>
      </w:pPr>
      <w:r>
        <w:rPr>
          <w:rStyle w:val="39"/>
          <w:rFonts w:ascii="宋体" w:hAnsi="宋体"/>
        </w:rPr>
        <w:t xml:space="preserve">（7）技术标准和要求； </w:t>
      </w:r>
    </w:p>
    <w:p w14:paraId="32EAB141">
      <w:pPr>
        <w:spacing w:line="360" w:lineRule="auto"/>
        <w:ind w:firstLine="359" w:firstLineChars="171"/>
        <w:rPr>
          <w:rStyle w:val="39"/>
          <w:rFonts w:hint="eastAsia" w:ascii="宋体" w:hAnsi="宋体"/>
        </w:rPr>
      </w:pPr>
      <w:r>
        <w:rPr>
          <w:rStyle w:val="39"/>
          <w:rFonts w:ascii="宋体" w:hAnsi="宋体"/>
        </w:rPr>
        <w:t>（8）投标文件格式；</w:t>
      </w:r>
    </w:p>
    <w:p w14:paraId="7649EA67">
      <w:pPr>
        <w:spacing w:line="360" w:lineRule="auto"/>
        <w:ind w:firstLine="359" w:firstLineChars="171"/>
        <w:rPr>
          <w:rStyle w:val="39"/>
          <w:rFonts w:hint="eastAsia" w:ascii="宋体" w:hAnsi="宋体"/>
        </w:rPr>
      </w:pPr>
      <w:r>
        <w:rPr>
          <w:rStyle w:val="39"/>
          <w:rFonts w:ascii="宋体" w:hAnsi="宋体"/>
        </w:rPr>
        <w:t>（9）投标人须知前附表规定的其他材料。</w:t>
      </w:r>
    </w:p>
    <w:p w14:paraId="0A058A7B">
      <w:pPr>
        <w:spacing w:line="360" w:lineRule="auto"/>
        <w:ind w:firstLine="420" w:firstLineChars="200"/>
        <w:rPr>
          <w:rStyle w:val="39"/>
          <w:rFonts w:hint="eastAsia" w:ascii="宋体" w:hAnsi="宋体"/>
        </w:rPr>
      </w:pPr>
      <w:r>
        <w:rPr>
          <w:rStyle w:val="39"/>
          <w:rFonts w:ascii="宋体" w:hAnsi="宋体"/>
        </w:rPr>
        <w:t>根据本章</w:t>
      </w:r>
      <w:r>
        <w:rPr>
          <w:rStyle w:val="29"/>
          <w:rFonts w:ascii="宋体" w:hAnsi="宋体"/>
          <w:color w:val="auto"/>
          <w:sz w:val="21"/>
        </w:rPr>
        <w:t>第2.2款</w:t>
      </w:r>
      <w:r>
        <w:rPr>
          <w:rStyle w:val="39"/>
          <w:rFonts w:ascii="宋体" w:hAnsi="宋体"/>
        </w:rPr>
        <w:t>和</w:t>
      </w:r>
      <w:r>
        <w:rPr>
          <w:rStyle w:val="29"/>
          <w:rFonts w:ascii="宋体" w:hAnsi="宋体"/>
          <w:color w:val="auto"/>
          <w:sz w:val="21"/>
        </w:rPr>
        <w:t>第2.3款</w:t>
      </w:r>
      <w:r>
        <w:rPr>
          <w:rStyle w:val="39"/>
          <w:rFonts w:ascii="宋体" w:hAnsi="宋体"/>
        </w:rPr>
        <w:t>对招标文件所作的澄清、修改，构成招标文件的组成部分。</w:t>
      </w:r>
    </w:p>
    <w:p w14:paraId="1588901B">
      <w:pPr>
        <w:pStyle w:val="43"/>
        <w:spacing w:before="0" w:after="0"/>
        <w:rPr>
          <w:rStyle w:val="39"/>
          <w:rFonts w:hint="eastAsia" w:ascii="宋体" w:hAnsi="宋体"/>
          <w:sz w:val="24"/>
        </w:rPr>
      </w:pPr>
      <w:r>
        <w:rPr>
          <w:rStyle w:val="39"/>
          <w:rFonts w:ascii="宋体" w:hAnsi="宋体"/>
          <w:sz w:val="24"/>
        </w:rPr>
        <w:t>2.2 招标文件的澄清</w:t>
      </w:r>
    </w:p>
    <w:p w14:paraId="67AE0CB9">
      <w:pPr>
        <w:spacing w:line="360" w:lineRule="auto"/>
        <w:ind w:firstLine="420" w:firstLineChars="200"/>
        <w:rPr>
          <w:rStyle w:val="39"/>
          <w:rFonts w:hint="eastAsia" w:ascii="宋体" w:hAnsi="宋体"/>
        </w:rPr>
      </w:pPr>
      <w:r>
        <w:rPr>
          <w:rStyle w:val="39"/>
          <w:rFonts w:ascii="宋体" w:hAnsi="宋体"/>
        </w:rPr>
        <w:t>2.2.1投标人应仔细阅读和检查招标文件的全部内容。</w:t>
      </w:r>
      <w:r>
        <w:rPr>
          <w:rStyle w:val="39"/>
          <w:rFonts w:ascii="宋体" w:hAnsi="宋体"/>
          <w:szCs w:val="21"/>
        </w:rPr>
        <w:t>如发现缺页或附件不全，应及时向招标人提出，以便补齐。</w:t>
      </w:r>
      <w:r>
        <w:rPr>
          <w:rStyle w:val="39"/>
          <w:rFonts w:ascii="宋体" w:hAnsi="宋体"/>
        </w:rPr>
        <w:t>如有疑问，应在投标人须知前附表规定的时间前以书面形式（包括邮件、传真等可以有形地表现所载内容的形式，下同），要求招标人对招标文件予以澄清。</w:t>
      </w:r>
    </w:p>
    <w:p w14:paraId="4EFCB69D">
      <w:pPr>
        <w:spacing w:line="360" w:lineRule="auto"/>
        <w:ind w:firstLine="420" w:firstLineChars="200"/>
        <w:rPr>
          <w:rStyle w:val="39"/>
          <w:rFonts w:hint="eastAsia" w:ascii="宋体" w:hAnsi="宋体"/>
        </w:rPr>
      </w:pPr>
      <w:r>
        <w:rPr>
          <w:rStyle w:val="39"/>
          <w:rFonts w:ascii="宋体" w:hAnsi="宋体"/>
        </w:rPr>
        <w:t>2.2.2 招标文件的澄清将在投标人须知前附表规定的投标截止时间</w:t>
      </w:r>
      <w:r>
        <w:rPr>
          <w:rStyle w:val="39"/>
          <w:rFonts w:ascii="宋体" w:hAnsi="宋体"/>
          <w:b/>
          <w:bCs/>
        </w:rPr>
        <w:t>2天前</w:t>
      </w:r>
      <w:r>
        <w:rPr>
          <w:rStyle w:val="39"/>
          <w:rFonts w:ascii="宋体" w:hAnsi="宋体"/>
        </w:rPr>
        <w:t>以书面形式发给所有购买招标文件的投标人，但不指明澄清问题的来源。如果澄清发出的时间距投标截止时间不足2天，相应延长投标截止时间。</w:t>
      </w:r>
    </w:p>
    <w:p w14:paraId="5ABC13A9">
      <w:pPr>
        <w:spacing w:line="360" w:lineRule="auto"/>
        <w:ind w:firstLine="420" w:firstLineChars="200"/>
        <w:rPr>
          <w:rStyle w:val="39"/>
          <w:rFonts w:hint="eastAsia" w:ascii="宋体" w:hAnsi="宋体"/>
        </w:rPr>
      </w:pPr>
      <w:r>
        <w:rPr>
          <w:rStyle w:val="39"/>
          <w:rFonts w:ascii="宋体" w:hAnsi="宋体"/>
        </w:rPr>
        <w:t>2.2.3 投标人在收到澄清后，应在投标人须知前附表规定的时间内以书面形式通知招标人，确认已收到该澄清。</w:t>
      </w:r>
    </w:p>
    <w:p w14:paraId="3BB562DC">
      <w:pPr>
        <w:pStyle w:val="43"/>
        <w:spacing w:before="0" w:after="0"/>
        <w:rPr>
          <w:rStyle w:val="39"/>
          <w:rFonts w:hint="eastAsia" w:ascii="宋体" w:hAnsi="宋体"/>
          <w:sz w:val="24"/>
        </w:rPr>
      </w:pPr>
      <w:r>
        <w:rPr>
          <w:rStyle w:val="39"/>
          <w:rFonts w:ascii="宋体" w:hAnsi="宋体"/>
          <w:sz w:val="24"/>
        </w:rPr>
        <w:t>2.3 招标文件的修改</w:t>
      </w:r>
    </w:p>
    <w:p w14:paraId="22752F56">
      <w:pPr>
        <w:spacing w:line="360" w:lineRule="auto"/>
        <w:ind w:firstLine="420" w:firstLineChars="200"/>
        <w:rPr>
          <w:rStyle w:val="39"/>
          <w:rFonts w:hint="eastAsia" w:ascii="宋体" w:hAnsi="宋体"/>
        </w:rPr>
      </w:pPr>
      <w:r>
        <w:rPr>
          <w:rStyle w:val="39"/>
          <w:rFonts w:ascii="宋体" w:hAnsi="宋体"/>
        </w:rPr>
        <w:t xml:space="preserve">2.3.1 在投标截止时间2天前，招标人可以书面形式修改招标文件，并通知所有已购买招标文件的投标人。如果修改招标文件的时间距投标截止时间不足2天，相应延长投标截止时间。 </w:t>
      </w:r>
    </w:p>
    <w:p w14:paraId="021965E7">
      <w:pPr>
        <w:spacing w:line="360" w:lineRule="auto"/>
        <w:ind w:firstLine="420" w:firstLineChars="200"/>
        <w:rPr>
          <w:rStyle w:val="39"/>
          <w:rFonts w:hint="eastAsia" w:ascii="宋体" w:hAnsi="宋体"/>
        </w:rPr>
      </w:pPr>
      <w:r>
        <w:rPr>
          <w:rStyle w:val="39"/>
          <w:rFonts w:ascii="宋体" w:hAnsi="宋体"/>
        </w:rPr>
        <w:t>2.3.2 投标人收到修改内容后，应在投标人须知前附表规定的时间内以书面形式通知招标人，确认已收到该修改。</w:t>
      </w:r>
    </w:p>
    <w:p w14:paraId="7F32F331">
      <w:pPr>
        <w:pStyle w:val="7"/>
        <w:spacing w:before="0" w:after="0"/>
        <w:jc w:val="center"/>
        <w:rPr>
          <w:sz w:val="30"/>
          <w:szCs w:val="30"/>
        </w:rPr>
      </w:pPr>
      <w:bookmarkStart w:id="43" w:name="_Toc24274"/>
      <w:bookmarkStart w:id="44" w:name="_Toc23324"/>
      <w:bookmarkStart w:id="45" w:name="_Toc13657"/>
      <w:bookmarkStart w:id="46" w:name="_Toc17817325"/>
      <w:bookmarkStart w:id="47" w:name="_Toc16063895"/>
      <w:r>
        <w:rPr>
          <w:sz w:val="30"/>
          <w:szCs w:val="30"/>
        </w:rPr>
        <w:t>3. 投标文件</w:t>
      </w:r>
      <w:bookmarkEnd w:id="43"/>
      <w:bookmarkEnd w:id="44"/>
      <w:bookmarkEnd w:id="45"/>
      <w:bookmarkEnd w:id="46"/>
      <w:bookmarkEnd w:id="47"/>
    </w:p>
    <w:p w14:paraId="0B9B6AC8">
      <w:pPr>
        <w:pStyle w:val="43"/>
        <w:spacing w:before="0" w:after="0"/>
        <w:rPr>
          <w:rStyle w:val="39"/>
          <w:rFonts w:hint="eastAsia" w:ascii="宋体" w:hAnsi="宋体"/>
          <w:sz w:val="24"/>
        </w:rPr>
      </w:pPr>
      <w:r>
        <w:rPr>
          <w:rStyle w:val="39"/>
          <w:rFonts w:ascii="宋体" w:hAnsi="宋体"/>
          <w:sz w:val="24"/>
        </w:rPr>
        <w:t>3.1 投标文件的组成</w:t>
      </w:r>
    </w:p>
    <w:p w14:paraId="616C0717">
      <w:pPr>
        <w:spacing w:line="360" w:lineRule="auto"/>
        <w:ind w:firstLine="465"/>
        <w:rPr>
          <w:rStyle w:val="39"/>
          <w:rFonts w:hint="eastAsia" w:ascii="宋体" w:hAnsi="宋体"/>
        </w:rPr>
      </w:pPr>
      <w:r>
        <w:rPr>
          <w:rStyle w:val="39"/>
          <w:rFonts w:ascii="宋体" w:hAnsi="宋体"/>
        </w:rPr>
        <w:t>3.1.1投标文件应包括下列内容：</w:t>
      </w:r>
    </w:p>
    <w:p w14:paraId="508D8BB0">
      <w:pPr>
        <w:spacing w:line="360" w:lineRule="auto"/>
        <w:ind w:firstLine="359" w:firstLineChars="171"/>
        <w:rPr>
          <w:rStyle w:val="39"/>
          <w:rFonts w:hint="eastAsia" w:ascii="宋体" w:hAnsi="宋体"/>
        </w:rPr>
      </w:pPr>
      <w:r>
        <w:rPr>
          <w:rStyle w:val="39"/>
          <w:rFonts w:ascii="宋体" w:hAnsi="宋体"/>
        </w:rPr>
        <w:t>（1）投标函及投标函附录；</w:t>
      </w:r>
    </w:p>
    <w:p w14:paraId="64EDD74F">
      <w:pPr>
        <w:spacing w:line="360" w:lineRule="auto"/>
        <w:ind w:firstLine="359" w:firstLineChars="171"/>
        <w:rPr>
          <w:rStyle w:val="39"/>
          <w:rFonts w:hint="eastAsia" w:ascii="宋体" w:hAnsi="宋体"/>
        </w:rPr>
      </w:pPr>
      <w:r>
        <w:rPr>
          <w:rStyle w:val="39"/>
          <w:rFonts w:ascii="宋体" w:hAnsi="宋体"/>
        </w:rPr>
        <w:t>（2）法定代表人身份证明或附有法定代表人身份证明的授权委托书；</w:t>
      </w:r>
    </w:p>
    <w:p w14:paraId="423A124A">
      <w:pPr>
        <w:spacing w:line="360" w:lineRule="auto"/>
        <w:ind w:firstLine="359" w:firstLineChars="171"/>
        <w:rPr>
          <w:rStyle w:val="39"/>
          <w:rFonts w:hint="eastAsia" w:ascii="宋体" w:hAnsi="宋体"/>
        </w:rPr>
      </w:pPr>
      <w:r>
        <w:rPr>
          <w:rStyle w:val="39"/>
          <w:rFonts w:ascii="宋体" w:hAnsi="宋体"/>
        </w:rPr>
        <w:t>（3）联合体协议书（如有）；</w:t>
      </w:r>
    </w:p>
    <w:p w14:paraId="7960DE71">
      <w:pPr>
        <w:spacing w:line="360" w:lineRule="auto"/>
        <w:ind w:firstLine="359" w:firstLineChars="171"/>
        <w:rPr>
          <w:rStyle w:val="39"/>
          <w:rFonts w:hint="eastAsia" w:ascii="宋体" w:hAnsi="宋体"/>
        </w:rPr>
      </w:pPr>
      <w:r>
        <w:rPr>
          <w:rStyle w:val="39"/>
          <w:rFonts w:ascii="宋体" w:hAnsi="宋体"/>
        </w:rPr>
        <w:t>（4）投标保证金；</w:t>
      </w:r>
    </w:p>
    <w:p w14:paraId="49CD7F6F">
      <w:pPr>
        <w:spacing w:line="360" w:lineRule="auto"/>
        <w:ind w:firstLine="359" w:firstLineChars="171"/>
        <w:rPr>
          <w:rStyle w:val="39"/>
          <w:rFonts w:hint="eastAsia" w:ascii="宋体" w:hAnsi="宋体"/>
        </w:rPr>
      </w:pPr>
      <w:r>
        <w:rPr>
          <w:rStyle w:val="39"/>
          <w:rFonts w:ascii="宋体" w:hAnsi="宋体"/>
        </w:rPr>
        <w:t>（5）商务报价（含已标价工程量清单）；</w:t>
      </w:r>
    </w:p>
    <w:p w14:paraId="181E4CC7">
      <w:pPr>
        <w:spacing w:line="360" w:lineRule="auto"/>
        <w:ind w:firstLine="359" w:firstLineChars="171"/>
        <w:rPr>
          <w:rStyle w:val="39"/>
          <w:rFonts w:hint="eastAsia" w:ascii="宋体" w:hAnsi="宋体"/>
        </w:rPr>
      </w:pPr>
      <w:bookmarkStart w:id="48" w:name="_Toc22048063"/>
      <w:r>
        <w:rPr>
          <w:rStyle w:val="39"/>
          <w:rFonts w:hint="eastAsia" w:ascii="宋体" w:hAnsi="宋体"/>
        </w:rPr>
        <w:t>（6）</w:t>
      </w:r>
      <w:r>
        <w:rPr>
          <w:rStyle w:val="39"/>
          <w:rFonts w:ascii="宋体" w:hAnsi="宋体"/>
        </w:rPr>
        <w:t>施工组织设计</w:t>
      </w:r>
      <w:bookmarkEnd w:id="48"/>
      <w:r>
        <w:rPr>
          <w:rStyle w:val="39"/>
          <w:rFonts w:hint="eastAsia" w:ascii="宋体" w:hAnsi="宋体"/>
        </w:rPr>
        <w:t>；</w:t>
      </w:r>
    </w:p>
    <w:p w14:paraId="6977877A">
      <w:pPr>
        <w:spacing w:line="360" w:lineRule="auto"/>
        <w:ind w:firstLine="359" w:firstLineChars="171"/>
        <w:rPr>
          <w:rStyle w:val="39"/>
          <w:rFonts w:hint="eastAsia" w:ascii="宋体" w:hAnsi="宋体"/>
        </w:rPr>
      </w:pPr>
      <w:r>
        <w:rPr>
          <w:rStyle w:val="39"/>
          <w:rFonts w:ascii="宋体" w:hAnsi="宋体"/>
          <w:szCs w:val="22"/>
        </w:rPr>
        <w:t>（</w:t>
      </w:r>
      <w:r>
        <w:rPr>
          <w:rStyle w:val="39"/>
          <w:rFonts w:hint="eastAsia" w:ascii="宋体" w:hAnsi="宋体"/>
          <w:szCs w:val="22"/>
        </w:rPr>
        <w:t>7</w:t>
      </w:r>
      <w:r>
        <w:rPr>
          <w:rStyle w:val="39"/>
          <w:rFonts w:ascii="宋体" w:hAnsi="宋体"/>
          <w:szCs w:val="22"/>
        </w:rPr>
        <w:t>）</w:t>
      </w:r>
      <w:r>
        <w:rPr>
          <w:rStyle w:val="39"/>
          <w:rFonts w:hint="eastAsia" w:ascii="宋体" w:hAnsi="宋体"/>
        </w:rPr>
        <w:sym w:font="Wingdings 2" w:char="0052"/>
      </w:r>
      <w:r>
        <w:rPr>
          <w:rStyle w:val="39"/>
          <w:rFonts w:ascii="宋体" w:hAnsi="宋体"/>
        </w:rPr>
        <w:t>项目管理机构</w:t>
      </w:r>
      <w:r>
        <w:rPr>
          <w:rStyle w:val="39"/>
          <w:rFonts w:hint="eastAsia" w:ascii="宋体" w:hAnsi="宋体"/>
        </w:rPr>
        <w:t>；</w:t>
      </w:r>
    </w:p>
    <w:p w14:paraId="5799F1D3">
      <w:pPr>
        <w:spacing w:line="360" w:lineRule="auto"/>
        <w:ind w:firstLine="359" w:firstLineChars="171"/>
        <w:rPr>
          <w:rFonts w:hint="eastAsia" w:ascii="宋体" w:hAnsi="宋体"/>
        </w:rPr>
      </w:pPr>
      <w:r>
        <w:rPr>
          <w:rStyle w:val="39"/>
          <w:rFonts w:hint="eastAsia" w:ascii="宋体" w:hAnsi="宋体"/>
          <w:szCs w:val="22"/>
        </w:rPr>
        <w:t>（8）</w:t>
      </w:r>
      <w:r>
        <w:rPr>
          <w:rStyle w:val="39"/>
          <w:rFonts w:hint="eastAsia" w:ascii="宋体" w:hAnsi="宋体"/>
        </w:rPr>
        <w:t>其他材料</w:t>
      </w:r>
      <w:r>
        <w:rPr>
          <w:rStyle w:val="39"/>
          <w:rFonts w:ascii="宋体" w:hAnsi="宋体"/>
        </w:rPr>
        <w:t>。</w:t>
      </w:r>
    </w:p>
    <w:p w14:paraId="63C86555">
      <w:pPr>
        <w:spacing w:line="360" w:lineRule="auto"/>
        <w:ind w:firstLine="359" w:firstLineChars="171"/>
        <w:rPr>
          <w:rStyle w:val="39"/>
          <w:rFonts w:hint="eastAsia" w:ascii="宋体" w:hAnsi="宋体"/>
        </w:rPr>
      </w:pPr>
      <w:r>
        <w:rPr>
          <w:rStyle w:val="39"/>
          <w:rFonts w:ascii="宋体" w:hAnsi="宋体"/>
        </w:rPr>
        <w:t xml:space="preserve">3.1.2 投标人须知前附表规定不接受联合体投标的，或投标人没有组成联合体的，投标文件不包括本章第3.1.1（3）目所指的联合体协议书。 </w:t>
      </w:r>
    </w:p>
    <w:p w14:paraId="332733C9">
      <w:pPr>
        <w:pStyle w:val="43"/>
        <w:spacing w:before="0" w:after="0"/>
        <w:rPr>
          <w:rStyle w:val="39"/>
          <w:rFonts w:hint="eastAsia" w:ascii="宋体" w:hAnsi="宋体"/>
          <w:sz w:val="24"/>
        </w:rPr>
      </w:pPr>
      <w:r>
        <w:rPr>
          <w:rStyle w:val="39"/>
          <w:rFonts w:ascii="宋体" w:hAnsi="宋体"/>
          <w:sz w:val="24"/>
        </w:rPr>
        <w:t>3.2 投标报价</w:t>
      </w:r>
    </w:p>
    <w:p w14:paraId="24192306">
      <w:pPr>
        <w:spacing w:line="360" w:lineRule="auto"/>
        <w:ind w:firstLine="420" w:firstLineChars="200"/>
        <w:rPr>
          <w:rStyle w:val="39"/>
          <w:rFonts w:hint="eastAsia" w:ascii="宋体" w:hAnsi="宋体"/>
        </w:rPr>
      </w:pPr>
      <w:r>
        <w:rPr>
          <w:rStyle w:val="39"/>
          <w:rFonts w:ascii="宋体" w:hAnsi="宋体"/>
        </w:rPr>
        <w:t>3.2.1 投标人应按</w:t>
      </w:r>
      <w:r>
        <w:rPr>
          <w:rStyle w:val="29"/>
          <w:rFonts w:ascii="宋体" w:hAnsi="宋体"/>
          <w:color w:val="auto"/>
          <w:sz w:val="21"/>
        </w:rPr>
        <w:t>第五章“工程量清单”</w:t>
      </w:r>
      <w:r>
        <w:rPr>
          <w:rStyle w:val="39"/>
          <w:rFonts w:ascii="宋体" w:hAnsi="宋体"/>
        </w:rPr>
        <w:t>的要求填写相应表格。</w:t>
      </w:r>
    </w:p>
    <w:p w14:paraId="3300D289">
      <w:pPr>
        <w:spacing w:line="360" w:lineRule="auto"/>
        <w:ind w:firstLine="420" w:firstLineChars="200"/>
        <w:rPr>
          <w:rStyle w:val="39"/>
          <w:rFonts w:hint="eastAsia" w:ascii="宋体" w:hAnsi="宋体"/>
        </w:rPr>
      </w:pPr>
      <w:r>
        <w:rPr>
          <w:rStyle w:val="39"/>
          <w:rFonts w:ascii="宋体" w:hAnsi="宋体"/>
        </w:rPr>
        <w:t>3.2.2 投标人在投标截止时间前修改投标函中的投标总报价，应同时修改</w:t>
      </w:r>
      <w:r>
        <w:rPr>
          <w:rStyle w:val="29"/>
          <w:rFonts w:ascii="宋体" w:hAnsi="宋体"/>
          <w:color w:val="auto"/>
          <w:sz w:val="21"/>
        </w:rPr>
        <w:t>第五章“工程量清单”</w:t>
      </w:r>
      <w:r>
        <w:rPr>
          <w:rStyle w:val="39"/>
          <w:rFonts w:ascii="宋体" w:hAnsi="宋体"/>
        </w:rPr>
        <w:t>中的相应报价。此修改须符合本章</w:t>
      </w:r>
      <w:r>
        <w:rPr>
          <w:rStyle w:val="29"/>
          <w:rFonts w:ascii="宋体" w:hAnsi="宋体"/>
          <w:color w:val="auto"/>
          <w:sz w:val="21"/>
        </w:rPr>
        <w:t>第4.3款</w:t>
      </w:r>
      <w:r>
        <w:rPr>
          <w:rStyle w:val="39"/>
          <w:rFonts w:ascii="宋体" w:hAnsi="宋体"/>
        </w:rPr>
        <w:t>的有关要求。</w:t>
      </w:r>
    </w:p>
    <w:p w14:paraId="2A9DC215">
      <w:pPr>
        <w:pStyle w:val="43"/>
        <w:spacing w:before="0" w:after="0"/>
        <w:rPr>
          <w:rStyle w:val="39"/>
          <w:rFonts w:hint="eastAsia" w:ascii="宋体" w:hAnsi="宋体"/>
          <w:sz w:val="24"/>
        </w:rPr>
      </w:pPr>
      <w:r>
        <w:rPr>
          <w:rStyle w:val="39"/>
          <w:rFonts w:ascii="宋体" w:hAnsi="宋体"/>
          <w:sz w:val="24"/>
        </w:rPr>
        <w:t>3.3 投标有效期</w:t>
      </w:r>
    </w:p>
    <w:p w14:paraId="6B273352">
      <w:pPr>
        <w:spacing w:line="360" w:lineRule="auto"/>
        <w:ind w:firstLine="420" w:firstLineChars="200"/>
        <w:rPr>
          <w:rStyle w:val="39"/>
          <w:rFonts w:hint="eastAsia" w:ascii="宋体" w:hAnsi="宋体"/>
        </w:rPr>
      </w:pPr>
      <w:r>
        <w:rPr>
          <w:rStyle w:val="39"/>
          <w:rFonts w:ascii="宋体" w:hAnsi="宋体"/>
        </w:rPr>
        <w:t>3.3.1 在投标人须知前附表规定的投标有效期内，投标人不得要求撤销或修改其投标文件。</w:t>
      </w:r>
    </w:p>
    <w:p w14:paraId="71F3212B">
      <w:pPr>
        <w:spacing w:line="360" w:lineRule="auto"/>
        <w:ind w:firstLine="420" w:firstLineChars="200"/>
        <w:rPr>
          <w:rStyle w:val="39"/>
          <w:rFonts w:hint="eastAsia" w:ascii="宋体" w:hAnsi="宋体"/>
        </w:rPr>
      </w:pPr>
      <w:r>
        <w:rPr>
          <w:rStyle w:val="39"/>
          <w:rFonts w:ascii="宋体" w:hAnsi="宋体"/>
        </w:rPr>
        <w:t>3.3.2出现特殊情况需要延长投标有效期的，招标人以书面形式通知所有投标人延长投标有效期。投标人同意延长的，应相应延长其投标保证金的有效期，但不得要求或被允许修改或撤销其投标文件；投标人拒绝延长的，其投标失效，但投标人有权收回其投标保证金。</w:t>
      </w:r>
    </w:p>
    <w:p w14:paraId="110C39D5">
      <w:pPr>
        <w:pStyle w:val="43"/>
        <w:spacing w:before="0" w:after="0"/>
        <w:rPr>
          <w:rStyle w:val="39"/>
          <w:rFonts w:hint="eastAsia" w:ascii="宋体" w:hAnsi="宋体"/>
          <w:sz w:val="24"/>
        </w:rPr>
      </w:pPr>
      <w:r>
        <w:rPr>
          <w:rStyle w:val="39"/>
          <w:rFonts w:ascii="宋体" w:hAnsi="宋体"/>
          <w:sz w:val="24"/>
        </w:rPr>
        <w:t>3.4 投标保证金</w:t>
      </w:r>
    </w:p>
    <w:p w14:paraId="335B19FD">
      <w:pPr>
        <w:spacing w:line="360" w:lineRule="auto"/>
        <w:ind w:firstLine="420" w:firstLineChars="200"/>
        <w:rPr>
          <w:rStyle w:val="39"/>
          <w:rFonts w:hint="eastAsia" w:ascii="宋体" w:hAnsi="宋体"/>
        </w:rPr>
      </w:pPr>
      <w:r>
        <w:rPr>
          <w:rStyle w:val="39"/>
          <w:rFonts w:ascii="宋体" w:hAnsi="宋体"/>
        </w:rPr>
        <w:t>3.4.1 投标人在递交投标文件的同时，应按投标人须知前附表规定的金额和形式递交投标保证金，并作为其投标文件的组成部分。联合体投标的，其投标保证金由牵头人递交，并应符合投标人须知前附表的规定。</w:t>
      </w:r>
    </w:p>
    <w:p w14:paraId="19F75F04">
      <w:pPr>
        <w:spacing w:line="360" w:lineRule="auto"/>
        <w:ind w:firstLine="420" w:firstLineChars="200"/>
        <w:rPr>
          <w:rStyle w:val="39"/>
          <w:rFonts w:hint="eastAsia" w:ascii="宋体" w:hAnsi="宋体"/>
        </w:rPr>
      </w:pPr>
      <w:r>
        <w:rPr>
          <w:rStyle w:val="39"/>
          <w:rFonts w:ascii="宋体" w:hAnsi="宋体"/>
        </w:rPr>
        <w:t>3.4.2 投标人不按本章第3.4.1项要求提交投标保证金的，其投标文件作废标处理。</w:t>
      </w:r>
    </w:p>
    <w:p w14:paraId="328087F3">
      <w:pPr>
        <w:spacing w:line="360" w:lineRule="auto"/>
        <w:ind w:firstLine="420" w:firstLineChars="200"/>
        <w:rPr>
          <w:rStyle w:val="39"/>
          <w:rFonts w:hint="eastAsia" w:ascii="宋体" w:hAnsi="宋体"/>
          <w:shd w:val="pct10" w:color="auto" w:fill="FFFFFF"/>
        </w:rPr>
      </w:pPr>
      <w:r>
        <w:rPr>
          <w:rStyle w:val="39"/>
          <w:rFonts w:ascii="宋体" w:hAnsi="宋体"/>
        </w:rPr>
        <w:t>3.4.3未中标的投标人投标保证金将在中标通知书发出后</w:t>
      </w:r>
      <w:r>
        <w:rPr>
          <w:rStyle w:val="39"/>
          <w:rFonts w:hint="eastAsia" w:ascii="宋体" w:hAnsi="宋体"/>
        </w:rPr>
        <w:t>60</w:t>
      </w:r>
      <w:r>
        <w:rPr>
          <w:rStyle w:val="39"/>
          <w:rFonts w:ascii="宋体" w:hAnsi="宋体"/>
        </w:rPr>
        <w:t>日内予以</w:t>
      </w:r>
      <w:r>
        <w:rPr>
          <w:rStyle w:val="39"/>
          <w:rFonts w:hint="eastAsia" w:ascii="宋体" w:hAnsi="宋体"/>
        </w:rPr>
        <w:t>无息</w:t>
      </w:r>
      <w:r>
        <w:rPr>
          <w:rStyle w:val="39"/>
          <w:rFonts w:ascii="宋体" w:hAnsi="宋体"/>
        </w:rPr>
        <w:t>退还。中标人的投标保证金将在招标人与中标人签订施工合同后</w:t>
      </w:r>
      <w:r>
        <w:rPr>
          <w:rStyle w:val="39"/>
          <w:rFonts w:hint="eastAsia" w:ascii="宋体" w:hAnsi="宋体"/>
        </w:rPr>
        <w:t>60</w:t>
      </w:r>
      <w:r>
        <w:rPr>
          <w:rStyle w:val="39"/>
          <w:rFonts w:ascii="宋体" w:hAnsi="宋体"/>
        </w:rPr>
        <w:t>日内予以</w:t>
      </w:r>
      <w:r>
        <w:rPr>
          <w:rStyle w:val="39"/>
          <w:rFonts w:hint="eastAsia" w:ascii="宋体" w:hAnsi="宋体"/>
        </w:rPr>
        <w:t>无息</w:t>
      </w:r>
      <w:r>
        <w:rPr>
          <w:rStyle w:val="39"/>
          <w:rFonts w:ascii="宋体" w:hAnsi="宋体"/>
        </w:rPr>
        <w:t>退还</w:t>
      </w:r>
      <w:r>
        <w:rPr>
          <w:rStyle w:val="39"/>
          <w:rFonts w:hint="eastAsia" w:ascii="宋体" w:hAnsi="宋体"/>
        </w:rPr>
        <w:t>，转为履约保证金待具备退还条件后予以无息退还</w:t>
      </w:r>
      <w:r>
        <w:rPr>
          <w:rStyle w:val="39"/>
          <w:rFonts w:ascii="宋体" w:hAnsi="宋体"/>
        </w:rPr>
        <w:t>。</w:t>
      </w:r>
    </w:p>
    <w:p w14:paraId="53FFBD6A">
      <w:pPr>
        <w:spacing w:line="360" w:lineRule="auto"/>
        <w:ind w:firstLine="420" w:firstLineChars="200"/>
        <w:rPr>
          <w:rStyle w:val="39"/>
          <w:rFonts w:hint="eastAsia" w:ascii="宋体" w:hAnsi="宋体"/>
        </w:rPr>
      </w:pPr>
      <w:r>
        <w:rPr>
          <w:rStyle w:val="39"/>
          <w:rFonts w:ascii="宋体" w:hAnsi="宋体"/>
        </w:rPr>
        <w:t xml:space="preserve">3.4.4 有下列情形之一的，投标保证金将不予退还： </w:t>
      </w:r>
    </w:p>
    <w:p w14:paraId="45F4F90B">
      <w:pPr>
        <w:spacing w:line="360" w:lineRule="auto"/>
        <w:ind w:firstLine="420" w:firstLineChars="200"/>
        <w:rPr>
          <w:rFonts w:hint="eastAsia" w:ascii="宋体" w:hAnsi="宋体"/>
        </w:rPr>
      </w:pPr>
      <w:r>
        <w:rPr>
          <w:rFonts w:ascii="宋体" w:hAnsi="宋体"/>
        </w:rPr>
        <w:t>（1）投标人在规定的投标有效期内撤销或修改其投标文件</w:t>
      </w:r>
      <w:r>
        <w:rPr>
          <w:rFonts w:hint="eastAsia" w:ascii="宋体" w:hAnsi="宋体"/>
        </w:rPr>
        <w:t>的</w:t>
      </w:r>
      <w:r>
        <w:rPr>
          <w:rFonts w:ascii="宋体" w:hAnsi="宋体"/>
        </w:rPr>
        <w:t>；</w:t>
      </w:r>
    </w:p>
    <w:p w14:paraId="46963D96">
      <w:pPr>
        <w:spacing w:line="360" w:lineRule="auto"/>
        <w:ind w:firstLine="420" w:firstLineChars="200"/>
        <w:rPr>
          <w:rFonts w:hint="eastAsia" w:ascii="宋体" w:hAnsi="宋体"/>
        </w:rPr>
      </w:pPr>
      <w:r>
        <w:rPr>
          <w:rFonts w:hint="eastAsia" w:ascii="宋体" w:hAnsi="宋体"/>
        </w:rPr>
        <w:t>（2）投标人在投标过程中被查实有串标、围标、陪标等违规违纪行为的；;</w:t>
      </w:r>
    </w:p>
    <w:p w14:paraId="788A9D31">
      <w:pPr>
        <w:spacing w:line="360" w:lineRule="auto"/>
        <w:ind w:firstLine="420" w:firstLineChars="200"/>
        <w:rPr>
          <w:rFonts w:hint="eastAsia" w:ascii="宋体" w:hAnsi="宋体"/>
        </w:rPr>
      </w:pPr>
      <w:r>
        <w:rPr>
          <w:rFonts w:hint="eastAsia" w:ascii="宋体" w:hAnsi="宋体"/>
        </w:rPr>
        <w:t>（3）截至开标前3天，投标人无正当理由、未以书面形式向招标人递交说明而在投标截止日不来投标的；</w:t>
      </w:r>
    </w:p>
    <w:p w14:paraId="321F5396">
      <w:pPr>
        <w:spacing w:line="360" w:lineRule="auto"/>
        <w:ind w:firstLine="420" w:firstLineChars="200"/>
        <w:rPr>
          <w:rFonts w:hint="eastAsia" w:ascii="宋体" w:hAnsi="宋体"/>
        </w:rPr>
      </w:pPr>
      <w:r>
        <w:rPr>
          <w:rFonts w:hint="eastAsia" w:ascii="宋体" w:hAnsi="宋体"/>
        </w:rPr>
        <w:t>（4）投标人递送投标文件后，无正当理由放弃投标的；</w:t>
      </w:r>
    </w:p>
    <w:p w14:paraId="54432F1D">
      <w:pPr>
        <w:spacing w:line="360" w:lineRule="auto"/>
        <w:ind w:firstLine="420" w:firstLineChars="200"/>
        <w:rPr>
          <w:rFonts w:hint="eastAsia" w:ascii="宋体" w:hAnsi="宋体"/>
        </w:rPr>
      </w:pPr>
      <w:r>
        <w:rPr>
          <w:rFonts w:hint="eastAsia" w:ascii="宋体" w:hAnsi="宋体"/>
        </w:rPr>
        <w:t xml:space="preserve"> (5）自中标通知书发出之日起30日内，中标人无正当理由不与招标人签订合同的；</w:t>
      </w:r>
    </w:p>
    <w:p w14:paraId="389742A3">
      <w:pPr>
        <w:spacing w:line="360" w:lineRule="auto"/>
        <w:ind w:firstLine="420" w:firstLineChars="200"/>
      </w:pPr>
      <w:r>
        <w:rPr>
          <w:rFonts w:hint="eastAsia" w:ascii="宋体" w:hAnsi="宋体"/>
        </w:rPr>
        <w:t xml:space="preserve"> (6）投标人有违约违规行为或被投诉、举报的，在调查处理期间，保证金暂不退还，待调查处理结束后按有关规定处理。</w:t>
      </w:r>
    </w:p>
    <w:p w14:paraId="5AC61DC8">
      <w:pPr>
        <w:pStyle w:val="43"/>
        <w:spacing w:before="0" w:after="0"/>
        <w:rPr>
          <w:rStyle w:val="39"/>
          <w:rFonts w:hint="eastAsia" w:ascii="宋体" w:hAnsi="宋体"/>
          <w:sz w:val="24"/>
        </w:rPr>
      </w:pPr>
      <w:r>
        <w:rPr>
          <w:rStyle w:val="39"/>
          <w:rFonts w:ascii="宋体" w:hAnsi="宋体"/>
          <w:sz w:val="24"/>
        </w:rPr>
        <w:t>3.5 备选投标方案</w:t>
      </w:r>
    </w:p>
    <w:p w14:paraId="0D160238">
      <w:pPr>
        <w:spacing w:line="360" w:lineRule="auto"/>
        <w:ind w:firstLine="420" w:firstLineChars="200"/>
        <w:rPr>
          <w:rStyle w:val="39"/>
          <w:rFonts w:hint="eastAsia" w:ascii="宋体" w:hAnsi="宋体"/>
        </w:rPr>
      </w:pPr>
      <w:r>
        <w:rPr>
          <w:rStyle w:val="39"/>
          <w:rFonts w:ascii="宋体" w:hAnsi="宋体"/>
        </w:rPr>
        <w:t>除投标人须知前附表另有规定外，投标人不得递交备选投标方案。</w:t>
      </w:r>
    </w:p>
    <w:p w14:paraId="14A0FFAE">
      <w:pPr>
        <w:pStyle w:val="43"/>
        <w:spacing w:before="0" w:after="0"/>
        <w:rPr>
          <w:rStyle w:val="39"/>
          <w:rFonts w:hint="eastAsia" w:ascii="宋体" w:hAnsi="宋体"/>
          <w:sz w:val="24"/>
        </w:rPr>
      </w:pPr>
      <w:r>
        <w:rPr>
          <w:rStyle w:val="39"/>
          <w:rFonts w:ascii="宋体" w:hAnsi="宋体"/>
          <w:sz w:val="24"/>
        </w:rPr>
        <w:t>3.6 投标文件的编制</w:t>
      </w:r>
    </w:p>
    <w:p w14:paraId="1FBDF4E2">
      <w:pPr>
        <w:spacing w:line="360" w:lineRule="auto"/>
        <w:ind w:firstLine="420" w:firstLineChars="200"/>
        <w:rPr>
          <w:rStyle w:val="39"/>
          <w:rFonts w:hint="eastAsia" w:ascii="宋体" w:hAnsi="宋体"/>
        </w:rPr>
      </w:pPr>
      <w:r>
        <w:rPr>
          <w:rStyle w:val="39"/>
          <w:rFonts w:ascii="宋体" w:hAnsi="宋体"/>
        </w:rPr>
        <w:t>3.6.1投标文件应按</w:t>
      </w:r>
      <w:r>
        <w:rPr>
          <w:rStyle w:val="29"/>
          <w:rFonts w:ascii="宋体" w:hAnsi="宋体"/>
          <w:color w:val="auto"/>
          <w:sz w:val="21"/>
        </w:rPr>
        <w:t>第八章“投标文件格式”</w:t>
      </w:r>
      <w:r>
        <w:rPr>
          <w:rStyle w:val="39"/>
          <w:rFonts w:ascii="宋体" w:hAnsi="宋体"/>
        </w:rPr>
        <w:t>进行编写，如有必要，可以增加附页，作为投标文件的组成部分。其中，投标函附录在满足招标文件实质性要求的基础上，可以提出比招标文件要求更有利于招标人的承诺。</w:t>
      </w:r>
    </w:p>
    <w:p w14:paraId="69F209A7">
      <w:pPr>
        <w:spacing w:line="360" w:lineRule="auto"/>
        <w:ind w:firstLine="420" w:firstLineChars="200"/>
        <w:rPr>
          <w:rStyle w:val="39"/>
          <w:rFonts w:hint="eastAsia" w:ascii="宋体" w:hAnsi="宋体"/>
          <w:szCs w:val="21"/>
        </w:rPr>
      </w:pPr>
      <w:r>
        <w:rPr>
          <w:rStyle w:val="39"/>
          <w:rFonts w:ascii="宋体" w:hAnsi="宋体"/>
        </w:rPr>
        <w:t>3.6.2 投标文件应当对招标文件有关</w:t>
      </w:r>
      <w:r>
        <w:rPr>
          <w:rStyle w:val="39"/>
          <w:rFonts w:ascii="宋体" w:hAnsi="宋体"/>
          <w:szCs w:val="21"/>
        </w:rPr>
        <w:t>工期、投标有效期、质量要求、技术标准和要求、招标范围等实质性内容作出响应。</w:t>
      </w:r>
    </w:p>
    <w:p w14:paraId="3E4ECD38">
      <w:pPr>
        <w:spacing w:line="360" w:lineRule="auto"/>
        <w:ind w:firstLine="420" w:firstLineChars="200"/>
        <w:rPr>
          <w:rStyle w:val="39"/>
          <w:rFonts w:hint="eastAsia" w:ascii="宋体" w:hAnsi="宋体"/>
        </w:rPr>
      </w:pPr>
      <w:r>
        <w:rPr>
          <w:rStyle w:val="39"/>
          <w:rFonts w:ascii="宋体" w:hAnsi="宋体"/>
        </w:rPr>
        <w:t>3.6.3投标文件应用不褪色的材料书写或打印，并由投标人的法定代表人（或其委托代理人）签字（或盖单位公章）。委托代理人签字的，投标文件应附法定代表人签署的授权委托书。投标文件应尽量避免涂改、行间插字或删除。如果出现上述情况，改动之处应加盖单位公章或由投标人的法定代表人或其授权的代理人签字确认。签字或盖章的具体要求见投标人须知前附表。</w:t>
      </w:r>
    </w:p>
    <w:p w14:paraId="76651D16">
      <w:pPr>
        <w:spacing w:line="400" w:lineRule="exact"/>
        <w:ind w:firstLine="420" w:firstLineChars="200"/>
        <w:rPr>
          <w:rStyle w:val="39"/>
          <w:rFonts w:hint="eastAsia" w:ascii="宋体" w:hAnsi="宋体"/>
        </w:rPr>
      </w:pPr>
      <w:r>
        <w:rPr>
          <w:rStyle w:val="39"/>
          <w:rFonts w:ascii="宋体" w:hAnsi="宋体"/>
        </w:rPr>
        <w:t>3.6.4投标文件正本一份,副本份数详见投标须知前附表，资格审查文件一份（不分正、副本，单独成册）。正本和副本的封面上应清楚地标记“正本”或“副本”的字样。当副本和正本不一致时，以正本为准。</w:t>
      </w:r>
    </w:p>
    <w:p w14:paraId="73548E71">
      <w:pPr>
        <w:spacing w:line="400" w:lineRule="exact"/>
        <w:ind w:firstLine="420" w:firstLineChars="200"/>
        <w:rPr>
          <w:rStyle w:val="39"/>
          <w:rFonts w:hint="eastAsia" w:ascii="宋体" w:hAnsi="宋体"/>
        </w:rPr>
      </w:pPr>
      <w:r>
        <w:rPr>
          <w:rStyle w:val="39"/>
          <w:rFonts w:ascii="宋体" w:hAnsi="宋体"/>
        </w:rPr>
        <w:t>3.6.5投标文件的正本与副本及资格审查文件应分别装订成册，并编制目录，具体装订要求见投标人须知前附表规定。</w:t>
      </w:r>
    </w:p>
    <w:p w14:paraId="2876116B">
      <w:pPr>
        <w:pStyle w:val="7"/>
        <w:spacing w:before="0" w:after="0"/>
        <w:jc w:val="center"/>
        <w:rPr>
          <w:sz w:val="30"/>
          <w:szCs w:val="30"/>
        </w:rPr>
      </w:pPr>
      <w:bookmarkStart w:id="49" w:name="_Toc16063896"/>
      <w:bookmarkStart w:id="50" w:name="_Toc32292"/>
      <w:bookmarkStart w:id="51" w:name="_Toc23160"/>
      <w:bookmarkStart w:id="52" w:name="_Toc26277"/>
      <w:bookmarkStart w:id="53" w:name="_Toc17817326"/>
      <w:r>
        <w:rPr>
          <w:sz w:val="30"/>
          <w:szCs w:val="30"/>
        </w:rPr>
        <w:t>4. 投标</w:t>
      </w:r>
      <w:bookmarkEnd w:id="49"/>
      <w:bookmarkEnd w:id="50"/>
      <w:bookmarkEnd w:id="51"/>
      <w:bookmarkEnd w:id="52"/>
      <w:bookmarkEnd w:id="53"/>
    </w:p>
    <w:p w14:paraId="5D35F748">
      <w:pPr>
        <w:pStyle w:val="43"/>
        <w:spacing w:before="0" w:after="0"/>
        <w:rPr>
          <w:rStyle w:val="39"/>
          <w:rFonts w:hint="eastAsia" w:ascii="宋体" w:hAnsi="宋体"/>
        </w:rPr>
      </w:pPr>
      <w:r>
        <w:rPr>
          <w:rStyle w:val="39"/>
          <w:rFonts w:ascii="宋体" w:hAnsi="宋体"/>
          <w:sz w:val="24"/>
        </w:rPr>
        <w:t>4.1 投标文件的密封和标记</w:t>
      </w:r>
    </w:p>
    <w:p w14:paraId="10ADCC36">
      <w:pPr>
        <w:spacing w:line="360" w:lineRule="auto"/>
        <w:ind w:firstLine="420" w:firstLineChars="200"/>
        <w:rPr>
          <w:rStyle w:val="39"/>
          <w:rFonts w:hint="eastAsia" w:ascii="宋体" w:hAnsi="宋体"/>
        </w:rPr>
      </w:pPr>
      <w:r>
        <w:rPr>
          <w:rStyle w:val="39"/>
          <w:rFonts w:ascii="宋体" w:hAnsi="宋体"/>
        </w:rPr>
        <w:t>4.1.1除资格审查文件单独密封包装外，投标文件</w:t>
      </w:r>
      <w:r>
        <w:rPr>
          <w:rStyle w:val="39"/>
          <w:rFonts w:hint="eastAsia" w:ascii="宋体" w:hAnsi="宋体"/>
        </w:rPr>
        <w:t>商务标（正本+副本</w:t>
      </w:r>
      <w:r>
        <w:rPr>
          <w:rStyle w:val="39"/>
          <w:rFonts w:ascii="宋体" w:hAnsi="宋体"/>
        </w:rPr>
        <w:t>）、</w:t>
      </w:r>
      <w:r>
        <w:rPr>
          <w:rStyle w:val="39"/>
          <w:rFonts w:hint="eastAsia" w:ascii="宋体" w:hAnsi="宋体"/>
        </w:rPr>
        <w:t>技术标（正本+副本）</w:t>
      </w:r>
      <w:r>
        <w:rPr>
          <w:rStyle w:val="39"/>
          <w:rFonts w:ascii="宋体" w:hAnsi="宋体"/>
        </w:rPr>
        <w:t>分开密封包装，电子文档（内容包含全部投标文件）单独密封包装，唱标单单独密封包装。所有封套的每个封口处均应加盖投标人单位公章。</w:t>
      </w:r>
    </w:p>
    <w:p w14:paraId="4D580917">
      <w:pPr>
        <w:spacing w:line="360" w:lineRule="auto"/>
        <w:ind w:firstLine="420" w:firstLineChars="200"/>
        <w:rPr>
          <w:rStyle w:val="39"/>
          <w:rFonts w:hint="eastAsia" w:ascii="宋体" w:hAnsi="宋体"/>
        </w:rPr>
      </w:pPr>
      <w:r>
        <w:rPr>
          <w:rStyle w:val="39"/>
        </w:rPr>
        <w:t>纸版投标文件和电子版投标文件必须保证内容一致，如确实存在不一致的，总报价以重汽E采通系统报出金额为准。同时要求投标方对纸版商务标书的错误一并做出修正（修正原则详见商务标评分细则</w:t>
      </w:r>
      <w:r>
        <w:rPr>
          <w:rStyle w:val="39"/>
          <w:rFonts w:hint="eastAsia"/>
        </w:rPr>
        <w:t>）</w:t>
      </w:r>
      <w:r>
        <w:rPr>
          <w:rStyle w:val="39"/>
        </w:rPr>
        <w:t>，结算时按修正后的纸质商务标书为准。</w:t>
      </w:r>
    </w:p>
    <w:p w14:paraId="542C68D8">
      <w:pPr>
        <w:spacing w:line="360" w:lineRule="auto"/>
        <w:ind w:firstLine="420" w:firstLineChars="200"/>
        <w:rPr>
          <w:rStyle w:val="39"/>
          <w:rFonts w:hint="eastAsia" w:ascii="宋体" w:hAnsi="宋体"/>
        </w:rPr>
      </w:pPr>
      <w:r>
        <w:rPr>
          <w:rStyle w:val="39"/>
          <w:rFonts w:ascii="宋体" w:hAnsi="宋体"/>
        </w:rPr>
        <w:t>4.1.2投标文件的封套上应清楚地标记“</w:t>
      </w:r>
      <w:r>
        <w:rPr>
          <w:rStyle w:val="39"/>
          <w:rFonts w:hint="eastAsia" w:ascii="宋体" w:hAnsi="宋体"/>
        </w:rPr>
        <w:t>商务标</w:t>
      </w:r>
      <w:r>
        <w:rPr>
          <w:rStyle w:val="39"/>
          <w:rFonts w:ascii="宋体" w:hAnsi="宋体"/>
        </w:rPr>
        <w:t>”或“</w:t>
      </w:r>
      <w:r>
        <w:rPr>
          <w:rStyle w:val="39"/>
          <w:rFonts w:hint="eastAsia" w:ascii="宋体" w:hAnsi="宋体"/>
        </w:rPr>
        <w:t>技术标</w:t>
      </w:r>
      <w:r>
        <w:rPr>
          <w:rStyle w:val="39"/>
          <w:rFonts w:ascii="宋体" w:hAnsi="宋体"/>
        </w:rPr>
        <w:t>”或“资格审查文件”或“唱标单</w:t>
      </w:r>
      <w:r>
        <w:rPr>
          <w:rStyle w:val="39"/>
          <w:rFonts w:hint="eastAsia" w:ascii="宋体" w:hAnsi="宋体"/>
        </w:rPr>
        <w:t>/开标一览表</w:t>
      </w:r>
      <w:r>
        <w:rPr>
          <w:rStyle w:val="39"/>
          <w:rFonts w:ascii="宋体" w:hAnsi="宋体"/>
        </w:rPr>
        <w:t>”或“电子文档”等字样，封套上应写明的其他内容见投标人须知前附表。</w:t>
      </w:r>
    </w:p>
    <w:p w14:paraId="2F837680">
      <w:pPr>
        <w:spacing w:line="360" w:lineRule="auto"/>
        <w:ind w:firstLine="420" w:firstLineChars="200"/>
        <w:rPr>
          <w:rStyle w:val="39"/>
          <w:rFonts w:hint="eastAsia" w:ascii="宋体" w:hAnsi="宋体"/>
        </w:rPr>
      </w:pPr>
      <w:r>
        <w:rPr>
          <w:rStyle w:val="39"/>
          <w:rFonts w:ascii="宋体" w:hAnsi="宋体"/>
        </w:rPr>
        <w:t>4.1.3 未按本章第4.1.1项或第4.1.2项要求密封和加写标记的投标文件，招标人不予受理。</w:t>
      </w:r>
    </w:p>
    <w:p w14:paraId="0C1C7925">
      <w:pPr>
        <w:pStyle w:val="43"/>
        <w:spacing w:before="0" w:after="0"/>
        <w:rPr>
          <w:rStyle w:val="39"/>
          <w:rFonts w:hint="eastAsia" w:ascii="宋体" w:hAnsi="宋体"/>
          <w:sz w:val="24"/>
        </w:rPr>
      </w:pPr>
      <w:r>
        <w:rPr>
          <w:rStyle w:val="39"/>
          <w:rFonts w:ascii="宋体" w:hAnsi="宋体"/>
          <w:sz w:val="24"/>
        </w:rPr>
        <w:t>4.2 投标文件的递交</w:t>
      </w:r>
    </w:p>
    <w:p w14:paraId="6CFC02BD">
      <w:pPr>
        <w:spacing w:line="360" w:lineRule="auto"/>
        <w:ind w:firstLine="420" w:firstLineChars="200"/>
        <w:rPr>
          <w:rStyle w:val="39"/>
          <w:rFonts w:hint="eastAsia" w:ascii="宋体" w:hAnsi="宋体"/>
        </w:rPr>
      </w:pPr>
      <w:r>
        <w:rPr>
          <w:rStyle w:val="39"/>
          <w:rFonts w:ascii="宋体" w:hAnsi="宋体"/>
        </w:rPr>
        <w:t>4.2.1 投标人应在本章</w:t>
      </w:r>
      <w:r>
        <w:rPr>
          <w:rStyle w:val="29"/>
          <w:rFonts w:ascii="宋体" w:hAnsi="宋体"/>
          <w:color w:val="auto"/>
          <w:sz w:val="21"/>
        </w:rPr>
        <w:t>第2.2.2项</w:t>
      </w:r>
      <w:r>
        <w:rPr>
          <w:rStyle w:val="39"/>
          <w:rFonts w:ascii="宋体" w:hAnsi="宋体"/>
        </w:rPr>
        <w:t>规定的投标截止时间前递交投标文件。</w:t>
      </w:r>
    </w:p>
    <w:p w14:paraId="27785504">
      <w:pPr>
        <w:spacing w:line="360" w:lineRule="auto"/>
        <w:ind w:firstLine="420" w:firstLineChars="200"/>
        <w:rPr>
          <w:rStyle w:val="39"/>
          <w:rFonts w:hint="eastAsia" w:ascii="宋体" w:hAnsi="宋体"/>
        </w:rPr>
      </w:pPr>
      <w:r>
        <w:rPr>
          <w:rStyle w:val="39"/>
          <w:rFonts w:ascii="宋体" w:hAnsi="宋体"/>
        </w:rPr>
        <w:t>4.2.2 投标人递交投标文件的地点：见投标人须知前附表。</w:t>
      </w:r>
    </w:p>
    <w:p w14:paraId="6B5A3790">
      <w:pPr>
        <w:spacing w:line="360" w:lineRule="auto"/>
        <w:ind w:firstLine="420" w:firstLineChars="200"/>
        <w:rPr>
          <w:rStyle w:val="39"/>
          <w:rFonts w:hint="eastAsia" w:ascii="宋体" w:hAnsi="宋体"/>
        </w:rPr>
      </w:pPr>
      <w:r>
        <w:rPr>
          <w:rStyle w:val="39"/>
          <w:rFonts w:ascii="宋体" w:hAnsi="宋体"/>
        </w:rPr>
        <w:t>4.2.3 除投标人须知前附表另有规定外，投标人所递交的投标文件不予退还。</w:t>
      </w:r>
    </w:p>
    <w:p w14:paraId="26458009">
      <w:pPr>
        <w:spacing w:line="360" w:lineRule="auto"/>
        <w:ind w:firstLine="420" w:firstLineChars="200"/>
        <w:rPr>
          <w:rStyle w:val="39"/>
          <w:rFonts w:hint="eastAsia" w:ascii="宋体" w:hAnsi="宋体"/>
        </w:rPr>
      </w:pPr>
      <w:r>
        <w:rPr>
          <w:rStyle w:val="39"/>
          <w:rFonts w:ascii="宋体" w:hAnsi="宋体"/>
        </w:rPr>
        <w:t>4.2.4 招标人收到投标文件后，向投标人出具签收凭证。</w:t>
      </w:r>
    </w:p>
    <w:p w14:paraId="4220413C">
      <w:pPr>
        <w:spacing w:line="360" w:lineRule="auto"/>
        <w:ind w:firstLine="420" w:firstLineChars="200"/>
        <w:rPr>
          <w:rStyle w:val="39"/>
          <w:rFonts w:hint="eastAsia" w:ascii="宋体" w:hAnsi="宋体"/>
        </w:rPr>
      </w:pPr>
      <w:r>
        <w:rPr>
          <w:rStyle w:val="39"/>
          <w:rFonts w:ascii="宋体" w:hAnsi="宋体"/>
        </w:rPr>
        <w:t>4.2.5 逾期送达的或者未送达指定地点的投标文件，招标人不予受理。</w:t>
      </w:r>
    </w:p>
    <w:p w14:paraId="379FC8DA">
      <w:pPr>
        <w:pStyle w:val="43"/>
        <w:spacing w:before="0" w:after="0"/>
        <w:rPr>
          <w:rStyle w:val="39"/>
          <w:rFonts w:hint="eastAsia" w:ascii="宋体" w:hAnsi="宋体"/>
          <w:sz w:val="24"/>
        </w:rPr>
      </w:pPr>
      <w:r>
        <w:rPr>
          <w:rStyle w:val="39"/>
          <w:rFonts w:ascii="宋体" w:hAnsi="宋体"/>
          <w:sz w:val="24"/>
        </w:rPr>
        <w:t>4.3 投标文件的修改与撤回</w:t>
      </w:r>
    </w:p>
    <w:p w14:paraId="0D685D2D">
      <w:pPr>
        <w:spacing w:line="360" w:lineRule="auto"/>
        <w:ind w:firstLine="420" w:firstLineChars="200"/>
        <w:rPr>
          <w:rStyle w:val="39"/>
          <w:rFonts w:hint="eastAsia" w:ascii="宋体" w:hAnsi="宋体"/>
        </w:rPr>
      </w:pPr>
      <w:r>
        <w:rPr>
          <w:rStyle w:val="39"/>
          <w:rFonts w:ascii="宋体" w:hAnsi="宋体"/>
        </w:rPr>
        <w:t>4.3.1 在本章</w:t>
      </w:r>
      <w:r>
        <w:rPr>
          <w:rStyle w:val="29"/>
          <w:rFonts w:ascii="宋体" w:hAnsi="宋体"/>
          <w:color w:val="auto"/>
          <w:sz w:val="21"/>
        </w:rPr>
        <w:t>第2.2.2项</w:t>
      </w:r>
      <w:r>
        <w:rPr>
          <w:rStyle w:val="39"/>
          <w:rFonts w:ascii="宋体" w:hAnsi="宋体"/>
        </w:rPr>
        <w:t>规定的投标截止时间前，投标人可以修改或撤回已递交的投标文件，但应以书面形式通知招标人。</w:t>
      </w:r>
    </w:p>
    <w:p w14:paraId="70C1C2DC">
      <w:pPr>
        <w:spacing w:line="360" w:lineRule="auto"/>
        <w:ind w:firstLine="420" w:firstLineChars="200"/>
        <w:rPr>
          <w:rStyle w:val="39"/>
          <w:rFonts w:hint="eastAsia" w:ascii="宋体" w:hAnsi="宋体"/>
        </w:rPr>
      </w:pPr>
      <w:r>
        <w:rPr>
          <w:rStyle w:val="39"/>
          <w:rFonts w:ascii="宋体" w:hAnsi="宋体"/>
        </w:rPr>
        <w:t>4.3.2 投标人修改或撤回已递交投标文件的书面通知应按照本章</w:t>
      </w:r>
      <w:r>
        <w:rPr>
          <w:rStyle w:val="29"/>
          <w:rFonts w:ascii="宋体" w:hAnsi="宋体"/>
          <w:color w:val="auto"/>
          <w:sz w:val="21"/>
        </w:rPr>
        <w:t>第3.6.3项</w:t>
      </w:r>
      <w:r>
        <w:rPr>
          <w:rStyle w:val="39"/>
          <w:rFonts w:ascii="宋体" w:hAnsi="宋体"/>
        </w:rPr>
        <w:t>的要求签字或盖章。招标人收到书面通知后，向投标人出具签收凭证。</w:t>
      </w:r>
    </w:p>
    <w:p w14:paraId="168ED6F9">
      <w:pPr>
        <w:spacing w:line="360" w:lineRule="auto"/>
        <w:ind w:firstLine="420" w:firstLineChars="200"/>
        <w:rPr>
          <w:rStyle w:val="39"/>
          <w:rFonts w:hint="eastAsia" w:ascii="宋体" w:hAnsi="宋体"/>
        </w:rPr>
      </w:pPr>
      <w:r>
        <w:rPr>
          <w:rStyle w:val="39"/>
          <w:rFonts w:ascii="宋体" w:hAnsi="宋体"/>
        </w:rPr>
        <w:t>4.3.3 修改的内容为投标文件的组成部分。修改的投标文件应按照本章</w:t>
      </w:r>
      <w:r>
        <w:rPr>
          <w:rStyle w:val="29"/>
          <w:rFonts w:ascii="宋体" w:hAnsi="宋体"/>
          <w:color w:val="auto"/>
          <w:sz w:val="21"/>
        </w:rPr>
        <w:t>第3条</w:t>
      </w:r>
      <w:r>
        <w:rPr>
          <w:rStyle w:val="39"/>
          <w:rFonts w:ascii="宋体" w:hAnsi="宋体"/>
        </w:rPr>
        <w:t>、</w:t>
      </w:r>
      <w:r>
        <w:rPr>
          <w:rStyle w:val="29"/>
          <w:rFonts w:ascii="宋体" w:hAnsi="宋体"/>
          <w:color w:val="auto"/>
          <w:sz w:val="21"/>
        </w:rPr>
        <w:t>第4条</w:t>
      </w:r>
      <w:r>
        <w:rPr>
          <w:rStyle w:val="39"/>
          <w:rFonts w:ascii="宋体" w:hAnsi="宋体"/>
        </w:rPr>
        <w:t>规定进行编制、密封、标记和递交，并标明“修改”字样。</w:t>
      </w:r>
    </w:p>
    <w:p w14:paraId="68A7C97B">
      <w:pPr>
        <w:pStyle w:val="7"/>
        <w:spacing w:before="0" w:after="0"/>
        <w:jc w:val="center"/>
        <w:rPr>
          <w:sz w:val="30"/>
          <w:szCs w:val="30"/>
        </w:rPr>
      </w:pPr>
      <w:bookmarkStart w:id="54" w:name="_Toc17817327"/>
      <w:bookmarkStart w:id="55" w:name="_Toc16063897"/>
      <w:bookmarkStart w:id="56" w:name="_Toc15173"/>
      <w:bookmarkStart w:id="57" w:name="_Toc9815"/>
      <w:bookmarkStart w:id="58" w:name="_Toc28002"/>
      <w:r>
        <w:rPr>
          <w:sz w:val="30"/>
          <w:szCs w:val="30"/>
        </w:rPr>
        <w:t>5. 开标</w:t>
      </w:r>
      <w:bookmarkEnd w:id="54"/>
      <w:bookmarkEnd w:id="55"/>
      <w:bookmarkEnd w:id="56"/>
      <w:bookmarkEnd w:id="57"/>
      <w:bookmarkEnd w:id="58"/>
    </w:p>
    <w:p w14:paraId="3FD7E025">
      <w:pPr>
        <w:pStyle w:val="43"/>
        <w:spacing w:before="0" w:after="0" w:line="360" w:lineRule="auto"/>
        <w:rPr>
          <w:rStyle w:val="39"/>
          <w:rFonts w:hint="eastAsia" w:ascii="宋体" w:hAnsi="宋体"/>
          <w:sz w:val="24"/>
          <w:szCs w:val="24"/>
        </w:rPr>
      </w:pPr>
      <w:r>
        <w:rPr>
          <w:rStyle w:val="39"/>
          <w:rFonts w:ascii="宋体" w:hAnsi="宋体"/>
          <w:sz w:val="24"/>
          <w:szCs w:val="24"/>
        </w:rPr>
        <w:t>5.1 开标时间和地点</w:t>
      </w:r>
    </w:p>
    <w:p w14:paraId="31E08950">
      <w:pPr>
        <w:spacing w:line="360" w:lineRule="auto"/>
        <w:ind w:firstLine="420" w:firstLineChars="200"/>
        <w:rPr>
          <w:rStyle w:val="39"/>
          <w:rFonts w:hint="eastAsia" w:ascii="宋体" w:hAnsi="宋体"/>
        </w:rPr>
      </w:pPr>
      <w:r>
        <w:rPr>
          <w:rStyle w:val="39"/>
          <w:rFonts w:ascii="宋体" w:hAnsi="宋体"/>
        </w:rPr>
        <w:t>招标人在本章</w:t>
      </w:r>
      <w:r>
        <w:rPr>
          <w:rStyle w:val="29"/>
          <w:rFonts w:ascii="宋体" w:hAnsi="宋体"/>
          <w:color w:val="auto"/>
          <w:sz w:val="21"/>
        </w:rPr>
        <w:t>第2.2.2项</w:t>
      </w:r>
      <w:r>
        <w:rPr>
          <w:rStyle w:val="39"/>
          <w:rFonts w:ascii="宋体" w:hAnsi="宋体"/>
        </w:rPr>
        <w:t>规定的投标截止时间（开标时间）和投标人须知前附表规定的地点公开开标，并邀请所有投标人的法定代表人或其委托代理人准时参加。</w:t>
      </w:r>
    </w:p>
    <w:p w14:paraId="5D02C884">
      <w:pPr>
        <w:pStyle w:val="13"/>
        <w:adjustRightInd w:val="0"/>
        <w:snapToGrid w:val="0"/>
        <w:spacing w:before="72" w:after="50" w:line="360" w:lineRule="auto"/>
        <w:ind w:firstLine="420" w:firstLineChars="200"/>
        <w:rPr>
          <w:rStyle w:val="39"/>
          <w:rFonts w:hint="eastAsia" w:ascii="宋体" w:hAnsi="宋体" w:eastAsia="宋体"/>
          <w:sz w:val="21"/>
          <w:szCs w:val="24"/>
        </w:rPr>
      </w:pPr>
      <w:r>
        <w:rPr>
          <w:rStyle w:val="39"/>
          <w:rFonts w:hint="eastAsia" w:ascii="宋体" w:hAnsi="宋体" w:eastAsia="宋体"/>
          <w:sz w:val="21"/>
          <w:szCs w:val="24"/>
        </w:rPr>
        <w:t>本次招标的开标、评标由招标人依法组织实施，通过资格审查后，采用技术标和商务标同时开标、分阶段评标的模式。首先进行技术标评审，由评标专家组对所有投标方的技术标部分综合评定和打分，确定进入商务标评比资格的投标方（技术标评分不带入商务标）。然后进行商务标的评标，招标人有权根据项目情况，商务标采取多轮评标模式，最终根据商务标的得分确定各投标人排序，原则上按照评标合理最低价确定推荐中标人（不保证最低价格中标）。</w:t>
      </w:r>
    </w:p>
    <w:p w14:paraId="12A9B6F7">
      <w:pPr>
        <w:snapToGrid w:val="0"/>
        <w:spacing w:line="360" w:lineRule="auto"/>
        <w:ind w:firstLine="422" w:firstLineChars="200"/>
        <w:rPr>
          <w:rFonts w:hint="eastAsia" w:ascii="宋体" w:hAnsi="宋体" w:cs="宋体"/>
          <w:szCs w:val="21"/>
        </w:rPr>
      </w:pPr>
      <w:r>
        <w:rPr>
          <w:rStyle w:val="39"/>
          <w:rFonts w:hint="eastAsia" w:ascii="宋体" w:hAnsi="宋体" w:cs="宋体"/>
          <w:b/>
          <w:bCs/>
          <w:szCs w:val="21"/>
        </w:rPr>
        <w:t>开标形式：现场和重汽e采通同时开标</w:t>
      </w:r>
      <w:r>
        <w:rPr>
          <w:rStyle w:val="39"/>
          <w:rFonts w:hint="eastAsia" w:ascii="宋体" w:hAnsi="宋体"/>
          <w:szCs w:val="22"/>
          <w:u w:val="single"/>
        </w:rPr>
        <w:t>（所有澄清及报价均需要在线上操作，请自行准备电脑等设备）</w:t>
      </w:r>
    </w:p>
    <w:p w14:paraId="024BD710">
      <w:pPr>
        <w:pStyle w:val="43"/>
        <w:spacing w:before="0" w:after="0"/>
        <w:rPr>
          <w:rStyle w:val="39"/>
          <w:rFonts w:hint="eastAsia" w:ascii="宋体" w:hAnsi="宋体"/>
          <w:sz w:val="24"/>
        </w:rPr>
      </w:pPr>
      <w:bookmarkStart w:id="59" w:name="_Toc17817328"/>
      <w:bookmarkStart w:id="60" w:name="_Toc16063898"/>
      <w:bookmarkStart w:id="61" w:name="_Toc630"/>
      <w:r>
        <w:rPr>
          <w:rStyle w:val="39"/>
          <w:rFonts w:ascii="宋体" w:hAnsi="宋体"/>
          <w:sz w:val="24"/>
        </w:rPr>
        <w:t>5.2 开</w:t>
      </w:r>
      <w:r>
        <w:rPr>
          <w:rStyle w:val="39"/>
          <w:rFonts w:hint="eastAsia" w:ascii="宋体" w:hAnsi="宋体"/>
          <w:sz w:val="24"/>
        </w:rPr>
        <w:t>、评</w:t>
      </w:r>
      <w:r>
        <w:rPr>
          <w:rStyle w:val="39"/>
          <w:rFonts w:ascii="宋体" w:hAnsi="宋体"/>
          <w:sz w:val="24"/>
        </w:rPr>
        <w:t>标程序</w:t>
      </w:r>
    </w:p>
    <w:p w14:paraId="0B1937E8">
      <w:pPr>
        <w:spacing w:line="400" w:lineRule="exact"/>
        <w:ind w:firstLine="420" w:firstLineChars="200"/>
        <w:rPr>
          <w:rStyle w:val="39"/>
          <w:rFonts w:hint="eastAsia" w:ascii="宋体" w:hAnsi="宋体"/>
          <w:szCs w:val="22"/>
        </w:rPr>
      </w:pPr>
      <w:r>
        <w:rPr>
          <w:rStyle w:val="39"/>
          <w:rFonts w:hint="eastAsia" w:ascii="宋体" w:hAnsi="宋体"/>
          <w:szCs w:val="22"/>
        </w:rPr>
        <w:t>（1）投标截止时间前准时进入开标现场，登录重汽e采通按《SRM-系统用户手册-非生产招投标（供应商使用）》，并按顺序进行操作，迟到按弃标处理。</w:t>
      </w:r>
    </w:p>
    <w:p w14:paraId="19717615">
      <w:pPr>
        <w:spacing w:line="400" w:lineRule="exact"/>
        <w:ind w:firstLine="420" w:firstLineChars="200"/>
        <w:rPr>
          <w:rStyle w:val="39"/>
          <w:rFonts w:hint="eastAsia" w:ascii="宋体" w:hAnsi="宋体"/>
          <w:szCs w:val="22"/>
        </w:rPr>
      </w:pPr>
      <w:r>
        <w:rPr>
          <w:rStyle w:val="39"/>
          <w:rFonts w:hint="eastAsia" w:ascii="宋体" w:hAnsi="宋体"/>
          <w:szCs w:val="22"/>
        </w:rPr>
        <w:t>（2）宣读开标纪律；</w:t>
      </w:r>
    </w:p>
    <w:p w14:paraId="6E9E3FB7">
      <w:pPr>
        <w:spacing w:line="400" w:lineRule="exact"/>
        <w:ind w:firstLine="420" w:firstLineChars="200"/>
        <w:rPr>
          <w:rStyle w:val="39"/>
          <w:rFonts w:hint="eastAsia" w:ascii="宋体" w:hAnsi="宋体"/>
          <w:szCs w:val="22"/>
        </w:rPr>
      </w:pPr>
      <w:r>
        <w:rPr>
          <w:rStyle w:val="39"/>
          <w:rFonts w:hint="eastAsia" w:ascii="宋体" w:hAnsi="宋体"/>
          <w:szCs w:val="22"/>
        </w:rPr>
        <w:t>（3）公布在投标截止时间前递交投标文件的投标人名称，并点名确认投标人的法定代表人或其委托代理人是否到场；</w:t>
      </w:r>
    </w:p>
    <w:p w14:paraId="7E8D0E0F">
      <w:pPr>
        <w:spacing w:line="400" w:lineRule="exact"/>
        <w:ind w:firstLine="420" w:firstLineChars="200"/>
        <w:rPr>
          <w:rStyle w:val="39"/>
          <w:rFonts w:hint="eastAsia" w:ascii="宋体" w:hAnsi="宋体"/>
          <w:szCs w:val="22"/>
        </w:rPr>
      </w:pPr>
      <w:r>
        <w:rPr>
          <w:rStyle w:val="39"/>
          <w:rFonts w:hint="eastAsia" w:ascii="宋体" w:hAnsi="宋体"/>
          <w:szCs w:val="22"/>
        </w:rPr>
        <w:t>（4）宣布招标人、唱标人等有关单位；</w:t>
      </w:r>
    </w:p>
    <w:p w14:paraId="7EE8BE50">
      <w:pPr>
        <w:spacing w:line="400" w:lineRule="exact"/>
        <w:ind w:firstLine="420" w:firstLineChars="200"/>
        <w:rPr>
          <w:rStyle w:val="39"/>
          <w:rFonts w:hint="eastAsia" w:ascii="宋体" w:hAnsi="宋体"/>
          <w:szCs w:val="22"/>
        </w:rPr>
      </w:pPr>
      <w:r>
        <w:rPr>
          <w:rStyle w:val="39"/>
          <w:rFonts w:hint="eastAsia" w:ascii="宋体" w:hAnsi="宋体"/>
          <w:szCs w:val="22"/>
        </w:rPr>
        <w:t>（5）由招标人核验投标单位的相关证件，并宣布核验结果；</w:t>
      </w:r>
    </w:p>
    <w:p w14:paraId="4BD3174E">
      <w:pPr>
        <w:spacing w:line="400" w:lineRule="exact"/>
        <w:ind w:firstLine="420" w:firstLineChars="200"/>
        <w:rPr>
          <w:rStyle w:val="39"/>
          <w:rFonts w:hint="eastAsia" w:ascii="宋体" w:hAnsi="宋体"/>
          <w:szCs w:val="22"/>
        </w:rPr>
      </w:pPr>
      <w:r>
        <w:rPr>
          <w:rStyle w:val="39"/>
          <w:rFonts w:hint="eastAsia" w:ascii="宋体" w:hAnsi="宋体"/>
          <w:szCs w:val="22"/>
        </w:rPr>
        <w:t>（6）由招标人代表或投标人推选的代表检查投标文件的密封情况并予以确认；</w:t>
      </w:r>
    </w:p>
    <w:p w14:paraId="3E1BECA1">
      <w:pPr>
        <w:spacing w:line="400" w:lineRule="exact"/>
        <w:ind w:firstLine="420" w:firstLineChars="200"/>
        <w:rPr>
          <w:rStyle w:val="39"/>
          <w:rFonts w:hint="eastAsia" w:ascii="宋体" w:hAnsi="宋体"/>
          <w:szCs w:val="22"/>
        </w:rPr>
      </w:pPr>
      <w:r>
        <w:rPr>
          <w:rStyle w:val="39"/>
          <w:rFonts w:hint="eastAsia" w:ascii="宋体" w:hAnsi="宋体"/>
          <w:szCs w:val="22"/>
        </w:rPr>
        <w:t>（7）按照宣布的开标顺序当众开标，公布投标人名称、项目名称、投标报价、质量目标、工期及其他内容，并记录在案；</w:t>
      </w:r>
    </w:p>
    <w:p w14:paraId="775E0773">
      <w:pPr>
        <w:spacing w:line="400" w:lineRule="exact"/>
        <w:ind w:firstLine="420" w:firstLineChars="200"/>
        <w:rPr>
          <w:rStyle w:val="39"/>
          <w:rFonts w:hint="eastAsia" w:ascii="宋体" w:hAnsi="宋体"/>
          <w:szCs w:val="22"/>
        </w:rPr>
      </w:pPr>
      <w:r>
        <w:rPr>
          <w:rStyle w:val="39"/>
          <w:rFonts w:hint="eastAsia" w:ascii="宋体" w:hAnsi="宋体"/>
          <w:szCs w:val="22"/>
        </w:rPr>
        <w:t>（8）对本次开标存在异议的投标单位，请现场提出，否则事后不予受理；</w:t>
      </w:r>
    </w:p>
    <w:p w14:paraId="1E0B76BD">
      <w:pPr>
        <w:spacing w:line="400" w:lineRule="exact"/>
        <w:ind w:firstLine="420" w:firstLineChars="200"/>
        <w:rPr>
          <w:rStyle w:val="39"/>
          <w:rFonts w:hint="eastAsia" w:ascii="宋体" w:hAnsi="宋体"/>
          <w:szCs w:val="22"/>
        </w:rPr>
      </w:pPr>
      <w:r>
        <w:rPr>
          <w:rStyle w:val="39"/>
          <w:rFonts w:hint="eastAsia" w:ascii="宋体" w:hAnsi="宋体"/>
          <w:szCs w:val="22"/>
        </w:rPr>
        <w:t>（9）招标人、唱标人、监督人、投标人授权代表应对《开标记录》全部内容进行确认；</w:t>
      </w:r>
    </w:p>
    <w:p w14:paraId="69361478">
      <w:pPr>
        <w:spacing w:line="400" w:lineRule="exact"/>
        <w:ind w:firstLine="420" w:firstLineChars="200"/>
        <w:rPr>
          <w:rStyle w:val="39"/>
          <w:rFonts w:hint="eastAsia" w:ascii="宋体" w:hAnsi="宋体"/>
          <w:szCs w:val="22"/>
        </w:rPr>
      </w:pPr>
      <w:r>
        <w:rPr>
          <w:rStyle w:val="39"/>
          <w:rFonts w:hint="eastAsia" w:ascii="宋体" w:hAnsi="宋体"/>
          <w:szCs w:val="22"/>
        </w:rPr>
        <w:t>（10）开标会结束，投标人退场，进入评审阶段。</w:t>
      </w:r>
    </w:p>
    <w:p w14:paraId="2F6405C3">
      <w:pPr>
        <w:spacing w:line="400" w:lineRule="exact"/>
        <w:ind w:firstLine="420" w:firstLineChars="200"/>
        <w:rPr>
          <w:rStyle w:val="39"/>
          <w:rFonts w:hint="eastAsia" w:ascii="宋体" w:hAnsi="宋体"/>
          <w:szCs w:val="22"/>
        </w:rPr>
      </w:pPr>
      <w:r>
        <w:rPr>
          <w:rStyle w:val="39"/>
          <w:rFonts w:hint="eastAsia" w:ascii="宋体" w:hAnsi="宋体"/>
          <w:szCs w:val="22"/>
        </w:rPr>
        <w:t>（11）进入技术标评审环节，专家组根据评标办法对技术标进行评分，需要技术澄清的，通过重汽e采通递交澄清材料；</w:t>
      </w:r>
      <w:r>
        <w:rPr>
          <w:rStyle w:val="39"/>
          <w:rFonts w:hint="eastAsia" w:ascii="宋体" w:hAnsi="宋体"/>
          <w:szCs w:val="22"/>
          <w:u w:val="single"/>
        </w:rPr>
        <w:t>同时，招标人将在技术标评审环节组织商务标清标工作，识别出各投标单位的不平衡报价及其他不合理项，投标单位据之纠正澄清，并同步修正开标总价；修正完成，并经招标人审核后方可开商务标；修正后的总价不得突破投标价、并作为开标后第一轮报价及后续调价基准。</w:t>
      </w:r>
      <w:r>
        <w:rPr>
          <w:rStyle w:val="39"/>
          <w:rFonts w:hint="eastAsia" w:ascii="宋体" w:hAnsi="宋体"/>
          <w:szCs w:val="22"/>
        </w:rPr>
        <w:t>技术标评审结束后，专家组推荐入围商务标厂家，通过技术标评审的投标单位进入商务标评审。</w:t>
      </w:r>
    </w:p>
    <w:p w14:paraId="74CF5D98">
      <w:pPr>
        <w:spacing w:line="400" w:lineRule="exact"/>
        <w:ind w:firstLine="420" w:firstLineChars="200"/>
        <w:rPr>
          <w:rStyle w:val="39"/>
          <w:rFonts w:hint="eastAsia" w:ascii="宋体" w:hAnsi="宋体"/>
          <w:szCs w:val="22"/>
        </w:rPr>
      </w:pPr>
      <w:r>
        <w:rPr>
          <w:rStyle w:val="39"/>
          <w:rFonts w:hint="eastAsia" w:ascii="宋体" w:hAnsi="宋体"/>
          <w:szCs w:val="22"/>
        </w:rPr>
        <w:t>（12）商务标采用多轮报价，除开标唱标为公开报价方式外，后续多轮澄清报价均为非公开的方式，在重汽e采通进行提报。</w:t>
      </w:r>
    </w:p>
    <w:p w14:paraId="521288CA">
      <w:pPr>
        <w:spacing w:line="400" w:lineRule="exact"/>
        <w:ind w:firstLine="420" w:firstLineChars="200"/>
        <w:rPr>
          <w:rStyle w:val="39"/>
          <w:rFonts w:hint="eastAsia" w:ascii="宋体" w:hAnsi="宋体" w:cs="宋体"/>
          <w:b/>
          <w:bCs/>
          <w:color w:val="FF0000"/>
          <w:szCs w:val="21"/>
        </w:rPr>
      </w:pPr>
      <w:r>
        <w:rPr>
          <w:rStyle w:val="39"/>
          <w:rFonts w:hint="eastAsia" w:ascii="宋体" w:hAnsi="宋体"/>
          <w:szCs w:val="22"/>
          <w:u w:val="single"/>
        </w:rPr>
        <w:t>商务标开标后，投标单位需在第一轮报价时，将修正后的报价清单上传至重汽E采通，并与开标后第一轮报价金额一致。后续报价只上传每轮报价总金额，合同清单部分的价格结算时按照承包人开标修正后的已标价工程量清单价格乘下浮系数（商务标最后一轮澄清含税总报价/开标清标修正后的含税总报价）执行。单独澄清的清单项除外。</w:t>
      </w:r>
    </w:p>
    <w:p w14:paraId="702AB146">
      <w:pPr>
        <w:snapToGrid w:val="0"/>
        <w:spacing w:line="312" w:lineRule="auto"/>
        <w:ind w:firstLine="422" w:firstLineChars="200"/>
        <w:rPr>
          <w:rStyle w:val="39"/>
          <w:rFonts w:hint="eastAsia" w:ascii="宋体" w:hAnsi="宋体" w:cs="宋体"/>
          <w:b/>
          <w:bCs/>
          <w:color w:val="FF0000"/>
          <w:szCs w:val="21"/>
        </w:rPr>
      </w:pPr>
      <w:r>
        <w:rPr>
          <w:rStyle w:val="39"/>
          <w:rFonts w:hint="eastAsia" w:ascii="宋体" w:hAnsi="宋体" w:cs="宋体"/>
          <w:b/>
          <w:bCs/>
          <w:color w:val="FF0000"/>
          <w:szCs w:val="21"/>
        </w:rPr>
        <w:t>注意：</w:t>
      </w:r>
      <w:r>
        <w:rPr>
          <w:rStyle w:val="39"/>
          <w:rFonts w:hint="eastAsia" w:ascii="宋体" w:hAnsi="宋体" w:cs="宋体"/>
          <w:b/>
          <w:bCs/>
          <w:color w:val="FF0000"/>
          <w:szCs w:val="21"/>
          <w:em w:val="dot"/>
        </w:rPr>
        <w:t>在重汽e采通提供每一轮澄清报价均有时间限制，未能在规定时间内提交澄清函及报价的视为放弃本次投标</w:t>
      </w:r>
      <w:r>
        <w:rPr>
          <w:rStyle w:val="39"/>
          <w:rFonts w:hint="eastAsia" w:ascii="宋体" w:hAnsi="宋体" w:cs="宋体"/>
          <w:b/>
          <w:bCs/>
          <w:color w:val="FF0000"/>
          <w:szCs w:val="21"/>
        </w:rPr>
        <w:t>。</w:t>
      </w:r>
    </w:p>
    <w:p w14:paraId="74290910">
      <w:pPr>
        <w:spacing w:line="400" w:lineRule="exact"/>
        <w:ind w:firstLine="420" w:firstLineChars="200"/>
      </w:pPr>
      <w:r>
        <w:rPr>
          <w:rStyle w:val="39"/>
          <w:rFonts w:hint="eastAsia" w:ascii="宋体" w:hAnsi="宋体"/>
          <w:szCs w:val="22"/>
        </w:rPr>
        <w:t>（13）原则上按照评标合理最低价确定推荐中标人（不保证最低价格中标），对未中标单位不做任何解释。以上步骤全部结束后，本次招标过程全部结束。</w:t>
      </w:r>
    </w:p>
    <w:p w14:paraId="0323414B">
      <w:pPr>
        <w:spacing w:line="400" w:lineRule="exact"/>
        <w:ind w:firstLine="420" w:firstLineChars="200"/>
        <w:rPr>
          <w:rStyle w:val="39"/>
          <w:rFonts w:hint="eastAsia" w:ascii="宋体" w:hAnsi="宋体"/>
          <w:szCs w:val="22"/>
        </w:rPr>
      </w:pPr>
      <w:r>
        <w:rPr>
          <w:rStyle w:val="39"/>
          <w:rFonts w:hint="eastAsia" w:ascii="宋体" w:hAnsi="宋体"/>
          <w:szCs w:val="22"/>
        </w:rPr>
        <w:t>投标前请各投标方按照招标文件要求对项目方案进行充分准备，投标单位已默认认可上述开标、评标过程，无异议。招标人无义务对未入围投标方及未中标方做任何解释。</w:t>
      </w:r>
    </w:p>
    <w:p w14:paraId="4E2915A7">
      <w:pPr>
        <w:pStyle w:val="43"/>
        <w:spacing w:before="0" w:after="0"/>
        <w:rPr>
          <w:rStyle w:val="39"/>
          <w:rFonts w:hint="eastAsia" w:ascii="宋体" w:hAnsi="宋体"/>
          <w:sz w:val="24"/>
        </w:rPr>
      </w:pPr>
      <w:r>
        <w:rPr>
          <w:rStyle w:val="39"/>
          <w:rFonts w:hint="eastAsia" w:ascii="宋体" w:hAnsi="宋体"/>
          <w:sz w:val="24"/>
        </w:rPr>
        <w:t>5.3 评标原则</w:t>
      </w:r>
    </w:p>
    <w:p w14:paraId="574942A0">
      <w:pPr>
        <w:pStyle w:val="13"/>
        <w:adjustRightInd w:val="0"/>
        <w:snapToGrid w:val="0"/>
        <w:spacing w:before="72" w:after="50" w:line="312" w:lineRule="auto"/>
        <w:ind w:firstLine="422" w:firstLineChars="200"/>
        <w:rPr>
          <w:rFonts w:hint="eastAsia" w:ascii="宋体" w:hAnsi="宋体" w:eastAsia="宋体" w:cs="宋体"/>
          <w:sz w:val="21"/>
          <w:szCs w:val="21"/>
        </w:rPr>
      </w:pPr>
      <w:r>
        <w:rPr>
          <w:rStyle w:val="39"/>
          <w:rFonts w:hint="eastAsia" w:ascii="宋体" w:hAnsi="宋体" w:eastAsia="宋体" w:cs="宋体"/>
          <w:b/>
          <w:bCs/>
          <w:color w:val="FF0000"/>
          <w:sz w:val="21"/>
          <w:szCs w:val="21"/>
          <w:em w:val="dot"/>
        </w:rPr>
        <w:t>1.技术标根据评分办法进行打分，技术标评标小组推荐至少3家技术得分70分以上的投标人进入商务标。</w:t>
      </w:r>
      <w:r>
        <w:rPr>
          <w:rFonts w:hint="eastAsia" w:ascii="宋体" w:hAnsi="宋体" w:eastAsia="宋体" w:cs="宋体"/>
          <w:sz w:val="21"/>
          <w:szCs w:val="21"/>
        </w:rPr>
        <w:t>技术入围投标人不足三家时，本次按废标处理，招标人有权根据招标采购管理流程重新组织招标。</w:t>
      </w:r>
    </w:p>
    <w:p w14:paraId="1EBDEF80">
      <w:pPr>
        <w:pStyle w:val="13"/>
        <w:adjustRightInd w:val="0"/>
        <w:snapToGrid w:val="0"/>
        <w:spacing w:before="72" w:after="50" w:line="312" w:lineRule="auto"/>
        <w:ind w:firstLine="420" w:firstLineChars="200"/>
        <w:rPr>
          <w:rFonts w:hint="eastAsia" w:ascii="宋体" w:hAnsi="宋体" w:eastAsia="宋体" w:cs="宋体"/>
          <w:sz w:val="21"/>
          <w:szCs w:val="21"/>
        </w:rPr>
      </w:pPr>
      <w:r>
        <w:rPr>
          <w:rFonts w:hint="eastAsia" w:ascii="宋体" w:hAnsi="宋体" w:eastAsia="宋体" w:cs="宋体"/>
          <w:sz w:val="21"/>
          <w:szCs w:val="21"/>
        </w:rPr>
        <w:t>2.技术标完成后须统一入围供方技术标准水平、明确重要技术参数、同水平品牌（不得指定）。如因变更、完善技术配置，需更改商务报价，技术标专家组同入围供方统一确定商务标开标时间。</w:t>
      </w:r>
    </w:p>
    <w:p w14:paraId="74CE0C5F">
      <w:pPr>
        <w:pStyle w:val="13"/>
        <w:adjustRightInd w:val="0"/>
        <w:snapToGrid w:val="0"/>
        <w:spacing w:before="72" w:after="50" w:line="312" w:lineRule="auto"/>
        <w:ind w:firstLine="420" w:firstLineChars="200"/>
        <w:rPr>
          <w:rFonts w:hint="eastAsia" w:ascii="宋体" w:hAnsi="宋体" w:eastAsia="宋体" w:cs="宋体"/>
          <w:strike/>
          <w:sz w:val="21"/>
          <w:szCs w:val="21"/>
        </w:rPr>
      </w:pPr>
      <w:r>
        <w:rPr>
          <w:rFonts w:hint="eastAsia" w:ascii="宋体" w:hAnsi="宋体" w:eastAsia="宋体" w:cs="宋体"/>
          <w:sz w:val="21"/>
          <w:szCs w:val="21"/>
        </w:rPr>
        <w:t>3.商务标专家组与技术入围的有效投标人在其开标报价及清标修正总价的基础上开展至少3轮商务竞价，确定推荐中标人。原则上按照评标合理最低价确定推荐中标人，但是明显低于成本的除外。</w:t>
      </w:r>
    </w:p>
    <w:p w14:paraId="314BAD91">
      <w:pPr>
        <w:pStyle w:val="2"/>
        <w:ind w:left="420" w:firstLine="420"/>
      </w:pPr>
    </w:p>
    <w:p w14:paraId="0FC3DEBB">
      <w:pPr>
        <w:pStyle w:val="7"/>
        <w:spacing w:before="0" w:after="0"/>
        <w:jc w:val="center"/>
        <w:rPr>
          <w:sz w:val="30"/>
          <w:szCs w:val="30"/>
        </w:rPr>
      </w:pPr>
      <w:bookmarkStart w:id="62" w:name="_Toc23817"/>
      <w:bookmarkStart w:id="63" w:name="_Toc25625"/>
      <w:r>
        <w:rPr>
          <w:sz w:val="30"/>
          <w:szCs w:val="30"/>
        </w:rPr>
        <w:t>6. 评标</w:t>
      </w:r>
      <w:bookmarkEnd w:id="59"/>
      <w:bookmarkEnd w:id="60"/>
      <w:bookmarkEnd w:id="61"/>
      <w:bookmarkEnd w:id="62"/>
      <w:bookmarkEnd w:id="63"/>
    </w:p>
    <w:p w14:paraId="63471E0E">
      <w:pPr>
        <w:pStyle w:val="43"/>
        <w:spacing w:before="0" w:after="0"/>
        <w:rPr>
          <w:rStyle w:val="39"/>
          <w:rFonts w:hint="eastAsia" w:ascii="宋体" w:hAnsi="宋体"/>
          <w:sz w:val="24"/>
        </w:rPr>
      </w:pPr>
      <w:r>
        <w:rPr>
          <w:rStyle w:val="39"/>
          <w:rFonts w:ascii="宋体" w:hAnsi="宋体"/>
          <w:sz w:val="24"/>
        </w:rPr>
        <w:t>6.1 评标委员会</w:t>
      </w:r>
    </w:p>
    <w:p w14:paraId="66C2EACC">
      <w:pPr>
        <w:spacing w:line="360" w:lineRule="auto"/>
        <w:ind w:firstLine="420" w:firstLineChars="200"/>
        <w:rPr>
          <w:rStyle w:val="39"/>
          <w:rFonts w:hint="eastAsia" w:ascii="宋体" w:hAnsi="宋体"/>
        </w:rPr>
      </w:pPr>
      <w:r>
        <w:rPr>
          <w:rStyle w:val="39"/>
          <w:rFonts w:ascii="宋体" w:hAnsi="宋体"/>
        </w:rPr>
        <w:t>6.1.1 评标由招标人依法组建的评标委员会负责。评标委员会由招标人或其委托的招标代理机构熟悉相关业务的代表，以及有关技术、经济等方面的专家组成。评标委员会成员人数以及技术、经济等方面专家的确定方式见投标人须知前附表。</w:t>
      </w:r>
    </w:p>
    <w:p w14:paraId="20139C6F">
      <w:pPr>
        <w:spacing w:line="360" w:lineRule="auto"/>
        <w:ind w:firstLine="420" w:firstLineChars="200"/>
        <w:rPr>
          <w:rStyle w:val="39"/>
          <w:rFonts w:hint="eastAsia" w:ascii="宋体" w:hAnsi="宋体"/>
        </w:rPr>
      </w:pPr>
      <w:r>
        <w:rPr>
          <w:rStyle w:val="39"/>
          <w:rFonts w:ascii="宋体" w:hAnsi="宋体"/>
        </w:rPr>
        <w:t>6.1.2 评标委员会成员有下列情形之一的，应当回避：</w:t>
      </w:r>
    </w:p>
    <w:p w14:paraId="78D395F3">
      <w:pPr>
        <w:spacing w:line="360" w:lineRule="auto"/>
        <w:ind w:firstLine="718" w:firstLineChars="342"/>
        <w:rPr>
          <w:rStyle w:val="39"/>
          <w:rFonts w:hint="eastAsia" w:ascii="宋体" w:hAnsi="宋体"/>
        </w:rPr>
      </w:pPr>
      <w:r>
        <w:rPr>
          <w:rStyle w:val="39"/>
          <w:rFonts w:ascii="宋体" w:hAnsi="宋体"/>
        </w:rPr>
        <w:t>（1）招标人或投标人的主要负责人的近亲属；</w:t>
      </w:r>
    </w:p>
    <w:p w14:paraId="219210CA">
      <w:pPr>
        <w:spacing w:line="360" w:lineRule="auto"/>
        <w:ind w:firstLine="718" w:firstLineChars="342"/>
        <w:rPr>
          <w:rStyle w:val="39"/>
          <w:rFonts w:hint="eastAsia" w:ascii="宋体" w:hAnsi="宋体"/>
        </w:rPr>
      </w:pPr>
      <w:r>
        <w:rPr>
          <w:rStyle w:val="39"/>
          <w:rFonts w:ascii="宋体" w:hAnsi="宋体"/>
        </w:rPr>
        <w:t>（2）项目主管部门或者行政监督部门的人员；</w:t>
      </w:r>
    </w:p>
    <w:p w14:paraId="3819C87D">
      <w:pPr>
        <w:spacing w:line="360" w:lineRule="auto"/>
        <w:ind w:firstLine="718" w:firstLineChars="342"/>
        <w:rPr>
          <w:rStyle w:val="39"/>
          <w:rFonts w:hint="eastAsia" w:ascii="宋体" w:hAnsi="宋体"/>
        </w:rPr>
      </w:pPr>
      <w:r>
        <w:rPr>
          <w:rStyle w:val="39"/>
          <w:rFonts w:ascii="宋体" w:hAnsi="宋体"/>
        </w:rPr>
        <w:t>（3）与投标人有经济利益关系，可能影响对投标公正评审的；</w:t>
      </w:r>
    </w:p>
    <w:p w14:paraId="247BE399">
      <w:pPr>
        <w:spacing w:line="360" w:lineRule="auto"/>
        <w:ind w:firstLine="718" w:firstLineChars="342"/>
        <w:rPr>
          <w:rStyle w:val="39"/>
          <w:rFonts w:hint="eastAsia" w:ascii="宋体" w:hAnsi="宋体"/>
        </w:rPr>
      </w:pPr>
      <w:r>
        <w:rPr>
          <w:rStyle w:val="39"/>
          <w:rFonts w:ascii="宋体" w:hAnsi="宋体"/>
        </w:rPr>
        <w:t>（4）曾因在招标、评标及其他与招标投标有关活动中从事违法行为而受过行政处罚或刑事处罚的。</w:t>
      </w:r>
    </w:p>
    <w:p w14:paraId="635B2B4C">
      <w:pPr>
        <w:pStyle w:val="43"/>
        <w:spacing w:before="0" w:after="0"/>
        <w:rPr>
          <w:rStyle w:val="39"/>
          <w:rFonts w:hint="eastAsia" w:ascii="宋体" w:hAnsi="宋体"/>
        </w:rPr>
      </w:pPr>
      <w:r>
        <w:rPr>
          <w:rStyle w:val="39"/>
          <w:rFonts w:ascii="宋体" w:hAnsi="宋体"/>
          <w:sz w:val="24"/>
        </w:rPr>
        <w:t>6.2 评标原则</w:t>
      </w:r>
      <w:r>
        <w:rPr>
          <w:rStyle w:val="39"/>
          <w:rFonts w:ascii="宋体" w:hAnsi="宋体"/>
        </w:rPr>
        <w:tab/>
      </w:r>
    </w:p>
    <w:p w14:paraId="64AB76F8">
      <w:pPr>
        <w:spacing w:line="360" w:lineRule="auto"/>
        <w:ind w:firstLine="420" w:firstLineChars="200"/>
        <w:rPr>
          <w:rStyle w:val="39"/>
          <w:rFonts w:hint="eastAsia" w:ascii="宋体" w:hAnsi="宋体"/>
        </w:rPr>
      </w:pPr>
      <w:r>
        <w:rPr>
          <w:rStyle w:val="39"/>
          <w:rFonts w:ascii="宋体" w:hAnsi="宋体"/>
        </w:rPr>
        <w:t>评标活动遵循公平、公正、科学和择优的原则。</w:t>
      </w:r>
    </w:p>
    <w:p w14:paraId="17D27C4D">
      <w:pPr>
        <w:pStyle w:val="43"/>
        <w:spacing w:before="0" w:after="0"/>
        <w:rPr>
          <w:rStyle w:val="39"/>
          <w:rFonts w:hint="eastAsia" w:ascii="宋体" w:hAnsi="宋体"/>
          <w:sz w:val="24"/>
        </w:rPr>
      </w:pPr>
      <w:r>
        <w:rPr>
          <w:rStyle w:val="39"/>
          <w:rFonts w:ascii="宋体" w:hAnsi="宋体"/>
          <w:sz w:val="24"/>
        </w:rPr>
        <w:t>6.3 评标</w:t>
      </w:r>
    </w:p>
    <w:p w14:paraId="4F151C66">
      <w:pPr>
        <w:spacing w:line="360" w:lineRule="auto"/>
        <w:ind w:firstLine="420" w:firstLineChars="200"/>
        <w:rPr>
          <w:rStyle w:val="39"/>
          <w:rFonts w:hint="eastAsia" w:ascii="宋体" w:hAnsi="宋体"/>
        </w:rPr>
      </w:pPr>
      <w:r>
        <w:rPr>
          <w:rStyle w:val="39"/>
          <w:rFonts w:ascii="宋体" w:hAnsi="宋体"/>
        </w:rPr>
        <w:t>评标委员会按照第三章“评标办法”规定的方法、评审因素、标准和程序对投标文件进行评审。第三章“评标办法”没有规定的方法、评审因素和标准，不作为评标依据。</w:t>
      </w:r>
    </w:p>
    <w:p w14:paraId="7D65BEED">
      <w:pPr>
        <w:pStyle w:val="7"/>
        <w:spacing w:before="0" w:after="0"/>
        <w:jc w:val="center"/>
        <w:rPr>
          <w:sz w:val="30"/>
          <w:szCs w:val="30"/>
        </w:rPr>
      </w:pPr>
      <w:bookmarkStart w:id="64" w:name="_Toc31317"/>
      <w:bookmarkStart w:id="65" w:name="_Toc19782"/>
      <w:bookmarkStart w:id="66" w:name="_Toc2637"/>
      <w:bookmarkStart w:id="67" w:name="_Toc17817329"/>
      <w:bookmarkStart w:id="68" w:name="_Toc16063899"/>
      <w:r>
        <w:rPr>
          <w:sz w:val="30"/>
          <w:szCs w:val="30"/>
        </w:rPr>
        <w:t>7. 合同授予</w:t>
      </w:r>
      <w:bookmarkEnd w:id="64"/>
      <w:bookmarkEnd w:id="65"/>
      <w:bookmarkEnd w:id="66"/>
      <w:bookmarkEnd w:id="67"/>
      <w:bookmarkEnd w:id="68"/>
    </w:p>
    <w:p w14:paraId="78F28524">
      <w:pPr>
        <w:pStyle w:val="43"/>
        <w:spacing w:before="0" w:after="0"/>
        <w:rPr>
          <w:rStyle w:val="39"/>
          <w:rFonts w:hint="eastAsia" w:ascii="宋体" w:hAnsi="宋体"/>
          <w:sz w:val="24"/>
        </w:rPr>
      </w:pPr>
      <w:r>
        <w:rPr>
          <w:rStyle w:val="39"/>
          <w:rFonts w:ascii="宋体" w:hAnsi="宋体"/>
          <w:sz w:val="24"/>
        </w:rPr>
        <w:t>7.1 定标方式</w:t>
      </w:r>
    </w:p>
    <w:p w14:paraId="5EB06914">
      <w:pPr>
        <w:spacing w:line="360" w:lineRule="auto"/>
        <w:ind w:firstLine="420" w:firstLineChars="200"/>
        <w:rPr>
          <w:rFonts w:hint="eastAsia" w:ascii="宋体" w:hAnsi="宋体"/>
        </w:rPr>
      </w:pPr>
      <w:r>
        <w:rPr>
          <w:rFonts w:hint="eastAsia" w:ascii="宋体" w:hAnsi="宋体"/>
        </w:rPr>
        <w:t>除投标人须知前附表规定评标委员会直接确定中标人外，招标人依据评标委员会提供的评标资料择优确定中标人，评标委员会推荐中标候选人的人数见投标人须知前附表。</w:t>
      </w:r>
    </w:p>
    <w:p w14:paraId="011F2E80">
      <w:pPr>
        <w:pStyle w:val="43"/>
        <w:spacing w:before="0" w:after="0"/>
        <w:rPr>
          <w:rStyle w:val="39"/>
          <w:rFonts w:hint="eastAsia" w:ascii="宋体" w:hAnsi="宋体"/>
          <w:sz w:val="24"/>
        </w:rPr>
      </w:pPr>
      <w:r>
        <w:rPr>
          <w:rStyle w:val="39"/>
          <w:rFonts w:ascii="宋体" w:hAnsi="宋体"/>
          <w:sz w:val="24"/>
        </w:rPr>
        <w:t>7.2 中标通知</w:t>
      </w:r>
    </w:p>
    <w:p w14:paraId="4F085536">
      <w:pPr>
        <w:spacing w:line="360" w:lineRule="auto"/>
        <w:ind w:firstLine="420" w:firstLineChars="200"/>
        <w:rPr>
          <w:rStyle w:val="39"/>
          <w:rFonts w:hint="eastAsia" w:ascii="宋体" w:hAnsi="宋体"/>
        </w:rPr>
      </w:pPr>
      <w:r>
        <w:rPr>
          <w:rStyle w:val="39"/>
          <w:rFonts w:ascii="宋体" w:hAnsi="宋体"/>
        </w:rPr>
        <w:t>在本章</w:t>
      </w:r>
      <w:r>
        <w:rPr>
          <w:rStyle w:val="29"/>
          <w:rFonts w:ascii="宋体" w:hAnsi="宋体"/>
          <w:color w:val="auto"/>
          <w:sz w:val="21"/>
        </w:rPr>
        <w:t>第3.3款</w:t>
      </w:r>
      <w:r>
        <w:rPr>
          <w:rStyle w:val="39"/>
          <w:rFonts w:ascii="宋体" w:hAnsi="宋体"/>
        </w:rPr>
        <w:t>规定的投标有效期内，招标人以书面形式向中标人发出中标通知书，同时将中标结果通知未中标的投标人。</w:t>
      </w:r>
      <w:r>
        <w:rPr>
          <w:rStyle w:val="39"/>
          <w:rFonts w:hint="eastAsia" w:ascii="宋体" w:hAnsi="宋体"/>
          <w:b/>
          <w:bCs/>
        </w:rPr>
        <w:t>中标通知包括但不限于电话、短信、微信、邮件等形式，拟中标单位应在收到中标通知后立即组织进场事宜，不得以未收到纸质中标通知书做为延期的条件拒绝招标人的进场要求。</w:t>
      </w:r>
    </w:p>
    <w:p w14:paraId="59E2AF7C">
      <w:pPr>
        <w:pStyle w:val="43"/>
        <w:spacing w:before="0" w:after="0"/>
        <w:rPr>
          <w:rStyle w:val="39"/>
          <w:rFonts w:hint="eastAsia" w:ascii="宋体" w:hAnsi="宋体"/>
          <w:sz w:val="24"/>
        </w:rPr>
      </w:pPr>
      <w:r>
        <w:rPr>
          <w:rStyle w:val="39"/>
          <w:rFonts w:ascii="宋体" w:hAnsi="宋体"/>
          <w:sz w:val="24"/>
        </w:rPr>
        <w:t>7.3 签订合同</w:t>
      </w:r>
    </w:p>
    <w:p w14:paraId="284FBC84">
      <w:pPr>
        <w:spacing w:line="360" w:lineRule="auto"/>
        <w:ind w:firstLine="420" w:firstLineChars="200"/>
        <w:rPr>
          <w:rStyle w:val="39"/>
          <w:rFonts w:hint="eastAsia" w:ascii="宋体" w:hAnsi="宋体"/>
        </w:rPr>
      </w:pPr>
      <w:r>
        <w:rPr>
          <w:rStyle w:val="39"/>
          <w:rFonts w:ascii="宋体" w:hAnsi="宋体"/>
        </w:rPr>
        <w:t xml:space="preserve">7.3.1招标人和中标人应当自中标通知书发出之日起30天内，根据招标文件和中标人的投标文件订立书面合同。中标人无正当理由拒签合同的，招标人取消其中标资格，其投标保证金不予退还；给招标人造成的损失超过投标保证金数额的，中标人还应当对超过部分予以赔偿。 </w:t>
      </w:r>
    </w:p>
    <w:p w14:paraId="530E960C">
      <w:pPr>
        <w:spacing w:line="360" w:lineRule="auto"/>
        <w:ind w:firstLine="420" w:firstLineChars="200"/>
        <w:rPr>
          <w:rStyle w:val="39"/>
          <w:rFonts w:hint="eastAsia" w:ascii="宋体" w:hAnsi="宋体"/>
        </w:rPr>
      </w:pPr>
      <w:r>
        <w:rPr>
          <w:rStyle w:val="39"/>
          <w:rFonts w:ascii="宋体" w:hAnsi="宋体"/>
        </w:rPr>
        <w:t xml:space="preserve">7.3.2发出中标通知书后，招标人无正当理由拒签合同的，招标人向中标人退还投标保证金；给中标人造成损失的，还应当赔偿损失。 </w:t>
      </w:r>
    </w:p>
    <w:p w14:paraId="614522A4">
      <w:pPr>
        <w:pStyle w:val="7"/>
        <w:spacing w:before="0" w:after="0"/>
        <w:jc w:val="center"/>
        <w:rPr>
          <w:sz w:val="30"/>
          <w:szCs w:val="30"/>
        </w:rPr>
      </w:pPr>
      <w:bookmarkStart w:id="69" w:name="_Toc7845"/>
      <w:bookmarkStart w:id="70" w:name="_Toc17817330"/>
      <w:bookmarkStart w:id="71" w:name="_Toc16063900"/>
      <w:bookmarkStart w:id="72" w:name="_Toc19379"/>
      <w:bookmarkStart w:id="73" w:name="_Toc12695"/>
      <w:r>
        <w:rPr>
          <w:sz w:val="30"/>
          <w:szCs w:val="30"/>
        </w:rPr>
        <w:t>8. 重新招标和不再招标</w:t>
      </w:r>
      <w:bookmarkEnd w:id="69"/>
      <w:bookmarkEnd w:id="70"/>
      <w:bookmarkEnd w:id="71"/>
      <w:bookmarkEnd w:id="72"/>
      <w:bookmarkEnd w:id="73"/>
    </w:p>
    <w:p w14:paraId="21153C4D">
      <w:pPr>
        <w:pStyle w:val="43"/>
        <w:spacing w:before="0" w:after="0"/>
        <w:rPr>
          <w:rStyle w:val="39"/>
          <w:rFonts w:hint="eastAsia" w:ascii="宋体" w:hAnsi="宋体"/>
          <w:sz w:val="24"/>
        </w:rPr>
      </w:pPr>
      <w:r>
        <w:rPr>
          <w:rStyle w:val="39"/>
          <w:rFonts w:ascii="宋体" w:hAnsi="宋体"/>
          <w:sz w:val="24"/>
        </w:rPr>
        <w:t>8.1 重新招标</w:t>
      </w:r>
    </w:p>
    <w:p w14:paraId="61DD5D1E">
      <w:pPr>
        <w:spacing w:line="360" w:lineRule="auto"/>
        <w:ind w:firstLine="420" w:firstLineChars="200"/>
        <w:rPr>
          <w:rStyle w:val="39"/>
          <w:rFonts w:hint="eastAsia" w:ascii="宋体" w:hAnsi="宋体"/>
        </w:rPr>
      </w:pPr>
      <w:r>
        <w:rPr>
          <w:rStyle w:val="39"/>
          <w:rFonts w:ascii="宋体" w:hAnsi="宋体"/>
        </w:rPr>
        <w:t>有下列情形之一的，招标人将重新招标：</w:t>
      </w:r>
    </w:p>
    <w:p w14:paraId="17A40B70">
      <w:pPr>
        <w:spacing w:line="360" w:lineRule="auto"/>
        <w:ind w:firstLine="359" w:firstLineChars="171"/>
        <w:rPr>
          <w:rStyle w:val="39"/>
          <w:rFonts w:hint="eastAsia" w:ascii="宋体" w:hAnsi="宋体"/>
        </w:rPr>
      </w:pPr>
      <w:r>
        <w:rPr>
          <w:rStyle w:val="39"/>
          <w:rFonts w:ascii="宋体" w:hAnsi="宋体"/>
        </w:rPr>
        <w:t>（1）投标截止时间止，投标人少于3个的；</w:t>
      </w:r>
    </w:p>
    <w:p w14:paraId="5F25E5A3">
      <w:pPr>
        <w:spacing w:line="360" w:lineRule="auto"/>
        <w:ind w:firstLine="359" w:firstLineChars="171"/>
        <w:rPr>
          <w:rStyle w:val="39"/>
          <w:rFonts w:hint="eastAsia" w:ascii="宋体" w:hAnsi="宋体"/>
        </w:rPr>
      </w:pPr>
      <w:r>
        <w:rPr>
          <w:rStyle w:val="39"/>
          <w:rFonts w:ascii="宋体" w:hAnsi="宋体"/>
        </w:rPr>
        <w:t>（2）经评标委员会评审后否决所有投标的。</w:t>
      </w:r>
    </w:p>
    <w:p w14:paraId="7A24183A">
      <w:pPr>
        <w:pStyle w:val="43"/>
        <w:spacing w:before="0" w:after="0"/>
        <w:rPr>
          <w:rStyle w:val="39"/>
          <w:rFonts w:hint="eastAsia" w:ascii="宋体" w:hAnsi="宋体"/>
          <w:sz w:val="24"/>
        </w:rPr>
      </w:pPr>
      <w:r>
        <w:rPr>
          <w:rStyle w:val="39"/>
          <w:rFonts w:ascii="宋体" w:hAnsi="宋体"/>
          <w:sz w:val="24"/>
        </w:rPr>
        <w:t>8.2 不再招标</w:t>
      </w:r>
    </w:p>
    <w:p w14:paraId="2DBD20C2">
      <w:pPr>
        <w:spacing w:line="360" w:lineRule="auto"/>
        <w:ind w:firstLine="420" w:firstLineChars="200"/>
        <w:rPr>
          <w:rStyle w:val="39"/>
          <w:rFonts w:hint="eastAsia" w:ascii="宋体" w:hAnsi="宋体"/>
        </w:rPr>
      </w:pPr>
      <w:r>
        <w:rPr>
          <w:rStyle w:val="39"/>
          <w:rFonts w:ascii="宋体" w:hAnsi="宋体"/>
        </w:rPr>
        <w:t>重新招标后投标人仍少于3个或者所有投标被否决的，属于必须审批或核准的工程建设项目，经原审批或核准部门批准后不再进行招标。</w:t>
      </w:r>
    </w:p>
    <w:p w14:paraId="0BC40E1F">
      <w:pPr>
        <w:pStyle w:val="7"/>
        <w:spacing w:before="0" w:after="0"/>
        <w:jc w:val="center"/>
        <w:rPr>
          <w:sz w:val="30"/>
          <w:szCs w:val="30"/>
        </w:rPr>
      </w:pPr>
      <w:bookmarkStart w:id="74" w:name="_Toc7223"/>
      <w:bookmarkStart w:id="75" w:name="_Toc21395"/>
      <w:bookmarkStart w:id="76" w:name="_Toc830"/>
      <w:bookmarkStart w:id="77" w:name="_Toc16063901"/>
      <w:bookmarkStart w:id="78" w:name="_Toc17817331"/>
      <w:r>
        <w:rPr>
          <w:sz w:val="30"/>
          <w:szCs w:val="30"/>
        </w:rPr>
        <w:t>9. 纪律和监督</w:t>
      </w:r>
      <w:bookmarkEnd w:id="74"/>
      <w:bookmarkEnd w:id="75"/>
      <w:bookmarkEnd w:id="76"/>
      <w:bookmarkEnd w:id="77"/>
      <w:bookmarkEnd w:id="78"/>
    </w:p>
    <w:p w14:paraId="1777E372">
      <w:pPr>
        <w:pStyle w:val="43"/>
        <w:spacing w:before="0" w:after="0"/>
        <w:rPr>
          <w:rStyle w:val="39"/>
          <w:rFonts w:hint="eastAsia" w:ascii="宋体" w:hAnsi="宋体"/>
          <w:sz w:val="24"/>
        </w:rPr>
      </w:pPr>
      <w:r>
        <w:rPr>
          <w:rStyle w:val="39"/>
          <w:rFonts w:ascii="宋体" w:hAnsi="宋体"/>
          <w:sz w:val="24"/>
        </w:rPr>
        <w:t>9.1 对招标人的纪律要求</w:t>
      </w:r>
    </w:p>
    <w:p w14:paraId="6BADD426">
      <w:pPr>
        <w:spacing w:line="360" w:lineRule="auto"/>
        <w:ind w:firstLine="420" w:firstLineChars="200"/>
        <w:rPr>
          <w:rStyle w:val="39"/>
          <w:rFonts w:hint="eastAsia" w:ascii="宋体" w:hAnsi="宋体"/>
        </w:rPr>
      </w:pPr>
      <w:r>
        <w:rPr>
          <w:rStyle w:val="39"/>
          <w:rFonts w:ascii="宋体" w:hAnsi="宋体"/>
        </w:rPr>
        <w:t>招标人不得泄漏招标投标活动中应当保密的情况和资料，不得与投标人串通损害国家利益、社会公共利益或者他人合法权益。</w:t>
      </w:r>
    </w:p>
    <w:p w14:paraId="6888E70A">
      <w:pPr>
        <w:pStyle w:val="43"/>
        <w:spacing w:before="0" w:after="0"/>
        <w:rPr>
          <w:rStyle w:val="39"/>
          <w:rFonts w:hint="eastAsia" w:ascii="宋体" w:hAnsi="宋体"/>
          <w:sz w:val="24"/>
        </w:rPr>
      </w:pPr>
      <w:r>
        <w:rPr>
          <w:rStyle w:val="39"/>
          <w:rFonts w:ascii="宋体" w:hAnsi="宋体"/>
          <w:sz w:val="24"/>
        </w:rPr>
        <w:t>9.2 对投标人的纪律要求</w:t>
      </w:r>
    </w:p>
    <w:p w14:paraId="6336D232">
      <w:pPr>
        <w:spacing w:line="360" w:lineRule="auto"/>
        <w:ind w:firstLine="420" w:firstLineChars="200"/>
        <w:rPr>
          <w:rStyle w:val="39"/>
          <w:rFonts w:hint="eastAsia" w:ascii="宋体" w:hAnsi="宋体"/>
        </w:rPr>
      </w:pPr>
      <w:r>
        <w:rPr>
          <w:rStyle w:val="39"/>
          <w:rFonts w:ascii="宋体" w:hAnsi="宋体"/>
        </w:rPr>
        <w:t>投标人不得相互串通投标或者与招标人串通投标，不得向招标人或者评标委员会成员行贿谋取中标，不得以他人名义投标或者以其他方式弄虚作假骗取中标；投标人不得以任何方式干扰、影响评标工作。</w:t>
      </w:r>
    </w:p>
    <w:p w14:paraId="6341FC7C">
      <w:pPr>
        <w:pStyle w:val="43"/>
        <w:spacing w:before="0" w:after="0"/>
        <w:rPr>
          <w:rStyle w:val="39"/>
          <w:rFonts w:hint="eastAsia" w:ascii="宋体" w:hAnsi="宋体"/>
          <w:sz w:val="24"/>
        </w:rPr>
      </w:pPr>
      <w:r>
        <w:rPr>
          <w:rStyle w:val="39"/>
          <w:rFonts w:ascii="宋体" w:hAnsi="宋体"/>
          <w:sz w:val="24"/>
        </w:rPr>
        <w:t>9.3 对评标委员会成员的纪律要求</w:t>
      </w:r>
    </w:p>
    <w:p w14:paraId="262B62F5">
      <w:pPr>
        <w:spacing w:line="360" w:lineRule="auto"/>
        <w:ind w:firstLine="420" w:firstLineChars="200"/>
        <w:rPr>
          <w:rStyle w:val="39"/>
          <w:rFonts w:hint="eastAsia" w:ascii="宋体" w:hAnsi="宋体"/>
        </w:rPr>
      </w:pPr>
      <w:r>
        <w:rPr>
          <w:rStyle w:val="39"/>
          <w:rFonts w:ascii="宋体" w:hAnsi="宋体"/>
        </w:rPr>
        <w:t>评标委员会成员不得收受他人的财物或者其他好处，不得向他人透漏对投标文件的评审和比较、中标候选人的推荐情况以及评标有关的其他情况。在评标活动中，评标委员会成员不得擅离职守，影响评标程序正常进行，不得使用第三章“评标办法”没有规定的评审因素和标准进行评标。</w:t>
      </w:r>
    </w:p>
    <w:p w14:paraId="0D07AF53">
      <w:pPr>
        <w:pStyle w:val="43"/>
        <w:spacing w:before="0" w:after="0"/>
        <w:rPr>
          <w:rStyle w:val="39"/>
          <w:rFonts w:hint="eastAsia" w:ascii="宋体" w:hAnsi="宋体"/>
          <w:sz w:val="24"/>
        </w:rPr>
      </w:pPr>
      <w:r>
        <w:rPr>
          <w:rStyle w:val="39"/>
          <w:rFonts w:ascii="宋体" w:hAnsi="宋体"/>
          <w:sz w:val="24"/>
        </w:rPr>
        <w:t>9.4 对与评标活动有关的工作人员的纪律要求</w:t>
      </w:r>
    </w:p>
    <w:p w14:paraId="0C4D3E46">
      <w:pPr>
        <w:spacing w:line="360" w:lineRule="auto"/>
        <w:ind w:firstLine="420" w:firstLineChars="200"/>
        <w:rPr>
          <w:rStyle w:val="39"/>
          <w:rFonts w:hint="eastAsia" w:ascii="宋体" w:hAnsi="宋体"/>
        </w:rPr>
      </w:pPr>
      <w:r>
        <w:rPr>
          <w:rStyle w:val="39"/>
          <w:rFonts w:ascii="宋体" w:hAnsi="宋体"/>
        </w:rPr>
        <w:t>与评标活动有关的工作人员不得收受他人的财物或者其他好处，不得向他人透漏对投标文件的评审和比较、中标候选人的推荐情况以及评标有关的其他情况。在评标活动中，与评标活动有关的工作人员不得擅离职守，影响评标程序正常进行。</w:t>
      </w:r>
    </w:p>
    <w:p w14:paraId="0207B333">
      <w:pPr>
        <w:pStyle w:val="43"/>
        <w:spacing w:before="0" w:after="0"/>
        <w:rPr>
          <w:rStyle w:val="39"/>
          <w:rFonts w:hint="eastAsia" w:ascii="宋体" w:hAnsi="宋体"/>
          <w:sz w:val="24"/>
        </w:rPr>
      </w:pPr>
      <w:r>
        <w:rPr>
          <w:rStyle w:val="39"/>
          <w:rFonts w:ascii="宋体" w:hAnsi="宋体"/>
          <w:sz w:val="24"/>
        </w:rPr>
        <w:t>9.5 投诉</w:t>
      </w:r>
    </w:p>
    <w:p w14:paraId="72892DFD">
      <w:pPr>
        <w:spacing w:line="360" w:lineRule="auto"/>
        <w:ind w:firstLine="420" w:firstLineChars="200"/>
        <w:rPr>
          <w:rStyle w:val="39"/>
          <w:rFonts w:hint="eastAsia" w:ascii="宋体" w:hAnsi="宋体"/>
        </w:rPr>
      </w:pPr>
      <w:r>
        <w:rPr>
          <w:rStyle w:val="39"/>
          <w:rFonts w:ascii="宋体" w:hAnsi="宋体"/>
        </w:rPr>
        <w:t>投标人和其他利害关系人认为本次招标活动违反法律、法规和规章规定的，有权向有关行政监督部门投诉。</w:t>
      </w:r>
    </w:p>
    <w:p w14:paraId="212A86C7">
      <w:pPr>
        <w:spacing w:line="360" w:lineRule="auto"/>
        <w:ind w:firstLine="420" w:firstLineChars="200"/>
        <w:rPr>
          <w:rStyle w:val="39"/>
          <w:rFonts w:hint="eastAsia" w:ascii="宋体" w:hAnsi="宋体"/>
        </w:rPr>
      </w:pPr>
      <w:r>
        <w:rPr>
          <w:rStyle w:val="39"/>
          <w:rFonts w:ascii="宋体" w:hAnsi="宋体"/>
        </w:rPr>
        <w:t>9.5.1潜在投标人或其他利害关系人对招标文件有异议的，应当在投标截止时间10日前向招标人提出。</w:t>
      </w:r>
    </w:p>
    <w:p w14:paraId="2B2DD343">
      <w:pPr>
        <w:spacing w:line="360" w:lineRule="auto"/>
        <w:ind w:firstLine="420" w:firstLineChars="200"/>
        <w:rPr>
          <w:rStyle w:val="39"/>
          <w:rFonts w:hint="eastAsia" w:ascii="宋体" w:hAnsi="宋体"/>
        </w:rPr>
      </w:pPr>
      <w:r>
        <w:rPr>
          <w:rStyle w:val="39"/>
          <w:rFonts w:ascii="宋体" w:hAnsi="宋体"/>
        </w:rPr>
        <w:t>9.5.2投标人对开标有异议，应在开标现场向招标人提出。</w:t>
      </w:r>
    </w:p>
    <w:p w14:paraId="18795EDA">
      <w:pPr>
        <w:spacing w:line="360" w:lineRule="auto"/>
        <w:ind w:firstLine="420" w:firstLineChars="200"/>
        <w:rPr>
          <w:rStyle w:val="39"/>
          <w:rFonts w:hint="eastAsia" w:ascii="宋体" w:hAnsi="宋体"/>
        </w:rPr>
      </w:pPr>
      <w:r>
        <w:rPr>
          <w:rStyle w:val="39"/>
          <w:rFonts w:ascii="宋体" w:hAnsi="宋体"/>
        </w:rPr>
        <w:t>9.5.3投标人或者其他利害关系人对依法必须进行招标的项目的评标结果有异议的，应当在中标候选人公示期间向招标人提出。</w:t>
      </w:r>
    </w:p>
    <w:p w14:paraId="412414F8">
      <w:pPr>
        <w:spacing w:line="360" w:lineRule="auto"/>
        <w:ind w:firstLine="420" w:firstLineChars="200"/>
        <w:rPr>
          <w:rStyle w:val="39"/>
          <w:rFonts w:hint="eastAsia" w:ascii="宋体" w:hAnsi="宋体"/>
        </w:rPr>
      </w:pPr>
      <w:r>
        <w:rPr>
          <w:rStyle w:val="39"/>
          <w:rFonts w:ascii="宋体" w:hAnsi="宋体"/>
        </w:rPr>
        <w:t>投标人或者其他利害关系人认为招标投标活动不符合法律、行政法规规定的，可以自知道或者应当知道之日起10日内向有关行政监督部门投诉。投诉应当有明确的请求和必要的证明材料。就9.5.1、9.5.2、9.5.3规定事项投诉的，应当先向招标人提出异议。</w:t>
      </w:r>
    </w:p>
    <w:p w14:paraId="00F29A6C">
      <w:pPr>
        <w:pStyle w:val="7"/>
        <w:spacing w:before="0" w:after="0"/>
        <w:jc w:val="center"/>
        <w:rPr>
          <w:sz w:val="30"/>
          <w:szCs w:val="30"/>
        </w:rPr>
      </w:pPr>
      <w:bookmarkStart w:id="79" w:name="_Toc1695"/>
      <w:bookmarkStart w:id="80" w:name="_Toc44666935"/>
      <w:bookmarkStart w:id="81" w:name="_Toc14376"/>
      <w:bookmarkStart w:id="82" w:name="_Toc17817332"/>
      <w:bookmarkStart w:id="83" w:name="_Toc11499"/>
      <w:bookmarkStart w:id="84" w:name="_Toc16063902"/>
      <w:r>
        <w:rPr>
          <w:rFonts w:hint="eastAsia"/>
          <w:sz w:val="30"/>
          <w:szCs w:val="30"/>
        </w:rPr>
        <w:t>1</w:t>
      </w:r>
      <w:r>
        <w:rPr>
          <w:sz w:val="30"/>
          <w:szCs w:val="30"/>
        </w:rPr>
        <w:t>0.</w:t>
      </w:r>
      <w:r>
        <w:rPr>
          <w:rFonts w:hint="eastAsia"/>
          <w:sz w:val="30"/>
          <w:szCs w:val="30"/>
        </w:rPr>
        <w:t>中标人瑕疵滞后发现的处理原则</w:t>
      </w:r>
      <w:bookmarkEnd w:id="79"/>
      <w:bookmarkEnd w:id="80"/>
      <w:bookmarkEnd w:id="81"/>
    </w:p>
    <w:p w14:paraId="0A378E14">
      <w:pPr>
        <w:pStyle w:val="13"/>
        <w:spacing w:line="360" w:lineRule="auto"/>
        <w:ind w:firstLine="420" w:firstLineChars="200"/>
        <w:jc w:val="left"/>
        <w:rPr>
          <w:rStyle w:val="39"/>
          <w:rFonts w:hint="eastAsia" w:ascii="宋体" w:hAnsi="宋体" w:eastAsia="宋体"/>
          <w:sz w:val="21"/>
          <w:szCs w:val="24"/>
        </w:rPr>
      </w:pPr>
      <w:r>
        <w:rPr>
          <w:rStyle w:val="39"/>
          <w:rFonts w:hint="eastAsia" w:ascii="宋体" w:hAnsi="宋体" w:eastAsia="宋体"/>
          <w:sz w:val="21"/>
          <w:szCs w:val="24"/>
        </w:rPr>
        <w:t>无论基于何种原因，各项本应作为拒绝处理的情形即便未被及时发现而使该中标人通过了资格审核、初评、现场复审、终评或其他所有相关程序，包括已签订合同的情形，招标人有权拒绝或取消中标人资格，一旦中标人被拒绝或该中标人此前的评议结果被取消，相关的一切损失均由该中标人承担。</w:t>
      </w:r>
    </w:p>
    <w:p w14:paraId="5C7637E4">
      <w:pPr>
        <w:pStyle w:val="7"/>
        <w:spacing w:before="0" w:after="0"/>
        <w:jc w:val="center"/>
        <w:rPr>
          <w:sz w:val="30"/>
          <w:szCs w:val="30"/>
        </w:rPr>
      </w:pPr>
      <w:bookmarkStart w:id="85" w:name="_Toc23162"/>
      <w:bookmarkStart w:id="86" w:name="_Toc13692"/>
      <w:r>
        <w:rPr>
          <w:sz w:val="30"/>
          <w:szCs w:val="30"/>
        </w:rPr>
        <w:t>1</w:t>
      </w:r>
      <w:r>
        <w:rPr>
          <w:rFonts w:hint="eastAsia"/>
          <w:sz w:val="30"/>
          <w:szCs w:val="30"/>
        </w:rPr>
        <w:t>1</w:t>
      </w:r>
      <w:r>
        <w:rPr>
          <w:sz w:val="30"/>
          <w:szCs w:val="30"/>
        </w:rPr>
        <w:t>. 需要补充的其他内容</w:t>
      </w:r>
      <w:bookmarkEnd w:id="82"/>
      <w:bookmarkEnd w:id="83"/>
      <w:bookmarkEnd w:id="84"/>
      <w:bookmarkEnd w:id="85"/>
      <w:bookmarkEnd w:id="86"/>
    </w:p>
    <w:p w14:paraId="778537C7">
      <w:pPr>
        <w:spacing w:line="360" w:lineRule="auto"/>
        <w:ind w:firstLine="420" w:firstLineChars="200"/>
        <w:rPr>
          <w:rStyle w:val="39"/>
          <w:rFonts w:hint="eastAsia" w:ascii="宋体" w:hAnsi="宋体"/>
        </w:rPr>
      </w:pPr>
      <w:r>
        <w:rPr>
          <w:rStyle w:val="39"/>
          <w:rFonts w:ascii="宋体" w:hAnsi="宋体"/>
        </w:rPr>
        <w:t>需要补充的其他内容：见投标人须知前附表。</w:t>
      </w:r>
    </w:p>
    <w:p w14:paraId="793FF853">
      <w:pPr>
        <w:pStyle w:val="45"/>
        <w:spacing w:before="0" w:after="0"/>
        <w:jc w:val="center"/>
        <w:rPr>
          <w:rStyle w:val="39"/>
          <w:rFonts w:hint="eastAsia" w:ascii="宋体" w:hAnsi="宋体"/>
          <w:i w:val="0"/>
          <w:iCs w:val="0"/>
        </w:rPr>
      </w:pPr>
      <w:r>
        <w:rPr>
          <w:rStyle w:val="39"/>
          <w:rFonts w:ascii="宋体" w:hAnsi="宋体"/>
          <w:i w:val="0"/>
          <w:iCs w:val="0"/>
        </w:rPr>
        <w:br w:type="page"/>
      </w:r>
    </w:p>
    <w:p w14:paraId="5110749A">
      <w:pPr>
        <w:pStyle w:val="6"/>
        <w:jc w:val="center"/>
        <w:rPr>
          <w:i w:val="0"/>
          <w:iCs w:val="0"/>
          <w:sz w:val="32"/>
          <w:szCs w:val="32"/>
        </w:rPr>
      </w:pPr>
      <w:bookmarkStart w:id="87" w:name="_Toc13380"/>
      <w:bookmarkStart w:id="88" w:name="_Toc21903"/>
      <w:bookmarkStart w:id="89" w:name="_Toc17817333"/>
      <w:bookmarkStart w:id="90" w:name="_Toc31391"/>
      <w:bookmarkStart w:id="91" w:name="_Toc22620"/>
      <w:r>
        <w:rPr>
          <w:i w:val="0"/>
          <w:iCs w:val="0"/>
          <w:sz w:val="32"/>
          <w:szCs w:val="32"/>
        </w:rPr>
        <w:t>第三章 评标办法</w:t>
      </w:r>
      <w:bookmarkEnd w:id="87"/>
      <w:bookmarkEnd w:id="88"/>
      <w:bookmarkEnd w:id="89"/>
      <w:bookmarkEnd w:id="90"/>
      <w:bookmarkEnd w:id="91"/>
    </w:p>
    <w:p w14:paraId="127A6EDD">
      <w:pPr>
        <w:pStyle w:val="7"/>
        <w:spacing w:before="0" w:after="0"/>
        <w:jc w:val="center"/>
        <w:rPr>
          <w:sz w:val="30"/>
          <w:szCs w:val="30"/>
        </w:rPr>
      </w:pPr>
      <w:bookmarkStart w:id="92" w:name="_Toc6359"/>
      <w:bookmarkStart w:id="93" w:name="_Toc17817334"/>
      <w:bookmarkStart w:id="94" w:name="_Toc11653"/>
      <w:bookmarkStart w:id="95" w:name="_Toc4878"/>
      <w:bookmarkStart w:id="96" w:name="_Toc27348"/>
      <w:bookmarkStart w:id="97" w:name="_Toc13684"/>
      <w:bookmarkStart w:id="98" w:name="_Toc16063903"/>
      <w:bookmarkStart w:id="99" w:name="_Toc26585"/>
      <w:bookmarkStart w:id="100" w:name="_Toc13379"/>
      <w:r>
        <w:rPr>
          <w:sz w:val="30"/>
          <w:szCs w:val="30"/>
        </w:rPr>
        <w:t>一、评标办法前附表</w:t>
      </w:r>
      <w:bookmarkEnd w:id="92"/>
      <w:bookmarkEnd w:id="93"/>
      <w:bookmarkEnd w:id="94"/>
      <w:bookmarkEnd w:id="95"/>
      <w:bookmarkEnd w:id="96"/>
      <w:bookmarkEnd w:id="97"/>
      <w:bookmarkEnd w:id="98"/>
      <w:bookmarkEnd w:id="99"/>
      <w:bookmarkEnd w:id="100"/>
    </w:p>
    <w:tbl>
      <w:tblPr>
        <w:tblStyle w:val="25"/>
        <w:tblW w:w="988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16"/>
        <w:gridCol w:w="1315"/>
        <w:gridCol w:w="2518"/>
        <w:gridCol w:w="5240"/>
      </w:tblGrid>
      <w:tr w14:paraId="48D098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exac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36D654A9">
            <w:pPr>
              <w:jc w:val="center"/>
              <w:rPr>
                <w:rStyle w:val="39"/>
                <w:rFonts w:hint="eastAsia" w:ascii="宋体" w:hAnsi="宋体"/>
                <w:b/>
                <w:szCs w:val="21"/>
              </w:rPr>
            </w:pPr>
            <w:r>
              <w:rPr>
                <w:rStyle w:val="39"/>
                <w:rFonts w:ascii="宋体" w:hAnsi="宋体"/>
                <w:b/>
                <w:szCs w:val="21"/>
              </w:rPr>
              <w:t>条款号</w:t>
            </w:r>
          </w:p>
        </w:tc>
        <w:tc>
          <w:tcPr>
            <w:tcW w:w="2518" w:type="dxa"/>
            <w:tcBorders>
              <w:top w:val="single" w:color="000000" w:sz="4" w:space="0"/>
              <w:left w:val="single" w:color="000000" w:sz="4" w:space="0"/>
              <w:bottom w:val="single" w:color="000000" w:sz="4" w:space="0"/>
              <w:right w:val="single" w:color="000000" w:sz="4" w:space="0"/>
            </w:tcBorders>
            <w:vAlign w:val="center"/>
          </w:tcPr>
          <w:p w14:paraId="79203FCB">
            <w:pPr>
              <w:jc w:val="center"/>
              <w:rPr>
                <w:rStyle w:val="39"/>
                <w:rFonts w:hint="eastAsia" w:ascii="宋体" w:hAnsi="宋体"/>
                <w:b/>
                <w:szCs w:val="21"/>
              </w:rPr>
            </w:pPr>
            <w:r>
              <w:rPr>
                <w:rStyle w:val="39"/>
                <w:rFonts w:ascii="宋体" w:hAnsi="宋体"/>
                <w:b/>
                <w:szCs w:val="21"/>
              </w:rPr>
              <w:t>评审因素</w:t>
            </w:r>
          </w:p>
        </w:tc>
        <w:tc>
          <w:tcPr>
            <w:tcW w:w="5240" w:type="dxa"/>
            <w:tcBorders>
              <w:top w:val="single" w:color="000000" w:sz="4" w:space="0"/>
              <w:left w:val="single" w:color="000000" w:sz="4" w:space="0"/>
              <w:bottom w:val="single" w:color="000000" w:sz="4" w:space="0"/>
              <w:right w:val="single" w:color="000000" w:sz="4" w:space="0"/>
            </w:tcBorders>
            <w:vAlign w:val="center"/>
          </w:tcPr>
          <w:p w14:paraId="391D34E0">
            <w:pPr>
              <w:jc w:val="center"/>
              <w:rPr>
                <w:rStyle w:val="39"/>
                <w:rFonts w:hint="eastAsia" w:ascii="宋体" w:hAnsi="宋体"/>
                <w:b/>
                <w:szCs w:val="21"/>
              </w:rPr>
            </w:pPr>
            <w:r>
              <w:rPr>
                <w:rStyle w:val="39"/>
                <w:rFonts w:ascii="宋体" w:hAnsi="宋体"/>
                <w:b/>
                <w:szCs w:val="21"/>
              </w:rPr>
              <w:t>评审标准</w:t>
            </w:r>
          </w:p>
        </w:tc>
      </w:tr>
      <w:tr w14:paraId="73ECE5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36" w:hRule="atLeast"/>
        </w:trPr>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1C42E684">
            <w:pPr>
              <w:jc w:val="center"/>
              <w:rPr>
                <w:rStyle w:val="39"/>
                <w:rFonts w:hint="eastAsia" w:ascii="宋体" w:hAnsi="宋体"/>
                <w:szCs w:val="21"/>
              </w:rPr>
            </w:pPr>
            <w:r>
              <w:rPr>
                <w:rStyle w:val="39"/>
                <w:rFonts w:ascii="宋体" w:hAnsi="宋体"/>
                <w:szCs w:val="21"/>
              </w:rPr>
              <w:t>2.1.1</w:t>
            </w:r>
          </w:p>
        </w:tc>
        <w:tc>
          <w:tcPr>
            <w:tcW w:w="1315" w:type="dxa"/>
            <w:vMerge w:val="restart"/>
            <w:tcBorders>
              <w:top w:val="single" w:color="000000" w:sz="4" w:space="0"/>
              <w:left w:val="single" w:color="000000" w:sz="4" w:space="0"/>
              <w:bottom w:val="single" w:color="000000" w:sz="4" w:space="0"/>
              <w:right w:val="single" w:color="000000" w:sz="4" w:space="0"/>
            </w:tcBorders>
            <w:vAlign w:val="center"/>
          </w:tcPr>
          <w:p w14:paraId="51F1E9F2">
            <w:pPr>
              <w:jc w:val="center"/>
              <w:rPr>
                <w:rStyle w:val="39"/>
                <w:rFonts w:hint="eastAsia" w:ascii="宋体" w:hAnsi="宋体"/>
                <w:szCs w:val="21"/>
              </w:rPr>
            </w:pPr>
            <w:r>
              <w:rPr>
                <w:rStyle w:val="39"/>
                <w:rFonts w:ascii="宋体" w:hAnsi="宋体"/>
                <w:szCs w:val="21"/>
              </w:rPr>
              <w:t>形式评审</w:t>
            </w:r>
          </w:p>
          <w:p w14:paraId="10639FB2">
            <w:pPr>
              <w:jc w:val="center"/>
              <w:rPr>
                <w:rStyle w:val="39"/>
                <w:rFonts w:hint="eastAsia" w:ascii="宋体" w:hAnsi="宋体"/>
                <w:szCs w:val="21"/>
              </w:rPr>
            </w:pPr>
            <w:r>
              <w:rPr>
                <w:rStyle w:val="39"/>
                <w:rFonts w:ascii="宋体" w:hAnsi="宋体"/>
                <w:szCs w:val="21"/>
              </w:rPr>
              <w:t>标准</w:t>
            </w:r>
          </w:p>
        </w:tc>
        <w:tc>
          <w:tcPr>
            <w:tcW w:w="2518" w:type="dxa"/>
            <w:tcBorders>
              <w:top w:val="single" w:color="000000" w:sz="4" w:space="0"/>
              <w:left w:val="single" w:color="000000" w:sz="4" w:space="0"/>
              <w:bottom w:val="single" w:color="000000" w:sz="4" w:space="0"/>
              <w:right w:val="single" w:color="000000" w:sz="4" w:space="0"/>
            </w:tcBorders>
            <w:vAlign w:val="center"/>
          </w:tcPr>
          <w:p w14:paraId="467F5944">
            <w:pPr>
              <w:rPr>
                <w:rStyle w:val="39"/>
                <w:rFonts w:hint="eastAsia" w:ascii="宋体" w:hAnsi="宋体"/>
                <w:szCs w:val="21"/>
              </w:rPr>
            </w:pPr>
            <w:r>
              <w:rPr>
                <w:rStyle w:val="39"/>
                <w:rFonts w:ascii="宋体" w:hAnsi="宋体"/>
                <w:szCs w:val="21"/>
              </w:rPr>
              <w:t>投标人名称</w:t>
            </w:r>
          </w:p>
        </w:tc>
        <w:tc>
          <w:tcPr>
            <w:tcW w:w="5240" w:type="dxa"/>
            <w:tcBorders>
              <w:top w:val="single" w:color="000000" w:sz="4" w:space="0"/>
              <w:left w:val="single" w:color="000000" w:sz="4" w:space="0"/>
              <w:bottom w:val="single" w:color="000000" w:sz="4" w:space="0"/>
              <w:right w:val="single" w:color="000000" w:sz="4" w:space="0"/>
            </w:tcBorders>
            <w:vAlign w:val="center"/>
          </w:tcPr>
          <w:p w14:paraId="37B94E26">
            <w:pPr>
              <w:rPr>
                <w:rStyle w:val="39"/>
                <w:rFonts w:hint="eastAsia" w:ascii="宋体" w:hAnsi="宋体"/>
                <w:szCs w:val="21"/>
              </w:rPr>
            </w:pPr>
            <w:r>
              <w:rPr>
                <w:rStyle w:val="39"/>
                <w:rFonts w:ascii="宋体" w:hAnsi="宋体"/>
                <w:szCs w:val="21"/>
              </w:rPr>
              <w:t>与营业执照、资质证书</w:t>
            </w:r>
            <w:r>
              <w:rPr>
                <w:rStyle w:val="39"/>
                <w:rFonts w:hint="eastAsia" w:ascii="宋体" w:hAnsi="宋体"/>
                <w:szCs w:val="21"/>
              </w:rPr>
              <w:t>、安全生产许可证</w:t>
            </w:r>
            <w:r>
              <w:rPr>
                <w:rStyle w:val="39"/>
                <w:rFonts w:ascii="宋体" w:hAnsi="宋体"/>
                <w:szCs w:val="21"/>
              </w:rPr>
              <w:t>一致</w:t>
            </w:r>
          </w:p>
        </w:tc>
      </w:tr>
      <w:tr w14:paraId="29101E0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75022CA">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vAlign w:val="center"/>
          </w:tcPr>
          <w:p w14:paraId="00AE9F29">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62160A34">
            <w:pPr>
              <w:rPr>
                <w:rStyle w:val="39"/>
                <w:rFonts w:hint="eastAsia" w:ascii="宋体" w:hAnsi="宋体"/>
                <w:szCs w:val="21"/>
              </w:rPr>
            </w:pPr>
            <w:r>
              <w:rPr>
                <w:rStyle w:val="39"/>
                <w:rFonts w:ascii="宋体" w:hAnsi="宋体"/>
                <w:szCs w:val="21"/>
              </w:rPr>
              <w:t>投标函签字盖章</w:t>
            </w:r>
          </w:p>
        </w:tc>
        <w:tc>
          <w:tcPr>
            <w:tcW w:w="5240" w:type="dxa"/>
            <w:tcBorders>
              <w:top w:val="single" w:color="000000" w:sz="4" w:space="0"/>
              <w:left w:val="single" w:color="000000" w:sz="4" w:space="0"/>
              <w:bottom w:val="single" w:color="000000" w:sz="4" w:space="0"/>
              <w:right w:val="single" w:color="000000" w:sz="4" w:space="0"/>
            </w:tcBorders>
            <w:vAlign w:val="center"/>
          </w:tcPr>
          <w:p w14:paraId="78C15A33">
            <w:pPr>
              <w:rPr>
                <w:rStyle w:val="39"/>
                <w:rFonts w:hint="eastAsia" w:ascii="宋体" w:hAnsi="宋体"/>
                <w:szCs w:val="21"/>
              </w:rPr>
            </w:pPr>
            <w:r>
              <w:rPr>
                <w:rStyle w:val="39"/>
                <w:rFonts w:ascii="宋体" w:hAnsi="宋体"/>
                <w:szCs w:val="21"/>
              </w:rPr>
              <w:t>有法定代表人或其委托代理人签字或加盖单位公章</w:t>
            </w:r>
          </w:p>
        </w:tc>
      </w:tr>
      <w:tr w14:paraId="3BC53B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389"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0A20FBF9">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vAlign w:val="center"/>
          </w:tcPr>
          <w:p w14:paraId="26FA8A36">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7B34F1B5">
            <w:pPr>
              <w:rPr>
                <w:rStyle w:val="39"/>
                <w:rFonts w:hint="eastAsia" w:ascii="宋体" w:hAnsi="宋体"/>
                <w:szCs w:val="21"/>
              </w:rPr>
            </w:pPr>
            <w:r>
              <w:rPr>
                <w:rStyle w:val="39"/>
                <w:rFonts w:ascii="宋体" w:hAnsi="宋体"/>
                <w:szCs w:val="21"/>
              </w:rPr>
              <w:t>投标文件格式</w:t>
            </w:r>
          </w:p>
        </w:tc>
        <w:tc>
          <w:tcPr>
            <w:tcW w:w="5240" w:type="dxa"/>
            <w:tcBorders>
              <w:top w:val="single" w:color="000000" w:sz="4" w:space="0"/>
              <w:left w:val="single" w:color="000000" w:sz="4" w:space="0"/>
              <w:bottom w:val="single" w:color="000000" w:sz="4" w:space="0"/>
              <w:right w:val="single" w:color="000000" w:sz="4" w:space="0"/>
            </w:tcBorders>
            <w:vAlign w:val="center"/>
          </w:tcPr>
          <w:p w14:paraId="4EE49EC6">
            <w:pPr>
              <w:rPr>
                <w:rStyle w:val="39"/>
                <w:rFonts w:hint="eastAsia" w:ascii="宋体" w:hAnsi="宋体"/>
                <w:szCs w:val="21"/>
              </w:rPr>
            </w:pPr>
            <w:r>
              <w:rPr>
                <w:rStyle w:val="39"/>
                <w:rFonts w:ascii="宋体" w:hAnsi="宋体"/>
                <w:szCs w:val="21"/>
              </w:rPr>
              <w:t>符合</w:t>
            </w:r>
            <w:r>
              <w:rPr>
                <w:rStyle w:val="29"/>
                <w:rFonts w:ascii="宋体" w:hAnsi="宋体"/>
                <w:color w:val="auto"/>
                <w:sz w:val="21"/>
                <w:szCs w:val="21"/>
              </w:rPr>
              <w:t>第八章“投标文件格式”</w:t>
            </w:r>
            <w:r>
              <w:rPr>
                <w:rStyle w:val="39"/>
                <w:rFonts w:ascii="宋体" w:hAnsi="宋体"/>
                <w:szCs w:val="21"/>
              </w:rPr>
              <w:t>的要求</w:t>
            </w:r>
          </w:p>
        </w:tc>
      </w:tr>
      <w:tr w14:paraId="676B15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3C0AE536">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vAlign w:val="center"/>
          </w:tcPr>
          <w:p w14:paraId="19A8C000">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4ACC4FB4">
            <w:pPr>
              <w:rPr>
                <w:rStyle w:val="39"/>
                <w:rFonts w:hint="eastAsia" w:ascii="宋体" w:hAnsi="宋体"/>
                <w:szCs w:val="21"/>
              </w:rPr>
            </w:pPr>
            <w:r>
              <w:rPr>
                <w:rStyle w:val="39"/>
                <w:rFonts w:ascii="宋体" w:hAnsi="宋体"/>
                <w:szCs w:val="21"/>
              </w:rPr>
              <w:t>联合体投标人（如有）</w:t>
            </w:r>
          </w:p>
        </w:tc>
        <w:tc>
          <w:tcPr>
            <w:tcW w:w="5240" w:type="dxa"/>
            <w:tcBorders>
              <w:top w:val="single" w:color="000000" w:sz="4" w:space="0"/>
              <w:left w:val="single" w:color="000000" w:sz="4" w:space="0"/>
              <w:bottom w:val="single" w:color="000000" w:sz="4" w:space="0"/>
              <w:right w:val="single" w:color="000000" w:sz="4" w:space="0"/>
            </w:tcBorders>
            <w:vAlign w:val="center"/>
          </w:tcPr>
          <w:p w14:paraId="4080ADAC">
            <w:pPr>
              <w:rPr>
                <w:rStyle w:val="39"/>
                <w:rFonts w:hint="eastAsia" w:ascii="宋体" w:hAnsi="宋体"/>
                <w:szCs w:val="21"/>
              </w:rPr>
            </w:pPr>
            <w:r>
              <w:rPr>
                <w:rStyle w:val="39"/>
                <w:rFonts w:ascii="宋体" w:hAnsi="宋体"/>
                <w:szCs w:val="21"/>
              </w:rPr>
              <w:t>提交联合体协议书，并明确联合体牵头人</w:t>
            </w:r>
          </w:p>
        </w:tc>
      </w:tr>
      <w:tr w14:paraId="35D3A7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EFD25AC">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vAlign w:val="center"/>
          </w:tcPr>
          <w:p w14:paraId="164FE79F">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50F1E29D">
            <w:pPr>
              <w:rPr>
                <w:rStyle w:val="39"/>
                <w:rFonts w:hint="eastAsia" w:ascii="宋体" w:hAnsi="宋体"/>
                <w:szCs w:val="21"/>
              </w:rPr>
            </w:pPr>
            <w:r>
              <w:rPr>
                <w:rStyle w:val="39"/>
                <w:rFonts w:ascii="宋体" w:hAnsi="宋体"/>
                <w:szCs w:val="21"/>
              </w:rPr>
              <w:t>报价唯一</w:t>
            </w:r>
          </w:p>
        </w:tc>
        <w:tc>
          <w:tcPr>
            <w:tcW w:w="5240" w:type="dxa"/>
            <w:tcBorders>
              <w:top w:val="single" w:color="000000" w:sz="4" w:space="0"/>
              <w:left w:val="single" w:color="000000" w:sz="4" w:space="0"/>
              <w:bottom w:val="single" w:color="000000" w:sz="4" w:space="0"/>
              <w:right w:val="single" w:color="000000" w:sz="4" w:space="0"/>
            </w:tcBorders>
            <w:vAlign w:val="center"/>
          </w:tcPr>
          <w:p w14:paraId="2F167C58">
            <w:pPr>
              <w:rPr>
                <w:rStyle w:val="39"/>
                <w:rFonts w:hint="eastAsia" w:ascii="宋体" w:hAnsi="宋体"/>
                <w:szCs w:val="21"/>
              </w:rPr>
            </w:pPr>
            <w:r>
              <w:rPr>
                <w:rStyle w:val="39"/>
                <w:rFonts w:ascii="宋体" w:hAnsi="宋体"/>
                <w:szCs w:val="21"/>
              </w:rPr>
              <w:t>只能有一个有效报价</w:t>
            </w:r>
          </w:p>
        </w:tc>
      </w:tr>
      <w:tr w14:paraId="37F25C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713"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92954B4">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vAlign w:val="center"/>
          </w:tcPr>
          <w:p w14:paraId="7B4CF662">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5B4D6918">
            <w:pPr>
              <w:rPr>
                <w:rStyle w:val="39"/>
                <w:rFonts w:hint="eastAsia" w:ascii="宋体" w:hAnsi="宋体"/>
                <w:szCs w:val="21"/>
              </w:rPr>
            </w:pPr>
            <w:r>
              <w:rPr>
                <w:rStyle w:val="39"/>
                <w:rFonts w:ascii="宋体" w:hAnsi="宋体"/>
                <w:szCs w:val="21"/>
              </w:rPr>
              <w:t>投标报价盖章</w:t>
            </w:r>
          </w:p>
        </w:tc>
        <w:tc>
          <w:tcPr>
            <w:tcW w:w="5240" w:type="dxa"/>
            <w:tcBorders>
              <w:top w:val="single" w:color="000000" w:sz="4" w:space="0"/>
              <w:left w:val="single" w:color="000000" w:sz="4" w:space="0"/>
              <w:bottom w:val="single" w:color="000000" w:sz="4" w:space="0"/>
              <w:right w:val="single" w:color="000000" w:sz="4" w:space="0"/>
            </w:tcBorders>
            <w:vAlign w:val="center"/>
          </w:tcPr>
          <w:p w14:paraId="7E64BF0E">
            <w:pPr>
              <w:rPr>
                <w:rStyle w:val="39"/>
                <w:rFonts w:hint="eastAsia" w:ascii="宋体" w:hAnsi="宋体"/>
                <w:szCs w:val="21"/>
              </w:rPr>
            </w:pPr>
            <w:r>
              <w:rPr>
                <w:rStyle w:val="39"/>
                <w:rFonts w:ascii="宋体" w:hAnsi="宋体"/>
                <w:szCs w:val="21"/>
              </w:rPr>
              <w:t>投标人纸质工程量清单报价有工程造价专业人员签字并加盖专用章</w:t>
            </w:r>
          </w:p>
        </w:tc>
      </w:tr>
      <w:tr w14:paraId="206C77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77CD0D94">
            <w:pPr>
              <w:jc w:val="center"/>
              <w:rPr>
                <w:rStyle w:val="39"/>
                <w:rFonts w:hint="eastAsia" w:ascii="宋体" w:hAnsi="宋体"/>
                <w:szCs w:val="21"/>
              </w:rPr>
            </w:pPr>
            <w:r>
              <w:rPr>
                <w:rStyle w:val="39"/>
                <w:rFonts w:ascii="宋体" w:hAnsi="宋体"/>
                <w:szCs w:val="21"/>
              </w:rPr>
              <w:t>2.1.2</w:t>
            </w:r>
          </w:p>
        </w:tc>
        <w:tc>
          <w:tcPr>
            <w:tcW w:w="1315" w:type="dxa"/>
            <w:vMerge w:val="restart"/>
            <w:tcBorders>
              <w:top w:val="single" w:color="000000" w:sz="4" w:space="0"/>
              <w:left w:val="single" w:color="000000" w:sz="4" w:space="0"/>
              <w:bottom w:val="single" w:color="000000" w:sz="4" w:space="0"/>
              <w:right w:val="single" w:color="000000" w:sz="4" w:space="0"/>
            </w:tcBorders>
            <w:vAlign w:val="center"/>
          </w:tcPr>
          <w:p w14:paraId="369C1A44">
            <w:pPr>
              <w:jc w:val="center"/>
              <w:rPr>
                <w:rStyle w:val="39"/>
                <w:rFonts w:hint="eastAsia" w:ascii="宋体" w:hAnsi="宋体"/>
                <w:szCs w:val="21"/>
              </w:rPr>
            </w:pPr>
            <w:r>
              <w:rPr>
                <w:rStyle w:val="39"/>
                <w:rFonts w:ascii="宋体" w:hAnsi="宋体"/>
                <w:szCs w:val="21"/>
              </w:rPr>
              <w:t>资格评审</w:t>
            </w:r>
          </w:p>
          <w:p w14:paraId="79B32402">
            <w:pPr>
              <w:jc w:val="center"/>
              <w:rPr>
                <w:rStyle w:val="39"/>
                <w:rFonts w:hint="eastAsia" w:ascii="宋体" w:hAnsi="宋体"/>
                <w:szCs w:val="21"/>
              </w:rPr>
            </w:pPr>
            <w:r>
              <w:rPr>
                <w:rStyle w:val="39"/>
                <w:rFonts w:ascii="宋体" w:hAnsi="宋体"/>
                <w:szCs w:val="21"/>
              </w:rPr>
              <w:t>标准</w:t>
            </w:r>
          </w:p>
        </w:tc>
        <w:tc>
          <w:tcPr>
            <w:tcW w:w="2518" w:type="dxa"/>
            <w:tcBorders>
              <w:top w:val="single" w:color="000000" w:sz="4" w:space="0"/>
              <w:left w:val="single" w:color="000000" w:sz="4" w:space="0"/>
              <w:bottom w:val="single" w:color="000000" w:sz="4" w:space="0"/>
              <w:right w:val="single" w:color="000000" w:sz="4" w:space="0"/>
            </w:tcBorders>
            <w:vAlign w:val="center"/>
          </w:tcPr>
          <w:p w14:paraId="3177E614">
            <w:pPr>
              <w:rPr>
                <w:rStyle w:val="39"/>
                <w:rFonts w:hint="eastAsia" w:ascii="宋体" w:hAnsi="宋体"/>
                <w:szCs w:val="21"/>
              </w:rPr>
            </w:pPr>
            <w:r>
              <w:rPr>
                <w:rStyle w:val="39"/>
                <w:rFonts w:ascii="宋体" w:hAnsi="宋体"/>
                <w:szCs w:val="21"/>
              </w:rPr>
              <w:t>营业执照</w:t>
            </w:r>
          </w:p>
        </w:tc>
        <w:tc>
          <w:tcPr>
            <w:tcW w:w="5240" w:type="dxa"/>
            <w:tcBorders>
              <w:top w:val="single" w:color="000000" w:sz="4" w:space="0"/>
              <w:left w:val="single" w:color="000000" w:sz="4" w:space="0"/>
              <w:bottom w:val="single" w:color="000000" w:sz="4" w:space="0"/>
              <w:right w:val="single" w:color="000000" w:sz="4" w:space="0"/>
            </w:tcBorders>
            <w:vAlign w:val="center"/>
          </w:tcPr>
          <w:p w14:paraId="68CFCC00">
            <w:pPr>
              <w:rPr>
                <w:rStyle w:val="39"/>
                <w:rFonts w:hint="eastAsia" w:ascii="宋体" w:hAnsi="宋体"/>
                <w:szCs w:val="21"/>
              </w:rPr>
            </w:pPr>
            <w:r>
              <w:rPr>
                <w:rStyle w:val="39"/>
                <w:rFonts w:ascii="宋体" w:hAnsi="宋体"/>
                <w:szCs w:val="21"/>
              </w:rPr>
              <w:t>具备有效的营业执照</w:t>
            </w:r>
          </w:p>
        </w:tc>
      </w:tr>
      <w:tr w14:paraId="097340D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50"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38DA48F5">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0DC083D4">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189FD624">
            <w:pPr>
              <w:rPr>
                <w:rStyle w:val="39"/>
                <w:rFonts w:hint="eastAsia" w:ascii="宋体" w:hAnsi="宋体"/>
                <w:szCs w:val="21"/>
              </w:rPr>
            </w:pPr>
            <w:r>
              <w:rPr>
                <w:rStyle w:val="39"/>
                <w:rFonts w:ascii="宋体" w:hAnsi="宋体"/>
                <w:szCs w:val="21"/>
              </w:rPr>
              <w:t>资质等级</w:t>
            </w:r>
          </w:p>
        </w:tc>
        <w:tc>
          <w:tcPr>
            <w:tcW w:w="5240" w:type="dxa"/>
            <w:tcBorders>
              <w:top w:val="single" w:color="000000" w:sz="4" w:space="0"/>
              <w:left w:val="single" w:color="000000" w:sz="4" w:space="0"/>
              <w:bottom w:val="single" w:color="000000" w:sz="4" w:space="0"/>
              <w:right w:val="single" w:color="000000" w:sz="4" w:space="0"/>
            </w:tcBorders>
            <w:vAlign w:val="center"/>
          </w:tcPr>
          <w:p w14:paraId="66F330E4">
            <w:pPr>
              <w:rPr>
                <w:rStyle w:val="39"/>
                <w:rFonts w:hint="eastAsia" w:ascii="宋体" w:hAnsi="宋体"/>
                <w:szCs w:val="21"/>
              </w:rPr>
            </w:pPr>
            <w:r>
              <w:rPr>
                <w:rStyle w:val="39"/>
                <w:rFonts w:ascii="宋体" w:hAnsi="宋体"/>
                <w:szCs w:val="21"/>
              </w:rPr>
              <w:t>符合第二章“投标人须知”</w:t>
            </w:r>
            <w:r>
              <w:rPr>
                <w:rStyle w:val="29"/>
                <w:rFonts w:ascii="宋体" w:hAnsi="宋体"/>
                <w:color w:val="auto"/>
                <w:sz w:val="21"/>
                <w:szCs w:val="21"/>
              </w:rPr>
              <w:t>第1.4.1项</w:t>
            </w:r>
            <w:r>
              <w:rPr>
                <w:rStyle w:val="39"/>
                <w:rFonts w:ascii="宋体" w:hAnsi="宋体"/>
                <w:szCs w:val="21"/>
              </w:rPr>
              <w:t>规定</w:t>
            </w:r>
          </w:p>
        </w:tc>
      </w:tr>
      <w:tr w14:paraId="2DDB6E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161FE3F3">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444DB7D5">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72268DC5">
            <w:pPr>
              <w:rPr>
                <w:rStyle w:val="39"/>
                <w:rFonts w:hint="eastAsia" w:ascii="宋体" w:hAnsi="宋体"/>
                <w:szCs w:val="21"/>
              </w:rPr>
            </w:pPr>
            <w:r>
              <w:rPr>
                <w:rStyle w:val="39"/>
                <w:rFonts w:ascii="宋体" w:hAnsi="宋体"/>
                <w:szCs w:val="21"/>
              </w:rPr>
              <w:t>财务状况</w:t>
            </w:r>
          </w:p>
        </w:tc>
        <w:tc>
          <w:tcPr>
            <w:tcW w:w="5240" w:type="dxa"/>
            <w:tcBorders>
              <w:top w:val="single" w:color="000000" w:sz="4" w:space="0"/>
              <w:left w:val="single" w:color="000000" w:sz="4" w:space="0"/>
              <w:bottom w:val="single" w:color="000000" w:sz="4" w:space="0"/>
              <w:right w:val="single" w:color="000000" w:sz="4" w:space="0"/>
            </w:tcBorders>
            <w:vAlign w:val="center"/>
          </w:tcPr>
          <w:p w14:paraId="561988CE">
            <w:pPr>
              <w:rPr>
                <w:rStyle w:val="39"/>
                <w:rFonts w:hint="eastAsia" w:ascii="宋体" w:hAnsi="宋体"/>
                <w:szCs w:val="21"/>
              </w:rPr>
            </w:pPr>
            <w:r>
              <w:rPr>
                <w:rStyle w:val="39"/>
                <w:rFonts w:ascii="宋体" w:hAnsi="宋体"/>
                <w:szCs w:val="21"/>
              </w:rPr>
              <w:t>符合第二章“投标人须知”第1.4.1项规定</w:t>
            </w:r>
          </w:p>
        </w:tc>
      </w:tr>
      <w:tr w14:paraId="47714CA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7C275DA3">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3297CA71">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217503B1">
            <w:pPr>
              <w:rPr>
                <w:rStyle w:val="39"/>
                <w:rFonts w:hint="eastAsia" w:ascii="宋体" w:hAnsi="宋体"/>
                <w:szCs w:val="21"/>
              </w:rPr>
            </w:pPr>
            <w:r>
              <w:rPr>
                <w:rStyle w:val="39"/>
                <w:rFonts w:ascii="宋体" w:hAnsi="宋体"/>
                <w:szCs w:val="21"/>
              </w:rPr>
              <w:t>信誉</w:t>
            </w:r>
          </w:p>
        </w:tc>
        <w:tc>
          <w:tcPr>
            <w:tcW w:w="5240" w:type="dxa"/>
            <w:tcBorders>
              <w:top w:val="single" w:color="000000" w:sz="4" w:space="0"/>
              <w:left w:val="single" w:color="000000" w:sz="4" w:space="0"/>
              <w:bottom w:val="single" w:color="000000" w:sz="4" w:space="0"/>
              <w:right w:val="single" w:color="000000" w:sz="4" w:space="0"/>
            </w:tcBorders>
            <w:vAlign w:val="center"/>
          </w:tcPr>
          <w:p w14:paraId="0722C57F">
            <w:pPr>
              <w:rPr>
                <w:rStyle w:val="39"/>
                <w:rFonts w:hint="eastAsia" w:ascii="宋体" w:hAnsi="宋体"/>
                <w:szCs w:val="21"/>
              </w:rPr>
            </w:pPr>
            <w:r>
              <w:rPr>
                <w:rStyle w:val="39"/>
                <w:rFonts w:ascii="宋体" w:hAnsi="宋体"/>
                <w:szCs w:val="21"/>
              </w:rPr>
              <w:t>符合第二章“投标人须知”第1.4.1项规定</w:t>
            </w:r>
          </w:p>
        </w:tc>
      </w:tr>
      <w:tr w14:paraId="0014634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5603A571">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24324CC0">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4C98BF68">
            <w:pPr>
              <w:rPr>
                <w:rStyle w:val="39"/>
                <w:rFonts w:hint="eastAsia" w:ascii="宋体" w:hAnsi="宋体"/>
                <w:szCs w:val="21"/>
              </w:rPr>
            </w:pPr>
            <w:r>
              <w:rPr>
                <w:rStyle w:val="39"/>
                <w:rFonts w:ascii="宋体" w:hAnsi="宋体"/>
                <w:szCs w:val="21"/>
              </w:rPr>
              <w:t>项目经理</w:t>
            </w:r>
          </w:p>
        </w:tc>
        <w:tc>
          <w:tcPr>
            <w:tcW w:w="5240" w:type="dxa"/>
            <w:tcBorders>
              <w:top w:val="single" w:color="000000" w:sz="4" w:space="0"/>
              <w:left w:val="single" w:color="000000" w:sz="4" w:space="0"/>
              <w:bottom w:val="single" w:color="000000" w:sz="4" w:space="0"/>
              <w:right w:val="single" w:color="000000" w:sz="4" w:space="0"/>
            </w:tcBorders>
            <w:vAlign w:val="center"/>
          </w:tcPr>
          <w:p w14:paraId="158C61AB">
            <w:pPr>
              <w:rPr>
                <w:rStyle w:val="39"/>
                <w:rFonts w:hint="eastAsia" w:ascii="宋体" w:hAnsi="宋体"/>
                <w:szCs w:val="21"/>
              </w:rPr>
            </w:pPr>
            <w:r>
              <w:rPr>
                <w:rStyle w:val="39"/>
                <w:rFonts w:ascii="宋体" w:hAnsi="宋体"/>
                <w:szCs w:val="21"/>
              </w:rPr>
              <w:t>符合第二章“投标人须知”第1.4.1项规定</w:t>
            </w:r>
          </w:p>
        </w:tc>
      </w:tr>
      <w:tr w14:paraId="5A8A071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3EF1B5B2">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2DB142C5">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6EEB0692">
            <w:pPr>
              <w:rPr>
                <w:rStyle w:val="39"/>
                <w:rFonts w:hint="eastAsia" w:ascii="宋体" w:hAnsi="宋体"/>
                <w:szCs w:val="21"/>
              </w:rPr>
            </w:pPr>
            <w:r>
              <w:rPr>
                <w:rStyle w:val="39"/>
                <w:rFonts w:ascii="宋体" w:hAnsi="宋体"/>
                <w:szCs w:val="21"/>
              </w:rPr>
              <w:t>其他要求</w:t>
            </w:r>
          </w:p>
        </w:tc>
        <w:tc>
          <w:tcPr>
            <w:tcW w:w="5240" w:type="dxa"/>
            <w:tcBorders>
              <w:top w:val="single" w:color="000000" w:sz="4" w:space="0"/>
              <w:left w:val="single" w:color="000000" w:sz="4" w:space="0"/>
              <w:bottom w:val="single" w:color="000000" w:sz="4" w:space="0"/>
              <w:right w:val="single" w:color="000000" w:sz="4" w:space="0"/>
            </w:tcBorders>
            <w:vAlign w:val="center"/>
          </w:tcPr>
          <w:p w14:paraId="42B90F4C">
            <w:pPr>
              <w:rPr>
                <w:rStyle w:val="39"/>
                <w:rFonts w:hint="eastAsia" w:ascii="宋体" w:hAnsi="宋体"/>
                <w:szCs w:val="21"/>
              </w:rPr>
            </w:pPr>
            <w:r>
              <w:rPr>
                <w:rStyle w:val="39"/>
                <w:rFonts w:ascii="宋体" w:hAnsi="宋体"/>
                <w:szCs w:val="21"/>
              </w:rPr>
              <w:t>符合第二章“投标人须知”第1.4.1项规定</w:t>
            </w:r>
          </w:p>
        </w:tc>
      </w:tr>
      <w:tr w14:paraId="0383986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0E83B6D7">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098490CC">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3D9A13F6">
            <w:pPr>
              <w:rPr>
                <w:rStyle w:val="39"/>
                <w:rFonts w:hint="eastAsia" w:ascii="宋体" w:hAnsi="宋体"/>
                <w:szCs w:val="21"/>
              </w:rPr>
            </w:pPr>
            <w:r>
              <w:rPr>
                <w:rStyle w:val="39"/>
                <w:rFonts w:ascii="宋体" w:hAnsi="宋体"/>
                <w:szCs w:val="21"/>
              </w:rPr>
              <w:t>联合体投标人（</w:t>
            </w:r>
            <w:r>
              <w:rPr>
                <w:rStyle w:val="39"/>
                <w:rFonts w:ascii="宋体" w:hAnsi="宋体"/>
                <w:b/>
                <w:szCs w:val="21"/>
              </w:rPr>
              <w:t>如有</w:t>
            </w:r>
            <w:r>
              <w:rPr>
                <w:rStyle w:val="39"/>
                <w:rFonts w:ascii="宋体" w:hAnsi="宋体"/>
                <w:szCs w:val="21"/>
              </w:rPr>
              <w:t>）</w:t>
            </w:r>
          </w:p>
        </w:tc>
        <w:tc>
          <w:tcPr>
            <w:tcW w:w="5240" w:type="dxa"/>
            <w:tcBorders>
              <w:top w:val="single" w:color="000000" w:sz="4" w:space="0"/>
              <w:left w:val="single" w:color="000000" w:sz="4" w:space="0"/>
              <w:bottom w:val="single" w:color="000000" w:sz="4" w:space="0"/>
              <w:right w:val="single" w:color="000000" w:sz="4" w:space="0"/>
            </w:tcBorders>
            <w:vAlign w:val="center"/>
          </w:tcPr>
          <w:p w14:paraId="21BEDBA7">
            <w:pPr>
              <w:rPr>
                <w:rStyle w:val="39"/>
                <w:rFonts w:hint="eastAsia" w:ascii="宋体" w:hAnsi="宋体"/>
                <w:szCs w:val="21"/>
              </w:rPr>
            </w:pPr>
            <w:r>
              <w:rPr>
                <w:rStyle w:val="39"/>
                <w:rFonts w:ascii="宋体" w:hAnsi="宋体"/>
                <w:szCs w:val="21"/>
              </w:rPr>
              <w:t>符合第二章“投标人须知”第1.4.2项规定</w:t>
            </w:r>
          </w:p>
        </w:tc>
      </w:tr>
      <w:tr w14:paraId="394032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290"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2999DDB9">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16435421">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66B9BB16">
            <w:pPr>
              <w:rPr>
                <w:rStyle w:val="39"/>
                <w:rFonts w:hint="eastAsia" w:ascii="宋体" w:hAnsi="宋体"/>
                <w:szCs w:val="21"/>
              </w:rPr>
            </w:pPr>
            <w:r>
              <w:rPr>
                <w:rStyle w:val="39"/>
                <w:rFonts w:ascii="宋体" w:hAnsi="宋体"/>
                <w:szCs w:val="21"/>
              </w:rPr>
              <w:t>……</w:t>
            </w:r>
          </w:p>
        </w:tc>
        <w:tc>
          <w:tcPr>
            <w:tcW w:w="5240" w:type="dxa"/>
            <w:tcBorders>
              <w:top w:val="single" w:color="000000" w:sz="4" w:space="0"/>
              <w:left w:val="single" w:color="000000" w:sz="4" w:space="0"/>
              <w:bottom w:val="single" w:color="000000" w:sz="4" w:space="0"/>
              <w:right w:val="single" w:color="000000" w:sz="4" w:space="0"/>
            </w:tcBorders>
            <w:vAlign w:val="center"/>
          </w:tcPr>
          <w:p w14:paraId="4177D349">
            <w:pPr>
              <w:rPr>
                <w:rStyle w:val="39"/>
                <w:rFonts w:hint="eastAsia" w:ascii="宋体" w:hAnsi="宋体"/>
                <w:szCs w:val="21"/>
              </w:rPr>
            </w:pPr>
            <w:r>
              <w:rPr>
                <w:rStyle w:val="39"/>
                <w:rFonts w:ascii="宋体" w:hAnsi="宋体"/>
                <w:szCs w:val="21"/>
              </w:rPr>
              <w:t>……</w:t>
            </w:r>
          </w:p>
        </w:tc>
      </w:tr>
      <w:tr w14:paraId="2EC494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exact"/>
        </w:trPr>
        <w:tc>
          <w:tcPr>
            <w:tcW w:w="816" w:type="dxa"/>
            <w:vMerge w:val="continue"/>
            <w:tcBorders>
              <w:top w:val="single" w:color="000000" w:sz="4" w:space="0"/>
              <w:left w:val="single" w:color="000000" w:sz="4" w:space="0"/>
              <w:bottom w:val="single" w:color="000000" w:sz="4" w:space="0"/>
              <w:right w:val="single" w:color="000000" w:sz="4" w:space="0"/>
            </w:tcBorders>
            <w:vAlign w:val="center"/>
          </w:tcPr>
          <w:p w14:paraId="6235E4B8">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4C03D1F6">
            <w:pPr>
              <w:jc w:val="center"/>
              <w:rPr>
                <w:rStyle w:val="39"/>
                <w:rFonts w:hint="eastAsia" w:ascii="宋体" w:hAnsi="宋体"/>
                <w:szCs w:val="21"/>
              </w:rPr>
            </w:pPr>
          </w:p>
        </w:tc>
        <w:tc>
          <w:tcPr>
            <w:tcW w:w="7758" w:type="dxa"/>
            <w:gridSpan w:val="2"/>
            <w:tcBorders>
              <w:top w:val="single" w:color="000000" w:sz="4" w:space="0"/>
              <w:left w:val="single" w:color="000000" w:sz="4" w:space="0"/>
              <w:bottom w:val="single" w:color="000000" w:sz="4" w:space="0"/>
              <w:right w:val="single" w:color="000000" w:sz="4" w:space="0"/>
            </w:tcBorders>
            <w:vAlign w:val="center"/>
          </w:tcPr>
          <w:p w14:paraId="7B09DD1C">
            <w:pPr>
              <w:rPr>
                <w:rStyle w:val="39"/>
                <w:rFonts w:hint="eastAsia" w:ascii="宋体" w:hAnsi="宋体"/>
                <w:szCs w:val="21"/>
              </w:rPr>
            </w:pPr>
            <w:r>
              <w:rPr>
                <w:rStyle w:val="39"/>
                <w:rFonts w:ascii="宋体" w:hAnsi="宋体"/>
                <w:szCs w:val="21"/>
              </w:rPr>
              <w:t>编制要求详见</w:t>
            </w:r>
            <w:r>
              <w:rPr>
                <w:rStyle w:val="29"/>
                <w:rFonts w:ascii="宋体" w:hAnsi="宋体"/>
                <w:color w:val="auto"/>
                <w:sz w:val="21"/>
                <w:szCs w:val="21"/>
              </w:rPr>
              <w:t>第九章资格审查文件</w:t>
            </w:r>
          </w:p>
        </w:tc>
      </w:tr>
      <w:tr w14:paraId="36D3E36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10" w:hRule="exact"/>
        </w:trPr>
        <w:tc>
          <w:tcPr>
            <w:tcW w:w="816" w:type="dxa"/>
            <w:vMerge w:val="restart"/>
            <w:tcBorders>
              <w:top w:val="single" w:color="000000" w:sz="4" w:space="0"/>
              <w:left w:val="single" w:color="000000" w:sz="4" w:space="0"/>
              <w:bottom w:val="single" w:color="000000" w:sz="4" w:space="0"/>
              <w:right w:val="single" w:color="000000" w:sz="4" w:space="0"/>
            </w:tcBorders>
            <w:vAlign w:val="center"/>
          </w:tcPr>
          <w:p w14:paraId="357CCB84">
            <w:pPr>
              <w:jc w:val="center"/>
              <w:rPr>
                <w:rStyle w:val="39"/>
                <w:rFonts w:hint="eastAsia" w:ascii="宋体" w:hAnsi="宋体"/>
                <w:szCs w:val="21"/>
              </w:rPr>
            </w:pPr>
            <w:r>
              <w:rPr>
                <w:rStyle w:val="39"/>
                <w:rFonts w:ascii="宋体" w:hAnsi="宋体"/>
                <w:szCs w:val="21"/>
              </w:rPr>
              <w:t>2.1.3</w:t>
            </w:r>
          </w:p>
        </w:tc>
        <w:tc>
          <w:tcPr>
            <w:tcW w:w="1315" w:type="dxa"/>
            <w:vMerge w:val="restart"/>
            <w:tcBorders>
              <w:top w:val="single" w:color="000000" w:sz="4" w:space="0"/>
              <w:left w:val="single" w:color="000000" w:sz="4" w:space="0"/>
              <w:bottom w:val="single" w:color="000000" w:sz="4" w:space="0"/>
              <w:right w:val="single" w:color="000000" w:sz="4" w:space="0"/>
            </w:tcBorders>
            <w:vAlign w:val="center"/>
          </w:tcPr>
          <w:p w14:paraId="7E8DC21C">
            <w:pPr>
              <w:jc w:val="center"/>
              <w:rPr>
                <w:rStyle w:val="39"/>
                <w:rFonts w:hint="eastAsia" w:ascii="宋体" w:hAnsi="宋体"/>
                <w:szCs w:val="21"/>
              </w:rPr>
            </w:pPr>
            <w:r>
              <w:rPr>
                <w:rStyle w:val="39"/>
                <w:rFonts w:ascii="宋体" w:hAnsi="宋体"/>
                <w:szCs w:val="21"/>
              </w:rPr>
              <w:t>响应性评审标准</w:t>
            </w:r>
          </w:p>
        </w:tc>
        <w:tc>
          <w:tcPr>
            <w:tcW w:w="2518" w:type="dxa"/>
            <w:tcBorders>
              <w:top w:val="single" w:color="000000" w:sz="4" w:space="0"/>
              <w:left w:val="single" w:color="000000" w:sz="4" w:space="0"/>
              <w:bottom w:val="single" w:color="000000" w:sz="4" w:space="0"/>
              <w:right w:val="single" w:color="000000" w:sz="4" w:space="0"/>
            </w:tcBorders>
            <w:vAlign w:val="center"/>
          </w:tcPr>
          <w:p w14:paraId="287E58F7">
            <w:pPr>
              <w:rPr>
                <w:rStyle w:val="39"/>
                <w:rFonts w:hint="eastAsia" w:ascii="宋体" w:hAnsi="宋体"/>
                <w:szCs w:val="21"/>
              </w:rPr>
            </w:pPr>
            <w:r>
              <w:rPr>
                <w:rStyle w:val="39"/>
                <w:rFonts w:ascii="宋体" w:hAnsi="宋体"/>
                <w:szCs w:val="21"/>
              </w:rPr>
              <w:t>投标范围</w:t>
            </w:r>
          </w:p>
        </w:tc>
        <w:tc>
          <w:tcPr>
            <w:tcW w:w="5240" w:type="dxa"/>
            <w:tcBorders>
              <w:top w:val="single" w:color="000000" w:sz="4" w:space="0"/>
              <w:left w:val="single" w:color="000000" w:sz="4" w:space="0"/>
              <w:bottom w:val="single" w:color="000000" w:sz="4" w:space="0"/>
              <w:right w:val="single" w:color="000000" w:sz="4" w:space="0"/>
            </w:tcBorders>
            <w:vAlign w:val="center"/>
          </w:tcPr>
          <w:p w14:paraId="55F9628D">
            <w:pPr>
              <w:rPr>
                <w:rStyle w:val="39"/>
                <w:rFonts w:hint="eastAsia" w:ascii="宋体" w:hAnsi="宋体"/>
                <w:szCs w:val="21"/>
              </w:rPr>
            </w:pPr>
            <w:r>
              <w:rPr>
                <w:rStyle w:val="39"/>
                <w:rFonts w:ascii="宋体" w:hAnsi="宋体"/>
                <w:szCs w:val="21"/>
              </w:rPr>
              <w:t>符合第二章“投标人须知”</w:t>
            </w:r>
            <w:r>
              <w:rPr>
                <w:rStyle w:val="29"/>
                <w:rFonts w:ascii="宋体" w:hAnsi="宋体"/>
                <w:color w:val="auto"/>
                <w:sz w:val="21"/>
                <w:szCs w:val="21"/>
              </w:rPr>
              <w:t>第1.3.1项</w:t>
            </w:r>
            <w:r>
              <w:rPr>
                <w:rStyle w:val="39"/>
                <w:rFonts w:ascii="宋体" w:hAnsi="宋体"/>
                <w:szCs w:val="21"/>
              </w:rPr>
              <w:t>规定</w:t>
            </w:r>
          </w:p>
        </w:tc>
      </w:tr>
      <w:tr w14:paraId="1CFE35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10" w:hRule="exact"/>
        </w:trPr>
        <w:tc>
          <w:tcPr>
            <w:tcW w:w="816" w:type="dxa"/>
            <w:vMerge w:val="continue"/>
            <w:tcBorders>
              <w:top w:val="single" w:color="000000" w:sz="4" w:space="0"/>
              <w:left w:val="single" w:color="000000" w:sz="4" w:space="0"/>
              <w:bottom w:val="single" w:color="000000" w:sz="4" w:space="0"/>
              <w:right w:val="single" w:color="000000" w:sz="4" w:space="0"/>
            </w:tcBorders>
          </w:tcPr>
          <w:p w14:paraId="3E5BD0AA">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39026418">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6614F2DB">
            <w:pPr>
              <w:rPr>
                <w:rStyle w:val="39"/>
                <w:rFonts w:hint="eastAsia" w:ascii="宋体" w:hAnsi="宋体"/>
                <w:szCs w:val="21"/>
              </w:rPr>
            </w:pPr>
            <w:r>
              <w:rPr>
                <w:rStyle w:val="39"/>
                <w:rFonts w:ascii="宋体" w:hAnsi="宋体"/>
                <w:szCs w:val="21"/>
              </w:rPr>
              <w:t>工期</w:t>
            </w:r>
          </w:p>
        </w:tc>
        <w:tc>
          <w:tcPr>
            <w:tcW w:w="5240" w:type="dxa"/>
            <w:tcBorders>
              <w:top w:val="single" w:color="000000" w:sz="4" w:space="0"/>
              <w:left w:val="single" w:color="000000" w:sz="4" w:space="0"/>
              <w:bottom w:val="single" w:color="000000" w:sz="4" w:space="0"/>
              <w:right w:val="single" w:color="000000" w:sz="4" w:space="0"/>
            </w:tcBorders>
            <w:vAlign w:val="center"/>
          </w:tcPr>
          <w:p w14:paraId="3D1083D8">
            <w:pPr>
              <w:rPr>
                <w:rStyle w:val="39"/>
                <w:rFonts w:hint="eastAsia" w:ascii="宋体" w:hAnsi="宋体"/>
                <w:szCs w:val="21"/>
              </w:rPr>
            </w:pPr>
            <w:r>
              <w:rPr>
                <w:rStyle w:val="39"/>
                <w:rFonts w:ascii="宋体" w:hAnsi="宋体"/>
                <w:szCs w:val="21"/>
              </w:rPr>
              <w:t>符合第二章“投标人须知”</w:t>
            </w:r>
            <w:r>
              <w:rPr>
                <w:rStyle w:val="29"/>
                <w:rFonts w:ascii="宋体" w:hAnsi="宋体"/>
                <w:color w:val="auto"/>
                <w:sz w:val="21"/>
                <w:szCs w:val="21"/>
              </w:rPr>
              <w:t>第1.3.2项</w:t>
            </w:r>
            <w:r>
              <w:rPr>
                <w:rStyle w:val="39"/>
                <w:rFonts w:ascii="宋体" w:hAnsi="宋体"/>
                <w:szCs w:val="21"/>
              </w:rPr>
              <w:t>规定</w:t>
            </w:r>
          </w:p>
        </w:tc>
      </w:tr>
      <w:tr w14:paraId="4933D3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10" w:hRule="exact"/>
        </w:trPr>
        <w:tc>
          <w:tcPr>
            <w:tcW w:w="816" w:type="dxa"/>
            <w:vMerge w:val="continue"/>
            <w:tcBorders>
              <w:top w:val="single" w:color="000000" w:sz="4" w:space="0"/>
              <w:left w:val="single" w:color="000000" w:sz="4" w:space="0"/>
              <w:bottom w:val="single" w:color="000000" w:sz="4" w:space="0"/>
              <w:right w:val="single" w:color="000000" w:sz="4" w:space="0"/>
            </w:tcBorders>
          </w:tcPr>
          <w:p w14:paraId="3FA90633">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32859EA7">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6F917821">
            <w:pPr>
              <w:rPr>
                <w:rStyle w:val="39"/>
                <w:rFonts w:hint="eastAsia" w:ascii="宋体" w:hAnsi="宋体"/>
                <w:szCs w:val="21"/>
              </w:rPr>
            </w:pPr>
            <w:r>
              <w:rPr>
                <w:rStyle w:val="39"/>
                <w:rFonts w:ascii="宋体" w:hAnsi="宋体"/>
                <w:szCs w:val="21"/>
              </w:rPr>
              <w:t>工程质量</w:t>
            </w:r>
          </w:p>
        </w:tc>
        <w:tc>
          <w:tcPr>
            <w:tcW w:w="5240" w:type="dxa"/>
            <w:tcBorders>
              <w:top w:val="single" w:color="000000" w:sz="4" w:space="0"/>
              <w:left w:val="single" w:color="000000" w:sz="4" w:space="0"/>
              <w:bottom w:val="single" w:color="000000" w:sz="4" w:space="0"/>
              <w:right w:val="single" w:color="000000" w:sz="4" w:space="0"/>
            </w:tcBorders>
            <w:vAlign w:val="center"/>
          </w:tcPr>
          <w:p w14:paraId="45F816A0">
            <w:pPr>
              <w:rPr>
                <w:rStyle w:val="39"/>
                <w:rFonts w:hint="eastAsia" w:ascii="宋体" w:hAnsi="宋体"/>
                <w:szCs w:val="21"/>
              </w:rPr>
            </w:pPr>
            <w:r>
              <w:rPr>
                <w:rStyle w:val="39"/>
                <w:rFonts w:ascii="宋体" w:hAnsi="宋体"/>
                <w:szCs w:val="21"/>
              </w:rPr>
              <w:t>符合第二章“投标人须知”</w:t>
            </w:r>
            <w:r>
              <w:rPr>
                <w:rStyle w:val="29"/>
                <w:rFonts w:ascii="宋体" w:hAnsi="宋体"/>
                <w:color w:val="auto"/>
                <w:sz w:val="21"/>
                <w:szCs w:val="21"/>
              </w:rPr>
              <w:t>第1.3.3项</w:t>
            </w:r>
            <w:r>
              <w:rPr>
                <w:rStyle w:val="39"/>
                <w:rFonts w:ascii="宋体" w:hAnsi="宋体"/>
                <w:szCs w:val="21"/>
              </w:rPr>
              <w:t>规定</w:t>
            </w:r>
          </w:p>
        </w:tc>
      </w:tr>
      <w:tr w14:paraId="149411B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10" w:hRule="exact"/>
        </w:trPr>
        <w:tc>
          <w:tcPr>
            <w:tcW w:w="816" w:type="dxa"/>
            <w:vMerge w:val="continue"/>
            <w:tcBorders>
              <w:top w:val="single" w:color="000000" w:sz="4" w:space="0"/>
              <w:left w:val="single" w:color="000000" w:sz="4" w:space="0"/>
              <w:bottom w:val="single" w:color="000000" w:sz="4" w:space="0"/>
              <w:right w:val="single" w:color="000000" w:sz="4" w:space="0"/>
            </w:tcBorders>
          </w:tcPr>
          <w:p w14:paraId="419635FA">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0525F340">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31EEC9A7">
            <w:pPr>
              <w:rPr>
                <w:rStyle w:val="39"/>
                <w:rFonts w:hint="eastAsia" w:ascii="宋体" w:hAnsi="宋体"/>
                <w:szCs w:val="21"/>
              </w:rPr>
            </w:pPr>
            <w:r>
              <w:rPr>
                <w:rStyle w:val="39"/>
                <w:rFonts w:ascii="宋体" w:hAnsi="宋体"/>
                <w:szCs w:val="21"/>
              </w:rPr>
              <w:t>投标有效期</w:t>
            </w:r>
          </w:p>
        </w:tc>
        <w:tc>
          <w:tcPr>
            <w:tcW w:w="5240" w:type="dxa"/>
            <w:tcBorders>
              <w:top w:val="single" w:color="000000" w:sz="4" w:space="0"/>
              <w:left w:val="single" w:color="000000" w:sz="4" w:space="0"/>
              <w:bottom w:val="single" w:color="000000" w:sz="4" w:space="0"/>
              <w:right w:val="single" w:color="000000" w:sz="4" w:space="0"/>
            </w:tcBorders>
            <w:vAlign w:val="center"/>
          </w:tcPr>
          <w:p w14:paraId="0E3562D5">
            <w:pPr>
              <w:rPr>
                <w:rStyle w:val="39"/>
                <w:rFonts w:hint="eastAsia" w:ascii="宋体" w:hAnsi="宋体"/>
                <w:szCs w:val="21"/>
              </w:rPr>
            </w:pPr>
            <w:r>
              <w:rPr>
                <w:rStyle w:val="39"/>
                <w:rFonts w:ascii="宋体" w:hAnsi="宋体"/>
                <w:szCs w:val="21"/>
              </w:rPr>
              <w:t>符合第二章“投标人须知”</w:t>
            </w:r>
            <w:r>
              <w:rPr>
                <w:rStyle w:val="29"/>
                <w:rFonts w:ascii="宋体" w:hAnsi="宋体"/>
                <w:color w:val="auto"/>
                <w:sz w:val="21"/>
                <w:szCs w:val="21"/>
              </w:rPr>
              <w:t>第3.3.1项</w:t>
            </w:r>
            <w:r>
              <w:rPr>
                <w:rStyle w:val="39"/>
                <w:rFonts w:ascii="宋体" w:hAnsi="宋体"/>
                <w:szCs w:val="21"/>
              </w:rPr>
              <w:t>规定</w:t>
            </w:r>
          </w:p>
        </w:tc>
      </w:tr>
      <w:tr w14:paraId="5E0A53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10" w:hRule="exact"/>
        </w:trPr>
        <w:tc>
          <w:tcPr>
            <w:tcW w:w="816" w:type="dxa"/>
            <w:vMerge w:val="continue"/>
            <w:tcBorders>
              <w:top w:val="single" w:color="000000" w:sz="4" w:space="0"/>
              <w:left w:val="single" w:color="000000" w:sz="4" w:space="0"/>
              <w:bottom w:val="single" w:color="000000" w:sz="4" w:space="0"/>
              <w:right w:val="single" w:color="000000" w:sz="4" w:space="0"/>
            </w:tcBorders>
          </w:tcPr>
          <w:p w14:paraId="7E6A6C1D">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599008D7">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6A3BFAE1">
            <w:pPr>
              <w:rPr>
                <w:rStyle w:val="39"/>
                <w:rFonts w:hint="eastAsia" w:ascii="宋体" w:hAnsi="宋体"/>
                <w:szCs w:val="21"/>
              </w:rPr>
            </w:pPr>
            <w:r>
              <w:rPr>
                <w:rStyle w:val="39"/>
                <w:rFonts w:ascii="宋体" w:hAnsi="宋体"/>
                <w:szCs w:val="21"/>
              </w:rPr>
              <w:t>投标保证金</w:t>
            </w:r>
          </w:p>
        </w:tc>
        <w:tc>
          <w:tcPr>
            <w:tcW w:w="5240" w:type="dxa"/>
            <w:tcBorders>
              <w:top w:val="single" w:color="000000" w:sz="4" w:space="0"/>
              <w:left w:val="single" w:color="000000" w:sz="4" w:space="0"/>
              <w:bottom w:val="single" w:color="000000" w:sz="4" w:space="0"/>
              <w:right w:val="single" w:color="000000" w:sz="4" w:space="0"/>
            </w:tcBorders>
            <w:vAlign w:val="center"/>
          </w:tcPr>
          <w:p w14:paraId="37C10966">
            <w:pPr>
              <w:rPr>
                <w:rStyle w:val="39"/>
                <w:rFonts w:hint="eastAsia" w:ascii="宋体" w:hAnsi="宋体"/>
                <w:szCs w:val="21"/>
              </w:rPr>
            </w:pPr>
            <w:r>
              <w:rPr>
                <w:rStyle w:val="39"/>
                <w:rFonts w:ascii="宋体" w:hAnsi="宋体"/>
                <w:szCs w:val="21"/>
              </w:rPr>
              <w:t>符合第二章“投标人须知”</w:t>
            </w:r>
            <w:r>
              <w:rPr>
                <w:rStyle w:val="29"/>
                <w:rFonts w:ascii="宋体" w:hAnsi="宋体"/>
                <w:color w:val="auto"/>
                <w:sz w:val="21"/>
                <w:szCs w:val="21"/>
              </w:rPr>
              <w:t>第3.4.1项</w:t>
            </w:r>
            <w:r>
              <w:rPr>
                <w:rStyle w:val="39"/>
                <w:rFonts w:ascii="宋体" w:hAnsi="宋体"/>
                <w:szCs w:val="21"/>
              </w:rPr>
              <w:t>规定</w:t>
            </w:r>
          </w:p>
        </w:tc>
      </w:tr>
      <w:tr w14:paraId="0F58AB7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Pr>
        <w:tc>
          <w:tcPr>
            <w:tcW w:w="816" w:type="dxa"/>
            <w:vMerge w:val="continue"/>
            <w:tcBorders>
              <w:top w:val="single" w:color="000000" w:sz="4" w:space="0"/>
              <w:left w:val="single" w:color="000000" w:sz="4" w:space="0"/>
              <w:bottom w:val="single" w:color="000000" w:sz="4" w:space="0"/>
              <w:right w:val="single" w:color="000000" w:sz="4" w:space="0"/>
            </w:tcBorders>
          </w:tcPr>
          <w:p w14:paraId="4D17CC88">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1F5F8AC4">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1BB57C03">
            <w:pPr>
              <w:rPr>
                <w:rStyle w:val="39"/>
                <w:rFonts w:hint="eastAsia" w:ascii="宋体" w:hAnsi="宋体"/>
                <w:szCs w:val="21"/>
              </w:rPr>
            </w:pPr>
            <w:r>
              <w:rPr>
                <w:rStyle w:val="39"/>
                <w:rFonts w:ascii="宋体" w:hAnsi="宋体"/>
                <w:szCs w:val="21"/>
              </w:rPr>
              <w:t>权利义务</w:t>
            </w:r>
          </w:p>
        </w:tc>
        <w:tc>
          <w:tcPr>
            <w:tcW w:w="5240" w:type="dxa"/>
            <w:tcBorders>
              <w:top w:val="single" w:color="000000" w:sz="4" w:space="0"/>
              <w:left w:val="single" w:color="000000" w:sz="4" w:space="0"/>
              <w:bottom w:val="single" w:color="000000" w:sz="4" w:space="0"/>
              <w:right w:val="single" w:color="000000" w:sz="4" w:space="0"/>
            </w:tcBorders>
            <w:vAlign w:val="center"/>
          </w:tcPr>
          <w:p w14:paraId="2CFA1013">
            <w:pPr>
              <w:rPr>
                <w:rStyle w:val="39"/>
                <w:rFonts w:hint="eastAsia" w:ascii="宋体" w:hAnsi="宋体"/>
                <w:szCs w:val="21"/>
              </w:rPr>
            </w:pPr>
            <w:r>
              <w:rPr>
                <w:rStyle w:val="39"/>
                <w:rFonts w:ascii="宋体" w:hAnsi="宋体"/>
                <w:szCs w:val="21"/>
              </w:rPr>
              <w:t>投标函附录中的相关承诺符合或优于</w:t>
            </w:r>
            <w:r>
              <w:rPr>
                <w:rStyle w:val="29"/>
                <w:rFonts w:ascii="宋体" w:hAnsi="宋体"/>
                <w:color w:val="auto"/>
                <w:sz w:val="21"/>
                <w:szCs w:val="21"/>
              </w:rPr>
              <w:t>第四章</w:t>
            </w:r>
            <w:r>
              <w:rPr>
                <w:rStyle w:val="39"/>
                <w:rFonts w:ascii="宋体" w:hAnsi="宋体"/>
                <w:szCs w:val="21"/>
              </w:rPr>
              <w:t>“合同条款及格式”的相关规定</w:t>
            </w:r>
          </w:p>
        </w:tc>
      </w:tr>
      <w:tr w14:paraId="3ED4829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57" w:hRule="atLeast"/>
        </w:trPr>
        <w:tc>
          <w:tcPr>
            <w:tcW w:w="816" w:type="dxa"/>
            <w:vMerge w:val="continue"/>
            <w:tcBorders>
              <w:top w:val="single" w:color="000000" w:sz="4" w:space="0"/>
              <w:left w:val="single" w:color="000000" w:sz="4" w:space="0"/>
              <w:bottom w:val="single" w:color="000000" w:sz="4" w:space="0"/>
              <w:right w:val="single" w:color="000000" w:sz="4" w:space="0"/>
            </w:tcBorders>
          </w:tcPr>
          <w:p w14:paraId="53B92EDA">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288FC7EF">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0F3093BA">
            <w:pPr>
              <w:rPr>
                <w:rStyle w:val="39"/>
                <w:rFonts w:hint="eastAsia" w:ascii="宋体" w:hAnsi="宋体"/>
                <w:szCs w:val="21"/>
              </w:rPr>
            </w:pPr>
            <w:r>
              <w:rPr>
                <w:rStyle w:val="39"/>
                <w:rFonts w:ascii="宋体" w:hAnsi="宋体"/>
                <w:szCs w:val="21"/>
              </w:rPr>
              <w:t>已标价工程量清单</w:t>
            </w:r>
          </w:p>
        </w:tc>
        <w:tc>
          <w:tcPr>
            <w:tcW w:w="5240" w:type="dxa"/>
            <w:tcBorders>
              <w:top w:val="single" w:color="000000" w:sz="4" w:space="0"/>
              <w:left w:val="single" w:color="000000" w:sz="4" w:space="0"/>
              <w:bottom w:val="single" w:color="000000" w:sz="4" w:space="0"/>
              <w:right w:val="single" w:color="000000" w:sz="4" w:space="0"/>
            </w:tcBorders>
            <w:vAlign w:val="center"/>
          </w:tcPr>
          <w:p w14:paraId="3020C3B6">
            <w:pPr>
              <w:rPr>
                <w:rStyle w:val="39"/>
                <w:rFonts w:hint="eastAsia" w:ascii="宋体" w:hAnsi="宋体"/>
                <w:szCs w:val="21"/>
              </w:rPr>
            </w:pPr>
            <w:r>
              <w:rPr>
                <w:rStyle w:val="39"/>
                <w:rFonts w:ascii="宋体" w:hAnsi="宋体"/>
                <w:szCs w:val="21"/>
              </w:rPr>
              <w:t>符合</w:t>
            </w:r>
            <w:r>
              <w:rPr>
                <w:rStyle w:val="29"/>
                <w:rFonts w:ascii="宋体" w:hAnsi="宋体"/>
                <w:color w:val="auto"/>
                <w:sz w:val="21"/>
                <w:szCs w:val="21"/>
              </w:rPr>
              <w:t>第五章“工程量清单”</w:t>
            </w:r>
            <w:r>
              <w:rPr>
                <w:rStyle w:val="39"/>
                <w:rFonts w:ascii="宋体" w:hAnsi="宋体"/>
                <w:szCs w:val="21"/>
              </w:rPr>
              <w:t>的强制性规定</w:t>
            </w:r>
          </w:p>
        </w:tc>
      </w:tr>
      <w:tr w14:paraId="741861F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exact"/>
        </w:trPr>
        <w:tc>
          <w:tcPr>
            <w:tcW w:w="816" w:type="dxa"/>
            <w:vMerge w:val="continue"/>
            <w:tcBorders>
              <w:top w:val="single" w:color="000000" w:sz="4" w:space="0"/>
              <w:left w:val="single" w:color="000000" w:sz="4" w:space="0"/>
              <w:bottom w:val="single" w:color="000000" w:sz="4" w:space="0"/>
              <w:right w:val="single" w:color="000000" w:sz="4" w:space="0"/>
            </w:tcBorders>
          </w:tcPr>
          <w:p w14:paraId="31073E66">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3311A15A">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07AF48B2">
            <w:pPr>
              <w:rPr>
                <w:rStyle w:val="39"/>
                <w:rFonts w:hint="eastAsia" w:ascii="宋体" w:hAnsi="宋体"/>
                <w:szCs w:val="21"/>
              </w:rPr>
            </w:pPr>
            <w:r>
              <w:rPr>
                <w:rStyle w:val="39"/>
                <w:rFonts w:ascii="宋体" w:hAnsi="宋体"/>
                <w:szCs w:val="21"/>
              </w:rPr>
              <w:t>技术标准和要求</w:t>
            </w:r>
          </w:p>
        </w:tc>
        <w:tc>
          <w:tcPr>
            <w:tcW w:w="5240" w:type="dxa"/>
            <w:tcBorders>
              <w:top w:val="single" w:color="000000" w:sz="4" w:space="0"/>
              <w:left w:val="single" w:color="000000" w:sz="4" w:space="0"/>
              <w:bottom w:val="single" w:color="000000" w:sz="4" w:space="0"/>
              <w:right w:val="single" w:color="000000" w:sz="4" w:space="0"/>
            </w:tcBorders>
            <w:vAlign w:val="center"/>
          </w:tcPr>
          <w:p w14:paraId="23342505">
            <w:pPr>
              <w:rPr>
                <w:rStyle w:val="39"/>
                <w:rFonts w:hint="eastAsia" w:ascii="宋体" w:hAnsi="宋体"/>
                <w:szCs w:val="21"/>
              </w:rPr>
            </w:pPr>
            <w:r>
              <w:rPr>
                <w:rStyle w:val="39"/>
                <w:rFonts w:ascii="宋体" w:hAnsi="宋体"/>
                <w:szCs w:val="21"/>
              </w:rPr>
              <w:t>符合</w:t>
            </w:r>
            <w:r>
              <w:rPr>
                <w:rStyle w:val="29"/>
                <w:rFonts w:ascii="宋体" w:hAnsi="宋体"/>
                <w:color w:val="auto"/>
                <w:sz w:val="21"/>
                <w:szCs w:val="21"/>
              </w:rPr>
              <w:t>第七章“技术标准和要求”</w:t>
            </w:r>
            <w:r>
              <w:rPr>
                <w:rStyle w:val="39"/>
                <w:rFonts w:ascii="宋体" w:hAnsi="宋体"/>
                <w:szCs w:val="21"/>
              </w:rPr>
              <w:t>的强制性规定</w:t>
            </w:r>
          </w:p>
        </w:tc>
      </w:tr>
      <w:tr w14:paraId="1153669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Pr>
        <w:tc>
          <w:tcPr>
            <w:tcW w:w="816" w:type="dxa"/>
            <w:vMerge w:val="continue"/>
            <w:tcBorders>
              <w:top w:val="single" w:color="000000" w:sz="4" w:space="0"/>
              <w:left w:val="single" w:color="000000" w:sz="4" w:space="0"/>
              <w:bottom w:val="single" w:color="000000" w:sz="4" w:space="0"/>
              <w:right w:val="single" w:color="000000" w:sz="4" w:space="0"/>
            </w:tcBorders>
          </w:tcPr>
          <w:p w14:paraId="08D37609">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5077B984">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4FE3DF7F">
            <w:pPr>
              <w:rPr>
                <w:rStyle w:val="39"/>
                <w:rFonts w:hint="eastAsia" w:ascii="宋体" w:hAnsi="宋体"/>
                <w:szCs w:val="21"/>
              </w:rPr>
            </w:pPr>
            <w:r>
              <w:rPr>
                <w:rStyle w:val="39"/>
                <w:rFonts w:ascii="宋体" w:hAnsi="宋体"/>
                <w:szCs w:val="21"/>
              </w:rPr>
              <w:t>投标价格</w:t>
            </w:r>
          </w:p>
        </w:tc>
        <w:tc>
          <w:tcPr>
            <w:tcW w:w="5240" w:type="dxa"/>
            <w:tcBorders>
              <w:top w:val="single" w:color="000000" w:sz="4" w:space="0"/>
              <w:left w:val="single" w:color="000000" w:sz="4" w:space="0"/>
              <w:bottom w:val="single" w:color="000000" w:sz="4" w:space="0"/>
              <w:right w:val="single" w:color="000000" w:sz="4" w:space="0"/>
            </w:tcBorders>
            <w:vAlign w:val="center"/>
          </w:tcPr>
          <w:p w14:paraId="7704F3E9">
            <w:pPr>
              <w:rPr>
                <w:rStyle w:val="39"/>
                <w:rFonts w:hint="eastAsia" w:ascii="宋体" w:hAnsi="宋体"/>
                <w:szCs w:val="21"/>
              </w:rPr>
            </w:pPr>
            <w:r>
              <w:rPr>
                <w:rStyle w:val="39"/>
                <w:rFonts w:ascii="宋体" w:hAnsi="宋体"/>
                <w:szCs w:val="21"/>
              </w:rPr>
              <w:t>具有唯一性,符合</w:t>
            </w:r>
            <w:r>
              <w:rPr>
                <w:rStyle w:val="29"/>
                <w:rFonts w:ascii="宋体" w:hAnsi="宋体"/>
                <w:color w:val="auto"/>
                <w:sz w:val="21"/>
                <w:szCs w:val="21"/>
              </w:rPr>
              <w:t>第五章“工程量清单”</w:t>
            </w:r>
            <w:r>
              <w:rPr>
                <w:rStyle w:val="39"/>
                <w:rFonts w:ascii="宋体" w:hAnsi="宋体"/>
                <w:szCs w:val="21"/>
              </w:rPr>
              <w:t>的强制性规定</w:t>
            </w:r>
          </w:p>
        </w:tc>
      </w:tr>
      <w:tr w14:paraId="2898BF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2" w:hRule="exact"/>
        </w:trPr>
        <w:tc>
          <w:tcPr>
            <w:tcW w:w="816" w:type="dxa"/>
            <w:vMerge w:val="continue"/>
            <w:tcBorders>
              <w:top w:val="single" w:color="000000" w:sz="4" w:space="0"/>
              <w:left w:val="single" w:color="000000" w:sz="4" w:space="0"/>
              <w:bottom w:val="single" w:color="000000" w:sz="4" w:space="0"/>
              <w:right w:val="single" w:color="000000" w:sz="4" w:space="0"/>
            </w:tcBorders>
          </w:tcPr>
          <w:p w14:paraId="2A897904">
            <w:pPr>
              <w:jc w:val="center"/>
              <w:rPr>
                <w:rStyle w:val="39"/>
                <w:rFonts w:hint="eastAsia" w:ascii="宋体" w:hAnsi="宋体"/>
                <w:szCs w:val="21"/>
              </w:rPr>
            </w:pPr>
          </w:p>
        </w:tc>
        <w:tc>
          <w:tcPr>
            <w:tcW w:w="1315" w:type="dxa"/>
            <w:vMerge w:val="continue"/>
            <w:tcBorders>
              <w:top w:val="single" w:color="000000" w:sz="4" w:space="0"/>
              <w:left w:val="single" w:color="000000" w:sz="4" w:space="0"/>
              <w:bottom w:val="single" w:color="000000" w:sz="4" w:space="0"/>
              <w:right w:val="single" w:color="000000" w:sz="4" w:space="0"/>
            </w:tcBorders>
          </w:tcPr>
          <w:p w14:paraId="3DFEFC05">
            <w:pPr>
              <w:jc w:val="center"/>
              <w:rPr>
                <w:rStyle w:val="39"/>
                <w:rFonts w:hint="eastAsia" w:ascii="宋体" w:hAnsi="宋体"/>
                <w:szCs w:val="21"/>
              </w:rPr>
            </w:pPr>
          </w:p>
        </w:tc>
        <w:tc>
          <w:tcPr>
            <w:tcW w:w="2518" w:type="dxa"/>
            <w:tcBorders>
              <w:top w:val="single" w:color="000000" w:sz="4" w:space="0"/>
              <w:left w:val="single" w:color="000000" w:sz="4" w:space="0"/>
              <w:bottom w:val="single" w:color="000000" w:sz="4" w:space="0"/>
              <w:right w:val="single" w:color="000000" w:sz="4" w:space="0"/>
            </w:tcBorders>
            <w:vAlign w:val="center"/>
          </w:tcPr>
          <w:p w14:paraId="22488BF3">
            <w:pPr>
              <w:rPr>
                <w:rStyle w:val="39"/>
                <w:rFonts w:hint="eastAsia" w:ascii="宋体" w:hAnsi="宋体"/>
                <w:szCs w:val="21"/>
              </w:rPr>
            </w:pPr>
            <w:r>
              <w:rPr>
                <w:rStyle w:val="39"/>
                <w:rFonts w:ascii="宋体" w:hAnsi="宋体"/>
                <w:szCs w:val="21"/>
              </w:rPr>
              <w:t>……</w:t>
            </w:r>
          </w:p>
        </w:tc>
        <w:tc>
          <w:tcPr>
            <w:tcW w:w="5240" w:type="dxa"/>
            <w:tcBorders>
              <w:top w:val="single" w:color="000000" w:sz="4" w:space="0"/>
              <w:left w:val="single" w:color="000000" w:sz="4" w:space="0"/>
              <w:bottom w:val="single" w:color="000000" w:sz="4" w:space="0"/>
              <w:right w:val="single" w:color="000000" w:sz="4" w:space="0"/>
            </w:tcBorders>
            <w:vAlign w:val="center"/>
          </w:tcPr>
          <w:p w14:paraId="705F7F7D">
            <w:pPr>
              <w:rPr>
                <w:rStyle w:val="39"/>
                <w:rFonts w:hint="eastAsia" w:ascii="宋体" w:hAnsi="宋体"/>
                <w:szCs w:val="21"/>
              </w:rPr>
            </w:pPr>
          </w:p>
        </w:tc>
      </w:tr>
      <w:tr w14:paraId="7A9E6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exac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5BF4DF76">
            <w:pPr>
              <w:jc w:val="center"/>
              <w:rPr>
                <w:rStyle w:val="39"/>
                <w:rFonts w:hint="eastAsia" w:ascii="宋体" w:hAnsi="宋体"/>
                <w:b/>
                <w:szCs w:val="21"/>
              </w:rPr>
            </w:pPr>
            <w:r>
              <w:rPr>
                <w:rStyle w:val="39"/>
                <w:rFonts w:ascii="宋体" w:hAnsi="宋体"/>
                <w:b/>
                <w:szCs w:val="21"/>
              </w:rPr>
              <w:t>条款号</w:t>
            </w:r>
          </w:p>
        </w:tc>
        <w:tc>
          <w:tcPr>
            <w:tcW w:w="2518" w:type="dxa"/>
            <w:tcBorders>
              <w:top w:val="single" w:color="000000" w:sz="4" w:space="0"/>
              <w:left w:val="single" w:color="000000" w:sz="4" w:space="0"/>
              <w:bottom w:val="single" w:color="000000" w:sz="4" w:space="0"/>
              <w:right w:val="single" w:color="000000" w:sz="4" w:space="0"/>
            </w:tcBorders>
            <w:vAlign w:val="center"/>
          </w:tcPr>
          <w:p w14:paraId="49180E2B">
            <w:pPr>
              <w:rPr>
                <w:rStyle w:val="39"/>
                <w:rFonts w:hint="eastAsia" w:ascii="宋体" w:hAnsi="宋体"/>
                <w:b/>
                <w:szCs w:val="21"/>
              </w:rPr>
            </w:pPr>
            <w:r>
              <w:rPr>
                <w:rStyle w:val="39"/>
                <w:rFonts w:ascii="宋体" w:hAnsi="宋体"/>
                <w:b/>
                <w:szCs w:val="21"/>
              </w:rPr>
              <w:t>条款内容</w:t>
            </w:r>
          </w:p>
        </w:tc>
        <w:tc>
          <w:tcPr>
            <w:tcW w:w="5240" w:type="dxa"/>
            <w:tcBorders>
              <w:top w:val="single" w:color="000000" w:sz="4" w:space="0"/>
              <w:left w:val="single" w:color="000000" w:sz="4" w:space="0"/>
              <w:bottom w:val="single" w:color="000000" w:sz="4" w:space="0"/>
              <w:right w:val="single" w:color="000000" w:sz="4" w:space="0"/>
            </w:tcBorders>
            <w:vAlign w:val="center"/>
          </w:tcPr>
          <w:p w14:paraId="3FBD79DF">
            <w:pPr>
              <w:rPr>
                <w:rStyle w:val="39"/>
                <w:rFonts w:hint="eastAsia" w:ascii="宋体" w:hAnsi="宋体"/>
                <w:b/>
                <w:szCs w:val="21"/>
              </w:rPr>
            </w:pPr>
            <w:r>
              <w:rPr>
                <w:rStyle w:val="39"/>
                <w:rFonts w:ascii="宋体" w:hAnsi="宋体"/>
                <w:b/>
                <w:szCs w:val="21"/>
              </w:rPr>
              <w:t>编列内容</w:t>
            </w:r>
          </w:p>
        </w:tc>
      </w:tr>
      <w:tr w14:paraId="487D5F4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21" w:hRule="atLeas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59F93CC6">
            <w:pPr>
              <w:jc w:val="center"/>
              <w:rPr>
                <w:rStyle w:val="39"/>
                <w:rFonts w:hint="eastAsia" w:ascii="宋体" w:hAnsi="宋体"/>
                <w:szCs w:val="21"/>
              </w:rPr>
            </w:pPr>
            <w:r>
              <w:rPr>
                <w:rStyle w:val="39"/>
                <w:rFonts w:ascii="宋体" w:hAnsi="宋体"/>
                <w:szCs w:val="21"/>
              </w:rPr>
              <w:t>2.2.1</w:t>
            </w:r>
          </w:p>
        </w:tc>
        <w:tc>
          <w:tcPr>
            <w:tcW w:w="2518" w:type="dxa"/>
            <w:tcBorders>
              <w:top w:val="single" w:color="000000" w:sz="4" w:space="0"/>
              <w:left w:val="single" w:color="000000" w:sz="4" w:space="0"/>
              <w:bottom w:val="single" w:color="000000" w:sz="4" w:space="0"/>
              <w:right w:val="single" w:color="000000" w:sz="4" w:space="0"/>
            </w:tcBorders>
            <w:vAlign w:val="center"/>
          </w:tcPr>
          <w:p w14:paraId="00436309">
            <w:pPr>
              <w:rPr>
                <w:rStyle w:val="39"/>
                <w:rFonts w:hint="eastAsia" w:ascii="宋体" w:hAnsi="宋体"/>
                <w:szCs w:val="21"/>
              </w:rPr>
            </w:pPr>
            <w:r>
              <w:rPr>
                <w:rStyle w:val="39"/>
                <w:rFonts w:ascii="宋体" w:hAnsi="宋体"/>
                <w:szCs w:val="21"/>
              </w:rPr>
              <w:t>分值构成（总分100分）</w:t>
            </w:r>
          </w:p>
        </w:tc>
        <w:tc>
          <w:tcPr>
            <w:tcW w:w="5240" w:type="dxa"/>
            <w:tcBorders>
              <w:top w:val="single" w:color="000000" w:sz="4" w:space="0"/>
              <w:left w:val="single" w:color="000000" w:sz="4" w:space="0"/>
              <w:bottom w:val="single" w:color="000000" w:sz="4" w:space="0"/>
              <w:right w:val="single" w:color="000000" w:sz="4" w:space="0"/>
            </w:tcBorders>
            <w:vAlign w:val="center"/>
          </w:tcPr>
          <w:p w14:paraId="0EE7BFD6">
            <w:pPr>
              <w:rPr>
                <w:rStyle w:val="39"/>
                <w:rFonts w:hint="eastAsia" w:ascii="宋体" w:hAnsi="宋体"/>
                <w:szCs w:val="21"/>
              </w:rPr>
            </w:pPr>
            <w:r>
              <w:rPr>
                <w:rStyle w:val="39"/>
                <w:rFonts w:ascii="宋体" w:hAnsi="宋体"/>
                <w:szCs w:val="21"/>
              </w:rPr>
              <w:t>详见本章</w:t>
            </w:r>
            <w:r>
              <w:rPr>
                <w:rStyle w:val="29"/>
                <w:rFonts w:ascii="宋体" w:hAnsi="宋体"/>
                <w:color w:val="auto"/>
                <w:sz w:val="21"/>
                <w:szCs w:val="21"/>
              </w:rPr>
              <w:t>第2.2.4款</w:t>
            </w:r>
          </w:p>
        </w:tc>
      </w:tr>
      <w:tr w14:paraId="171CC0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exac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34E6192E">
            <w:pPr>
              <w:jc w:val="center"/>
              <w:rPr>
                <w:rStyle w:val="39"/>
                <w:rFonts w:hint="eastAsia" w:ascii="宋体" w:hAnsi="宋体"/>
                <w:szCs w:val="21"/>
              </w:rPr>
            </w:pPr>
            <w:r>
              <w:rPr>
                <w:rStyle w:val="39"/>
                <w:rFonts w:ascii="宋体" w:hAnsi="宋体"/>
                <w:szCs w:val="21"/>
              </w:rPr>
              <w:t>2.2.2</w:t>
            </w:r>
          </w:p>
        </w:tc>
        <w:tc>
          <w:tcPr>
            <w:tcW w:w="2518" w:type="dxa"/>
            <w:tcBorders>
              <w:top w:val="single" w:color="000000" w:sz="4" w:space="0"/>
              <w:left w:val="single" w:color="000000" w:sz="4" w:space="0"/>
              <w:bottom w:val="single" w:color="000000" w:sz="4" w:space="0"/>
              <w:right w:val="single" w:color="000000" w:sz="4" w:space="0"/>
            </w:tcBorders>
            <w:vAlign w:val="center"/>
          </w:tcPr>
          <w:p w14:paraId="2E03CF0A">
            <w:pPr>
              <w:rPr>
                <w:rStyle w:val="39"/>
                <w:rFonts w:hint="eastAsia" w:ascii="宋体" w:hAnsi="宋体"/>
                <w:szCs w:val="21"/>
              </w:rPr>
            </w:pPr>
            <w:r>
              <w:rPr>
                <w:rStyle w:val="39"/>
                <w:rFonts w:ascii="宋体" w:hAnsi="宋体"/>
                <w:szCs w:val="21"/>
              </w:rPr>
              <w:t>评标基准价计算方法</w:t>
            </w:r>
          </w:p>
        </w:tc>
        <w:tc>
          <w:tcPr>
            <w:tcW w:w="5240" w:type="dxa"/>
            <w:tcBorders>
              <w:top w:val="single" w:color="000000" w:sz="4" w:space="0"/>
              <w:left w:val="single" w:color="000000" w:sz="4" w:space="0"/>
              <w:bottom w:val="single" w:color="000000" w:sz="4" w:space="0"/>
              <w:right w:val="single" w:color="000000" w:sz="4" w:space="0"/>
            </w:tcBorders>
            <w:vAlign w:val="center"/>
          </w:tcPr>
          <w:p w14:paraId="70A3EDAC">
            <w:pPr>
              <w:rPr>
                <w:rStyle w:val="39"/>
                <w:rFonts w:hint="eastAsia" w:ascii="宋体" w:hAnsi="宋体"/>
                <w:szCs w:val="21"/>
              </w:rPr>
            </w:pPr>
            <w:r>
              <w:rPr>
                <w:rStyle w:val="39"/>
                <w:rFonts w:ascii="宋体" w:hAnsi="宋体"/>
                <w:szCs w:val="21"/>
              </w:rPr>
              <w:t>详见本章</w:t>
            </w:r>
            <w:r>
              <w:rPr>
                <w:rStyle w:val="29"/>
                <w:rFonts w:ascii="宋体" w:hAnsi="宋体"/>
                <w:color w:val="auto"/>
                <w:sz w:val="21"/>
                <w:szCs w:val="21"/>
              </w:rPr>
              <w:t>第2.2.4款</w:t>
            </w:r>
          </w:p>
        </w:tc>
      </w:tr>
      <w:tr w14:paraId="2909C57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70AFA3CD">
            <w:pPr>
              <w:jc w:val="center"/>
              <w:rPr>
                <w:rStyle w:val="39"/>
                <w:rFonts w:hint="eastAsia" w:ascii="宋体" w:hAnsi="宋体"/>
                <w:szCs w:val="21"/>
              </w:rPr>
            </w:pPr>
            <w:r>
              <w:rPr>
                <w:rStyle w:val="39"/>
                <w:rFonts w:ascii="宋体" w:hAnsi="宋体"/>
                <w:szCs w:val="21"/>
              </w:rPr>
              <w:t>2.2.3</w:t>
            </w:r>
          </w:p>
        </w:tc>
        <w:tc>
          <w:tcPr>
            <w:tcW w:w="2518" w:type="dxa"/>
            <w:tcBorders>
              <w:top w:val="single" w:color="000000" w:sz="4" w:space="0"/>
              <w:left w:val="single" w:color="000000" w:sz="4" w:space="0"/>
              <w:bottom w:val="single" w:color="000000" w:sz="4" w:space="0"/>
              <w:right w:val="single" w:color="000000" w:sz="4" w:space="0"/>
            </w:tcBorders>
            <w:vAlign w:val="center"/>
          </w:tcPr>
          <w:p w14:paraId="7E8CCA70">
            <w:pPr>
              <w:rPr>
                <w:rStyle w:val="39"/>
                <w:rFonts w:hint="eastAsia" w:ascii="宋体" w:hAnsi="宋体"/>
                <w:szCs w:val="21"/>
              </w:rPr>
            </w:pPr>
            <w:r>
              <w:rPr>
                <w:rStyle w:val="39"/>
                <w:rFonts w:ascii="宋体" w:hAnsi="宋体"/>
                <w:szCs w:val="21"/>
              </w:rPr>
              <w:t>投标报价的偏差率计算公式</w:t>
            </w:r>
          </w:p>
        </w:tc>
        <w:tc>
          <w:tcPr>
            <w:tcW w:w="5240" w:type="dxa"/>
            <w:tcBorders>
              <w:top w:val="single" w:color="000000" w:sz="4" w:space="0"/>
              <w:left w:val="single" w:color="000000" w:sz="4" w:space="0"/>
              <w:bottom w:val="single" w:color="000000" w:sz="4" w:space="0"/>
              <w:right w:val="single" w:color="000000" w:sz="4" w:space="0"/>
            </w:tcBorders>
            <w:vAlign w:val="center"/>
          </w:tcPr>
          <w:p w14:paraId="161EAA34">
            <w:pPr>
              <w:rPr>
                <w:rStyle w:val="39"/>
                <w:rFonts w:hint="eastAsia" w:ascii="宋体" w:hAnsi="宋体"/>
                <w:szCs w:val="21"/>
              </w:rPr>
            </w:pPr>
            <w:r>
              <w:rPr>
                <w:rStyle w:val="39"/>
                <w:rFonts w:ascii="宋体" w:hAnsi="宋体"/>
                <w:szCs w:val="21"/>
              </w:rPr>
              <w:t>偏差率＝100％×（投标人报价-评标基准价）/评标基准价</w:t>
            </w:r>
          </w:p>
        </w:tc>
      </w:tr>
      <w:tr w14:paraId="7FDBED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exac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6A0DCC1F">
            <w:pPr>
              <w:jc w:val="center"/>
              <w:rPr>
                <w:rStyle w:val="39"/>
                <w:rFonts w:hint="eastAsia" w:ascii="宋体" w:hAnsi="宋体"/>
                <w:szCs w:val="21"/>
              </w:rPr>
            </w:pPr>
            <w:r>
              <w:rPr>
                <w:rStyle w:val="39"/>
                <w:rFonts w:ascii="宋体" w:hAnsi="宋体"/>
                <w:szCs w:val="21"/>
              </w:rPr>
              <w:t>条款号</w:t>
            </w:r>
          </w:p>
        </w:tc>
        <w:tc>
          <w:tcPr>
            <w:tcW w:w="2518" w:type="dxa"/>
            <w:tcBorders>
              <w:top w:val="single" w:color="000000" w:sz="4" w:space="0"/>
              <w:left w:val="single" w:color="000000" w:sz="4" w:space="0"/>
              <w:bottom w:val="single" w:color="000000" w:sz="4" w:space="0"/>
              <w:right w:val="single" w:color="000000" w:sz="4" w:space="0"/>
            </w:tcBorders>
            <w:vAlign w:val="center"/>
          </w:tcPr>
          <w:p w14:paraId="1E4508DD">
            <w:pPr>
              <w:rPr>
                <w:rStyle w:val="39"/>
                <w:rFonts w:hint="eastAsia" w:ascii="宋体" w:hAnsi="宋体"/>
                <w:szCs w:val="21"/>
              </w:rPr>
            </w:pPr>
            <w:r>
              <w:rPr>
                <w:rStyle w:val="39"/>
                <w:rFonts w:ascii="宋体" w:hAnsi="宋体"/>
                <w:szCs w:val="21"/>
              </w:rPr>
              <w:t>评分因素</w:t>
            </w:r>
          </w:p>
        </w:tc>
        <w:tc>
          <w:tcPr>
            <w:tcW w:w="5240" w:type="dxa"/>
            <w:tcBorders>
              <w:top w:val="single" w:color="000000" w:sz="4" w:space="0"/>
              <w:left w:val="single" w:color="000000" w:sz="4" w:space="0"/>
              <w:bottom w:val="single" w:color="000000" w:sz="4" w:space="0"/>
              <w:right w:val="single" w:color="000000" w:sz="4" w:space="0"/>
            </w:tcBorders>
            <w:vAlign w:val="center"/>
          </w:tcPr>
          <w:p w14:paraId="1DAB3001">
            <w:pPr>
              <w:rPr>
                <w:rStyle w:val="39"/>
                <w:rFonts w:hint="eastAsia" w:ascii="宋体" w:hAnsi="宋体"/>
                <w:szCs w:val="21"/>
              </w:rPr>
            </w:pPr>
            <w:r>
              <w:rPr>
                <w:rStyle w:val="39"/>
                <w:rFonts w:ascii="宋体" w:hAnsi="宋体"/>
                <w:szCs w:val="21"/>
              </w:rPr>
              <w:t>评分标准</w:t>
            </w:r>
          </w:p>
        </w:tc>
      </w:tr>
      <w:tr w14:paraId="40ACF5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2" w:hRule="atLeas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11326BF2">
            <w:pPr>
              <w:jc w:val="center"/>
              <w:rPr>
                <w:rStyle w:val="39"/>
                <w:rFonts w:hint="eastAsia" w:ascii="宋体" w:hAnsi="宋体"/>
                <w:b/>
                <w:szCs w:val="21"/>
              </w:rPr>
            </w:pPr>
            <w:r>
              <w:rPr>
                <w:rStyle w:val="39"/>
                <w:rFonts w:ascii="宋体" w:hAnsi="宋体"/>
                <w:b/>
                <w:szCs w:val="21"/>
              </w:rPr>
              <w:t>2.2.4</w:t>
            </w:r>
          </w:p>
        </w:tc>
        <w:tc>
          <w:tcPr>
            <w:tcW w:w="7758" w:type="dxa"/>
            <w:gridSpan w:val="2"/>
            <w:tcBorders>
              <w:top w:val="single" w:color="000000" w:sz="4" w:space="0"/>
              <w:left w:val="single" w:color="000000" w:sz="4" w:space="0"/>
              <w:bottom w:val="single" w:color="000000" w:sz="4" w:space="0"/>
              <w:right w:val="single" w:color="000000" w:sz="4" w:space="0"/>
            </w:tcBorders>
            <w:vAlign w:val="center"/>
          </w:tcPr>
          <w:p w14:paraId="2B5B86DB">
            <w:pPr>
              <w:jc w:val="center"/>
              <w:rPr>
                <w:rStyle w:val="39"/>
                <w:rFonts w:hint="eastAsia" w:ascii="宋体" w:hAnsi="宋体"/>
                <w:b/>
                <w:szCs w:val="21"/>
              </w:rPr>
            </w:pPr>
            <w:r>
              <w:rPr>
                <w:rStyle w:val="29"/>
                <w:rFonts w:ascii="宋体" w:hAnsi="宋体"/>
                <w:b/>
                <w:color w:val="auto"/>
                <w:sz w:val="21"/>
                <w:szCs w:val="21"/>
              </w:rPr>
              <w:t>详见评分细则</w:t>
            </w:r>
          </w:p>
        </w:tc>
      </w:tr>
      <w:tr w14:paraId="214935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2131" w:type="dxa"/>
            <w:gridSpan w:val="2"/>
            <w:tcBorders>
              <w:top w:val="single" w:color="000000" w:sz="4" w:space="0"/>
              <w:left w:val="single" w:color="000000" w:sz="4" w:space="0"/>
              <w:bottom w:val="single" w:color="000000" w:sz="4" w:space="0"/>
              <w:right w:val="single" w:color="000000" w:sz="4" w:space="0"/>
            </w:tcBorders>
            <w:vAlign w:val="center"/>
          </w:tcPr>
          <w:p w14:paraId="4AE73F0A">
            <w:pPr>
              <w:jc w:val="center"/>
              <w:rPr>
                <w:rStyle w:val="39"/>
                <w:rFonts w:hint="eastAsia" w:ascii="宋体" w:hAnsi="宋体"/>
                <w:szCs w:val="21"/>
              </w:rPr>
            </w:pPr>
            <w:r>
              <w:rPr>
                <w:rStyle w:val="39"/>
                <w:rFonts w:ascii="宋体" w:hAnsi="宋体"/>
                <w:szCs w:val="21"/>
              </w:rPr>
              <w:t>条款号</w:t>
            </w:r>
          </w:p>
        </w:tc>
        <w:tc>
          <w:tcPr>
            <w:tcW w:w="7758" w:type="dxa"/>
            <w:gridSpan w:val="2"/>
            <w:tcBorders>
              <w:top w:val="single" w:color="000000" w:sz="4" w:space="0"/>
              <w:left w:val="single" w:color="000000" w:sz="4" w:space="0"/>
              <w:bottom w:val="single" w:color="000000" w:sz="4" w:space="0"/>
              <w:right w:val="single" w:color="000000" w:sz="4" w:space="0"/>
            </w:tcBorders>
            <w:vAlign w:val="center"/>
          </w:tcPr>
          <w:p w14:paraId="334D4A9E">
            <w:pPr>
              <w:jc w:val="center"/>
              <w:rPr>
                <w:rStyle w:val="39"/>
                <w:rFonts w:hint="eastAsia" w:ascii="宋体" w:hAnsi="宋体"/>
                <w:szCs w:val="21"/>
              </w:rPr>
            </w:pPr>
            <w:r>
              <w:rPr>
                <w:rStyle w:val="39"/>
                <w:rFonts w:ascii="宋体" w:hAnsi="宋体"/>
                <w:szCs w:val="21"/>
              </w:rPr>
              <w:t>编 列 内 容</w:t>
            </w:r>
          </w:p>
        </w:tc>
      </w:tr>
      <w:tr w14:paraId="3090A7C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816" w:type="dxa"/>
            <w:tcBorders>
              <w:top w:val="single" w:color="000000" w:sz="4" w:space="0"/>
              <w:left w:val="single" w:color="000000" w:sz="4" w:space="0"/>
              <w:bottom w:val="single" w:color="000000" w:sz="4" w:space="0"/>
              <w:right w:val="single" w:color="000000" w:sz="4" w:space="0"/>
            </w:tcBorders>
            <w:vAlign w:val="center"/>
          </w:tcPr>
          <w:p w14:paraId="33B5B6FF">
            <w:pPr>
              <w:jc w:val="center"/>
              <w:rPr>
                <w:rStyle w:val="39"/>
                <w:rFonts w:hint="eastAsia" w:ascii="宋体" w:hAnsi="宋体"/>
                <w:szCs w:val="21"/>
              </w:rPr>
            </w:pPr>
            <w:r>
              <w:rPr>
                <w:rStyle w:val="39"/>
                <w:rFonts w:ascii="宋体" w:hAnsi="宋体"/>
                <w:szCs w:val="21"/>
              </w:rPr>
              <w:t>3</w:t>
            </w:r>
          </w:p>
        </w:tc>
        <w:tc>
          <w:tcPr>
            <w:tcW w:w="1315" w:type="dxa"/>
            <w:tcBorders>
              <w:top w:val="single" w:color="000000" w:sz="4" w:space="0"/>
              <w:left w:val="single" w:color="000000" w:sz="4" w:space="0"/>
              <w:bottom w:val="single" w:color="000000" w:sz="4" w:space="0"/>
              <w:right w:val="single" w:color="000000" w:sz="4" w:space="0"/>
            </w:tcBorders>
            <w:vAlign w:val="center"/>
          </w:tcPr>
          <w:p w14:paraId="058CDA5A">
            <w:pPr>
              <w:jc w:val="center"/>
              <w:rPr>
                <w:rStyle w:val="39"/>
                <w:rFonts w:hint="eastAsia" w:ascii="宋体" w:hAnsi="宋体"/>
                <w:szCs w:val="21"/>
              </w:rPr>
            </w:pPr>
            <w:r>
              <w:rPr>
                <w:rStyle w:val="39"/>
                <w:rFonts w:ascii="宋体" w:hAnsi="宋体"/>
                <w:szCs w:val="21"/>
              </w:rPr>
              <w:t>评标程序</w:t>
            </w:r>
          </w:p>
        </w:tc>
        <w:tc>
          <w:tcPr>
            <w:tcW w:w="7758" w:type="dxa"/>
            <w:gridSpan w:val="2"/>
            <w:tcBorders>
              <w:top w:val="single" w:color="000000" w:sz="4" w:space="0"/>
              <w:left w:val="single" w:color="000000" w:sz="4" w:space="0"/>
              <w:bottom w:val="single" w:color="000000" w:sz="4" w:space="0"/>
              <w:right w:val="single" w:color="000000" w:sz="4" w:space="0"/>
            </w:tcBorders>
            <w:vAlign w:val="center"/>
          </w:tcPr>
          <w:p w14:paraId="1873DB21">
            <w:pPr>
              <w:rPr>
                <w:rStyle w:val="39"/>
                <w:rFonts w:hint="eastAsia" w:ascii="宋体" w:hAnsi="宋体"/>
                <w:szCs w:val="21"/>
              </w:rPr>
            </w:pPr>
            <w:r>
              <w:rPr>
                <w:rStyle w:val="39"/>
                <w:rFonts w:ascii="宋体" w:hAnsi="宋体"/>
                <w:szCs w:val="21"/>
              </w:rPr>
              <w:t>详见本章附件A： 评标详细程序</w:t>
            </w:r>
          </w:p>
        </w:tc>
      </w:tr>
      <w:tr w14:paraId="1A010B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exact"/>
        </w:trPr>
        <w:tc>
          <w:tcPr>
            <w:tcW w:w="816" w:type="dxa"/>
            <w:tcBorders>
              <w:top w:val="single" w:color="000000" w:sz="4" w:space="0"/>
              <w:left w:val="single" w:color="000000" w:sz="4" w:space="0"/>
              <w:bottom w:val="single" w:color="000000" w:sz="4" w:space="0"/>
              <w:right w:val="single" w:color="000000" w:sz="4" w:space="0"/>
            </w:tcBorders>
            <w:vAlign w:val="center"/>
          </w:tcPr>
          <w:p w14:paraId="74C25659">
            <w:pPr>
              <w:jc w:val="center"/>
              <w:rPr>
                <w:rStyle w:val="39"/>
                <w:rFonts w:hint="eastAsia" w:ascii="宋体" w:hAnsi="宋体"/>
                <w:szCs w:val="21"/>
              </w:rPr>
            </w:pPr>
            <w:r>
              <w:rPr>
                <w:rStyle w:val="39"/>
                <w:rFonts w:ascii="宋体" w:hAnsi="宋体"/>
                <w:szCs w:val="21"/>
              </w:rPr>
              <w:t>3.1.2</w:t>
            </w:r>
          </w:p>
        </w:tc>
        <w:tc>
          <w:tcPr>
            <w:tcW w:w="1315" w:type="dxa"/>
            <w:tcBorders>
              <w:top w:val="single" w:color="000000" w:sz="4" w:space="0"/>
              <w:left w:val="single" w:color="000000" w:sz="4" w:space="0"/>
              <w:bottom w:val="single" w:color="000000" w:sz="4" w:space="0"/>
              <w:right w:val="single" w:color="000000" w:sz="4" w:space="0"/>
            </w:tcBorders>
            <w:vAlign w:val="center"/>
          </w:tcPr>
          <w:p w14:paraId="05BF6C15">
            <w:pPr>
              <w:jc w:val="center"/>
              <w:rPr>
                <w:rStyle w:val="39"/>
                <w:rFonts w:hint="eastAsia" w:ascii="宋体" w:hAnsi="宋体"/>
                <w:szCs w:val="21"/>
              </w:rPr>
            </w:pPr>
            <w:r>
              <w:rPr>
                <w:rStyle w:val="39"/>
                <w:rFonts w:ascii="宋体" w:hAnsi="宋体"/>
                <w:szCs w:val="21"/>
              </w:rPr>
              <w:t>废标条件</w:t>
            </w:r>
          </w:p>
        </w:tc>
        <w:tc>
          <w:tcPr>
            <w:tcW w:w="7758" w:type="dxa"/>
            <w:gridSpan w:val="2"/>
            <w:tcBorders>
              <w:top w:val="single" w:color="000000" w:sz="4" w:space="0"/>
              <w:left w:val="single" w:color="000000" w:sz="4" w:space="0"/>
              <w:bottom w:val="single" w:color="000000" w:sz="4" w:space="0"/>
              <w:right w:val="single" w:color="000000" w:sz="4" w:space="0"/>
            </w:tcBorders>
            <w:vAlign w:val="center"/>
          </w:tcPr>
          <w:p w14:paraId="3458EB39">
            <w:pPr>
              <w:rPr>
                <w:rStyle w:val="39"/>
                <w:rFonts w:hint="eastAsia" w:ascii="宋体" w:hAnsi="宋体"/>
                <w:szCs w:val="21"/>
              </w:rPr>
            </w:pPr>
            <w:r>
              <w:rPr>
                <w:rStyle w:val="39"/>
                <w:rFonts w:ascii="宋体" w:hAnsi="宋体"/>
                <w:szCs w:val="21"/>
              </w:rPr>
              <w:t>详见本章附件B： 废标条件</w:t>
            </w:r>
          </w:p>
        </w:tc>
      </w:tr>
    </w:tbl>
    <w:p w14:paraId="3D8C98C6">
      <w:pPr>
        <w:rPr>
          <w:rStyle w:val="39"/>
          <w:rFonts w:hint="eastAsia" w:ascii="宋体" w:hAnsi="宋体"/>
        </w:rPr>
      </w:pPr>
    </w:p>
    <w:p w14:paraId="6C0D5273">
      <w:pPr>
        <w:rPr>
          <w:rStyle w:val="39"/>
          <w:rFonts w:hint="eastAsia" w:ascii="宋体" w:hAnsi="宋体"/>
        </w:rPr>
      </w:pPr>
    </w:p>
    <w:p w14:paraId="0301766B">
      <w:pPr>
        <w:rPr>
          <w:rStyle w:val="39"/>
          <w:rFonts w:hint="eastAsia" w:ascii="宋体" w:hAnsi="宋体"/>
        </w:rPr>
      </w:pPr>
    </w:p>
    <w:p w14:paraId="5981CB82">
      <w:pPr>
        <w:rPr>
          <w:rStyle w:val="39"/>
          <w:rFonts w:hint="eastAsia" w:ascii="宋体" w:hAnsi="宋体"/>
        </w:rPr>
      </w:pPr>
    </w:p>
    <w:p w14:paraId="46495ADD">
      <w:pPr>
        <w:rPr>
          <w:rStyle w:val="39"/>
          <w:rFonts w:hint="eastAsia" w:ascii="宋体" w:hAnsi="宋体"/>
        </w:rPr>
      </w:pPr>
    </w:p>
    <w:p w14:paraId="05E67729">
      <w:pPr>
        <w:rPr>
          <w:rStyle w:val="39"/>
          <w:rFonts w:hint="eastAsia" w:ascii="宋体" w:hAnsi="宋体"/>
        </w:rPr>
      </w:pPr>
    </w:p>
    <w:p w14:paraId="28035864">
      <w:pPr>
        <w:rPr>
          <w:rStyle w:val="39"/>
          <w:rFonts w:hint="eastAsia" w:ascii="宋体" w:hAnsi="宋体"/>
        </w:rPr>
      </w:pPr>
    </w:p>
    <w:p w14:paraId="2A1205A0">
      <w:pPr>
        <w:rPr>
          <w:rStyle w:val="39"/>
          <w:rFonts w:hint="eastAsia" w:ascii="宋体" w:hAnsi="宋体"/>
        </w:rPr>
      </w:pPr>
    </w:p>
    <w:p w14:paraId="5C360631">
      <w:pPr>
        <w:rPr>
          <w:rStyle w:val="39"/>
          <w:rFonts w:hint="eastAsia" w:ascii="宋体" w:hAnsi="宋体"/>
        </w:rPr>
      </w:pPr>
    </w:p>
    <w:p w14:paraId="5918ECA7">
      <w:pPr>
        <w:rPr>
          <w:rStyle w:val="39"/>
          <w:rFonts w:hint="eastAsia" w:ascii="宋体" w:hAnsi="宋体"/>
        </w:rPr>
      </w:pPr>
    </w:p>
    <w:p w14:paraId="07E5FFE6">
      <w:pPr>
        <w:rPr>
          <w:rStyle w:val="39"/>
          <w:rFonts w:hint="eastAsia" w:ascii="宋体" w:hAnsi="宋体"/>
        </w:rPr>
      </w:pPr>
    </w:p>
    <w:p w14:paraId="71CFEC45">
      <w:pPr>
        <w:rPr>
          <w:rStyle w:val="39"/>
          <w:rFonts w:hint="eastAsia" w:ascii="宋体" w:hAnsi="宋体"/>
        </w:rPr>
      </w:pPr>
    </w:p>
    <w:p w14:paraId="429090DE">
      <w:pPr>
        <w:rPr>
          <w:rStyle w:val="39"/>
          <w:rFonts w:hint="eastAsia" w:ascii="宋体" w:hAnsi="宋体"/>
        </w:rPr>
      </w:pPr>
    </w:p>
    <w:p w14:paraId="7D9AFEE2">
      <w:pPr>
        <w:rPr>
          <w:rStyle w:val="39"/>
          <w:rFonts w:hint="eastAsia" w:ascii="宋体" w:hAnsi="宋体"/>
        </w:rPr>
      </w:pPr>
    </w:p>
    <w:p w14:paraId="7B245822">
      <w:pPr>
        <w:rPr>
          <w:rStyle w:val="39"/>
          <w:rFonts w:hint="eastAsia" w:ascii="宋体" w:hAnsi="宋体"/>
        </w:rPr>
      </w:pPr>
    </w:p>
    <w:p w14:paraId="3D9D17D6">
      <w:pPr>
        <w:rPr>
          <w:rStyle w:val="39"/>
          <w:rFonts w:hint="eastAsia" w:ascii="宋体" w:hAnsi="宋体"/>
        </w:rPr>
      </w:pPr>
    </w:p>
    <w:p w14:paraId="60C9A17A">
      <w:pPr>
        <w:rPr>
          <w:rStyle w:val="39"/>
          <w:rFonts w:hint="eastAsia" w:ascii="宋体" w:hAnsi="宋体"/>
        </w:rPr>
      </w:pPr>
    </w:p>
    <w:p w14:paraId="2BA74CAD">
      <w:pPr>
        <w:rPr>
          <w:rStyle w:val="39"/>
          <w:rFonts w:hint="eastAsia" w:ascii="宋体" w:hAnsi="宋体"/>
        </w:rPr>
      </w:pPr>
    </w:p>
    <w:p w14:paraId="04A8FE90">
      <w:pPr>
        <w:rPr>
          <w:rStyle w:val="39"/>
          <w:rFonts w:hint="eastAsia" w:ascii="宋体" w:hAnsi="宋体"/>
        </w:rPr>
      </w:pPr>
    </w:p>
    <w:p w14:paraId="21E06216">
      <w:pPr>
        <w:rPr>
          <w:rStyle w:val="39"/>
          <w:rFonts w:hint="eastAsia" w:ascii="宋体" w:hAnsi="宋体"/>
        </w:rPr>
      </w:pPr>
    </w:p>
    <w:p w14:paraId="33BA224A">
      <w:pPr>
        <w:rPr>
          <w:rStyle w:val="39"/>
          <w:rFonts w:hint="eastAsia" w:ascii="宋体" w:hAnsi="宋体"/>
        </w:rPr>
      </w:pPr>
    </w:p>
    <w:p w14:paraId="152B4414">
      <w:pPr>
        <w:rPr>
          <w:rStyle w:val="39"/>
          <w:rFonts w:hint="eastAsia" w:ascii="宋体" w:hAnsi="宋体"/>
        </w:rPr>
      </w:pPr>
    </w:p>
    <w:p w14:paraId="142FBD64">
      <w:pPr>
        <w:rPr>
          <w:rStyle w:val="39"/>
          <w:rFonts w:hint="eastAsia" w:ascii="宋体" w:hAnsi="宋体"/>
        </w:rPr>
      </w:pPr>
    </w:p>
    <w:p w14:paraId="6ADF8D1F">
      <w:pPr>
        <w:rPr>
          <w:rStyle w:val="39"/>
          <w:rFonts w:hint="eastAsia" w:ascii="宋体" w:hAnsi="宋体"/>
        </w:rPr>
      </w:pPr>
    </w:p>
    <w:p w14:paraId="2A6B4DE4">
      <w:pPr>
        <w:rPr>
          <w:rStyle w:val="39"/>
          <w:rFonts w:hint="eastAsia" w:ascii="宋体" w:hAnsi="宋体"/>
        </w:rPr>
      </w:pPr>
    </w:p>
    <w:p w14:paraId="51E7FC07">
      <w:pPr>
        <w:pStyle w:val="43"/>
        <w:spacing w:before="0" w:after="0"/>
        <w:jc w:val="center"/>
        <w:rPr>
          <w:rStyle w:val="39"/>
        </w:rPr>
      </w:pPr>
      <w:r>
        <w:rPr>
          <w:rStyle w:val="39"/>
        </w:rPr>
        <w:br w:type="page"/>
      </w:r>
    </w:p>
    <w:p w14:paraId="6F20FF99">
      <w:pPr>
        <w:pStyle w:val="43"/>
        <w:spacing w:before="0" w:after="0"/>
        <w:jc w:val="center"/>
        <w:rPr>
          <w:rStyle w:val="39"/>
          <w:rFonts w:hint="eastAsia" w:ascii="宋体" w:hAnsi="宋体"/>
          <w:sz w:val="24"/>
        </w:rPr>
      </w:pPr>
      <w:r>
        <w:rPr>
          <w:rStyle w:val="39"/>
          <w:rFonts w:ascii="宋体" w:hAnsi="宋体"/>
          <w:sz w:val="24"/>
        </w:rPr>
        <w:t>2．2．4 评分细则</w:t>
      </w:r>
    </w:p>
    <w:p w14:paraId="745A7DD0">
      <w:pPr>
        <w:pStyle w:val="43"/>
        <w:spacing w:before="0" w:after="0"/>
        <w:jc w:val="center"/>
        <w:rPr>
          <w:rStyle w:val="39"/>
          <w:rFonts w:hint="eastAsia" w:ascii="宋体" w:hAnsi="宋体"/>
          <w:sz w:val="24"/>
        </w:rPr>
      </w:pPr>
    </w:p>
    <w:p w14:paraId="3AAC0E92">
      <w:pPr>
        <w:spacing w:line="360" w:lineRule="auto"/>
        <w:ind w:firstLine="569" w:firstLineChars="236"/>
        <w:rPr>
          <w:rFonts w:hint="eastAsia" w:ascii="宋体" w:hAnsi="宋体" w:cs="宋体"/>
          <w:b/>
          <w:bCs/>
          <w:sz w:val="24"/>
        </w:rPr>
      </w:pPr>
      <w:bookmarkStart w:id="101" w:name="_Toc3914"/>
      <w:bookmarkStart w:id="102" w:name="_Toc17817335"/>
      <w:r>
        <w:rPr>
          <w:rFonts w:hint="eastAsia" w:ascii="宋体" w:hAnsi="宋体" w:cs="宋体"/>
          <w:b/>
          <w:bCs/>
          <w:sz w:val="24"/>
        </w:rPr>
        <w:t>本次评标采用技术标和商务标同时开标、分阶段评标的模式。</w:t>
      </w:r>
    </w:p>
    <w:p w14:paraId="7CFE9E0D">
      <w:pPr>
        <w:spacing w:line="360" w:lineRule="auto"/>
        <w:ind w:firstLine="569" w:firstLineChars="236"/>
        <w:rPr>
          <w:rFonts w:hint="eastAsia" w:ascii="宋体" w:hAnsi="宋体" w:cs="宋体"/>
          <w:b/>
          <w:bCs/>
          <w:sz w:val="24"/>
        </w:rPr>
      </w:pPr>
      <w:r>
        <w:rPr>
          <w:rFonts w:hint="eastAsia" w:ascii="宋体" w:hAnsi="宋体" w:cs="宋体"/>
          <w:b/>
          <w:bCs/>
          <w:sz w:val="24"/>
        </w:rPr>
        <w:t>首先进行技术标评审，由评标专家组对所有投标方的技术标部分综合评定和打分，确定进入商务标评比资格的投标方。（技术标评分不带入商务标）。</w:t>
      </w:r>
    </w:p>
    <w:p w14:paraId="4E81116D">
      <w:pPr>
        <w:spacing w:line="360" w:lineRule="auto"/>
        <w:ind w:firstLine="569" w:firstLineChars="236"/>
        <w:rPr>
          <w:rFonts w:hint="eastAsia" w:ascii="宋体" w:hAnsi="宋体" w:cs="宋体"/>
          <w:b/>
          <w:bCs/>
          <w:sz w:val="24"/>
        </w:rPr>
      </w:pPr>
      <w:r>
        <w:rPr>
          <w:rFonts w:hint="eastAsia" w:ascii="宋体" w:hAnsi="宋体" w:cs="宋体"/>
          <w:b/>
          <w:bCs/>
          <w:sz w:val="24"/>
        </w:rPr>
        <w:t>然后进行商务标的评标，招标人有权根据项目情况，商务标采取多轮评标模式，最终根据商务标的得分确定各投标人排序，原则上按照评标合理最低价确定推荐中标人（不保证最低价格中标），对未中标单位不做任何解释。</w:t>
      </w:r>
    </w:p>
    <w:p w14:paraId="066DAA21">
      <w:pPr>
        <w:spacing w:line="360" w:lineRule="auto"/>
        <w:ind w:firstLine="566" w:firstLineChars="236"/>
        <w:rPr>
          <w:rFonts w:ascii="宋体" w:cs="宋体"/>
          <w:kern w:val="0"/>
          <w:sz w:val="24"/>
        </w:rPr>
      </w:pPr>
      <w:r>
        <w:rPr>
          <w:rFonts w:hint="eastAsia" w:ascii="宋体" w:hAnsi="宋体" w:cs="宋体"/>
          <w:sz w:val="24"/>
        </w:rPr>
        <w:t>评分细则如下：</w:t>
      </w:r>
    </w:p>
    <w:p w14:paraId="3A263E25">
      <w:pPr>
        <w:pStyle w:val="43"/>
        <w:spacing w:before="0" w:after="0"/>
        <w:jc w:val="center"/>
        <w:rPr>
          <w:rStyle w:val="39"/>
          <w:rFonts w:hint="eastAsia" w:ascii="宋体" w:hAnsi="宋体"/>
          <w:sz w:val="24"/>
        </w:rPr>
      </w:pPr>
    </w:p>
    <w:p w14:paraId="475F28AA">
      <w:pPr>
        <w:pStyle w:val="43"/>
        <w:spacing w:before="0" w:after="0"/>
        <w:jc w:val="center"/>
        <w:rPr>
          <w:rStyle w:val="39"/>
          <w:rFonts w:hint="eastAsia" w:ascii="宋体" w:hAnsi="宋体"/>
          <w:sz w:val="24"/>
        </w:rPr>
      </w:pPr>
      <w:r>
        <w:rPr>
          <w:rStyle w:val="39"/>
          <w:rFonts w:ascii="宋体" w:hAnsi="宋体"/>
          <w:sz w:val="24"/>
        </w:rPr>
        <w:t>技术标评分细则（满分</w:t>
      </w:r>
      <w:r>
        <w:rPr>
          <w:rStyle w:val="39"/>
          <w:rFonts w:hint="eastAsia" w:ascii="宋体" w:hAnsi="宋体"/>
          <w:sz w:val="24"/>
        </w:rPr>
        <w:t>100</w:t>
      </w:r>
      <w:r>
        <w:rPr>
          <w:rStyle w:val="39"/>
          <w:rFonts w:ascii="宋体" w:hAnsi="宋体"/>
          <w:sz w:val="24"/>
        </w:rPr>
        <w:t>分）</w:t>
      </w:r>
    </w:p>
    <w:p w14:paraId="352EA7B2">
      <w:pPr>
        <w:pStyle w:val="43"/>
        <w:spacing w:before="0" w:after="0"/>
        <w:rPr>
          <w:rStyle w:val="39"/>
          <w:rFonts w:hint="eastAsia" w:ascii="宋体" w:hAnsi="宋体"/>
          <w:sz w:val="24"/>
        </w:rPr>
      </w:pPr>
    </w:p>
    <w:tbl>
      <w:tblPr>
        <w:tblStyle w:val="25"/>
        <w:tblW w:w="99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38"/>
        <w:gridCol w:w="1084"/>
        <w:gridCol w:w="887"/>
        <w:gridCol w:w="7458"/>
      </w:tblGrid>
      <w:tr w14:paraId="277328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38" w:type="dxa"/>
            <w:tcBorders>
              <w:top w:val="single" w:color="auto" w:sz="4" w:space="0"/>
              <w:left w:val="single" w:color="auto" w:sz="4" w:space="0"/>
              <w:bottom w:val="single" w:color="auto" w:sz="4" w:space="0"/>
              <w:right w:val="single" w:color="auto" w:sz="4" w:space="0"/>
            </w:tcBorders>
            <w:noWrap/>
            <w:vAlign w:val="center"/>
          </w:tcPr>
          <w:p w14:paraId="14058FB0">
            <w:pPr>
              <w:widowControl/>
              <w:spacing w:line="360" w:lineRule="auto"/>
              <w:jc w:val="center"/>
              <w:rPr>
                <w:rFonts w:ascii="宋体" w:cs="宋体"/>
                <w:spacing w:val="-20"/>
              </w:rPr>
            </w:pPr>
            <w:r>
              <w:rPr>
                <w:rFonts w:hint="eastAsia" w:ascii="宋体" w:cs="宋体"/>
                <w:spacing w:val="-20"/>
                <w:kern w:val="0"/>
                <w:szCs w:val="21"/>
              </w:rPr>
              <w:t>序号</w:t>
            </w:r>
          </w:p>
        </w:tc>
        <w:tc>
          <w:tcPr>
            <w:tcW w:w="1084" w:type="dxa"/>
            <w:tcBorders>
              <w:top w:val="single" w:color="auto" w:sz="4" w:space="0"/>
              <w:left w:val="single" w:color="auto" w:sz="4" w:space="0"/>
              <w:bottom w:val="single" w:color="auto" w:sz="4" w:space="0"/>
              <w:right w:val="single" w:color="auto" w:sz="4" w:space="0"/>
            </w:tcBorders>
            <w:noWrap/>
            <w:vAlign w:val="center"/>
          </w:tcPr>
          <w:p w14:paraId="35E5909B">
            <w:pPr>
              <w:widowControl/>
              <w:spacing w:line="360" w:lineRule="auto"/>
              <w:jc w:val="center"/>
              <w:rPr>
                <w:rFonts w:ascii="宋体" w:cs="宋体"/>
              </w:rPr>
            </w:pPr>
            <w:r>
              <w:rPr>
                <w:rFonts w:hint="eastAsia" w:ascii="宋体" w:cs="宋体"/>
                <w:kern w:val="0"/>
                <w:szCs w:val="21"/>
              </w:rPr>
              <w:t>类别</w:t>
            </w:r>
          </w:p>
        </w:tc>
        <w:tc>
          <w:tcPr>
            <w:tcW w:w="887" w:type="dxa"/>
            <w:tcBorders>
              <w:top w:val="single" w:color="auto" w:sz="4" w:space="0"/>
              <w:left w:val="single" w:color="auto" w:sz="4" w:space="0"/>
              <w:bottom w:val="single" w:color="auto" w:sz="4" w:space="0"/>
              <w:right w:val="single" w:color="auto" w:sz="4" w:space="0"/>
            </w:tcBorders>
            <w:noWrap/>
            <w:vAlign w:val="center"/>
          </w:tcPr>
          <w:p w14:paraId="055620D4">
            <w:pPr>
              <w:widowControl/>
              <w:spacing w:line="360" w:lineRule="auto"/>
              <w:jc w:val="center"/>
              <w:rPr>
                <w:rFonts w:ascii="宋体" w:cs="宋体"/>
              </w:rPr>
            </w:pPr>
            <w:r>
              <w:rPr>
                <w:rFonts w:hint="eastAsia" w:ascii="宋体" w:cs="宋体"/>
                <w:kern w:val="0"/>
                <w:szCs w:val="21"/>
              </w:rPr>
              <w:t>满分</w:t>
            </w:r>
          </w:p>
        </w:tc>
        <w:tc>
          <w:tcPr>
            <w:tcW w:w="7458" w:type="dxa"/>
            <w:tcBorders>
              <w:top w:val="single" w:color="auto" w:sz="4" w:space="0"/>
              <w:left w:val="single" w:color="auto" w:sz="4" w:space="0"/>
              <w:bottom w:val="single" w:color="auto" w:sz="4" w:space="0"/>
              <w:right w:val="single" w:color="auto" w:sz="4" w:space="0"/>
            </w:tcBorders>
            <w:noWrap/>
            <w:vAlign w:val="center"/>
          </w:tcPr>
          <w:p w14:paraId="255574F8">
            <w:pPr>
              <w:widowControl/>
              <w:spacing w:line="360" w:lineRule="auto"/>
              <w:jc w:val="center"/>
              <w:rPr>
                <w:rFonts w:ascii="宋体" w:cs="宋体"/>
              </w:rPr>
            </w:pPr>
            <w:r>
              <w:rPr>
                <w:rFonts w:hint="eastAsia" w:ascii="宋体" w:cs="宋体"/>
                <w:kern w:val="0"/>
                <w:szCs w:val="21"/>
              </w:rPr>
              <w:t>得  分  标  准</w:t>
            </w:r>
          </w:p>
        </w:tc>
      </w:tr>
      <w:tr w14:paraId="78A3E9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538" w:type="dxa"/>
            <w:vMerge w:val="restart"/>
            <w:tcBorders>
              <w:top w:val="single" w:color="auto" w:sz="4" w:space="0"/>
              <w:left w:val="single" w:color="auto" w:sz="4" w:space="0"/>
              <w:bottom w:val="single" w:color="auto" w:sz="4" w:space="0"/>
              <w:right w:val="single" w:color="auto" w:sz="4" w:space="0"/>
            </w:tcBorders>
            <w:noWrap/>
            <w:vAlign w:val="center"/>
          </w:tcPr>
          <w:p w14:paraId="760AB4E5">
            <w:pPr>
              <w:widowControl/>
              <w:spacing w:line="360" w:lineRule="auto"/>
              <w:jc w:val="center"/>
              <w:rPr>
                <w:rFonts w:ascii="宋体" w:cs="宋体"/>
              </w:rPr>
            </w:pPr>
            <w:r>
              <w:rPr>
                <w:rFonts w:hint="eastAsia" w:ascii="宋体" w:cs="宋体"/>
                <w:kern w:val="0"/>
                <w:szCs w:val="21"/>
              </w:rPr>
              <w:t>1</w:t>
            </w:r>
          </w:p>
        </w:tc>
        <w:tc>
          <w:tcPr>
            <w:tcW w:w="1084" w:type="dxa"/>
            <w:vMerge w:val="restart"/>
            <w:tcBorders>
              <w:top w:val="single" w:color="auto" w:sz="4" w:space="0"/>
              <w:left w:val="single" w:color="auto" w:sz="4" w:space="0"/>
              <w:bottom w:val="single" w:color="auto" w:sz="4" w:space="0"/>
              <w:right w:val="single" w:color="auto" w:sz="4" w:space="0"/>
            </w:tcBorders>
            <w:noWrap/>
            <w:vAlign w:val="center"/>
          </w:tcPr>
          <w:p w14:paraId="790D6E3C">
            <w:pPr>
              <w:widowControl/>
              <w:spacing w:line="360" w:lineRule="auto"/>
              <w:rPr>
                <w:rFonts w:ascii="宋体" w:cs="宋体"/>
              </w:rPr>
            </w:pPr>
            <w:r>
              <w:rPr>
                <w:rFonts w:hint="eastAsia" w:ascii="宋体" w:cs="宋体"/>
                <w:kern w:val="0"/>
                <w:szCs w:val="21"/>
              </w:rPr>
              <w:t>施工</w:t>
            </w:r>
          </w:p>
          <w:p w14:paraId="4234A857">
            <w:pPr>
              <w:widowControl/>
              <w:spacing w:line="360" w:lineRule="auto"/>
              <w:rPr>
                <w:rFonts w:ascii="宋体" w:cs="宋体"/>
              </w:rPr>
            </w:pPr>
            <w:r>
              <w:rPr>
                <w:rFonts w:hint="eastAsia" w:ascii="宋体" w:cs="宋体"/>
                <w:kern w:val="0"/>
                <w:szCs w:val="21"/>
              </w:rPr>
              <w:t>组织设计（</w:t>
            </w:r>
            <w:r>
              <w:rPr>
                <w:rFonts w:hint="eastAsia" w:ascii="宋体" w:cs="宋体"/>
                <w:kern w:val="0"/>
                <w:szCs w:val="21"/>
                <w:lang w:val="en-US" w:eastAsia="zh-CN"/>
              </w:rPr>
              <w:t>10</w:t>
            </w:r>
            <w:r>
              <w:rPr>
                <w:rFonts w:hint="eastAsia" w:ascii="宋体" w:cs="宋体"/>
                <w:kern w:val="0"/>
                <w:szCs w:val="21"/>
              </w:rPr>
              <w:t>0分）</w:t>
            </w:r>
          </w:p>
        </w:tc>
        <w:tc>
          <w:tcPr>
            <w:tcW w:w="887" w:type="dxa"/>
            <w:tcBorders>
              <w:top w:val="single" w:color="auto" w:sz="4" w:space="0"/>
              <w:left w:val="single" w:color="auto" w:sz="4" w:space="0"/>
              <w:bottom w:val="single" w:color="auto" w:sz="4" w:space="0"/>
              <w:right w:val="single" w:color="auto" w:sz="4" w:space="0"/>
            </w:tcBorders>
            <w:noWrap/>
            <w:vAlign w:val="center"/>
          </w:tcPr>
          <w:p w14:paraId="25029D36">
            <w:pPr>
              <w:widowControl/>
              <w:spacing w:line="360" w:lineRule="auto"/>
              <w:jc w:val="center"/>
              <w:rPr>
                <w:rFonts w:ascii="宋体" w:cs="宋体"/>
              </w:rPr>
            </w:pPr>
            <w:r>
              <w:rPr>
                <w:rFonts w:hint="eastAsia" w:ascii="宋体" w:cs="宋体"/>
                <w:kern w:val="0"/>
                <w:szCs w:val="21"/>
              </w:rPr>
              <w:t>20分</w:t>
            </w:r>
          </w:p>
        </w:tc>
        <w:tc>
          <w:tcPr>
            <w:tcW w:w="7458" w:type="dxa"/>
            <w:tcBorders>
              <w:top w:val="single" w:color="auto" w:sz="4" w:space="0"/>
              <w:left w:val="single" w:color="auto" w:sz="4" w:space="0"/>
              <w:bottom w:val="single" w:color="auto" w:sz="4" w:space="0"/>
              <w:right w:val="single" w:color="auto" w:sz="4" w:space="0"/>
            </w:tcBorders>
            <w:noWrap/>
          </w:tcPr>
          <w:p w14:paraId="6098B004">
            <w:pPr>
              <w:pStyle w:val="12"/>
              <w:widowControl/>
              <w:spacing w:line="360" w:lineRule="auto"/>
              <w:rPr>
                <w:rFonts w:ascii="宋体" w:hAnsi="Calibri" w:cs="宋体"/>
              </w:rPr>
            </w:pPr>
            <w:r>
              <w:rPr>
                <w:rFonts w:hint="eastAsia" w:ascii="宋体" w:hAnsi="Calibri" w:cs="宋体"/>
              </w:rPr>
              <w:t>施工组织总体方案（</w:t>
            </w:r>
            <w:r>
              <w:rPr>
                <w:rFonts w:hint="eastAsia" w:ascii="宋体" w:cs="宋体"/>
              </w:rPr>
              <w:t>对项目特点认知、项目管理机构组建、施工准备、施工总平面布置、施工组织等）等进行阐述，</w:t>
            </w:r>
            <w:r>
              <w:rPr>
                <w:rFonts w:hint="eastAsia" w:ascii="宋体" w:hAnsi="Calibri" w:cs="宋体"/>
              </w:rPr>
              <w:t>力求简洁。评委根据</w:t>
            </w:r>
            <w:r>
              <w:rPr>
                <w:rFonts w:hint="eastAsia" w:ascii="宋体" w:hAnsi="Calibri" w:cs="宋体"/>
                <w:b/>
                <w:bCs/>
              </w:rPr>
              <w:t>投标文件情况及项目经理现场答辩情况</w:t>
            </w:r>
            <w:r>
              <w:rPr>
                <w:rFonts w:hint="eastAsia" w:ascii="宋体" w:hAnsi="Calibri" w:cs="宋体"/>
              </w:rPr>
              <w:t>分为一般、良、优，</w:t>
            </w:r>
            <w:r>
              <w:rPr>
                <w:rFonts w:hint="eastAsia" w:ascii="宋体" w:hAnsi="Times New Roman" w:cs="宋体"/>
                <w:kern w:val="0"/>
                <w:szCs w:val="21"/>
              </w:rPr>
              <w:t>分别酌情得</w:t>
            </w:r>
            <w:r>
              <w:rPr>
                <w:rFonts w:hint="eastAsia" w:ascii="宋体" w:cs="宋体"/>
                <w:kern w:val="0"/>
                <w:szCs w:val="21"/>
              </w:rPr>
              <w:t>0-10分,10-15分,15-20</w:t>
            </w:r>
            <w:r>
              <w:rPr>
                <w:rFonts w:hint="eastAsia" w:ascii="宋体" w:cs="宋体"/>
              </w:rPr>
              <w:t>分，</w:t>
            </w:r>
            <w:r>
              <w:rPr>
                <w:rFonts w:hint="eastAsia" w:ascii="宋体" w:hAnsi="Calibri" w:cs="宋体"/>
              </w:rPr>
              <w:t>内容不全酌情扣分，若此条缺项不得分。</w:t>
            </w:r>
          </w:p>
        </w:tc>
      </w:tr>
      <w:tr w14:paraId="59AC63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538" w:type="dxa"/>
            <w:vMerge w:val="continue"/>
            <w:tcBorders>
              <w:top w:val="single" w:color="auto" w:sz="4" w:space="0"/>
              <w:left w:val="single" w:color="auto" w:sz="4" w:space="0"/>
              <w:bottom w:val="single" w:color="auto" w:sz="4" w:space="0"/>
              <w:right w:val="single" w:color="auto" w:sz="4" w:space="0"/>
            </w:tcBorders>
            <w:noWrap/>
            <w:vAlign w:val="center"/>
          </w:tcPr>
          <w:p w14:paraId="098009E3">
            <w:pPr>
              <w:rPr>
                <w:sz w:val="20"/>
                <w:szCs w:val="20"/>
              </w:rPr>
            </w:pPr>
          </w:p>
        </w:tc>
        <w:tc>
          <w:tcPr>
            <w:tcW w:w="1084" w:type="dxa"/>
            <w:vMerge w:val="continue"/>
            <w:tcBorders>
              <w:top w:val="single" w:color="auto" w:sz="4" w:space="0"/>
              <w:left w:val="single" w:color="auto" w:sz="4" w:space="0"/>
              <w:bottom w:val="single" w:color="auto" w:sz="4" w:space="0"/>
              <w:right w:val="single" w:color="auto" w:sz="4" w:space="0"/>
            </w:tcBorders>
            <w:noWrap/>
            <w:vAlign w:val="center"/>
          </w:tcPr>
          <w:p w14:paraId="121A53F2">
            <w:pPr>
              <w:rPr>
                <w:sz w:val="20"/>
                <w:szCs w:val="20"/>
              </w:rPr>
            </w:pPr>
          </w:p>
        </w:tc>
        <w:tc>
          <w:tcPr>
            <w:tcW w:w="887" w:type="dxa"/>
            <w:tcBorders>
              <w:top w:val="single" w:color="auto" w:sz="4" w:space="0"/>
              <w:left w:val="single" w:color="auto" w:sz="4" w:space="0"/>
              <w:bottom w:val="single" w:color="auto" w:sz="4" w:space="0"/>
              <w:right w:val="single" w:color="auto" w:sz="4" w:space="0"/>
            </w:tcBorders>
            <w:noWrap/>
            <w:vAlign w:val="center"/>
          </w:tcPr>
          <w:p w14:paraId="30C550F0">
            <w:pPr>
              <w:widowControl/>
              <w:spacing w:line="360" w:lineRule="auto"/>
              <w:jc w:val="center"/>
              <w:rPr>
                <w:rFonts w:ascii="宋体" w:cs="宋体"/>
              </w:rPr>
            </w:pPr>
            <w:r>
              <w:rPr>
                <w:rFonts w:hint="eastAsia" w:ascii="宋体" w:cs="宋体"/>
                <w:kern w:val="0"/>
                <w:szCs w:val="21"/>
              </w:rPr>
              <w:t>20分</w:t>
            </w:r>
          </w:p>
        </w:tc>
        <w:tc>
          <w:tcPr>
            <w:tcW w:w="7458" w:type="dxa"/>
            <w:tcBorders>
              <w:top w:val="single" w:color="auto" w:sz="4" w:space="0"/>
              <w:left w:val="single" w:color="auto" w:sz="4" w:space="0"/>
              <w:bottom w:val="single" w:color="auto" w:sz="4" w:space="0"/>
              <w:right w:val="single" w:color="auto" w:sz="4" w:space="0"/>
            </w:tcBorders>
            <w:noWrap/>
          </w:tcPr>
          <w:p w14:paraId="27504910">
            <w:pPr>
              <w:widowControl/>
              <w:spacing w:line="360" w:lineRule="auto"/>
              <w:rPr>
                <w:rFonts w:ascii="宋体" w:cs="宋体"/>
              </w:rPr>
            </w:pPr>
            <w:r>
              <w:rPr>
                <w:rFonts w:hint="eastAsia" w:ascii="宋体" w:cs="宋体"/>
                <w:kern w:val="0"/>
                <w:szCs w:val="21"/>
              </w:rPr>
              <w:t>施工进度计划及保证措施（1、要求根据建设单位提供的关键节点，提供施工总进度横道图或网络图计划，施工内容要切合实际、全面；2、列举分析本工程的工期风险点及应对保证措施）。评委根据投标文件情况分为一般、良、优，分分别酌情得0-10分,10-15分,15-20</w:t>
            </w:r>
            <w:r>
              <w:rPr>
                <w:rFonts w:hint="eastAsia" w:ascii="宋体" w:cs="宋体"/>
              </w:rPr>
              <w:t>分</w:t>
            </w:r>
            <w:r>
              <w:rPr>
                <w:rFonts w:hint="eastAsia" w:ascii="宋体" w:cs="宋体"/>
                <w:kern w:val="0"/>
                <w:szCs w:val="21"/>
              </w:rPr>
              <w:t>，内容不全酌情扣分，若此条缺项不得分。</w:t>
            </w:r>
          </w:p>
        </w:tc>
      </w:tr>
      <w:tr w14:paraId="598F0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538" w:type="dxa"/>
            <w:vMerge w:val="continue"/>
            <w:tcBorders>
              <w:top w:val="single" w:color="auto" w:sz="4" w:space="0"/>
              <w:left w:val="single" w:color="auto" w:sz="4" w:space="0"/>
              <w:bottom w:val="single" w:color="auto" w:sz="4" w:space="0"/>
              <w:right w:val="single" w:color="auto" w:sz="4" w:space="0"/>
            </w:tcBorders>
            <w:noWrap/>
            <w:vAlign w:val="center"/>
          </w:tcPr>
          <w:p w14:paraId="4E3D6F18">
            <w:pPr>
              <w:rPr>
                <w:sz w:val="20"/>
                <w:szCs w:val="20"/>
              </w:rPr>
            </w:pPr>
          </w:p>
        </w:tc>
        <w:tc>
          <w:tcPr>
            <w:tcW w:w="1084" w:type="dxa"/>
            <w:vMerge w:val="continue"/>
            <w:tcBorders>
              <w:top w:val="single" w:color="auto" w:sz="4" w:space="0"/>
              <w:left w:val="single" w:color="auto" w:sz="4" w:space="0"/>
              <w:bottom w:val="single" w:color="auto" w:sz="4" w:space="0"/>
              <w:right w:val="single" w:color="auto" w:sz="4" w:space="0"/>
            </w:tcBorders>
            <w:noWrap/>
            <w:vAlign w:val="center"/>
          </w:tcPr>
          <w:p w14:paraId="7D3B078A">
            <w:pPr>
              <w:rPr>
                <w:sz w:val="20"/>
                <w:szCs w:val="20"/>
              </w:rPr>
            </w:pPr>
          </w:p>
        </w:tc>
        <w:tc>
          <w:tcPr>
            <w:tcW w:w="887" w:type="dxa"/>
            <w:tcBorders>
              <w:top w:val="single" w:color="auto" w:sz="4" w:space="0"/>
              <w:left w:val="single" w:color="auto" w:sz="4" w:space="0"/>
              <w:bottom w:val="single" w:color="auto" w:sz="4" w:space="0"/>
              <w:right w:val="single" w:color="auto" w:sz="4" w:space="0"/>
            </w:tcBorders>
            <w:noWrap/>
            <w:vAlign w:val="center"/>
          </w:tcPr>
          <w:p w14:paraId="7CED0F58">
            <w:pPr>
              <w:widowControl/>
              <w:spacing w:line="360" w:lineRule="auto"/>
              <w:jc w:val="center"/>
              <w:rPr>
                <w:rFonts w:ascii="宋体" w:cs="宋体"/>
              </w:rPr>
            </w:pPr>
            <w:r>
              <w:rPr>
                <w:rFonts w:hint="eastAsia" w:ascii="宋体" w:cs="宋体"/>
                <w:kern w:val="0"/>
                <w:szCs w:val="21"/>
              </w:rPr>
              <w:t>20分</w:t>
            </w:r>
          </w:p>
        </w:tc>
        <w:tc>
          <w:tcPr>
            <w:tcW w:w="7458" w:type="dxa"/>
            <w:tcBorders>
              <w:top w:val="single" w:color="auto" w:sz="4" w:space="0"/>
              <w:left w:val="single" w:color="auto" w:sz="4" w:space="0"/>
              <w:bottom w:val="single" w:color="auto" w:sz="4" w:space="0"/>
              <w:right w:val="single" w:color="auto" w:sz="4" w:space="0"/>
            </w:tcBorders>
            <w:noWrap/>
          </w:tcPr>
          <w:p w14:paraId="7EB9F533">
            <w:pPr>
              <w:widowControl/>
              <w:spacing w:line="360" w:lineRule="auto"/>
              <w:rPr>
                <w:rFonts w:ascii="宋体" w:cs="宋体"/>
              </w:rPr>
            </w:pPr>
            <w:r>
              <w:rPr>
                <w:rFonts w:hint="eastAsia" w:ascii="宋体" w:cs="宋体"/>
                <w:kern w:val="0"/>
                <w:szCs w:val="21"/>
              </w:rPr>
              <w:t>关键施工技术、工艺及工程实施的重点、难点分析。要求提炼出招标项目的关键施工工艺、施工重难点、危险性较大的专项工程等。评委根据投标文件情况分为一般、良、优，别酌情得分别酌情得0-10分,10-15分,15-20</w:t>
            </w:r>
            <w:r>
              <w:rPr>
                <w:rFonts w:hint="eastAsia" w:ascii="宋体" w:cs="宋体"/>
              </w:rPr>
              <w:t>分</w:t>
            </w:r>
            <w:r>
              <w:rPr>
                <w:rFonts w:hint="eastAsia" w:ascii="宋体" w:cs="宋体"/>
                <w:kern w:val="0"/>
                <w:szCs w:val="21"/>
              </w:rPr>
              <w:t>，内容不全酌情扣分，若此条缺项不得分。</w:t>
            </w:r>
          </w:p>
        </w:tc>
      </w:tr>
      <w:tr w14:paraId="32673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538" w:type="dxa"/>
            <w:vMerge w:val="continue"/>
            <w:tcBorders>
              <w:top w:val="single" w:color="auto" w:sz="4" w:space="0"/>
              <w:left w:val="single" w:color="auto" w:sz="4" w:space="0"/>
              <w:bottom w:val="single" w:color="auto" w:sz="4" w:space="0"/>
              <w:right w:val="single" w:color="auto" w:sz="4" w:space="0"/>
            </w:tcBorders>
            <w:noWrap/>
            <w:vAlign w:val="center"/>
          </w:tcPr>
          <w:p w14:paraId="244C2C43">
            <w:pPr>
              <w:rPr>
                <w:sz w:val="20"/>
                <w:szCs w:val="20"/>
              </w:rPr>
            </w:pPr>
          </w:p>
        </w:tc>
        <w:tc>
          <w:tcPr>
            <w:tcW w:w="1084" w:type="dxa"/>
            <w:vMerge w:val="continue"/>
            <w:tcBorders>
              <w:top w:val="single" w:color="auto" w:sz="4" w:space="0"/>
              <w:left w:val="single" w:color="auto" w:sz="4" w:space="0"/>
              <w:bottom w:val="single" w:color="auto" w:sz="4" w:space="0"/>
              <w:right w:val="single" w:color="auto" w:sz="4" w:space="0"/>
            </w:tcBorders>
            <w:noWrap/>
            <w:vAlign w:val="center"/>
          </w:tcPr>
          <w:p w14:paraId="648D9FCF">
            <w:pPr>
              <w:rPr>
                <w:sz w:val="20"/>
                <w:szCs w:val="20"/>
              </w:rPr>
            </w:pPr>
          </w:p>
        </w:tc>
        <w:tc>
          <w:tcPr>
            <w:tcW w:w="887" w:type="dxa"/>
            <w:tcBorders>
              <w:top w:val="single" w:color="auto" w:sz="4" w:space="0"/>
              <w:left w:val="single" w:color="auto" w:sz="4" w:space="0"/>
              <w:bottom w:val="single" w:color="auto" w:sz="4" w:space="0"/>
              <w:right w:val="single" w:color="auto" w:sz="4" w:space="0"/>
            </w:tcBorders>
            <w:noWrap/>
            <w:vAlign w:val="center"/>
          </w:tcPr>
          <w:p w14:paraId="062FF3FB">
            <w:pPr>
              <w:widowControl/>
              <w:spacing w:line="360" w:lineRule="auto"/>
              <w:jc w:val="center"/>
              <w:rPr>
                <w:rFonts w:ascii="宋体" w:cs="宋体"/>
              </w:rPr>
            </w:pPr>
            <w:r>
              <w:rPr>
                <w:rFonts w:hint="eastAsia" w:ascii="宋体" w:cs="宋体"/>
                <w:kern w:val="0"/>
                <w:szCs w:val="21"/>
              </w:rPr>
              <w:t>20分</w:t>
            </w:r>
          </w:p>
        </w:tc>
        <w:tc>
          <w:tcPr>
            <w:tcW w:w="7458" w:type="dxa"/>
            <w:tcBorders>
              <w:top w:val="single" w:color="auto" w:sz="4" w:space="0"/>
              <w:left w:val="single" w:color="auto" w:sz="4" w:space="0"/>
              <w:bottom w:val="single" w:color="auto" w:sz="4" w:space="0"/>
              <w:right w:val="single" w:color="auto" w:sz="4" w:space="0"/>
            </w:tcBorders>
            <w:noWrap/>
          </w:tcPr>
          <w:p w14:paraId="6A1E109F">
            <w:pPr>
              <w:widowControl/>
              <w:spacing w:line="360" w:lineRule="auto"/>
              <w:rPr>
                <w:rFonts w:ascii="宋体" w:cs="宋体"/>
              </w:rPr>
            </w:pPr>
            <w:r>
              <w:rPr>
                <w:rFonts w:hint="eastAsia" w:ascii="宋体" w:cs="宋体"/>
                <w:kern w:val="0"/>
                <w:szCs w:val="21"/>
              </w:rPr>
              <w:t>质量保证措施。（要求针对性分析本工程容易出现的质量通病、质量控制重点和保证措施）评委根据投标文件情况分为一般、良、优，</w:t>
            </w:r>
            <w:r>
              <w:rPr>
                <w:rFonts w:hint="eastAsia" w:ascii="宋体" w:hAnsi="Calibri" w:cs="宋体"/>
              </w:rPr>
              <w:t>分别酌情得</w:t>
            </w:r>
            <w:r>
              <w:rPr>
                <w:rFonts w:hint="eastAsia" w:ascii="宋体" w:cs="宋体"/>
                <w:kern w:val="0"/>
                <w:szCs w:val="21"/>
              </w:rPr>
              <w:t>分别酌情得0-10分,10-15分,15-20</w:t>
            </w:r>
            <w:r>
              <w:rPr>
                <w:rFonts w:hint="eastAsia" w:ascii="宋体" w:cs="宋体"/>
              </w:rPr>
              <w:t>分</w:t>
            </w:r>
            <w:r>
              <w:rPr>
                <w:rFonts w:hint="eastAsia" w:ascii="宋体" w:cs="宋体"/>
                <w:kern w:val="0"/>
                <w:szCs w:val="21"/>
              </w:rPr>
              <w:t>，内容不全酌情扣分，若此条缺项不得分。</w:t>
            </w:r>
          </w:p>
        </w:tc>
      </w:tr>
      <w:tr w14:paraId="66D42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93" w:hRule="atLeast"/>
          <w:jc w:val="center"/>
        </w:trPr>
        <w:tc>
          <w:tcPr>
            <w:tcW w:w="538" w:type="dxa"/>
            <w:vMerge w:val="continue"/>
            <w:tcBorders>
              <w:top w:val="single" w:color="auto" w:sz="4" w:space="0"/>
              <w:left w:val="single" w:color="auto" w:sz="4" w:space="0"/>
              <w:bottom w:val="single" w:color="auto" w:sz="4" w:space="0"/>
              <w:right w:val="single" w:color="auto" w:sz="4" w:space="0"/>
            </w:tcBorders>
            <w:noWrap/>
            <w:vAlign w:val="center"/>
          </w:tcPr>
          <w:p w14:paraId="05808BAE">
            <w:pPr>
              <w:rPr>
                <w:sz w:val="20"/>
                <w:szCs w:val="20"/>
              </w:rPr>
            </w:pPr>
          </w:p>
        </w:tc>
        <w:tc>
          <w:tcPr>
            <w:tcW w:w="1084" w:type="dxa"/>
            <w:vMerge w:val="continue"/>
            <w:tcBorders>
              <w:top w:val="single" w:color="auto" w:sz="4" w:space="0"/>
              <w:left w:val="single" w:color="auto" w:sz="4" w:space="0"/>
              <w:bottom w:val="single" w:color="auto" w:sz="4" w:space="0"/>
              <w:right w:val="single" w:color="auto" w:sz="4" w:space="0"/>
            </w:tcBorders>
            <w:noWrap/>
            <w:vAlign w:val="center"/>
          </w:tcPr>
          <w:p w14:paraId="0109FBFE">
            <w:pPr>
              <w:rPr>
                <w:sz w:val="20"/>
                <w:szCs w:val="20"/>
              </w:rPr>
            </w:pPr>
          </w:p>
        </w:tc>
        <w:tc>
          <w:tcPr>
            <w:tcW w:w="887" w:type="dxa"/>
            <w:tcBorders>
              <w:top w:val="single" w:color="auto" w:sz="4" w:space="0"/>
              <w:left w:val="single" w:color="auto" w:sz="4" w:space="0"/>
              <w:bottom w:val="single" w:color="auto" w:sz="4" w:space="0"/>
              <w:right w:val="single" w:color="auto" w:sz="4" w:space="0"/>
            </w:tcBorders>
            <w:noWrap/>
            <w:vAlign w:val="center"/>
          </w:tcPr>
          <w:p w14:paraId="4F3E987D">
            <w:pPr>
              <w:widowControl/>
              <w:spacing w:line="360" w:lineRule="auto"/>
              <w:jc w:val="center"/>
              <w:rPr>
                <w:rFonts w:ascii="宋体" w:cs="宋体"/>
              </w:rPr>
            </w:pPr>
            <w:r>
              <w:rPr>
                <w:rFonts w:hint="eastAsia" w:ascii="宋体" w:cs="宋体"/>
                <w:kern w:val="0"/>
                <w:szCs w:val="21"/>
              </w:rPr>
              <w:t>20分</w:t>
            </w:r>
          </w:p>
        </w:tc>
        <w:tc>
          <w:tcPr>
            <w:tcW w:w="7458" w:type="dxa"/>
            <w:tcBorders>
              <w:top w:val="single" w:color="auto" w:sz="4" w:space="0"/>
              <w:left w:val="single" w:color="auto" w:sz="4" w:space="0"/>
              <w:bottom w:val="single" w:color="auto" w:sz="4" w:space="0"/>
              <w:right w:val="single" w:color="auto" w:sz="4" w:space="0"/>
            </w:tcBorders>
            <w:noWrap/>
          </w:tcPr>
          <w:p w14:paraId="03392FD9">
            <w:pPr>
              <w:widowControl/>
              <w:spacing w:line="360" w:lineRule="auto"/>
              <w:rPr>
                <w:rFonts w:ascii="宋体" w:cs="宋体"/>
              </w:rPr>
            </w:pPr>
            <w:r>
              <w:rPr>
                <w:rFonts w:hint="eastAsia" w:ascii="宋体" w:cs="宋体"/>
                <w:kern w:val="0"/>
                <w:szCs w:val="21"/>
              </w:rPr>
              <w:t>安全文明施工措施。（要求对安全生产、文明施工、环境保护及防尘施工措施，制定保证措施和承诺）。评委根据投标文件情况分为一般、良、优，</w:t>
            </w:r>
            <w:r>
              <w:rPr>
                <w:rFonts w:hint="eastAsia" w:ascii="宋体" w:hAnsi="Calibri" w:cs="宋体"/>
              </w:rPr>
              <w:t>分别酌情</w:t>
            </w:r>
            <w:r>
              <w:rPr>
                <w:rFonts w:hint="eastAsia" w:ascii="宋体" w:cs="宋体"/>
                <w:kern w:val="0"/>
                <w:szCs w:val="21"/>
              </w:rPr>
              <w:t>得0-10分,10-15分,15-20</w:t>
            </w:r>
            <w:r>
              <w:rPr>
                <w:rFonts w:hint="eastAsia" w:ascii="宋体" w:cs="宋体"/>
              </w:rPr>
              <w:t>分</w:t>
            </w:r>
            <w:r>
              <w:rPr>
                <w:rFonts w:hint="eastAsia" w:ascii="宋体" w:cs="宋体"/>
                <w:kern w:val="0"/>
                <w:szCs w:val="21"/>
              </w:rPr>
              <w:t>，内容不全酌情扣分，若此条缺项不得分。</w:t>
            </w:r>
          </w:p>
        </w:tc>
      </w:tr>
      <w:tr w14:paraId="666F13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jc w:val="center"/>
        </w:trPr>
        <w:tc>
          <w:tcPr>
            <w:tcW w:w="538" w:type="dxa"/>
            <w:tcBorders>
              <w:top w:val="single" w:color="auto" w:sz="2" w:space="0"/>
              <w:left w:val="single" w:color="auto" w:sz="2" w:space="0"/>
              <w:bottom w:val="single" w:color="auto" w:sz="2" w:space="0"/>
              <w:right w:val="single" w:color="auto" w:sz="2" w:space="0"/>
            </w:tcBorders>
            <w:noWrap/>
            <w:tcMar>
              <w:left w:w="91" w:type="dxa"/>
            </w:tcMar>
            <w:vAlign w:val="center"/>
          </w:tcPr>
          <w:p w14:paraId="482B49A8">
            <w:pPr>
              <w:widowControl/>
              <w:spacing w:line="360" w:lineRule="auto"/>
              <w:jc w:val="center"/>
              <w:rPr>
                <w:rFonts w:ascii="宋体" w:cs="宋体"/>
              </w:rPr>
            </w:pPr>
            <w:r>
              <w:rPr>
                <w:rFonts w:hint="eastAsia" w:ascii="宋体" w:cs="宋体"/>
                <w:kern w:val="0"/>
                <w:szCs w:val="21"/>
              </w:rPr>
              <w:t>2</w:t>
            </w:r>
          </w:p>
        </w:tc>
        <w:tc>
          <w:tcPr>
            <w:tcW w:w="1084" w:type="dxa"/>
            <w:tcBorders>
              <w:top w:val="single" w:color="auto" w:sz="2" w:space="0"/>
              <w:left w:val="single" w:color="auto" w:sz="2" w:space="0"/>
              <w:bottom w:val="single" w:color="auto" w:sz="2" w:space="0"/>
              <w:right w:val="single" w:color="auto" w:sz="2" w:space="0"/>
            </w:tcBorders>
            <w:noWrap/>
            <w:tcMar>
              <w:left w:w="91" w:type="dxa"/>
            </w:tcMar>
            <w:vAlign w:val="center"/>
          </w:tcPr>
          <w:p w14:paraId="5D660303">
            <w:pPr>
              <w:widowControl/>
              <w:spacing w:line="360" w:lineRule="auto"/>
              <w:jc w:val="center"/>
              <w:rPr>
                <w:rFonts w:ascii="宋体" w:cs="宋体"/>
              </w:rPr>
            </w:pPr>
            <w:r>
              <w:rPr>
                <w:rFonts w:hint="eastAsia" w:ascii="宋体" w:cs="宋体"/>
                <w:kern w:val="0"/>
                <w:szCs w:val="21"/>
              </w:rPr>
              <w:t>合计</w:t>
            </w:r>
          </w:p>
        </w:tc>
        <w:tc>
          <w:tcPr>
            <w:tcW w:w="887" w:type="dxa"/>
            <w:tcBorders>
              <w:top w:val="single" w:color="auto" w:sz="2" w:space="0"/>
              <w:left w:val="single" w:color="auto" w:sz="2" w:space="0"/>
              <w:bottom w:val="single" w:color="auto" w:sz="2" w:space="0"/>
              <w:right w:val="single" w:color="auto" w:sz="2" w:space="0"/>
            </w:tcBorders>
            <w:noWrap/>
            <w:tcMar>
              <w:left w:w="91" w:type="dxa"/>
            </w:tcMar>
            <w:vAlign w:val="center"/>
          </w:tcPr>
          <w:p w14:paraId="5474BD0F">
            <w:pPr>
              <w:widowControl/>
              <w:spacing w:line="360" w:lineRule="auto"/>
              <w:jc w:val="center"/>
              <w:rPr>
                <w:rFonts w:ascii="宋体" w:cs="宋体"/>
              </w:rPr>
            </w:pPr>
            <w:r>
              <w:rPr>
                <w:rFonts w:hint="eastAsia" w:ascii="宋体" w:cs="宋体"/>
                <w:kern w:val="0"/>
                <w:szCs w:val="21"/>
              </w:rPr>
              <w:t>100分</w:t>
            </w:r>
          </w:p>
        </w:tc>
        <w:tc>
          <w:tcPr>
            <w:tcW w:w="7458" w:type="dxa"/>
            <w:tcBorders>
              <w:top w:val="single" w:color="auto" w:sz="2" w:space="0"/>
              <w:left w:val="single" w:color="auto" w:sz="2" w:space="0"/>
              <w:bottom w:val="single" w:color="auto" w:sz="2" w:space="0"/>
              <w:right w:val="single" w:color="auto" w:sz="2" w:space="0"/>
            </w:tcBorders>
            <w:noWrap/>
            <w:tcMar>
              <w:left w:w="91" w:type="dxa"/>
            </w:tcMar>
            <w:vAlign w:val="center"/>
          </w:tcPr>
          <w:p w14:paraId="31A0C8A0">
            <w:pPr>
              <w:widowControl/>
              <w:spacing w:line="360" w:lineRule="auto"/>
              <w:rPr>
                <w:rFonts w:ascii="宋体" w:cs="宋体"/>
              </w:rPr>
            </w:pPr>
            <w:r>
              <w:rPr>
                <w:rFonts w:hint="eastAsia" w:ascii="宋体" w:cs="宋体"/>
                <w:kern w:val="0"/>
                <w:szCs w:val="21"/>
              </w:rPr>
              <w:t>=1</w:t>
            </w:r>
          </w:p>
        </w:tc>
      </w:tr>
      <w:tr w14:paraId="5A2BE0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2" w:hRule="atLeast"/>
          <w:jc w:val="center"/>
        </w:trPr>
        <w:tc>
          <w:tcPr>
            <w:tcW w:w="9967" w:type="dxa"/>
            <w:gridSpan w:val="4"/>
            <w:tcBorders>
              <w:top w:val="single" w:color="auto" w:sz="2" w:space="0"/>
              <w:left w:val="single" w:color="auto" w:sz="2" w:space="0"/>
              <w:bottom w:val="single" w:color="auto" w:sz="2" w:space="0"/>
              <w:right w:val="single" w:color="auto" w:sz="2" w:space="0"/>
            </w:tcBorders>
            <w:noWrap/>
            <w:tcMar>
              <w:left w:w="91" w:type="dxa"/>
            </w:tcMar>
            <w:vAlign w:val="center"/>
          </w:tcPr>
          <w:p w14:paraId="7407405E">
            <w:pPr>
              <w:widowControl/>
              <w:spacing w:line="360" w:lineRule="auto"/>
              <w:rPr>
                <w:rFonts w:ascii="宋体" w:cs="宋体"/>
                <w:b/>
                <w:kern w:val="0"/>
                <w:szCs w:val="21"/>
              </w:rPr>
            </w:pPr>
            <w:r>
              <w:rPr>
                <w:rFonts w:hint="eastAsia" w:ascii="宋体" w:cs="宋体"/>
                <w:b/>
                <w:kern w:val="0"/>
                <w:szCs w:val="21"/>
              </w:rPr>
              <w:t>1、投标人技术标的最终得分为所有评委打分汇总后的算术平均值。</w:t>
            </w:r>
          </w:p>
          <w:p w14:paraId="68B8E221">
            <w:pPr>
              <w:widowControl/>
              <w:spacing w:line="360" w:lineRule="auto"/>
            </w:pPr>
            <w:r>
              <w:rPr>
                <w:rFonts w:hint="eastAsia" w:ascii="宋体" w:cs="宋体"/>
                <w:b/>
                <w:kern w:val="0"/>
                <w:szCs w:val="21"/>
              </w:rPr>
              <w:t>2、技术标根据评分办法进行打分，技术标评标小组推荐至少3家技术得分70分以上的投标人进入商务标。技术入围投标人不足三家时，本次按废标处理，招标人有权根据招标采购管理流程重新组织招标。</w:t>
            </w:r>
          </w:p>
        </w:tc>
      </w:tr>
    </w:tbl>
    <w:p w14:paraId="5148F338">
      <w:pPr>
        <w:pStyle w:val="43"/>
        <w:spacing w:before="0" w:after="0"/>
        <w:jc w:val="center"/>
        <w:rPr>
          <w:rStyle w:val="39"/>
          <w:rFonts w:hint="eastAsia" w:ascii="宋体" w:hAnsi="宋体"/>
          <w:sz w:val="24"/>
        </w:rPr>
      </w:pPr>
    </w:p>
    <w:p w14:paraId="17FC6FB0">
      <w:pPr>
        <w:pStyle w:val="43"/>
        <w:spacing w:before="0" w:after="0"/>
        <w:jc w:val="center"/>
        <w:rPr>
          <w:rStyle w:val="39"/>
          <w:rFonts w:hint="eastAsia" w:ascii="宋体" w:hAnsi="宋体"/>
          <w:sz w:val="24"/>
        </w:rPr>
      </w:pPr>
      <w:r>
        <w:rPr>
          <w:rStyle w:val="39"/>
          <w:rFonts w:ascii="宋体" w:hAnsi="宋体"/>
          <w:sz w:val="24"/>
        </w:rPr>
        <w:t>商务标评分细则</w:t>
      </w:r>
    </w:p>
    <w:tbl>
      <w:tblPr>
        <w:tblStyle w:val="25"/>
        <w:tblW w:w="984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10"/>
        <w:gridCol w:w="1676"/>
        <w:gridCol w:w="699"/>
        <w:gridCol w:w="6764"/>
      </w:tblGrid>
      <w:tr w14:paraId="155FAC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74"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4B480618">
            <w:pPr>
              <w:jc w:val="center"/>
              <w:rPr>
                <w:rStyle w:val="39"/>
                <w:rFonts w:hint="eastAsia" w:ascii="宋体" w:hAnsi="宋体"/>
                <w:bCs/>
              </w:rPr>
            </w:pPr>
            <w:r>
              <w:rPr>
                <w:rStyle w:val="39"/>
                <w:rFonts w:ascii="宋体" w:hAnsi="宋体"/>
                <w:bCs/>
              </w:rPr>
              <w:t>序号</w:t>
            </w:r>
          </w:p>
        </w:tc>
        <w:tc>
          <w:tcPr>
            <w:tcW w:w="1676" w:type="dxa"/>
            <w:tcBorders>
              <w:top w:val="single" w:color="000000" w:sz="4" w:space="0"/>
              <w:left w:val="single" w:color="000000" w:sz="4" w:space="0"/>
              <w:bottom w:val="single" w:color="000000" w:sz="4" w:space="0"/>
              <w:right w:val="single" w:color="000000" w:sz="4" w:space="0"/>
            </w:tcBorders>
            <w:vAlign w:val="center"/>
          </w:tcPr>
          <w:p w14:paraId="31F50042">
            <w:pPr>
              <w:jc w:val="center"/>
              <w:rPr>
                <w:rStyle w:val="39"/>
                <w:rFonts w:hint="eastAsia" w:ascii="宋体" w:hAnsi="宋体"/>
                <w:bCs/>
              </w:rPr>
            </w:pPr>
            <w:r>
              <w:rPr>
                <w:rStyle w:val="39"/>
                <w:rFonts w:ascii="宋体" w:hAnsi="宋体"/>
                <w:bCs/>
              </w:rPr>
              <w:t>类别</w:t>
            </w:r>
          </w:p>
        </w:tc>
        <w:tc>
          <w:tcPr>
            <w:tcW w:w="699" w:type="dxa"/>
            <w:tcBorders>
              <w:top w:val="single" w:color="000000" w:sz="4" w:space="0"/>
              <w:left w:val="single" w:color="000000" w:sz="4" w:space="0"/>
              <w:bottom w:val="single" w:color="000000" w:sz="4" w:space="0"/>
              <w:right w:val="single" w:color="000000" w:sz="4" w:space="0"/>
            </w:tcBorders>
            <w:vAlign w:val="center"/>
          </w:tcPr>
          <w:p w14:paraId="326A4EF0">
            <w:pPr>
              <w:jc w:val="center"/>
              <w:rPr>
                <w:rStyle w:val="39"/>
                <w:rFonts w:hint="eastAsia" w:ascii="宋体" w:hAnsi="宋体"/>
                <w:bCs/>
              </w:rPr>
            </w:pPr>
            <w:r>
              <w:rPr>
                <w:rStyle w:val="39"/>
                <w:rFonts w:ascii="宋体" w:hAnsi="宋体"/>
                <w:bCs/>
              </w:rPr>
              <w:t>满分</w:t>
            </w:r>
          </w:p>
        </w:tc>
        <w:tc>
          <w:tcPr>
            <w:tcW w:w="6764" w:type="dxa"/>
            <w:tcBorders>
              <w:top w:val="single" w:color="000000" w:sz="4" w:space="0"/>
              <w:left w:val="single" w:color="000000" w:sz="4" w:space="0"/>
              <w:bottom w:val="single" w:color="000000" w:sz="4" w:space="0"/>
              <w:right w:val="single" w:color="000000" w:sz="4" w:space="0"/>
            </w:tcBorders>
            <w:vAlign w:val="center"/>
          </w:tcPr>
          <w:p w14:paraId="50098C09">
            <w:pPr>
              <w:jc w:val="center"/>
              <w:rPr>
                <w:rStyle w:val="39"/>
                <w:rFonts w:hint="eastAsia" w:ascii="宋体" w:hAnsi="宋体"/>
                <w:bCs/>
                <w:sz w:val="20"/>
                <w:szCs w:val="22"/>
              </w:rPr>
            </w:pPr>
            <w:r>
              <w:rPr>
                <w:rFonts w:hint="eastAsia" w:ascii="宋体" w:hAnsi="宋体" w:cs="宋体"/>
              </w:rPr>
              <w:t>得   分   标   准</w:t>
            </w:r>
          </w:p>
        </w:tc>
      </w:tr>
      <w:tr w14:paraId="52D039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352" w:hRule="atLeast"/>
          <w:jc w:val="center"/>
        </w:trPr>
        <w:tc>
          <w:tcPr>
            <w:tcW w:w="710" w:type="dxa"/>
            <w:tcBorders>
              <w:top w:val="single" w:color="000000" w:sz="4" w:space="0"/>
              <w:left w:val="single" w:color="000000" w:sz="4" w:space="0"/>
              <w:bottom w:val="single" w:color="000000" w:sz="4" w:space="0"/>
              <w:right w:val="single" w:color="000000" w:sz="4" w:space="0"/>
            </w:tcBorders>
            <w:vAlign w:val="center"/>
          </w:tcPr>
          <w:p w14:paraId="03EDC7BC">
            <w:pPr>
              <w:jc w:val="center"/>
              <w:rPr>
                <w:rStyle w:val="39"/>
                <w:rFonts w:hint="eastAsia" w:ascii="宋体" w:hAnsi="宋体"/>
                <w:bCs/>
              </w:rPr>
            </w:pPr>
            <w:r>
              <w:rPr>
                <w:rStyle w:val="39"/>
                <w:rFonts w:ascii="宋体" w:hAnsi="宋体"/>
                <w:bCs/>
              </w:rPr>
              <w:t>1</w:t>
            </w:r>
          </w:p>
        </w:tc>
        <w:tc>
          <w:tcPr>
            <w:tcW w:w="1676" w:type="dxa"/>
            <w:tcBorders>
              <w:top w:val="single" w:color="000000" w:sz="4" w:space="0"/>
              <w:left w:val="single" w:color="000000" w:sz="4" w:space="0"/>
              <w:bottom w:val="single" w:color="000000" w:sz="4" w:space="0"/>
              <w:right w:val="single" w:color="000000" w:sz="4" w:space="0"/>
            </w:tcBorders>
            <w:vAlign w:val="center"/>
          </w:tcPr>
          <w:p w14:paraId="7B29BDA7">
            <w:pPr>
              <w:jc w:val="center"/>
              <w:rPr>
                <w:rStyle w:val="39"/>
                <w:rFonts w:hint="eastAsia" w:ascii="宋体" w:hAnsi="宋体"/>
                <w:bCs/>
              </w:rPr>
            </w:pPr>
            <w:r>
              <w:rPr>
                <w:rStyle w:val="39"/>
                <w:rFonts w:ascii="宋体" w:hAnsi="宋体"/>
                <w:bCs/>
              </w:rPr>
              <w:t>工程总报价</w:t>
            </w:r>
          </w:p>
        </w:tc>
        <w:tc>
          <w:tcPr>
            <w:tcW w:w="699" w:type="dxa"/>
            <w:tcBorders>
              <w:top w:val="single" w:color="000000" w:sz="4" w:space="0"/>
              <w:left w:val="single" w:color="000000" w:sz="4" w:space="0"/>
              <w:bottom w:val="single" w:color="000000" w:sz="4" w:space="0"/>
              <w:right w:val="single" w:color="000000" w:sz="4" w:space="0"/>
            </w:tcBorders>
            <w:vAlign w:val="center"/>
          </w:tcPr>
          <w:p w14:paraId="59D49DB0">
            <w:pPr>
              <w:snapToGrid w:val="0"/>
              <w:spacing w:line="312" w:lineRule="auto"/>
              <w:jc w:val="left"/>
              <w:rPr>
                <w:rFonts w:hint="eastAsia" w:ascii="宋体" w:hAnsi="宋体" w:cs="宋体"/>
                <w:bCs/>
                <w:szCs w:val="21"/>
              </w:rPr>
            </w:pPr>
            <w:r>
              <w:rPr>
                <w:rFonts w:hint="eastAsia" w:ascii="宋体" w:hAnsi="宋体" w:cs="宋体"/>
                <w:bCs/>
                <w:szCs w:val="21"/>
              </w:rPr>
              <w:t>/</w:t>
            </w:r>
          </w:p>
        </w:tc>
        <w:tc>
          <w:tcPr>
            <w:tcW w:w="6764" w:type="dxa"/>
            <w:tcBorders>
              <w:top w:val="single" w:color="000000" w:sz="4" w:space="0"/>
              <w:left w:val="single" w:color="000000" w:sz="4" w:space="0"/>
              <w:bottom w:val="single" w:color="000000" w:sz="4" w:space="0"/>
              <w:right w:val="single" w:color="000000" w:sz="4" w:space="0"/>
            </w:tcBorders>
            <w:vAlign w:val="center"/>
          </w:tcPr>
          <w:p w14:paraId="415BAAD6">
            <w:pPr>
              <w:snapToGrid w:val="0"/>
              <w:spacing w:line="312" w:lineRule="auto"/>
              <w:jc w:val="left"/>
              <w:rPr>
                <w:rFonts w:hint="eastAsia" w:ascii="宋体" w:hAnsi="宋体" w:cs="宋体"/>
                <w:bCs/>
                <w:szCs w:val="21"/>
              </w:rPr>
            </w:pPr>
            <w:r>
              <w:rPr>
                <w:rFonts w:hint="eastAsia" w:ascii="宋体" w:hAnsi="宋体" w:cs="宋体"/>
                <w:bCs/>
                <w:szCs w:val="21"/>
              </w:rPr>
              <w:t>入围商务标的进行商务评审。</w:t>
            </w:r>
          </w:p>
          <w:p w14:paraId="7989AA43">
            <w:pPr>
              <w:snapToGrid w:val="0"/>
              <w:spacing w:line="312" w:lineRule="auto"/>
              <w:jc w:val="left"/>
              <w:rPr>
                <w:rFonts w:hint="eastAsia" w:ascii="宋体" w:hAnsi="宋体" w:cs="宋体"/>
                <w:b/>
                <w:szCs w:val="21"/>
              </w:rPr>
            </w:pPr>
            <w:r>
              <w:rPr>
                <w:rFonts w:hint="eastAsia" w:ascii="宋体" w:hAnsi="宋体" w:cs="宋体"/>
                <w:b/>
                <w:szCs w:val="21"/>
              </w:rPr>
              <w:t>在开标价的基础上进行至少3轮商务谈判并实行淘汰制，根据最终有效报价由低到高进行排序，报价最低者排名第一，报价次低者排名第二，以此类推，报价最高者排名最后。最终排名第一的推荐为拟中标人，但是报价明显低于成本的除外。</w:t>
            </w:r>
          </w:p>
          <w:p w14:paraId="7E2ADAE1">
            <w:pPr>
              <w:snapToGrid w:val="0"/>
              <w:spacing w:line="312" w:lineRule="auto"/>
              <w:jc w:val="left"/>
              <w:rPr>
                <w:rFonts w:hint="eastAsia" w:ascii="宋体" w:hAnsi="宋体" w:cs="宋体"/>
                <w:b/>
                <w:szCs w:val="21"/>
              </w:rPr>
            </w:pPr>
          </w:p>
          <w:p w14:paraId="6CD3E5BA">
            <w:pPr>
              <w:snapToGrid w:val="0"/>
              <w:spacing w:line="312" w:lineRule="auto"/>
              <w:jc w:val="left"/>
              <w:rPr>
                <w:rFonts w:hint="eastAsia" w:ascii="宋体" w:hAnsi="宋体" w:cs="宋体"/>
                <w:b/>
                <w:szCs w:val="21"/>
              </w:rPr>
            </w:pPr>
            <w:r>
              <w:rPr>
                <w:rFonts w:hint="eastAsia" w:ascii="宋体" w:hAnsi="宋体" w:cs="宋体"/>
                <w:b/>
                <w:szCs w:val="21"/>
              </w:rPr>
              <w:t>特别提醒：</w:t>
            </w:r>
          </w:p>
          <w:p w14:paraId="06E7A431">
            <w:pPr>
              <w:snapToGrid w:val="0"/>
              <w:spacing w:line="312" w:lineRule="auto"/>
              <w:ind w:firstLine="422" w:firstLineChars="200"/>
              <w:jc w:val="left"/>
              <w:rPr>
                <w:rFonts w:hint="eastAsia" w:ascii="宋体" w:hAnsi="宋体" w:cs="宋体"/>
                <w:b/>
                <w:szCs w:val="21"/>
              </w:rPr>
            </w:pPr>
            <w:r>
              <w:rPr>
                <w:rFonts w:hint="eastAsia" w:ascii="宋体" w:hAnsi="宋体" w:cs="宋体"/>
                <w:b/>
                <w:szCs w:val="21"/>
              </w:rPr>
              <w:t>不允许采用不平衡报价。</w:t>
            </w:r>
          </w:p>
          <w:p w14:paraId="375AB165">
            <w:pPr>
              <w:snapToGrid w:val="0"/>
              <w:spacing w:line="312" w:lineRule="auto"/>
              <w:ind w:firstLine="422" w:firstLineChars="200"/>
              <w:jc w:val="left"/>
              <w:rPr>
                <w:rFonts w:hint="eastAsia" w:ascii="宋体" w:hAnsi="宋体" w:cs="宋体"/>
                <w:b/>
                <w:szCs w:val="21"/>
              </w:rPr>
            </w:pPr>
            <w:r>
              <w:rPr>
                <w:rFonts w:hint="eastAsia" w:ascii="宋体" w:hAnsi="宋体" w:cs="宋体"/>
                <w:b/>
                <w:szCs w:val="21"/>
              </w:rPr>
              <w:t>开标清标后按照招标人清标发现的问题进行纠偏调整，形成修正版工程量清单并同步修正开标报价（但不得高于开标唱标价），推荐拟中标价格以此修正版清单进行同比例下浮，下浮系数=商务标最后一轮澄清总报价/开标清标修正后的总报价。单独澄清的清单项除外。</w:t>
            </w:r>
          </w:p>
          <w:p w14:paraId="0E5EADC4">
            <w:pPr>
              <w:snapToGrid w:val="0"/>
              <w:spacing w:line="312" w:lineRule="auto"/>
              <w:ind w:firstLine="422" w:firstLineChars="200"/>
              <w:jc w:val="left"/>
              <w:rPr>
                <w:rFonts w:hint="eastAsia" w:ascii="宋体" w:hAnsi="宋体" w:cs="宋体"/>
                <w:b/>
                <w:szCs w:val="21"/>
              </w:rPr>
            </w:pPr>
            <w:r>
              <w:rPr>
                <w:rFonts w:hint="eastAsia" w:ascii="宋体" w:hAnsi="宋体" w:cs="宋体"/>
                <w:b/>
                <w:szCs w:val="21"/>
              </w:rPr>
              <w:t>招标人对下浮后的工程量清单价格进一步价格审核，如发现不平衡报价，招标人有权对其高报价部分予以调低，同时降低拟中标总价。</w:t>
            </w:r>
          </w:p>
        </w:tc>
      </w:tr>
    </w:tbl>
    <w:p w14:paraId="302A63BE">
      <w:pPr>
        <w:pStyle w:val="13"/>
        <w:rPr>
          <w:lang w:bidi="en-US"/>
        </w:rPr>
      </w:pPr>
    </w:p>
    <w:p w14:paraId="4DD2D3DE">
      <w:pPr>
        <w:pStyle w:val="13"/>
        <w:rPr>
          <w:lang w:bidi="en-US"/>
        </w:rPr>
      </w:pPr>
    </w:p>
    <w:p w14:paraId="1B2EF348">
      <w:pPr>
        <w:pStyle w:val="7"/>
        <w:spacing w:before="0" w:after="0"/>
        <w:jc w:val="center"/>
        <w:rPr>
          <w:sz w:val="30"/>
          <w:szCs w:val="30"/>
        </w:rPr>
      </w:pPr>
      <w:bookmarkStart w:id="103" w:name="_Toc4894"/>
      <w:bookmarkStart w:id="104" w:name="_Toc29153"/>
      <w:bookmarkStart w:id="105" w:name="_Toc14519"/>
      <w:bookmarkStart w:id="106" w:name="_Toc6825"/>
      <w:bookmarkStart w:id="107" w:name="_Toc32749"/>
      <w:bookmarkStart w:id="108" w:name="_Toc6695"/>
      <w:r>
        <w:rPr>
          <w:sz w:val="30"/>
          <w:szCs w:val="30"/>
        </w:rPr>
        <w:t>二、评标办法</w:t>
      </w:r>
      <w:bookmarkEnd w:id="101"/>
      <w:bookmarkEnd w:id="102"/>
      <w:bookmarkEnd w:id="103"/>
      <w:bookmarkEnd w:id="104"/>
      <w:bookmarkEnd w:id="105"/>
      <w:bookmarkEnd w:id="106"/>
      <w:bookmarkEnd w:id="107"/>
      <w:bookmarkEnd w:id="108"/>
    </w:p>
    <w:p w14:paraId="2F6B3420">
      <w:pPr>
        <w:pStyle w:val="43"/>
        <w:spacing w:before="0" w:after="0"/>
        <w:rPr>
          <w:rStyle w:val="39"/>
          <w:rFonts w:hint="eastAsia" w:ascii="宋体" w:hAnsi="宋体"/>
          <w:sz w:val="24"/>
        </w:rPr>
      </w:pPr>
      <w:r>
        <w:rPr>
          <w:rStyle w:val="39"/>
          <w:rFonts w:ascii="宋体" w:hAnsi="宋体"/>
          <w:sz w:val="24"/>
        </w:rPr>
        <w:t>1. 评标方法</w:t>
      </w:r>
    </w:p>
    <w:p w14:paraId="710B4F4A">
      <w:pPr>
        <w:spacing w:line="360" w:lineRule="auto"/>
        <w:rPr>
          <w:rStyle w:val="39"/>
          <w:rFonts w:hint="eastAsia" w:ascii="宋体" w:hAnsi="宋体"/>
          <w:b/>
        </w:rPr>
      </w:pPr>
      <w:r>
        <w:rPr>
          <w:rStyle w:val="39"/>
          <w:rFonts w:ascii="宋体" w:hAnsi="宋体"/>
          <w:b/>
        </w:rPr>
        <w:t>1.1评标方法</w:t>
      </w:r>
    </w:p>
    <w:p w14:paraId="1D76444F">
      <w:pPr>
        <w:spacing w:line="360" w:lineRule="auto"/>
        <w:rPr>
          <w:rStyle w:val="39"/>
          <w:rFonts w:hint="eastAsia" w:ascii="宋体" w:hAnsi="宋体"/>
          <w:b/>
        </w:rPr>
      </w:pPr>
      <w:r>
        <w:rPr>
          <w:rStyle w:val="39"/>
          <w:rFonts w:ascii="宋体" w:hAnsi="宋体"/>
          <w:b/>
        </w:rPr>
        <w:t>1.2评分及排序</w:t>
      </w:r>
    </w:p>
    <w:p w14:paraId="60F688BD">
      <w:pPr>
        <w:spacing w:line="360" w:lineRule="auto"/>
        <w:ind w:firstLine="422" w:firstLineChars="200"/>
        <w:rPr>
          <w:rStyle w:val="39"/>
          <w:rFonts w:hint="eastAsia" w:ascii="宋体" w:hAnsi="宋体"/>
          <w:b/>
          <w:bCs/>
        </w:rPr>
      </w:pPr>
      <w:r>
        <w:rPr>
          <w:rStyle w:val="39"/>
          <w:rFonts w:hint="eastAsia" w:ascii="宋体" w:hAnsi="宋体"/>
          <w:b/>
          <w:bCs/>
        </w:rPr>
        <w:t>技术标和商务标同时开标、分阶段评标的模式</w:t>
      </w:r>
      <w:r>
        <w:rPr>
          <w:rStyle w:val="39"/>
          <w:rFonts w:ascii="宋体" w:hAnsi="宋体"/>
          <w:b/>
          <w:bCs/>
        </w:rPr>
        <w:t>。</w:t>
      </w:r>
    </w:p>
    <w:p w14:paraId="181639EB">
      <w:pPr>
        <w:spacing w:line="360" w:lineRule="auto"/>
        <w:ind w:firstLine="422" w:firstLineChars="200"/>
        <w:rPr>
          <w:rStyle w:val="39"/>
          <w:rFonts w:hint="eastAsia" w:ascii="宋体" w:hAnsi="宋体"/>
          <w:b/>
          <w:bCs/>
        </w:rPr>
      </w:pPr>
      <w:r>
        <w:rPr>
          <w:rStyle w:val="39"/>
          <w:rFonts w:hint="eastAsia" w:ascii="宋体" w:hAnsi="宋体"/>
          <w:b/>
          <w:bCs/>
        </w:rPr>
        <w:t>首先进行技术标评审，由评标专家组对所有投标方的技术标部分综合评定和打分，确定进入商务标评比资格的投标方。</w:t>
      </w:r>
    </w:p>
    <w:p w14:paraId="112B0086">
      <w:pPr>
        <w:spacing w:line="360" w:lineRule="auto"/>
        <w:ind w:firstLine="422" w:firstLineChars="200"/>
        <w:rPr>
          <w:rStyle w:val="39"/>
          <w:rFonts w:hint="eastAsia" w:ascii="宋体" w:hAnsi="宋体"/>
          <w:b/>
          <w:bCs/>
        </w:rPr>
      </w:pPr>
      <w:r>
        <w:rPr>
          <w:rStyle w:val="39"/>
          <w:rFonts w:hint="eastAsia" w:ascii="宋体" w:hAnsi="宋体"/>
          <w:b/>
          <w:bCs/>
        </w:rPr>
        <w:t>然后对入围商务标的投标单位进行商务评审，招标人有权根据项目情况，采取多轮报价模式，最终根据总报价确定各投标人排序。</w:t>
      </w:r>
    </w:p>
    <w:p w14:paraId="364FD844">
      <w:pPr>
        <w:spacing w:line="360" w:lineRule="auto"/>
        <w:ind w:firstLine="422" w:firstLineChars="200"/>
        <w:rPr>
          <w:rStyle w:val="39"/>
          <w:rFonts w:hint="eastAsia" w:ascii="宋体" w:hAnsi="宋体"/>
          <w:b/>
          <w:bCs/>
          <w:szCs w:val="22"/>
        </w:rPr>
      </w:pPr>
      <w:r>
        <w:rPr>
          <w:rStyle w:val="39"/>
          <w:rFonts w:ascii="宋体" w:hAnsi="宋体"/>
          <w:b/>
          <w:bCs/>
        </w:rPr>
        <w:t>评标委员会对满足招标文件实质性要求的投标文件，按照本章第2.2款规定的评分标准进行打分，</w:t>
      </w:r>
      <w:r>
        <w:rPr>
          <w:rStyle w:val="39"/>
          <w:rFonts w:hint="eastAsia" w:ascii="宋体" w:hAnsi="宋体"/>
          <w:b/>
          <w:bCs/>
          <w:szCs w:val="22"/>
        </w:rPr>
        <w:t>评标委员会按照最终</w:t>
      </w:r>
      <w:r>
        <w:rPr>
          <w:rStyle w:val="39"/>
          <w:rFonts w:hint="eastAsia" w:ascii="宋体" w:hAnsi="宋体"/>
          <w:b/>
          <w:bCs/>
        </w:rPr>
        <w:t>总报价</w:t>
      </w:r>
      <w:r>
        <w:rPr>
          <w:rStyle w:val="39"/>
          <w:rFonts w:hint="eastAsia" w:ascii="宋体" w:hAnsi="宋体"/>
          <w:b/>
          <w:bCs/>
          <w:szCs w:val="22"/>
        </w:rPr>
        <w:t>由高到低的次序排列，但投标报价低于其成本的除外。评分相等时由招标人自行确定排序。</w:t>
      </w:r>
    </w:p>
    <w:p w14:paraId="7223C86F">
      <w:pPr>
        <w:pStyle w:val="19"/>
        <w:spacing w:line="360" w:lineRule="auto"/>
        <w:rPr>
          <w:rStyle w:val="39"/>
          <w:rFonts w:hint="eastAsia" w:ascii="宋体" w:hAnsi="宋体"/>
          <w:szCs w:val="22"/>
        </w:rPr>
      </w:pPr>
      <w:r>
        <w:rPr>
          <w:rStyle w:val="39"/>
          <w:rFonts w:hint="eastAsia" w:ascii="宋体" w:hAnsi="宋体"/>
          <w:szCs w:val="22"/>
        </w:rPr>
        <w:t>1.3招标人有权根据项目情况，采取多轮报价模式，除开标唱标为公开报价方式外，后续多轮澄清报价均为非公开的方式，投标人在重汽e采通进行提报报价。</w:t>
      </w:r>
    </w:p>
    <w:p w14:paraId="71AAF590">
      <w:pPr>
        <w:pStyle w:val="43"/>
        <w:spacing w:before="0" w:after="0"/>
        <w:rPr>
          <w:rStyle w:val="39"/>
          <w:rFonts w:hint="eastAsia" w:ascii="宋体" w:hAnsi="宋体"/>
          <w:sz w:val="24"/>
        </w:rPr>
      </w:pPr>
      <w:r>
        <w:rPr>
          <w:rStyle w:val="39"/>
          <w:rFonts w:ascii="宋体" w:hAnsi="宋体"/>
          <w:sz w:val="24"/>
        </w:rPr>
        <w:t>2. 评审标准</w:t>
      </w:r>
    </w:p>
    <w:p w14:paraId="3FA7FF39">
      <w:pPr>
        <w:spacing w:line="360" w:lineRule="auto"/>
        <w:rPr>
          <w:rStyle w:val="39"/>
          <w:rFonts w:hint="eastAsia" w:ascii="宋体" w:hAnsi="宋体"/>
          <w:b/>
        </w:rPr>
      </w:pPr>
      <w:r>
        <w:rPr>
          <w:rStyle w:val="39"/>
          <w:rFonts w:ascii="宋体" w:hAnsi="宋体"/>
          <w:b/>
        </w:rPr>
        <w:t>2.1 初步评审标准</w:t>
      </w:r>
    </w:p>
    <w:p w14:paraId="6A76F417">
      <w:pPr>
        <w:spacing w:line="360" w:lineRule="auto"/>
        <w:rPr>
          <w:rStyle w:val="39"/>
          <w:rFonts w:hint="eastAsia" w:ascii="宋体" w:hAnsi="宋体"/>
        </w:rPr>
      </w:pPr>
      <w:r>
        <w:rPr>
          <w:rStyle w:val="39"/>
          <w:rFonts w:ascii="宋体" w:hAnsi="宋体"/>
        </w:rPr>
        <w:t>2.1.1 形式评审标准：见评标办法前附表</w:t>
      </w:r>
      <w:r>
        <w:rPr>
          <w:rStyle w:val="29"/>
          <w:rFonts w:ascii="宋体" w:hAnsi="宋体"/>
          <w:color w:val="auto"/>
        </w:rPr>
        <w:t>2.1.1</w:t>
      </w:r>
      <w:r>
        <w:rPr>
          <w:rStyle w:val="39"/>
          <w:rFonts w:ascii="宋体" w:hAnsi="宋体"/>
        </w:rPr>
        <w:t>；</w:t>
      </w:r>
    </w:p>
    <w:p w14:paraId="2A9E565B">
      <w:pPr>
        <w:spacing w:line="360" w:lineRule="auto"/>
        <w:rPr>
          <w:rStyle w:val="39"/>
          <w:rFonts w:hint="eastAsia" w:ascii="宋体" w:hAnsi="宋体"/>
        </w:rPr>
      </w:pPr>
      <w:r>
        <w:rPr>
          <w:rStyle w:val="39"/>
          <w:rFonts w:ascii="宋体" w:hAnsi="宋体"/>
        </w:rPr>
        <w:t>2.1.2 资格评审标准：见评标办法前附表</w:t>
      </w:r>
      <w:r>
        <w:rPr>
          <w:rStyle w:val="29"/>
          <w:rFonts w:ascii="宋体" w:hAnsi="宋体"/>
          <w:color w:val="auto"/>
        </w:rPr>
        <w:t>2.1.2</w:t>
      </w:r>
      <w:r>
        <w:rPr>
          <w:rStyle w:val="39"/>
          <w:rFonts w:ascii="宋体" w:hAnsi="宋体"/>
        </w:rPr>
        <w:t>（适用于未进行资格预审的）；</w:t>
      </w:r>
    </w:p>
    <w:p w14:paraId="287933DF">
      <w:pPr>
        <w:spacing w:line="360" w:lineRule="auto"/>
        <w:rPr>
          <w:rStyle w:val="39"/>
          <w:rFonts w:hint="eastAsia" w:ascii="宋体" w:hAnsi="宋体"/>
        </w:rPr>
      </w:pPr>
      <w:r>
        <w:rPr>
          <w:rStyle w:val="39"/>
          <w:rFonts w:ascii="宋体" w:hAnsi="宋体"/>
        </w:rPr>
        <w:t>2.1.3 响应性评审标准：见评标办法前附表</w:t>
      </w:r>
      <w:r>
        <w:rPr>
          <w:rStyle w:val="29"/>
          <w:rFonts w:ascii="宋体" w:hAnsi="宋体"/>
          <w:color w:val="auto"/>
        </w:rPr>
        <w:t>2.1.3</w:t>
      </w:r>
      <w:r>
        <w:rPr>
          <w:rStyle w:val="39"/>
          <w:rFonts w:ascii="宋体" w:hAnsi="宋体"/>
        </w:rPr>
        <w:t>。</w:t>
      </w:r>
    </w:p>
    <w:p w14:paraId="3B1C1363">
      <w:pPr>
        <w:spacing w:line="360" w:lineRule="auto"/>
        <w:rPr>
          <w:rStyle w:val="39"/>
          <w:rFonts w:hint="eastAsia" w:ascii="宋体" w:hAnsi="宋体"/>
          <w:b/>
        </w:rPr>
      </w:pPr>
      <w:r>
        <w:rPr>
          <w:rStyle w:val="39"/>
          <w:rFonts w:ascii="宋体" w:hAnsi="宋体"/>
          <w:b/>
        </w:rPr>
        <w:t>2.2 分值构成与评分标准</w:t>
      </w:r>
    </w:p>
    <w:p w14:paraId="0CA93ED8">
      <w:pPr>
        <w:spacing w:line="360" w:lineRule="auto"/>
        <w:rPr>
          <w:rStyle w:val="39"/>
          <w:rFonts w:hint="eastAsia" w:ascii="宋体" w:hAnsi="宋体"/>
        </w:rPr>
      </w:pPr>
      <w:r>
        <w:rPr>
          <w:rStyle w:val="39"/>
          <w:rFonts w:ascii="宋体" w:hAnsi="宋体"/>
        </w:rPr>
        <w:t>2.2.1 分值构成：见</w:t>
      </w:r>
      <w:r>
        <w:rPr>
          <w:rStyle w:val="29"/>
          <w:rFonts w:ascii="宋体" w:hAnsi="宋体"/>
          <w:color w:val="auto"/>
        </w:rPr>
        <w:t>评标办法前附表</w:t>
      </w:r>
      <w:r>
        <w:rPr>
          <w:rStyle w:val="39"/>
          <w:rFonts w:ascii="宋体" w:hAnsi="宋体"/>
        </w:rPr>
        <w:t>。</w:t>
      </w:r>
    </w:p>
    <w:p w14:paraId="6142C340">
      <w:pPr>
        <w:spacing w:line="360" w:lineRule="auto"/>
        <w:rPr>
          <w:rStyle w:val="39"/>
          <w:rFonts w:hint="eastAsia" w:ascii="宋体" w:hAnsi="宋体"/>
        </w:rPr>
      </w:pPr>
      <w:r>
        <w:rPr>
          <w:rStyle w:val="39"/>
          <w:rFonts w:ascii="宋体" w:hAnsi="宋体"/>
        </w:rPr>
        <w:t>2.2.2 评标基准价计算：见</w:t>
      </w:r>
      <w:r>
        <w:rPr>
          <w:rStyle w:val="29"/>
          <w:rFonts w:ascii="宋体" w:hAnsi="宋体"/>
          <w:color w:val="auto"/>
        </w:rPr>
        <w:t>评标办法前附表</w:t>
      </w:r>
      <w:r>
        <w:rPr>
          <w:rStyle w:val="39"/>
          <w:rFonts w:ascii="宋体" w:hAnsi="宋体"/>
        </w:rPr>
        <w:t>。</w:t>
      </w:r>
    </w:p>
    <w:p w14:paraId="59646665">
      <w:pPr>
        <w:spacing w:line="360" w:lineRule="auto"/>
        <w:rPr>
          <w:rStyle w:val="39"/>
          <w:rFonts w:hint="eastAsia" w:ascii="宋体" w:hAnsi="宋体"/>
        </w:rPr>
      </w:pPr>
      <w:r>
        <w:rPr>
          <w:rStyle w:val="39"/>
          <w:rFonts w:ascii="宋体" w:hAnsi="宋体"/>
        </w:rPr>
        <w:t>2.2.3 投标报价的偏差率计算</w:t>
      </w:r>
    </w:p>
    <w:p w14:paraId="0CE15476">
      <w:pPr>
        <w:spacing w:line="360" w:lineRule="auto"/>
        <w:rPr>
          <w:rStyle w:val="39"/>
          <w:rFonts w:hint="eastAsia" w:ascii="宋体" w:hAnsi="宋体"/>
        </w:rPr>
      </w:pPr>
      <w:r>
        <w:rPr>
          <w:rStyle w:val="39"/>
          <w:rFonts w:ascii="宋体" w:hAnsi="宋体"/>
        </w:rPr>
        <w:t>投标报价的偏差率计算公式：</w:t>
      </w:r>
      <w:r>
        <w:rPr>
          <w:rStyle w:val="29"/>
          <w:rFonts w:ascii="宋体" w:hAnsi="宋体"/>
          <w:color w:val="auto"/>
        </w:rPr>
        <w:t>见评标办法前附表</w:t>
      </w:r>
      <w:r>
        <w:rPr>
          <w:rStyle w:val="39"/>
          <w:rFonts w:ascii="宋体" w:hAnsi="宋体"/>
        </w:rPr>
        <w:t>。</w:t>
      </w:r>
    </w:p>
    <w:p w14:paraId="3A12857C">
      <w:pPr>
        <w:spacing w:line="360" w:lineRule="auto"/>
        <w:rPr>
          <w:rStyle w:val="39"/>
          <w:rFonts w:hint="eastAsia" w:ascii="宋体" w:hAnsi="宋体"/>
        </w:rPr>
      </w:pPr>
      <w:r>
        <w:rPr>
          <w:rStyle w:val="39"/>
          <w:rFonts w:ascii="宋体" w:hAnsi="宋体"/>
        </w:rPr>
        <w:t>2.2.4 评分标准：见</w:t>
      </w:r>
      <w:r>
        <w:rPr>
          <w:rStyle w:val="29"/>
          <w:rFonts w:ascii="宋体" w:hAnsi="宋体"/>
          <w:color w:val="auto"/>
        </w:rPr>
        <w:t>评标办法前附表</w:t>
      </w:r>
      <w:r>
        <w:rPr>
          <w:rStyle w:val="39"/>
          <w:rFonts w:ascii="宋体" w:hAnsi="宋体"/>
        </w:rPr>
        <w:t>；</w:t>
      </w:r>
    </w:p>
    <w:p w14:paraId="302D8018">
      <w:pPr>
        <w:pStyle w:val="43"/>
        <w:spacing w:before="0" w:after="0"/>
        <w:rPr>
          <w:rStyle w:val="39"/>
          <w:rFonts w:hint="eastAsia" w:ascii="宋体" w:hAnsi="宋体"/>
          <w:sz w:val="24"/>
        </w:rPr>
      </w:pPr>
      <w:r>
        <w:rPr>
          <w:rStyle w:val="39"/>
          <w:rFonts w:ascii="宋体" w:hAnsi="宋体"/>
          <w:sz w:val="24"/>
        </w:rPr>
        <w:t>3. 评标程序</w:t>
      </w:r>
    </w:p>
    <w:p w14:paraId="4EBAEE2B">
      <w:pPr>
        <w:spacing w:line="360" w:lineRule="auto"/>
        <w:rPr>
          <w:rStyle w:val="39"/>
          <w:rFonts w:hint="eastAsia" w:ascii="宋体" w:hAnsi="宋体"/>
          <w:b/>
        </w:rPr>
      </w:pPr>
      <w:r>
        <w:rPr>
          <w:rStyle w:val="39"/>
          <w:rFonts w:ascii="宋体" w:hAnsi="宋体"/>
          <w:b/>
        </w:rPr>
        <w:t>3.1 初步评审</w:t>
      </w:r>
    </w:p>
    <w:p w14:paraId="6481A23F">
      <w:pPr>
        <w:spacing w:line="360" w:lineRule="auto"/>
        <w:rPr>
          <w:rStyle w:val="39"/>
          <w:rFonts w:hint="eastAsia" w:ascii="宋体" w:hAnsi="宋体"/>
        </w:rPr>
      </w:pPr>
      <w:r>
        <w:rPr>
          <w:rStyle w:val="39"/>
          <w:rFonts w:ascii="宋体" w:hAnsi="宋体"/>
        </w:rPr>
        <w:t>3.1.1 评标委员会可以要求投标人提交第九章资格审查文件规定的有关证明和证件的原件，以便核验。评标委员会依据本章</w:t>
      </w:r>
      <w:r>
        <w:rPr>
          <w:rStyle w:val="29"/>
          <w:rFonts w:ascii="宋体" w:hAnsi="宋体"/>
          <w:color w:val="auto"/>
        </w:rPr>
        <w:t>第2.1款</w:t>
      </w:r>
      <w:r>
        <w:rPr>
          <w:rStyle w:val="39"/>
          <w:rFonts w:ascii="宋体" w:hAnsi="宋体"/>
        </w:rPr>
        <w:t>规定的标准对投标文件进行初步评审。有一项不符合评审标准的，作废标处理。</w:t>
      </w:r>
    </w:p>
    <w:p w14:paraId="20112B8F">
      <w:pPr>
        <w:spacing w:line="360" w:lineRule="auto"/>
        <w:rPr>
          <w:rStyle w:val="39"/>
          <w:rFonts w:hint="eastAsia" w:ascii="宋体" w:hAnsi="宋体"/>
        </w:rPr>
      </w:pPr>
      <w:r>
        <w:rPr>
          <w:rStyle w:val="39"/>
          <w:rFonts w:ascii="宋体" w:hAnsi="宋体"/>
        </w:rPr>
        <w:t>3.1.2 投标人有以下情形之一的，其投标作废标处理：</w:t>
      </w:r>
    </w:p>
    <w:p w14:paraId="7EA6347D">
      <w:pPr>
        <w:spacing w:line="360" w:lineRule="auto"/>
        <w:ind w:firstLine="821"/>
        <w:rPr>
          <w:rStyle w:val="39"/>
          <w:rFonts w:hint="eastAsia" w:ascii="宋体" w:hAnsi="宋体"/>
          <w:b/>
        </w:rPr>
      </w:pPr>
      <w:r>
        <w:rPr>
          <w:rStyle w:val="39"/>
          <w:rFonts w:ascii="宋体" w:hAnsi="宋体"/>
          <w:b/>
        </w:rPr>
        <w:t>详</w:t>
      </w:r>
      <w:r>
        <w:rPr>
          <w:rStyle w:val="29"/>
          <w:rFonts w:ascii="宋体" w:hAnsi="宋体"/>
          <w:b/>
          <w:color w:val="auto"/>
        </w:rPr>
        <w:t>附件B</w:t>
      </w:r>
      <w:r>
        <w:rPr>
          <w:rStyle w:val="39"/>
          <w:rFonts w:ascii="宋体" w:hAnsi="宋体"/>
          <w:b/>
        </w:rPr>
        <w:t>：废标条件</w:t>
      </w:r>
    </w:p>
    <w:p w14:paraId="1F3F0638">
      <w:pPr>
        <w:spacing w:line="360" w:lineRule="auto"/>
        <w:rPr>
          <w:rStyle w:val="39"/>
          <w:rFonts w:hint="eastAsia" w:ascii="宋体" w:hAnsi="宋体"/>
        </w:rPr>
      </w:pPr>
      <w:r>
        <w:rPr>
          <w:rStyle w:val="39"/>
          <w:rFonts w:ascii="宋体" w:hAnsi="宋体"/>
        </w:rPr>
        <w:t>3.1.3投标报价有算术错误的，评标委员会按以下原则对投标报价进行修正，修正的价格经投标人书面确认后具有约束力。投标人不接受修正价格的，其投标作废标处理。</w:t>
      </w:r>
    </w:p>
    <w:p w14:paraId="4EB1CE39">
      <w:pPr>
        <w:spacing w:line="360" w:lineRule="auto"/>
        <w:rPr>
          <w:rStyle w:val="39"/>
          <w:rFonts w:hint="eastAsia" w:ascii="宋体" w:hAnsi="宋体"/>
        </w:rPr>
      </w:pPr>
      <w:r>
        <w:rPr>
          <w:rStyle w:val="39"/>
          <w:rFonts w:ascii="宋体" w:hAnsi="宋体"/>
        </w:rPr>
        <w:t>（1）投标文件中的大写金额与小写金额不一致的，以大写金额为准；</w:t>
      </w:r>
    </w:p>
    <w:p w14:paraId="0318FD1F">
      <w:pPr>
        <w:spacing w:line="360" w:lineRule="auto"/>
        <w:rPr>
          <w:rStyle w:val="39"/>
          <w:rFonts w:hint="eastAsia" w:ascii="宋体" w:hAnsi="宋体"/>
        </w:rPr>
      </w:pPr>
      <w:r>
        <w:rPr>
          <w:rStyle w:val="39"/>
          <w:rFonts w:ascii="宋体" w:hAnsi="宋体"/>
        </w:rPr>
        <w:t>（2）总价金额与依据单价计算出的结果不一致的，以</w:t>
      </w:r>
      <w:r>
        <w:rPr>
          <w:rStyle w:val="39"/>
          <w:rFonts w:hint="eastAsia" w:ascii="宋体" w:hAnsi="宋体"/>
        </w:rPr>
        <w:t>总</w:t>
      </w:r>
      <w:r>
        <w:rPr>
          <w:rStyle w:val="39"/>
          <w:rFonts w:ascii="宋体" w:hAnsi="宋体"/>
        </w:rPr>
        <w:t>价金额为准修正</w:t>
      </w:r>
      <w:r>
        <w:rPr>
          <w:rStyle w:val="39"/>
          <w:rFonts w:hint="eastAsia" w:ascii="宋体" w:hAnsi="宋体"/>
        </w:rPr>
        <w:t>单</w:t>
      </w:r>
      <w:r>
        <w:rPr>
          <w:rStyle w:val="39"/>
          <w:rFonts w:ascii="宋体" w:hAnsi="宋体"/>
        </w:rPr>
        <w:t>价。</w:t>
      </w:r>
    </w:p>
    <w:p w14:paraId="06484752">
      <w:pPr>
        <w:spacing w:line="360" w:lineRule="auto"/>
        <w:rPr>
          <w:rStyle w:val="39"/>
          <w:rFonts w:hint="eastAsia" w:ascii="宋体" w:hAnsi="宋体"/>
        </w:rPr>
      </w:pPr>
      <w:r>
        <w:rPr>
          <w:rStyle w:val="39"/>
          <w:rFonts w:ascii="宋体" w:hAnsi="宋体"/>
        </w:rPr>
        <w:t>（3）唱标单报价与投标报价文件中价格不一致的，评标过程中，评定内容的具体数据以单独递交的唱标单报价为准，签订合同及后期结算时，以价格低的为准，价格根据下浮率同比例下调。</w:t>
      </w:r>
    </w:p>
    <w:p w14:paraId="7A4DE405">
      <w:pPr>
        <w:spacing w:line="480" w:lineRule="exact"/>
        <w:rPr>
          <w:rStyle w:val="39"/>
          <w:rFonts w:hint="eastAsia" w:ascii="宋体" w:hAnsi="宋体"/>
          <w:b/>
        </w:rPr>
      </w:pPr>
      <w:r>
        <w:rPr>
          <w:rStyle w:val="39"/>
          <w:rFonts w:ascii="宋体" w:hAnsi="宋体"/>
          <w:b/>
        </w:rPr>
        <w:t>3.1.4投标人有下列情形之一的视为无效投标：</w:t>
      </w:r>
    </w:p>
    <w:p w14:paraId="714BF516">
      <w:pPr>
        <w:spacing w:line="480" w:lineRule="exact"/>
        <w:rPr>
          <w:rStyle w:val="39"/>
          <w:rFonts w:hint="eastAsia" w:ascii="宋体" w:hAnsi="宋体"/>
        </w:rPr>
      </w:pPr>
      <w:r>
        <w:rPr>
          <w:rStyle w:val="39"/>
          <w:rFonts w:ascii="宋体" w:hAnsi="宋体"/>
        </w:rPr>
        <w:t>（1）参加开标会议的投标人的法定代表人或其委托代理人未携带本人身份证，委托代理人未携带参加开标会议的法定代表人授权委托书，法定代表人未携带法定代表人证书，无法证明其身份的；</w:t>
      </w:r>
    </w:p>
    <w:p w14:paraId="3F8FBD9E">
      <w:pPr>
        <w:spacing w:line="480" w:lineRule="exact"/>
        <w:rPr>
          <w:rStyle w:val="39"/>
          <w:rFonts w:hint="eastAsia" w:ascii="宋体" w:hAnsi="宋体"/>
        </w:rPr>
      </w:pPr>
      <w:r>
        <w:rPr>
          <w:rStyle w:val="39"/>
          <w:rFonts w:ascii="宋体" w:hAnsi="宋体"/>
        </w:rPr>
        <w:t>（2）无单位盖章并无法定代表人或法定代表人授权的代理人签字或盖章的；</w:t>
      </w:r>
    </w:p>
    <w:p w14:paraId="17BE3E94">
      <w:pPr>
        <w:spacing w:line="480" w:lineRule="exact"/>
        <w:rPr>
          <w:rStyle w:val="39"/>
          <w:rFonts w:hint="eastAsia" w:ascii="宋体" w:hAnsi="宋体"/>
        </w:rPr>
      </w:pPr>
      <w:r>
        <w:rPr>
          <w:rStyle w:val="39"/>
          <w:rFonts w:ascii="宋体" w:hAnsi="宋体"/>
        </w:rPr>
        <w:t>（3）未按规定格式填写，内容不全或关键字迹模糊、无法辨认的；</w:t>
      </w:r>
    </w:p>
    <w:p w14:paraId="0B2EE402">
      <w:pPr>
        <w:spacing w:line="480" w:lineRule="exact"/>
        <w:rPr>
          <w:rStyle w:val="39"/>
          <w:rFonts w:hint="eastAsia" w:ascii="宋体" w:hAnsi="宋体"/>
        </w:rPr>
      </w:pPr>
      <w:r>
        <w:rPr>
          <w:rStyle w:val="39"/>
          <w:rFonts w:ascii="宋体" w:hAnsi="宋体"/>
        </w:rPr>
        <w:t>（4）投标人递交两份或多份内容不同的投标文件，或在一份投标文件中对同一招标项目抱有两个或多个报价，且未声明哪一个有效，按招标文件规定提交备选投标方案的除外；</w:t>
      </w:r>
    </w:p>
    <w:p w14:paraId="3472A8B2">
      <w:pPr>
        <w:spacing w:line="480" w:lineRule="exact"/>
        <w:rPr>
          <w:rStyle w:val="39"/>
          <w:rFonts w:hint="eastAsia" w:ascii="宋体" w:hAnsi="宋体"/>
        </w:rPr>
      </w:pPr>
      <w:r>
        <w:rPr>
          <w:rStyle w:val="39"/>
          <w:rFonts w:ascii="宋体" w:hAnsi="宋体"/>
        </w:rPr>
        <w:t>（5）投标人名称或组织结构与资格预审时不一致（资格预审的）；</w:t>
      </w:r>
    </w:p>
    <w:p w14:paraId="7F6DC327">
      <w:pPr>
        <w:spacing w:line="480" w:lineRule="exact"/>
        <w:rPr>
          <w:rStyle w:val="39"/>
          <w:rFonts w:hint="eastAsia" w:ascii="宋体" w:hAnsi="宋体"/>
        </w:rPr>
      </w:pPr>
      <w:r>
        <w:rPr>
          <w:rStyle w:val="39"/>
          <w:rFonts w:ascii="宋体" w:hAnsi="宋体"/>
        </w:rPr>
        <w:t>（6）投标人未按投标文件的要求提交投标保证金的；</w:t>
      </w:r>
    </w:p>
    <w:p w14:paraId="5BC4F608">
      <w:pPr>
        <w:spacing w:line="480" w:lineRule="exact"/>
        <w:rPr>
          <w:rStyle w:val="39"/>
          <w:rFonts w:hint="eastAsia" w:ascii="宋体" w:hAnsi="宋体"/>
        </w:rPr>
      </w:pPr>
      <w:r>
        <w:rPr>
          <w:rStyle w:val="39"/>
          <w:rFonts w:ascii="宋体" w:hAnsi="宋体"/>
        </w:rPr>
        <w:t>（7）联合体投标未附联合体各方共同投标协议的（允许联合体投标的）；</w:t>
      </w:r>
    </w:p>
    <w:p w14:paraId="3E7BA575">
      <w:pPr>
        <w:spacing w:line="480" w:lineRule="exact"/>
        <w:rPr>
          <w:rStyle w:val="39"/>
          <w:rFonts w:hint="eastAsia" w:ascii="宋体" w:hAnsi="宋体"/>
        </w:rPr>
      </w:pPr>
      <w:bookmarkStart w:id="109" w:name="_Toc16063905"/>
      <w:r>
        <w:rPr>
          <w:rStyle w:val="39"/>
          <w:rFonts w:ascii="宋体" w:hAnsi="宋体"/>
        </w:rPr>
        <w:t>（8）投标文件未按照招标文件的要求予以密封的；</w:t>
      </w:r>
      <w:bookmarkEnd w:id="109"/>
    </w:p>
    <w:p w14:paraId="53EE35EE">
      <w:pPr>
        <w:spacing w:line="480" w:lineRule="exact"/>
        <w:rPr>
          <w:rStyle w:val="39"/>
          <w:rFonts w:hint="eastAsia" w:ascii="宋体" w:hAnsi="宋体"/>
        </w:rPr>
      </w:pPr>
      <w:r>
        <w:rPr>
          <w:rStyle w:val="39"/>
          <w:rFonts w:ascii="宋体" w:hAnsi="宋体"/>
        </w:rPr>
        <w:t>（9）投标文件中的投标函未加盖投标人的企业及企业法定代表人印章的，或者企业法定代表人委托代理人没有合法、有效的委托书（原件）及委托代理人印章的；</w:t>
      </w:r>
    </w:p>
    <w:p w14:paraId="40BBE2B8">
      <w:pPr>
        <w:spacing w:line="480" w:lineRule="exact"/>
        <w:rPr>
          <w:rStyle w:val="39"/>
          <w:rFonts w:hint="eastAsia" w:ascii="宋体" w:hAnsi="宋体"/>
        </w:rPr>
      </w:pPr>
      <w:r>
        <w:rPr>
          <w:rStyle w:val="39"/>
          <w:rFonts w:ascii="宋体" w:hAnsi="宋体"/>
        </w:rPr>
        <w:t>（10）资格审查未通过的</w:t>
      </w:r>
      <w:r>
        <w:rPr>
          <w:rStyle w:val="39"/>
          <w:rFonts w:hint="eastAsia" w:ascii="宋体" w:hAnsi="宋体"/>
        </w:rPr>
        <w:t>；</w:t>
      </w:r>
    </w:p>
    <w:p w14:paraId="1015D79B">
      <w:pPr>
        <w:spacing w:line="480" w:lineRule="exact"/>
        <w:rPr>
          <w:rStyle w:val="39"/>
          <w:rFonts w:hint="eastAsia" w:ascii="宋体" w:hAnsi="宋体"/>
        </w:rPr>
      </w:pPr>
      <w:r>
        <w:rPr>
          <w:rStyle w:val="39"/>
          <w:rFonts w:hint="eastAsia" w:ascii="宋体" w:hAnsi="宋体"/>
        </w:rPr>
        <w:t>（11）未实质性响应招标文件内容的；</w:t>
      </w:r>
    </w:p>
    <w:p w14:paraId="41927201">
      <w:pPr>
        <w:spacing w:line="480" w:lineRule="exact"/>
        <w:rPr>
          <w:rStyle w:val="39"/>
          <w:rFonts w:hint="eastAsia" w:ascii="宋体" w:hAnsi="宋体"/>
        </w:rPr>
      </w:pPr>
      <w:r>
        <w:rPr>
          <w:rStyle w:val="39"/>
          <w:rFonts w:hint="eastAsia" w:ascii="宋体" w:hAnsi="宋体"/>
        </w:rPr>
        <w:t>（12）投标单位负责人为同一人或存在管理关系的。</w:t>
      </w:r>
    </w:p>
    <w:p w14:paraId="7D7E983F">
      <w:pPr>
        <w:spacing w:line="480" w:lineRule="exact"/>
        <w:rPr>
          <w:rStyle w:val="39"/>
          <w:rFonts w:hint="eastAsia" w:ascii="宋体" w:hAnsi="宋体"/>
        </w:rPr>
      </w:pPr>
      <w:r>
        <w:rPr>
          <w:rStyle w:val="39"/>
          <w:rFonts w:hint="eastAsia" w:ascii="宋体" w:hAnsi="宋体"/>
        </w:rPr>
        <w:t>（13）投标人被举报、检举，并经招标方查实无误的。</w:t>
      </w:r>
    </w:p>
    <w:p w14:paraId="0639852B">
      <w:pPr>
        <w:spacing w:line="360" w:lineRule="auto"/>
        <w:rPr>
          <w:rStyle w:val="39"/>
          <w:rFonts w:hint="eastAsia" w:ascii="宋体" w:hAnsi="宋体"/>
          <w:b/>
        </w:rPr>
      </w:pPr>
      <w:r>
        <w:rPr>
          <w:rStyle w:val="39"/>
          <w:rFonts w:ascii="宋体" w:hAnsi="宋体"/>
          <w:b/>
        </w:rPr>
        <w:t>3.2 详细评审</w:t>
      </w:r>
    </w:p>
    <w:p w14:paraId="3F86ABAB">
      <w:pPr>
        <w:spacing w:line="360" w:lineRule="auto"/>
        <w:rPr>
          <w:rStyle w:val="39"/>
          <w:rFonts w:hint="eastAsia" w:ascii="宋体" w:hAnsi="宋体"/>
        </w:rPr>
      </w:pPr>
      <w:r>
        <w:rPr>
          <w:rStyle w:val="39"/>
          <w:rFonts w:ascii="宋体" w:hAnsi="宋体"/>
        </w:rPr>
        <w:t>3.2.1 评标委员会按本章</w:t>
      </w:r>
      <w:r>
        <w:rPr>
          <w:rStyle w:val="29"/>
          <w:rFonts w:ascii="宋体" w:hAnsi="宋体"/>
          <w:color w:val="auto"/>
        </w:rPr>
        <w:t>第2.2款</w:t>
      </w:r>
      <w:r>
        <w:rPr>
          <w:rStyle w:val="39"/>
          <w:rFonts w:ascii="宋体" w:hAnsi="宋体"/>
        </w:rPr>
        <w:t>规定的量化因素和分值进行打分，并计算出综合评估得分。</w:t>
      </w:r>
    </w:p>
    <w:p w14:paraId="308E3090">
      <w:pPr>
        <w:spacing w:line="360" w:lineRule="auto"/>
        <w:rPr>
          <w:rStyle w:val="39"/>
          <w:rFonts w:hint="eastAsia" w:ascii="宋体" w:hAnsi="宋体"/>
        </w:rPr>
      </w:pPr>
      <w:r>
        <w:rPr>
          <w:rStyle w:val="39"/>
          <w:rFonts w:ascii="宋体" w:hAnsi="宋体"/>
        </w:rPr>
        <w:t>3.2.2 评分分值计算保留小数点后两位，小数点后第三位“四舍五入”。</w:t>
      </w:r>
    </w:p>
    <w:p w14:paraId="10162C06">
      <w:pPr>
        <w:spacing w:line="360" w:lineRule="auto"/>
        <w:rPr>
          <w:rStyle w:val="39"/>
          <w:rFonts w:hint="eastAsia" w:ascii="宋体" w:hAnsi="宋体"/>
        </w:rPr>
      </w:pPr>
      <w:r>
        <w:rPr>
          <w:rStyle w:val="39"/>
          <w:rFonts w:ascii="宋体" w:hAnsi="宋体"/>
        </w:rPr>
        <w:t>3.2.3 投标人得分=评标委员会按照本章</w:t>
      </w:r>
      <w:r>
        <w:rPr>
          <w:rStyle w:val="29"/>
          <w:rFonts w:ascii="宋体" w:hAnsi="宋体"/>
          <w:color w:val="auto"/>
        </w:rPr>
        <w:t>第2.2.4项</w:t>
      </w:r>
      <w:r>
        <w:rPr>
          <w:rStyle w:val="39"/>
          <w:rFonts w:ascii="宋体" w:hAnsi="宋体"/>
        </w:rPr>
        <w:t>评分细则评审的得分。</w:t>
      </w:r>
    </w:p>
    <w:p w14:paraId="0507FF3C">
      <w:pPr>
        <w:spacing w:line="360" w:lineRule="auto"/>
        <w:rPr>
          <w:rStyle w:val="39"/>
          <w:rFonts w:hint="eastAsia" w:ascii="宋体" w:hAnsi="宋体"/>
        </w:rPr>
      </w:pPr>
      <w:r>
        <w:rPr>
          <w:rStyle w:val="39"/>
          <w:rFonts w:ascii="宋体" w:hAnsi="宋体"/>
        </w:rPr>
        <w:t>3.2.4 评标委员会发现投标人的报价明显低于其他投标报价，使得其投标报价可能低于其个别成本的，应当要求该投标人作出书面说明并提供相应的证明材料。投标人不能合理说明或者不能提供相应证明材料的，由评标委员会认定该投标人以低于成本报价竞标，其投标作废标处理。</w:t>
      </w:r>
    </w:p>
    <w:p w14:paraId="221C7317">
      <w:pPr>
        <w:spacing w:line="360" w:lineRule="auto"/>
        <w:rPr>
          <w:rStyle w:val="39"/>
          <w:rFonts w:hint="eastAsia" w:ascii="宋体" w:hAnsi="宋体"/>
          <w:b/>
        </w:rPr>
      </w:pPr>
      <w:r>
        <w:rPr>
          <w:rStyle w:val="39"/>
          <w:rFonts w:ascii="宋体" w:hAnsi="宋体"/>
          <w:b/>
        </w:rPr>
        <w:t>3.3 投标文件的澄清和补正</w:t>
      </w:r>
    </w:p>
    <w:p w14:paraId="6FEC2A4D">
      <w:pPr>
        <w:spacing w:line="360" w:lineRule="auto"/>
        <w:rPr>
          <w:rStyle w:val="39"/>
          <w:rFonts w:hint="eastAsia" w:ascii="宋体" w:hAnsi="宋体"/>
        </w:rPr>
      </w:pPr>
      <w:r>
        <w:rPr>
          <w:rStyle w:val="39"/>
          <w:rFonts w:ascii="宋体" w:hAnsi="宋体"/>
        </w:rPr>
        <w:t>3.3.1在评标过程中，评标委员会可以书面形式要求投标人对所提交投标文件中不明确的内容进行书面澄清或说明，或者对细微偏差进行补正。评标委员会不接受投标人主动提出的澄清、说明或补正。</w:t>
      </w:r>
    </w:p>
    <w:p w14:paraId="0052B9F0">
      <w:pPr>
        <w:spacing w:line="360" w:lineRule="auto"/>
        <w:rPr>
          <w:rStyle w:val="39"/>
          <w:rFonts w:hint="eastAsia" w:ascii="宋体" w:hAnsi="宋体"/>
        </w:rPr>
      </w:pPr>
      <w:r>
        <w:rPr>
          <w:rStyle w:val="39"/>
          <w:rFonts w:ascii="宋体" w:hAnsi="宋体"/>
        </w:rPr>
        <w:t>3.3.2 投标人的书面澄清、说明和补正属于投标文件的组成部分。</w:t>
      </w:r>
    </w:p>
    <w:p w14:paraId="743E2293">
      <w:pPr>
        <w:spacing w:line="360" w:lineRule="auto"/>
        <w:rPr>
          <w:rStyle w:val="39"/>
          <w:rFonts w:hint="eastAsia" w:ascii="宋体" w:hAnsi="宋体"/>
        </w:rPr>
      </w:pPr>
      <w:r>
        <w:rPr>
          <w:rStyle w:val="39"/>
          <w:rFonts w:ascii="宋体" w:hAnsi="宋体"/>
        </w:rPr>
        <w:t>3.3.3 评标委员会对投标人提交的澄清、说明或补正有疑问的，可以要求投标人进一步澄清、说明或补正，直至满足评标委员会的要求。</w:t>
      </w:r>
    </w:p>
    <w:p w14:paraId="0EDE43B2">
      <w:pPr>
        <w:spacing w:line="360" w:lineRule="auto"/>
        <w:rPr>
          <w:rStyle w:val="39"/>
          <w:rFonts w:hint="eastAsia" w:ascii="宋体" w:hAnsi="宋体"/>
          <w:b/>
        </w:rPr>
      </w:pPr>
      <w:r>
        <w:rPr>
          <w:rStyle w:val="39"/>
          <w:rFonts w:ascii="宋体" w:hAnsi="宋体"/>
          <w:b/>
        </w:rPr>
        <w:t>3.4 评标结果</w:t>
      </w:r>
    </w:p>
    <w:p w14:paraId="4F3955BB">
      <w:pPr>
        <w:spacing w:line="360" w:lineRule="auto"/>
        <w:rPr>
          <w:rFonts w:hint="eastAsia" w:ascii="宋体" w:hAnsi="宋体"/>
        </w:rPr>
      </w:pPr>
      <w:r>
        <w:rPr>
          <w:rStyle w:val="39"/>
          <w:rFonts w:ascii="宋体" w:hAnsi="宋体"/>
        </w:rPr>
        <w:t>3.4.1除第二章“投标人须知”前附表</w:t>
      </w:r>
      <w:r>
        <w:rPr>
          <w:rStyle w:val="29"/>
          <w:rFonts w:ascii="宋体" w:hAnsi="宋体"/>
          <w:color w:val="auto"/>
        </w:rPr>
        <w:t>第7.1款</w:t>
      </w:r>
      <w:r>
        <w:rPr>
          <w:rStyle w:val="39"/>
          <w:rFonts w:ascii="宋体" w:hAnsi="宋体"/>
        </w:rPr>
        <w:t>授权直接确定中标人外，</w:t>
      </w:r>
      <w:r>
        <w:rPr>
          <w:rFonts w:hint="eastAsia" w:ascii="宋体" w:hAnsi="宋体"/>
          <w:szCs w:val="21"/>
        </w:rPr>
        <w:t>评标委员会按照最终得分由高到低的次序排列</w:t>
      </w:r>
      <w:r>
        <w:rPr>
          <w:rFonts w:hint="eastAsia" w:ascii="宋体" w:hAnsi="宋体"/>
        </w:rPr>
        <w:t>。</w:t>
      </w:r>
    </w:p>
    <w:p w14:paraId="47F13B47">
      <w:pPr>
        <w:spacing w:line="360" w:lineRule="auto"/>
        <w:rPr>
          <w:rStyle w:val="39"/>
          <w:rFonts w:hint="eastAsia" w:ascii="宋体" w:hAnsi="宋体"/>
        </w:rPr>
      </w:pPr>
      <w:r>
        <w:rPr>
          <w:rStyle w:val="39"/>
          <w:rFonts w:ascii="宋体" w:hAnsi="宋体"/>
        </w:rPr>
        <w:t>3.4.2 评标委员会完成评标后，应当向招标人提交书面评标报告。</w:t>
      </w:r>
    </w:p>
    <w:p w14:paraId="4DDE509D">
      <w:pPr>
        <w:pStyle w:val="43"/>
        <w:spacing w:before="0" w:after="0"/>
        <w:rPr>
          <w:rStyle w:val="39"/>
          <w:rFonts w:hint="eastAsia" w:ascii="宋体" w:hAnsi="宋体"/>
          <w:sz w:val="24"/>
        </w:rPr>
      </w:pPr>
      <w:r>
        <w:rPr>
          <w:rStyle w:val="39"/>
          <w:rFonts w:ascii="宋体" w:hAnsi="宋体"/>
          <w:sz w:val="24"/>
        </w:rPr>
        <w:t>附件A：评标详细程序</w:t>
      </w:r>
    </w:p>
    <w:p w14:paraId="053F87F9">
      <w:pPr>
        <w:pStyle w:val="43"/>
        <w:spacing w:before="0" w:after="0"/>
        <w:rPr>
          <w:rStyle w:val="39"/>
          <w:rFonts w:hint="eastAsia" w:ascii="宋体" w:hAnsi="宋体"/>
          <w:sz w:val="24"/>
        </w:rPr>
      </w:pPr>
      <w:bookmarkStart w:id="110" w:name="_Toc16063906"/>
      <w:r>
        <w:rPr>
          <w:rStyle w:val="39"/>
          <w:rFonts w:ascii="宋体" w:hAnsi="宋体"/>
          <w:sz w:val="24"/>
        </w:rPr>
        <w:t>A0. 总则</w:t>
      </w:r>
      <w:bookmarkEnd w:id="110"/>
    </w:p>
    <w:p w14:paraId="480F7227">
      <w:pPr>
        <w:spacing w:line="360" w:lineRule="auto"/>
        <w:ind w:firstLine="420" w:firstLineChars="200"/>
        <w:rPr>
          <w:rStyle w:val="39"/>
          <w:rFonts w:hint="eastAsia" w:ascii="宋体" w:hAnsi="宋体"/>
        </w:rPr>
      </w:pPr>
      <w:r>
        <w:rPr>
          <w:rStyle w:val="39"/>
          <w:rFonts w:ascii="宋体" w:hAnsi="宋体"/>
        </w:rPr>
        <w:t>本附件是本章“评标办法”的组成部分，是对本章</w:t>
      </w:r>
      <w:r>
        <w:rPr>
          <w:rStyle w:val="29"/>
          <w:rFonts w:ascii="宋体" w:hAnsi="宋体"/>
          <w:color w:val="auto"/>
        </w:rPr>
        <w:t>第3条</w:t>
      </w:r>
      <w:r>
        <w:rPr>
          <w:rStyle w:val="39"/>
          <w:rFonts w:ascii="宋体" w:hAnsi="宋体"/>
        </w:rPr>
        <w:t>所规定的评标程序的进一步细化，评标委员会应当按照本附件所规定的详细程序开展并完成评标工作。</w:t>
      </w:r>
    </w:p>
    <w:p w14:paraId="08A01448">
      <w:pPr>
        <w:pStyle w:val="43"/>
        <w:spacing w:before="0" w:after="0"/>
        <w:rPr>
          <w:rStyle w:val="39"/>
          <w:rFonts w:hint="eastAsia" w:ascii="宋体" w:hAnsi="宋体"/>
          <w:sz w:val="24"/>
        </w:rPr>
      </w:pPr>
      <w:bookmarkStart w:id="111" w:name="_Toc16063907"/>
      <w:r>
        <w:rPr>
          <w:rStyle w:val="39"/>
          <w:rFonts w:ascii="宋体" w:hAnsi="宋体"/>
          <w:sz w:val="24"/>
        </w:rPr>
        <w:t>A1. 基本程序</w:t>
      </w:r>
      <w:bookmarkEnd w:id="111"/>
    </w:p>
    <w:p w14:paraId="26802651">
      <w:pPr>
        <w:spacing w:line="360" w:lineRule="auto"/>
        <w:ind w:firstLine="420" w:firstLineChars="200"/>
        <w:rPr>
          <w:rStyle w:val="39"/>
          <w:rFonts w:hint="eastAsia" w:ascii="宋体" w:hAnsi="宋体"/>
        </w:rPr>
      </w:pPr>
      <w:r>
        <w:rPr>
          <w:rStyle w:val="39"/>
          <w:rFonts w:ascii="宋体" w:hAnsi="宋体"/>
        </w:rPr>
        <w:t>评标活动将按以下五个步骤进行：</w:t>
      </w:r>
    </w:p>
    <w:p w14:paraId="602CEA70">
      <w:pPr>
        <w:spacing w:line="360" w:lineRule="auto"/>
        <w:ind w:firstLine="420" w:firstLineChars="200"/>
        <w:rPr>
          <w:rStyle w:val="39"/>
          <w:rFonts w:hint="eastAsia" w:ascii="宋体" w:hAnsi="宋体"/>
        </w:rPr>
      </w:pPr>
      <w:r>
        <w:rPr>
          <w:rStyle w:val="39"/>
          <w:rFonts w:ascii="宋体" w:hAnsi="宋体"/>
        </w:rPr>
        <w:t>（1） 评标准备；</w:t>
      </w:r>
    </w:p>
    <w:p w14:paraId="78EB82EC">
      <w:pPr>
        <w:spacing w:line="360" w:lineRule="auto"/>
        <w:ind w:firstLine="420" w:firstLineChars="200"/>
        <w:rPr>
          <w:rStyle w:val="39"/>
          <w:rFonts w:hint="eastAsia" w:ascii="宋体" w:hAnsi="宋体"/>
        </w:rPr>
      </w:pPr>
      <w:r>
        <w:rPr>
          <w:rStyle w:val="39"/>
          <w:rFonts w:ascii="宋体" w:hAnsi="宋体"/>
        </w:rPr>
        <w:t>（2） 初步评审；</w:t>
      </w:r>
    </w:p>
    <w:p w14:paraId="77DF2232">
      <w:pPr>
        <w:spacing w:line="360" w:lineRule="auto"/>
        <w:ind w:firstLine="420" w:firstLineChars="200"/>
        <w:rPr>
          <w:rStyle w:val="39"/>
          <w:rFonts w:hint="eastAsia" w:ascii="宋体" w:hAnsi="宋体"/>
        </w:rPr>
      </w:pPr>
      <w:r>
        <w:rPr>
          <w:rStyle w:val="39"/>
          <w:rFonts w:ascii="宋体" w:hAnsi="宋体"/>
        </w:rPr>
        <w:t>（3） 详细评审；</w:t>
      </w:r>
    </w:p>
    <w:p w14:paraId="14FE6DCB">
      <w:pPr>
        <w:spacing w:line="360" w:lineRule="auto"/>
        <w:ind w:firstLine="420" w:firstLineChars="200"/>
        <w:rPr>
          <w:rStyle w:val="39"/>
          <w:rFonts w:hint="eastAsia" w:ascii="宋体" w:hAnsi="宋体"/>
        </w:rPr>
      </w:pPr>
      <w:r>
        <w:rPr>
          <w:rStyle w:val="39"/>
          <w:rFonts w:ascii="宋体" w:hAnsi="宋体"/>
        </w:rPr>
        <w:t>（4） 澄清、说明或补正；</w:t>
      </w:r>
    </w:p>
    <w:p w14:paraId="2ED78725">
      <w:pPr>
        <w:spacing w:line="360" w:lineRule="auto"/>
        <w:ind w:firstLine="420" w:firstLineChars="200"/>
        <w:rPr>
          <w:rStyle w:val="39"/>
          <w:rFonts w:hint="eastAsia" w:ascii="宋体" w:hAnsi="宋体"/>
        </w:rPr>
      </w:pPr>
      <w:r>
        <w:rPr>
          <w:rStyle w:val="39"/>
          <w:rFonts w:ascii="宋体" w:hAnsi="宋体"/>
        </w:rPr>
        <w:t>（5） 推荐</w:t>
      </w:r>
      <w:r>
        <w:rPr>
          <w:rStyle w:val="39"/>
          <w:rFonts w:hint="eastAsia" w:ascii="宋体" w:hAnsi="宋体"/>
        </w:rPr>
        <w:t>排序</w:t>
      </w:r>
      <w:r>
        <w:rPr>
          <w:rStyle w:val="39"/>
          <w:rFonts w:ascii="宋体" w:hAnsi="宋体"/>
        </w:rPr>
        <w:t>或者直接确定中标人及提交评标报告。</w:t>
      </w:r>
    </w:p>
    <w:p w14:paraId="215D6B97">
      <w:pPr>
        <w:pStyle w:val="43"/>
        <w:spacing w:before="0" w:after="0"/>
        <w:rPr>
          <w:rStyle w:val="39"/>
          <w:rFonts w:hint="eastAsia" w:ascii="宋体" w:hAnsi="宋体"/>
          <w:sz w:val="24"/>
        </w:rPr>
      </w:pPr>
      <w:bookmarkStart w:id="112" w:name="_Toc16063908"/>
      <w:r>
        <w:rPr>
          <w:rStyle w:val="39"/>
          <w:rFonts w:ascii="宋体" w:hAnsi="宋体"/>
          <w:sz w:val="24"/>
        </w:rPr>
        <w:t>A2. 评标准备</w:t>
      </w:r>
      <w:bookmarkEnd w:id="112"/>
    </w:p>
    <w:p w14:paraId="4317C4FB">
      <w:pPr>
        <w:pStyle w:val="43"/>
        <w:spacing w:before="0" w:after="0"/>
        <w:rPr>
          <w:rStyle w:val="39"/>
          <w:rFonts w:hint="eastAsia" w:ascii="宋体" w:hAnsi="宋体"/>
          <w:sz w:val="24"/>
        </w:rPr>
      </w:pPr>
      <w:bookmarkStart w:id="113" w:name="_Toc16063909"/>
      <w:r>
        <w:rPr>
          <w:rStyle w:val="39"/>
          <w:rFonts w:ascii="宋体" w:hAnsi="宋体"/>
          <w:sz w:val="24"/>
        </w:rPr>
        <w:t>A2.1评标委员会成员签到</w:t>
      </w:r>
      <w:bookmarkEnd w:id="113"/>
    </w:p>
    <w:p w14:paraId="49A96F67">
      <w:pPr>
        <w:spacing w:line="360" w:lineRule="auto"/>
        <w:ind w:firstLine="420" w:firstLineChars="200"/>
        <w:rPr>
          <w:rStyle w:val="39"/>
          <w:rFonts w:hint="eastAsia" w:ascii="宋体" w:hAnsi="宋体"/>
        </w:rPr>
      </w:pPr>
      <w:r>
        <w:rPr>
          <w:rStyle w:val="39"/>
          <w:rFonts w:ascii="宋体" w:hAnsi="宋体"/>
        </w:rPr>
        <w:t>评标委员会成员到达评标现场时应在签到表上签到以证明其出席。评标委员会签到表见附表A-1。</w:t>
      </w:r>
    </w:p>
    <w:p w14:paraId="69ACD7FA">
      <w:pPr>
        <w:pStyle w:val="43"/>
        <w:spacing w:before="0" w:after="0"/>
        <w:rPr>
          <w:rStyle w:val="39"/>
          <w:rFonts w:hint="eastAsia" w:ascii="宋体" w:hAnsi="宋体"/>
          <w:sz w:val="24"/>
        </w:rPr>
      </w:pPr>
      <w:bookmarkStart w:id="114" w:name="_Toc16063910"/>
      <w:r>
        <w:rPr>
          <w:rStyle w:val="39"/>
          <w:rFonts w:ascii="宋体" w:hAnsi="宋体"/>
          <w:sz w:val="24"/>
        </w:rPr>
        <w:t>A2.2评标委员会的分工</w:t>
      </w:r>
      <w:bookmarkEnd w:id="114"/>
    </w:p>
    <w:p w14:paraId="4B8FCF9E">
      <w:pPr>
        <w:spacing w:line="360" w:lineRule="auto"/>
        <w:ind w:firstLine="420" w:firstLineChars="200"/>
        <w:rPr>
          <w:rStyle w:val="39"/>
          <w:rFonts w:hint="eastAsia" w:ascii="宋体" w:hAnsi="宋体"/>
        </w:rPr>
      </w:pPr>
      <w:r>
        <w:rPr>
          <w:rStyle w:val="39"/>
          <w:rFonts w:ascii="宋体" w:hAnsi="宋体"/>
        </w:rPr>
        <w:t>评标委员会首先推选一名评标委员会主任。招标人也可以直接指定评标委员会主任。评标委员会主任负责评标活动的组织领导工作。评标委员会主任在与其他评标委员会成员商议的基础上可以将评标委员会划分为技术组和商务组。</w:t>
      </w:r>
    </w:p>
    <w:p w14:paraId="6BFB5583">
      <w:pPr>
        <w:pStyle w:val="43"/>
        <w:spacing w:before="0" w:after="0"/>
        <w:rPr>
          <w:rStyle w:val="39"/>
          <w:rFonts w:hint="eastAsia" w:ascii="宋体" w:hAnsi="宋体"/>
          <w:sz w:val="24"/>
        </w:rPr>
      </w:pPr>
      <w:bookmarkStart w:id="115" w:name="_Toc16063911"/>
      <w:r>
        <w:rPr>
          <w:rStyle w:val="39"/>
          <w:rFonts w:ascii="宋体" w:hAnsi="宋体"/>
          <w:sz w:val="24"/>
        </w:rPr>
        <w:t>A2.3熟悉文件资料</w:t>
      </w:r>
      <w:bookmarkEnd w:id="115"/>
    </w:p>
    <w:p w14:paraId="45CC17FF">
      <w:pPr>
        <w:spacing w:line="360" w:lineRule="auto"/>
        <w:ind w:firstLine="420" w:firstLineChars="200"/>
        <w:rPr>
          <w:rStyle w:val="39"/>
          <w:rFonts w:hint="eastAsia" w:ascii="宋体" w:hAnsi="宋体"/>
        </w:rPr>
      </w:pPr>
      <w:r>
        <w:rPr>
          <w:rStyle w:val="39"/>
          <w:rFonts w:ascii="宋体" w:hAnsi="宋体"/>
        </w:rPr>
        <w:t>A2.3.1评标委员会主任应组织评标委员会成员认真研究招标文件，了解和熟悉招标目的、招标范围、主要合同条件、技术标准和要求、质量标准和工期要求，掌握评标标准和方法，熟悉本章及附件中包括的评标表格的使用，如果本章及附件所附的表格不能满足评标所需时，评标委员会应补充编制评标所需的表格，尤其是用于详细分析计算的表格。未在招标文件中规定的标准和方法不得作为评标的依据。</w:t>
      </w:r>
    </w:p>
    <w:p w14:paraId="39D10B52">
      <w:pPr>
        <w:spacing w:line="360" w:lineRule="auto"/>
        <w:ind w:firstLine="420" w:firstLineChars="200"/>
        <w:rPr>
          <w:rStyle w:val="39"/>
          <w:rFonts w:hint="eastAsia" w:ascii="宋体" w:hAnsi="宋体"/>
        </w:rPr>
      </w:pPr>
      <w:r>
        <w:rPr>
          <w:rStyle w:val="39"/>
          <w:rFonts w:ascii="宋体" w:hAnsi="宋体"/>
        </w:rPr>
        <w:t>A2.3.2招标人或招标代理机构应向评标委员会提供评标所需的信息和数据，包括招标文件、未在开标会上当场拒绝的各投标文件、开标会记录、工程所在地工程造价管理部门颁布的工程造价信息、定额（如作为计价依据时）、有关的法律、法规、规章、国家标准以及招标人或评标委员会认为必要的其他信息和数据。</w:t>
      </w:r>
    </w:p>
    <w:p w14:paraId="248CCFBC">
      <w:pPr>
        <w:pStyle w:val="43"/>
        <w:spacing w:before="0" w:after="0"/>
        <w:rPr>
          <w:rStyle w:val="39"/>
          <w:rFonts w:hint="eastAsia" w:ascii="宋体" w:hAnsi="宋体"/>
          <w:sz w:val="24"/>
        </w:rPr>
      </w:pPr>
      <w:bookmarkStart w:id="116" w:name="_Toc16063912"/>
      <w:r>
        <w:rPr>
          <w:rStyle w:val="39"/>
          <w:rFonts w:ascii="宋体" w:hAnsi="宋体"/>
          <w:sz w:val="24"/>
        </w:rPr>
        <w:t>A2.4对投标文件进行基础性数据分析和整理工作（清标）</w:t>
      </w:r>
      <w:bookmarkEnd w:id="116"/>
    </w:p>
    <w:p w14:paraId="0E3C8F42">
      <w:pPr>
        <w:spacing w:line="360" w:lineRule="auto"/>
        <w:ind w:firstLine="420" w:firstLineChars="200"/>
        <w:rPr>
          <w:rStyle w:val="39"/>
          <w:rFonts w:hint="eastAsia" w:ascii="宋体" w:hAnsi="宋体"/>
        </w:rPr>
      </w:pPr>
      <w:r>
        <w:rPr>
          <w:rStyle w:val="39"/>
          <w:rFonts w:ascii="宋体" w:hAnsi="宋体"/>
        </w:rPr>
        <w:t>A2.4.1在不改变投标人投标文件实质性内容的前提下，评标委员会应当对投标文件进行基础性数据分析和整理（本章中简称为“清标”），从而发现并提取其中可能存在的对招标范围理解的偏差、投标报价的算术性错误、错漏项、投标报价构成不合理、不平衡报价等存在明显异常的问题，并就这些问题整理形成清标成果。评标委员会对清标成果审议后，决定需要投标人进行书面澄清、说明或补正的问题，形成质疑问卷，向投标人发出问题澄清通知（包括质疑问卷）。</w:t>
      </w:r>
    </w:p>
    <w:p w14:paraId="3CE82410">
      <w:pPr>
        <w:spacing w:line="360" w:lineRule="auto"/>
        <w:ind w:firstLine="420" w:firstLineChars="200"/>
        <w:rPr>
          <w:rStyle w:val="39"/>
          <w:rFonts w:hint="eastAsia" w:ascii="宋体" w:hAnsi="宋体"/>
        </w:rPr>
      </w:pPr>
      <w:r>
        <w:rPr>
          <w:rStyle w:val="39"/>
          <w:rFonts w:ascii="宋体" w:hAnsi="宋体"/>
        </w:rPr>
        <w:t>A2.4.2在不影响评标委员会成员的法定权利的前提下，评标委员会可委托由招标人专门成立的清标工作小组完成清标工作。在这种情况下，清标工作可以在评标工作开始之前完成，也可以与评标工作平行进行。清标工作小组成员应为具备相应执业资格的专业人员，且应当符合有关法律法规对评标专家的回避规定和要求，不得与任何投标人有利益、上下级等关系，不得代行依法应当由评标委员会及其成员行使的权利。清标成果应当经过评标委员会的审核确认，经过评标委员会审核确认的清标成果视同是评标委员会的工作成果，并由评标委员会以书面方式追加对清标工作小组的授权，书面授权委托书必须由评标委员会全体成员签名。</w:t>
      </w:r>
    </w:p>
    <w:p w14:paraId="0910CCBE">
      <w:pPr>
        <w:spacing w:line="360" w:lineRule="auto"/>
        <w:ind w:firstLine="420" w:firstLineChars="200"/>
        <w:rPr>
          <w:rStyle w:val="39"/>
          <w:rFonts w:hint="eastAsia" w:ascii="宋体" w:hAnsi="宋体"/>
        </w:rPr>
      </w:pPr>
      <w:r>
        <w:rPr>
          <w:rStyle w:val="39"/>
          <w:rFonts w:ascii="宋体" w:hAnsi="宋体"/>
        </w:rPr>
        <w:t>A2.4.3投标人接到评标委员会发出的问题澄清通知后，应按评标委员会的要求提供书面澄清资料并按要求进行密封，在规定的时间递交到指定地点。投标人递交的书面澄清资料由评标委员会开启。</w:t>
      </w:r>
    </w:p>
    <w:p w14:paraId="21596ABB">
      <w:pPr>
        <w:pStyle w:val="43"/>
        <w:spacing w:before="0" w:after="0"/>
        <w:rPr>
          <w:rStyle w:val="39"/>
          <w:rFonts w:hint="eastAsia" w:ascii="宋体" w:hAnsi="宋体"/>
          <w:sz w:val="24"/>
        </w:rPr>
      </w:pPr>
      <w:bookmarkStart w:id="117" w:name="_Toc16063913"/>
      <w:r>
        <w:rPr>
          <w:rStyle w:val="39"/>
          <w:rFonts w:ascii="宋体" w:hAnsi="宋体"/>
          <w:sz w:val="24"/>
        </w:rPr>
        <w:t>A3.初步评审</w:t>
      </w:r>
      <w:bookmarkEnd w:id="117"/>
    </w:p>
    <w:p w14:paraId="1D96A345">
      <w:pPr>
        <w:pStyle w:val="43"/>
        <w:spacing w:before="0" w:after="0"/>
        <w:rPr>
          <w:rStyle w:val="39"/>
          <w:rFonts w:hint="eastAsia" w:ascii="宋体" w:hAnsi="宋体"/>
          <w:sz w:val="24"/>
        </w:rPr>
      </w:pPr>
      <w:bookmarkStart w:id="118" w:name="_Toc16063914"/>
      <w:r>
        <w:rPr>
          <w:rStyle w:val="39"/>
          <w:rFonts w:ascii="宋体" w:hAnsi="宋体"/>
          <w:sz w:val="24"/>
        </w:rPr>
        <w:t>A3.1形式评审</w:t>
      </w:r>
      <w:bookmarkEnd w:id="118"/>
    </w:p>
    <w:p w14:paraId="195775E6">
      <w:pPr>
        <w:spacing w:line="360" w:lineRule="auto"/>
        <w:ind w:firstLine="420" w:firstLineChars="200"/>
        <w:rPr>
          <w:rStyle w:val="39"/>
          <w:rFonts w:hint="eastAsia" w:ascii="宋体" w:hAnsi="宋体"/>
        </w:rPr>
      </w:pPr>
      <w:r>
        <w:rPr>
          <w:rStyle w:val="39"/>
          <w:rFonts w:ascii="宋体" w:hAnsi="宋体"/>
        </w:rPr>
        <w:t>评标委员会根据评标办法前附表中规定的评审因素和评审标准，对投标人的投标文件进行形式评审，并记录评审结果。</w:t>
      </w:r>
    </w:p>
    <w:p w14:paraId="16285E2A">
      <w:pPr>
        <w:pStyle w:val="43"/>
        <w:spacing w:before="0" w:after="0"/>
        <w:rPr>
          <w:rStyle w:val="39"/>
          <w:rFonts w:hint="eastAsia" w:ascii="宋体" w:hAnsi="宋体"/>
          <w:sz w:val="24"/>
        </w:rPr>
      </w:pPr>
      <w:bookmarkStart w:id="119" w:name="_Toc16063915"/>
      <w:r>
        <w:rPr>
          <w:rStyle w:val="39"/>
          <w:rFonts w:ascii="宋体" w:hAnsi="宋体"/>
          <w:sz w:val="24"/>
        </w:rPr>
        <w:t>A3.2资格评审</w:t>
      </w:r>
      <w:bookmarkEnd w:id="119"/>
    </w:p>
    <w:p w14:paraId="6482D092">
      <w:pPr>
        <w:spacing w:line="360" w:lineRule="auto"/>
        <w:ind w:firstLine="420" w:firstLineChars="200"/>
        <w:rPr>
          <w:rStyle w:val="39"/>
          <w:rFonts w:hint="eastAsia" w:ascii="宋体" w:hAnsi="宋体"/>
        </w:rPr>
      </w:pPr>
      <w:r>
        <w:rPr>
          <w:rStyle w:val="39"/>
          <w:rFonts w:ascii="宋体" w:hAnsi="宋体"/>
        </w:rPr>
        <w:t>A3.2.1评标委员会根据评标办法前附表中规定的评审因素和评审标准，对投标人的投标文件进行资格评审，并记录评审结果。</w:t>
      </w:r>
    </w:p>
    <w:p w14:paraId="58ED658E">
      <w:pPr>
        <w:pStyle w:val="43"/>
        <w:spacing w:before="0" w:after="0"/>
        <w:rPr>
          <w:rStyle w:val="39"/>
          <w:rFonts w:hint="eastAsia" w:ascii="宋体" w:hAnsi="宋体"/>
          <w:sz w:val="24"/>
        </w:rPr>
      </w:pPr>
      <w:bookmarkStart w:id="120" w:name="_Toc16063916"/>
      <w:r>
        <w:rPr>
          <w:rStyle w:val="39"/>
          <w:rFonts w:ascii="宋体" w:hAnsi="宋体"/>
          <w:sz w:val="24"/>
        </w:rPr>
        <w:t>A3.3响应性评审</w:t>
      </w:r>
      <w:bookmarkEnd w:id="120"/>
    </w:p>
    <w:p w14:paraId="1E0968CF">
      <w:pPr>
        <w:spacing w:line="360" w:lineRule="auto"/>
        <w:ind w:firstLine="420" w:firstLineChars="200"/>
        <w:rPr>
          <w:rStyle w:val="39"/>
          <w:rFonts w:hint="eastAsia" w:ascii="宋体" w:hAnsi="宋体"/>
        </w:rPr>
      </w:pPr>
      <w:r>
        <w:rPr>
          <w:rStyle w:val="39"/>
          <w:rFonts w:ascii="宋体" w:hAnsi="宋体"/>
        </w:rPr>
        <w:t>评标委员会根据评标办法前附表中规定的评审因素和评审标准，对投标人的投标文件进行响应性评审，并记录评审结果。</w:t>
      </w:r>
    </w:p>
    <w:p w14:paraId="7268FD7E">
      <w:pPr>
        <w:pStyle w:val="43"/>
        <w:spacing w:before="0" w:after="0"/>
        <w:rPr>
          <w:rStyle w:val="39"/>
          <w:rFonts w:hint="eastAsia" w:ascii="宋体" w:hAnsi="宋体"/>
          <w:sz w:val="24"/>
        </w:rPr>
      </w:pPr>
      <w:bookmarkStart w:id="121" w:name="_Toc16063917"/>
      <w:r>
        <w:rPr>
          <w:rStyle w:val="39"/>
          <w:rFonts w:ascii="宋体" w:hAnsi="宋体"/>
          <w:sz w:val="24"/>
        </w:rPr>
        <w:t>A3.4判断投标是否为废标</w:t>
      </w:r>
      <w:bookmarkEnd w:id="121"/>
    </w:p>
    <w:p w14:paraId="488782E8">
      <w:pPr>
        <w:spacing w:line="360" w:lineRule="auto"/>
        <w:rPr>
          <w:rStyle w:val="39"/>
          <w:rFonts w:hint="eastAsia" w:ascii="宋体" w:hAnsi="宋体"/>
        </w:rPr>
      </w:pPr>
      <w:r>
        <w:rPr>
          <w:rStyle w:val="39"/>
          <w:rFonts w:ascii="宋体" w:hAnsi="宋体"/>
        </w:rPr>
        <w:t>A3.4.1判断投标人的投标是否为废标的全部条件（包括本章第3.1.2项中规定的条件），在本章</w:t>
      </w:r>
      <w:r>
        <w:rPr>
          <w:rStyle w:val="29"/>
          <w:rFonts w:ascii="宋体" w:hAnsi="宋体"/>
          <w:color w:val="auto"/>
        </w:rPr>
        <w:t>附件B</w:t>
      </w:r>
      <w:r>
        <w:rPr>
          <w:rStyle w:val="39"/>
          <w:rFonts w:ascii="宋体" w:hAnsi="宋体"/>
        </w:rPr>
        <w:t>中集中列示。</w:t>
      </w:r>
    </w:p>
    <w:p w14:paraId="11A310F4">
      <w:pPr>
        <w:spacing w:line="360" w:lineRule="auto"/>
        <w:rPr>
          <w:rStyle w:val="39"/>
          <w:rFonts w:hint="eastAsia" w:ascii="宋体" w:hAnsi="宋体"/>
        </w:rPr>
      </w:pPr>
      <w:r>
        <w:rPr>
          <w:rStyle w:val="39"/>
          <w:rFonts w:ascii="宋体" w:hAnsi="宋体"/>
        </w:rPr>
        <w:t>A3.4.2本章</w:t>
      </w:r>
      <w:r>
        <w:rPr>
          <w:rStyle w:val="29"/>
          <w:rFonts w:ascii="宋体" w:hAnsi="宋体"/>
          <w:color w:val="auto"/>
        </w:rPr>
        <w:t>附件B</w:t>
      </w:r>
      <w:r>
        <w:rPr>
          <w:rStyle w:val="39"/>
          <w:rFonts w:ascii="宋体" w:hAnsi="宋体"/>
        </w:rPr>
        <w:t>集中列示的废标条件不应与第二章“投标人须知”和本章正文部分包括的废标条件抵触，如果出现相互矛盾的情况，以第二章“投标人须知”和本章正文部分的规定为准。</w:t>
      </w:r>
    </w:p>
    <w:p w14:paraId="4E5FBF16">
      <w:pPr>
        <w:spacing w:line="360" w:lineRule="auto"/>
        <w:rPr>
          <w:rStyle w:val="39"/>
          <w:rFonts w:hint="eastAsia" w:ascii="宋体" w:hAnsi="宋体"/>
        </w:rPr>
      </w:pPr>
      <w:r>
        <w:rPr>
          <w:rStyle w:val="39"/>
          <w:rFonts w:ascii="宋体" w:hAnsi="宋体"/>
        </w:rPr>
        <w:t>A3.4.3评标委员会在评标（包括初步评审和详细评审）过程中，依据本章</w:t>
      </w:r>
      <w:r>
        <w:rPr>
          <w:rStyle w:val="29"/>
          <w:rFonts w:ascii="宋体" w:hAnsi="宋体"/>
          <w:color w:val="auto"/>
        </w:rPr>
        <w:t>附件B</w:t>
      </w:r>
      <w:r>
        <w:rPr>
          <w:rStyle w:val="39"/>
          <w:rFonts w:ascii="宋体" w:hAnsi="宋体"/>
        </w:rPr>
        <w:t>中规定的废标条件判断投标人的投标是否为废标。</w:t>
      </w:r>
    </w:p>
    <w:p w14:paraId="5C05C44F">
      <w:pPr>
        <w:pStyle w:val="43"/>
        <w:spacing w:before="0" w:after="0"/>
        <w:rPr>
          <w:rStyle w:val="39"/>
          <w:rFonts w:hint="eastAsia" w:ascii="宋体" w:hAnsi="宋体"/>
          <w:sz w:val="24"/>
        </w:rPr>
      </w:pPr>
      <w:bookmarkStart w:id="122" w:name="_Toc16063918"/>
      <w:r>
        <w:rPr>
          <w:rStyle w:val="39"/>
          <w:rFonts w:ascii="宋体" w:hAnsi="宋体"/>
          <w:sz w:val="24"/>
        </w:rPr>
        <w:t>A3.5算术错误修正</w:t>
      </w:r>
      <w:bookmarkEnd w:id="122"/>
    </w:p>
    <w:p w14:paraId="7A9F9746">
      <w:pPr>
        <w:spacing w:line="360" w:lineRule="auto"/>
        <w:ind w:firstLine="420" w:firstLineChars="200"/>
        <w:rPr>
          <w:rStyle w:val="39"/>
          <w:rFonts w:hint="eastAsia" w:ascii="宋体" w:hAnsi="宋体"/>
        </w:rPr>
      </w:pPr>
      <w:r>
        <w:rPr>
          <w:rStyle w:val="39"/>
          <w:rFonts w:ascii="宋体" w:hAnsi="宋体"/>
        </w:rPr>
        <w:t>评标委员会依据本章中规定的相关原则对投标报价中存在的算术错误进行修正，并根据算术错误修正结果计算评标价。</w:t>
      </w:r>
    </w:p>
    <w:p w14:paraId="0102E938">
      <w:pPr>
        <w:pStyle w:val="43"/>
        <w:spacing w:before="0" w:after="0"/>
        <w:rPr>
          <w:rStyle w:val="39"/>
          <w:rFonts w:hint="eastAsia" w:ascii="宋体" w:hAnsi="宋体"/>
          <w:sz w:val="24"/>
        </w:rPr>
      </w:pPr>
      <w:bookmarkStart w:id="123" w:name="_Toc16063919"/>
      <w:r>
        <w:rPr>
          <w:rStyle w:val="39"/>
          <w:rFonts w:ascii="宋体" w:hAnsi="宋体"/>
          <w:sz w:val="24"/>
        </w:rPr>
        <w:t>A3.6澄清、说明或补正</w:t>
      </w:r>
      <w:bookmarkEnd w:id="123"/>
    </w:p>
    <w:p w14:paraId="132915A1">
      <w:pPr>
        <w:spacing w:line="360" w:lineRule="auto"/>
        <w:ind w:firstLine="420" w:firstLineChars="200"/>
        <w:rPr>
          <w:rStyle w:val="39"/>
          <w:rFonts w:hint="eastAsia" w:ascii="宋体" w:hAnsi="宋体"/>
        </w:rPr>
      </w:pPr>
      <w:r>
        <w:rPr>
          <w:rStyle w:val="39"/>
          <w:rFonts w:ascii="宋体" w:hAnsi="宋体"/>
        </w:rPr>
        <w:t>在初步评审过程中，评标委员会应当就投标文件中不明确的内容要求投标人进行澄清、说明或者补正。投标人对此以书面形式予以澄清、说明或者补正。澄清、说明或补正根据本章第3.3款的规定执行。</w:t>
      </w:r>
    </w:p>
    <w:p w14:paraId="1474F82B">
      <w:pPr>
        <w:pStyle w:val="43"/>
        <w:spacing w:before="0" w:after="0"/>
        <w:rPr>
          <w:rStyle w:val="39"/>
          <w:rFonts w:hint="eastAsia" w:ascii="宋体" w:hAnsi="宋体"/>
          <w:sz w:val="24"/>
        </w:rPr>
      </w:pPr>
      <w:bookmarkStart w:id="124" w:name="_Toc16063920"/>
      <w:r>
        <w:rPr>
          <w:rStyle w:val="39"/>
          <w:rFonts w:ascii="宋体" w:hAnsi="宋体"/>
          <w:sz w:val="24"/>
        </w:rPr>
        <w:t>A4.详细评审</w:t>
      </w:r>
      <w:bookmarkEnd w:id="124"/>
    </w:p>
    <w:p w14:paraId="3949D25D">
      <w:pPr>
        <w:spacing w:line="360" w:lineRule="auto"/>
        <w:ind w:firstLine="420" w:firstLineChars="200"/>
        <w:rPr>
          <w:rStyle w:val="39"/>
          <w:rFonts w:hint="eastAsia" w:ascii="宋体" w:hAnsi="宋体"/>
        </w:rPr>
      </w:pPr>
      <w:r>
        <w:rPr>
          <w:rStyle w:val="39"/>
          <w:rFonts w:ascii="宋体" w:hAnsi="宋体"/>
        </w:rPr>
        <w:t>只有通过了初步评审、被判定为合格的投标方可进入详细评审。</w:t>
      </w:r>
    </w:p>
    <w:p w14:paraId="05EDFF30">
      <w:pPr>
        <w:pStyle w:val="43"/>
        <w:spacing w:before="0" w:after="0"/>
        <w:rPr>
          <w:rStyle w:val="39"/>
          <w:rFonts w:hint="eastAsia" w:ascii="宋体" w:hAnsi="宋体"/>
          <w:sz w:val="24"/>
        </w:rPr>
      </w:pPr>
      <w:bookmarkStart w:id="125" w:name="_Toc16063921"/>
      <w:r>
        <w:rPr>
          <w:rStyle w:val="39"/>
          <w:rFonts w:ascii="宋体" w:hAnsi="宋体"/>
          <w:sz w:val="24"/>
        </w:rPr>
        <w:t>A4.1详细评审的程序</w:t>
      </w:r>
      <w:bookmarkEnd w:id="125"/>
    </w:p>
    <w:p w14:paraId="55F34279">
      <w:pPr>
        <w:spacing w:line="360" w:lineRule="auto"/>
        <w:ind w:firstLine="420" w:firstLineChars="200"/>
        <w:rPr>
          <w:rStyle w:val="39"/>
          <w:rFonts w:hint="eastAsia" w:ascii="宋体" w:hAnsi="宋体"/>
        </w:rPr>
      </w:pPr>
      <w:r>
        <w:rPr>
          <w:rStyle w:val="39"/>
          <w:rFonts w:ascii="宋体" w:hAnsi="宋体"/>
        </w:rPr>
        <w:t>A4.1.1评标委员会按照本章</w:t>
      </w:r>
      <w:r>
        <w:rPr>
          <w:rStyle w:val="29"/>
          <w:rFonts w:ascii="宋体" w:hAnsi="宋体"/>
          <w:color w:val="auto"/>
        </w:rPr>
        <w:t>第3.2款</w:t>
      </w:r>
      <w:r>
        <w:rPr>
          <w:rStyle w:val="39"/>
          <w:rFonts w:ascii="宋体" w:hAnsi="宋体"/>
        </w:rPr>
        <w:t>中规定的程序进行详细评审：</w:t>
      </w:r>
    </w:p>
    <w:p w14:paraId="7B971EEA">
      <w:pPr>
        <w:spacing w:line="360" w:lineRule="auto"/>
        <w:ind w:firstLine="420" w:firstLineChars="200"/>
        <w:rPr>
          <w:rStyle w:val="39"/>
          <w:rFonts w:hint="eastAsia" w:ascii="宋体" w:hAnsi="宋体"/>
        </w:rPr>
      </w:pPr>
      <w:r>
        <w:rPr>
          <w:rStyle w:val="39"/>
          <w:rFonts w:ascii="宋体" w:hAnsi="宋体"/>
        </w:rPr>
        <w:t>（1） 施工组织设计评审和评分；</w:t>
      </w:r>
    </w:p>
    <w:p w14:paraId="1794D981">
      <w:pPr>
        <w:spacing w:line="360" w:lineRule="auto"/>
        <w:ind w:firstLine="420" w:firstLineChars="200"/>
        <w:rPr>
          <w:rStyle w:val="39"/>
          <w:rFonts w:hint="eastAsia" w:ascii="宋体" w:hAnsi="宋体"/>
        </w:rPr>
      </w:pPr>
      <w:r>
        <w:rPr>
          <w:rStyle w:val="39"/>
          <w:rFonts w:ascii="宋体" w:hAnsi="宋体"/>
        </w:rPr>
        <w:t>（2） 项目管理机构评审和评分；</w:t>
      </w:r>
    </w:p>
    <w:p w14:paraId="4C57B543">
      <w:pPr>
        <w:spacing w:line="360" w:lineRule="auto"/>
        <w:ind w:firstLine="420" w:firstLineChars="200"/>
        <w:rPr>
          <w:rStyle w:val="39"/>
          <w:rFonts w:hint="eastAsia" w:ascii="宋体" w:hAnsi="宋体"/>
        </w:rPr>
      </w:pPr>
      <w:r>
        <w:rPr>
          <w:rStyle w:val="39"/>
          <w:rFonts w:ascii="宋体" w:hAnsi="宋体"/>
        </w:rPr>
        <w:t>（3） 投标报价评审和评分，并对明显低于其他投标报价的投标报价，或者在设有标底时明显低于标底的投标报价，判断是否低于其个别成本；</w:t>
      </w:r>
    </w:p>
    <w:p w14:paraId="5A526EF3">
      <w:pPr>
        <w:spacing w:line="360" w:lineRule="auto"/>
        <w:ind w:firstLine="420" w:firstLineChars="200"/>
        <w:rPr>
          <w:rStyle w:val="39"/>
          <w:rFonts w:hint="eastAsia" w:ascii="宋体" w:hAnsi="宋体"/>
        </w:rPr>
      </w:pPr>
      <w:r>
        <w:rPr>
          <w:rStyle w:val="39"/>
          <w:rFonts w:ascii="宋体" w:hAnsi="宋体"/>
        </w:rPr>
        <w:t>（4） 其他因素评审和评分；</w:t>
      </w:r>
    </w:p>
    <w:p w14:paraId="3CEF5C0C">
      <w:pPr>
        <w:spacing w:line="360" w:lineRule="auto"/>
        <w:ind w:firstLine="420" w:firstLineChars="200"/>
        <w:rPr>
          <w:rStyle w:val="39"/>
          <w:rFonts w:hint="eastAsia" w:ascii="宋体" w:hAnsi="宋体"/>
        </w:rPr>
      </w:pPr>
      <w:r>
        <w:rPr>
          <w:rStyle w:val="39"/>
          <w:rFonts w:ascii="宋体" w:hAnsi="宋体"/>
        </w:rPr>
        <w:t>（5） 汇总评分结果。</w:t>
      </w:r>
    </w:p>
    <w:p w14:paraId="218B281A">
      <w:pPr>
        <w:pStyle w:val="43"/>
        <w:spacing w:before="0" w:after="0"/>
        <w:rPr>
          <w:rStyle w:val="39"/>
          <w:rFonts w:hint="eastAsia" w:ascii="宋体" w:hAnsi="宋体"/>
          <w:sz w:val="24"/>
        </w:rPr>
      </w:pPr>
      <w:bookmarkStart w:id="126" w:name="_Toc16063922"/>
      <w:r>
        <w:rPr>
          <w:rStyle w:val="39"/>
          <w:rFonts w:ascii="宋体" w:hAnsi="宋体"/>
          <w:sz w:val="24"/>
        </w:rPr>
        <w:t>A4.2施工组织设计评审和评分</w:t>
      </w:r>
      <w:bookmarkEnd w:id="126"/>
    </w:p>
    <w:p w14:paraId="3A99EDCC">
      <w:pPr>
        <w:spacing w:line="360" w:lineRule="auto"/>
        <w:ind w:firstLine="420" w:firstLineChars="200"/>
        <w:rPr>
          <w:rStyle w:val="39"/>
          <w:rFonts w:hint="eastAsia" w:ascii="宋体" w:hAnsi="宋体"/>
        </w:rPr>
      </w:pPr>
      <w:r>
        <w:rPr>
          <w:rStyle w:val="39"/>
          <w:rFonts w:ascii="宋体" w:hAnsi="宋体"/>
        </w:rPr>
        <w:t>A4.2.1按照评标办法前附表中规定的分值设定、各项评分因素、评分标准，对施工组织设计进行评审和评分，并记录对施工组织设计的评分结果，施工组织设计的得分记录为A。</w:t>
      </w:r>
    </w:p>
    <w:p w14:paraId="6E040548">
      <w:pPr>
        <w:pStyle w:val="43"/>
        <w:spacing w:before="0" w:after="0"/>
        <w:rPr>
          <w:rStyle w:val="39"/>
          <w:rFonts w:hint="eastAsia" w:ascii="宋体" w:hAnsi="宋体"/>
          <w:sz w:val="24"/>
        </w:rPr>
      </w:pPr>
      <w:bookmarkStart w:id="127" w:name="_Toc16063923"/>
      <w:r>
        <w:rPr>
          <w:rStyle w:val="39"/>
          <w:rFonts w:ascii="宋体" w:hAnsi="宋体"/>
          <w:sz w:val="24"/>
        </w:rPr>
        <w:t>A4.3项目管理机构评审和评分</w:t>
      </w:r>
      <w:bookmarkEnd w:id="127"/>
    </w:p>
    <w:p w14:paraId="34D9428B">
      <w:pPr>
        <w:spacing w:line="360" w:lineRule="auto"/>
        <w:ind w:firstLine="420" w:firstLineChars="200"/>
        <w:rPr>
          <w:rStyle w:val="39"/>
          <w:rFonts w:hint="eastAsia" w:ascii="宋体" w:hAnsi="宋体"/>
        </w:rPr>
      </w:pPr>
      <w:r>
        <w:rPr>
          <w:rStyle w:val="39"/>
          <w:rFonts w:ascii="宋体" w:hAnsi="宋体"/>
        </w:rPr>
        <w:t>A4.3.1按照评标办法前附表中规定的分值设定、各项评分因素、评分标准，对项目管理机构进行评审和评分，并记录对项目管理机构的评分结果，项目管理机构的得分记录为B。</w:t>
      </w:r>
    </w:p>
    <w:p w14:paraId="4B7240BC">
      <w:pPr>
        <w:pStyle w:val="43"/>
        <w:spacing w:before="0" w:after="0"/>
        <w:rPr>
          <w:rStyle w:val="39"/>
          <w:rFonts w:hint="eastAsia" w:ascii="宋体" w:hAnsi="宋体"/>
          <w:sz w:val="24"/>
        </w:rPr>
      </w:pPr>
      <w:bookmarkStart w:id="128" w:name="_Toc16063924"/>
      <w:r>
        <w:rPr>
          <w:rStyle w:val="39"/>
          <w:rFonts w:ascii="宋体" w:hAnsi="宋体"/>
          <w:sz w:val="24"/>
        </w:rPr>
        <w:t>A4.4投标报价评审和评分（仅按投标总报价进行评分）</w:t>
      </w:r>
      <w:bookmarkEnd w:id="128"/>
    </w:p>
    <w:p w14:paraId="2892A338">
      <w:pPr>
        <w:spacing w:line="360" w:lineRule="auto"/>
        <w:ind w:firstLine="420" w:firstLineChars="200"/>
        <w:rPr>
          <w:rStyle w:val="39"/>
          <w:rFonts w:hint="eastAsia" w:ascii="宋体" w:hAnsi="宋体"/>
        </w:rPr>
      </w:pPr>
      <w:r>
        <w:rPr>
          <w:rStyle w:val="39"/>
          <w:rFonts w:ascii="宋体" w:hAnsi="宋体"/>
        </w:rPr>
        <w:t>A4.4.1按照评标办法前附表中规定的方法计算“评标基准价”。</w:t>
      </w:r>
    </w:p>
    <w:p w14:paraId="5D26786A">
      <w:pPr>
        <w:spacing w:line="360" w:lineRule="auto"/>
        <w:ind w:firstLine="420" w:firstLineChars="200"/>
        <w:rPr>
          <w:rStyle w:val="39"/>
          <w:rFonts w:hint="eastAsia" w:ascii="宋体" w:hAnsi="宋体"/>
        </w:rPr>
      </w:pPr>
      <w:r>
        <w:rPr>
          <w:rStyle w:val="39"/>
          <w:rFonts w:ascii="宋体" w:hAnsi="宋体"/>
        </w:rPr>
        <w:t>A4.4.2按照评标办法前附表中规定的方法，计算各个已通过了初步评审、施工组织设计评审和项目管理机构评审并且经过评审认定为不低于其成本的投标报价的“偏差率”。</w:t>
      </w:r>
    </w:p>
    <w:p w14:paraId="5FF297DF">
      <w:pPr>
        <w:spacing w:line="360" w:lineRule="auto"/>
        <w:ind w:firstLine="420" w:firstLineChars="200"/>
        <w:rPr>
          <w:rStyle w:val="39"/>
          <w:rFonts w:hint="eastAsia" w:ascii="宋体" w:hAnsi="宋体"/>
        </w:rPr>
      </w:pPr>
      <w:r>
        <w:rPr>
          <w:rStyle w:val="39"/>
          <w:rFonts w:ascii="宋体" w:hAnsi="宋体"/>
        </w:rPr>
        <w:t>A4.4.3按照评标办法前附表中规定的评分标准，对照投标报价的偏差率，分别对各个投标报价进行评分，使记录对投标报价的评分结果，投标报价的得分记录为C。</w:t>
      </w:r>
    </w:p>
    <w:p w14:paraId="1D5E0299">
      <w:pPr>
        <w:pStyle w:val="43"/>
        <w:spacing w:before="0" w:after="0"/>
        <w:rPr>
          <w:rStyle w:val="39"/>
          <w:rFonts w:hint="eastAsia" w:ascii="宋体" w:hAnsi="宋体"/>
          <w:sz w:val="24"/>
        </w:rPr>
      </w:pPr>
      <w:bookmarkStart w:id="129" w:name="_Toc16063925"/>
      <w:r>
        <w:rPr>
          <w:rStyle w:val="39"/>
          <w:rFonts w:ascii="宋体" w:hAnsi="宋体"/>
          <w:sz w:val="24"/>
        </w:rPr>
        <w:t>A4.4投标报价评审和评分（按投标总报价中的分项报价分别进行评分）</w:t>
      </w:r>
      <w:bookmarkEnd w:id="129"/>
    </w:p>
    <w:p w14:paraId="77D7925A">
      <w:pPr>
        <w:spacing w:line="360" w:lineRule="auto"/>
        <w:ind w:firstLine="420" w:firstLineChars="200"/>
        <w:rPr>
          <w:rStyle w:val="39"/>
          <w:rFonts w:hint="eastAsia" w:ascii="宋体" w:hAnsi="宋体"/>
        </w:rPr>
      </w:pPr>
      <w:r>
        <w:rPr>
          <w:rStyle w:val="39"/>
          <w:rFonts w:ascii="宋体" w:hAnsi="宋体"/>
        </w:rPr>
        <w:t>A4.4.1投标报价按分项投标报价分别进行评审和评分：</w:t>
      </w:r>
    </w:p>
    <w:p w14:paraId="795C9595">
      <w:pPr>
        <w:spacing w:line="360" w:lineRule="auto"/>
        <w:ind w:firstLine="420" w:firstLineChars="200"/>
        <w:rPr>
          <w:rStyle w:val="39"/>
          <w:rFonts w:hint="eastAsia" w:ascii="宋体" w:hAnsi="宋体"/>
        </w:rPr>
      </w:pPr>
      <w:r>
        <w:rPr>
          <w:rStyle w:val="39"/>
          <w:rFonts w:ascii="宋体" w:hAnsi="宋体"/>
        </w:rPr>
        <w:t>A4.4.2按照评标办法前附表中规定的方法，分别计算各个分项投标报价“评标基准价”。</w:t>
      </w:r>
    </w:p>
    <w:p w14:paraId="4C9356EA">
      <w:pPr>
        <w:spacing w:line="360" w:lineRule="auto"/>
        <w:ind w:firstLine="420" w:firstLineChars="200"/>
        <w:rPr>
          <w:rStyle w:val="39"/>
          <w:rFonts w:hint="eastAsia" w:ascii="宋体" w:hAnsi="宋体"/>
        </w:rPr>
      </w:pPr>
      <w:r>
        <w:rPr>
          <w:rStyle w:val="39"/>
          <w:rFonts w:ascii="宋体" w:hAnsi="宋体"/>
        </w:rPr>
        <w:t>A4.4.3按照评标办法前附表中规定的方法，分别计算各个分项投标报价与对应的分项投标报价评标基准价之间的偏差率。</w:t>
      </w:r>
    </w:p>
    <w:p w14:paraId="6837AB84">
      <w:pPr>
        <w:spacing w:line="360" w:lineRule="auto"/>
        <w:ind w:firstLine="420" w:firstLineChars="200"/>
        <w:rPr>
          <w:rStyle w:val="39"/>
          <w:rFonts w:hint="eastAsia" w:ascii="宋体" w:hAnsi="宋体"/>
        </w:rPr>
      </w:pPr>
      <w:r>
        <w:rPr>
          <w:rStyle w:val="39"/>
          <w:rFonts w:ascii="宋体" w:hAnsi="宋体"/>
        </w:rPr>
        <w:t>A4.4.4按照评标办法前附表中规定的评分标准，对照分项投标报价的偏差率，分别对各个分项投标报价进行评分，汇总各个分项投标报价的得分，记录对各个投标报价的评分结果，投标报价的得分记录为D。</w:t>
      </w:r>
    </w:p>
    <w:p w14:paraId="39740309">
      <w:pPr>
        <w:pStyle w:val="43"/>
        <w:spacing w:before="0" w:after="0"/>
        <w:rPr>
          <w:rStyle w:val="39"/>
          <w:rFonts w:hint="eastAsia" w:ascii="宋体" w:hAnsi="宋体"/>
          <w:sz w:val="24"/>
        </w:rPr>
      </w:pPr>
      <w:bookmarkStart w:id="130" w:name="_Toc16063926"/>
      <w:r>
        <w:rPr>
          <w:rStyle w:val="39"/>
          <w:rFonts w:ascii="宋体" w:hAnsi="宋体"/>
          <w:sz w:val="24"/>
        </w:rPr>
        <w:t>A4.5其他因素的评审和评分</w:t>
      </w:r>
      <w:bookmarkEnd w:id="130"/>
    </w:p>
    <w:p w14:paraId="4B8B28D7">
      <w:pPr>
        <w:spacing w:line="360" w:lineRule="auto"/>
        <w:ind w:firstLine="420" w:firstLineChars="200"/>
        <w:rPr>
          <w:rStyle w:val="39"/>
          <w:rFonts w:hint="eastAsia" w:ascii="宋体" w:hAnsi="宋体"/>
        </w:rPr>
      </w:pPr>
      <w:r>
        <w:rPr>
          <w:rStyle w:val="39"/>
          <w:rFonts w:ascii="宋体" w:hAnsi="宋体"/>
        </w:rPr>
        <w:t>根据评标办法前附表中规定的分值设定、各项评分因素和相应的评分标准，对其他因素（如果有）进行评审和评分，并记录对其他因素的评分结果，其他因素的得分记录为E。</w:t>
      </w:r>
    </w:p>
    <w:p w14:paraId="4E113110">
      <w:pPr>
        <w:pStyle w:val="43"/>
        <w:spacing w:before="0" w:after="0"/>
        <w:rPr>
          <w:rStyle w:val="39"/>
          <w:rFonts w:hint="eastAsia" w:ascii="宋体" w:hAnsi="宋体"/>
          <w:sz w:val="24"/>
        </w:rPr>
      </w:pPr>
      <w:bookmarkStart w:id="131" w:name="_Toc16063927"/>
      <w:r>
        <w:rPr>
          <w:rStyle w:val="39"/>
          <w:rFonts w:ascii="宋体" w:hAnsi="宋体"/>
          <w:sz w:val="24"/>
        </w:rPr>
        <w:t>A4.6判断投标报价是否低于成本</w:t>
      </w:r>
      <w:bookmarkEnd w:id="131"/>
    </w:p>
    <w:p w14:paraId="0071E127">
      <w:pPr>
        <w:spacing w:line="360" w:lineRule="auto"/>
        <w:ind w:firstLine="420" w:firstLineChars="200"/>
        <w:rPr>
          <w:rStyle w:val="39"/>
          <w:rFonts w:hint="eastAsia" w:ascii="宋体" w:hAnsi="宋体"/>
        </w:rPr>
      </w:pPr>
      <w:r>
        <w:rPr>
          <w:rStyle w:val="39"/>
          <w:rFonts w:ascii="宋体" w:hAnsi="宋体"/>
        </w:rPr>
        <w:t>根据本章</w:t>
      </w:r>
      <w:r>
        <w:rPr>
          <w:rStyle w:val="29"/>
          <w:rFonts w:ascii="宋体" w:hAnsi="宋体"/>
          <w:color w:val="auto"/>
        </w:rPr>
        <w:t>第3.2.4项</w:t>
      </w:r>
      <w:r>
        <w:rPr>
          <w:rStyle w:val="39"/>
          <w:rFonts w:ascii="宋体" w:hAnsi="宋体"/>
        </w:rPr>
        <w:t>的规定，评标委员会判断投标报价是否低于其成本。由评标委员会认定投标人以低于成本竞标的，其投标作废标处理。</w:t>
      </w:r>
    </w:p>
    <w:p w14:paraId="12CAB237">
      <w:pPr>
        <w:pStyle w:val="43"/>
        <w:spacing w:before="0" w:after="0"/>
        <w:rPr>
          <w:rStyle w:val="39"/>
          <w:rFonts w:hint="eastAsia" w:ascii="宋体" w:hAnsi="宋体"/>
          <w:sz w:val="24"/>
        </w:rPr>
      </w:pPr>
      <w:bookmarkStart w:id="132" w:name="_Toc16063928"/>
      <w:r>
        <w:rPr>
          <w:rStyle w:val="39"/>
          <w:rFonts w:ascii="宋体" w:hAnsi="宋体"/>
          <w:sz w:val="24"/>
        </w:rPr>
        <w:t>A4.7澄清、说明或补正</w:t>
      </w:r>
      <w:bookmarkEnd w:id="132"/>
    </w:p>
    <w:p w14:paraId="01E364E3">
      <w:pPr>
        <w:spacing w:line="360" w:lineRule="auto"/>
        <w:ind w:firstLine="420" w:firstLineChars="200"/>
        <w:rPr>
          <w:rStyle w:val="39"/>
          <w:rFonts w:hint="eastAsia" w:ascii="宋体" w:hAnsi="宋体"/>
        </w:rPr>
      </w:pPr>
      <w:r>
        <w:rPr>
          <w:rStyle w:val="39"/>
          <w:rFonts w:ascii="宋体" w:hAnsi="宋体"/>
        </w:rPr>
        <w:t>在详细评审过程中，评标委员会应当就投标文件中不明确的内容要求投标人进行澄清、说明或者补正。投标人对此以书面形式予以澄清、说明或者补正。澄清、说明或补正根据本章第3.3款的规定执行。</w:t>
      </w:r>
    </w:p>
    <w:p w14:paraId="58BAD53C">
      <w:pPr>
        <w:pStyle w:val="43"/>
        <w:spacing w:before="0" w:after="0"/>
        <w:rPr>
          <w:rStyle w:val="39"/>
          <w:rFonts w:hint="eastAsia" w:ascii="宋体" w:hAnsi="宋体"/>
          <w:sz w:val="24"/>
        </w:rPr>
      </w:pPr>
      <w:bookmarkStart w:id="133" w:name="_Toc16063929"/>
      <w:r>
        <w:rPr>
          <w:rStyle w:val="39"/>
          <w:rFonts w:ascii="宋体" w:hAnsi="宋体"/>
          <w:sz w:val="24"/>
        </w:rPr>
        <w:t>A4.8汇总评分结果</w:t>
      </w:r>
      <w:bookmarkEnd w:id="133"/>
    </w:p>
    <w:p w14:paraId="04A24822">
      <w:pPr>
        <w:spacing w:line="360" w:lineRule="auto"/>
        <w:ind w:firstLine="420" w:firstLineChars="200"/>
        <w:rPr>
          <w:rStyle w:val="39"/>
          <w:rFonts w:hint="eastAsia" w:ascii="宋体" w:hAnsi="宋体"/>
        </w:rPr>
      </w:pPr>
      <w:r>
        <w:rPr>
          <w:rStyle w:val="39"/>
          <w:rFonts w:ascii="宋体" w:hAnsi="宋体"/>
        </w:rPr>
        <w:t>A4.8.1评标委员会成员应填写详细评审评分汇总表。</w:t>
      </w:r>
    </w:p>
    <w:p w14:paraId="67F8513E">
      <w:pPr>
        <w:spacing w:line="360" w:lineRule="auto"/>
        <w:ind w:firstLine="420" w:firstLineChars="200"/>
        <w:rPr>
          <w:rStyle w:val="39"/>
          <w:rFonts w:hint="eastAsia" w:ascii="宋体" w:hAnsi="宋体"/>
        </w:rPr>
      </w:pPr>
      <w:r>
        <w:rPr>
          <w:rStyle w:val="39"/>
          <w:rFonts w:ascii="宋体" w:hAnsi="宋体"/>
        </w:rPr>
        <w:t>A4.8.2详细评审工作全部结束后，汇总各个评标委员会成员的详细评审评分结果，并按照详细评审最终得分由高至低的次序对投标人进行排序。</w:t>
      </w:r>
    </w:p>
    <w:p w14:paraId="65DA2602">
      <w:pPr>
        <w:pStyle w:val="43"/>
        <w:spacing w:before="0" w:after="0"/>
        <w:rPr>
          <w:rStyle w:val="39"/>
          <w:rFonts w:hint="eastAsia" w:ascii="宋体" w:hAnsi="宋体"/>
          <w:sz w:val="24"/>
        </w:rPr>
      </w:pPr>
      <w:bookmarkStart w:id="134" w:name="_Toc16063930"/>
      <w:r>
        <w:rPr>
          <w:rStyle w:val="39"/>
          <w:rFonts w:ascii="宋体" w:hAnsi="宋体"/>
          <w:sz w:val="24"/>
        </w:rPr>
        <w:t>A5. 推荐中标候选人或者直接确定中标人</w:t>
      </w:r>
      <w:bookmarkEnd w:id="134"/>
    </w:p>
    <w:p w14:paraId="0EA6DB3D">
      <w:pPr>
        <w:pStyle w:val="43"/>
        <w:spacing w:before="0" w:after="0"/>
        <w:rPr>
          <w:rStyle w:val="39"/>
          <w:rFonts w:hint="eastAsia" w:ascii="宋体" w:hAnsi="宋体"/>
          <w:sz w:val="24"/>
        </w:rPr>
      </w:pPr>
      <w:bookmarkStart w:id="135" w:name="_Toc16063931"/>
      <w:r>
        <w:rPr>
          <w:rStyle w:val="39"/>
          <w:rFonts w:ascii="宋体" w:hAnsi="宋体"/>
          <w:sz w:val="24"/>
        </w:rPr>
        <w:t>A5.1推荐中标候选人</w:t>
      </w:r>
      <w:bookmarkEnd w:id="135"/>
    </w:p>
    <w:p w14:paraId="7C83B4F9">
      <w:pPr>
        <w:spacing w:line="360" w:lineRule="auto"/>
        <w:ind w:firstLine="420" w:firstLineChars="200"/>
        <w:rPr>
          <w:rStyle w:val="39"/>
          <w:rFonts w:hint="eastAsia" w:ascii="宋体" w:hAnsi="宋体"/>
        </w:rPr>
      </w:pPr>
      <w:r>
        <w:rPr>
          <w:rStyle w:val="39"/>
          <w:rFonts w:ascii="宋体" w:hAnsi="宋体"/>
        </w:rPr>
        <w:t>A5.1.1除第二章“投标人须知”</w:t>
      </w:r>
      <w:r>
        <w:rPr>
          <w:rStyle w:val="29"/>
          <w:rFonts w:ascii="宋体" w:hAnsi="宋体"/>
          <w:color w:val="auto"/>
        </w:rPr>
        <w:t>前附表第7.1款</w:t>
      </w:r>
      <w:r>
        <w:rPr>
          <w:rStyle w:val="39"/>
          <w:rFonts w:ascii="宋体" w:hAnsi="宋体"/>
        </w:rPr>
        <w:t>授权直接确定中标人外，评标委员会在推荐中标候选人时，应遵照以下原则：</w:t>
      </w:r>
    </w:p>
    <w:p w14:paraId="68EBBDF1">
      <w:pPr>
        <w:spacing w:line="360" w:lineRule="auto"/>
        <w:ind w:firstLine="420" w:firstLineChars="200"/>
        <w:rPr>
          <w:rStyle w:val="39"/>
          <w:rFonts w:hint="eastAsia" w:ascii="宋体" w:hAnsi="宋体"/>
        </w:rPr>
      </w:pPr>
      <w:r>
        <w:rPr>
          <w:rStyle w:val="39"/>
          <w:rFonts w:ascii="宋体" w:hAnsi="宋体"/>
        </w:rPr>
        <w:t>（1） 评标委员会按照最终得分由高至低的次序排列（得分相同的，总报价低的排名在前；得分及总报价均相同的，按照本章附件A6.3规定的记名投票方式确定排序。），并根据第二章“投标人须知”</w:t>
      </w:r>
      <w:r>
        <w:rPr>
          <w:rStyle w:val="29"/>
          <w:rFonts w:ascii="宋体" w:hAnsi="宋体"/>
          <w:color w:val="auto"/>
        </w:rPr>
        <w:t>前附表第7.1款</w:t>
      </w:r>
      <w:r>
        <w:rPr>
          <w:rStyle w:val="39"/>
          <w:rFonts w:ascii="宋体" w:hAnsi="宋体"/>
        </w:rPr>
        <w:t>规定的中标候选人数量，将排序在前的投标人推荐为中标候选人。</w:t>
      </w:r>
    </w:p>
    <w:p w14:paraId="6A08E0E5">
      <w:pPr>
        <w:spacing w:line="360" w:lineRule="auto"/>
        <w:ind w:firstLine="420" w:firstLineChars="200"/>
        <w:rPr>
          <w:rStyle w:val="39"/>
          <w:rFonts w:hint="eastAsia" w:ascii="宋体" w:hAnsi="宋体"/>
        </w:rPr>
      </w:pPr>
      <w:r>
        <w:rPr>
          <w:rStyle w:val="39"/>
          <w:rFonts w:ascii="宋体" w:hAnsi="宋体"/>
        </w:rPr>
        <w:t>（2） 如果评标委员会根据本章的规定作废标处理后，有效投标不足三个，且少于第二章“投标人须知”</w:t>
      </w:r>
      <w:r>
        <w:rPr>
          <w:rStyle w:val="29"/>
          <w:rFonts w:ascii="宋体" w:hAnsi="宋体"/>
          <w:color w:val="auto"/>
        </w:rPr>
        <w:t>前附表第7.1款</w:t>
      </w:r>
      <w:r>
        <w:rPr>
          <w:rStyle w:val="39"/>
          <w:rFonts w:ascii="宋体" w:hAnsi="宋体"/>
        </w:rPr>
        <w:t>规定的中标候选人数量的，则评标委员会可以将所有有效投标按最终得分由高至低的次序作为中标候选人向招标人推荐。如果因有效投标不足三个使得投标明显缺乏竞争的，评标委员会可以建议招标人重新招标。</w:t>
      </w:r>
    </w:p>
    <w:p w14:paraId="5F78789A">
      <w:pPr>
        <w:spacing w:line="360" w:lineRule="auto"/>
        <w:ind w:firstLine="420" w:firstLineChars="200"/>
        <w:rPr>
          <w:rStyle w:val="39"/>
          <w:rFonts w:hint="eastAsia" w:ascii="宋体" w:hAnsi="宋体"/>
        </w:rPr>
      </w:pPr>
      <w:r>
        <w:rPr>
          <w:rStyle w:val="39"/>
          <w:rFonts w:ascii="宋体" w:hAnsi="宋体"/>
        </w:rPr>
        <w:t>A5.2.2投标人数量少于三个或者所有投标被否决的，招标人应当依法重新招标。</w:t>
      </w:r>
    </w:p>
    <w:p w14:paraId="4912D1FA">
      <w:pPr>
        <w:pStyle w:val="43"/>
        <w:spacing w:before="0" w:after="0"/>
        <w:rPr>
          <w:rStyle w:val="39"/>
          <w:rFonts w:hint="eastAsia" w:ascii="宋体" w:hAnsi="宋体"/>
          <w:sz w:val="24"/>
        </w:rPr>
      </w:pPr>
      <w:bookmarkStart w:id="136" w:name="_Toc16063932"/>
      <w:r>
        <w:rPr>
          <w:rStyle w:val="39"/>
          <w:rFonts w:ascii="宋体" w:hAnsi="宋体"/>
          <w:sz w:val="24"/>
        </w:rPr>
        <w:t>A5.2直接确定中标人</w:t>
      </w:r>
      <w:bookmarkEnd w:id="136"/>
    </w:p>
    <w:p w14:paraId="6AB3AC35">
      <w:pPr>
        <w:spacing w:line="360" w:lineRule="auto"/>
        <w:ind w:firstLine="420" w:firstLineChars="200"/>
        <w:rPr>
          <w:rStyle w:val="39"/>
          <w:rFonts w:hint="eastAsia" w:ascii="宋体" w:hAnsi="宋体"/>
        </w:rPr>
      </w:pPr>
      <w:r>
        <w:rPr>
          <w:rStyle w:val="39"/>
          <w:rFonts w:ascii="宋体" w:hAnsi="宋体"/>
        </w:rPr>
        <w:t>第二章“投标人须知”前附表授权评标委员会直接确定中标人的，评标委员会按照最终得分由高至低的次序排列，并确定排名第一的投标人为中标人。</w:t>
      </w:r>
    </w:p>
    <w:p w14:paraId="61A901CB">
      <w:pPr>
        <w:pStyle w:val="43"/>
        <w:spacing w:before="0" w:after="0"/>
        <w:rPr>
          <w:rStyle w:val="39"/>
          <w:rFonts w:hint="eastAsia" w:ascii="宋体" w:hAnsi="宋体"/>
          <w:sz w:val="24"/>
        </w:rPr>
      </w:pPr>
      <w:bookmarkStart w:id="137" w:name="_Toc16063933"/>
      <w:r>
        <w:rPr>
          <w:rStyle w:val="39"/>
          <w:rFonts w:ascii="宋体" w:hAnsi="宋体"/>
          <w:sz w:val="24"/>
        </w:rPr>
        <w:t>A5.3编制评标报告</w:t>
      </w:r>
      <w:bookmarkEnd w:id="137"/>
    </w:p>
    <w:p w14:paraId="5224D8A1">
      <w:pPr>
        <w:spacing w:line="360" w:lineRule="auto"/>
        <w:ind w:firstLine="420" w:firstLineChars="200"/>
        <w:rPr>
          <w:rStyle w:val="39"/>
          <w:rFonts w:hint="eastAsia" w:ascii="宋体" w:hAnsi="宋体"/>
        </w:rPr>
      </w:pPr>
      <w:r>
        <w:rPr>
          <w:rStyle w:val="39"/>
          <w:rFonts w:ascii="宋体" w:hAnsi="宋体"/>
        </w:rPr>
        <w:t>评标委员会根据本章第3.4.2项的规定向招标人提交评标报告。评标报告应当由全体评标委员会成员签字。</w:t>
      </w:r>
    </w:p>
    <w:p w14:paraId="2EA4C667">
      <w:pPr>
        <w:pStyle w:val="43"/>
        <w:spacing w:before="0" w:after="0"/>
        <w:rPr>
          <w:rStyle w:val="39"/>
          <w:rFonts w:hint="eastAsia" w:ascii="宋体" w:hAnsi="宋体"/>
          <w:sz w:val="24"/>
        </w:rPr>
      </w:pPr>
      <w:bookmarkStart w:id="138" w:name="_Toc16063934"/>
      <w:r>
        <w:rPr>
          <w:rStyle w:val="39"/>
          <w:rFonts w:ascii="宋体" w:hAnsi="宋体"/>
          <w:sz w:val="24"/>
        </w:rPr>
        <w:t>A6. 特殊情况的处置程序</w:t>
      </w:r>
      <w:bookmarkEnd w:id="138"/>
    </w:p>
    <w:p w14:paraId="793D10EC">
      <w:pPr>
        <w:pStyle w:val="43"/>
        <w:spacing w:before="0" w:after="0"/>
        <w:rPr>
          <w:rStyle w:val="39"/>
          <w:rFonts w:hint="eastAsia" w:ascii="宋体" w:hAnsi="宋体"/>
          <w:sz w:val="24"/>
        </w:rPr>
      </w:pPr>
      <w:bookmarkStart w:id="139" w:name="_Toc16063935"/>
      <w:r>
        <w:rPr>
          <w:rStyle w:val="39"/>
          <w:rFonts w:ascii="宋体" w:hAnsi="宋体"/>
          <w:sz w:val="24"/>
        </w:rPr>
        <w:t>A6.1关于评标活动暂停</w:t>
      </w:r>
      <w:bookmarkEnd w:id="139"/>
    </w:p>
    <w:p w14:paraId="27587282">
      <w:pPr>
        <w:spacing w:line="360" w:lineRule="auto"/>
        <w:ind w:firstLine="420" w:firstLineChars="200"/>
        <w:rPr>
          <w:rStyle w:val="39"/>
          <w:rFonts w:hint="eastAsia" w:ascii="宋体" w:hAnsi="宋体"/>
        </w:rPr>
      </w:pPr>
      <w:r>
        <w:rPr>
          <w:rStyle w:val="39"/>
          <w:rFonts w:ascii="宋体" w:hAnsi="宋体"/>
        </w:rPr>
        <w:t>A6.1.1评标委员会应当执行连续评标的原则，按评标办法中规定的程序、内容、方法、标准完成全部评标工作。只有发生不可抗力导致评标工作无法继续时，评标活动方可暂停。</w:t>
      </w:r>
    </w:p>
    <w:p w14:paraId="6CC924CD">
      <w:pPr>
        <w:spacing w:line="360" w:lineRule="auto"/>
        <w:ind w:firstLine="420" w:firstLineChars="200"/>
        <w:rPr>
          <w:rStyle w:val="39"/>
          <w:rFonts w:hint="eastAsia" w:ascii="宋体" w:hAnsi="宋体"/>
        </w:rPr>
      </w:pPr>
      <w:r>
        <w:rPr>
          <w:rStyle w:val="39"/>
          <w:rFonts w:ascii="宋体" w:hAnsi="宋体"/>
        </w:rPr>
        <w:t>A6.1.2发生评标暂停情况时，评标委员会应当封存全部投标文件和评标记录，待不可抗力的影响结束且具备继续评标的条件时，由原评标委员会继续评标。</w:t>
      </w:r>
    </w:p>
    <w:p w14:paraId="5ED7045E">
      <w:pPr>
        <w:pStyle w:val="43"/>
        <w:spacing w:before="0" w:after="0"/>
        <w:rPr>
          <w:rStyle w:val="39"/>
          <w:rFonts w:hint="eastAsia" w:ascii="宋体" w:hAnsi="宋体"/>
          <w:sz w:val="24"/>
        </w:rPr>
      </w:pPr>
      <w:bookmarkStart w:id="140" w:name="_Toc16063936"/>
      <w:r>
        <w:rPr>
          <w:rStyle w:val="39"/>
          <w:rFonts w:ascii="宋体" w:hAnsi="宋体"/>
          <w:sz w:val="24"/>
        </w:rPr>
        <w:t>A6.2关于评标中途更换评委</w:t>
      </w:r>
      <w:bookmarkEnd w:id="140"/>
    </w:p>
    <w:p w14:paraId="04963359">
      <w:pPr>
        <w:spacing w:line="360" w:lineRule="auto"/>
        <w:ind w:firstLine="420" w:firstLineChars="200"/>
        <w:rPr>
          <w:rStyle w:val="39"/>
          <w:rFonts w:hint="eastAsia" w:ascii="宋体" w:hAnsi="宋体"/>
        </w:rPr>
      </w:pPr>
      <w:r>
        <w:rPr>
          <w:rStyle w:val="39"/>
          <w:rFonts w:ascii="宋体" w:hAnsi="宋体"/>
        </w:rPr>
        <w:t>A6.2.1除非发生下列情况之一，评标委员会成员不得在评标中途更换：</w:t>
      </w:r>
    </w:p>
    <w:p w14:paraId="22225B89">
      <w:pPr>
        <w:spacing w:line="360" w:lineRule="auto"/>
        <w:ind w:firstLine="420" w:firstLineChars="200"/>
        <w:rPr>
          <w:rStyle w:val="39"/>
          <w:rFonts w:hint="eastAsia" w:ascii="宋体" w:hAnsi="宋体"/>
        </w:rPr>
      </w:pPr>
      <w:r>
        <w:rPr>
          <w:rStyle w:val="39"/>
          <w:rFonts w:ascii="宋体" w:hAnsi="宋体"/>
        </w:rPr>
        <w:t>（1） 因不可抗拒的客观原因，不能到场或需在评标中途退出评标活动。</w:t>
      </w:r>
    </w:p>
    <w:p w14:paraId="176F38D7">
      <w:pPr>
        <w:spacing w:line="360" w:lineRule="auto"/>
        <w:ind w:firstLine="420" w:firstLineChars="200"/>
        <w:rPr>
          <w:rStyle w:val="39"/>
          <w:rFonts w:hint="eastAsia" w:ascii="宋体" w:hAnsi="宋体"/>
        </w:rPr>
      </w:pPr>
      <w:r>
        <w:rPr>
          <w:rStyle w:val="39"/>
          <w:rFonts w:ascii="宋体" w:hAnsi="宋体"/>
        </w:rPr>
        <w:t>（2） 根据法律法规规定，某个或某几个评标委员会成员需要回避。</w:t>
      </w:r>
    </w:p>
    <w:p w14:paraId="4AC6C596">
      <w:pPr>
        <w:spacing w:line="360" w:lineRule="auto"/>
        <w:ind w:firstLine="420" w:firstLineChars="200"/>
        <w:rPr>
          <w:rStyle w:val="39"/>
          <w:rFonts w:hint="eastAsia" w:ascii="宋体" w:hAnsi="宋体"/>
        </w:rPr>
      </w:pPr>
      <w:r>
        <w:rPr>
          <w:rStyle w:val="39"/>
          <w:rFonts w:ascii="宋体" w:hAnsi="宋体"/>
        </w:rPr>
        <w:t>A6.3.2退出评标的评标委员会成员，其已完成的评标行为无效。由招标人根据本招标文件规定的评标委员会成员生产方式另行确定替代者进行评标。</w:t>
      </w:r>
    </w:p>
    <w:p w14:paraId="37E56478">
      <w:pPr>
        <w:pStyle w:val="43"/>
        <w:spacing w:before="0" w:after="0"/>
        <w:rPr>
          <w:rStyle w:val="39"/>
          <w:rFonts w:hint="eastAsia" w:ascii="宋体" w:hAnsi="宋体"/>
          <w:sz w:val="24"/>
        </w:rPr>
      </w:pPr>
      <w:bookmarkStart w:id="141" w:name="_Toc16063937"/>
      <w:r>
        <w:rPr>
          <w:rStyle w:val="39"/>
          <w:rFonts w:ascii="宋体" w:hAnsi="宋体"/>
          <w:sz w:val="24"/>
        </w:rPr>
        <w:t>A6.3记名投票</w:t>
      </w:r>
      <w:bookmarkEnd w:id="141"/>
    </w:p>
    <w:p w14:paraId="5E821F84">
      <w:pPr>
        <w:spacing w:line="360" w:lineRule="auto"/>
        <w:ind w:firstLine="420" w:firstLineChars="200"/>
        <w:rPr>
          <w:rStyle w:val="39"/>
          <w:rFonts w:hint="eastAsia" w:ascii="宋体" w:hAnsi="宋体"/>
        </w:rPr>
      </w:pPr>
      <w:r>
        <w:rPr>
          <w:rStyle w:val="39"/>
          <w:rFonts w:ascii="宋体" w:hAnsi="宋体"/>
        </w:rPr>
        <w:t>在任何评标环节中，需评标委员会就某项定性的评审结论做出表决的，由评标委员会全体成员按照少数服从多数的原则，以记名投票方式表决。</w:t>
      </w:r>
    </w:p>
    <w:p w14:paraId="41A365B0">
      <w:pPr>
        <w:pStyle w:val="43"/>
        <w:spacing w:before="0" w:after="0"/>
        <w:rPr>
          <w:rStyle w:val="39"/>
          <w:rFonts w:hint="eastAsia" w:ascii="宋体" w:hAnsi="宋体"/>
          <w:sz w:val="24"/>
        </w:rPr>
      </w:pPr>
      <w:bookmarkStart w:id="142" w:name="_Toc16063938"/>
      <w:r>
        <w:rPr>
          <w:rStyle w:val="39"/>
          <w:rFonts w:ascii="宋体" w:hAnsi="宋体"/>
          <w:sz w:val="24"/>
        </w:rPr>
        <w:t>A7.补充条款</w:t>
      </w:r>
      <w:bookmarkEnd w:id="142"/>
    </w:p>
    <w:p w14:paraId="04D8641A">
      <w:pPr>
        <w:pStyle w:val="43"/>
        <w:spacing w:before="0" w:after="0"/>
        <w:rPr>
          <w:rStyle w:val="39"/>
          <w:rFonts w:hint="eastAsia" w:ascii="宋体" w:hAnsi="宋体"/>
          <w:sz w:val="24"/>
        </w:rPr>
      </w:pPr>
      <w:r>
        <w:rPr>
          <w:rStyle w:val="39"/>
          <w:rFonts w:ascii="宋体" w:hAnsi="宋体"/>
          <w:sz w:val="24"/>
        </w:rPr>
        <w:t>附件B：废标条件</w:t>
      </w:r>
    </w:p>
    <w:p w14:paraId="6C88EC50">
      <w:pPr>
        <w:pStyle w:val="43"/>
        <w:spacing w:before="0" w:after="0"/>
        <w:rPr>
          <w:rStyle w:val="39"/>
          <w:rFonts w:hint="eastAsia" w:ascii="宋体" w:hAnsi="宋体"/>
          <w:sz w:val="24"/>
        </w:rPr>
      </w:pPr>
      <w:bookmarkStart w:id="143" w:name="_Toc16063939"/>
      <w:r>
        <w:rPr>
          <w:rStyle w:val="39"/>
          <w:rFonts w:ascii="宋体" w:hAnsi="宋体"/>
          <w:sz w:val="24"/>
        </w:rPr>
        <w:t>B0、总则</w:t>
      </w:r>
      <w:bookmarkEnd w:id="143"/>
    </w:p>
    <w:p w14:paraId="5A09E06C">
      <w:pPr>
        <w:spacing w:line="360" w:lineRule="auto"/>
        <w:ind w:firstLine="420" w:firstLineChars="200"/>
        <w:rPr>
          <w:rStyle w:val="39"/>
          <w:rFonts w:hint="eastAsia" w:ascii="宋体" w:hAnsi="宋体"/>
        </w:rPr>
      </w:pPr>
      <w:r>
        <w:rPr>
          <w:rStyle w:val="39"/>
          <w:rFonts w:ascii="宋体" w:hAnsi="宋体"/>
        </w:rPr>
        <w:t>本附件所集中列示的废标条件，是本章“评标办法”的组成部分，是对第二章“投标人须知”和本章正文部分所规定的废标条件的总结和补充，如果出现相互矛盾的情况，以第二章“投标人须知”和本章正文部分的规定为准。</w:t>
      </w:r>
    </w:p>
    <w:p w14:paraId="60216985">
      <w:pPr>
        <w:pStyle w:val="43"/>
        <w:spacing w:before="0" w:after="0"/>
        <w:rPr>
          <w:rStyle w:val="39"/>
          <w:rFonts w:hint="eastAsia" w:ascii="宋体" w:hAnsi="宋体"/>
          <w:sz w:val="24"/>
        </w:rPr>
      </w:pPr>
      <w:bookmarkStart w:id="144" w:name="_Toc16063940"/>
      <w:r>
        <w:rPr>
          <w:rStyle w:val="39"/>
          <w:rFonts w:ascii="宋体" w:hAnsi="宋体"/>
          <w:sz w:val="24"/>
        </w:rPr>
        <w:t>B1 废标条件</w:t>
      </w:r>
      <w:bookmarkEnd w:id="144"/>
    </w:p>
    <w:p w14:paraId="3A5AE885">
      <w:pPr>
        <w:spacing w:line="360" w:lineRule="auto"/>
        <w:rPr>
          <w:rStyle w:val="39"/>
          <w:rFonts w:hint="eastAsia" w:ascii="宋体" w:hAnsi="宋体"/>
        </w:rPr>
      </w:pPr>
      <w:r>
        <w:rPr>
          <w:rStyle w:val="39"/>
          <w:rFonts w:ascii="宋体" w:hAnsi="宋体"/>
        </w:rPr>
        <w:t xml:space="preserve">    投标人或其投标文件有下列情形之一的，其投标作废标处理：</w:t>
      </w:r>
    </w:p>
    <w:p w14:paraId="306F3D00">
      <w:pPr>
        <w:spacing w:line="360" w:lineRule="auto"/>
        <w:ind w:firstLine="420" w:firstLineChars="200"/>
        <w:rPr>
          <w:rStyle w:val="39"/>
          <w:rFonts w:hint="eastAsia" w:ascii="宋体" w:hAnsi="宋体"/>
        </w:rPr>
      </w:pPr>
      <w:r>
        <w:rPr>
          <w:rStyle w:val="39"/>
          <w:rFonts w:ascii="宋体" w:hAnsi="宋体"/>
        </w:rPr>
        <w:t>B1.1有第二章“投标人须知”</w:t>
      </w:r>
      <w:r>
        <w:rPr>
          <w:rStyle w:val="29"/>
          <w:rFonts w:ascii="宋体" w:hAnsi="宋体"/>
          <w:color w:val="auto"/>
        </w:rPr>
        <w:t>第1.4.3</w:t>
      </w:r>
      <w:r>
        <w:rPr>
          <w:rStyle w:val="39"/>
          <w:rFonts w:ascii="宋体" w:hAnsi="宋体"/>
        </w:rPr>
        <w:t>项规定的任何一种情形的。</w:t>
      </w:r>
    </w:p>
    <w:p w14:paraId="1BB256D4">
      <w:pPr>
        <w:spacing w:line="360" w:lineRule="auto"/>
        <w:ind w:firstLine="420" w:firstLineChars="200"/>
        <w:rPr>
          <w:rStyle w:val="39"/>
          <w:rFonts w:hint="eastAsia" w:ascii="宋体" w:hAnsi="宋体"/>
          <w:shd w:val="clear" w:color="auto" w:fill="D9D9D9"/>
        </w:rPr>
      </w:pPr>
      <w:r>
        <w:rPr>
          <w:rStyle w:val="39"/>
          <w:rFonts w:ascii="宋体" w:hAnsi="宋体"/>
          <w:shd w:val="clear" w:color="auto" w:fill="D9D9D9"/>
        </w:rPr>
        <w:t>B1.2 有串通投标或弄虚作假或其他违法行为的，详下：</w:t>
      </w:r>
    </w:p>
    <w:p w14:paraId="568EDB83">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B1.2.1投标人之间协商投标报价等投标文件的实质性内容；</w:t>
      </w:r>
    </w:p>
    <w:p w14:paraId="0AC291A0">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B1.2.2投标人之间约定中标人；</w:t>
      </w:r>
    </w:p>
    <w:p w14:paraId="6E695F1C">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B1.2.3投标人之间约定部分投标人放弃投标或者中标；</w:t>
      </w:r>
    </w:p>
    <w:p w14:paraId="5913601C">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B1.2.4属于同一集团、协会、商会等组织成员的投标人按照该组织要求协同投标；</w:t>
      </w:r>
    </w:p>
    <w:p w14:paraId="45779396">
      <w:pPr>
        <w:spacing w:line="360" w:lineRule="auto"/>
        <w:ind w:left="216" w:leftChars="103" w:firstLine="621" w:firstLineChars="296"/>
        <w:rPr>
          <w:rStyle w:val="39"/>
          <w:rFonts w:hint="eastAsia" w:ascii="宋体" w:hAnsi="宋体"/>
          <w:shd w:val="clear" w:color="auto" w:fill="D9D9D9"/>
        </w:rPr>
      </w:pPr>
      <w:bookmarkStart w:id="145" w:name="_Toc16063941"/>
      <w:r>
        <w:rPr>
          <w:rStyle w:val="39"/>
          <w:rFonts w:ascii="宋体" w:hAnsi="宋体"/>
          <w:shd w:val="clear" w:color="auto" w:fill="D9D9D9"/>
        </w:rPr>
        <w:t>B1.2.5投标人之间为谋取中标或者排斥特定投标人而采取的其他联合行动；</w:t>
      </w:r>
      <w:bookmarkEnd w:id="145"/>
    </w:p>
    <w:p w14:paraId="5BFD6DF8">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B1.2.6不同投标人的投标文件由同一单位或者个人编制；</w:t>
      </w:r>
    </w:p>
    <w:p w14:paraId="305E9FB9">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B1.2.7不同投标人委托同一单位或者个人办理投标事宜；</w:t>
      </w:r>
    </w:p>
    <w:p w14:paraId="2A387110">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B1.2.8不同投标人的投标文件载明的项目管理成员为同一人；</w:t>
      </w:r>
    </w:p>
    <w:p w14:paraId="458A37EE">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B1.2.9 不同投标人聘请同一个人为其投标提供技术或者经济咨询服务的，但招标工程本身要求采用专有技术的除外；</w:t>
      </w:r>
    </w:p>
    <w:p w14:paraId="31D757EA">
      <w:pPr>
        <w:spacing w:line="360" w:lineRule="auto"/>
        <w:ind w:left="216" w:leftChars="103" w:firstLine="621" w:firstLineChars="296"/>
        <w:rPr>
          <w:rStyle w:val="39"/>
          <w:rFonts w:hint="eastAsia" w:ascii="宋体" w:hAnsi="宋体"/>
          <w:shd w:val="clear" w:color="auto" w:fill="D9D9D9"/>
        </w:rPr>
      </w:pPr>
      <w:bookmarkStart w:id="146" w:name="_Toc16063942"/>
      <w:r>
        <w:rPr>
          <w:rStyle w:val="39"/>
          <w:rFonts w:ascii="宋体" w:hAnsi="宋体"/>
          <w:shd w:val="clear" w:color="auto" w:fill="D9D9D9"/>
        </w:rPr>
        <w:t>B1.2.10不同投标人的投标文件异常一致或者投标报价呈规律性差异；</w:t>
      </w:r>
      <w:bookmarkEnd w:id="146"/>
    </w:p>
    <w:p w14:paraId="2E34F91A">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B1.2.11不同投标人的投标文件错漏之处一致的；</w:t>
      </w:r>
    </w:p>
    <w:p w14:paraId="7321B436">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B1.2.12不同投标人的投标文件相互混装；</w:t>
      </w:r>
    </w:p>
    <w:p w14:paraId="084808C2">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B1.2.13不同投标人的投标文件由同一台电脑编制或者同一台附属设备打印；</w:t>
      </w:r>
    </w:p>
    <w:p w14:paraId="2720F1BF">
      <w:pPr>
        <w:spacing w:line="360" w:lineRule="auto"/>
        <w:ind w:left="216" w:leftChars="103" w:firstLine="621" w:firstLineChars="296"/>
        <w:rPr>
          <w:rStyle w:val="39"/>
          <w:rFonts w:hint="eastAsia" w:ascii="宋体" w:hAnsi="宋体"/>
          <w:shd w:val="clear" w:color="auto" w:fill="D9D9D9"/>
        </w:rPr>
      </w:pPr>
      <w:bookmarkStart w:id="147" w:name="_Toc16063943"/>
      <w:r>
        <w:rPr>
          <w:rStyle w:val="39"/>
          <w:rFonts w:ascii="宋体" w:hAnsi="宋体"/>
          <w:shd w:val="clear" w:color="auto" w:fill="D9D9D9"/>
        </w:rPr>
        <w:t>B1.2.14不同投标人的投标保证金从同一单位或者个人的账户转出；</w:t>
      </w:r>
      <w:bookmarkEnd w:id="147"/>
    </w:p>
    <w:p w14:paraId="2B2728C1">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B1.2.15不同投标人使用同一个人或者企业资金交纳投标保证金或者投标保函的反担保的；</w:t>
      </w:r>
    </w:p>
    <w:p w14:paraId="76CDD50D">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B1.2.16使用伪造、变造的许可证件；</w:t>
      </w:r>
    </w:p>
    <w:p w14:paraId="0B06E15E">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B1.2.17提供虚假的财务状况或者业绩；</w:t>
      </w:r>
    </w:p>
    <w:p w14:paraId="2F1F60DD">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B1.2.18提供虚假的项目负责人或者主要技术人员简历、劳动关系证明；</w:t>
      </w:r>
    </w:p>
    <w:p w14:paraId="7986303B">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B1.2.19提供虚假的信用状况；</w:t>
      </w:r>
    </w:p>
    <w:p w14:paraId="03330996">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B1.2.20其他弄虚作假的行为；</w:t>
      </w:r>
    </w:p>
    <w:p w14:paraId="70F412F8">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B1.2.21招标人在开标前开启投标文件并将有关信息泄露给其他投标人;</w:t>
      </w:r>
    </w:p>
    <w:p w14:paraId="5BD3782C">
      <w:pPr>
        <w:spacing w:line="360" w:lineRule="auto"/>
        <w:ind w:left="216" w:leftChars="103" w:firstLine="621" w:firstLineChars="296"/>
        <w:rPr>
          <w:rStyle w:val="39"/>
          <w:rFonts w:hint="eastAsia" w:ascii="宋体" w:hAnsi="宋体"/>
          <w:shd w:val="clear" w:color="auto" w:fill="D9D9D9"/>
        </w:rPr>
      </w:pPr>
      <w:bookmarkStart w:id="148" w:name="_Toc16063944"/>
      <w:r>
        <w:rPr>
          <w:rStyle w:val="39"/>
          <w:rFonts w:ascii="宋体" w:hAnsi="宋体"/>
          <w:shd w:val="clear" w:color="auto" w:fill="D9D9D9"/>
        </w:rPr>
        <w:t>B1.2.22招标人直接或者间接向投标人泄露标底、评标委员会成员等信息；</w:t>
      </w:r>
      <w:bookmarkEnd w:id="148"/>
    </w:p>
    <w:p w14:paraId="74FDD9D6">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B1.2.23招标人明示或者暗示投标人压低或者抬高投标报价；</w:t>
      </w:r>
    </w:p>
    <w:p w14:paraId="0C0EAABC">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B1.2.24招标人授意投标人撤换、修改投标文件；</w:t>
      </w:r>
    </w:p>
    <w:p w14:paraId="2F4EA3B6">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B1.2.25招标人明示或者暗示投标人为特定投标人中标提供方便；</w:t>
      </w:r>
    </w:p>
    <w:p w14:paraId="36002FF6">
      <w:pPr>
        <w:spacing w:line="360" w:lineRule="auto"/>
        <w:ind w:left="216" w:leftChars="103" w:firstLine="621" w:firstLineChars="296"/>
        <w:rPr>
          <w:rStyle w:val="39"/>
          <w:rFonts w:hint="eastAsia" w:ascii="宋体" w:hAnsi="宋体"/>
          <w:shd w:val="clear" w:color="auto" w:fill="D9D9D9"/>
        </w:rPr>
      </w:pPr>
      <w:r>
        <w:rPr>
          <w:rStyle w:val="39"/>
          <w:rFonts w:ascii="宋体" w:hAnsi="宋体"/>
          <w:shd w:val="clear" w:color="auto" w:fill="D9D9D9"/>
        </w:rPr>
        <w:t>B1.2.26招标人与投标人为谋求特定投标人中标而采取的其他串通行为；</w:t>
      </w:r>
    </w:p>
    <w:p w14:paraId="09AB066D">
      <w:pPr>
        <w:spacing w:line="360" w:lineRule="auto"/>
        <w:ind w:left="216" w:leftChars="103" w:firstLine="621" w:firstLineChars="296"/>
        <w:rPr>
          <w:rStyle w:val="39"/>
          <w:rFonts w:hint="eastAsia" w:ascii="宋体" w:hAnsi="宋体"/>
          <w:shd w:val="clear" w:color="auto" w:fill="D9D9D9"/>
        </w:rPr>
      </w:pPr>
      <w:bookmarkStart w:id="149" w:name="_Toc16063945"/>
      <w:r>
        <w:rPr>
          <w:rStyle w:val="39"/>
          <w:rFonts w:ascii="宋体" w:hAnsi="宋体"/>
          <w:shd w:val="clear" w:color="auto" w:fill="D9D9D9"/>
        </w:rPr>
        <w:t>B1.2.27评标委员会认定的其他串通投标情形；</w:t>
      </w:r>
      <w:bookmarkEnd w:id="149"/>
    </w:p>
    <w:p w14:paraId="15516010">
      <w:pPr>
        <w:spacing w:line="360" w:lineRule="auto"/>
        <w:ind w:firstLine="420" w:firstLineChars="200"/>
        <w:rPr>
          <w:rStyle w:val="39"/>
          <w:rFonts w:hint="eastAsia" w:ascii="宋体" w:hAnsi="宋体"/>
        </w:rPr>
      </w:pPr>
      <w:r>
        <w:rPr>
          <w:rStyle w:val="39"/>
          <w:rFonts w:ascii="宋体" w:hAnsi="宋体"/>
        </w:rPr>
        <w:t>B1.3不按评标委员会要求澄清、说明或补正的。</w:t>
      </w:r>
    </w:p>
    <w:p w14:paraId="5A1A10B9">
      <w:pPr>
        <w:spacing w:line="360" w:lineRule="auto"/>
        <w:ind w:firstLine="420" w:firstLineChars="200"/>
        <w:rPr>
          <w:rStyle w:val="39"/>
          <w:rFonts w:hint="eastAsia" w:ascii="宋体" w:hAnsi="宋体"/>
        </w:rPr>
      </w:pPr>
      <w:r>
        <w:rPr>
          <w:rStyle w:val="39"/>
          <w:rFonts w:ascii="宋体" w:hAnsi="宋体"/>
        </w:rPr>
        <w:t>B1.4在形式评审、资格评审、响应性评审中，评标委员会认定投标人的投标文件不符合评标办法前附表中规定的任何一项评审标准的。</w:t>
      </w:r>
    </w:p>
    <w:p w14:paraId="60268622">
      <w:pPr>
        <w:spacing w:line="360" w:lineRule="auto"/>
        <w:ind w:firstLine="422" w:firstLineChars="200"/>
        <w:rPr>
          <w:rStyle w:val="39"/>
          <w:rFonts w:hint="eastAsia" w:ascii="宋体" w:hAnsi="宋体"/>
          <w:b/>
        </w:rPr>
      </w:pPr>
      <w:r>
        <w:rPr>
          <w:rStyle w:val="39"/>
          <w:rFonts w:ascii="宋体" w:hAnsi="宋体"/>
          <w:b/>
        </w:rPr>
        <w:t>B1.5投标报价文件（投标函除外）未经有资格的工程造价专业人员签字并加盖执业专用章的。</w:t>
      </w:r>
    </w:p>
    <w:p w14:paraId="64441E1C">
      <w:pPr>
        <w:spacing w:line="360" w:lineRule="auto"/>
        <w:ind w:firstLine="420" w:firstLineChars="200"/>
        <w:rPr>
          <w:rStyle w:val="39"/>
          <w:rFonts w:hint="eastAsia" w:ascii="宋体" w:hAnsi="宋体"/>
        </w:rPr>
      </w:pPr>
      <w:r>
        <w:rPr>
          <w:rStyle w:val="39"/>
          <w:rFonts w:ascii="宋体" w:hAnsi="宋体"/>
        </w:rPr>
        <w:t>B1.6在施工组织设计和项目管理机构评审中，评标委员会认定投标人的投标未能通过此项评审的。</w:t>
      </w:r>
    </w:p>
    <w:p w14:paraId="06DD2962">
      <w:pPr>
        <w:spacing w:line="360" w:lineRule="auto"/>
        <w:ind w:firstLine="420" w:firstLineChars="200"/>
        <w:rPr>
          <w:rStyle w:val="39"/>
          <w:rFonts w:hint="eastAsia" w:ascii="宋体" w:hAnsi="宋体"/>
        </w:rPr>
      </w:pPr>
      <w:r>
        <w:rPr>
          <w:rStyle w:val="39"/>
          <w:rFonts w:ascii="宋体" w:hAnsi="宋体"/>
        </w:rPr>
        <w:t>B1.7评标委员会认定投标人以低于成本报价竞标的。</w:t>
      </w:r>
    </w:p>
    <w:p w14:paraId="385399E1">
      <w:pPr>
        <w:spacing w:line="360" w:lineRule="auto"/>
        <w:ind w:firstLine="420" w:firstLineChars="200"/>
        <w:rPr>
          <w:rStyle w:val="39"/>
          <w:rFonts w:hint="eastAsia" w:ascii="宋体" w:hAnsi="宋体"/>
        </w:rPr>
      </w:pPr>
      <w:r>
        <w:rPr>
          <w:rStyle w:val="39"/>
          <w:rFonts w:ascii="宋体" w:hAnsi="宋体"/>
        </w:rPr>
        <w:t xml:space="preserve">B1.8投标人未按第二章 </w:t>
      </w:r>
      <w:r>
        <w:rPr>
          <w:rStyle w:val="29"/>
          <w:rFonts w:ascii="宋体" w:hAnsi="宋体"/>
          <w:color w:val="auto"/>
        </w:rPr>
        <w:t>投标人须知前附表第10.5款</w:t>
      </w:r>
      <w:r>
        <w:rPr>
          <w:rStyle w:val="39"/>
          <w:rFonts w:ascii="宋体" w:hAnsi="宋体"/>
        </w:rPr>
        <w:t>规定出席开标会的。</w:t>
      </w:r>
    </w:p>
    <w:p w14:paraId="679D9E27">
      <w:pPr>
        <w:spacing w:line="360" w:lineRule="auto"/>
        <w:ind w:left="420" w:leftChars="200"/>
        <w:rPr>
          <w:rStyle w:val="39"/>
          <w:rFonts w:hint="eastAsia" w:ascii="宋体" w:hAnsi="宋体"/>
          <w:szCs w:val="22"/>
        </w:rPr>
      </w:pPr>
      <w:r>
        <w:rPr>
          <w:rStyle w:val="39"/>
          <w:rFonts w:hint="eastAsia" w:ascii="宋体" w:hAnsi="宋体"/>
          <w:szCs w:val="22"/>
        </w:rPr>
        <w:t>B1.9</w:t>
      </w:r>
      <w:r>
        <w:rPr>
          <w:rStyle w:val="39"/>
          <w:rFonts w:ascii="宋体" w:hAnsi="宋体"/>
          <w:szCs w:val="22"/>
        </w:rPr>
        <w:t>符合条件、或对招标文件做实质响应的供应商不足3家的</w:t>
      </w:r>
      <w:r>
        <w:rPr>
          <w:rStyle w:val="39"/>
          <w:rFonts w:hint="eastAsia" w:ascii="宋体" w:hAnsi="宋体"/>
          <w:szCs w:val="22"/>
        </w:rPr>
        <w:t>。</w:t>
      </w:r>
    </w:p>
    <w:p w14:paraId="23171AEE">
      <w:pPr>
        <w:spacing w:line="360" w:lineRule="auto"/>
        <w:ind w:left="420" w:leftChars="200"/>
        <w:rPr>
          <w:rStyle w:val="39"/>
          <w:rFonts w:hint="eastAsia" w:ascii="宋体" w:hAnsi="宋体"/>
          <w:szCs w:val="22"/>
        </w:rPr>
      </w:pPr>
      <w:r>
        <w:rPr>
          <w:rStyle w:val="39"/>
          <w:rFonts w:hint="eastAsia" w:ascii="宋体" w:hAnsi="宋体"/>
          <w:szCs w:val="22"/>
        </w:rPr>
        <w:t>B1.10</w:t>
      </w:r>
      <w:r>
        <w:rPr>
          <w:rStyle w:val="39"/>
          <w:rFonts w:ascii="宋体" w:hAnsi="宋体"/>
          <w:szCs w:val="22"/>
        </w:rPr>
        <w:t>出现影响采购公正的违法违规行为的、投标人报价均超过采购预算的、因重大变故、采购任务取消的等</w:t>
      </w:r>
      <w:r>
        <w:rPr>
          <w:rStyle w:val="39"/>
          <w:rFonts w:hint="eastAsia" w:ascii="宋体" w:hAnsi="宋体"/>
          <w:szCs w:val="22"/>
        </w:rPr>
        <w:t>。</w:t>
      </w:r>
    </w:p>
    <w:p w14:paraId="61A451DE">
      <w:pPr>
        <w:rPr>
          <w:rStyle w:val="39"/>
          <w:rFonts w:hint="eastAsia" w:ascii="宋体" w:hAnsi="宋体"/>
        </w:rPr>
      </w:pPr>
    </w:p>
    <w:p w14:paraId="2580DEB9">
      <w:pPr>
        <w:rPr>
          <w:rStyle w:val="39"/>
          <w:rFonts w:hint="eastAsia" w:ascii="宋体" w:hAnsi="宋体"/>
        </w:rPr>
      </w:pPr>
    </w:p>
    <w:p w14:paraId="37B11860">
      <w:pPr>
        <w:rPr>
          <w:rStyle w:val="39"/>
          <w:rFonts w:hint="eastAsia" w:ascii="宋体" w:hAnsi="宋体"/>
        </w:rPr>
      </w:pPr>
    </w:p>
    <w:p w14:paraId="77D71050">
      <w:pPr>
        <w:rPr>
          <w:sz w:val="32"/>
          <w:szCs w:val="32"/>
        </w:rPr>
      </w:pPr>
      <w:bookmarkStart w:id="150" w:name="_Toc26146"/>
      <w:bookmarkStart w:id="151" w:name="_Toc19725"/>
      <w:bookmarkStart w:id="152" w:name="_Toc11114"/>
      <w:bookmarkStart w:id="153" w:name="_Toc17817336"/>
      <w:r>
        <w:rPr>
          <w:sz w:val="32"/>
          <w:szCs w:val="32"/>
        </w:rPr>
        <w:br w:type="page"/>
      </w:r>
    </w:p>
    <w:p w14:paraId="66E0D85B">
      <w:pPr>
        <w:pStyle w:val="6"/>
        <w:jc w:val="center"/>
        <w:rPr>
          <w:i w:val="0"/>
          <w:iCs w:val="0"/>
          <w:sz w:val="32"/>
          <w:szCs w:val="32"/>
        </w:rPr>
      </w:pPr>
      <w:bookmarkStart w:id="154" w:name="_Toc17915"/>
      <w:r>
        <w:rPr>
          <w:i w:val="0"/>
          <w:iCs w:val="0"/>
          <w:sz w:val="32"/>
          <w:szCs w:val="32"/>
        </w:rPr>
        <w:t>第四章合同条款及格式</w:t>
      </w:r>
      <w:bookmarkEnd w:id="150"/>
      <w:bookmarkEnd w:id="151"/>
      <w:bookmarkEnd w:id="152"/>
      <w:bookmarkEnd w:id="153"/>
      <w:bookmarkEnd w:id="154"/>
    </w:p>
    <w:p w14:paraId="4CC7E79B">
      <w:pPr>
        <w:jc w:val="center"/>
        <w:rPr>
          <w:rFonts w:eastAsia="仿宋_GB2312"/>
          <w:bCs/>
          <w:sz w:val="28"/>
          <w:szCs w:val="28"/>
        </w:rPr>
      </w:pPr>
      <w:r>
        <w:rPr>
          <w:rFonts w:hint="eastAsia" w:eastAsia="仿宋_GB2312"/>
          <w:bCs/>
          <w:sz w:val="28"/>
          <w:szCs w:val="28"/>
        </w:rPr>
        <w:t>（</w:t>
      </w:r>
      <w:r>
        <w:rPr>
          <w:rFonts w:eastAsia="仿宋_GB2312"/>
          <w:bCs/>
          <w:sz w:val="28"/>
          <w:szCs w:val="28"/>
        </w:rPr>
        <w:t>以最终签署合同文本为准）</w:t>
      </w:r>
    </w:p>
    <w:p w14:paraId="7B5A2AC9">
      <w:pPr>
        <w:jc w:val="center"/>
        <w:rPr>
          <w:rStyle w:val="39"/>
        </w:rPr>
      </w:pPr>
      <w:bookmarkStart w:id="155" w:name="_Toc294124224"/>
      <w:bookmarkStart w:id="156" w:name="_Toc363561430"/>
      <w:bookmarkStart w:id="157" w:name="_Toc22187"/>
      <w:bookmarkStart w:id="158" w:name="_Toc24390"/>
      <w:bookmarkStart w:id="159" w:name="_Toc22977"/>
      <w:bookmarkStart w:id="160" w:name="_Toc28547"/>
      <w:bookmarkStart w:id="161" w:name="_Toc17162"/>
      <w:bookmarkStart w:id="162" w:name="_Toc20700"/>
      <w:bookmarkStart w:id="163" w:name="_Toc1254"/>
      <w:bookmarkStart w:id="164" w:name="_Toc19628"/>
      <w:bookmarkStart w:id="165" w:name="_Toc7553"/>
      <w:bookmarkStart w:id="166" w:name="_Toc372"/>
      <w:bookmarkStart w:id="167" w:name="_Toc3675"/>
      <w:bookmarkStart w:id="168" w:name="_Toc19722"/>
      <w:bookmarkStart w:id="169" w:name="_Toc17817340"/>
      <w:bookmarkStart w:id="170" w:name="_Toc15775"/>
      <w:r>
        <w:rPr>
          <w:rFonts w:hint="eastAsia" w:eastAsia="仿宋_GB2312"/>
          <w:bCs/>
          <w:sz w:val="28"/>
          <w:szCs w:val="28"/>
        </w:rPr>
        <w:t>（</w:t>
      </w:r>
      <w:r>
        <w:rPr>
          <w:rFonts w:eastAsia="仿宋_GB2312"/>
          <w:bCs/>
          <w:sz w:val="28"/>
          <w:szCs w:val="28"/>
        </w:rPr>
        <w:t>以最终签署合同文本为准）</w:t>
      </w:r>
    </w:p>
    <w:p w14:paraId="4DE8348F">
      <w:pPr>
        <w:jc w:val="left"/>
        <w:rPr>
          <w:rFonts w:eastAsia="仿宋_GB2312"/>
          <w:bCs/>
          <w:sz w:val="32"/>
          <w:szCs w:val="32"/>
        </w:rPr>
      </w:pPr>
      <w:r>
        <w:rPr>
          <w:rFonts w:eastAsia="仿宋_GB2312"/>
          <w:bCs/>
          <w:sz w:val="32"/>
          <w:szCs w:val="32"/>
        </w:rPr>
        <w:t>（</w:t>
      </w:r>
      <w:r>
        <w:rPr>
          <w:rFonts w:hint="eastAsia" w:eastAsia="仿宋_GB2312"/>
          <w:bCs/>
          <w:sz w:val="32"/>
          <w:szCs w:val="32"/>
        </w:rPr>
        <w:t>SD</w:t>
      </w:r>
      <w:r>
        <w:rPr>
          <w:rFonts w:eastAsia="仿宋_GB2312"/>
          <w:bCs/>
          <w:sz w:val="32"/>
          <w:szCs w:val="32"/>
        </w:rPr>
        <w:t>F—201</w:t>
      </w:r>
      <w:r>
        <w:rPr>
          <w:rFonts w:hint="eastAsia" w:eastAsia="仿宋_GB2312"/>
          <w:bCs/>
          <w:sz w:val="32"/>
          <w:szCs w:val="32"/>
        </w:rPr>
        <w:t>9</w:t>
      </w:r>
      <w:r>
        <w:rPr>
          <w:rFonts w:eastAsia="仿宋_GB2312"/>
          <w:bCs/>
          <w:sz w:val="32"/>
          <w:szCs w:val="32"/>
        </w:rPr>
        <w:t>—</w:t>
      </w:r>
      <w:r>
        <w:rPr>
          <w:rFonts w:hint="eastAsia" w:eastAsia="仿宋_GB2312"/>
          <w:bCs/>
          <w:sz w:val="32"/>
          <w:szCs w:val="32"/>
        </w:rPr>
        <w:t>0002）          合同编号：               号</w:t>
      </w:r>
    </w:p>
    <w:p w14:paraId="7B9D385D">
      <w:pPr>
        <w:jc w:val="center"/>
        <w:rPr>
          <w:rFonts w:eastAsia="华文中宋"/>
          <w:b/>
          <w:sz w:val="52"/>
          <w:szCs w:val="52"/>
        </w:rPr>
      </w:pPr>
    </w:p>
    <w:p w14:paraId="7CD4EFF5">
      <w:pPr>
        <w:jc w:val="center"/>
        <w:rPr>
          <w:rFonts w:eastAsia="华文中宋"/>
          <w:b/>
          <w:sz w:val="52"/>
          <w:szCs w:val="52"/>
        </w:rPr>
      </w:pPr>
    </w:p>
    <w:p w14:paraId="2A4BB9DE">
      <w:pPr>
        <w:rPr>
          <w:rFonts w:eastAsia="华文中宋"/>
          <w:b/>
          <w:sz w:val="52"/>
          <w:szCs w:val="52"/>
        </w:rPr>
      </w:pPr>
    </w:p>
    <w:p w14:paraId="196744C8">
      <w:pPr>
        <w:jc w:val="center"/>
        <w:rPr>
          <w:rFonts w:eastAsia="华文中宋"/>
          <w:b/>
          <w:sz w:val="52"/>
          <w:szCs w:val="52"/>
        </w:rPr>
      </w:pPr>
    </w:p>
    <w:p w14:paraId="2C42C9DA">
      <w:pPr>
        <w:jc w:val="center"/>
        <w:rPr>
          <w:rFonts w:eastAsia="华文中宋"/>
          <w:b/>
          <w:sz w:val="52"/>
          <w:szCs w:val="52"/>
        </w:rPr>
      </w:pPr>
      <w:r>
        <w:rPr>
          <w:rFonts w:hint="eastAsia" w:eastAsia="华文中宋"/>
          <w:b/>
          <w:sz w:val="72"/>
          <w:szCs w:val="52"/>
        </w:rPr>
        <w:t>山东省</w:t>
      </w:r>
      <w:r>
        <w:rPr>
          <w:rFonts w:eastAsia="华文中宋"/>
          <w:b/>
          <w:sz w:val="72"/>
          <w:szCs w:val="52"/>
        </w:rPr>
        <w:t>建设工程施工合同</w:t>
      </w:r>
      <w:r>
        <w:rPr>
          <w:rFonts w:eastAsia="华文中宋"/>
          <w:b/>
          <w:sz w:val="52"/>
          <w:szCs w:val="52"/>
        </w:rPr>
        <w:br w:type="textWrapping"/>
      </w:r>
      <w:r>
        <w:rPr>
          <w:rFonts w:eastAsia="华文中宋"/>
          <w:b/>
          <w:sz w:val="52"/>
          <w:szCs w:val="52"/>
        </w:rPr>
        <w:t>（示范文本）</w:t>
      </w:r>
    </w:p>
    <w:p w14:paraId="104AD065">
      <w:pPr>
        <w:jc w:val="center"/>
        <w:rPr>
          <w:rFonts w:eastAsia="华文中宋"/>
          <w:b/>
          <w:sz w:val="52"/>
          <w:szCs w:val="52"/>
        </w:rPr>
      </w:pPr>
    </w:p>
    <w:p w14:paraId="759E74FE">
      <w:pPr>
        <w:jc w:val="center"/>
        <w:rPr>
          <w:rFonts w:eastAsia="黑体"/>
          <w:b/>
          <w:sz w:val="72"/>
          <w:szCs w:val="72"/>
        </w:rPr>
      </w:pPr>
    </w:p>
    <w:p w14:paraId="61EC5B81">
      <w:pPr>
        <w:jc w:val="center"/>
        <w:rPr>
          <w:rFonts w:eastAsia="楷体_GB2312"/>
          <w:b/>
          <w:sz w:val="72"/>
          <w:szCs w:val="72"/>
        </w:rPr>
      </w:pPr>
    </w:p>
    <w:p w14:paraId="0908BC89">
      <w:pPr>
        <w:rPr>
          <w:b/>
          <w:sz w:val="28"/>
          <w:szCs w:val="28"/>
        </w:rPr>
      </w:pPr>
    </w:p>
    <w:p w14:paraId="78B9CCB9">
      <w:pPr>
        <w:rPr>
          <w:b/>
          <w:sz w:val="28"/>
          <w:szCs w:val="28"/>
        </w:rPr>
      </w:pPr>
    </w:p>
    <w:p w14:paraId="1D9F02E0">
      <w:pPr>
        <w:ind w:right="2719" w:rightChars="1295"/>
        <w:jc w:val="distribute"/>
        <w:rPr>
          <w:b/>
          <w:sz w:val="32"/>
          <w:szCs w:val="28"/>
        </w:rPr>
      </w:pPr>
      <w:r>
        <w:rPr>
          <w:b/>
          <w:sz w:val="32"/>
          <w:szCs w:val="28"/>
        </w:rPr>
        <mc:AlternateContent>
          <mc:Choice Requires="wps">
            <w:drawing>
              <wp:anchor distT="0" distB="0" distL="114300" distR="114300" simplePos="0" relativeHeight="251667456" behindDoc="0" locked="0" layoutInCell="1" allowOverlap="1">
                <wp:simplePos x="0" y="0"/>
                <wp:positionH relativeFrom="column">
                  <wp:posOffset>3970020</wp:posOffset>
                </wp:positionH>
                <wp:positionV relativeFrom="paragraph">
                  <wp:posOffset>120015</wp:posOffset>
                </wp:positionV>
                <wp:extent cx="723900" cy="457200"/>
                <wp:effectExtent l="4445" t="4445" r="5080" b="5080"/>
                <wp:wrapNone/>
                <wp:docPr id="19" name="文本框 19"/>
                <wp:cNvGraphicFramePr/>
                <a:graphic xmlns:a="http://schemas.openxmlformats.org/drawingml/2006/main">
                  <a:graphicData uri="http://schemas.microsoft.com/office/word/2010/wordprocessingShape">
                    <wps:wsp>
                      <wps:cNvSpPr txBox="1"/>
                      <wps:spPr>
                        <a:xfrm>
                          <a:off x="0" y="0"/>
                          <a:ext cx="723900" cy="457200"/>
                        </a:xfrm>
                        <a:prstGeom prst="rect">
                          <a:avLst/>
                        </a:prstGeom>
                        <a:noFill/>
                        <a:ln w="9525" cap="flat" cmpd="sng">
                          <a:solidFill>
                            <a:srgbClr val="FFFFFF"/>
                          </a:solidFill>
                          <a:prstDash val="solid"/>
                          <a:miter/>
                          <a:headEnd type="none" w="med" len="med"/>
                          <a:tailEnd type="none" w="med" len="med"/>
                        </a:ln>
                        <a:effectLst/>
                      </wps:spPr>
                      <wps:txbx>
                        <w:txbxContent>
                          <w:p w14:paraId="64BC6EAD">
                            <w:pPr>
                              <w:rPr>
                                <w:b/>
                                <w:bCs/>
                                <w:sz w:val="32"/>
                              </w:rPr>
                            </w:pPr>
                            <w:r>
                              <w:rPr>
                                <w:rFonts w:hint="eastAsia"/>
                                <w:b/>
                                <w:bCs/>
                                <w:sz w:val="32"/>
                              </w:rPr>
                              <w:t>制定</w:t>
                            </w:r>
                          </w:p>
                        </w:txbxContent>
                      </wps:txbx>
                      <wps:bodyPr upright="1"/>
                    </wps:wsp>
                  </a:graphicData>
                </a:graphic>
              </wp:anchor>
            </w:drawing>
          </mc:Choice>
          <mc:Fallback>
            <w:pict>
              <v:shape id="_x0000_s1026" o:spid="_x0000_s1026" o:spt="202" type="#_x0000_t202" style="position:absolute;left:0pt;margin-left:312.6pt;margin-top:9.45pt;height:36pt;width:57pt;z-index:251667456;mso-width-relative:page;mso-height-relative:page;" filled="f" stroked="t" coordsize="21600,21600" o:gfxdata="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Qc0tcdgAAAAJAQAADwAAAAAAAAABACAAAAAi&#10;AAAAZHJzL2Rvd25yZXYueG1sUEsBAhQAFAAAAAgAh07iQCc8xtIKAgAAHAQAAA4AAAAAAAAAAQAg&#10;AAAAJwEAAGRycy9lMm9Eb2MueG1sUEsFBgAAAAAGAAYAWQEAAKMFAAAAAA==&#10;">
                <v:fill on="f" focussize="0,0"/>
                <v:stroke color="#FFFFFF" joinstyle="miter"/>
                <v:imagedata o:title=""/>
                <o:lock v:ext="edit" aspectratio="f"/>
                <v:textbox>
                  <w:txbxContent>
                    <w:p w14:paraId="64BC6EAD">
                      <w:pPr>
                        <w:rPr>
                          <w:b/>
                          <w:bCs/>
                          <w:sz w:val="32"/>
                        </w:rPr>
                      </w:pPr>
                      <w:r>
                        <w:rPr>
                          <w:rFonts w:hint="eastAsia"/>
                          <w:b/>
                          <w:bCs/>
                          <w:sz w:val="32"/>
                        </w:rPr>
                        <w:t>制定</w:t>
                      </w:r>
                    </w:p>
                  </w:txbxContent>
                </v:textbox>
              </v:shape>
            </w:pict>
          </mc:Fallback>
        </mc:AlternateContent>
      </w:r>
      <w:r>
        <w:rPr>
          <w:rFonts w:hint="eastAsia"/>
          <w:b/>
          <w:sz w:val="32"/>
          <w:szCs w:val="28"/>
        </w:rPr>
        <w:t xml:space="preserve">               山东省住房和城乡建设厅</w:t>
      </w:r>
    </w:p>
    <w:p w14:paraId="3AB93D53">
      <w:pPr>
        <w:ind w:right="2719" w:rightChars="1295"/>
        <w:jc w:val="distribute"/>
        <w:rPr>
          <w:b/>
          <w:sz w:val="32"/>
          <w:szCs w:val="28"/>
        </w:rPr>
      </w:pPr>
      <w:r>
        <w:rPr>
          <w:rFonts w:hint="eastAsia"/>
          <w:b/>
          <w:sz w:val="32"/>
          <w:szCs w:val="28"/>
        </w:rPr>
        <w:t xml:space="preserve">               山东省市场监督管理局</w:t>
      </w:r>
    </w:p>
    <w:p w14:paraId="34FBACBC">
      <w:pPr>
        <w:rPr>
          <w:b/>
        </w:rPr>
      </w:pPr>
    </w:p>
    <w:p w14:paraId="60FBAC5D">
      <w:pPr>
        <w:pStyle w:val="63"/>
        <w:spacing w:before="0" w:after="0" w:line="240" w:lineRule="auto"/>
        <w:jc w:val="center"/>
        <w:outlineLvl w:val="0"/>
        <w:rPr>
          <w:b w:val="0"/>
        </w:rPr>
        <w:sectPr>
          <w:footerReference r:id="rId7" w:type="first"/>
          <w:headerReference r:id="rId5" w:type="default"/>
          <w:footerReference r:id="rId6" w:type="default"/>
          <w:pgSz w:w="11906" w:h="16838"/>
          <w:pgMar w:top="1418" w:right="1555" w:bottom="1418" w:left="1531" w:header="851" w:footer="992" w:gutter="0"/>
          <w:pgNumType w:start="1"/>
          <w:cols w:space="720" w:num="1"/>
          <w:titlePg/>
          <w:docGrid w:type="lines" w:linePitch="312" w:charSpace="0"/>
        </w:sectPr>
      </w:pPr>
    </w:p>
    <w:p w14:paraId="606BF8B9"/>
    <w:p w14:paraId="6EBBE5BE">
      <w:pPr>
        <w:pStyle w:val="7"/>
        <w:jc w:val="center"/>
        <w:rPr>
          <w:rFonts w:eastAsia="华文中宋"/>
          <w:b w:val="0"/>
          <w:sz w:val="44"/>
          <w:szCs w:val="44"/>
        </w:rPr>
      </w:pPr>
      <w:bookmarkStart w:id="171" w:name="_Toc32200"/>
      <w:bookmarkStart w:id="172" w:name="_Toc7025"/>
      <w:bookmarkStart w:id="173" w:name="_Toc2537"/>
      <w:bookmarkStart w:id="174" w:name="_Toc21954"/>
      <w:bookmarkStart w:id="175" w:name="_Toc5749"/>
      <w:r>
        <w:rPr>
          <w:rFonts w:ascii="华文中宋" w:hAnsi="华文中宋" w:eastAsia="华文中宋"/>
          <w:sz w:val="44"/>
          <w:szCs w:val="44"/>
        </w:rPr>
        <w:t>第一部分 合同协议书</w:t>
      </w:r>
      <w:bookmarkEnd w:id="171"/>
      <w:bookmarkEnd w:id="172"/>
      <w:bookmarkEnd w:id="173"/>
      <w:bookmarkEnd w:id="174"/>
      <w:bookmarkEnd w:id="175"/>
    </w:p>
    <w:p w14:paraId="442C53A8">
      <w:pPr>
        <w:spacing w:line="360" w:lineRule="auto"/>
        <w:rPr>
          <w:rFonts w:eastAsia="仿宋_GB2312"/>
          <w:b/>
          <w:sz w:val="30"/>
          <w:szCs w:val="30"/>
          <w:u w:val="single"/>
        </w:rPr>
      </w:pPr>
      <w:r>
        <w:rPr>
          <w:rFonts w:eastAsia="仿宋_GB2312"/>
          <w:b/>
          <w:sz w:val="30"/>
          <w:szCs w:val="30"/>
        </w:rPr>
        <w:t>发包人（全称）：</w:t>
      </w:r>
      <w:r>
        <w:rPr>
          <w:rFonts w:eastAsia="仿宋_GB2312"/>
          <w:b/>
          <w:sz w:val="30"/>
          <w:szCs w:val="30"/>
          <w:u w:val="single"/>
        </w:rPr>
        <w:t></w:t>
      </w:r>
      <w:r>
        <w:rPr>
          <w:rFonts w:hint="eastAsia" w:eastAsia="仿宋_GB2312"/>
          <w:b/>
          <w:sz w:val="30"/>
          <w:szCs w:val="30"/>
          <w:u w:val="single"/>
        </w:rPr>
        <w:t xml:space="preserve">                </w:t>
      </w:r>
      <w:r>
        <w:rPr>
          <w:rFonts w:eastAsia="仿宋_GB2312"/>
          <w:b/>
          <w:sz w:val="30"/>
          <w:szCs w:val="30"/>
          <w:u w:val="single"/>
        </w:rPr>
        <w:t></w:t>
      </w:r>
      <w:r>
        <w:rPr>
          <w:rFonts w:hint="eastAsia" w:eastAsia="仿宋_GB2312"/>
          <w:b/>
          <w:sz w:val="30"/>
          <w:szCs w:val="30"/>
          <w:u w:val="single"/>
        </w:rPr>
        <w:t xml:space="preserve"> </w:t>
      </w:r>
    </w:p>
    <w:p w14:paraId="2F08A289">
      <w:pPr>
        <w:spacing w:line="360" w:lineRule="auto"/>
        <w:rPr>
          <w:rFonts w:eastAsia="仿宋_GB2312"/>
          <w:b/>
          <w:sz w:val="30"/>
          <w:szCs w:val="30"/>
          <w:u w:val="single"/>
        </w:rPr>
      </w:pPr>
      <w:r>
        <w:rPr>
          <w:rFonts w:eastAsia="仿宋_GB2312"/>
          <w:b/>
          <w:sz w:val="30"/>
          <w:szCs w:val="30"/>
        </w:rPr>
        <w:t>承包人（全称）：</w:t>
      </w:r>
      <w:r>
        <w:rPr>
          <w:rFonts w:eastAsia="仿宋_GB2312"/>
          <w:b/>
          <w:sz w:val="30"/>
          <w:szCs w:val="30"/>
          <w:u w:val="single"/>
        </w:rPr>
        <w:t></w:t>
      </w:r>
      <w:r>
        <w:rPr>
          <w:rFonts w:hint="eastAsia" w:eastAsia="仿宋_GB2312"/>
          <w:b/>
          <w:sz w:val="30"/>
          <w:szCs w:val="30"/>
          <w:u w:val="single"/>
        </w:rPr>
        <w:t xml:space="preserve">                 </w:t>
      </w:r>
      <w:r>
        <w:rPr>
          <w:rFonts w:eastAsia="仿宋_GB2312"/>
          <w:b/>
          <w:sz w:val="30"/>
          <w:szCs w:val="30"/>
          <w:u w:val="single"/>
        </w:rPr>
        <w:t></w:t>
      </w:r>
    </w:p>
    <w:p w14:paraId="1A459A22">
      <w:pPr>
        <w:spacing w:line="360" w:lineRule="auto"/>
        <w:ind w:firstLine="600" w:firstLineChars="200"/>
        <w:rPr>
          <w:rFonts w:eastAsia="仿宋_GB2312"/>
          <w:sz w:val="30"/>
          <w:szCs w:val="30"/>
        </w:rPr>
      </w:pPr>
      <w:r>
        <w:rPr>
          <w:rFonts w:eastAsia="仿宋_GB2312"/>
          <w:sz w:val="30"/>
          <w:szCs w:val="30"/>
        </w:rPr>
        <w:t>根据《中华人民共和国</w:t>
      </w:r>
      <w:r>
        <w:rPr>
          <w:rFonts w:hint="eastAsia" w:eastAsia="仿宋_GB2312"/>
          <w:sz w:val="30"/>
          <w:szCs w:val="30"/>
        </w:rPr>
        <w:t>民法典</w:t>
      </w:r>
      <w:r>
        <w:rPr>
          <w:rFonts w:eastAsia="仿宋_GB2312"/>
          <w:sz w:val="30"/>
          <w:szCs w:val="30"/>
        </w:rPr>
        <w:t>》《中华人民共和国建筑法》</w:t>
      </w:r>
      <w:r>
        <w:rPr>
          <w:rFonts w:hint="eastAsia" w:eastAsia="仿宋_GB2312"/>
          <w:sz w:val="30"/>
          <w:szCs w:val="30"/>
        </w:rPr>
        <w:t>等</w:t>
      </w:r>
      <w:r>
        <w:rPr>
          <w:rFonts w:eastAsia="仿宋_GB2312"/>
          <w:sz w:val="30"/>
          <w:szCs w:val="30"/>
        </w:rPr>
        <w:t>法律</w:t>
      </w:r>
      <w:r>
        <w:rPr>
          <w:rFonts w:hint="eastAsia" w:eastAsia="仿宋_GB2312"/>
          <w:sz w:val="30"/>
          <w:szCs w:val="30"/>
        </w:rPr>
        <w:t>法规和相关</w:t>
      </w:r>
      <w:r>
        <w:rPr>
          <w:rFonts w:eastAsia="仿宋_GB2312"/>
          <w:sz w:val="30"/>
          <w:szCs w:val="30"/>
        </w:rPr>
        <w:t>规定，遵循平等、自愿、公平和诚实信用的原则，双方就</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工程施工及有关事项协商一致</w:t>
      </w:r>
      <w:r>
        <w:rPr>
          <w:rFonts w:hint="eastAsia" w:eastAsia="仿宋_GB2312"/>
          <w:sz w:val="30"/>
          <w:szCs w:val="30"/>
        </w:rPr>
        <w:t>，</w:t>
      </w:r>
      <w:r>
        <w:rPr>
          <w:rFonts w:eastAsia="仿宋_GB2312"/>
          <w:sz w:val="30"/>
          <w:szCs w:val="30"/>
        </w:rPr>
        <w:t>共同达成如下协议：</w:t>
      </w:r>
    </w:p>
    <w:p w14:paraId="4AE68FE5">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r>
        <w:rPr>
          <w:rFonts w:ascii="Times New Roman" w:hAnsi="Times New Roman" w:eastAsia="黑体"/>
          <w:b w:val="0"/>
          <w:sz w:val="32"/>
          <w:szCs w:val="32"/>
        </w:rPr>
        <w:t xml:space="preserve"> </w:t>
      </w:r>
      <w:bookmarkStart w:id="176" w:name="_Toc351203481"/>
      <w:r>
        <w:rPr>
          <w:rFonts w:ascii="Times New Roman" w:hAnsi="Times New Roman" w:eastAsia="黑体"/>
          <w:b w:val="0"/>
          <w:sz w:val="32"/>
          <w:szCs w:val="32"/>
        </w:rPr>
        <w:t>一、工程概况</w:t>
      </w:r>
      <w:bookmarkEnd w:id="176"/>
    </w:p>
    <w:p w14:paraId="0F3FD0F4">
      <w:pPr>
        <w:spacing w:line="360" w:lineRule="auto"/>
        <w:ind w:firstLine="588" w:firstLineChars="196"/>
        <w:rPr>
          <w:rFonts w:eastAsia="仿宋_GB2312"/>
          <w:sz w:val="30"/>
          <w:szCs w:val="30"/>
          <w:u w:val="single"/>
        </w:rPr>
      </w:pPr>
      <w:r>
        <w:rPr>
          <w:rFonts w:eastAsia="仿宋_GB2312"/>
          <w:bCs/>
          <w:sz w:val="30"/>
          <w:szCs w:val="30"/>
        </w:rPr>
        <w:t>1.工程名称</w:t>
      </w:r>
      <w:r>
        <w:rPr>
          <w:rFonts w:eastAsia="仿宋_GB2312"/>
          <w:sz w:val="30"/>
          <w:szCs w:val="30"/>
        </w:rPr>
        <w:t>：</w:t>
      </w:r>
      <w:r>
        <w:rPr>
          <w:rFonts w:hint="eastAsia" w:eastAsia="仿宋_GB2312"/>
          <w:sz w:val="30"/>
          <w:szCs w:val="30"/>
          <w:u w:val="single"/>
        </w:rPr>
        <w:t xml:space="preserve">            </w:t>
      </w:r>
      <w:r>
        <w:rPr>
          <w:rFonts w:eastAsia="仿宋_GB2312"/>
          <w:sz w:val="30"/>
          <w:szCs w:val="30"/>
        </w:rPr>
        <w:t>。</w:t>
      </w:r>
    </w:p>
    <w:p w14:paraId="6BE4C42C">
      <w:pPr>
        <w:spacing w:line="360" w:lineRule="auto"/>
        <w:ind w:firstLine="588" w:firstLineChars="196"/>
        <w:rPr>
          <w:rFonts w:eastAsia="仿宋_GB2312"/>
          <w:bCs/>
          <w:sz w:val="30"/>
          <w:szCs w:val="30"/>
        </w:rPr>
      </w:pPr>
      <w:r>
        <w:rPr>
          <w:rFonts w:eastAsia="仿宋_GB2312"/>
          <w:bCs/>
          <w:sz w:val="30"/>
          <w:szCs w:val="30"/>
        </w:rPr>
        <w:t>2.工程地点：</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w:t>
      </w:r>
    </w:p>
    <w:p w14:paraId="7A3FFE93">
      <w:pPr>
        <w:spacing w:line="360" w:lineRule="auto"/>
        <w:ind w:firstLine="588" w:firstLineChars="196"/>
        <w:rPr>
          <w:rFonts w:eastAsia="仿宋_GB2312"/>
          <w:bCs/>
          <w:sz w:val="30"/>
          <w:szCs w:val="30"/>
        </w:rPr>
      </w:pPr>
      <w:r>
        <w:rPr>
          <w:rFonts w:eastAsia="仿宋_GB2312"/>
          <w:bCs/>
          <w:sz w:val="30"/>
          <w:szCs w:val="30"/>
        </w:rPr>
        <w:t>3.工程立项批准文号：</w:t>
      </w:r>
      <w:r>
        <w:rPr>
          <w:rFonts w:hint="eastAsia" w:eastAsia="仿宋_GB2312"/>
          <w:sz w:val="30"/>
          <w:szCs w:val="30"/>
          <w:u w:val="single"/>
        </w:rPr>
        <w:t xml:space="preserve">             </w:t>
      </w:r>
      <w:r>
        <w:rPr>
          <w:rFonts w:eastAsia="仿宋_GB2312"/>
          <w:bCs/>
          <w:sz w:val="30"/>
          <w:szCs w:val="30"/>
        </w:rPr>
        <w:t>。</w:t>
      </w:r>
    </w:p>
    <w:p w14:paraId="6D1B8497">
      <w:pPr>
        <w:spacing w:line="360" w:lineRule="auto"/>
        <w:ind w:firstLine="588" w:firstLineChars="196"/>
        <w:rPr>
          <w:rFonts w:eastAsia="仿宋_GB2312"/>
          <w:bCs/>
          <w:sz w:val="30"/>
          <w:szCs w:val="30"/>
        </w:rPr>
      </w:pPr>
      <w:r>
        <w:rPr>
          <w:rFonts w:eastAsia="仿宋_GB2312"/>
          <w:bCs/>
          <w:sz w:val="30"/>
          <w:szCs w:val="30"/>
        </w:rPr>
        <w:t>4.资金来源：</w:t>
      </w:r>
      <w:r>
        <w:rPr>
          <w:rFonts w:eastAsia="仿宋_GB2312"/>
          <w:sz w:val="30"/>
          <w:szCs w:val="30"/>
          <w:u w:val="single"/>
        </w:rPr>
        <w:t></w:t>
      </w:r>
      <w:r>
        <w:rPr>
          <w:rFonts w:hint="eastAsia" w:eastAsia="仿宋_GB2312"/>
          <w:sz w:val="30"/>
          <w:szCs w:val="30"/>
          <w:u w:val="single"/>
        </w:rPr>
        <w:t xml:space="preserve">企业自筹 </w:t>
      </w:r>
      <w:r>
        <w:rPr>
          <w:rFonts w:eastAsia="仿宋_GB2312"/>
          <w:sz w:val="30"/>
          <w:szCs w:val="30"/>
          <w:u w:val="single"/>
        </w:rPr>
        <w:t xml:space="preserve"> </w:t>
      </w:r>
      <w:r>
        <w:rPr>
          <w:rFonts w:eastAsia="仿宋_GB2312"/>
          <w:bCs/>
          <w:sz w:val="30"/>
          <w:szCs w:val="30"/>
        </w:rPr>
        <w:t>。</w:t>
      </w:r>
    </w:p>
    <w:p w14:paraId="75740617">
      <w:pPr>
        <w:spacing w:line="360" w:lineRule="auto"/>
        <w:ind w:firstLine="588" w:firstLineChars="196"/>
        <w:rPr>
          <w:rFonts w:eastAsia="仿宋_GB2312"/>
          <w:bCs/>
          <w:sz w:val="30"/>
          <w:szCs w:val="30"/>
        </w:rPr>
      </w:pPr>
      <w:r>
        <w:rPr>
          <w:rFonts w:hint="eastAsia" w:eastAsia="仿宋_GB2312"/>
          <w:bCs/>
          <w:sz w:val="30"/>
          <w:szCs w:val="30"/>
        </w:rPr>
        <w:t>5.工程内容：</w:t>
      </w:r>
      <w:r>
        <w:rPr>
          <w:rFonts w:hint="eastAsia" w:eastAsia="仿宋_GB2312"/>
          <w:sz w:val="30"/>
          <w:szCs w:val="30"/>
          <w:u w:val="single"/>
        </w:rPr>
        <w:t xml:space="preserve">          </w:t>
      </w:r>
      <w:r>
        <w:rPr>
          <w:rFonts w:eastAsia="仿宋_GB2312"/>
          <w:sz w:val="30"/>
          <w:szCs w:val="30"/>
          <w:u w:val="single"/>
        </w:rPr>
        <w:t xml:space="preserve"> </w:t>
      </w:r>
      <w:r>
        <w:rPr>
          <w:rFonts w:eastAsia="仿宋_GB2312"/>
          <w:bCs/>
          <w:sz w:val="30"/>
          <w:szCs w:val="30"/>
        </w:rPr>
        <w:t>。</w:t>
      </w:r>
    </w:p>
    <w:p w14:paraId="29F8E44C">
      <w:pPr>
        <w:spacing w:line="360" w:lineRule="auto"/>
        <w:ind w:firstLine="588" w:firstLineChars="196"/>
        <w:rPr>
          <w:rFonts w:eastAsia="仿宋_GB2312"/>
          <w:bCs/>
          <w:sz w:val="30"/>
          <w:szCs w:val="30"/>
        </w:rPr>
      </w:pPr>
      <w:r>
        <w:rPr>
          <w:rFonts w:hint="eastAsia" w:eastAsia="仿宋_GB2312"/>
          <w:sz w:val="30"/>
          <w:szCs w:val="32"/>
        </w:rPr>
        <w:t>群体工程应附《</w:t>
      </w:r>
      <w:r>
        <w:rPr>
          <w:rFonts w:eastAsia="仿宋_GB2312"/>
          <w:sz w:val="30"/>
          <w:szCs w:val="32"/>
        </w:rPr>
        <w:t>承包人承揽工程项目一览表</w:t>
      </w:r>
      <w:r>
        <w:rPr>
          <w:rFonts w:hint="eastAsia" w:eastAsia="仿宋_GB2312"/>
          <w:sz w:val="30"/>
          <w:szCs w:val="32"/>
        </w:rPr>
        <w:t>》（附件1）。</w:t>
      </w:r>
    </w:p>
    <w:p w14:paraId="2CB4D015">
      <w:pPr>
        <w:spacing w:line="360" w:lineRule="auto"/>
        <w:ind w:firstLine="600" w:firstLineChars="200"/>
        <w:rPr>
          <w:rFonts w:eastAsia="仿宋_GB2312"/>
          <w:sz w:val="30"/>
          <w:szCs w:val="30"/>
        </w:rPr>
      </w:pPr>
      <w:r>
        <w:rPr>
          <w:rFonts w:hint="eastAsia" w:eastAsia="仿宋_GB2312"/>
          <w:bCs/>
          <w:sz w:val="30"/>
          <w:szCs w:val="30"/>
        </w:rPr>
        <w:t>6</w:t>
      </w:r>
      <w:r>
        <w:rPr>
          <w:rFonts w:eastAsia="仿宋_GB2312"/>
          <w:bCs/>
          <w:sz w:val="30"/>
          <w:szCs w:val="30"/>
        </w:rPr>
        <w:t>.工程承包范围：</w:t>
      </w:r>
      <w:r>
        <w:rPr>
          <w:rFonts w:hint="eastAsia" w:ascii="仿宋" w:hAnsi="仿宋" w:eastAsia="仿宋" w:cs="仿宋"/>
          <w:bCs/>
          <w:sz w:val="30"/>
          <w:szCs w:val="30"/>
          <w:u w:val="single"/>
        </w:rPr>
        <w:t>本工程承包范围为除发包人专业分包工程及发包人供货的材料及设备外，本工程设计图纸内所包含的土建、钢结构、装饰、安装工程，以及</w:t>
      </w:r>
      <w:r>
        <w:rPr>
          <w:rFonts w:hint="eastAsia" w:ascii="仿宋" w:hAnsi="仿宋" w:eastAsia="仿宋" w:cs="仿宋"/>
          <w:sz w:val="30"/>
          <w:szCs w:val="32"/>
          <w:u w:val="single"/>
        </w:rPr>
        <w:t>质量保修期内的质保服务，</w:t>
      </w:r>
      <w:r>
        <w:rPr>
          <w:rFonts w:hint="eastAsia" w:ascii="仿宋" w:hAnsi="仿宋" w:eastAsia="仿宋" w:cs="仿宋"/>
          <w:bCs/>
          <w:sz w:val="30"/>
          <w:szCs w:val="30"/>
          <w:u w:val="single"/>
        </w:rPr>
        <w:t>包括发包人设计变更、工作联系单涉及补充、完</w:t>
      </w:r>
      <w:r>
        <w:rPr>
          <w:rFonts w:hint="eastAsia" w:ascii="仿宋" w:hAnsi="仿宋" w:eastAsia="仿宋" w:cs="仿宋"/>
          <w:sz w:val="30"/>
          <w:szCs w:val="32"/>
          <w:u w:val="single"/>
        </w:rPr>
        <w:t>善和变更施工内容以及生产工艺设备的水、电、气等公用管线的连接</w:t>
      </w:r>
      <w:r>
        <w:rPr>
          <w:rFonts w:eastAsia="仿宋_GB2312"/>
          <w:sz w:val="30"/>
          <w:szCs w:val="30"/>
          <w:u w:val="single"/>
        </w:rPr>
        <w:t></w:t>
      </w:r>
      <w:r>
        <w:rPr>
          <w:rFonts w:eastAsia="仿宋_GB2312"/>
          <w:sz w:val="30"/>
          <w:szCs w:val="30"/>
        </w:rPr>
        <w:t>。</w:t>
      </w:r>
    </w:p>
    <w:p w14:paraId="4B9E7D80">
      <w:pPr>
        <w:pStyle w:val="8"/>
        <w:spacing w:before="120" w:after="120" w:line="360" w:lineRule="auto"/>
        <w:rPr>
          <w:rFonts w:ascii="Times New Roman" w:hAnsi="Times New Roman" w:eastAsia="黑体"/>
          <w:b w:val="0"/>
          <w:sz w:val="32"/>
          <w:szCs w:val="32"/>
        </w:rPr>
      </w:pPr>
      <w:r>
        <w:rPr>
          <w:rFonts w:ascii="Times New Roman" w:hAnsi="Times New Roman" w:eastAsia="黑体"/>
          <w:b w:val="0"/>
          <w:sz w:val="32"/>
          <w:szCs w:val="32"/>
        </w:rPr>
        <w:t xml:space="preserve">   </w:t>
      </w:r>
      <w:bookmarkStart w:id="177" w:name="_Toc351203482"/>
      <w:r>
        <w:rPr>
          <w:rFonts w:hint="eastAsia" w:ascii="Times New Roman" w:hAnsi="Times New Roman" w:eastAsia="黑体"/>
          <w:b w:val="0"/>
          <w:sz w:val="32"/>
          <w:szCs w:val="32"/>
        </w:rPr>
        <w:t xml:space="preserve"> </w:t>
      </w:r>
      <w:r>
        <w:rPr>
          <w:rFonts w:ascii="Times New Roman" w:hAnsi="Times New Roman" w:eastAsia="黑体"/>
          <w:b w:val="0"/>
          <w:sz w:val="32"/>
          <w:szCs w:val="32"/>
        </w:rPr>
        <w:t>二、合同工期</w:t>
      </w:r>
      <w:bookmarkEnd w:id="177"/>
    </w:p>
    <w:p w14:paraId="5C750465">
      <w:pPr>
        <w:spacing w:line="360" w:lineRule="auto"/>
        <w:ind w:firstLine="459"/>
        <w:rPr>
          <w:rFonts w:eastAsia="仿宋_GB2312"/>
          <w:sz w:val="30"/>
          <w:szCs w:val="30"/>
        </w:rPr>
      </w:pPr>
      <w:r>
        <w:rPr>
          <w:rFonts w:eastAsia="仿宋_GB2312"/>
          <w:sz w:val="30"/>
          <w:szCs w:val="30"/>
        </w:rPr>
        <w:t>计划开工日期：</w:t>
      </w:r>
      <w:r>
        <w:rPr>
          <w:rFonts w:eastAsia="仿宋_GB2312"/>
          <w:sz w:val="30"/>
          <w:szCs w:val="30"/>
          <w:u w:val="single"/>
        </w:rPr>
        <w:t></w:t>
      </w:r>
      <w:r>
        <w:rPr>
          <w:rFonts w:eastAsia="仿宋_GB2312"/>
          <w:sz w:val="30"/>
          <w:szCs w:val="30"/>
        </w:rPr>
        <w:t>年</w:t>
      </w:r>
      <w:r>
        <w:rPr>
          <w:rFonts w:eastAsia="仿宋_GB2312"/>
          <w:sz w:val="30"/>
          <w:szCs w:val="30"/>
          <w:u w:val="single"/>
        </w:rPr>
        <w:t></w:t>
      </w:r>
      <w:r>
        <w:rPr>
          <w:rFonts w:eastAsia="仿宋_GB2312"/>
          <w:sz w:val="30"/>
          <w:szCs w:val="30"/>
        </w:rPr>
        <w:t>月</w:t>
      </w:r>
      <w:r>
        <w:rPr>
          <w:rFonts w:eastAsia="仿宋_GB2312"/>
          <w:sz w:val="30"/>
          <w:szCs w:val="30"/>
          <w:u w:val="single"/>
        </w:rPr>
        <w:t></w:t>
      </w:r>
      <w:r>
        <w:rPr>
          <w:rFonts w:eastAsia="仿宋_GB2312"/>
          <w:sz w:val="30"/>
          <w:szCs w:val="30"/>
        </w:rPr>
        <w:t>日。</w:t>
      </w:r>
    </w:p>
    <w:p w14:paraId="7E316189">
      <w:pPr>
        <w:spacing w:line="360" w:lineRule="auto"/>
        <w:ind w:firstLine="459"/>
        <w:rPr>
          <w:rFonts w:eastAsia="仿宋_GB2312"/>
          <w:sz w:val="30"/>
          <w:szCs w:val="30"/>
        </w:rPr>
      </w:pPr>
      <w:r>
        <w:rPr>
          <w:rFonts w:eastAsia="仿宋_GB2312"/>
          <w:sz w:val="30"/>
          <w:szCs w:val="30"/>
        </w:rPr>
        <w:t>计划竣工日期：</w:t>
      </w:r>
      <w:r>
        <w:rPr>
          <w:rFonts w:eastAsia="仿宋_GB2312"/>
          <w:sz w:val="30"/>
          <w:szCs w:val="30"/>
          <w:u w:val="single"/>
        </w:rPr>
        <w:t></w:t>
      </w:r>
      <w:r>
        <w:rPr>
          <w:rFonts w:eastAsia="仿宋_GB2312"/>
          <w:sz w:val="30"/>
          <w:szCs w:val="30"/>
        </w:rPr>
        <w:t>年</w:t>
      </w:r>
      <w:r>
        <w:rPr>
          <w:rFonts w:eastAsia="仿宋_GB2312"/>
          <w:sz w:val="30"/>
          <w:szCs w:val="30"/>
          <w:u w:val="single"/>
        </w:rPr>
        <w:t></w:t>
      </w:r>
      <w:r>
        <w:rPr>
          <w:rFonts w:eastAsia="仿宋_GB2312"/>
          <w:sz w:val="30"/>
          <w:szCs w:val="30"/>
        </w:rPr>
        <w:t>月</w:t>
      </w:r>
      <w:r>
        <w:rPr>
          <w:rFonts w:eastAsia="仿宋_GB2312"/>
          <w:sz w:val="30"/>
          <w:szCs w:val="30"/>
          <w:u w:val="single"/>
        </w:rPr>
        <w:t></w:t>
      </w:r>
      <w:r>
        <w:rPr>
          <w:rFonts w:eastAsia="仿宋_GB2312"/>
          <w:sz w:val="30"/>
          <w:szCs w:val="30"/>
        </w:rPr>
        <w:t>日。</w:t>
      </w:r>
    </w:p>
    <w:p w14:paraId="53CBFD1D">
      <w:pPr>
        <w:spacing w:line="360" w:lineRule="auto"/>
        <w:ind w:firstLine="459"/>
        <w:rPr>
          <w:rFonts w:eastAsia="仿宋_GB2312"/>
          <w:sz w:val="30"/>
          <w:szCs w:val="30"/>
        </w:rPr>
      </w:pPr>
      <w:r>
        <w:rPr>
          <w:rFonts w:eastAsia="仿宋_GB2312"/>
          <w:sz w:val="30"/>
          <w:szCs w:val="30"/>
        </w:rPr>
        <w:t>工期总日历天数：</w:t>
      </w:r>
      <w:r>
        <w:rPr>
          <w:rFonts w:eastAsia="仿宋_GB2312"/>
          <w:sz w:val="30"/>
          <w:szCs w:val="30"/>
          <w:u w:val="single"/>
        </w:rPr>
        <w:t></w:t>
      </w:r>
      <w:r>
        <w:rPr>
          <w:rFonts w:eastAsia="仿宋_GB2312"/>
          <w:sz w:val="30"/>
          <w:szCs w:val="30"/>
        </w:rPr>
        <w:t>天。工期总日历天数与根据前述计划开竣工日期计算的工期天数不一致的，以工期总日历天数为准。</w:t>
      </w:r>
    </w:p>
    <w:p w14:paraId="1E97B03F">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bookmarkStart w:id="178" w:name="_Toc351203483"/>
      <w:r>
        <w:rPr>
          <w:rFonts w:ascii="Times New Roman" w:hAnsi="Times New Roman" w:eastAsia="黑体"/>
          <w:b w:val="0"/>
          <w:sz w:val="32"/>
          <w:szCs w:val="32"/>
        </w:rPr>
        <w:t>三、质量标准</w:t>
      </w:r>
      <w:bookmarkEnd w:id="178"/>
    </w:p>
    <w:p w14:paraId="13826F05">
      <w:pPr>
        <w:spacing w:line="360" w:lineRule="auto"/>
        <w:ind w:firstLine="459"/>
        <w:rPr>
          <w:rFonts w:eastAsia="仿宋_GB2312"/>
          <w:sz w:val="30"/>
          <w:szCs w:val="30"/>
        </w:rPr>
      </w:pPr>
      <w:r>
        <w:rPr>
          <w:rFonts w:eastAsia="仿宋_GB2312"/>
          <w:sz w:val="30"/>
          <w:szCs w:val="30"/>
        </w:rPr>
        <w:t>工程质量符合</w:t>
      </w:r>
      <w:r>
        <w:rPr>
          <w:rFonts w:eastAsia="仿宋_GB2312"/>
          <w:sz w:val="30"/>
          <w:szCs w:val="30"/>
          <w:u w:val="single"/>
        </w:rPr>
        <w:t></w:t>
      </w:r>
      <w:r>
        <w:rPr>
          <w:rFonts w:hint="eastAsia" w:eastAsia="仿宋_GB2312"/>
          <w:sz w:val="30"/>
          <w:szCs w:val="30"/>
          <w:u w:val="single"/>
        </w:rPr>
        <w:t>合格</w:t>
      </w:r>
      <w:r>
        <w:rPr>
          <w:rFonts w:eastAsia="仿宋_GB2312"/>
          <w:sz w:val="30"/>
          <w:szCs w:val="30"/>
          <w:u w:val="single"/>
        </w:rPr>
        <w:t></w:t>
      </w:r>
      <w:r>
        <w:rPr>
          <w:rFonts w:eastAsia="仿宋_GB2312"/>
          <w:sz w:val="30"/>
          <w:szCs w:val="30"/>
        </w:rPr>
        <w:t>标准。</w:t>
      </w:r>
    </w:p>
    <w:p w14:paraId="06CCC6BF">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r>
        <w:rPr>
          <w:rFonts w:ascii="Times New Roman" w:hAnsi="Times New Roman" w:eastAsia="黑体"/>
          <w:b w:val="0"/>
          <w:sz w:val="32"/>
          <w:szCs w:val="32"/>
        </w:rPr>
        <w:t xml:space="preserve"> </w:t>
      </w:r>
      <w:bookmarkStart w:id="179" w:name="_Toc351203484"/>
      <w:r>
        <w:rPr>
          <w:rFonts w:ascii="Times New Roman" w:hAnsi="Times New Roman" w:eastAsia="黑体"/>
          <w:b w:val="0"/>
          <w:sz w:val="32"/>
          <w:szCs w:val="32"/>
        </w:rPr>
        <w:t>四、签约合同价与合同价格形式</w:t>
      </w:r>
      <w:bookmarkEnd w:id="179"/>
      <w:r>
        <w:rPr>
          <w:rFonts w:ascii="Times New Roman" w:hAnsi="Times New Roman" w:eastAsia="黑体"/>
          <w:b w:val="0"/>
          <w:sz w:val="32"/>
          <w:szCs w:val="32"/>
        </w:rPr>
        <w:tab/>
      </w:r>
    </w:p>
    <w:p w14:paraId="4F161003">
      <w:pPr>
        <w:spacing w:line="360" w:lineRule="auto"/>
        <w:ind w:firstLine="600" w:firstLineChars="200"/>
        <w:rPr>
          <w:rFonts w:eastAsia="仿宋_GB2312"/>
          <w:sz w:val="30"/>
          <w:szCs w:val="30"/>
        </w:rPr>
      </w:pPr>
      <w:r>
        <w:rPr>
          <w:rFonts w:eastAsia="仿宋_GB2312"/>
          <w:sz w:val="30"/>
          <w:szCs w:val="30"/>
        </w:rPr>
        <w:t>1.签约合同价为：</w:t>
      </w:r>
    </w:p>
    <w:p w14:paraId="7B201D60">
      <w:pPr>
        <w:spacing w:line="360" w:lineRule="auto"/>
        <w:ind w:firstLine="750" w:firstLineChars="250"/>
        <w:rPr>
          <w:rFonts w:eastAsia="仿宋_GB2312"/>
          <w:sz w:val="30"/>
          <w:szCs w:val="30"/>
        </w:rPr>
      </w:pPr>
      <w:r>
        <w:rPr>
          <w:rFonts w:eastAsia="仿宋_GB2312"/>
          <w:sz w:val="30"/>
          <w:szCs w:val="30"/>
        </w:rPr>
        <w:t>人民币（大写）</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元)；</w:t>
      </w:r>
    </w:p>
    <w:p w14:paraId="0549D07F">
      <w:pPr>
        <w:spacing w:line="360" w:lineRule="auto"/>
        <w:ind w:firstLine="753" w:firstLineChars="250"/>
        <w:rPr>
          <w:rFonts w:hint="eastAsia" w:ascii="仿宋" w:hAnsi="仿宋" w:eastAsia="仿宋" w:cs="仿宋"/>
          <w:b/>
          <w:bCs/>
          <w:sz w:val="30"/>
          <w:szCs w:val="30"/>
          <w:lang w:bidi="ar"/>
        </w:rPr>
      </w:pPr>
      <w:r>
        <w:rPr>
          <w:rFonts w:hint="eastAsia" w:ascii="仿宋" w:hAnsi="仿宋" w:eastAsia="仿宋" w:cs="仿宋"/>
          <w:b/>
          <w:bCs/>
          <w:sz w:val="30"/>
          <w:szCs w:val="30"/>
          <w:lang w:bidi="ar"/>
        </w:rPr>
        <w:t>合同清单部分的价格结算时按照承包人开标修正后的已标价工程量清单价格乘下浮系数（商务标最后一轮澄清含税总报价/开标清标修正后的含税总报价）执行，单独澄清价格的清单项除外。</w:t>
      </w:r>
    </w:p>
    <w:p w14:paraId="2079BF08">
      <w:pPr>
        <w:spacing w:line="360" w:lineRule="auto"/>
        <w:ind w:firstLine="600" w:firstLineChars="200"/>
        <w:rPr>
          <w:rFonts w:eastAsia="仿宋_GB2312"/>
          <w:sz w:val="30"/>
          <w:szCs w:val="30"/>
        </w:rPr>
      </w:pPr>
      <w:r>
        <w:rPr>
          <w:rFonts w:eastAsia="仿宋_GB2312"/>
          <w:sz w:val="30"/>
          <w:szCs w:val="30"/>
        </w:rPr>
        <w:t>其中：</w:t>
      </w:r>
    </w:p>
    <w:p w14:paraId="6BFC74AB">
      <w:pPr>
        <w:spacing w:line="360" w:lineRule="auto"/>
        <w:ind w:firstLine="600" w:firstLineChars="200"/>
        <w:rPr>
          <w:rFonts w:eastAsia="仿宋_GB2312"/>
          <w:sz w:val="30"/>
          <w:szCs w:val="30"/>
        </w:rPr>
      </w:pPr>
      <w:r>
        <w:rPr>
          <w:rFonts w:eastAsia="仿宋_GB2312"/>
          <w:sz w:val="30"/>
          <w:szCs w:val="30"/>
        </w:rPr>
        <w:t>（1）安全文明施工费：</w:t>
      </w:r>
    </w:p>
    <w:p w14:paraId="08F9F8D4">
      <w:pPr>
        <w:spacing w:line="360" w:lineRule="auto"/>
        <w:ind w:firstLine="1350" w:firstLineChars="450"/>
        <w:rPr>
          <w:rFonts w:eastAsia="仿宋_GB2312"/>
          <w:sz w:val="30"/>
          <w:szCs w:val="30"/>
        </w:rPr>
      </w:pPr>
      <w:r>
        <w:rPr>
          <w:rFonts w:eastAsia="仿宋_GB2312"/>
          <w:sz w:val="30"/>
          <w:szCs w:val="30"/>
        </w:rPr>
        <w:t>人民币（大写）</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元)；</w:t>
      </w:r>
    </w:p>
    <w:p w14:paraId="56B4F55C">
      <w:pPr>
        <w:spacing w:line="360" w:lineRule="auto"/>
        <w:ind w:firstLine="600" w:firstLineChars="200"/>
        <w:rPr>
          <w:rFonts w:eastAsia="仿宋_GB2312"/>
          <w:sz w:val="30"/>
          <w:szCs w:val="30"/>
        </w:rPr>
      </w:pPr>
      <w:r>
        <w:rPr>
          <w:rFonts w:eastAsia="仿宋_GB2312"/>
          <w:sz w:val="30"/>
          <w:szCs w:val="30"/>
        </w:rPr>
        <w:t>（2）</w:t>
      </w:r>
      <w:r>
        <w:rPr>
          <w:rFonts w:hint="eastAsia" w:eastAsia="仿宋_GB2312"/>
          <w:sz w:val="30"/>
          <w:szCs w:val="30"/>
        </w:rPr>
        <w:t>人工费</w:t>
      </w:r>
      <w:r>
        <w:rPr>
          <w:rFonts w:eastAsia="仿宋_GB2312"/>
          <w:sz w:val="30"/>
          <w:szCs w:val="30"/>
        </w:rPr>
        <w:t>：</w:t>
      </w:r>
    </w:p>
    <w:p w14:paraId="788A9039">
      <w:pPr>
        <w:spacing w:line="360" w:lineRule="auto"/>
        <w:ind w:firstLine="1350" w:firstLineChars="450"/>
        <w:rPr>
          <w:rFonts w:eastAsia="仿宋_GB2312"/>
          <w:sz w:val="30"/>
          <w:szCs w:val="30"/>
        </w:rPr>
      </w:pPr>
      <w:r>
        <w:rPr>
          <w:rFonts w:eastAsia="仿宋_GB2312"/>
          <w:sz w:val="30"/>
          <w:szCs w:val="30"/>
        </w:rPr>
        <w:t>人民币（大写）</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元)；</w:t>
      </w:r>
    </w:p>
    <w:p w14:paraId="38EE5E92">
      <w:pPr>
        <w:spacing w:line="360" w:lineRule="auto"/>
        <w:ind w:firstLine="600" w:firstLineChars="200"/>
        <w:rPr>
          <w:rFonts w:eastAsia="仿宋_GB2312"/>
          <w:sz w:val="30"/>
          <w:szCs w:val="30"/>
        </w:rPr>
      </w:pPr>
      <w:r>
        <w:rPr>
          <w:rFonts w:eastAsia="仿宋_GB2312"/>
          <w:sz w:val="30"/>
          <w:szCs w:val="30"/>
        </w:rPr>
        <w:t>（</w:t>
      </w:r>
      <w:r>
        <w:rPr>
          <w:rFonts w:hint="eastAsia" w:eastAsia="仿宋_GB2312"/>
          <w:sz w:val="30"/>
          <w:szCs w:val="30"/>
        </w:rPr>
        <w:t>3</w:t>
      </w:r>
      <w:r>
        <w:rPr>
          <w:rFonts w:eastAsia="仿宋_GB2312"/>
          <w:sz w:val="30"/>
          <w:szCs w:val="30"/>
        </w:rPr>
        <w:t>）材料和工程设备暂估价金额：</w:t>
      </w:r>
    </w:p>
    <w:p w14:paraId="6682604E">
      <w:pPr>
        <w:spacing w:line="360" w:lineRule="auto"/>
        <w:ind w:firstLine="1350" w:firstLineChars="450"/>
        <w:rPr>
          <w:rFonts w:eastAsia="仿宋_GB2312"/>
          <w:sz w:val="30"/>
          <w:szCs w:val="30"/>
        </w:rPr>
      </w:pPr>
      <w:r>
        <w:rPr>
          <w:rFonts w:eastAsia="仿宋_GB2312"/>
          <w:sz w:val="30"/>
          <w:szCs w:val="30"/>
        </w:rPr>
        <w:t>人民币（大写）</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元)；</w:t>
      </w:r>
    </w:p>
    <w:p w14:paraId="0749DF5A">
      <w:pPr>
        <w:spacing w:line="360" w:lineRule="auto"/>
        <w:ind w:firstLine="600" w:firstLineChars="200"/>
        <w:rPr>
          <w:rFonts w:eastAsia="仿宋_GB2312"/>
          <w:sz w:val="30"/>
          <w:szCs w:val="30"/>
        </w:rPr>
      </w:pPr>
      <w:r>
        <w:rPr>
          <w:rFonts w:eastAsia="仿宋_GB2312"/>
          <w:sz w:val="30"/>
          <w:szCs w:val="30"/>
        </w:rPr>
        <w:t>（</w:t>
      </w:r>
      <w:r>
        <w:rPr>
          <w:rFonts w:hint="eastAsia" w:eastAsia="仿宋_GB2312"/>
          <w:sz w:val="30"/>
          <w:szCs w:val="30"/>
        </w:rPr>
        <w:t>4</w:t>
      </w:r>
      <w:r>
        <w:rPr>
          <w:rFonts w:eastAsia="仿宋_GB2312"/>
          <w:sz w:val="30"/>
          <w:szCs w:val="30"/>
        </w:rPr>
        <w:t>）专业工程暂估价金额：</w:t>
      </w:r>
    </w:p>
    <w:p w14:paraId="64B3A84F">
      <w:pPr>
        <w:spacing w:line="360" w:lineRule="auto"/>
        <w:ind w:firstLine="1350" w:firstLineChars="450"/>
        <w:rPr>
          <w:rFonts w:eastAsia="仿宋_GB2312"/>
          <w:sz w:val="30"/>
          <w:szCs w:val="30"/>
        </w:rPr>
      </w:pPr>
      <w:r>
        <w:rPr>
          <w:rFonts w:eastAsia="仿宋_GB2312"/>
          <w:sz w:val="30"/>
          <w:szCs w:val="30"/>
        </w:rPr>
        <w:t>人民币（大写）</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元)；</w:t>
      </w:r>
    </w:p>
    <w:p w14:paraId="3F5F8EE7">
      <w:pPr>
        <w:spacing w:line="360" w:lineRule="auto"/>
        <w:ind w:firstLine="600" w:firstLineChars="200"/>
        <w:rPr>
          <w:rFonts w:eastAsia="仿宋_GB2312"/>
          <w:sz w:val="30"/>
          <w:szCs w:val="30"/>
        </w:rPr>
      </w:pPr>
      <w:r>
        <w:rPr>
          <w:rFonts w:eastAsia="仿宋_GB2312"/>
          <w:sz w:val="30"/>
          <w:szCs w:val="30"/>
        </w:rPr>
        <w:t>（</w:t>
      </w:r>
      <w:r>
        <w:rPr>
          <w:rFonts w:hint="eastAsia" w:eastAsia="仿宋_GB2312"/>
          <w:sz w:val="30"/>
          <w:szCs w:val="30"/>
        </w:rPr>
        <w:t>5</w:t>
      </w:r>
      <w:r>
        <w:rPr>
          <w:rFonts w:eastAsia="仿宋_GB2312"/>
          <w:sz w:val="30"/>
          <w:szCs w:val="30"/>
        </w:rPr>
        <w:t>）暂列金额：</w:t>
      </w:r>
    </w:p>
    <w:p w14:paraId="2140F94E">
      <w:pPr>
        <w:spacing w:line="360" w:lineRule="auto"/>
        <w:ind w:firstLine="600" w:firstLineChars="200"/>
        <w:rPr>
          <w:rFonts w:eastAsia="仿宋_GB2312"/>
          <w:sz w:val="30"/>
          <w:szCs w:val="30"/>
        </w:rPr>
      </w:pPr>
      <w:r>
        <w:rPr>
          <w:rFonts w:eastAsia="仿宋_GB2312"/>
          <w:sz w:val="30"/>
          <w:szCs w:val="30"/>
        </w:rPr>
        <w:t>人民币（大写）</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元)。</w:t>
      </w:r>
    </w:p>
    <w:p w14:paraId="46B78803">
      <w:pPr>
        <w:spacing w:line="360" w:lineRule="auto"/>
        <w:ind w:firstLine="600" w:firstLineChars="200"/>
        <w:rPr>
          <w:rFonts w:eastAsia="仿宋_GB2312"/>
          <w:sz w:val="30"/>
          <w:szCs w:val="30"/>
        </w:rPr>
      </w:pPr>
      <w:r>
        <w:rPr>
          <w:rFonts w:eastAsia="仿宋_GB2312"/>
          <w:sz w:val="30"/>
          <w:szCs w:val="30"/>
        </w:rPr>
        <w:t>2.合同价格形式：</w:t>
      </w:r>
      <w:r>
        <w:rPr>
          <w:rFonts w:eastAsia="仿宋_GB2312"/>
          <w:sz w:val="30"/>
          <w:szCs w:val="30"/>
          <w:u w:val="single"/>
        </w:rPr>
        <w:t></w:t>
      </w:r>
      <w:r>
        <w:rPr>
          <w:rFonts w:hint="eastAsia" w:eastAsia="仿宋_GB2312"/>
          <w:sz w:val="30"/>
          <w:szCs w:val="30"/>
          <w:u w:val="single"/>
        </w:rPr>
        <w:t>单价合同</w:t>
      </w:r>
      <w:r>
        <w:rPr>
          <w:rFonts w:eastAsia="仿宋_GB2312"/>
          <w:sz w:val="30"/>
          <w:szCs w:val="30"/>
          <w:u w:val="single"/>
        </w:rPr>
        <w:t></w:t>
      </w:r>
      <w:r>
        <w:rPr>
          <w:rFonts w:eastAsia="仿宋_GB2312"/>
          <w:sz w:val="30"/>
          <w:szCs w:val="30"/>
        </w:rPr>
        <w:t>。</w:t>
      </w:r>
    </w:p>
    <w:p w14:paraId="606BBDD9">
      <w:pPr>
        <w:pStyle w:val="8"/>
        <w:spacing w:before="120" w:after="120" w:line="360" w:lineRule="auto"/>
        <w:rPr>
          <w:rFonts w:ascii="Times New Roman" w:hAnsi="Times New Roman" w:eastAsia="黑体"/>
          <w:b w:val="0"/>
          <w:sz w:val="32"/>
          <w:szCs w:val="32"/>
        </w:rPr>
      </w:pPr>
      <w:r>
        <w:rPr>
          <w:rFonts w:ascii="Times New Roman" w:hAnsi="Times New Roman" w:eastAsia="黑体"/>
          <w:bCs w:val="0"/>
          <w:sz w:val="32"/>
          <w:szCs w:val="32"/>
        </w:rPr>
        <w:t xml:space="preserve">   </w:t>
      </w:r>
      <w:r>
        <w:rPr>
          <w:rFonts w:ascii="Times New Roman" w:hAnsi="Times New Roman" w:eastAsia="黑体"/>
          <w:b w:val="0"/>
          <w:sz w:val="32"/>
          <w:szCs w:val="32"/>
        </w:rPr>
        <w:t xml:space="preserve"> </w:t>
      </w:r>
      <w:bookmarkStart w:id="180" w:name="_Toc351203485"/>
      <w:r>
        <w:rPr>
          <w:rFonts w:ascii="Times New Roman" w:hAnsi="Times New Roman" w:eastAsia="黑体"/>
          <w:b w:val="0"/>
          <w:sz w:val="32"/>
          <w:szCs w:val="32"/>
        </w:rPr>
        <w:t>五、</w:t>
      </w:r>
      <w:bookmarkEnd w:id="180"/>
      <w:r>
        <w:rPr>
          <w:rFonts w:ascii="Times New Roman" w:hAnsi="Times New Roman" w:eastAsia="黑体"/>
          <w:b w:val="0"/>
          <w:sz w:val="32"/>
          <w:szCs w:val="32"/>
        </w:rPr>
        <w:t>项目经理</w:t>
      </w:r>
    </w:p>
    <w:p w14:paraId="2E30EDF3">
      <w:pPr>
        <w:spacing w:line="360" w:lineRule="auto"/>
        <w:ind w:firstLine="600" w:firstLineChars="200"/>
        <w:rPr>
          <w:rFonts w:eastAsia="仿宋_GB2312"/>
          <w:sz w:val="30"/>
          <w:szCs w:val="30"/>
        </w:rPr>
      </w:pPr>
      <w:r>
        <w:rPr>
          <w:rFonts w:eastAsia="仿宋_GB2312"/>
          <w:sz w:val="30"/>
          <w:szCs w:val="30"/>
        </w:rPr>
        <w:t>承包人项目经理：</w:t>
      </w:r>
      <w:r>
        <w:rPr>
          <w:rFonts w:eastAsia="仿宋_GB2312"/>
          <w:sz w:val="30"/>
          <w:szCs w:val="30"/>
          <w:u w:val="single"/>
        </w:rPr>
        <w:t></w:t>
      </w:r>
      <w:r>
        <w:rPr>
          <w:rFonts w:hint="eastAsia" w:eastAsia="仿宋_GB2312"/>
          <w:sz w:val="30"/>
          <w:szCs w:val="30"/>
          <w:u w:val="single"/>
        </w:rPr>
        <w:t xml:space="preserve">    </w:t>
      </w:r>
      <w:r>
        <w:rPr>
          <w:rFonts w:eastAsia="仿宋_GB2312"/>
          <w:sz w:val="30"/>
          <w:szCs w:val="30"/>
        </w:rPr>
        <w:t>。</w:t>
      </w:r>
    </w:p>
    <w:p w14:paraId="735AAB17">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r>
        <w:rPr>
          <w:rFonts w:ascii="Times New Roman" w:hAnsi="Times New Roman" w:eastAsia="黑体"/>
          <w:b w:val="0"/>
          <w:sz w:val="32"/>
          <w:szCs w:val="32"/>
        </w:rPr>
        <w:t xml:space="preserve"> </w:t>
      </w:r>
      <w:bookmarkStart w:id="181" w:name="_Toc351203486"/>
      <w:r>
        <w:rPr>
          <w:rFonts w:ascii="Times New Roman" w:hAnsi="Times New Roman" w:eastAsia="黑体"/>
          <w:b w:val="0"/>
          <w:sz w:val="32"/>
          <w:szCs w:val="32"/>
        </w:rPr>
        <w:t>六、合同文件构成</w:t>
      </w:r>
      <w:bookmarkEnd w:id="181"/>
    </w:p>
    <w:p w14:paraId="728C5558">
      <w:pPr>
        <w:spacing w:line="360" w:lineRule="auto"/>
        <w:ind w:firstLine="600" w:firstLineChars="200"/>
        <w:rPr>
          <w:rFonts w:eastAsia="仿宋_GB2312"/>
          <w:bCs/>
          <w:sz w:val="30"/>
          <w:szCs w:val="30"/>
        </w:rPr>
      </w:pPr>
      <w:r>
        <w:rPr>
          <w:rFonts w:eastAsia="仿宋_GB2312"/>
          <w:bCs/>
          <w:sz w:val="30"/>
          <w:szCs w:val="30"/>
        </w:rPr>
        <w:t>本协议书与下列文件一起构成合同文件：</w:t>
      </w:r>
    </w:p>
    <w:p w14:paraId="6A85A925">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（1）中标通知书（如果有）；</w:t>
      </w:r>
    </w:p>
    <w:p w14:paraId="43454776">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（2）投标函及其附录（如果有）；</w:t>
      </w:r>
    </w:p>
    <w:p w14:paraId="0FFA702C">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（3）专用合同条款及其附件；</w:t>
      </w:r>
    </w:p>
    <w:p w14:paraId="4F0246A5">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（4）通用合同条款；</w:t>
      </w:r>
    </w:p>
    <w:p w14:paraId="16B18024">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（5）技术标准和要求；</w:t>
      </w:r>
    </w:p>
    <w:p w14:paraId="1C6F933E">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（6）图纸；</w:t>
      </w:r>
    </w:p>
    <w:p w14:paraId="5A8014C9">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（7）已标价工程量清单或预算书；</w:t>
      </w:r>
    </w:p>
    <w:p w14:paraId="0B0CA7FF">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（8）其他合同文件。</w:t>
      </w:r>
    </w:p>
    <w:p w14:paraId="44D71E37">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在合同订立及履行过程中形成的与合同有关的文件均构成合同文件组成部分。</w:t>
      </w:r>
    </w:p>
    <w:p w14:paraId="76C9F7A0">
      <w:pPr>
        <w:autoSpaceDE w:val="0"/>
        <w:autoSpaceDN w:val="0"/>
        <w:adjustRightInd w:val="0"/>
        <w:spacing w:line="360" w:lineRule="auto"/>
        <w:ind w:firstLine="600" w:firstLineChars="200"/>
        <w:jc w:val="left"/>
        <w:rPr>
          <w:rFonts w:eastAsia="仿宋_GB2312"/>
          <w:sz w:val="30"/>
          <w:szCs w:val="30"/>
        </w:rPr>
      </w:pPr>
      <w:r>
        <w:rPr>
          <w:rFonts w:eastAsia="仿宋_GB2312"/>
          <w:sz w:val="30"/>
          <w:szCs w:val="30"/>
        </w:rPr>
        <w:t>上述各项合同文件包括合同当事人就该项合同文件所作出的补充和修改，属于同一类内容的文件，应以最新签署的为准。</w:t>
      </w:r>
      <w:r>
        <w:rPr>
          <w:rFonts w:hint="eastAsia" w:eastAsia="仿宋_GB2312"/>
          <w:sz w:val="30"/>
          <w:szCs w:val="30"/>
        </w:rPr>
        <w:t>专用合同条款及其附件须经合同当事人签字或盖章。</w:t>
      </w:r>
    </w:p>
    <w:p w14:paraId="525EBD8B">
      <w:pPr>
        <w:pStyle w:val="8"/>
        <w:spacing w:before="120" w:after="120" w:line="360" w:lineRule="auto"/>
        <w:rPr>
          <w:rFonts w:ascii="Times New Roman" w:hAnsi="Times New Roman" w:eastAsia="黑体"/>
          <w:b w:val="0"/>
          <w:bCs w:val="0"/>
          <w:sz w:val="32"/>
          <w:szCs w:val="32"/>
        </w:rPr>
      </w:pPr>
      <w:r>
        <w:rPr>
          <w:rFonts w:ascii="Times New Roman" w:hAnsi="Times New Roman" w:eastAsia="黑体"/>
          <w:b w:val="0"/>
          <w:bCs w:val="0"/>
          <w:sz w:val="32"/>
          <w:szCs w:val="32"/>
        </w:rPr>
        <w:t xml:space="preserve">   </w:t>
      </w:r>
      <w:r>
        <w:rPr>
          <w:rFonts w:ascii="Times New Roman" w:hAnsi="Times New Roman" w:eastAsia="黑体"/>
          <w:b w:val="0"/>
          <w:sz w:val="32"/>
          <w:szCs w:val="32"/>
        </w:rPr>
        <w:t xml:space="preserve"> </w:t>
      </w:r>
      <w:bookmarkStart w:id="182" w:name="_Toc351203487"/>
      <w:r>
        <w:rPr>
          <w:rFonts w:ascii="Times New Roman" w:hAnsi="Times New Roman" w:eastAsia="黑体"/>
          <w:b w:val="0"/>
          <w:sz w:val="32"/>
          <w:szCs w:val="32"/>
        </w:rPr>
        <w:t>七、承诺</w:t>
      </w:r>
      <w:bookmarkEnd w:id="182"/>
    </w:p>
    <w:p w14:paraId="4CE2C4D1">
      <w:pPr>
        <w:spacing w:line="360" w:lineRule="auto"/>
        <w:ind w:firstLine="600" w:firstLineChars="200"/>
        <w:rPr>
          <w:rFonts w:eastAsia="仿宋_GB2312"/>
          <w:bCs/>
          <w:sz w:val="30"/>
          <w:szCs w:val="30"/>
        </w:rPr>
      </w:pPr>
      <w:r>
        <w:rPr>
          <w:rFonts w:eastAsia="仿宋_GB2312"/>
          <w:bCs/>
          <w:sz w:val="30"/>
          <w:szCs w:val="30"/>
        </w:rPr>
        <w:t>1.发包人承诺按照法律规定履行项目审批手续、筹集工程建设资金并按照合同约定的期限和方式支付合同价款</w:t>
      </w:r>
      <w:r>
        <w:rPr>
          <w:rFonts w:hint="eastAsia" w:eastAsia="仿宋_GB2312"/>
          <w:bCs/>
          <w:sz w:val="30"/>
          <w:szCs w:val="30"/>
        </w:rPr>
        <w:t>。</w:t>
      </w:r>
    </w:p>
    <w:p w14:paraId="004A5C5B">
      <w:pPr>
        <w:spacing w:line="360" w:lineRule="auto"/>
        <w:ind w:firstLine="600" w:firstLineChars="200"/>
        <w:rPr>
          <w:rFonts w:eastAsia="仿宋_GB2312"/>
          <w:bCs/>
          <w:sz w:val="30"/>
          <w:szCs w:val="30"/>
        </w:rPr>
      </w:pPr>
      <w:r>
        <w:rPr>
          <w:rFonts w:eastAsia="仿宋_GB2312"/>
          <w:bCs/>
          <w:sz w:val="30"/>
          <w:szCs w:val="30"/>
        </w:rPr>
        <w:t>2.承包人承诺按照法律规定及合同约定组织完成工程施工，确保工程质量和安全，不进行转包及违法分包，并在缺陷责任期及保修期内承担相应的工程维修责任。</w:t>
      </w:r>
    </w:p>
    <w:p w14:paraId="66CE954E">
      <w:pPr>
        <w:spacing w:line="360" w:lineRule="auto"/>
        <w:ind w:firstLine="600" w:firstLineChars="200"/>
        <w:rPr>
          <w:rFonts w:eastAsia="仿宋_GB2312"/>
          <w:bCs/>
          <w:sz w:val="30"/>
          <w:szCs w:val="30"/>
        </w:rPr>
      </w:pPr>
      <w:r>
        <w:rPr>
          <w:rFonts w:hint="eastAsia" w:eastAsia="仿宋_GB2312"/>
          <w:bCs/>
          <w:sz w:val="30"/>
          <w:szCs w:val="30"/>
        </w:rPr>
        <w:t>3.</w:t>
      </w:r>
      <w:r>
        <w:rPr>
          <w:rFonts w:eastAsia="仿宋_GB2312"/>
          <w:bCs/>
          <w:sz w:val="30"/>
          <w:szCs w:val="30"/>
        </w:rPr>
        <w:t>发包人和承包人</w:t>
      </w:r>
      <w:r>
        <w:rPr>
          <w:rFonts w:hint="eastAsia" w:eastAsia="仿宋_GB2312"/>
          <w:bCs/>
          <w:sz w:val="30"/>
          <w:szCs w:val="30"/>
        </w:rPr>
        <w:t>承诺执行政府行政管理部门关于工程款分账管理、农民工工资支付的各项制度，不拖欠农民工工资</w:t>
      </w:r>
      <w:r>
        <w:rPr>
          <w:rFonts w:eastAsia="仿宋_GB2312"/>
          <w:bCs/>
          <w:sz w:val="30"/>
          <w:szCs w:val="30"/>
        </w:rPr>
        <w:t>。</w:t>
      </w:r>
    </w:p>
    <w:p w14:paraId="6F724764">
      <w:pPr>
        <w:spacing w:line="360" w:lineRule="auto"/>
        <w:ind w:firstLine="600" w:firstLineChars="200"/>
        <w:rPr>
          <w:rFonts w:eastAsia="仿宋_GB2312"/>
          <w:bCs/>
          <w:sz w:val="30"/>
          <w:szCs w:val="30"/>
        </w:rPr>
      </w:pPr>
      <w:r>
        <w:rPr>
          <w:rFonts w:hint="eastAsia" w:eastAsia="仿宋_GB2312"/>
          <w:bCs/>
          <w:sz w:val="30"/>
          <w:szCs w:val="30"/>
        </w:rPr>
        <w:t>4.发包人和承包人承诺按照政府行政管理部门要求，加强施工扬尘防治及非道路移动机械污染管控工作。</w:t>
      </w:r>
    </w:p>
    <w:p w14:paraId="46F38E8E">
      <w:pPr>
        <w:spacing w:line="360" w:lineRule="auto"/>
        <w:ind w:firstLine="600" w:firstLineChars="200"/>
        <w:rPr>
          <w:rFonts w:eastAsia="仿宋_GB2312"/>
          <w:bCs/>
          <w:sz w:val="30"/>
          <w:szCs w:val="30"/>
        </w:rPr>
      </w:pPr>
      <w:r>
        <w:rPr>
          <w:rFonts w:eastAsia="仿宋_GB2312"/>
          <w:bCs/>
          <w:sz w:val="30"/>
          <w:szCs w:val="30"/>
        </w:rPr>
        <w:t>5.发包人和承包人通过招投标形式签订合同的，双方理解并</w:t>
      </w:r>
      <w:r>
        <w:rPr>
          <w:rFonts w:hint="eastAsia" w:eastAsia="仿宋_GB2312"/>
          <w:bCs/>
          <w:sz w:val="30"/>
          <w:szCs w:val="30"/>
        </w:rPr>
        <w:t>承诺</w:t>
      </w:r>
      <w:r>
        <w:rPr>
          <w:rFonts w:eastAsia="仿宋_GB2312"/>
          <w:bCs/>
          <w:sz w:val="30"/>
          <w:szCs w:val="30"/>
        </w:rPr>
        <w:t>不再就同一工程另行签订与合同实质性内容相背离的协议。</w:t>
      </w:r>
    </w:p>
    <w:p w14:paraId="0803B4B1">
      <w:pPr>
        <w:spacing w:line="360" w:lineRule="auto"/>
        <w:rPr>
          <w:rFonts w:eastAsia="黑体"/>
          <w:bCs/>
          <w:sz w:val="32"/>
          <w:szCs w:val="32"/>
        </w:rPr>
      </w:pPr>
      <w:bookmarkStart w:id="183" w:name="_Toc351203488"/>
      <w:r>
        <w:rPr>
          <w:rFonts w:hint="eastAsia" w:eastAsia="黑体"/>
          <w:b/>
          <w:sz w:val="32"/>
          <w:szCs w:val="32"/>
        </w:rPr>
        <w:t xml:space="preserve">    </w:t>
      </w:r>
      <w:r>
        <w:rPr>
          <w:rFonts w:eastAsia="黑体"/>
          <w:bCs/>
          <w:sz w:val="32"/>
          <w:szCs w:val="32"/>
        </w:rPr>
        <w:t>八、词语含义</w:t>
      </w:r>
      <w:bookmarkEnd w:id="183"/>
    </w:p>
    <w:p w14:paraId="515865D4">
      <w:pPr>
        <w:spacing w:line="360" w:lineRule="auto"/>
        <w:ind w:firstLine="600" w:firstLineChars="200"/>
        <w:rPr>
          <w:rFonts w:eastAsia="仿宋_GB2312"/>
          <w:bCs/>
          <w:sz w:val="30"/>
          <w:szCs w:val="30"/>
        </w:rPr>
      </w:pPr>
      <w:r>
        <w:rPr>
          <w:rFonts w:eastAsia="仿宋_GB2312"/>
          <w:bCs/>
          <w:sz w:val="30"/>
          <w:szCs w:val="30"/>
        </w:rPr>
        <w:t>本协议书中词语含义与第二部分通用合同条款中赋予的含义相同。</w:t>
      </w:r>
    </w:p>
    <w:p w14:paraId="24F10C48">
      <w:pPr>
        <w:pStyle w:val="8"/>
        <w:spacing w:before="120" w:after="120"/>
        <w:rPr>
          <w:rFonts w:ascii="Times New Roman" w:hAnsi="Times New Roman" w:eastAsia="仿宋_GB2312"/>
          <w:bCs w:val="0"/>
          <w:sz w:val="30"/>
          <w:szCs w:val="30"/>
        </w:rPr>
      </w:pPr>
      <w:r>
        <w:rPr>
          <w:rFonts w:ascii="Times New Roman" w:hAnsi="Times New Roman" w:eastAsia="黑体"/>
          <w:bCs w:val="0"/>
          <w:sz w:val="32"/>
          <w:szCs w:val="32"/>
        </w:rPr>
        <w:t xml:space="preserve">  </w:t>
      </w:r>
      <w:r>
        <w:rPr>
          <w:rFonts w:ascii="Times New Roman" w:hAnsi="Times New Roman" w:eastAsia="黑体"/>
          <w:b w:val="0"/>
          <w:sz w:val="32"/>
          <w:szCs w:val="32"/>
        </w:rPr>
        <w:t xml:space="preserve">  </w:t>
      </w:r>
      <w:bookmarkStart w:id="184" w:name="_Toc351203489"/>
      <w:r>
        <w:rPr>
          <w:rFonts w:ascii="Times New Roman" w:hAnsi="Times New Roman" w:eastAsia="黑体"/>
          <w:b w:val="0"/>
          <w:sz w:val="32"/>
          <w:szCs w:val="32"/>
        </w:rPr>
        <w:t>九、</w:t>
      </w:r>
      <w:r>
        <w:rPr>
          <w:rFonts w:hint="eastAsia" w:ascii="Times New Roman" w:hAnsi="Times New Roman" w:eastAsia="黑体"/>
          <w:b w:val="0"/>
          <w:sz w:val="32"/>
          <w:szCs w:val="32"/>
        </w:rPr>
        <w:t>仲裁或诉讼</w:t>
      </w:r>
      <w:bookmarkEnd w:id="184"/>
    </w:p>
    <w:p w14:paraId="0885C9E1">
      <w:pPr>
        <w:spacing w:line="360" w:lineRule="auto"/>
        <w:ind w:firstLine="600" w:firstLineChars="200"/>
        <w:rPr>
          <w:rFonts w:eastAsia="仿宋_GB2312"/>
          <w:bCs/>
          <w:sz w:val="30"/>
          <w:szCs w:val="30"/>
        </w:rPr>
      </w:pPr>
      <w:r>
        <w:rPr>
          <w:rFonts w:hint="eastAsia" w:eastAsia="仿宋_GB2312"/>
          <w:bCs/>
          <w:sz w:val="30"/>
          <w:szCs w:val="30"/>
        </w:rPr>
        <w:t>因合同及合同有关事项发生的争议，按下列第</w:t>
      </w:r>
      <w:r>
        <w:rPr>
          <w:rFonts w:eastAsia="仿宋_GB2312"/>
          <w:bCs/>
          <w:sz w:val="30"/>
          <w:szCs w:val="30"/>
          <w:u w:val="single"/>
        </w:rPr>
        <w:t xml:space="preserve">  </w:t>
      </w:r>
      <w:r>
        <w:rPr>
          <w:rFonts w:hint="eastAsia" w:eastAsia="仿宋_GB2312"/>
          <w:bCs/>
          <w:sz w:val="30"/>
          <w:szCs w:val="30"/>
          <w:u w:val="single"/>
        </w:rPr>
        <w:t>（</w:t>
      </w:r>
      <w:r>
        <w:rPr>
          <w:rFonts w:eastAsia="仿宋_GB2312"/>
          <w:bCs/>
          <w:sz w:val="30"/>
          <w:szCs w:val="30"/>
          <w:u w:val="single"/>
        </w:rPr>
        <w:t>2</w:t>
      </w:r>
      <w:r>
        <w:rPr>
          <w:rFonts w:hint="eastAsia" w:eastAsia="仿宋_GB2312"/>
          <w:bCs/>
          <w:sz w:val="30"/>
          <w:szCs w:val="30"/>
          <w:u w:val="single"/>
        </w:rPr>
        <w:t>）</w:t>
      </w:r>
      <w:r>
        <w:rPr>
          <w:rFonts w:eastAsia="仿宋_GB2312"/>
          <w:bCs/>
          <w:sz w:val="30"/>
          <w:szCs w:val="30"/>
          <w:u w:val="single"/>
        </w:rPr>
        <w:t xml:space="preserve">  </w:t>
      </w:r>
      <w:r>
        <w:rPr>
          <w:rFonts w:hint="eastAsia" w:eastAsia="仿宋_GB2312"/>
          <w:bCs/>
          <w:sz w:val="30"/>
          <w:szCs w:val="30"/>
        </w:rPr>
        <w:t>种方式解决：</w:t>
      </w:r>
    </w:p>
    <w:p w14:paraId="73098DA3">
      <w:pPr>
        <w:spacing w:line="360" w:lineRule="auto"/>
        <w:ind w:firstLine="600" w:firstLineChars="200"/>
        <w:rPr>
          <w:rFonts w:eastAsia="仿宋_GB2312"/>
          <w:bCs/>
          <w:sz w:val="30"/>
          <w:szCs w:val="30"/>
        </w:rPr>
      </w:pPr>
      <w:r>
        <w:rPr>
          <w:rFonts w:hint="eastAsia" w:eastAsia="仿宋_GB2312"/>
          <w:bCs/>
          <w:sz w:val="30"/>
          <w:szCs w:val="30"/>
        </w:rPr>
        <w:t>（</w:t>
      </w:r>
      <w:r>
        <w:rPr>
          <w:rFonts w:eastAsia="仿宋_GB2312"/>
          <w:bCs/>
          <w:sz w:val="30"/>
          <w:szCs w:val="30"/>
        </w:rPr>
        <w:t>1</w:t>
      </w:r>
      <w:r>
        <w:rPr>
          <w:rFonts w:hint="eastAsia" w:eastAsia="仿宋_GB2312"/>
          <w:bCs/>
          <w:sz w:val="30"/>
          <w:szCs w:val="30"/>
        </w:rPr>
        <w:t>）向</w:t>
      </w:r>
      <w:r>
        <w:rPr>
          <w:rFonts w:eastAsia="仿宋_GB2312"/>
          <w:bCs/>
          <w:sz w:val="30"/>
          <w:szCs w:val="30"/>
          <w:u w:val="single"/>
        </w:rPr>
        <w:t xml:space="preserve">            </w:t>
      </w:r>
      <w:r>
        <w:rPr>
          <w:rFonts w:hint="eastAsia" w:eastAsia="仿宋_GB2312"/>
          <w:bCs/>
          <w:sz w:val="30"/>
          <w:szCs w:val="30"/>
        </w:rPr>
        <w:t>仲裁委员会申请仲裁；</w:t>
      </w:r>
    </w:p>
    <w:p w14:paraId="468425F6">
      <w:pPr>
        <w:spacing w:line="360" w:lineRule="auto"/>
        <w:ind w:firstLine="600" w:firstLineChars="200"/>
        <w:rPr>
          <w:rFonts w:eastAsia="仿宋_GB2312"/>
          <w:bCs/>
          <w:sz w:val="30"/>
          <w:szCs w:val="30"/>
        </w:rPr>
      </w:pPr>
      <w:r>
        <w:rPr>
          <w:rFonts w:hint="eastAsia" w:eastAsia="仿宋_GB2312"/>
          <w:bCs/>
          <w:sz w:val="30"/>
          <w:szCs w:val="30"/>
        </w:rPr>
        <w:t>（</w:t>
      </w:r>
      <w:r>
        <w:rPr>
          <w:rFonts w:eastAsia="仿宋_GB2312"/>
          <w:bCs/>
          <w:sz w:val="30"/>
          <w:szCs w:val="30"/>
        </w:rPr>
        <w:t>2</w:t>
      </w:r>
      <w:r>
        <w:rPr>
          <w:rFonts w:hint="eastAsia" w:eastAsia="仿宋_GB2312"/>
          <w:bCs/>
          <w:sz w:val="30"/>
          <w:szCs w:val="30"/>
        </w:rPr>
        <w:t>）向</w:t>
      </w:r>
      <w:r>
        <w:rPr>
          <w:rFonts w:eastAsia="仿宋_GB2312"/>
          <w:bCs/>
          <w:sz w:val="30"/>
          <w:szCs w:val="30"/>
          <w:u w:val="single"/>
        </w:rPr>
        <w:t xml:space="preserve"> </w:t>
      </w:r>
      <w:r>
        <w:rPr>
          <w:rFonts w:hint="eastAsia" w:eastAsia="仿宋_GB2312"/>
          <w:bCs/>
          <w:sz w:val="30"/>
          <w:szCs w:val="30"/>
          <w:u w:val="single"/>
        </w:rPr>
        <w:t>发包人所在地</w:t>
      </w:r>
      <w:r>
        <w:rPr>
          <w:rFonts w:eastAsia="仿宋_GB2312"/>
          <w:bCs/>
          <w:sz w:val="30"/>
          <w:szCs w:val="30"/>
          <w:u w:val="single"/>
        </w:rPr>
        <w:t xml:space="preserve"> </w:t>
      </w:r>
      <w:r>
        <w:rPr>
          <w:rFonts w:hint="eastAsia" w:eastAsia="仿宋_GB2312"/>
          <w:bCs/>
          <w:sz w:val="30"/>
          <w:szCs w:val="30"/>
        </w:rPr>
        <w:t>人民法院起诉。</w:t>
      </w:r>
    </w:p>
    <w:p w14:paraId="4E4A6B66">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bookmarkStart w:id="185" w:name="_Toc351203490"/>
      <w:r>
        <w:rPr>
          <w:rFonts w:ascii="Times New Roman" w:hAnsi="Times New Roman" w:eastAsia="黑体"/>
          <w:b w:val="0"/>
          <w:sz w:val="32"/>
          <w:szCs w:val="32"/>
        </w:rPr>
        <w:t>十、签订地点</w:t>
      </w:r>
      <w:bookmarkEnd w:id="185"/>
    </w:p>
    <w:p w14:paraId="2E2D1B2A">
      <w:pPr>
        <w:spacing w:line="360" w:lineRule="auto"/>
        <w:ind w:firstLine="600" w:firstLineChars="200"/>
        <w:rPr>
          <w:rFonts w:eastAsia="仿宋_GB2312"/>
          <w:bCs/>
          <w:sz w:val="30"/>
          <w:szCs w:val="30"/>
        </w:rPr>
      </w:pPr>
      <w:r>
        <w:rPr>
          <w:rFonts w:eastAsia="仿宋_GB2312"/>
          <w:bCs/>
          <w:sz w:val="30"/>
          <w:szCs w:val="30"/>
        </w:rPr>
        <w:t>本合同在</w:t>
      </w:r>
      <w:r>
        <w:rPr>
          <w:rFonts w:eastAsia="仿宋_GB2312"/>
          <w:bCs/>
          <w:sz w:val="30"/>
          <w:szCs w:val="30"/>
          <w:u w:val="single"/>
        </w:rPr>
        <w:t xml:space="preserve">  </w:t>
      </w:r>
      <w:r>
        <w:rPr>
          <w:rFonts w:hint="eastAsia" w:eastAsia="仿宋_GB2312"/>
          <w:bCs/>
          <w:sz w:val="30"/>
          <w:szCs w:val="30"/>
          <w:u w:val="single"/>
        </w:rPr>
        <w:t>山东省济南市</w:t>
      </w:r>
      <w:r>
        <w:rPr>
          <w:rFonts w:eastAsia="仿宋_GB2312"/>
          <w:bCs/>
          <w:sz w:val="30"/>
          <w:szCs w:val="30"/>
          <w:u w:val="single"/>
        </w:rPr>
        <w:t xml:space="preserve">   </w:t>
      </w:r>
      <w:r>
        <w:rPr>
          <w:rFonts w:eastAsia="仿宋_GB2312"/>
          <w:bCs/>
          <w:sz w:val="30"/>
          <w:szCs w:val="30"/>
        </w:rPr>
        <w:t>签订。</w:t>
      </w:r>
    </w:p>
    <w:p w14:paraId="7642F771">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bookmarkStart w:id="186" w:name="_Toc351203491"/>
      <w:r>
        <w:rPr>
          <w:rFonts w:ascii="Times New Roman" w:hAnsi="Times New Roman" w:eastAsia="黑体"/>
          <w:b w:val="0"/>
          <w:sz w:val="32"/>
          <w:szCs w:val="32"/>
        </w:rPr>
        <w:t>十一、补充协议</w:t>
      </w:r>
      <w:bookmarkEnd w:id="186"/>
    </w:p>
    <w:p w14:paraId="0B49BE92">
      <w:pPr>
        <w:spacing w:line="360" w:lineRule="auto"/>
        <w:ind w:firstLine="600" w:firstLineChars="200"/>
        <w:rPr>
          <w:rFonts w:eastAsia="仿宋_GB2312"/>
          <w:b/>
          <w:bCs/>
          <w:sz w:val="30"/>
          <w:szCs w:val="30"/>
        </w:rPr>
      </w:pPr>
      <w:r>
        <w:rPr>
          <w:rFonts w:eastAsia="仿宋_GB2312"/>
          <w:bCs/>
          <w:sz w:val="30"/>
          <w:szCs w:val="30"/>
        </w:rPr>
        <w:t>合同未尽事宜，合同当事人另行签订补充协议</w:t>
      </w:r>
      <w:r>
        <w:rPr>
          <w:rFonts w:hint="eastAsia" w:eastAsia="仿宋_GB2312"/>
          <w:bCs/>
          <w:sz w:val="30"/>
          <w:szCs w:val="30"/>
        </w:rPr>
        <w:t>，</w:t>
      </w:r>
      <w:r>
        <w:rPr>
          <w:rFonts w:eastAsia="仿宋_GB2312"/>
          <w:bCs/>
          <w:sz w:val="30"/>
          <w:szCs w:val="30"/>
        </w:rPr>
        <w:t>补充协议是合同的组成部分。</w:t>
      </w:r>
    </w:p>
    <w:p w14:paraId="33DD4BBE">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bookmarkStart w:id="187" w:name="_Toc351203492"/>
      <w:r>
        <w:rPr>
          <w:rFonts w:ascii="Times New Roman" w:hAnsi="Times New Roman" w:eastAsia="黑体"/>
          <w:b w:val="0"/>
          <w:sz w:val="32"/>
          <w:szCs w:val="32"/>
        </w:rPr>
        <w:t>十二、合同生效</w:t>
      </w:r>
      <w:bookmarkEnd w:id="187"/>
    </w:p>
    <w:p w14:paraId="3D9F14F8">
      <w:pPr>
        <w:spacing w:line="360" w:lineRule="auto"/>
        <w:ind w:firstLine="600" w:firstLineChars="200"/>
        <w:rPr>
          <w:rFonts w:eastAsia="仿宋_GB2312"/>
          <w:bCs/>
          <w:sz w:val="30"/>
          <w:szCs w:val="30"/>
        </w:rPr>
      </w:pPr>
      <w:r>
        <w:rPr>
          <w:rFonts w:eastAsia="仿宋_GB2312"/>
          <w:bCs/>
          <w:sz w:val="30"/>
          <w:szCs w:val="30"/>
        </w:rPr>
        <w:t>本合同自</w:t>
      </w:r>
      <w:r>
        <w:rPr>
          <w:rFonts w:eastAsia="仿宋_GB2312"/>
          <w:bCs/>
          <w:sz w:val="30"/>
          <w:szCs w:val="30"/>
          <w:u w:val="single"/>
        </w:rPr>
        <w:t xml:space="preserve"> </w:t>
      </w:r>
      <w:r>
        <w:rPr>
          <w:rFonts w:eastAsia="仿宋_GB2312"/>
          <w:bCs/>
          <w:color w:val="000000"/>
          <w:sz w:val="30"/>
          <w:szCs w:val="30"/>
          <w:u w:val="single"/>
        </w:rPr>
        <w:t>双方授权代表签署并加盖公章</w:t>
      </w:r>
      <w:r>
        <w:rPr>
          <w:rFonts w:hint="eastAsia" w:eastAsia="仿宋_GB2312"/>
          <w:bCs/>
          <w:color w:val="000000"/>
          <w:sz w:val="30"/>
          <w:szCs w:val="30"/>
          <w:u w:val="single"/>
        </w:rPr>
        <w:t>或者合同专用章之日起</w:t>
      </w:r>
      <w:r>
        <w:rPr>
          <w:rFonts w:eastAsia="仿宋_GB2312"/>
          <w:bCs/>
          <w:sz w:val="30"/>
          <w:szCs w:val="30"/>
          <w:u w:val="single"/>
        </w:rPr>
        <w:t xml:space="preserve"> </w:t>
      </w:r>
      <w:r>
        <w:rPr>
          <w:rFonts w:eastAsia="仿宋_GB2312"/>
          <w:bCs/>
          <w:sz w:val="30"/>
          <w:szCs w:val="30"/>
        </w:rPr>
        <w:t>生效。</w:t>
      </w:r>
    </w:p>
    <w:p w14:paraId="2303774A">
      <w:pPr>
        <w:pStyle w:val="8"/>
        <w:spacing w:before="120" w:after="120" w:line="360" w:lineRule="auto"/>
        <w:rPr>
          <w:rFonts w:ascii="Times New Roman" w:hAnsi="Times New Roman" w:eastAsia="黑体"/>
          <w:bCs w:val="0"/>
          <w:sz w:val="32"/>
          <w:szCs w:val="32"/>
        </w:rPr>
      </w:pPr>
      <w:r>
        <w:rPr>
          <w:rFonts w:ascii="Times New Roman" w:hAnsi="Times New Roman" w:eastAsia="黑体"/>
          <w:bCs w:val="0"/>
          <w:sz w:val="32"/>
          <w:szCs w:val="32"/>
        </w:rPr>
        <w:t xml:space="preserve">    </w:t>
      </w:r>
      <w:bookmarkStart w:id="188" w:name="_Toc351203493"/>
      <w:r>
        <w:rPr>
          <w:rFonts w:ascii="Times New Roman" w:hAnsi="Times New Roman" w:eastAsia="黑体"/>
          <w:b w:val="0"/>
          <w:sz w:val="32"/>
          <w:szCs w:val="32"/>
        </w:rPr>
        <w:t>十三、合同份数</w:t>
      </w:r>
      <w:bookmarkEnd w:id="188"/>
    </w:p>
    <w:p w14:paraId="76E93998">
      <w:pPr>
        <w:spacing w:line="360" w:lineRule="auto"/>
        <w:ind w:firstLine="600" w:firstLineChars="200"/>
        <w:rPr>
          <w:rFonts w:eastAsia="仿宋_GB2312"/>
          <w:bCs/>
          <w:sz w:val="30"/>
          <w:szCs w:val="30"/>
        </w:rPr>
      </w:pPr>
      <w:r>
        <w:rPr>
          <w:rFonts w:eastAsia="仿宋_GB2312"/>
          <w:bCs/>
          <w:sz w:val="30"/>
          <w:szCs w:val="30"/>
        </w:rPr>
        <w:t>本合同一式</w:t>
      </w:r>
      <w:r>
        <w:rPr>
          <w:rFonts w:eastAsia="仿宋_GB2312"/>
          <w:bCs/>
          <w:sz w:val="30"/>
          <w:szCs w:val="30"/>
          <w:u w:val="single"/>
        </w:rPr>
        <w:t xml:space="preserve"> </w:t>
      </w:r>
      <w:r>
        <w:rPr>
          <w:rFonts w:hint="eastAsia" w:eastAsia="仿宋_GB2312"/>
          <w:bCs/>
          <w:sz w:val="30"/>
          <w:szCs w:val="30"/>
          <w:u w:val="single"/>
        </w:rPr>
        <w:t>拾</w:t>
      </w:r>
      <w:r>
        <w:rPr>
          <w:rFonts w:eastAsia="仿宋_GB2312"/>
          <w:bCs/>
          <w:sz w:val="30"/>
          <w:szCs w:val="30"/>
          <w:u w:val="single"/>
        </w:rPr>
        <w:t xml:space="preserve"> </w:t>
      </w:r>
      <w:r>
        <w:rPr>
          <w:rFonts w:eastAsia="仿宋_GB2312"/>
          <w:bCs/>
          <w:sz w:val="30"/>
          <w:szCs w:val="30"/>
        </w:rPr>
        <w:t>份，均具有同等法律效力，发包人执</w:t>
      </w:r>
      <w:r>
        <w:rPr>
          <w:rFonts w:eastAsia="仿宋_GB2312"/>
          <w:bCs/>
          <w:sz w:val="30"/>
          <w:szCs w:val="30"/>
          <w:u w:val="single"/>
        </w:rPr>
        <w:t xml:space="preserve"> </w:t>
      </w:r>
      <w:r>
        <w:rPr>
          <w:rFonts w:hint="eastAsia" w:eastAsia="仿宋_GB2312"/>
          <w:bCs/>
          <w:sz w:val="30"/>
          <w:szCs w:val="30"/>
          <w:u w:val="single"/>
        </w:rPr>
        <w:t>陆</w:t>
      </w:r>
      <w:r>
        <w:rPr>
          <w:rFonts w:eastAsia="仿宋_GB2312"/>
          <w:bCs/>
          <w:sz w:val="30"/>
          <w:szCs w:val="30"/>
          <w:u w:val="single"/>
        </w:rPr>
        <w:t xml:space="preserve"> </w:t>
      </w:r>
      <w:r>
        <w:rPr>
          <w:rFonts w:eastAsia="仿宋_GB2312"/>
          <w:bCs/>
          <w:sz w:val="30"/>
          <w:szCs w:val="30"/>
        </w:rPr>
        <w:t>份，承包人执</w:t>
      </w:r>
      <w:r>
        <w:rPr>
          <w:rFonts w:eastAsia="仿宋_GB2312"/>
          <w:bCs/>
          <w:sz w:val="30"/>
          <w:szCs w:val="30"/>
          <w:u w:val="single"/>
        </w:rPr>
        <w:t xml:space="preserve"> </w:t>
      </w:r>
      <w:r>
        <w:rPr>
          <w:rFonts w:hint="eastAsia" w:eastAsia="仿宋_GB2312"/>
          <w:bCs/>
          <w:sz w:val="30"/>
          <w:szCs w:val="30"/>
          <w:u w:val="single"/>
        </w:rPr>
        <w:t>肆</w:t>
      </w:r>
      <w:r>
        <w:rPr>
          <w:rFonts w:eastAsia="仿宋_GB2312"/>
          <w:bCs/>
          <w:sz w:val="30"/>
          <w:szCs w:val="30"/>
          <w:u w:val="single"/>
        </w:rPr>
        <w:t xml:space="preserve"> </w:t>
      </w:r>
      <w:r>
        <w:rPr>
          <w:rFonts w:eastAsia="仿宋_GB2312"/>
          <w:bCs/>
          <w:sz w:val="30"/>
          <w:szCs w:val="30"/>
        </w:rPr>
        <w:t>份。</w:t>
      </w:r>
    </w:p>
    <w:p w14:paraId="48147A38">
      <w:pPr>
        <w:pStyle w:val="2"/>
        <w:ind w:left="420" w:firstLine="480"/>
      </w:pPr>
      <w:r>
        <w:rPr>
          <w:rFonts w:hint="eastAsia" w:ascii="仿宋_GB2312" w:hAnsi="仿宋_GB2312" w:eastAsia="仿宋_GB2312" w:cs="仿宋_GB2312"/>
          <w:sz w:val="24"/>
        </w:rPr>
        <w:t>本合同的各签约方选择使用电子签约的，已由法定代表人本人或授权其代理人在契约锁电子签约平台进行了实名注册，并通过CA证书进行签约。电子签约的任一方均已知晓且同意通过代理人密码登录账户后的所有操作视为该方的行为，并自愿承担由此产生的一切法律后果。电子签约方的代理人包括在契约锁平台完成认证并具有相应盖章、签字权限的管理员、盖章人或签名人。电子签约方在相关电子合同通过CA证书进行电子签章的，视为该方有效签署合同。如各方签章时间不一致的，以最后签章的时间为准。本合同所有的手写涂改部分无效（个人手写签名除外）。</w:t>
      </w:r>
      <w:r>
        <w:rPr>
          <w:rFonts w:hint="eastAsia" w:ascii="仿宋_GB2312" w:hAnsi="仿宋_GB2312" w:eastAsia="仿宋_GB2312" w:cs="仿宋_GB2312"/>
          <w:sz w:val="24"/>
        </w:rPr>
        <w:br w:type="textWrapping"/>
      </w:r>
      <w:r>
        <w:rPr>
          <w:rFonts w:hint="eastAsia" w:ascii="仿宋_GB2312" w:hAnsi="仿宋_GB2312" w:eastAsia="仿宋_GB2312" w:cs="仿宋_GB2312"/>
          <w:sz w:val="24"/>
        </w:rPr>
        <w:t xml:space="preserve">  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双方已签署完毕。</w:t>
      </w:r>
    </w:p>
    <w:tbl>
      <w:tblPr>
        <w:tblStyle w:val="25"/>
        <w:tblW w:w="0" w:type="auto"/>
        <w:tblInd w:w="0" w:type="dxa"/>
        <w:tblLayout w:type="fixed"/>
        <w:tblCellMar>
          <w:top w:w="0" w:type="dxa"/>
          <w:left w:w="108" w:type="dxa"/>
          <w:bottom w:w="0" w:type="dxa"/>
          <w:right w:w="108" w:type="dxa"/>
        </w:tblCellMar>
      </w:tblPr>
      <w:tblGrid>
        <w:gridCol w:w="1682"/>
        <w:gridCol w:w="2962"/>
        <w:gridCol w:w="1658"/>
        <w:gridCol w:w="2986"/>
        <w:gridCol w:w="811"/>
      </w:tblGrid>
      <w:tr w14:paraId="133963A3">
        <w:tblPrEx>
          <w:tblCellMar>
            <w:top w:w="0" w:type="dxa"/>
            <w:left w:w="108" w:type="dxa"/>
            <w:bottom w:w="0" w:type="dxa"/>
            <w:right w:w="108" w:type="dxa"/>
          </w:tblCellMar>
        </w:tblPrEx>
        <w:trPr>
          <w:gridAfter w:val="1"/>
          <w:wAfter w:w="811" w:type="dxa"/>
        </w:trPr>
        <w:tc>
          <w:tcPr>
            <w:tcW w:w="4644" w:type="dxa"/>
            <w:gridSpan w:val="2"/>
          </w:tcPr>
          <w:p w14:paraId="6ADFAC76">
            <w:pPr>
              <w:spacing w:line="360" w:lineRule="auto"/>
              <w:rPr>
                <w:rFonts w:eastAsia="仿宋_GB2312"/>
                <w:sz w:val="28"/>
                <w:szCs w:val="28"/>
              </w:rPr>
            </w:pPr>
            <w:r>
              <w:rPr>
                <w:rFonts w:eastAsia="仿宋_GB2312"/>
                <w:sz w:val="28"/>
                <w:szCs w:val="28"/>
              </w:rPr>
              <w:t>发包人</w:t>
            </w:r>
            <w:r>
              <w:rPr>
                <w:rFonts w:hint="eastAsia" w:eastAsia="仿宋_GB2312"/>
                <w:sz w:val="28"/>
                <w:szCs w:val="28"/>
              </w:rPr>
              <w:t xml:space="preserve">：  </w:t>
            </w:r>
            <w:r>
              <w:rPr>
                <w:rFonts w:eastAsia="仿宋_GB2312"/>
                <w:sz w:val="28"/>
                <w:szCs w:val="28"/>
              </w:rPr>
              <w:t>(</w:t>
            </w:r>
            <w:r>
              <w:rPr>
                <w:rFonts w:hint="eastAsia" w:eastAsia="仿宋_GB2312"/>
                <w:sz w:val="28"/>
                <w:szCs w:val="28"/>
              </w:rPr>
              <w:t>盖</w:t>
            </w:r>
            <w:r>
              <w:rPr>
                <w:rFonts w:eastAsia="仿宋_GB2312"/>
                <w:sz w:val="28"/>
                <w:szCs w:val="28"/>
              </w:rPr>
              <w:t>章)</w:t>
            </w:r>
          </w:p>
        </w:tc>
        <w:tc>
          <w:tcPr>
            <w:tcW w:w="4644" w:type="dxa"/>
            <w:gridSpan w:val="2"/>
          </w:tcPr>
          <w:p w14:paraId="70CBA96B">
            <w:pPr>
              <w:spacing w:line="360" w:lineRule="auto"/>
              <w:rPr>
                <w:rFonts w:eastAsia="仿宋_GB2312"/>
                <w:sz w:val="28"/>
                <w:szCs w:val="28"/>
              </w:rPr>
            </w:pPr>
            <w:r>
              <w:rPr>
                <w:rFonts w:eastAsia="仿宋_GB2312"/>
                <w:sz w:val="28"/>
                <w:szCs w:val="28"/>
              </w:rPr>
              <w:t>承包人</w:t>
            </w:r>
            <w:r>
              <w:rPr>
                <w:rFonts w:hint="eastAsia" w:eastAsia="仿宋_GB2312"/>
                <w:sz w:val="28"/>
                <w:szCs w:val="28"/>
              </w:rPr>
              <w:t xml:space="preserve">：  </w:t>
            </w:r>
            <w:r>
              <w:rPr>
                <w:rFonts w:eastAsia="仿宋_GB2312"/>
                <w:sz w:val="28"/>
                <w:szCs w:val="28"/>
              </w:rPr>
              <w:t>(</w:t>
            </w:r>
            <w:r>
              <w:rPr>
                <w:rFonts w:hint="eastAsia" w:eastAsia="仿宋_GB2312"/>
                <w:sz w:val="28"/>
                <w:szCs w:val="28"/>
              </w:rPr>
              <w:t>盖</w:t>
            </w:r>
            <w:r>
              <w:rPr>
                <w:rFonts w:eastAsia="仿宋_GB2312"/>
                <w:sz w:val="28"/>
                <w:szCs w:val="28"/>
              </w:rPr>
              <w:t>章)</w:t>
            </w:r>
          </w:p>
          <w:p w14:paraId="5707A536">
            <w:pPr>
              <w:spacing w:line="360" w:lineRule="auto"/>
              <w:rPr>
                <w:rFonts w:eastAsia="仿宋_GB2312"/>
                <w:sz w:val="28"/>
                <w:szCs w:val="28"/>
              </w:rPr>
            </w:pPr>
            <w:r>
              <w:rPr>
                <w:rFonts w:hint="eastAsia" w:eastAsia="仿宋_GB2312"/>
                <w:sz w:val="28"/>
                <w:szCs w:val="28"/>
              </w:rPr>
              <w:t xml:space="preserve"> </w:t>
            </w:r>
          </w:p>
        </w:tc>
      </w:tr>
      <w:tr w14:paraId="121F1201">
        <w:tblPrEx>
          <w:tblCellMar>
            <w:top w:w="0" w:type="dxa"/>
            <w:left w:w="108" w:type="dxa"/>
            <w:bottom w:w="0" w:type="dxa"/>
            <w:right w:w="108" w:type="dxa"/>
          </w:tblCellMar>
        </w:tblPrEx>
        <w:trPr>
          <w:gridAfter w:val="1"/>
          <w:wAfter w:w="811" w:type="dxa"/>
        </w:trPr>
        <w:tc>
          <w:tcPr>
            <w:tcW w:w="4644" w:type="dxa"/>
            <w:gridSpan w:val="2"/>
          </w:tcPr>
          <w:p w14:paraId="267634BD">
            <w:pPr>
              <w:spacing w:line="360" w:lineRule="auto"/>
              <w:rPr>
                <w:rFonts w:eastAsia="仿宋_GB2312"/>
                <w:sz w:val="28"/>
                <w:szCs w:val="28"/>
              </w:rPr>
            </w:pPr>
            <w:r>
              <w:rPr>
                <w:rFonts w:hint="eastAsia" w:eastAsia="仿宋_GB2312"/>
                <w:sz w:val="28"/>
                <w:szCs w:val="28"/>
              </w:rPr>
              <w:t>法定代表人或其委托代理人：</w:t>
            </w:r>
          </w:p>
          <w:p w14:paraId="458014CE">
            <w:pPr>
              <w:spacing w:line="360" w:lineRule="auto"/>
              <w:rPr>
                <w:rFonts w:eastAsia="仿宋_GB2312"/>
                <w:sz w:val="28"/>
                <w:szCs w:val="28"/>
              </w:rPr>
            </w:pPr>
            <w:r>
              <w:rPr>
                <w:rFonts w:hint="eastAsia" w:eastAsia="仿宋_GB2312"/>
                <w:sz w:val="28"/>
                <w:szCs w:val="28"/>
              </w:rPr>
              <w:t xml:space="preserve">（签字）   </w:t>
            </w:r>
          </w:p>
        </w:tc>
        <w:tc>
          <w:tcPr>
            <w:tcW w:w="4644" w:type="dxa"/>
            <w:gridSpan w:val="2"/>
          </w:tcPr>
          <w:p w14:paraId="1E34D8E0">
            <w:pPr>
              <w:spacing w:line="360" w:lineRule="auto"/>
              <w:rPr>
                <w:rFonts w:eastAsia="仿宋_GB2312"/>
                <w:sz w:val="28"/>
                <w:szCs w:val="28"/>
              </w:rPr>
            </w:pPr>
            <w:r>
              <w:rPr>
                <w:rFonts w:hint="eastAsia" w:eastAsia="仿宋_GB2312"/>
                <w:sz w:val="28"/>
                <w:szCs w:val="28"/>
              </w:rPr>
              <w:t>法定代表人或其委托代理人：</w:t>
            </w:r>
          </w:p>
          <w:p w14:paraId="60999996">
            <w:pPr>
              <w:spacing w:line="360" w:lineRule="auto"/>
              <w:rPr>
                <w:rFonts w:eastAsia="仿宋_GB2312"/>
                <w:sz w:val="28"/>
                <w:szCs w:val="28"/>
              </w:rPr>
            </w:pPr>
            <w:r>
              <w:rPr>
                <w:rFonts w:hint="eastAsia" w:eastAsia="仿宋_GB2312"/>
                <w:sz w:val="28"/>
                <w:szCs w:val="28"/>
              </w:rPr>
              <w:t xml:space="preserve">（签字）   </w:t>
            </w:r>
          </w:p>
        </w:tc>
      </w:tr>
      <w:tr w14:paraId="15A249F4">
        <w:tblPrEx>
          <w:tblCellMar>
            <w:top w:w="0" w:type="dxa"/>
            <w:left w:w="108" w:type="dxa"/>
            <w:bottom w:w="0" w:type="dxa"/>
            <w:right w:w="108" w:type="dxa"/>
          </w:tblCellMar>
        </w:tblPrEx>
        <w:tc>
          <w:tcPr>
            <w:tcW w:w="1682" w:type="dxa"/>
          </w:tcPr>
          <w:p w14:paraId="1A4E0727">
            <w:pPr>
              <w:spacing w:line="360" w:lineRule="auto"/>
              <w:rPr>
                <w:rFonts w:eastAsia="仿宋_GB2312"/>
                <w:sz w:val="28"/>
                <w:szCs w:val="28"/>
              </w:rPr>
            </w:pPr>
            <w:r>
              <w:rPr>
                <w:rFonts w:hint="eastAsia" w:ascii="仿宋" w:hAnsi="仿宋" w:eastAsia="仿宋" w:cs="仿宋"/>
                <w:sz w:val="20"/>
              </w:rPr>
              <w:t>组织机构代码：</w:t>
            </w:r>
          </w:p>
        </w:tc>
        <w:tc>
          <w:tcPr>
            <w:tcW w:w="2962" w:type="dxa"/>
          </w:tcPr>
          <w:p w14:paraId="00B06C98">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7EE85D2C">
            <w:pPr>
              <w:tabs>
                <w:tab w:val="left" w:pos="4410"/>
              </w:tabs>
              <w:spacing w:line="360" w:lineRule="auto"/>
              <w:rPr>
                <w:rFonts w:hint="eastAsia" w:ascii="仿宋" w:hAnsi="仿宋" w:eastAsia="仿宋" w:cs="仿宋"/>
                <w:sz w:val="20"/>
                <w:u w:val="single"/>
              </w:rPr>
            </w:pPr>
            <w:r>
              <w:rPr>
                <w:rFonts w:hint="eastAsia" w:ascii="仿宋" w:hAnsi="仿宋" w:eastAsia="仿宋" w:cs="仿宋"/>
                <w:sz w:val="20"/>
              </w:rPr>
              <w:t>组织机构代码：</w:t>
            </w:r>
          </w:p>
        </w:tc>
        <w:tc>
          <w:tcPr>
            <w:tcW w:w="2986" w:type="dxa"/>
            <w:vAlign w:val="center"/>
          </w:tcPr>
          <w:p w14:paraId="75D8D1E2">
            <w:pPr>
              <w:spacing w:line="360" w:lineRule="auto"/>
              <w:ind w:left="1000" w:hanging="1000" w:hangingChars="500"/>
              <w:rPr>
                <w:rFonts w:hint="eastAsia" w:ascii="仿宋" w:hAnsi="仿宋" w:eastAsia="仿宋" w:cs="仿宋"/>
                <w:u w:val="single"/>
              </w:rPr>
            </w:pPr>
            <w:r>
              <w:rPr>
                <w:rFonts w:hint="eastAsia" w:ascii="仿宋" w:hAnsi="仿宋" w:eastAsia="仿宋" w:cs="仿宋"/>
                <w:sz w:val="20"/>
                <w:u w:val="single"/>
              </w:rPr>
              <w:t xml:space="preserve">                      </w:t>
            </w:r>
          </w:p>
        </w:tc>
        <w:tc>
          <w:tcPr>
            <w:tcW w:w="811" w:type="dxa"/>
          </w:tcPr>
          <w:p w14:paraId="267CBB86">
            <w:pPr>
              <w:jc w:val="center"/>
              <w:rPr>
                <w:rFonts w:hint="eastAsia" w:ascii="宋体" w:hAnsi="宋体" w:cs="宋体"/>
                <w:sz w:val="22"/>
              </w:rPr>
            </w:pPr>
          </w:p>
        </w:tc>
      </w:tr>
      <w:tr w14:paraId="69C1C176">
        <w:tblPrEx>
          <w:tblCellMar>
            <w:top w:w="0" w:type="dxa"/>
            <w:left w:w="108" w:type="dxa"/>
            <w:bottom w:w="0" w:type="dxa"/>
            <w:right w:w="108" w:type="dxa"/>
          </w:tblCellMar>
        </w:tblPrEx>
        <w:trPr>
          <w:gridAfter w:val="1"/>
          <w:wAfter w:w="811" w:type="dxa"/>
        </w:trPr>
        <w:tc>
          <w:tcPr>
            <w:tcW w:w="1682" w:type="dxa"/>
          </w:tcPr>
          <w:p w14:paraId="2A0966BC">
            <w:pPr>
              <w:spacing w:line="360" w:lineRule="auto"/>
              <w:rPr>
                <w:rFonts w:eastAsia="仿宋_GB2312"/>
                <w:sz w:val="28"/>
                <w:szCs w:val="28"/>
              </w:rPr>
            </w:pPr>
            <w:r>
              <w:rPr>
                <w:rFonts w:hint="eastAsia" w:ascii="仿宋" w:hAnsi="仿宋" w:eastAsia="仿宋" w:cs="仿宋"/>
                <w:sz w:val="20"/>
              </w:rPr>
              <w:t>地        址：</w:t>
            </w:r>
          </w:p>
        </w:tc>
        <w:tc>
          <w:tcPr>
            <w:tcW w:w="2962" w:type="dxa"/>
          </w:tcPr>
          <w:p w14:paraId="7A5A27C6">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36753B99">
            <w:pPr>
              <w:spacing w:line="360" w:lineRule="auto"/>
              <w:rPr>
                <w:rFonts w:eastAsia="仿宋_GB2312"/>
                <w:sz w:val="28"/>
                <w:szCs w:val="28"/>
              </w:rPr>
            </w:pPr>
            <w:r>
              <w:rPr>
                <w:rFonts w:hint="eastAsia" w:ascii="仿宋" w:hAnsi="仿宋" w:eastAsia="仿宋" w:cs="仿宋"/>
                <w:sz w:val="20"/>
              </w:rPr>
              <w:t>地        址：</w:t>
            </w:r>
          </w:p>
        </w:tc>
        <w:tc>
          <w:tcPr>
            <w:tcW w:w="2986" w:type="dxa"/>
          </w:tcPr>
          <w:p w14:paraId="3DB9014A">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380B02C1">
        <w:tblPrEx>
          <w:tblCellMar>
            <w:top w:w="0" w:type="dxa"/>
            <w:left w:w="108" w:type="dxa"/>
            <w:bottom w:w="0" w:type="dxa"/>
            <w:right w:w="108" w:type="dxa"/>
          </w:tblCellMar>
        </w:tblPrEx>
        <w:trPr>
          <w:gridAfter w:val="1"/>
          <w:wAfter w:w="811" w:type="dxa"/>
        </w:trPr>
        <w:tc>
          <w:tcPr>
            <w:tcW w:w="1682" w:type="dxa"/>
          </w:tcPr>
          <w:p w14:paraId="1C502F41">
            <w:pPr>
              <w:spacing w:line="360" w:lineRule="auto"/>
              <w:rPr>
                <w:rFonts w:eastAsia="仿宋_GB2312"/>
                <w:sz w:val="28"/>
                <w:szCs w:val="28"/>
              </w:rPr>
            </w:pPr>
            <w:r>
              <w:rPr>
                <w:rFonts w:hint="eastAsia" w:ascii="仿宋" w:hAnsi="仿宋" w:eastAsia="仿宋" w:cs="仿宋"/>
                <w:sz w:val="20"/>
              </w:rPr>
              <w:t>邮 政 编 码：</w:t>
            </w:r>
          </w:p>
        </w:tc>
        <w:tc>
          <w:tcPr>
            <w:tcW w:w="2962" w:type="dxa"/>
          </w:tcPr>
          <w:p w14:paraId="0AB143D9">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038E0C05">
            <w:pPr>
              <w:spacing w:line="360" w:lineRule="auto"/>
              <w:rPr>
                <w:rFonts w:eastAsia="仿宋_GB2312"/>
                <w:sz w:val="28"/>
                <w:szCs w:val="28"/>
              </w:rPr>
            </w:pPr>
            <w:r>
              <w:rPr>
                <w:rFonts w:hint="eastAsia" w:ascii="仿宋" w:hAnsi="仿宋" w:eastAsia="仿宋" w:cs="仿宋"/>
                <w:sz w:val="20"/>
              </w:rPr>
              <w:t>邮 政 编 码：</w:t>
            </w:r>
          </w:p>
        </w:tc>
        <w:tc>
          <w:tcPr>
            <w:tcW w:w="2986" w:type="dxa"/>
          </w:tcPr>
          <w:p w14:paraId="00D42236">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7DB3E976">
        <w:tblPrEx>
          <w:tblCellMar>
            <w:top w:w="0" w:type="dxa"/>
            <w:left w:w="108" w:type="dxa"/>
            <w:bottom w:w="0" w:type="dxa"/>
            <w:right w:w="108" w:type="dxa"/>
          </w:tblCellMar>
        </w:tblPrEx>
        <w:trPr>
          <w:gridAfter w:val="1"/>
          <w:wAfter w:w="811" w:type="dxa"/>
        </w:trPr>
        <w:tc>
          <w:tcPr>
            <w:tcW w:w="1682" w:type="dxa"/>
          </w:tcPr>
          <w:p w14:paraId="42D9DE69">
            <w:pPr>
              <w:spacing w:line="360" w:lineRule="auto"/>
              <w:rPr>
                <w:rFonts w:eastAsia="仿宋_GB2312"/>
                <w:sz w:val="28"/>
                <w:szCs w:val="28"/>
              </w:rPr>
            </w:pPr>
            <w:r>
              <w:rPr>
                <w:rFonts w:hint="eastAsia" w:ascii="仿宋" w:hAnsi="仿宋" w:eastAsia="仿宋" w:cs="仿宋"/>
                <w:sz w:val="20"/>
              </w:rPr>
              <w:t>法定代表人：</w:t>
            </w:r>
          </w:p>
        </w:tc>
        <w:tc>
          <w:tcPr>
            <w:tcW w:w="2962" w:type="dxa"/>
          </w:tcPr>
          <w:p w14:paraId="283F93E5">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1D5B03AA">
            <w:pPr>
              <w:spacing w:line="360" w:lineRule="auto"/>
              <w:rPr>
                <w:rFonts w:eastAsia="仿宋_GB2312"/>
                <w:sz w:val="28"/>
                <w:szCs w:val="28"/>
              </w:rPr>
            </w:pPr>
            <w:r>
              <w:rPr>
                <w:rFonts w:hint="eastAsia" w:ascii="仿宋" w:hAnsi="仿宋" w:eastAsia="仿宋" w:cs="仿宋"/>
                <w:sz w:val="20"/>
              </w:rPr>
              <w:t>法定代表人：</w:t>
            </w:r>
          </w:p>
        </w:tc>
        <w:tc>
          <w:tcPr>
            <w:tcW w:w="2986" w:type="dxa"/>
          </w:tcPr>
          <w:p w14:paraId="5AEC2FB5">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4C507207">
        <w:tblPrEx>
          <w:tblCellMar>
            <w:top w:w="0" w:type="dxa"/>
            <w:left w:w="108" w:type="dxa"/>
            <w:bottom w:w="0" w:type="dxa"/>
            <w:right w:w="108" w:type="dxa"/>
          </w:tblCellMar>
        </w:tblPrEx>
        <w:trPr>
          <w:gridAfter w:val="1"/>
          <w:wAfter w:w="811" w:type="dxa"/>
        </w:trPr>
        <w:tc>
          <w:tcPr>
            <w:tcW w:w="1682" w:type="dxa"/>
          </w:tcPr>
          <w:p w14:paraId="0B0FB1D3">
            <w:pPr>
              <w:spacing w:line="360" w:lineRule="auto"/>
              <w:rPr>
                <w:rFonts w:eastAsia="仿宋_GB2312"/>
                <w:sz w:val="28"/>
                <w:szCs w:val="28"/>
              </w:rPr>
            </w:pPr>
            <w:r>
              <w:rPr>
                <w:rFonts w:hint="eastAsia" w:ascii="仿宋" w:hAnsi="仿宋" w:eastAsia="仿宋" w:cs="仿宋"/>
                <w:sz w:val="20"/>
              </w:rPr>
              <w:t>委托代理人：</w:t>
            </w:r>
          </w:p>
        </w:tc>
        <w:tc>
          <w:tcPr>
            <w:tcW w:w="2962" w:type="dxa"/>
          </w:tcPr>
          <w:p w14:paraId="092F3B46">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57648039">
            <w:pPr>
              <w:spacing w:line="360" w:lineRule="auto"/>
              <w:rPr>
                <w:rFonts w:eastAsia="仿宋_GB2312"/>
                <w:sz w:val="28"/>
                <w:szCs w:val="28"/>
              </w:rPr>
            </w:pPr>
            <w:r>
              <w:rPr>
                <w:rFonts w:hint="eastAsia" w:ascii="仿宋" w:hAnsi="仿宋" w:eastAsia="仿宋" w:cs="仿宋"/>
                <w:sz w:val="20"/>
              </w:rPr>
              <w:t>委托代理人：</w:t>
            </w:r>
          </w:p>
        </w:tc>
        <w:tc>
          <w:tcPr>
            <w:tcW w:w="2986" w:type="dxa"/>
          </w:tcPr>
          <w:p w14:paraId="5ABF522C">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665FD86D">
        <w:tblPrEx>
          <w:tblCellMar>
            <w:top w:w="0" w:type="dxa"/>
            <w:left w:w="108" w:type="dxa"/>
            <w:bottom w:w="0" w:type="dxa"/>
            <w:right w:w="108" w:type="dxa"/>
          </w:tblCellMar>
        </w:tblPrEx>
        <w:trPr>
          <w:gridAfter w:val="1"/>
          <w:wAfter w:w="811" w:type="dxa"/>
        </w:trPr>
        <w:tc>
          <w:tcPr>
            <w:tcW w:w="1682" w:type="dxa"/>
          </w:tcPr>
          <w:p w14:paraId="7B69F736">
            <w:pPr>
              <w:spacing w:line="360" w:lineRule="auto"/>
              <w:rPr>
                <w:rFonts w:hint="eastAsia" w:ascii="仿宋" w:hAnsi="仿宋" w:eastAsia="仿宋" w:cs="仿宋"/>
                <w:sz w:val="20"/>
                <w:u w:val="single"/>
              </w:rPr>
            </w:pPr>
            <w:r>
              <w:rPr>
                <w:rFonts w:hint="eastAsia" w:ascii="仿宋" w:hAnsi="仿宋" w:eastAsia="仿宋" w:cs="仿宋"/>
                <w:sz w:val="20"/>
              </w:rPr>
              <w:t>电        话：</w:t>
            </w:r>
          </w:p>
        </w:tc>
        <w:tc>
          <w:tcPr>
            <w:tcW w:w="2962" w:type="dxa"/>
          </w:tcPr>
          <w:p w14:paraId="2E1BAF2A">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61F4E561">
            <w:pPr>
              <w:spacing w:line="360" w:lineRule="auto"/>
              <w:rPr>
                <w:rFonts w:eastAsia="仿宋_GB2312"/>
                <w:sz w:val="28"/>
                <w:szCs w:val="28"/>
              </w:rPr>
            </w:pPr>
            <w:r>
              <w:rPr>
                <w:rFonts w:hint="eastAsia" w:ascii="仿宋" w:hAnsi="仿宋" w:eastAsia="仿宋" w:cs="仿宋"/>
                <w:sz w:val="20"/>
              </w:rPr>
              <w:t>电        话：</w:t>
            </w:r>
          </w:p>
        </w:tc>
        <w:tc>
          <w:tcPr>
            <w:tcW w:w="2986" w:type="dxa"/>
          </w:tcPr>
          <w:p w14:paraId="221196D5">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44C4A388">
        <w:tblPrEx>
          <w:tblCellMar>
            <w:top w:w="0" w:type="dxa"/>
            <w:left w:w="108" w:type="dxa"/>
            <w:bottom w:w="0" w:type="dxa"/>
            <w:right w:w="108" w:type="dxa"/>
          </w:tblCellMar>
        </w:tblPrEx>
        <w:trPr>
          <w:gridAfter w:val="1"/>
          <w:wAfter w:w="811" w:type="dxa"/>
        </w:trPr>
        <w:tc>
          <w:tcPr>
            <w:tcW w:w="1682" w:type="dxa"/>
          </w:tcPr>
          <w:p w14:paraId="6300A6D5">
            <w:pPr>
              <w:spacing w:line="360" w:lineRule="auto"/>
              <w:rPr>
                <w:rFonts w:hint="eastAsia" w:ascii="仿宋" w:hAnsi="仿宋" w:eastAsia="仿宋" w:cs="仿宋"/>
                <w:sz w:val="20"/>
              </w:rPr>
            </w:pPr>
            <w:r>
              <w:rPr>
                <w:rFonts w:hint="eastAsia" w:ascii="仿宋" w:hAnsi="仿宋" w:eastAsia="仿宋" w:cs="仿宋"/>
                <w:sz w:val="20"/>
              </w:rPr>
              <w:t>传        真：</w:t>
            </w:r>
          </w:p>
        </w:tc>
        <w:tc>
          <w:tcPr>
            <w:tcW w:w="2962" w:type="dxa"/>
          </w:tcPr>
          <w:p w14:paraId="001EFB05">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01E6488D">
            <w:pPr>
              <w:spacing w:line="360" w:lineRule="auto"/>
              <w:rPr>
                <w:rFonts w:eastAsia="仿宋_GB2312"/>
                <w:sz w:val="28"/>
                <w:szCs w:val="28"/>
              </w:rPr>
            </w:pPr>
            <w:r>
              <w:rPr>
                <w:rFonts w:hint="eastAsia" w:ascii="仿宋" w:hAnsi="仿宋" w:eastAsia="仿宋" w:cs="仿宋"/>
                <w:sz w:val="20"/>
              </w:rPr>
              <w:t>传        真：</w:t>
            </w:r>
          </w:p>
        </w:tc>
        <w:tc>
          <w:tcPr>
            <w:tcW w:w="2986" w:type="dxa"/>
          </w:tcPr>
          <w:p w14:paraId="4B249F33">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737D7B09">
        <w:tblPrEx>
          <w:tblCellMar>
            <w:top w:w="0" w:type="dxa"/>
            <w:left w:w="108" w:type="dxa"/>
            <w:bottom w:w="0" w:type="dxa"/>
            <w:right w:w="108" w:type="dxa"/>
          </w:tblCellMar>
        </w:tblPrEx>
        <w:trPr>
          <w:gridAfter w:val="1"/>
          <w:wAfter w:w="811" w:type="dxa"/>
        </w:trPr>
        <w:tc>
          <w:tcPr>
            <w:tcW w:w="1682" w:type="dxa"/>
          </w:tcPr>
          <w:p w14:paraId="1102373F">
            <w:pPr>
              <w:spacing w:line="360" w:lineRule="auto"/>
              <w:rPr>
                <w:rFonts w:hint="eastAsia" w:ascii="仿宋" w:hAnsi="仿宋" w:eastAsia="仿宋" w:cs="仿宋"/>
                <w:sz w:val="20"/>
              </w:rPr>
            </w:pPr>
            <w:r>
              <w:rPr>
                <w:rFonts w:hint="eastAsia" w:ascii="仿宋" w:hAnsi="仿宋" w:eastAsia="仿宋" w:cs="仿宋"/>
                <w:sz w:val="20"/>
              </w:rPr>
              <w:t>开 户 银 行：</w:t>
            </w:r>
          </w:p>
        </w:tc>
        <w:tc>
          <w:tcPr>
            <w:tcW w:w="2962" w:type="dxa"/>
          </w:tcPr>
          <w:p w14:paraId="3CA6FFDD">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22FB8E71">
            <w:pPr>
              <w:spacing w:line="360" w:lineRule="auto"/>
              <w:rPr>
                <w:rFonts w:eastAsia="仿宋_GB2312"/>
                <w:sz w:val="28"/>
                <w:szCs w:val="28"/>
              </w:rPr>
            </w:pPr>
            <w:r>
              <w:rPr>
                <w:rFonts w:hint="eastAsia" w:ascii="仿宋" w:hAnsi="仿宋" w:eastAsia="仿宋" w:cs="仿宋"/>
                <w:sz w:val="20"/>
              </w:rPr>
              <w:t>开 户 银 行：</w:t>
            </w:r>
          </w:p>
        </w:tc>
        <w:tc>
          <w:tcPr>
            <w:tcW w:w="2986" w:type="dxa"/>
          </w:tcPr>
          <w:p w14:paraId="5A989AE4">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r w14:paraId="6EC8CDA1">
        <w:tblPrEx>
          <w:tblCellMar>
            <w:top w:w="0" w:type="dxa"/>
            <w:left w:w="108" w:type="dxa"/>
            <w:bottom w:w="0" w:type="dxa"/>
            <w:right w:w="108" w:type="dxa"/>
          </w:tblCellMar>
        </w:tblPrEx>
        <w:trPr>
          <w:gridAfter w:val="1"/>
          <w:wAfter w:w="811" w:type="dxa"/>
        </w:trPr>
        <w:tc>
          <w:tcPr>
            <w:tcW w:w="1682" w:type="dxa"/>
          </w:tcPr>
          <w:p w14:paraId="652CFF98">
            <w:pPr>
              <w:spacing w:line="360" w:lineRule="auto"/>
              <w:rPr>
                <w:rFonts w:hint="eastAsia" w:ascii="仿宋" w:hAnsi="仿宋" w:eastAsia="仿宋" w:cs="仿宋"/>
                <w:sz w:val="20"/>
              </w:rPr>
            </w:pPr>
            <w:r>
              <w:rPr>
                <w:rFonts w:hint="eastAsia" w:ascii="仿宋" w:hAnsi="仿宋" w:eastAsia="仿宋" w:cs="仿宋"/>
                <w:sz w:val="20"/>
              </w:rPr>
              <w:t>账        号：</w:t>
            </w:r>
          </w:p>
        </w:tc>
        <w:tc>
          <w:tcPr>
            <w:tcW w:w="2962" w:type="dxa"/>
          </w:tcPr>
          <w:p w14:paraId="4553BE27">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 </w:t>
            </w:r>
          </w:p>
        </w:tc>
        <w:tc>
          <w:tcPr>
            <w:tcW w:w="1658" w:type="dxa"/>
          </w:tcPr>
          <w:p w14:paraId="7E18D915">
            <w:pPr>
              <w:spacing w:line="360" w:lineRule="auto"/>
              <w:rPr>
                <w:rFonts w:eastAsia="仿宋_GB2312"/>
                <w:sz w:val="28"/>
                <w:szCs w:val="28"/>
              </w:rPr>
            </w:pPr>
            <w:r>
              <w:rPr>
                <w:rFonts w:hint="eastAsia" w:ascii="仿宋" w:hAnsi="仿宋" w:eastAsia="仿宋" w:cs="仿宋"/>
                <w:sz w:val="20"/>
              </w:rPr>
              <w:t>账        号：</w:t>
            </w:r>
          </w:p>
        </w:tc>
        <w:tc>
          <w:tcPr>
            <w:tcW w:w="2986" w:type="dxa"/>
          </w:tcPr>
          <w:p w14:paraId="15C26FB2">
            <w:pPr>
              <w:spacing w:line="360" w:lineRule="auto"/>
              <w:rPr>
                <w:rFonts w:hint="eastAsia" w:ascii="仿宋" w:hAnsi="仿宋" w:eastAsia="仿宋" w:cs="仿宋"/>
                <w:u w:val="single"/>
              </w:rPr>
            </w:pPr>
            <w:r>
              <w:rPr>
                <w:rFonts w:hint="eastAsia" w:ascii="仿宋" w:hAnsi="仿宋" w:eastAsia="仿宋" w:cs="仿宋"/>
                <w:sz w:val="20"/>
                <w:u w:val="single"/>
              </w:rPr>
              <w:t xml:space="preserve">                      </w:t>
            </w:r>
          </w:p>
        </w:tc>
      </w:tr>
    </w:tbl>
    <w:p w14:paraId="1F5A6761">
      <w:pPr>
        <w:pStyle w:val="7"/>
        <w:jc w:val="center"/>
        <w:rPr>
          <w:rFonts w:hint="eastAsia" w:ascii="华文中宋" w:hAnsi="华文中宋" w:eastAsia="华文中宋"/>
          <w:sz w:val="44"/>
          <w:szCs w:val="44"/>
        </w:rPr>
      </w:pPr>
      <w:r>
        <w:rPr>
          <w:rFonts w:eastAsia="仿宋_GB2312"/>
        </w:rPr>
        <w:br w:type="page"/>
      </w:r>
      <w:bookmarkStart w:id="189" w:name="_Toc351203494"/>
      <w:bookmarkStart w:id="190" w:name="_Toc7989"/>
      <w:bookmarkStart w:id="191" w:name="_Toc1921"/>
      <w:bookmarkStart w:id="192" w:name="_Toc17760"/>
      <w:bookmarkStart w:id="193" w:name="_Toc16227"/>
      <w:bookmarkStart w:id="194" w:name="_Toc2577"/>
      <w:r>
        <w:rPr>
          <w:rFonts w:ascii="华文中宋" w:hAnsi="华文中宋" w:eastAsia="华文中宋"/>
          <w:sz w:val="44"/>
          <w:szCs w:val="44"/>
        </w:rPr>
        <w:t>第二部分 通用合同条款</w:t>
      </w:r>
      <w:bookmarkEnd w:id="189"/>
      <w:bookmarkEnd w:id="190"/>
      <w:bookmarkEnd w:id="191"/>
      <w:bookmarkEnd w:id="192"/>
      <w:bookmarkEnd w:id="193"/>
      <w:bookmarkEnd w:id="194"/>
      <w:bookmarkStart w:id="195" w:name="_Toc337558727"/>
    </w:p>
    <w:p w14:paraId="38AE41D9">
      <w:pPr>
        <w:pStyle w:val="8"/>
        <w:spacing w:before="120" w:after="120" w:line="360" w:lineRule="auto"/>
        <w:rPr>
          <w:rFonts w:ascii="Times New Roman" w:hAnsi="Times New Roman" w:eastAsia="黑体"/>
          <w:b w:val="0"/>
          <w:sz w:val="32"/>
          <w:szCs w:val="32"/>
        </w:rPr>
      </w:pPr>
      <w:bookmarkStart w:id="196" w:name="_Toc351203495"/>
      <w:r>
        <w:rPr>
          <w:rFonts w:ascii="Times New Roman" w:hAnsi="Times New Roman" w:eastAsia="黑体"/>
          <w:b w:val="0"/>
          <w:sz w:val="32"/>
          <w:szCs w:val="32"/>
        </w:rPr>
        <w:t>1.</w:t>
      </w:r>
      <w:bookmarkStart w:id="197" w:name="_Toc303538972"/>
      <w:bookmarkEnd w:id="197"/>
      <w:bookmarkStart w:id="198" w:name="_Toc303538975"/>
      <w:bookmarkEnd w:id="198"/>
      <w:bookmarkStart w:id="199" w:name="_Toc303538976"/>
      <w:bookmarkEnd w:id="199"/>
      <w:bookmarkStart w:id="200" w:name="_Toc303538973"/>
      <w:bookmarkEnd w:id="200"/>
      <w:bookmarkStart w:id="201" w:name="_Toc303538974"/>
      <w:bookmarkEnd w:id="201"/>
      <w:bookmarkStart w:id="202" w:name="_Toc296503027"/>
      <w:bookmarkStart w:id="203" w:name="_Toc296346528"/>
      <w:r>
        <w:rPr>
          <w:rFonts w:ascii="Times New Roman" w:hAnsi="Times New Roman" w:eastAsia="黑体"/>
          <w:b w:val="0"/>
          <w:sz w:val="32"/>
          <w:szCs w:val="32"/>
        </w:rPr>
        <w:t>一般约定</w:t>
      </w:r>
      <w:bookmarkEnd w:id="195"/>
      <w:bookmarkEnd w:id="196"/>
      <w:bookmarkEnd w:id="202"/>
      <w:bookmarkEnd w:id="203"/>
    </w:p>
    <w:p w14:paraId="482888B0">
      <w:pPr>
        <w:pStyle w:val="9"/>
        <w:spacing w:before="120" w:after="120" w:line="360" w:lineRule="auto"/>
        <w:ind w:firstLine="600" w:firstLineChars="200"/>
        <w:rPr>
          <w:rFonts w:eastAsia="黑体"/>
          <w:b w:val="0"/>
          <w:i w:val="0"/>
          <w:iCs w:val="0"/>
          <w:sz w:val="30"/>
          <w:szCs w:val="32"/>
        </w:rPr>
      </w:pPr>
      <w:bookmarkStart w:id="204" w:name="_Toc337558728"/>
      <w:bookmarkStart w:id="205" w:name="_Toc296503028"/>
      <w:bookmarkStart w:id="206" w:name="_Toc296346529"/>
      <w:bookmarkStart w:id="207" w:name="_Toc351203496"/>
      <w:r>
        <w:rPr>
          <w:rFonts w:eastAsia="黑体"/>
          <w:b w:val="0"/>
          <w:i w:val="0"/>
          <w:iCs w:val="0"/>
          <w:sz w:val="30"/>
          <w:szCs w:val="32"/>
        </w:rPr>
        <w:t>1.1词语定义</w:t>
      </w:r>
      <w:bookmarkEnd w:id="204"/>
      <w:bookmarkEnd w:id="205"/>
      <w:bookmarkEnd w:id="206"/>
      <w:r>
        <w:rPr>
          <w:rFonts w:eastAsia="黑体"/>
          <w:b w:val="0"/>
          <w:i w:val="0"/>
          <w:iCs w:val="0"/>
          <w:sz w:val="30"/>
          <w:szCs w:val="32"/>
        </w:rPr>
        <w:t>与解释</w:t>
      </w:r>
      <w:bookmarkEnd w:id="207"/>
    </w:p>
    <w:p w14:paraId="2055892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合同协议书、通用合同条款、专用合同条款中的下列词语具有本款所赋予的含义：</w:t>
      </w:r>
    </w:p>
    <w:p w14:paraId="70349EDE">
      <w:pPr>
        <w:autoSpaceDE w:val="0"/>
        <w:autoSpaceDN w:val="0"/>
        <w:adjustRightInd w:val="0"/>
        <w:spacing w:line="360" w:lineRule="auto"/>
        <w:jc w:val="left"/>
        <w:rPr>
          <w:rFonts w:eastAsia="仿宋_GB2312"/>
          <w:kern w:val="0"/>
          <w:sz w:val="30"/>
          <w:szCs w:val="32"/>
        </w:rPr>
      </w:pPr>
      <w:r>
        <w:rPr>
          <w:rFonts w:eastAsia="仿宋_GB2312"/>
          <w:kern w:val="0"/>
          <w:sz w:val="30"/>
          <w:szCs w:val="32"/>
        </w:rPr>
        <w:t xml:space="preserve">    1.1.1合同</w:t>
      </w:r>
    </w:p>
    <w:p w14:paraId="6BADFA11">
      <w:pPr>
        <w:autoSpaceDE w:val="0"/>
        <w:autoSpaceDN w:val="0"/>
        <w:adjustRightInd w:val="0"/>
        <w:spacing w:line="360" w:lineRule="auto"/>
        <w:ind w:firstLine="600" w:firstLineChars="200"/>
        <w:jc w:val="left"/>
        <w:rPr>
          <w:rFonts w:eastAsia="仿宋_GB2312"/>
          <w:kern w:val="0"/>
          <w:sz w:val="30"/>
          <w:szCs w:val="30"/>
        </w:rPr>
      </w:pPr>
      <w:r>
        <w:rPr>
          <w:rFonts w:eastAsia="仿宋_GB2312"/>
          <w:kern w:val="0"/>
          <w:sz w:val="30"/>
          <w:szCs w:val="30"/>
        </w:rPr>
        <w:t>1.1.1.1合同：是指根据法律规定和合同当事人约定具有约束力的文件，构成合同的文件包括合同协议书、中标通知书（如果有）、投标函及其附录（如果有）、专用合同条款</w:t>
      </w:r>
      <w:r>
        <w:rPr>
          <w:rFonts w:eastAsia="仿宋_GB2312"/>
          <w:sz w:val="30"/>
          <w:szCs w:val="30"/>
        </w:rPr>
        <w:t>及其附件</w:t>
      </w:r>
      <w:r>
        <w:rPr>
          <w:rFonts w:eastAsia="仿宋_GB2312"/>
          <w:kern w:val="0"/>
          <w:sz w:val="30"/>
          <w:szCs w:val="30"/>
        </w:rPr>
        <w:t>、通用合同条款、技术标准和要求、图纸、已标价工程量清单或预算书以及其他合同文件。</w:t>
      </w:r>
    </w:p>
    <w:p w14:paraId="739F919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1.1.1.2合同协议书：是指构成合同的由发包人和承包人共同签署的称为“合同协议书”的书面文件</w:t>
      </w:r>
      <w:r>
        <w:rPr>
          <w:rFonts w:hint="eastAsia" w:eastAsia="仿宋_GB2312"/>
          <w:kern w:val="0"/>
          <w:sz w:val="30"/>
          <w:szCs w:val="32"/>
        </w:rPr>
        <w:t>。</w:t>
      </w:r>
    </w:p>
    <w:p w14:paraId="33442C8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1.1.1.3中标通知书：是指构成合同的</w:t>
      </w:r>
      <w:r>
        <w:rPr>
          <w:rFonts w:hint="eastAsia" w:eastAsia="仿宋_GB2312"/>
          <w:kern w:val="0"/>
          <w:sz w:val="30"/>
          <w:szCs w:val="32"/>
        </w:rPr>
        <w:t>由</w:t>
      </w:r>
      <w:r>
        <w:rPr>
          <w:rFonts w:eastAsia="仿宋_GB2312"/>
          <w:kern w:val="0"/>
          <w:sz w:val="30"/>
          <w:szCs w:val="32"/>
        </w:rPr>
        <w:t>发包人通知承包人中标的书面文件。</w:t>
      </w:r>
    </w:p>
    <w:p w14:paraId="1917273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1.1.1.4投标函：是指构成合同的由承包人填写并签署的用于投标的称为“投标函”的文件。</w:t>
      </w:r>
    </w:p>
    <w:p w14:paraId="22D897C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1.1.1.5投标函附录：是指构成合同的附在投标函后的称为“投标函附录”的文件。</w:t>
      </w:r>
    </w:p>
    <w:p w14:paraId="39A4B08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1.1.1.6技术标准和要求：是指构成合同的施工应当遵守的或指导施工的国家、行业或地方的技术标准和要求，以及合同约定的技术标准和要求。</w:t>
      </w:r>
    </w:p>
    <w:p w14:paraId="7819A633">
      <w:pPr>
        <w:spacing w:line="360" w:lineRule="auto"/>
        <w:ind w:firstLine="600" w:firstLineChars="200"/>
        <w:jc w:val="left"/>
        <w:rPr>
          <w:rFonts w:eastAsia="仿宋_GB2312"/>
          <w:kern w:val="0"/>
          <w:sz w:val="30"/>
          <w:szCs w:val="32"/>
        </w:rPr>
      </w:pPr>
      <w:r>
        <w:rPr>
          <w:rFonts w:eastAsia="仿宋_GB2312"/>
          <w:kern w:val="0"/>
          <w:sz w:val="30"/>
          <w:szCs w:val="32"/>
        </w:rPr>
        <w:t>1.1.1.7图纸：是指构成合同的图纸，包括由发包人按照合同约定提供或经发包人批准的设计文件、</w:t>
      </w:r>
      <w:r>
        <w:rPr>
          <w:rFonts w:hint="eastAsia" w:eastAsia="仿宋_GB2312"/>
          <w:kern w:val="0"/>
          <w:sz w:val="30"/>
          <w:szCs w:val="32"/>
        </w:rPr>
        <w:t>施工图、</w:t>
      </w:r>
      <w:r>
        <w:rPr>
          <w:rFonts w:eastAsia="仿宋_GB2312"/>
          <w:kern w:val="0"/>
          <w:sz w:val="30"/>
          <w:szCs w:val="32"/>
        </w:rPr>
        <w:t>鸟瞰图及模型等，</w:t>
      </w:r>
      <w:r>
        <w:rPr>
          <w:rFonts w:hint="eastAsia" w:eastAsia="仿宋_GB2312"/>
          <w:kern w:val="0"/>
          <w:sz w:val="30"/>
          <w:szCs w:val="32"/>
        </w:rPr>
        <w:t>以及在合同履行过程中形成的图纸文件。图纸</w:t>
      </w:r>
      <w:r>
        <w:rPr>
          <w:rFonts w:eastAsia="仿宋_GB2312"/>
          <w:kern w:val="0"/>
          <w:sz w:val="30"/>
          <w:szCs w:val="32"/>
        </w:rPr>
        <w:t>应当按照法律规定审查合格。</w:t>
      </w:r>
    </w:p>
    <w:p w14:paraId="102D55C6">
      <w:pPr>
        <w:autoSpaceDE w:val="0"/>
        <w:autoSpaceDN w:val="0"/>
        <w:adjustRightInd w:val="0"/>
        <w:spacing w:line="360" w:lineRule="auto"/>
        <w:ind w:firstLine="585" w:firstLineChars="195"/>
        <w:jc w:val="left"/>
        <w:rPr>
          <w:rFonts w:eastAsia="仿宋_GB2312"/>
          <w:kern w:val="0"/>
          <w:sz w:val="30"/>
          <w:szCs w:val="32"/>
        </w:rPr>
      </w:pPr>
      <w:r>
        <w:rPr>
          <w:rFonts w:eastAsia="仿宋_GB2312"/>
          <w:kern w:val="0"/>
          <w:sz w:val="30"/>
          <w:szCs w:val="32"/>
        </w:rPr>
        <w:t>1.1.1.8已标价工程量清单：是指构成合同的由承包人按照规定的格式和要求填写并标明价格的工程量清单，包括说明和表格。</w:t>
      </w:r>
    </w:p>
    <w:p w14:paraId="6890D092">
      <w:pPr>
        <w:autoSpaceDE w:val="0"/>
        <w:autoSpaceDN w:val="0"/>
        <w:adjustRightInd w:val="0"/>
        <w:spacing w:line="360" w:lineRule="auto"/>
        <w:ind w:firstLine="585" w:firstLineChars="195"/>
        <w:jc w:val="left"/>
        <w:rPr>
          <w:rFonts w:eastAsia="仿宋_GB2312"/>
          <w:kern w:val="0"/>
          <w:sz w:val="30"/>
          <w:szCs w:val="32"/>
        </w:rPr>
      </w:pPr>
      <w:r>
        <w:rPr>
          <w:rFonts w:eastAsia="仿宋_GB2312"/>
          <w:kern w:val="0"/>
          <w:sz w:val="30"/>
          <w:szCs w:val="32"/>
        </w:rPr>
        <w:t>1.1.1.9预算书：是指构成合同的由承包人按照发包人规定的格式和要求编制的工程预算文件。</w:t>
      </w:r>
    </w:p>
    <w:p w14:paraId="1806E0F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1.1.1.10其他合同文件：是指经合同当事人约定的与工程施工有关的具有合同约束力的文件或书面协议。合同当事人可以在专用合同条款中进行约定。</w:t>
      </w:r>
    </w:p>
    <w:p w14:paraId="49E62049">
      <w:pPr>
        <w:autoSpaceDE w:val="0"/>
        <w:autoSpaceDN w:val="0"/>
        <w:adjustRightInd w:val="0"/>
        <w:spacing w:line="360" w:lineRule="auto"/>
        <w:jc w:val="left"/>
        <w:rPr>
          <w:rFonts w:eastAsia="仿宋_GB2312"/>
          <w:kern w:val="0"/>
          <w:sz w:val="30"/>
          <w:szCs w:val="32"/>
        </w:rPr>
      </w:pPr>
      <w:r>
        <w:rPr>
          <w:rFonts w:eastAsia="仿宋_GB2312"/>
          <w:kern w:val="0"/>
          <w:sz w:val="30"/>
          <w:szCs w:val="32"/>
        </w:rPr>
        <w:t xml:space="preserve">    1.1.2合同当事人及其他相关方</w:t>
      </w:r>
    </w:p>
    <w:p w14:paraId="66FD538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1.1.2.1合同当事人：是指发包人和（或）承包人。</w:t>
      </w:r>
    </w:p>
    <w:p w14:paraId="29A0A01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1.1.2.2发包人：是指与承包人签订合同协议书的当事人及取得该当事人资格的合法继承人。</w:t>
      </w:r>
    </w:p>
    <w:p w14:paraId="1874F06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1.1.2.3承包人：是指与发包人签订合同协议书的，具有相应工程施工承包资质的当事人及取得该当事人资格的合法继承人。</w:t>
      </w:r>
    </w:p>
    <w:p w14:paraId="5CAD310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1.1.2.4监理人：是指在专用合同条款中指明的，受发包人委托按照法律规定进行工程监督管理的法人或其他组织。</w:t>
      </w:r>
    </w:p>
    <w:p w14:paraId="1EA8E96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1.1.2.5设计人：是指在专用合同条款中指明的，受发包人委托负责工程设计并具备相应工程设计资质的法人或其他组织。</w:t>
      </w:r>
    </w:p>
    <w:p w14:paraId="7FBEEF83">
      <w:pPr>
        <w:spacing w:line="360" w:lineRule="auto"/>
        <w:ind w:firstLine="585" w:firstLineChars="195"/>
        <w:jc w:val="left"/>
        <w:rPr>
          <w:rFonts w:eastAsia="仿宋_GB2312"/>
          <w:kern w:val="0"/>
          <w:sz w:val="30"/>
          <w:szCs w:val="32"/>
        </w:rPr>
      </w:pPr>
      <w:r>
        <w:rPr>
          <w:rFonts w:eastAsia="仿宋_GB2312"/>
          <w:kern w:val="0"/>
          <w:sz w:val="30"/>
          <w:szCs w:val="32"/>
        </w:rPr>
        <w:t>1.1.2.6分包人：</w:t>
      </w:r>
      <w:bookmarkStart w:id="208" w:name="#go5"/>
      <w:bookmarkEnd w:id="208"/>
      <w:r>
        <w:rPr>
          <w:rFonts w:eastAsia="仿宋_GB2312"/>
          <w:kern w:val="0"/>
          <w:sz w:val="30"/>
          <w:szCs w:val="32"/>
        </w:rPr>
        <w:t>是指</w:t>
      </w:r>
      <w:r>
        <w:rPr>
          <w:rFonts w:hint="eastAsia" w:eastAsia="仿宋_GB2312"/>
          <w:kern w:val="0"/>
          <w:sz w:val="30"/>
          <w:szCs w:val="32"/>
        </w:rPr>
        <w:t>按照法律规定和</w:t>
      </w:r>
      <w:r>
        <w:rPr>
          <w:rFonts w:eastAsia="仿宋_GB2312"/>
          <w:kern w:val="0"/>
          <w:sz w:val="30"/>
          <w:szCs w:val="32"/>
        </w:rPr>
        <w:t>合同约定，分包</w:t>
      </w:r>
      <w:r>
        <w:rPr>
          <w:rFonts w:hint="eastAsia" w:eastAsia="仿宋_GB2312"/>
          <w:kern w:val="0"/>
          <w:sz w:val="30"/>
          <w:szCs w:val="32"/>
        </w:rPr>
        <w:t>部分</w:t>
      </w:r>
      <w:r>
        <w:rPr>
          <w:rFonts w:eastAsia="仿宋_GB2312"/>
          <w:kern w:val="0"/>
          <w:sz w:val="30"/>
          <w:szCs w:val="32"/>
        </w:rPr>
        <w:t>工程</w:t>
      </w:r>
      <w:r>
        <w:rPr>
          <w:rFonts w:hint="eastAsia" w:eastAsia="仿宋_GB2312"/>
          <w:kern w:val="0"/>
          <w:sz w:val="30"/>
          <w:szCs w:val="32"/>
        </w:rPr>
        <w:t>或工作</w:t>
      </w:r>
      <w:r>
        <w:rPr>
          <w:rFonts w:eastAsia="仿宋_GB2312"/>
          <w:kern w:val="0"/>
          <w:sz w:val="30"/>
          <w:szCs w:val="32"/>
        </w:rPr>
        <w:t>，并与</w:t>
      </w:r>
      <w:r>
        <w:rPr>
          <w:rFonts w:hint="eastAsia" w:eastAsia="仿宋_GB2312"/>
          <w:kern w:val="0"/>
          <w:sz w:val="30"/>
          <w:szCs w:val="32"/>
        </w:rPr>
        <w:t>承包人</w:t>
      </w:r>
      <w:r>
        <w:rPr>
          <w:rFonts w:eastAsia="仿宋_GB2312"/>
          <w:kern w:val="0"/>
          <w:sz w:val="30"/>
          <w:szCs w:val="32"/>
        </w:rPr>
        <w:t>签订分包合同的法人。</w:t>
      </w:r>
    </w:p>
    <w:p w14:paraId="788C994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1.1.2.7发包人代表：是指由发包人任命并派驻施工现场在发包人授权范围内行使发包人权利的人。</w:t>
      </w:r>
    </w:p>
    <w:p w14:paraId="727094D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1.1.2.8项目经理：是指由承包人任命并派驻施工现场，在承包人授权范围内负责合同履行，且按照法律规定具有相应资格的</w:t>
      </w:r>
      <w:r>
        <w:rPr>
          <w:rFonts w:hint="eastAsia" w:eastAsia="仿宋_GB2312"/>
          <w:kern w:val="0"/>
          <w:sz w:val="30"/>
          <w:szCs w:val="32"/>
        </w:rPr>
        <w:t>项目负责</w:t>
      </w:r>
      <w:r>
        <w:rPr>
          <w:rFonts w:eastAsia="仿宋_GB2312"/>
          <w:kern w:val="0"/>
          <w:sz w:val="30"/>
          <w:szCs w:val="32"/>
        </w:rPr>
        <w:t>人。</w:t>
      </w:r>
    </w:p>
    <w:p w14:paraId="3833988C">
      <w:pPr>
        <w:spacing w:line="360" w:lineRule="auto"/>
        <w:ind w:firstLine="600" w:firstLineChars="200"/>
        <w:jc w:val="left"/>
        <w:rPr>
          <w:rFonts w:eastAsia="仿宋_GB2312"/>
          <w:kern w:val="0"/>
          <w:sz w:val="30"/>
          <w:szCs w:val="32"/>
        </w:rPr>
      </w:pPr>
      <w:r>
        <w:rPr>
          <w:rFonts w:eastAsia="仿宋_GB2312"/>
          <w:kern w:val="0"/>
          <w:sz w:val="30"/>
          <w:szCs w:val="32"/>
        </w:rPr>
        <w:t>1.1.2.9总监理工程师：是指由监理人任命并派驻施工现场进行工程监理的总负责人。</w:t>
      </w:r>
    </w:p>
    <w:p w14:paraId="435AB736">
      <w:pPr>
        <w:spacing w:line="360" w:lineRule="auto"/>
        <w:ind w:firstLine="600" w:firstLineChars="200"/>
        <w:jc w:val="left"/>
        <w:rPr>
          <w:rFonts w:eastAsia="仿宋_GB2312"/>
          <w:kern w:val="0"/>
          <w:sz w:val="30"/>
          <w:szCs w:val="32"/>
        </w:rPr>
      </w:pPr>
      <w:r>
        <w:rPr>
          <w:rFonts w:eastAsia="仿宋_GB2312"/>
          <w:kern w:val="0"/>
          <w:sz w:val="30"/>
          <w:szCs w:val="32"/>
        </w:rPr>
        <w:t>1.1.3工程和设备</w:t>
      </w:r>
    </w:p>
    <w:p w14:paraId="2D424C89">
      <w:pPr>
        <w:spacing w:line="360" w:lineRule="auto"/>
        <w:ind w:firstLine="600" w:firstLineChars="200"/>
        <w:jc w:val="left"/>
        <w:rPr>
          <w:rFonts w:eastAsia="仿宋_GB2312"/>
          <w:kern w:val="0"/>
          <w:sz w:val="30"/>
          <w:szCs w:val="32"/>
        </w:rPr>
      </w:pPr>
      <w:r>
        <w:rPr>
          <w:rFonts w:eastAsia="仿宋_GB2312"/>
          <w:kern w:val="0"/>
          <w:sz w:val="30"/>
          <w:szCs w:val="32"/>
        </w:rPr>
        <w:t>1.1.3.1工程：是指与合同协议书中工程承包范围对应的永久工程和（或）临时工程。</w:t>
      </w:r>
    </w:p>
    <w:p w14:paraId="3912BB68">
      <w:pPr>
        <w:spacing w:line="360" w:lineRule="auto"/>
        <w:ind w:firstLine="600" w:firstLineChars="200"/>
        <w:jc w:val="left"/>
        <w:rPr>
          <w:rFonts w:eastAsia="仿宋_GB2312"/>
          <w:kern w:val="0"/>
          <w:sz w:val="30"/>
          <w:szCs w:val="32"/>
        </w:rPr>
      </w:pPr>
      <w:r>
        <w:rPr>
          <w:rFonts w:eastAsia="仿宋_GB2312"/>
          <w:kern w:val="0"/>
          <w:sz w:val="30"/>
          <w:szCs w:val="32"/>
        </w:rPr>
        <w:t>1.1.3.2永久工程：是指按合同约定建造并移交给发包人的工程，包括工程设备。</w:t>
      </w:r>
    </w:p>
    <w:p w14:paraId="3375B781">
      <w:pPr>
        <w:spacing w:line="360" w:lineRule="auto"/>
        <w:ind w:firstLine="600" w:firstLineChars="200"/>
        <w:jc w:val="left"/>
        <w:rPr>
          <w:rFonts w:eastAsia="仿宋_GB2312"/>
          <w:kern w:val="0"/>
          <w:sz w:val="30"/>
          <w:szCs w:val="32"/>
        </w:rPr>
      </w:pPr>
      <w:r>
        <w:rPr>
          <w:rFonts w:eastAsia="仿宋_GB2312"/>
          <w:kern w:val="0"/>
          <w:sz w:val="30"/>
          <w:szCs w:val="32"/>
        </w:rPr>
        <w:t>1.1.3.3临时工程：是指为完成合同约定的永久工程所修建的各类临时性工程，不包括施工设备。</w:t>
      </w:r>
    </w:p>
    <w:p w14:paraId="5D4F458E">
      <w:pPr>
        <w:spacing w:line="360" w:lineRule="auto"/>
        <w:ind w:firstLine="600" w:firstLineChars="200"/>
        <w:jc w:val="left"/>
        <w:rPr>
          <w:rFonts w:eastAsia="仿宋_GB2312"/>
          <w:kern w:val="0"/>
          <w:sz w:val="30"/>
          <w:szCs w:val="32"/>
        </w:rPr>
      </w:pPr>
      <w:r>
        <w:rPr>
          <w:rFonts w:eastAsia="仿宋_GB2312"/>
          <w:kern w:val="0"/>
          <w:sz w:val="30"/>
          <w:szCs w:val="32"/>
        </w:rPr>
        <w:t>1.1.3.4单位工程：是指在</w:t>
      </w:r>
      <w:r>
        <w:rPr>
          <w:rFonts w:hint="eastAsia" w:eastAsia="仿宋_GB2312"/>
          <w:kern w:val="0"/>
          <w:sz w:val="30"/>
          <w:szCs w:val="32"/>
        </w:rPr>
        <w:t>合同协议书</w:t>
      </w:r>
      <w:r>
        <w:rPr>
          <w:rFonts w:eastAsia="仿宋_GB2312"/>
          <w:kern w:val="0"/>
          <w:sz w:val="30"/>
          <w:szCs w:val="32"/>
        </w:rPr>
        <w:t>中指明的，具备独立施工条件并能形成独立使用功能的永久工程。</w:t>
      </w:r>
    </w:p>
    <w:p w14:paraId="512ABB7B">
      <w:pPr>
        <w:spacing w:line="360" w:lineRule="auto"/>
        <w:ind w:firstLine="600" w:firstLineChars="200"/>
        <w:jc w:val="left"/>
        <w:rPr>
          <w:rFonts w:eastAsia="仿宋_GB2312"/>
          <w:kern w:val="0"/>
          <w:sz w:val="30"/>
          <w:szCs w:val="32"/>
        </w:rPr>
      </w:pPr>
      <w:r>
        <w:rPr>
          <w:rFonts w:eastAsia="仿宋_GB2312"/>
          <w:kern w:val="0"/>
          <w:sz w:val="30"/>
          <w:szCs w:val="32"/>
        </w:rPr>
        <w:t>1.1.3.5工程设备：是指构成永久工程的机电设备、金属结构设备、仪器及其他类似的设备和装置。</w:t>
      </w:r>
    </w:p>
    <w:p w14:paraId="46150F4E">
      <w:pPr>
        <w:spacing w:line="360" w:lineRule="auto"/>
        <w:ind w:firstLine="600" w:firstLineChars="200"/>
        <w:jc w:val="left"/>
        <w:rPr>
          <w:rFonts w:eastAsia="仿宋_GB2312"/>
          <w:kern w:val="0"/>
          <w:sz w:val="30"/>
          <w:szCs w:val="32"/>
        </w:rPr>
      </w:pPr>
      <w:r>
        <w:rPr>
          <w:rFonts w:eastAsia="仿宋_GB2312"/>
          <w:kern w:val="0"/>
          <w:sz w:val="30"/>
          <w:szCs w:val="32"/>
        </w:rPr>
        <w:t>1.1.3.6施工设备：是指为完成合同约定的各项工作所需的设备、器具和其他物品，但不包括工程设备、临时工程和材料。</w:t>
      </w:r>
    </w:p>
    <w:p w14:paraId="3416B4BC">
      <w:pPr>
        <w:spacing w:line="360" w:lineRule="auto"/>
        <w:ind w:firstLine="600" w:firstLineChars="200"/>
        <w:jc w:val="left"/>
        <w:rPr>
          <w:rFonts w:eastAsia="仿宋_GB2312"/>
          <w:kern w:val="0"/>
          <w:sz w:val="30"/>
          <w:szCs w:val="32"/>
        </w:rPr>
      </w:pPr>
      <w:r>
        <w:rPr>
          <w:rFonts w:eastAsia="仿宋_GB2312"/>
          <w:kern w:val="0"/>
          <w:sz w:val="30"/>
          <w:szCs w:val="32"/>
        </w:rPr>
        <w:t>1.1.3.7施工现场：是指用于工程施工的场所，以及在专用合同条款中</w:t>
      </w:r>
      <w:r>
        <w:rPr>
          <w:rFonts w:hint="eastAsia" w:eastAsia="仿宋_GB2312"/>
          <w:kern w:val="0"/>
          <w:sz w:val="30"/>
          <w:szCs w:val="32"/>
        </w:rPr>
        <w:t>指</w:t>
      </w:r>
      <w:r>
        <w:rPr>
          <w:rFonts w:eastAsia="仿宋_GB2312"/>
          <w:kern w:val="0"/>
          <w:sz w:val="30"/>
          <w:szCs w:val="32"/>
        </w:rPr>
        <w:t>明作为施工场所组成部分的其他场所，包括永久占地和临时占地。</w:t>
      </w:r>
    </w:p>
    <w:p w14:paraId="641A782C">
      <w:pPr>
        <w:spacing w:line="360" w:lineRule="auto"/>
        <w:ind w:firstLine="600" w:firstLineChars="200"/>
        <w:jc w:val="left"/>
        <w:rPr>
          <w:rFonts w:eastAsia="仿宋_GB2312"/>
          <w:kern w:val="0"/>
          <w:sz w:val="30"/>
          <w:szCs w:val="32"/>
        </w:rPr>
      </w:pPr>
      <w:r>
        <w:rPr>
          <w:rFonts w:eastAsia="仿宋_GB2312"/>
          <w:kern w:val="0"/>
          <w:sz w:val="30"/>
          <w:szCs w:val="32"/>
        </w:rPr>
        <w:t>1.1.3.8临时设施：是指为完成合同约定的各项工作所服务的临时性生产和生活设施。</w:t>
      </w:r>
    </w:p>
    <w:p w14:paraId="25D1015E">
      <w:pPr>
        <w:spacing w:line="360" w:lineRule="auto"/>
        <w:ind w:firstLine="600" w:firstLineChars="200"/>
        <w:jc w:val="left"/>
        <w:rPr>
          <w:rFonts w:eastAsia="仿宋_GB2312"/>
          <w:kern w:val="0"/>
          <w:sz w:val="30"/>
          <w:szCs w:val="32"/>
        </w:rPr>
      </w:pPr>
      <w:r>
        <w:rPr>
          <w:rFonts w:eastAsia="仿宋_GB2312"/>
          <w:kern w:val="0"/>
          <w:sz w:val="30"/>
          <w:szCs w:val="32"/>
        </w:rPr>
        <w:t>1.1.3.9永久占地：是指专用合同条款中指明为实施工程需永久占用的土地。</w:t>
      </w:r>
    </w:p>
    <w:p w14:paraId="188AC864">
      <w:pPr>
        <w:spacing w:line="360" w:lineRule="auto"/>
        <w:ind w:firstLine="600" w:firstLineChars="200"/>
        <w:jc w:val="left"/>
        <w:rPr>
          <w:rFonts w:eastAsia="仿宋_GB2312"/>
          <w:kern w:val="0"/>
          <w:sz w:val="30"/>
          <w:szCs w:val="32"/>
        </w:rPr>
      </w:pPr>
      <w:r>
        <w:rPr>
          <w:rFonts w:eastAsia="仿宋_GB2312"/>
          <w:kern w:val="0"/>
          <w:sz w:val="30"/>
          <w:szCs w:val="32"/>
        </w:rPr>
        <w:t>1.1.3.10临时占地：是指专用合同条款中指明为实施工程需要临时占用的土地。</w:t>
      </w:r>
    </w:p>
    <w:p w14:paraId="4F8D49A0">
      <w:pPr>
        <w:spacing w:line="360" w:lineRule="auto"/>
        <w:ind w:firstLine="600" w:firstLineChars="200"/>
        <w:jc w:val="left"/>
        <w:rPr>
          <w:rFonts w:eastAsia="仿宋_GB2312"/>
          <w:kern w:val="0"/>
          <w:sz w:val="30"/>
          <w:szCs w:val="32"/>
        </w:rPr>
      </w:pPr>
      <w:r>
        <w:rPr>
          <w:rFonts w:eastAsia="仿宋_GB2312"/>
          <w:kern w:val="0"/>
          <w:sz w:val="30"/>
          <w:szCs w:val="32"/>
        </w:rPr>
        <w:t>1.1.4日期和期限</w:t>
      </w:r>
    </w:p>
    <w:p w14:paraId="7B7B03C0">
      <w:pPr>
        <w:spacing w:line="360" w:lineRule="auto"/>
        <w:ind w:firstLine="600" w:firstLineChars="200"/>
        <w:jc w:val="left"/>
        <w:rPr>
          <w:rFonts w:eastAsia="仿宋_GB2312"/>
          <w:kern w:val="0"/>
          <w:sz w:val="30"/>
          <w:szCs w:val="32"/>
        </w:rPr>
      </w:pPr>
      <w:r>
        <w:rPr>
          <w:rFonts w:eastAsia="仿宋_GB2312"/>
          <w:kern w:val="0"/>
          <w:sz w:val="30"/>
          <w:szCs w:val="32"/>
        </w:rPr>
        <w:t>1.1.4.1开工日期：包括计划开工日期和实际开工日期。计划开工日期是指合同协议书约定的开工日期；实际开工日期是指监理人按照第7.3.2项</w:t>
      </w:r>
      <w:r>
        <w:rPr>
          <w:rFonts w:hint="eastAsia" w:eastAsia="仿宋_GB2312"/>
          <w:kern w:val="0"/>
          <w:sz w:val="30"/>
          <w:szCs w:val="32"/>
        </w:rPr>
        <w:t>〔</w:t>
      </w:r>
      <w:r>
        <w:rPr>
          <w:rFonts w:eastAsia="仿宋_GB2312"/>
          <w:kern w:val="0"/>
          <w:sz w:val="30"/>
          <w:szCs w:val="32"/>
        </w:rPr>
        <w:t>开工通知</w:t>
      </w:r>
      <w:r>
        <w:rPr>
          <w:rFonts w:hint="eastAsia" w:eastAsia="仿宋_GB2312"/>
          <w:kern w:val="0"/>
          <w:sz w:val="30"/>
          <w:szCs w:val="32"/>
        </w:rPr>
        <w:t>〕</w:t>
      </w:r>
      <w:r>
        <w:rPr>
          <w:rFonts w:eastAsia="仿宋_GB2312"/>
          <w:kern w:val="0"/>
          <w:sz w:val="30"/>
          <w:szCs w:val="32"/>
        </w:rPr>
        <w:t>约定发出的符合法律规定的开工通知中载明的开工日期。</w:t>
      </w:r>
    </w:p>
    <w:p w14:paraId="3228D738">
      <w:pPr>
        <w:spacing w:line="360" w:lineRule="auto"/>
        <w:ind w:firstLine="600" w:firstLineChars="200"/>
        <w:jc w:val="left"/>
        <w:rPr>
          <w:rFonts w:eastAsia="仿宋_GB2312"/>
          <w:kern w:val="0"/>
          <w:sz w:val="30"/>
          <w:szCs w:val="32"/>
        </w:rPr>
      </w:pPr>
      <w:r>
        <w:rPr>
          <w:rFonts w:eastAsia="仿宋_GB2312"/>
          <w:kern w:val="0"/>
          <w:sz w:val="30"/>
          <w:szCs w:val="32"/>
        </w:rPr>
        <w:t>1.1.4.2竣工日期：包括计划竣工日期和实际竣工日期。计划竣工日期是指合同协议书约定的竣工日期</w:t>
      </w:r>
      <w:r>
        <w:rPr>
          <w:rFonts w:hint="eastAsia" w:eastAsia="仿宋_GB2312"/>
          <w:kern w:val="0"/>
          <w:sz w:val="30"/>
          <w:szCs w:val="32"/>
        </w:rPr>
        <w:t>；</w:t>
      </w:r>
      <w:r>
        <w:rPr>
          <w:rFonts w:eastAsia="仿宋_GB2312"/>
          <w:kern w:val="0"/>
          <w:sz w:val="30"/>
          <w:szCs w:val="32"/>
        </w:rPr>
        <w:t>实际竣工日期按照第13.2.3项</w:t>
      </w:r>
      <w:r>
        <w:rPr>
          <w:rFonts w:hint="eastAsia" w:eastAsia="仿宋_GB2312"/>
          <w:kern w:val="0"/>
          <w:sz w:val="30"/>
          <w:szCs w:val="32"/>
        </w:rPr>
        <w:t>〔</w:t>
      </w:r>
      <w:r>
        <w:rPr>
          <w:rFonts w:eastAsia="仿宋_GB2312"/>
          <w:kern w:val="0"/>
          <w:sz w:val="30"/>
          <w:szCs w:val="32"/>
        </w:rPr>
        <w:t>竣工日期</w:t>
      </w:r>
      <w:r>
        <w:rPr>
          <w:rFonts w:hint="eastAsia" w:eastAsia="仿宋_GB2312"/>
          <w:kern w:val="0"/>
          <w:sz w:val="30"/>
          <w:szCs w:val="32"/>
        </w:rPr>
        <w:t>〕</w:t>
      </w:r>
      <w:r>
        <w:rPr>
          <w:rFonts w:eastAsia="仿宋_GB2312"/>
          <w:kern w:val="0"/>
          <w:sz w:val="30"/>
          <w:szCs w:val="32"/>
        </w:rPr>
        <w:t xml:space="preserve">的约定确定。 </w:t>
      </w:r>
    </w:p>
    <w:p w14:paraId="164F81AF">
      <w:pPr>
        <w:spacing w:line="360" w:lineRule="auto"/>
        <w:ind w:firstLine="608" w:firstLineChars="203"/>
        <w:rPr>
          <w:rFonts w:eastAsia="仿宋_GB2312"/>
          <w:sz w:val="30"/>
          <w:szCs w:val="32"/>
        </w:rPr>
      </w:pPr>
      <w:r>
        <w:rPr>
          <w:rFonts w:eastAsia="仿宋_GB2312"/>
          <w:kern w:val="0"/>
          <w:sz w:val="30"/>
          <w:szCs w:val="32"/>
        </w:rPr>
        <w:t>1.1.4.3工期：是指在合同协议书约定的承包人完成工程所需的期限，包括按照合同约定所作的</w:t>
      </w:r>
      <w:r>
        <w:rPr>
          <w:rFonts w:hint="eastAsia" w:eastAsia="仿宋_GB2312"/>
          <w:kern w:val="0"/>
          <w:sz w:val="30"/>
          <w:szCs w:val="32"/>
        </w:rPr>
        <w:t>期限</w:t>
      </w:r>
      <w:r>
        <w:rPr>
          <w:rFonts w:eastAsia="仿宋_GB2312"/>
          <w:kern w:val="0"/>
          <w:sz w:val="30"/>
          <w:szCs w:val="32"/>
        </w:rPr>
        <w:t>变更。</w:t>
      </w:r>
    </w:p>
    <w:p w14:paraId="786DF76A">
      <w:pPr>
        <w:spacing w:line="360" w:lineRule="auto"/>
        <w:ind w:firstLine="600" w:firstLineChars="200"/>
        <w:jc w:val="left"/>
        <w:rPr>
          <w:rFonts w:eastAsia="仿宋_GB2312"/>
          <w:kern w:val="0"/>
          <w:sz w:val="30"/>
          <w:szCs w:val="32"/>
        </w:rPr>
      </w:pPr>
      <w:r>
        <w:rPr>
          <w:rFonts w:eastAsia="仿宋_GB2312"/>
          <w:kern w:val="0"/>
          <w:sz w:val="30"/>
          <w:szCs w:val="32"/>
        </w:rPr>
        <w:t>1.1.4.4缺陷责任期：是指承包人按照合同约定承担缺陷修复义务，且发包人</w:t>
      </w:r>
      <w:r>
        <w:rPr>
          <w:rFonts w:hint="eastAsia" w:eastAsia="仿宋_GB2312"/>
          <w:kern w:val="0"/>
          <w:sz w:val="30"/>
          <w:szCs w:val="32"/>
        </w:rPr>
        <w:t>预</w:t>
      </w:r>
      <w:r>
        <w:rPr>
          <w:rFonts w:eastAsia="仿宋_GB2312"/>
          <w:kern w:val="0"/>
          <w:sz w:val="30"/>
          <w:szCs w:val="32"/>
        </w:rPr>
        <w:t>留质量保证金</w:t>
      </w:r>
      <w:r>
        <w:rPr>
          <w:rFonts w:hint="eastAsia" w:eastAsia="仿宋_GB2312"/>
          <w:kern w:val="0"/>
          <w:sz w:val="30"/>
          <w:szCs w:val="32"/>
        </w:rPr>
        <w:t>（已</w:t>
      </w:r>
      <w:r>
        <w:rPr>
          <w:rFonts w:eastAsia="仿宋_GB2312"/>
          <w:kern w:val="0"/>
          <w:sz w:val="30"/>
          <w:szCs w:val="32"/>
        </w:rPr>
        <w:t>缴纳履约保证金的除外</w:t>
      </w:r>
      <w:r>
        <w:rPr>
          <w:rFonts w:hint="eastAsia" w:eastAsia="仿宋_GB2312"/>
          <w:kern w:val="0"/>
          <w:sz w:val="30"/>
          <w:szCs w:val="32"/>
        </w:rPr>
        <w:t>）</w:t>
      </w:r>
      <w:r>
        <w:rPr>
          <w:rFonts w:eastAsia="仿宋_GB2312"/>
          <w:kern w:val="0"/>
          <w:sz w:val="30"/>
          <w:szCs w:val="32"/>
        </w:rPr>
        <w:t>的期限，</w:t>
      </w:r>
      <w:r>
        <w:rPr>
          <w:rFonts w:hint="eastAsia" w:eastAsia="仿宋_GB2312"/>
          <w:kern w:val="0"/>
          <w:sz w:val="30"/>
          <w:szCs w:val="32"/>
        </w:rPr>
        <w:t>自</w:t>
      </w:r>
      <w:r>
        <w:rPr>
          <w:rFonts w:eastAsia="仿宋_GB2312"/>
          <w:kern w:val="0"/>
          <w:sz w:val="30"/>
          <w:szCs w:val="32"/>
        </w:rPr>
        <w:t>工程</w:t>
      </w:r>
      <w:r>
        <w:rPr>
          <w:rFonts w:hint="eastAsia" w:eastAsia="仿宋_GB2312"/>
          <w:kern w:val="0"/>
          <w:sz w:val="30"/>
          <w:szCs w:val="32"/>
        </w:rPr>
        <w:t>实际竣工日期</w:t>
      </w:r>
      <w:r>
        <w:rPr>
          <w:rFonts w:eastAsia="仿宋_GB2312"/>
          <w:kern w:val="0"/>
          <w:sz w:val="30"/>
          <w:szCs w:val="32"/>
        </w:rPr>
        <w:t>起计算。</w:t>
      </w:r>
    </w:p>
    <w:p w14:paraId="55C2631B">
      <w:pPr>
        <w:spacing w:line="360" w:lineRule="auto"/>
        <w:ind w:firstLine="600" w:firstLineChars="200"/>
        <w:jc w:val="left"/>
        <w:rPr>
          <w:rFonts w:eastAsia="仿宋_GB2312"/>
          <w:kern w:val="0"/>
          <w:sz w:val="30"/>
          <w:szCs w:val="32"/>
        </w:rPr>
      </w:pPr>
      <w:r>
        <w:rPr>
          <w:rFonts w:eastAsia="仿宋_GB2312"/>
          <w:kern w:val="0"/>
          <w:sz w:val="30"/>
          <w:szCs w:val="32"/>
        </w:rPr>
        <w:t>1.1.4.5保修期：是指承包人按照合同约定对工程承担保修责任的期限，从工程竣工验收合格之日起计算。</w:t>
      </w:r>
    </w:p>
    <w:p w14:paraId="5B6596E8">
      <w:pPr>
        <w:spacing w:line="360" w:lineRule="auto"/>
        <w:ind w:firstLine="600" w:firstLineChars="200"/>
        <w:jc w:val="left"/>
        <w:rPr>
          <w:rFonts w:eastAsia="仿宋_GB2312"/>
          <w:kern w:val="0"/>
          <w:sz w:val="30"/>
          <w:szCs w:val="32"/>
        </w:rPr>
      </w:pPr>
      <w:r>
        <w:rPr>
          <w:rFonts w:eastAsia="仿宋_GB2312"/>
          <w:kern w:val="0"/>
          <w:sz w:val="30"/>
          <w:szCs w:val="32"/>
        </w:rPr>
        <w:t>1.1.4.6基准日期：招标发包的工程以投标截止日前28天的日期为基准日</w:t>
      </w:r>
      <w:r>
        <w:rPr>
          <w:rFonts w:hint="eastAsia" w:eastAsia="仿宋_GB2312"/>
          <w:kern w:val="0"/>
          <w:sz w:val="30"/>
          <w:szCs w:val="32"/>
        </w:rPr>
        <w:t>期</w:t>
      </w:r>
      <w:r>
        <w:rPr>
          <w:rFonts w:eastAsia="仿宋_GB2312"/>
          <w:kern w:val="0"/>
          <w:sz w:val="30"/>
          <w:szCs w:val="32"/>
        </w:rPr>
        <w:t>，直接发包的工程以合同签订日前28天的日期为基准日</w:t>
      </w:r>
      <w:r>
        <w:rPr>
          <w:rFonts w:hint="eastAsia" w:eastAsia="仿宋_GB2312"/>
          <w:kern w:val="0"/>
          <w:sz w:val="30"/>
          <w:szCs w:val="32"/>
        </w:rPr>
        <w:t>期</w:t>
      </w:r>
      <w:r>
        <w:rPr>
          <w:rFonts w:eastAsia="仿宋_GB2312"/>
          <w:kern w:val="0"/>
          <w:sz w:val="30"/>
          <w:szCs w:val="32"/>
        </w:rPr>
        <w:t>。</w:t>
      </w:r>
    </w:p>
    <w:p w14:paraId="78C81D31">
      <w:pPr>
        <w:spacing w:line="360" w:lineRule="auto"/>
        <w:ind w:firstLine="600" w:firstLineChars="200"/>
        <w:jc w:val="left"/>
        <w:rPr>
          <w:rFonts w:eastAsia="仿宋_GB2312"/>
          <w:kern w:val="0"/>
          <w:sz w:val="30"/>
          <w:szCs w:val="32"/>
        </w:rPr>
      </w:pPr>
      <w:r>
        <w:rPr>
          <w:rFonts w:eastAsia="仿宋_GB2312"/>
          <w:kern w:val="0"/>
          <w:sz w:val="30"/>
          <w:szCs w:val="32"/>
        </w:rPr>
        <w:t>1.1.4.7天：除特别指明外，均指日历天。合同中按天计算时间的，开始当天不计入，从次日开始计算，期限最后一天的截止时间为当天24:00时。</w:t>
      </w:r>
    </w:p>
    <w:p w14:paraId="198E95D0">
      <w:pPr>
        <w:spacing w:line="360" w:lineRule="auto"/>
        <w:ind w:firstLine="600" w:firstLineChars="200"/>
        <w:jc w:val="left"/>
        <w:rPr>
          <w:rFonts w:eastAsia="仿宋_GB2312"/>
          <w:kern w:val="0"/>
          <w:sz w:val="30"/>
          <w:szCs w:val="32"/>
        </w:rPr>
      </w:pPr>
      <w:r>
        <w:rPr>
          <w:rFonts w:eastAsia="仿宋_GB2312"/>
          <w:kern w:val="0"/>
          <w:sz w:val="30"/>
          <w:szCs w:val="32"/>
        </w:rPr>
        <w:t>1.1.5合同价格和费用</w:t>
      </w:r>
    </w:p>
    <w:p w14:paraId="6AF8B373">
      <w:pPr>
        <w:spacing w:line="360" w:lineRule="auto"/>
        <w:ind w:firstLine="600" w:firstLineChars="200"/>
        <w:jc w:val="left"/>
        <w:rPr>
          <w:rFonts w:eastAsia="仿宋_GB2312"/>
          <w:sz w:val="30"/>
          <w:szCs w:val="32"/>
        </w:rPr>
      </w:pPr>
      <w:r>
        <w:rPr>
          <w:rFonts w:eastAsia="仿宋_GB2312"/>
          <w:kern w:val="0"/>
          <w:sz w:val="30"/>
          <w:szCs w:val="32"/>
        </w:rPr>
        <w:t>1.1.5.1签约合同价：是指</w:t>
      </w:r>
      <w:r>
        <w:rPr>
          <w:rFonts w:eastAsia="仿宋_GB2312"/>
          <w:sz w:val="30"/>
          <w:szCs w:val="32"/>
        </w:rPr>
        <w:t>发包人和承包人在合同协议书中确定的总金额，包括安全文明施工费、暂估价及暂列金额等。</w:t>
      </w:r>
    </w:p>
    <w:p w14:paraId="4F0F9207">
      <w:pPr>
        <w:spacing w:line="360" w:lineRule="auto"/>
        <w:ind w:firstLine="600" w:firstLineChars="200"/>
        <w:jc w:val="left"/>
        <w:rPr>
          <w:rFonts w:eastAsia="仿宋_GB2312"/>
          <w:kern w:val="0"/>
          <w:sz w:val="30"/>
          <w:szCs w:val="32"/>
        </w:rPr>
      </w:pPr>
      <w:r>
        <w:rPr>
          <w:rFonts w:eastAsia="仿宋_GB2312"/>
          <w:kern w:val="0"/>
          <w:sz w:val="30"/>
          <w:szCs w:val="32"/>
        </w:rPr>
        <w:t>1.1.5.2合同价格：是指发包人用于支付承包人按照合同约定完成承包范围内全部工作的金额，包括合同履行过程中按合同约定</w:t>
      </w:r>
      <w:r>
        <w:rPr>
          <w:rFonts w:hint="eastAsia" w:eastAsia="仿宋_GB2312"/>
          <w:kern w:val="0"/>
          <w:sz w:val="30"/>
          <w:szCs w:val="32"/>
        </w:rPr>
        <w:t>发生的价格变化。</w:t>
      </w:r>
    </w:p>
    <w:p w14:paraId="7764971E">
      <w:pPr>
        <w:spacing w:line="360" w:lineRule="auto"/>
        <w:ind w:firstLine="600" w:firstLineChars="200"/>
        <w:jc w:val="left"/>
        <w:rPr>
          <w:rFonts w:eastAsia="仿宋_GB2312"/>
          <w:kern w:val="0"/>
          <w:sz w:val="30"/>
          <w:szCs w:val="32"/>
        </w:rPr>
      </w:pPr>
      <w:r>
        <w:rPr>
          <w:rFonts w:eastAsia="仿宋_GB2312"/>
          <w:kern w:val="0"/>
          <w:sz w:val="30"/>
          <w:szCs w:val="32"/>
        </w:rPr>
        <w:t>1.1.5.3费用：是指为履行合同所发生的或将要发生的所有必需的开支，包括管理费和应分摊的其他费用，但不包括利润。</w:t>
      </w:r>
    </w:p>
    <w:p w14:paraId="36A78B6F">
      <w:pPr>
        <w:spacing w:line="360" w:lineRule="auto"/>
        <w:ind w:firstLine="600" w:firstLineChars="200"/>
        <w:jc w:val="left"/>
        <w:rPr>
          <w:rFonts w:eastAsia="仿宋_GB2312"/>
          <w:kern w:val="0"/>
          <w:sz w:val="30"/>
          <w:szCs w:val="32"/>
        </w:rPr>
      </w:pPr>
      <w:r>
        <w:rPr>
          <w:rFonts w:eastAsia="仿宋_GB2312"/>
          <w:kern w:val="0"/>
          <w:sz w:val="30"/>
          <w:szCs w:val="32"/>
        </w:rPr>
        <w:t>1.1.5.4暂估价：是指发包人在工程量清单或预算书中提供的用于支付必然发生但暂时不能确定价格的材料、工程设备的单价</w:t>
      </w:r>
      <w:r>
        <w:rPr>
          <w:rFonts w:hint="eastAsia" w:eastAsia="仿宋_GB2312"/>
          <w:kern w:val="0"/>
          <w:sz w:val="30"/>
          <w:szCs w:val="32"/>
        </w:rPr>
        <w:t>、</w:t>
      </w:r>
      <w:r>
        <w:rPr>
          <w:rFonts w:eastAsia="仿宋_GB2312"/>
          <w:kern w:val="0"/>
          <w:sz w:val="30"/>
          <w:szCs w:val="32"/>
        </w:rPr>
        <w:t>专业工程以及</w:t>
      </w:r>
      <w:r>
        <w:rPr>
          <w:rFonts w:hint="eastAsia" w:eastAsia="仿宋_GB2312"/>
          <w:kern w:val="0"/>
          <w:sz w:val="30"/>
          <w:szCs w:val="32"/>
        </w:rPr>
        <w:t>服务工作</w:t>
      </w:r>
      <w:r>
        <w:rPr>
          <w:rFonts w:eastAsia="仿宋_GB2312"/>
          <w:kern w:val="0"/>
          <w:sz w:val="30"/>
          <w:szCs w:val="32"/>
        </w:rPr>
        <w:t>的金额。</w:t>
      </w:r>
    </w:p>
    <w:p w14:paraId="46FFFD88">
      <w:pPr>
        <w:spacing w:line="360" w:lineRule="auto"/>
        <w:ind w:firstLine="600" w:firstLineChars="200"/>
        <w:jc w:val="left"/>
        <w:rPr>
          <w:rFonts w:eastAsia="仿宋_GB2312"/>
          <w:kern w:val="0"/>
          <w:sz w:val="30"/>
          <w:szCs w:val="32"/>
        </w:rPr>
      </w:pPr>
      <w:r>
        <w:rPr>
          <w:rFonts w:eastAsia="仿宋_GB2312"/>
          <w:kern w:val="0"/>
          <w:sz w:val="30"/>
          <w:szCs w:val="32"/>
        </w:rPr>
        <w:t>1.1.5.5暂列金额：是指发包人在工程量清单或预算书中暂定并包括在合同价格中的一笔款项</w:t>
      </w:r>
      <w:r>
        <w:rPr>
          <w:rFonts w:hint="eastAsia" w:eastAsia="仿宋_GB2312"/>
          <w:kern w:val="0"/>
          <w:sz w:val="30"/>
          <w:szCs w:val="32"/>
        </w:rPr>
        <w:t>，</w:t>
      </w:r>
      <w:r>
        <w:rPr>
          <w:rFonts w:eastAsia="仿宋_GB2312"/>
          <w:kern w:val="0"/>
          <w:sz w:val="30"/>
          <w:szCs w:val="32"/>
        </w:rPr>
        <w:t>用于工程合同签订时尚未确定或者不可预见的所需材料、工程设备、服务的采购，施工中可能发生的工程变更、合同约定调整因素出现时的合同价格调整以及发生的索赔、现场签证确认等的费用。</w:t>
      </w:r>
    </w:p>
    <w:p w14:paraId="212195E9">
      <w:pPr>
        <w:spacing w:line="360" w:lineRule="auto"/>
        <w:ind w:firstLine="600" w:firstLineChars="200"/>
        <w:jc w:val="left"/>
        <w:rPr>
          <w:rFonts w:eastAsia="仿宋_GB2312"/>
          <w:kern w:val="0"/>
          <w:sz w:val="30"/>
          <w:szCs w:val="32"/>
        </w:rPr>
      </w:pPr>
      <w:r>
        <w:rPr>
          <w:rFonts w:eastAsia="仿宋_GB2312"/>
          <w:kern w:val="0"/>
          <w:sz w:val="30"/>
          <w:szCs w:val="32"/>
        </w:rPr>
        <w:t>1.1.5.6计日工：是指合同履行过程中，承包人完成发包人提出的零星工作或需要采用计日工计价的变更工作时，按合同中约定的单价计价的一种方式。</w:t>
      </w:r>
    </w:p>
    <w:p w14:paraId="63958879">
      <w:pPr>
        <w:spacing w:line="360" w:lineRule="auto"/>
        <w:ind w:firstLine="600" w:firstLineChars="200"/>
        <w:jc w:val="left"/>
        <w:rPr>
          <w:rFonts w:eastAsia="仿宋_GB2312"/>
          <w:sz w:val="30"/>
          <w:szCs w:val="32"/>
        </w:rPr>
      </w:pPr>
      <w:r>
        <w:rPr>
          <w:rFonts w:eastAsia="仿宋_GB2312"/>
          <w:kern w:val="0"/>
          <w:sz w:val="30"/>
          <w:szCs w:val="32"/>
        </w:rPr>
        <w:t>1.1.5.7质量保证金</w:t>
      </w:r>
      <w:bookmarkStart w:id="209" w:name="#go2"/>
      <w:bookmarkEnd w:id="209"/>
      <w:r>
        <w:rPr>
          <w:rFonts w:eastAsia="仿宋_GB2312"/>
          <w:kern w:val="0"/>
          <w:sz w:val="30"/>
          <w:szCs w:val="32"/>
        </w:rPr>
        <w:t>：是指按照第15.3款</w:t>
      </w:r>
      <w:r>
        <w:rPr>
          <w:rFonts w:hint="eastAsia" w:eastAsia="仿宋_GB2312"/>
          <w:kern w:val="0"/>
          <w:sz w:val="30"/>
          <w:szCs w:val="32"/>
        </w:rPr>
        <w:t>〔</w:t>
      </w:r>
      <w:r>
        <w:rPr>
          <w:rFonts w:eastAsia="仿宋_GB2312"/>
          <w:kern w:val="0"/>
          <w:sz w:val="30"/>
          <w:szCs w:val="32"/>
        </w:rPr>
        <w:t>质量保证金</w:t>
      </w:r>
      <w:r>
        <w:rPr>
          <w:rFonts w:hint="eastAsia" w:eastAsia="仿宋_GB2312"/>
          <w:kern w:val="0"/>
          <w:sz w:val="30"/>
          <w:szCs w:val="32"/>
        </w:rPr>
        <w:t>〕</w:t>
      </w:r>
      <w:r>
        <w:rPr>
          <w:rFonts w:eastAsia="仿宋_GB2312"/>
          <w:kern w:val="0"/>
          <w:sz w:val="30"/>
          <w:szCs w:val="32"/>
        </w:rPr>
        <w:t>约定承包人用于保证其在缺陷责任期内履行缺陷修补义务的担保</w:t>
      </w:r>
      <w:r>
        <w:rPr>
          <w:rFonts w:eastAsia="仿宋_GB2312"/>
          <w:sz w:val="30"/>
          <w:szCs w:val="32"/>
        </w:rPr>
        <w:t>。</w:t>
      </w:r>
    </w:p>
    <w:p w14:paraId="79008DBD">
      <w:pPr>
        <w:spacing w:line="360" w:lineRule="auto"/>
        <w:ind w:firstLine="600" w:firstLineChars="200"/>
        <w:jc w:val="left"/>
        <w:rPr>
          <w:rFonts w:eastAsia="仿宋_GB2312"/>
          <w:kern w:val="0"/>
          <w:sz w:val="30"/>
          <w:szCs w:val="32"/>
        </w:rPr>
      </w:pPr>
      <w:r>
        <w:rPr>
          <w:rFonts w:eastAsia="仿宋_GB2312"/>
          <w:kern w:val="0"/>
          <w:sz w:val="30"/>
          <w:szCs w:val="32"/>
        </w:rPr>
        <w:t>1.1.5.8总价项目：是指在现行国家、行业以及地方的计量规则中无工程量计算规则，在已标价工程量清单或预算书中以总价或以费率形式计算的项目。</w:t>
      </w:r>
    </w:p>
    <w:p w14:paraId="2FE22B98">
      <w:pPr>
        <w:spacing w:line="360" w:lineRule="auto"/>
        <w:ind w:firstLine="600" w:firstLineChars="200"/>
        <w:jc w:val="left"/>
        <w:rPr>
          <w:rFonts w:eastAsia="仿宋_GB2312"/>
          <w:sz w:val="30"/>
          <w:szCs w:val="32"/>
        </w:rPr>
      </w:pPr>
      <w:r>
        <w:rPr>
          <w:rFonts w:eastAsia="仿宋_GB2312"/>
          <w:sz w:val="30"/>
          <w:szCs w:val="32"/>
        </w:rPr>
        <w:t>1.1.6其他</w:t>
      </w:r>
    </w:p>
    <w:p w14:paraId="43D4E466">
      <w:pPr>
        <w:spacing w:line="360" w:lineRule="auto"/>
        <w:ind w:firstLine="600" w:firstLineChars="200"/>
        <w:jc w:val="left"/>
        <w:rPr>
          <w:rFonts w:eastAsia="仿宋_GB2312"/>
          <w:sz w:val="30"/>
          <w:szCs w:val="32"/>
        </w:rPr>
      </w:pPr>
      <w:r>
        <w:rPr>
          <w:rFonts w:eastAsia="仿宋_GB2312"/>
          <w:sz w:val="30"/>
          <w:szCs w:val="32"/>
        </w:rPr>
        <w:t>1.1.6.1书面形式：是指合同文件、信函、电报、传真等可以有形地表现所载内容的形式。</w:t>
      </w:r>
    </w:p>
    <w:p w14:paraId="1B4C4BA5">
      <w:pPr>
        <w:pStyle w:val="9"/>
        <w:spacing w:before="120" w:after="120" w:line="360" w:lineRule="auto"/>
        <w:rPr>
          <w:rFonts w:eastAsia="黑体"/>
          <w:b w:val="0"/>
          <w:i w:val="0"/>
          <w:iCs w:val="0"/>
          <w:sz w:val="30"/>
          <w:szCs w:val="32"/>
        </w:rPr>
      </w:pPr>
      <w:r>
        <w:rPr>
          <w:rFonts w:eastAsia="黑体"/>
          <w:b w:val="0"/>
          <w:i w:val="0"/>
          <w:iCs w:val="0"/>
          <w:sz w:val="30"/>
          <w:szCs w:val="32"/>
        </w:rPr>
        <w:t xml:space="preserve">    </w:t>
      </w:r>
      <w:bookmarkStart w:id="210" w:name="_Toc296346530"/>
      <w:bookmarkStart w:id="211" w:name="_Toc337558729"/>
      <w:bookmarkStart w:id="212" w:name="_Toc351203497"/>
      <w:bookmarkStart w:id="213" w:name="_Toc296503029"/>
      <w:r>
        <w:rPr>
          <w:rFonts w:eastAsia="黑体"/>
          <w:b w:val="0"/>
          <w:i w:val="0"/>
          <w:iCs w:val="0"/>
          <w:sz w:val="30"/>
          <w:szCs w:val="32"/>
        </w:rPr>
        <w:t>1.2语言文字</w:t>
      </w:r>
      <w:bookmarkEnd w:id="210"/>
      <w:bookmarkEnd w:id="211"/>
      <w:bookmarkEnd w:id="212"/>
      <w:bookmarkEnd w:id="213"/>
    </w:p>
    <w:p w14:paraId="6C3A71A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合同以中国的汉语简体文字编写、解释和说明。合同当事人在专用合同条款中约定使用两种以上语言时，汉语为优先解释和说明合同的语言。</w:t>
      </w:r>
    </w:p>
    <w:p w14:paraId="1B3E43BB">
      <w:pPr>
        <w:pStyle w:val="9"/>
        <w:spacing w:before="120" w:after="120" w:line="360" w:lineRule="auto"/>
        <w:ind w:firstLine="600" w:firstLineChars="200"/>
        <w:rPr>
          <w:rFonts w:eastAsia="黑体"/>
          <w:b w:val="0"/>
          <w:i w:val="0"/>
          <w:iCs w:val="0"/>
          <w:sz w:val="30"/>
          <w:szCs w:val="32"/>
        </w:rPr>
      </w:pPr>
      <w:bookmarkStart w:id="214" w:name="_Toc296503030"/>
      <w:bookmarkStart w:id="215" w:name="_Toc337558730"/>
      <w:bookmarkStart w:id="216" w:name="_Toc296346531"/>
      <w:bookmarkStart w:id="217" w:name="_Toc351203498"/>
      <w:r>
        <w:rPr>
          <w:rFonts w:eastAsia="黑体"/>
          <w:b w:val="0"/>
          <w:i w:val="0"/>
          <w:iCs w:val="0"/>
          <w:sz w:val="30"/>
          <w:szCs w:val="32"/>
        </w:rPr>
        <w:t>1.3法律</w:t>
      </w:r>
      <w:bookmarkEnd w:id="214"/>
      <w:bookmarkEnd w:id="215"/>
      <w:bookmarkEnd w:id="216"/>
      <w:bookmarkEnd w:id="217"/>
    </w:p>
    <w:p w14:paraId="3B3AA33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合同所称法律是指中华人民共和国法律、行政法规、部门规章，以及工程所在地的地方性法规和地方政府规章等。</w:t>
      </w:r>
    </w:p>
    <w:p w14:paraId="33DF733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合同当事人可以在专用合同条款中约定合同适用的其他规范性文件。</w:t>
      </w:r>
    </w:p>
    <w:p w14:paraId="19E5A501">
      <w:pPr>
        <w:pStyle w:val="9"/>
        <w:spacing w:before="120" w:after="120" w:line="360" w:lineRule="auto"/>
        <w:ind w:firstLine="600" w:firstLineChars="200"/>
        <w:rPr>
          <w:rFonts w:eastAsia="黑体"/>
          <w:b w:val="0"/>
          <w:i w:val="0"/>
          <w:iCs w:val="0"/>
          <w:sz w:val="30"/>
          <w:szCs w:val="32"/>
        </w:rPr>
      </w:pPr>
      <w:bookmarkStart w:id="218" w:name="_Toc351203499"/>
      <w:r>
        <w:rPr>
          <w:rFonts w:eastAsia="黑体"/>
          <w:b w:val="0"/>
          <w:i w:val="0"/>
          <w:iCs w:val="0"/>
          <w:sz w:val="30"/>
          <w:szCs w:val="32"/>
        </w:rPr>
        <w:t>1.4标准和规范</w:t>
      </w:r>
      <w:bookmarkEnd w:id="218"/>
    </w:p>
    <w:p w14:paraId="4B1988C5">
      <w:pPr>
        <w:autoSpaceDE w:val="0"/>
        <w:autoSpaceDN w:val="0"/>
        <w:adjustRightInd w:val="0"/>
        <w:spacing w:line="360" w:lineRule="auto"/>
        <w:ind w:firstLine="640"/>
        <w:jc w:val="left"/>
        <w:rPr>
          <w:rFonts w:eastAsia="仿宋_GB2312"/>
          <w:kern w:val="0"/>
          <w:sz w:val="30"/>
          <w:szCs w:val="32"/>
        </w:rPr>
      </w:pPr>
      <w:r>
        <w:rPr>
          <w:rFonts w:eastAsia="仿宋_GB2312"/>
          <w:kern w:val="0"/>
          <w:sz w:val="30"/>
          <w:szCs w:val="32"/>
        </w:rPr>
        <w:t>1.4.1适用于工程的国家标准、行业标准、工程所在地的地方性标准，以及相应的规范、规程等，合同当事人有特别要求的，应在专用合同条款中约定。</w:t>
      </w:r>
    </w:p>
    <w:p w14:paraId="1F3CBA9F">
      <w:pPr>
        <w:autoSpaceDE w:val="0"/>
        <w:autoSpaceDN w:val="0"/>
        <w:adjustRightInd w:val="0"/>
        <w:spacing w:line="360" w:lineRule="auto"/>
        <w:ind w:firstLine="640"/>
        <w:jc w:val="left"/>
        <w:rPr>
          <w:rFonts w:eastAsia="仿宋_GB2312"/>
          <w:kern w:val="0"/>
          <w:sz w:val="30"/>
          <w:szCs w:val="32"/>
        </w:rPr>
      </w:pPr>
      <w:r>
        <w:rPr>
          <w:rFonts w:eastAsia="仿宋_GB2312"/>
          <w:kern w:val="0"/>
          <w:sz w:val="30"/>
          <w:szCs w:val="32"/>
        </w:rPr>
        <w:t>1.4.2发包人要求使用国外标准、规范的，发包人负责提供原文版本和中文译本，并在专用合同条款中约定提供标准规范的名称、份数和时间。</w:t>
      </w:r>
    </w:p>
    <w:p w14:paraId="356D67EA">
      <w:pPr>
        <w:autoSpaceDE w:val="0"/>
        <w:autoSpaceDN w:val="0"/>
        <w:adjustRightInd w:val="0"/>
        <w:spacing w:line="360" w:lineRule="auto"/>
        <w:ind w:firstLine="640"/>
        <w:jc w:val="left"/>
        <w:rPr>
          <w:rFonts w:eastAsia="仿宋_GB2312"/>
          <w:kern w:val="0"/>
          <w:sz w:val="30"/>
          <w:szCs w:val="32"/>
        </w:rPr>
      </w:pPr>
      <w:r>
        <w:rPr>
          <w:rFonts w:eastAsia="仿宋_GB2312"/>
          <w:kern w:val="0"/>
          <w:sz w:val="30"/>
          <w:szCs w:val="32"/>
        </w:rPr>
        <w:t>1.4.3发包人对工程的技术标准、功能要求高于或严于现行国家、行业或地方标准的，应当在专用合同条款中予以明确。除专用合同条款另有约定外，应视为</w:t>
      </w:r>
      <w:r>
        <w:rPr>
          <w:rFonts w:hint="eastAsia" w:eastAsia="仿宋_GB2312"/>
          <w:kern w:val="0"/>
          <w:sz w:val="30"/>
          <w:szCs w:val="32"/>
        </w:rPr>
        <w:t>承包人</w:t>
      </w:r>
      <w:r>
        <w:rPr>
          <w:rFonts w:eastAsia="仿宋_GB2312"/>
          <w:kern w:val="0"/>
          <w:sz w:val="30"/>
          <w:szCs w:val="32"/>
        </w:rPr>
        <w:t>在签订合同前已充分预见前述技术标准和功能要求的复杂程度，签约合同价中已包含由此产生的费用。</w:t>
      </w:r>
    </w:p>
    <w:p w14:paraId="152FB52C">
      <w:pPr>
        <w:pStyle w:val="9"/>
        <w:spacing w:before="120" w:after="120" w:line="360" w:lineRule="auto"/>
        <w:ind w:firstLine="600" w:firstLineChars="200"/>
        <w:rPr>
          <w:rFonts w:eastAsia="黑体"/>
          <w:b w:val="0"/>
          <w:i w:val="0"/>
          <w:iCs w:val="0"/>
          <w:sz w:val="30"/>
          <w:szCs w:val="32"/>
        </w:rPr>
      </w:pPr>
      <w:bookmarkStart w:id="219" w:name="_Toc351203500"/>
      <w:r>
        <w:rPr>
          <w:rFonts w:eastAsia="黑体"/>
          <w:b w:val="0"/>
          <w:i w:val="0"/>
          <w:iCs w:val="0"/>
          <w:sz w:val="30"/>
          <w:szCs w:val="32"/>
        </w:rPr>
        <w:t>1</w:t>
      </w:r>
      <w:bookmarkStart w:id="220" w:name="_Toc296346532"/>
      <w:bookmarkStart w:id="221" w:name="_Toc337558731"/>
      <w:bookmarkStart w:id="222" w:name="_Toc296503031"/>
      <w:r>
        <w:rPr>
          <w:rFonts w:eastAsia="黑体"/>
          <w:b w:val="0"/>
          <w:i w:val="0"/>
          <w:iCs w:val="0"/>
          <w:sz w:val="30"/>
          <w:szCs w:val="32"/>
        </w:rPr>
        <w:t>.5合同文件的优先顺序</w:t>
      </w:r>
      <w:bookmarkEnd w:id="219"/>
    </w:p>
    <w:bookmarkEnd w:id="220"/>
    <w:bookmarkEnd w:id="221"/>
    <w:bookmarkEnd w:id="222"/>
    <w:p w14:paraId="15D3B0F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组成合同的各项文件应互相解释，互为说明。除专用合同条款另有约定外，解释合同文件的优先顺序如下：</w:t>
      </w:r>
    </w:p>
    <w:p w14:paraId="122980A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（1）合同协议书；</w:t>
      </w:r>
    </w:p>
    <w:p w14:paraId="77B5358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（2）中标通知书（如果有）；</w:t>
      </w:r>
    </w:p>
    <w:p w14:paraId="339559E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（3）投标函及其附录（如果有）；</w:t>
      </w:r>
    </w:p>
    <w:p w14:paraId="7AC2744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（4）专用合同条款</w:t>
      </w:r>
      <w:r>
        <w:rPr>
          <w:rFonts w:eastAsia="仿宋_GB2312"/>
          <w:sz w:val="30"/>
          <w:szCs w:val="32"/>
        </w:rPr>
        <w:t>及其附件</w:t>
      </w:r>
      <w:r>
        <w:rPr>
          <w:rFonts w:eastAsia="仿宋_GB2312"/>
          <w:kern w:val="0"/>
          <w:sz w:val="30"/>
          <w:szCs w:val="32"/>
        </w:rPr>
        <w:t>；</w:t>
      </w:r>
    </w:p>
    <w:p w14:paraId="71E37DB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（5）通用合同条款；</w:t>
      </w:r>
    </w:p>
    <w:p w14:paraId="038C086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（6）技术标准和要求；</w:t>
      </w:r>
    </w:p>
    <w:p w14:paraId="637F663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（7）图纸；</w:t>
      </w:r>
    </w:p>
    <w:p w14:paraId="0E7A697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（8）已标价工程量清单或预算书；</w:t>
      </w:r>
    </w:p>
    <w:p w14:paraId="64FF6FF9">
      <w:pPr>
        <w:autoSpaceDE w:val="0"/>
        <w:autoSpaceDN w:val="0"/>
        <w:adjustRightInd w:val="0"/>
        <w:spacing w:line="360" w:lineRule="auto"/>
        <w:ind w:firstLine="600" w:firstLineChars="200"/>
        <w:jc w:val="left"/>
        <w:rPr>
          <w:rFonts w:eastAsia="仿宋_GB2312"/>
          <w:sz w:val="30"/>
          <w:szCs w:val="32"/>
        </w:rPr>
      </w:pPr>
      <w:r>
        <w:rPr>
          <w:rFonts w:eastAsia="仿宋_GB2312"/>
          <w:kern w:val="0"/>
          <w:sz w:val="30"/>
          <w:szCs w:val="32"/>
        </w:rPr>
        <w:t>（9）其他合同文件。</w:t>
      </w:r>
    </w:p>
    <w:p w14:paraId="36B05971">
      <w:pPr>
        <w:spacing w:line="360" w:lineRule="auto"/>
        <w:ind w:firstLine="639" w:firstLineChars="213"/>
        <w:rPr>
          <w:rFonts w:eastAsia="仿宋_GB2312"/>
          <w:sz w:val="30"/>
          <w:szCs w:val="32"/>
        </w:rPr>
      </w:pPr>
      <w:r>
        <w:rPr>
          <w:rFonts w:eastAsia="仿宋_GB2312"/>
          <w:sz w:val="30"/>
          <w:szCs w:val="32"/>
        </w:rPr>
        <w:t>上述各项合同文件包括合同当事人就该项合同文件所作出的补充和修改，属于同一类内容的文件，应以最新签署的为准。</w:t>
      </w:r>
    </w:p>
    <w:p w14:paraId="324E49F2">
      <w:pPr>
        <w:spacing w:line="360" w:lineRule="auto"/>
        <w:ind w:firstLine="639" w:firstLineChars="213"/>
        <w:rPr>
          <w:rFonts w:eastAsia="仿宋_GB2312"/>
          <w:sz w:val="30"/>
          <w:szCs w:val="32"/>
        </w:rPr>
      </w:pPr>
      <w:r>
        <w:rPr>
          <w:rFonts w:eastAsia="仿宋_GB2312"/>
          <w:sz w:val="30"/>
          <w:szCs w:val="32"/>
        </w:rPr>
        <w:t>在合同订立及履行过程中形成的与合同有关的文件均构成合同文件组成部分，并根据其性质确定优先解释顺序。</w:t>
      </w:r>
    </w:p>
    <w:p w14:paraId="221C6F49">
      <w:pPr>
        <w:pStyle w:val="9"/>
        <w:spacing w:before="120" w:after="120" w:line="360" w:lineRule="auto"/>
        <w:ind w:firstLine="600" w:firstLineChars="200"/>
        <w:rPr>
          <w:rFonts w:eastAsia="黑体"/>
          <w:b w:val="0"/>
          <w:i w:val="0"/>
          <w:iCs w:val="0"/>
          <w:sz w:val="30"/>
          <w:szCs w:val="32"/>
        </w:rPr>
      </w:pPr>
      <w:bookmarkStart w:id="223" w:name="_Toc351203501"/>
      <w:r>
        <w:rPr>
          <w:rFonts w:eastAsia="黑体"/>
          <w:b w:val="0"/>
          <w:i w:val="0"/>
          <w:iCs w:val="0"/>
          <w:sz w:val="30"/>
          <w:szCs w:val="32"/>
        </w:rPr>
        <w:t>1</w:t>
      </w:r>
      <w:bookmarkStart w:id="224" w:name="_Toc296346533"/>
      <w:bookmarkStart w:id="225" w:name="_Toc296503032"/>
      <w:bookmarkStart w:id="226" w:name="_Toc337558732"/>
      <w:r>
        <w:rPr>
          <w:rFonts w:eastAsia="黑体"/>
          <w:b w:val="0"/>
          <w:i w:val="0"/>
          <w:iCs w:val="0"/>
          <w:sz w:val="30"/>
          <w:szCs w:val="32"/>
        </w:rPr>
        <w:t>.6图纸和承包人文件</w:t>
      </w:r>
      <w:bookmarkEnd w:id="223"/>
    </w:p>
    <w:bookmarkEnd w:id="224"/>
    <w:bookmarkEnd w:id="225"/>
    <w:bookmarkEnd w:id="226"/>
    <w:p w14:paraId="3A29D370">
      <w:pPr>
        <w:spacing w:line="360" w:lineRule="auto"/>
        <w:ind w:firstLine="600" w:firstLineChars="200"/>
        <w:jc w:val="left"/>
        <w:rPr>
          <w:rFonts w:eastAsia="仿宋_GB2312"/>
          <w:kern w:val="0"/>
          <w:sz w:val="30"/>
          <w:szCs w:val="32"/>
        </w:rPr>
      </w:pPr>
      <w:r>
        <w:rPr>
          <w:rFonts w:eastAsia="仿宋_GB2312"/>
          <w:kern w:val="0"/>
          <w:sz w:val="30"/>
          <w:szCs w:val="32"/>
        </w:rPr>
        <w:t>1.6.1图纸的提供和交底</w:t>
      </w:r>
    </w:p>
    <w:p w14:paraId="642E9D7C">
      <w:pPr>
        <w:spacing w:line="360" w:lineRule="auto"/>
        <w:ind w:firstLine="600" w:firstLineChars="200"/>
        <w:jc w:val="left"/>
        <w:rPr>
          <w:rFonts w:eastAsia="仿宋_GB2312"/>
          <w:kern w:val="0"/>
          <w:sz w:val="30"/>
          <w:szCs w:val="32"/>
        </w:rPr>
      </w:pPr>
      <w:r>
        <w:rPr>
          <w:rFonts w:eastAsia="仿宋_GB2312"/>
          <w:kern w:val="0"/>
          <w:sz w:val="30"/>
          <w:szCs w:val="32"/>
        </w:rPr>
        <w:t>发包人应按照专用合同条款约定的期限、数量和内容向承包人免费提供图纸，并组织承包人、监理人和设计人进行图纸会审和设计交底。发包人至迟不得晚于第7.3.2项</w:t>
      </w:r>
      <w:r>
        <w:rPr>
          <w:rFonts w:hint="eastAsia" w:eastAsia="仿宋_GB2312"/>
          <w:kern w:val="0"/>
          <w:sz w:val="30"/>
          <w:szCs w:val="32"/>
        </w:rPr>
        <w:t>〔</w:t>
      </w:r>
      <w:r>
        <w:rPr>
          <w:rFonts w:eastAsia="仿宋_GB2312"/>
          <w:kern w:val="0"/>
          <w:sz w:val="30"/>
          <w:szCs w:val="32"/>
        </w:rPr>
        <w:t>开工通知</w:t>
      </w:r>
      <w:r>
        <w:rPr>
          <w:rFonts w:hint="eastAsia" w:eastAsia="仿宋_GB2312"/>
          <w:kern w:val="0"/>
          <w:sz w:val="30"/>
          <w:szCs w:val="32"/>
        </w:rPr>
        <w:t>〕</w:t>
      </w:r>
      <w:r>
        <w:rPr>
          <w:rFonts w:eastAsia="仿宋_GB2312"/>
          <w:kern w:val="0"/>
          <w:sz w:val="30"/>
          <w:szCs w:val="32"/>
        </w:rPr>
        <w:t>载明的开工日期前14天向承包人提供图纸。</w:t>
      </w:r>
    </w:p>
    <w:p w14:paraId="01E5B623">
      <w:pPr>
        <w:spacing w:line="360" w:lineRule="auto"/>
        <w:ind w:firstLine="600" w:firstLineChars="200"/>
        <w:jc w:val="left"/>
        <w:rPr>
          <w:rFonts w:eastAsia="仿宋_GB2312"/>
          <w:kern w:val="0"/>
          <w:sz w:val="30"/>
          <w:szCs w:val="32"/>
        </w:rPr>
      </w:pPr>
      <w:r>
        <w:rPr>
          <w:rFonts w:eastAsia="仿宋_GB2312"/>
          <w:kern w:val="0"/>
          <w:sz w:val="30"/>
          <w:szCs w:val="32"/>
        </w:rPr>
        <w:t>因发包人未按合同约定提供图纸导致承包人费用增加和（或）工期延误的，按照第7.5.1项</w:t>
      </w:r>
      <w:r>
        <w:rPr>
          <w:rFonts w:hint="eastAsia" w:eastAsia="仿宋_GB2312"/>
          <w:kern w:val="0"/>
          <w:sz w:val="30"/>
          <w:szCs w:val="32"/>
        </w:rPr>
        <w:t>〔</w:t>
      </w:r>
      <w:r>
        <w:rPr>
          <w:rFonts w:eastAsia="仿宋_GB2312"/>
          <w:kern w:val="0"/>
          <w:sz w:val="30"/>
          <w:szCs w:val="32"/>
        </w:rPr>
        <w:t>因发包人原因导致工期延误</w:t>
      </w:r>
      <w:r>
        <w:rPr>
          <w:rFonts w:hint="eastAsia" w:eastAsia="仿宋_GB2312"/>
          <w:kern w:val="0"/>
          <w:sz w:val="30"/>
          <w:szCs w:val="32"/>
        </w:rPr>
        <w:t>〕</w:t>
      </w:r>
      <w:r>
        <w:rPr>
          <w:rFonts w:eastAsia="仿宋_GB2312"/>
          <w:kern w:val="0"/>
          <w:sz w:val="30"/>
          <w:szCs w:val="32"/>
        </w:rPr>
        <w:t>约定办理。</w:t>
      </w:r>
    </w:p>
    <w:p w14:paraId="24A9FB4A">
      <w:pPr>
        <w:spacing w:line="360" w:lineRule="auto"/>
        <w:ind w:firstLine="600" w:firstLineChars="200"/>
        <w:jc w:val="left"/>
        <w:rPr>
          <w:rFonts w:eastAsia="仿宋_GB2312"/>
          <w:kern w:val="0"/>
          <w:sz w:val="30"/>
          <w:szCs w:val="32"/>
        </w:rPr>
      </w:pPr>
      <w:r>
        <w:rPr>
          <w:rFonts w:eastAsia="仿宋_GB2312"/>
          <w:kern w:val="0"/>
          <w:sz w:val="30"/>
          <w:szCs w:val="32"/>
        </w:rPr>
        <w:t>1.6.2图纸的错误</w:t>
      </w:r>
    </w:p>
    <w:p w14:paraId="28E1D423">
      <w:pPr>
        <w:spacing w:line="360" w:lineRule="auto"/>
        <w:ind w:firstLine="600" w:firstLineChars="200"/>
        <w:jc w:val="left"/>
        <w:rPr>
          <w:rFonts w:eastAsia="仿宋_GB2312"/>
          <w:kern w:val="0"/>
          <w:sz w:val="30"/>
          <w:szCs w:val="32"/>
        </w:rPr>
      </w:pPr>
      <w:r>
        <w:rPr>
          <w:rFonts w:eastAsia="仿宋_GB2312"/>
          <w:kern w:val="0"/>
          <w:sz w:val="30"/>
          <w:szCs w:val="32"/>
        </w:rPr>
        <w:t>承包人在收到发包人提供的图纸后，发现图纸存在差错、遗漏或缺陷的，应及时通知监理人。监理人接到该通知后，应附具相关意见并立即报送发包人，发包人应在收到监理人报送的通知后的合理时间内作出决定。</w:t>
      </w:r>
      <w:r>
        <w:rPr>
          <w:rFonts w:hint="eastAsia" w:eastAsia="仿宋_GB2312"/>
          <w:kern w:val="0"/>
          <w:sz w:val="30"/>
          <w:szCs w:val="32"/>
        </w:rPr>
        <w:t>合理时间是指发包人在收到监理人的报送通知后，尽其努力且不懈怠地完成图纸修改补充所需的时间。</w:t>
      </w:r>
    </w:p>
    <w:p w14:paraId="472534B0">
      <w:pPr>
        <w:spacing w:line="360" w:lineRule="auto"/>
        <w:ind w:firstLine="600" w:firstLineChars="200"/>
        <w:jc w:val="left"/>
        <w:rPr>
          <w:rFonts w:eastAsia="仿宋_GB2312"/>
          <w:kern w:val="0"/>
          <w:sz w:val="30"/>
          <w:szCs w:val="32"/>
        </w:rPr>
      </w:pPr>
      <w:r>
        <w:rPr>
          <w:rFonts w:eastAsia="仿宋_GB2312"/>
          <w:kern w:val="0"/>
          <w:sz w:val="30"/>
          <w:szCs w:val="32"/>
        </w:rPr>
        <w:t>1.6.3图纸的修改和补充</w:t>
      </w:r>
    </w:p>
    <w:p w14:paraId="45178AE5">
      <w:pPr>
        <w:spacing w:line="360" w:lineRule="auto"/>
        <w:ind w:firstLine="600" w:firstLineChars="200"/>
        <w:jc w:val="left"/>
        <w:rPr>
          <w:rFonts w:eastAsia="仿宋_GB2312"/>
          <w:kern w:val="0"/>
          <w:sz w:val="30"/>
          <w:szCs w:val="32"/>
        </w:rPr>
      </w:pPr>
      <w:r>
        <w:rPr>
          <w:rFonts w:eastAsia="仿宋_GB2312"/>
          <w:kern w:val="0"/>
          <w:sz w:val="30"/>
          <w:szCs w:val="32"/>
        </w:rPr>
        <w:t>图纸需要修改和补充的，应经图纸原设计人及审批部门同意，并由监理人在工程或工程相应部位施工前将修改后的图纸或补充图纸提交给承包人，承包人应按修改或补充后的图纸施工。</w:t>
      </w:r>
    </w:p>
    <w:p w14:paraId="5263E51F">
      <w:pPr>
        <w:spacing w:line="360" w:lineRule="auto"/>
        <w:ind w:firstLine="600" w:firstLineChars="200"/>
        <w:jc w:val="left"/>
        <w:rPr>
          <w:rFonts w:eastAsia="仿宋_GB2312"/>
          <w:kern w:val="0"/>
          <w:sz w:val="30"/>
          <w:szCs w:val="32"/>
        </w:rPr>
      </w:pPr>
      <w:r>
        <w:rPr>
          <w:rFonts w:eastAsia="仿宋_GB2312"/>
          <w:kern w:val="0"/>
          <w:sz w:val="30"/>
          <w:szCs w:val="32"/>
        </w:rPr>
        <w:t>1.6.4承包人文件</w:t>
      </w:r>
    </w:p>
    <w:p w14:paraId="588B4BE1">
      <w:pPr>
        <w:spacing w:line="360" w:lineRule="auto"/>
        <w:ind w:firstLine="600" w:firstLineChars="200"/>
        <w:jc w:val="left"/>
        <w:rPr>
          <w:rFonts w:eastAsia="仿宋_GB2312"/>
          <w:kern w:val="0"/>
          <w:sz w:val="30"/>
          <w:szCs w:val="32"/>
        </w:rPr>
      </w:pPr>
      <w:r>
        <w:rPr>
          <w:rFonts w:eastAsia="仿宋_GB2312"/>
          <w:kern w:val="0"/>
          <w:sz w:val="30"/>
          <w:szCs w:val="32"/>
        </w:rPr>
        <w:t>承包人应按照专用合同条款的约定提供应当由其编制的与工程施工有关的文件，并按照专用合同条款约定的期限、数量和形式提交监理人，并由监理人报送发包人。</w:t>
      </w:r>
    </w:p>
    <w:p w14:paraId="074EE14A">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监理人应在收到承包人文件后7天内审查完毕，监理人对承包人文件有异议的，承包人应予以修改，并重新报送监理人。监理人的审查并不减轻或免除承包人根据合同约定应当承担的责任。</w:t>
      </w:r>
    </w:p>
    <w:p w14:paraId="2A908428">
      <w:pPr>
        <w:spacing w:line="360" w:lineRule="auto"/>
        <w:ind w:firstLine="600" w:firstLineChars="200"/>
        <w:jc w:val="left"/>
        <w:rPr>
          <w:rFonts w:eastAsia="仿宋_GB2312"/>
          <w:kern w:val="0"/>
          <w:sz w:val="30"/>
          <w:szCs w:val="32"/>
        </w:rPr>
      </w:pPr>
      <w:r>
        <w:rPr>
          <w:rFonts w:eastAsia="仿宋_GB2312"/>
          <w:kern w:val="0"/>
          <w:sz w:val="30"/>
          <w:szCs w:val="32"/>
        </w:rPr>
        <w:t>1.6.5图纸和承包人文件的保管</w:t>
      </w:r>
    </w:p>
    <w:p w14:paraId="2752C49A">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除专用合同条款另有约定外，承包人应在施工现场另外保存一套完整的图纸和承包人文件，供发包人、监理人及有关人员进行工程检查时使用。</w:t>
      </w:r>
    </w:p>
    <w:p w14:paraId="394C7B83">
      <w:pPr>
        <w:pStyle w:val="9"/>
        <w:spacing w:before="120" w:after="120" w:line="360" w:lineRule="auto"/>
        <w:ind w:firstLine="600" w:firstLineChars="200"/>
        <w:rPr>
          <w:rFonts w:eastAsia="黑体"/>
          <w:b w:val="0"/>
          <w:i w:val="0"/>
          <w:iCs w:val="0"/>
          <w:sz w:val="30"/>
          <w:szCs w:val="32"/>
        </w:rPr>
      </w:pPr>
      <w:bookmarkStart w:id="227" w:name="_Toc351203502"/>
      <w:r>
        <w:rPr>
          <w:rFonts w:eastAsia="黑体"/>
          <w:b w:val="0"/>
          <w:i w:val="0"/>
          <w:iCs w:val="0"/>
          <w:sz w:val="30"/>
          <w:szCs w:val="32"/>
        </w:rPr>
        <w:t>1</w:t>
      </w:r>
      <w:bookmarkStart w:id="228" w:name="_Toc296346534"/>
      <w:bookmarkStart w:id="229" w:name="_Toc337558733"/>
      <w:bookmarkStart w:id="230" w:name="_Toc296503033"/>
      <w:r>
        <w:rPr>
          <w:rFonts w:eastAsia="黑体"/>
          <w:b w:val="0"/>
          <w:i w:val="0"/>
          <w:iCs w:val="0"/>
          <w:sz w:val="30"/>
          <w:szCs w:val="32"/>
        </w:rPr>
        <w:t>.7联络</w:t>
      </w:r>
      <w:bookmarkEnd w:id="227"/>
    </w:p>
    <w:bookmarkEnd w:id="228"/>
    <w:bookmarkEnd w:id="229"/>
    <w:bookmarkEnd w:id="230"/>
    <w:p w14:paraId="3166A65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1.7.1与合同有关的通知、批准、证明、证书、指示、指令、要求、请求、同意、意见、确定和决定等，均应采用书面形式，并应在合同约定的期限内送达接收人和送达地点。</w:t>
      </w:r>
    </w:p>
    <w:p w14:paraId="66AF855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1.7.2发包人和承包人应在专用合同条款中约定各自的送达接收人和送达地点。任何一方合同当事人指定的接收人或送达地点发生变动的，应提前3天以书面形式通知对方。</w:t>
      </w:r>
    </w:p>
    <w:p w14:paraId="6579EC2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1.7.3发包人和承包人应当及时签收另一方送达至送达地点和指定接收人的来往信函。拒不签收的，由此增加的费用和（或）延误的工期由拒绝接收一方承担。</w:t>
      </w:r>
    </w:p>
    <w:p w14:paraId="2796E432">
      <w:pPr>
        <w:pStyle w:val="9"/>
        <w:spacing w:before="120" w:after="120" w:line="360" w:lineRule="auto"/>
        <w:ind w:firstLine="600" w:firstLineChars="200"/>
        <w:rPr>
          <w:rFonts w:eastAsia="黑体"/>
          <w:b w:val="0"/>
          <w:i w:val="0"/>
          <w:iCs w:val="0"/>
          <w:sz w:val="30"/>
          <w:szCs w:val="32"/>
        </w:rPr>
      </w:pPr>
      <w:bookmarkStart w:id="231" w:name="_Toc351203503"/>
      <w:r>
        <w:rPr>
          <w:rFonts w:eastAsia="黑体"/>
          <w:b w:val="0"/>
          <w:i w:val="0"/>
          <w:iCs w:val="0"/>
          <w:sz w:val="30"/>
          <w:szCs w:val="32"/>
        </w:rPr>
        <w:t>1</w:t>
      </w:r>
      <w:bookmarkStart w:id="232" w:name="_Toc337558734"/>
      <w:bookmarkStart w:id="233" w:name="_Toc296346536"/>
      <w:bookmarkStart w:id="234" w:name="_Toc296503035"/>
      <w:r>
        <w:rPr>
          <w:rFonts w:eastAsia="黑体"/>
          <w:b w:val="0"/>
          <w:i w:val="0"/>
          <w:iCs w:val="0"/>
          <w:sz w:val="30"/>
          <w:szCs w:val="32"/>
        </w:rPr>
        <w:t>.8严禁贿赂</w:t>
      </w:r>
      <w:bookmarkEnd w:id="231"/>
    </w:p>
    <w:bookmarkEnd w:id="232"/>
    <w:bookmarkEnd w:id="233"/>
    <w:bookmarkEnd w:id="234"/>
    <w:p w14:paraId="2D0B610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合同当事人不得以贿赂或变相贿赂的方式，谋取非法利益或损害对方权益。因一方合同当事人的贿赂造成对方损失的，应赔偿损失，并承担相应的法律责任。</w:t>
      </w:r>
    </w:p>
    <w:p w14:paraId="4027356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承包人不得与监理人或发包人聘请的第三方串通损害发包人利益。未经发包人书面同意，承包人不得为监理人提供合同约定以外的通讯设备、交通工具及其他任何形式的利益，不得向监理人支付报酬。</w:t>
      </w:r>
    </w:p>
    <w:p w14:paraId="1AE2EABC">
      <w:pPr>
        <w:pStyle w:val="9"/>
        <w:spacing w:before="120" w:after="120" w:line="360" w:lineRule="auto"/>
        <w:ind w:firstLine="600" w:firstLineChars="200"/>
        <w:rPr>
          <w:rFonts w:eastAsia="黑体"/>
          <w:b w:val="0"/>
          <w:i w:val="0"/>
          <w:iCs w:val="0"/>
          <w:sz w:val="30"/>
          <w:szCs w:val="32"/>
        </w:rPr>
      </w:pPr>
      <w:bookmarkStart w:id="235" w:name="_Toc351203504"/>
      <w:r>
        <w:rPr>
          <w:rFonts w:eastAsia="黑体"/>
          <w:b w:val="0"/>
          <w:i w:val="0"/>
          <w:iCs w:val="0"/>
          <w:sz w:val="30"/>
          <w:szCs w:val="32"/>
        </w:rPr>
        <w:t>1</w:t>
      </w:r>
      <w:bookmarkStart w:id="236" w:name="_Toc296346537"/>
      <w:bookmarkStart w:id="237" w:name="_Toc296503036"/>
      <w:bookmarkStart w:id="238" w:name="_Toc337558735"/>
      <w:r>
        <w:rPr>
          <w:rFonts w:eastAsia="黑体"/>
          <w:b w:val="0"/>
          <w:i w:val="0"/>
          <w:iCs w:val="0"/>
          <w:sz w:val="30"/>
          <w:szCs w:val="32"/>
        </w:rPr>
        <w:t>.9化石、文物</w:t>
      </w:r>
      <w:bookmarkEnd w:id="235"/>
    </w:p>
    <w:bookmarkEnd w:id="236"/>
    <w:bookmarkEnd w:id="237"/>
    <w:bookmarkEnd w:id="238"/>
    <w:p w14:paraId="4F517DD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在施工现场发掘的所有文物、古迹以及具有地质研究或考古价值的其他遗迹、化石、钱币或物品属于国家所有。一旦发现上述文物，承包人应采取合理有效的保护措施，防止任何人员移动或损坏上述物品，并立即报告有关政府行政管理部门，同时通知监理人。</w:t>
      </w:r>
    </w:p>
    <w:p w14:paraId="3F20DE1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发包人、监理人和承包人应按有关政府行政管理部门要求采取妥善的保护措施，由此增加的费用和</w:t>
      </w:r>
      <w:r>
        <w:rPr>
          <w:rFonts w:hint="eastAsia" w:eastAsia="仿宋_GB2312"/>
          <w:kern w:val="0"/>
          <w:sz w:val="30"/>
          <w:szCs w:val="32"/>
        </w:rPr>
        <w:t>（</w:t>
      </w:r>
      <w:r>
        <w:rPr>
          <w:rFonts w:eastAsia="仿宋_GB2312"/>
          <w:kern w:val="0"/>
          <w:sz w:val="30"/>
          <w:szCs w:val="32"/>
        </w:rPr>
        <w:t>或）延误的工期由发包人承担。</w:t>
      </w:r>
    </w:p>
    <w:p w14:paraId="2129325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承包人发现文物后不及时报告或隐瞒不报，致使文物丢失或损坏的，应赔偿损失，并承担相应的法律责任。</w:t>
      </w:r>
    </w:p>
    <w:p w14:paraId="2A524265">
      <w:pPr>
        <w:pStyle w:val="9"/>
        <w:spacing w:before="120" w:after="120" w:line="360" w:lineRule="auto"/>
        <w:ind w:firstLine="600" w:firstLineChars="200"/>
        <w:rPr>
          <w:rFonts w:eastAsia="黑体"/>
          <w:b w:val="0"/>
          <w:i w:val="0"/>
          <w:iCs w:val="0"/>
          <w:sz w:val="30"/>
          <w:szCs w:val="32"/>
        </w:rPr>
      </w:pPr>
      <w:bookmarkStart w:id="239" w:name="_Toc351203505"/>
      <w:r>
        <w:rPr>
          <w:rFonts w:eastAsia="黑体"/>
          <w:b w:val="0"/>
          <w:i w:val="0"/>
          <w:iCs w:val="0"/>
          <w:sz w:val="30"/>
          <w:szCs w:val="32"/>
        </w:rPr>
        <w:t>1</w:t>
      </w:r>
      <w:bookmarkStart w:id="240" w:name="_Toc337558736"/>
      <w:r>
        <w:rPr>
          <w:rFonts w:eastAsia="黑体"/>
          <w:b w:val="0"/>
          <w:i w:val="0"/>
          <w:iCs w:val="0"/>
          <w:sz w:val="30"/>
          <w:szCs w:val="32"/>
        </w:rPr>
        <w:t>.10交通运输</w:t>
      </w:r>
      <w:bookmarkEnd w:id="239"/>
    </w:p>
    <w:bookmarkEnd w:id="240"/>
    <w:p w14:paraId="1C126E5C">
      <w:pPr>
        <w:spacing w:line="360" w:lineRule="auto"/>
        <w:ind w:firstLine="600" w:firstLineChars="200"/>
        <w:jc w:val="left"/>
        <w:rPr>
          <w:rFonts w:eastAsia="仿宋_GB2312"/>
          <w:kern w:val="0"/>
          <w:sz w:val="30"/>
          <w:szCs w:val="32"/>
        </w:rPr>
      </w:pPr>
      <w:r>
        <w:rPr>
          <w:rFonts w:eastAsia="仿宋_GB2312"/>
          <w:kern w:val="0"/>
          <w:sz w:val="30"/>
          <w:szCs w:val="32"/>
        </w:rPr>
        <w:t>1.10.1出入现场的权利</w:t>
      </w:r>
    </w:p>
    <w:p w14:paraId="109099B5">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除专用合同条款另有约定外，发包人应根据施工需要，负责取得出入施工现场所需的</w:t>
      </w:r>
      <w:r>
        <w:rPr>
          <w:rFonts w:hint="eastAsia" w:eastAsia="仿宋_GB2312"/>
          <w:kern w:val="0"/>
          <w:sz w:val="30"/>
          <w:szCs w:val="32"/>
        </w:rPr>
        <w:t>批准手续和</w:t>
      </w:r>
      <w:r>
        <w:rPr>
          <w:rFonts w:eastAsia="仿宋_GB2312"/>
          <w:kern w:val="0"/>
          <w:sz w:val="30"/>
          <w:szCs w:val="32"/>
        </w:rPr>
        <w:t>全部权利，以及取得因施工所需修建道路、桥梁以及其他基础设施的权利，并承担相关手续费用和建设费用。承包人应协助发包人办理修建场内外道路、桥梁以及其他基础设施的手续。</w:t>
      </w:r>
    </w:p>
    <w:p w14:paraId="2E29FE27">
      <w:pPr>
        <w:spacing w:line="360" w:lineRule="auto"/>
        <w:ind w:firstLine="600" w:firstLineChars="200"/>
        <w:jc w:val="left"/>
        <w:rPr>
          <w:rFonts w:eastAsia="仿宋_GB2312"/>
          <w:kern w:val="0"/>
          <w:sz w:val="30"/>
          <w:szCs w:val="32"/>
        </w:rPr>
      </w:pPr>
      <w:r>
        <w:rPr>
          <w:rFonts w:eastAsia="仿宋_GB2312"/>
          <w:kern w:val="0"/>
          <w:sz w:val="30"/>
          <w:szCs w:val="32"/>
        </w:rPr>
        <w:t>承包人应在订立合同前查勘施工现场，并根据工程规模及技术参数合理预见工程施工所需的进出施工现场的方式、手段、路径等。因承包人未合理预见所增加的费用和（或）延误的工期由承包人承担。</w:t>
      </w:r>
    </w:p>
    <w:p w14:paraId="6A73010D">
      <w:pPr>
        <w:spacing w:line="360" w:lineRule="auto"/>
        <w:ind w:firstLine="600" w:firstLineChars="200"/>
        <w:jc w:val="left"/>
        <w:rPr>
          <w:rFonts w:eastAsia="仿宋_GB2312"/>
          <w:kern w:val="0"/>
          <w:sz w:val="30"/>
          <w:szCs w:val="32"/>
        </w:rPr>
      </w:pPr>
      <w:r>
        <w:rPr>
          <w:rFonts w:eastAsia="仿宋_GB2312"/>
          <w:kern w:val="0"/>
          <w:sz w:val="30"/>
          <w:szCs w:val="32"/>
        </w:rPr>
        <w:t>1.10.2场外交通</w:t>
      </w:r>
    </w:p>
    <w:p w14:paraId="3C1A639C">
      <w:pPr>
        <w:spacing w:line="360" w:lineRule="auto"/>
        <w:ind w:firstLine="600" w:firstLineChars="200"/>
        <w:jc w:val="left"/>
        <w:rPr>
          <w:rFonts w:eastAsia="仿宋_GB2312"/>
          <w:kern w:val="0"/>
          <w:sz w:val="30"/>
          <w:szCs w:val="32"/>
        </w:rPr>
      </w:pPr>
      <w:r>
        <w:rPr>
          <w:rFonts w:eastAsia="仿宋_GB2312"/>
          <w:kern w:val="0"/>
          <w:sz w:val="30"/>
          <w:szCs w:val="32"/>
        </w:rPr>
        <w:t>发包人应提供场外交通设施的技术参数和具体条件，承包人应遵守有关交通法规，严格按照道路和桥梁的限制荷载行驶，执行有关道路限速、限行、禁止超载的规定，并配合交通管理部门的监督和检查。场外交通设施无法满足工程施工需要的，由发包人负责完善并承担相关费用。</w:t>
      </w:r>
    </w:p>
    <w:p w14:paraId="180860A6">
      <w:pPr>
        <w:spacing w:line="360" w:lineRule="auto"/>
        <w:ind w:firstLine="600" w:firstLineChars="200"/>
        <w:jc w:val="left"/>
        <w:rPr>
          <w:rFonts w:eastAsia="仿宋_GB2312"/>
          <w:kern w:val="0"/>
          <w:sz w:val="30"/>
          <w:szCs w:val="32"/>
        </w:rPr>
      </w:pPr>
      <w:r>
        <w:rPr>
          <w:rFonts w:eastAsia="仿宋_GB2312"/>
          <w:kern w:val="0"/>
          <w:sz w:val="30"/>
          <w:szCs w:val="32"/>
        </w:rPr>
        <w:t>1.10.3场内交通</w:t>
      </w:r>
    </w:p>
    <w:p w14:paraId="675BEC5D">
      <w:pPr>
        <w:spacing w:line="360" w:lineRule="auto"/>
        <w:ind w:firstLine="600" w:firstLineChars="200"/>
        <w:jc w:val="left"/>
        <w:rPr>
          <w:rFonts w:eastAsia="仿宋_GB2312"/>
          <w:kern w:val="0"/>
          <w:sz w:val="30"/>
          <w:szCs w:val="32"/>
        </w:rPr>
      </w:pPr>
      <w:r>
        <w:rPr>
          <w:rFonts w:eastAsia="仿宋_GB2312"/>
          <w:kern w:val="0"/>
          <w:sz w:val="30"/>
          <w:szCs w:val="32"/>
        </w:rPr>
        <w:t>发包人应提供场内交通设施的技术参数和具体条件，并应按照专用合同条款的约定向承包人免费提供满足工程施工所需的场内道路和交通设施。因承包人原因造成上述道路或交通设施损坏的，承包人负责修复并承担由此增加的费用。</w:t>
      </w:r>
    </w:p>
    <w:p w14:paraId="69B4DB0F">
      <w:pPr>
        <w:spacing w:line="360" w:lineRule="auto"/>
        <w:ind w:firstLine="600" w:firstLineChars="200"/>
        <w:jc w:val="left"/>
        <w:rPr>
          <w:rFonts w:eastAsia="仿宋_GB2312"/>
          <w:kern w:val="0"/>
          <w:sz w:val="30"/>
          <w:szCs w:val="32"/>
        </w:rPr>
      </w:pPr>
      <w:r>
        <w:rPr>
          <w:rFonts w:eastAsia="仿宋_GB2312"/>
          <w:kern w:val="0"/>
          <w:sz w:val="30"/>
          <w:szCs w:val="32"/>
        </w:rPr>
        <w:t>除发包人按照合同约定提供的场内道路和交通设施外，承包人负责修建、维修、养护和管理施工所需的其他场内临时道路和交通设施。发包人和监理人可以为实现合同目的使用承包人修建的场内临时道路和交通设施。</w:t>
      </w:r>
    </w:p>
    <w:p w14:paraId="25AACB3D">
      <w:pPr>
        <w:spacing w:line="360" w:lineRule="auto"/>
        <w:ind w:firstLine="600" w:firstLineChars="200"/>
        <w:jc w:val="left"/>
        <w:rPr>
          <w:rFonts w:eastAsia="仿宋_GB2312"/>
          <w:kern w:val="0"/>
          <w:sz w:val="30"/>
          <w:szCs w:val="32"/>
        </w:rPr>
      </w:pPr>
      <w:r>
        <w:rPr>
          <w:rFonts w:eastAsia="仿宋_GB2312"/>
          <w:kern w:val="0"/>
          <w:sz w:val="30"/>
          <w:szCs w:val="32"/>
        </w:rPr>
        <w:t>场外交通和场内交通的边界由合同当事人在专用合同条款中约定。</w:t>
      </w:r>
    </w:p>
    <w:p w14:paraId="2FCD3F9A">
      <w:pPr>
        <w:spacing w:line="360" w:lineRule="auto"/>
        <w:ind w:firstLine="600" w:firstLineChars="200"/>
        <w:jc w:val="left"/>
        <w:rPr>
          <w:rFonts w:eastAsia="仿宋_GB2312"/>
          <w:kern w:val="0"/>
          <w:sz w:val="30"/>
          <w:szCs w:val="32"/>
        </w:rPr>
      </w:pPr>
      <w:r>
        <w:rPr>
          <w:rFonts w:eastAsia="仿宋_GB2312"/>
          <w:kern w:val="0"/>
          <w:sz w:val="30"/>
          <w:szCs w:val="32"/>
        </w:rPr>
        <w:t>1.10.4超大件和超重件的运输</w:t>
      </w:r>
    </w:p>
    <w:p w14:paraId="0E5A17D2">
      <w:pPr>
        <w:spacing w:line="360" w:lineRule="auto"/>
        <w:ind w:firstLine="600" w:firstLineChars="200"/>
        <w:jc w:val="left"/>
        <w:rPr>
          <w:rFonts w:eastAsia="仿宋_GB2312"/>
          <w:kern w:val="0"/>
          <w:sz w:val="30"/>
          <w:szCs w:val="32"/>
        </w:rPr>
      </w:pPr>
      <w:r>
        <w:rPr>
          <w:rFonts w:eastAsia="仿宋_GB2312"/>
          <w:kern w:val="0"/>
          <w:sz w:val="30"/>
          <w:szCs w:val="32"/>
        </w:rPr>
        <w:t>由承包人负责运输的超大件或超重件，应由承包人负责向交通管理部门办理申请手续，发包人给予协助。运输超大件或超重件所需的道路和桥梁临时加固改造费用和其他有关费用，由承包人承担，但专用合同条款另有约定除外。</w:t>
      </w:r>
    </w:p>
    <w:p w14:paraId="50BC3FBD">
      <w:pPr>
        <w:spacing w:line="360" w:lineRule="auto"/>
        <w:ind w:firstLine="600" w:firstLineChars="200"/>
        <w:jc w:val="left"/>
        <w:rPr>
          <w:rFonts w:eastAsia="仿宋_GB2312"/>
          <w:kern w:val="0"/>
          <w:sz w:val="30"/>
          <w:szCs w:val="32"/>
        </w:rPr>
      </w:pPr>
      <w:r>
        <w:rPr>
          <w:rFonts w:eastAsia="仿宋_GB2312"/>
          <w:kern w:val="0"/>
          <w:sz w:val="30"/>
          <w:szCs w:val="32"/>
        </w:rPr>
        <w:t>1.10.5道路和桥梁的损坏责任</w:t>
      </w:r>
    </w:p>
    <w:p w14:paraId="061A2053">
      <w:pPr>
        <w:spacing w:line="360" w:lineRule="auto"/>
        <w:ind w:firstLine="600" w:firstLineChars="200"/>
        <w:jc w:val="left"/>
        <w:rPr>
          <w:rFonts w:eastAsia="仿宋_GB2312"/>
          <w:kern w:val="0"/>
          <w:sz w:val="30"/>
          <w:szCs w:val="32"/>
        </w:rPr>
      </w:pPr>
      <w:r>
        <w:rPr>
          <w:rFonts w:eastAsia="仿宋_GB2312"/>
          <w:kern w:val="0"/>
          <w:sz w:val="30"/>
          <w:szCs w:val="32"/>
        </w:rPr>
        <w:t>因承包人运输造成施工场地内外公共道路和桥梁损坏的，由承包人承担修复损坏的全部费用和可能引起的赔偿。</w:t>
      </w:r>
    </w:p>
    <w:p w14:paraId="57D2DD05">
      <w:pPr>
        <w:spacing w:line="360" w:lineRule="auto"/>
        <w:ind w:firstLine="600" w:firstLineChars="200"/>
        <w:jc w:val="left"/>
        <w:rPr>
          <w:rFonts w:eastAsia="仿宋_GB2312"/>
          <w:kern w:val="0"/>
          <w:sz w:val="30"/>
          <w:szCs w:val="32"/>
        </w:rPr>
      </w:pPr>
      <w:r>
        <w:rPr>
          <w:rFonts w:eastAsia="仿宋_GB2312"/>
          <w:kern w:val="0"/>
          <w:sz w:val="30"/>
          <w:szCs w:val="32"/>
        </w:rPr>
        <w:t>1.10.6水路和航空运输</w:t>
      </w:r>
    </w:p>
    <w:p w14:paraId="035CE109">
      <w:pPr>
        <w:spacing w:line="360" w:lineRule="auto"/>
        <w:ind w:firstLine="600" w:firstLineChars="200"/>
        <w:jc w:val="left"/>
        <w:rPr>
          <w:rFonts w:eastAsia="仿宋_GB2312"/>
          <w:kern w:val="0"/>
          <w:sz w:val="30"/>
          <w:szCs w:val="32"/>
        </w:rPr>
      </w:pPr>
      <w:r>
        <w:rPr>
          <w:rFonts w:eastAsia="仿宋_GB2312"/>
          <w:kern w:val="0"/>
          <w:sz w:val="30"/>
          <w:szCs w:val="32"/>
        </w:rPr>
        <w:t>本</w:t>
      </w:r>
      <w:r>
        <w:rPr>
          <w:rFonts w:hint="eastAsia" w:eastAsia="仿宋_GB2312"/>
          <w:kern w:val="0"/>
          <w:sz w:val="30"/>
          <w:szCs w:val="32"/>
        </w:rPr>
        <w:t>款</w:t>
      </w:r>
      <w:r>
        <w:rPr>
          <w:rFonts w:eastAsia="仿宋_GB2312"/>
          <w:kern w:val="0"/>
          <w:sz w:val="30"/>
          <w:szCs w:val="32"/>
        </w:rPr>
        <w:t>前述各</w:t>
      </w:r>
      <w:r>
        <w:rPr>
          <w:rFonts w:hint="eastAsia" w:eastAsia="仿宋_GB2312"/>
          <w:kern w:val="0"/>
          <w:sz w:val="30"/>
          <w:szCs w:val="32"/>
        </w:rPr>
        <w:t>项</w:t>
      </w:r>
      <w:r>
        <w:rPr>
          <w:rFonts w:eastAsia="仿宋_GB2312"/>
          <w:kern w:val="0"/>
          <w:sz w:val="30"/>
          <w:szCs w:val="32"/>
        </w:rPr>
        <w:t>的内容适用于水路运输和航空运输，其中“道路”一词的涵义包括河道、航线、船闸、机场、码头、堤防以及水路或航空运输中其他相似结构物；“车辆”一词的涵义包括船舶和飞机等。</w:t>
      </w:r>
    </w:p>
    <w:p w14:paraId="2DAD4C2E">
      <w:pPr>
        <w:pStyle w:val="9"/>
        <w:spacing w:before="120" w:after="120" w:line="360" w:lineRule="auto"/>
        <w:ind w:firstLine="600" w:firstLineChars="200"/>
        <w:rPr>
          <w:rFonts w:eastAsia="黑体"/>
          <w:b w:val="0"/>
          <w:i w:val="0"/>
          <w:iCs w:val="0"/>
          <w:sz w:val="30"/>
          <w:szCs w:val="32"/>
        </w:rPr>
      </w:pPr>
      <w:bookmarkStart w:id="241" w:name="_Toc351203506"/>
      <w:r>
        <w:rPr>
          <w:rFonts w:eastAsia="黑体"/>
          <w:b w:val="0"/>
          <w:i w:val="0"/>
          <w:iCs w:val="0"/>
          <w:sz w:val="30"/>
          <w:szCs w:val="32"/>
        </w:rPr>
        <w:t>1</w:t>
      </w:r>
      <w:bookmarkStart w:id="242" w:name="_Toc337558737"/>
      <w:bookmarkStart w:id="243" w:name="_Toc296503037"/>
      <w:bookmarkStart w:id="244" w:name="_Toc296346538"/>
      <w:r>
        <w:rPr>
          <w:rFonts w:eastAsia="黑体"/>
          <w:b w:val="0"/>
          <w:i w:val="0"/>
          <w:iCs w:val="0"/>
          <w:sz w:val="30"/>
          <w:szCs w:val="32"/>
        </w:rPr>
        <w:t>.11知识产权</w:t>
      </w:r>
      <w:bookmarkEnd w:id="241"/>
      <w:bookmarkEnd w:id="242"/>
    </w:p>
    <w:bookmarkEnd w:id="243"/>
    <w:bookmarkEnd w:id="244"/>
    <w:p w14:paraId="563A0BB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1.11.1除专用合同条款另有约定外，发包人提供给承包人的图纸、发包人为实施工程自行编制或委托编制的技术规范以及反映发包人要求的或其他类似性质的文件的著作权属于发包人，承包人可以为实现合同目的而复制、使用此类文件，但不能用于与合同无关的其他事项。未经发包人书面同意，承包人不得为了合同以外的目的而复制、使用上述文件或将之提供给任何第三方。</w:t>
      </w:r>
    </w:p>
    <w:p w14:paraId="41A488A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1.11.2除专用合同条款另有约定外，承包人为实施工程所编制的文件，除署名权以外的著作权属于发包人，承包人可因实施工程的运行、调试、维修、改造等目的而复制、使用此类文件，但不能用于与合同无关的其他事项。未经发包人书面同意，承包人不得为了合同以外的目的而复制、使用上述文件或将之提供给任何第三方。</w:t>
      </w:r>
    </w:p>
    <w:p w14:paraId="72DF5DB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1.11.3合同当事人保证在履行合同过程中不侵犯对方及第三方的知识产权。承包人在使用材料、施工设备、工程设备或采用施工工艺时，因侵犯他人的专利权或其他知识产权所引起的责任，由承包人承担；因发包人提供的材料、施工设备、工程设备或施工工艺导致侵权的，由发包人承担责任。</w:t>
      </w:r>
    </w:p>
    <w:p w14:paraId="10316791">
      <w:pPr>
        <w:rPr>
          <w:sz w:val="30"/>
        </w:rPr>
      </w:pPr>
      <w:r>
        <w:rPr>
          <w:rFonts w:eastAsia="仿宋_GB2312"/>
          <w:kern w:val="0"/>
          <w:sz w:val="30"/>
          <w:szCs w:val="32"/>
        </w:rPr>
        <w:t xml:space="preserve">    </w:t>
      </w:r>
      <w:r>
        <w:rPr>
          <w:rFonts w:eastAsia="仿宋_GB2312"/>
          <w:sz w:val="30"/>
          <w:szCs w:val="32"/>
        </w:rPr>
        <w:t>1.11.4除专用合同条款另有约定外，承包人在合同签订前和签订时已确定采用的专利、专有技术、技术秘密的使用费已包含在签约合同价中。</w:t>
      </w:r>
    </w:p>
    <w:p w14:paraId="1745E8F1">
      <w:pPr>
        <w:pStyle w:val="9"/>
        <w:spacing w:before="120" w:after="120" w:line="360" w:lineRule="auto"/>
        <w:ind w:firstLine="600" w:firstLineChars="200"/>
        <w:rPr>
          <w:rFonts w:eastAsia="黑体"/>
          <w:b w:val="0"/>
          <w:i w:val="0"/>
          <w:iCs w:val="0"/>
          <w:sz w:val="30"/>
          <w:szCs w:val="32"/>
        </w:rPr>
      </w:pPr>
      <w:bookmarkStart w:id="245" w:name="_Toc351203507"/>
      <w:r>
        <w:rPr>
          <w:rFonts w:eastAsia="黑体"/>
          <w:b w:val="0"/>
          <w:i w:val="0"/>
          <w:iCs w:val="0"/>
          <w:sz w:val="30"/>
          <w:szCs w:val="32"/>
        </w:rPr>
        <w:t>1</w:t>
      </w:r>
      <w:bookmarkStart w:id="246" w:name="_Toc337558738"/>
      <w:r>
        <w:rPr>
          <w:rFonts w:eastAsia="黑体"/>
          <w:b w:val="0"/>
          <w:i w:val="0"/>
          <w:iCs w:val="0"/>
          <w:sz w:val="30"/>
          <w:szCs w:val="32"/>
        </w:rPr>
        <w:t>.12保密</w:t>
      </w:r>
      <w:bookmarkEnd w:id="245"/>
    </w:p>
    <w:bookmarkEnd w:id="246"/>
    <w:p w14:paraId="07D4381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除法律规定或合同另有约定外，未经发包人同意，承包人不得将发包人提供的图纸、文件以及声明需要保密的资料信息等商业秘密泄露给第三方。</w:t>
      </w:r>
    </w:p>
    <w:p w14:paraId="25DDF83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除法律规定或合同另有约定外，未经承包人同意，发包人不得将承包人提供的技术秘密及声明需要保密的资料信息等商业秘密泄露给第三方。</w:t>
      </w:r>
    </w:p>
    <w:p w14:paraId="360491A2">
      <w:pPr>
        <w:pStyle w:val="9"/>
        <w:spacing w:before="120" w:after="120" w:line="360" w:lineRule="auto"/>
        <w:ind w:firstLine="600" w:firstLineChars="200"/>
        <w:rPr>
          <w:rFonts w:eastAsia="黑体"/>
          <w:b w:val="0"/>
          <w:i w:val="0"/>
          <w:iCs w:val="0"/>
          <w:sz w:val="30"/>
          <w:szCs w:val="32"/>
        </w:rPr>
      </w:pPr>
      <w:bookmarkStart w:id="247" w:name="_Toc351203508"/>
      <w:r>
        <w:rPr>
          <w:rFonts w:eastAsia="黑体"/>
          <w:b w:val="0"/>
          <w:i w:val="0"/>
          <w:iCs w:val="0"/>
          <w:sz w:val="30"/>
          <w:szCs w:val="32"/>
        </w:rPr>
        <w:t>1.13工程量清单错误的修正</w:t>
      </w:r>
      <w:bookmarkEnd w:id="247"/>
    </w:p>
    <w:p w14:paraId="033C6EE0">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除专用合同条款另有约定外，</w:t>
      </w:r>
      <w:r>
        <w:rPr>
          <w:rFonts w:eastAsia="仿宋_GB2312"/>
          <w:kern w:val="0"/>
          <w:sz w:val="30"/>
          <w:szCs w:val="32"/>
        </w:rPr>
        <w:t>发包人提供的工程量清单，应被认为是准确的和完整的。出现下列情形之一时，发包人应予以修正，并相应调整合同价格：</w:t>
      </w:r>
    </w:p>
    <w:p w14:paraId="2918745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（1）工程量清单存在缺项、漏项的；</w:t>
      </w:r>
    </w:p>
    <w:p w14:paraId="6F71CF5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（2）工程量清单偏差超出专用合同条款约定的工程量偏差范围的；</w:t>
      </w:r>
    </w:p>
    <w:p w14:paraId="1448A0A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（3）未按照国家现行计量规范强制性规定计量的。</w:t>
      </w:r>
    </w:p>
    <w:p w14:paraId="56BC725D">
      <w:pPr>
        <w:pStyle w:val="8"/>
        <w:spacing w:before="120" w:after="120" w:line="360" w:lineRule="auto"/>
        <w:rPr>
          <w:rFonts w:ascii="Times New Roman" w:hAnsi="Times New Roman" w:eastAsia="黑体"/>
          <w:b w:val="0"/>
          <w:sz w:val="32"/>
          <w:szCs w:val="32"/>
        </w:rPr>
      </w:pPr>
      <w:bookmarkStart w:id="248" w:name="_Toc351203509"/>
      <w:r>
        <w:rPr>
          <w:rFonts w:ascii="Times New Roman" w:hAnsi="Times New Roman" w:eastAsia="黑体"/>
          <w:b w:val="0"/>
          <w:sz w:val="32"/>
          <w:szCs w:val="32"/>
        </w:rPr>
        <w:t>2</w:t>
      </w:r>
      <w:bookmarkStart w:id="249" w:name="_Toc296503038"/>
      <w:bookmarkStart w:id="250" w:name="_Toc296346539"/>
      <w:bookmarkStart w:id="251" w:name="_Toc337558739"/>
      <w:bookmarkStart w:id="252" w:name="OLE_LINK1"/>
      <w:bookmarkStart w:id="253" w:name="OLE_LINK2"/>
      <w:r>
        <w:rPr>
          <w:rFonts w:ascii="Times New Roman" w:hAnsi="Times New Roman" w:eastAsia="黑体"/>
          <w:b w:val="0"/>
          <w:sz w:val="32"/>
          <w:szCs w:val="32"/>
        </w:rPr>
        <w:t>.发包人</w:t>
      </w:r>
      <w:bookmarkEnd w:id="248"/>
    </w:p>
    <w:bookmarkEnd w:id="249"/>
    <w:bookmarkEnd w:id="250"/>
    <w:bookmarkEnd w:id="251"/>
    <w:p w14:paraId="11F8865D">
      <w:pPr>
        <w:pStyle w:val="9"/>
        <w:spacing w:before="120" w:after="120" w:line="360" w:lineRule="auto"/>
        <w:ind w:firstLine="600" w:firstLineChars="200"/>
        <w:rPr>
          <w:rFonts w:eastAsia="黑体"/>
          <w:b w:val="0"/>
          <w:i w:val="0"/>
          <w:iCs w:val="0"/>
          <w:sz w:val="30"/>
          <w:szCs w:val="32"/>
        </w:rPr>
      </w:pPr>
      <w:bookmarkStart w:id="254" w:name="_Toc351203510"/>
      <w:r>
        <w:rPr>
          <w:rFonts w:eastAsia="黑体"/>
          <w:b w:val="0"/>
          <w:i w:val="0"/>
          <w:iCs w:val="0"/>
          <w:sz w:val="30"/>
          <w:szCs w:val="32"/>
        </w:rPr>
        <w:t>2</w:t>
      </w:r>
      <w:bookmarkStart w:id="255" w:name="_Toc296346540"/>
      <w:bookmarkStart w:id="256" w:name="_Toc296503039"/>
      <w:bookmarkStart w:id="257" w:name="_Toc337558740"/>
      <w:r>
        <w:rPr>
          <w:rFonts w:eastAsia="黑体"/>
          <w:b w:val="0"/>
          <w:i w:val="0"/>
          <w:iCs w:val="0"/>
          <w:sz w:val="30"/>
          <w:szCs w:val="32"/>
        </w:rPr>
        <w:t>.1许可或批准</w:t>
      </w:r>
      <w:bookmarkEnd w:id="254"/>
    </w:p>
    <w:p w14:paraId="7C62982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遵守法律，并办理法律规定由其办理的许可、批准或备案，包括但不限于建设用地规划许可证、建设工程规划许可证、建设工程施工许可证、施工所需临时用水、临时用电、中断道路交通、临时占用土地等许可和批准。发包人应协助承包人办理法律规定的有关施工证件和批件。</w:t>
      </w:r>
    </w:p>
    <w:p w14:paraId="14BD4BC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因发包人原因未能及时办理完毕前述许可、批准或备案，由发包人承担由此增加的费用和（或）延误的工期，并支付承包人合理的利润。</w:t>
      </w:r>
    </w:p>
    <w:p w14:paraId="5B1DAF3B">
      <w:pPr>
        <w:pStyle w:val="9"/>
        <w:spacing w:before="120" w:after="120" w:line="360" w:lineRule="auto"/>
        <w:ind w:firstLine="600" w:firstLineChars="200"/>
        <w:rPr>
          <w:rFonts w:eastAsia="黑体"/>
          <w:b w:val="0"/>
          <w:i w:val="0"/>
          <w:iCs w:val="0"/>
          <w:sz w:val="30"/>
          <w:szCs w:val="32"/>
        </w:rPr>
      </w:pPr>
      <w:bookmarkStart w:id="258" w:name="_Toc351203511"/>
      <w:r>
        <w:rPr>
          <w:rFonts w:eastAsia="黑体"/>
          <w:b w:val="0"/>
          <w:i w:val="0"/>
          <w:iCs w:val="0"/>
          <w:sz w:val="30"/>
          <w:szCs w:val="32"/>
        </w:rPr>
        <w:t>2.2发包人代表</w:t>
      </w:r>
      <w:bookmarkEnd w:id="258"/>
    </w:p>
    <w:p w14:paraId="265A96D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在专用合同条款中明确其派驻施工现场的发包人代表的姓名、职务、联系方式及授权范围等事项。发包人代表在发包人的授权范围内，负责处理合同履行过程中与发包人有关的具体事宜。发包人代表在授权范围内的行为由发包人承担法律责任。发包人更换发包人代表的，应提前7天书面通知承包人。</w:t>
      </w:r>
    </w:p>
    <w:p w14:paraId="0DF0FF06">
      <w:pPr>
        <w:ind w:firstLine="600" w:firstLineChars="200"/>
        <w:rPr>
          <w:rFonts w:eastAsia="仿宋_GB2312"/>
          <w:kern w:val="0"/>
          <w:sz w:val="30"/>
          <w:szCs w:val="32"/>
        </w:rPr>
      </w:pPr>
      <w:r>
        <w:rPr>
          <w:rFonts w:eastAsia="仿宋_GB2312"/>
          <w:kern w:val="0"/>
          <w:sz w:val="30"/>
          <w:szCs w:val="32"/>
        </w:rPr>
        <w:t>发包人代表不能按照合同约定履行其职责及义务，并导致合同无法继续正常履行的，承包人可以要求发包人撤换发包人代表。</w:t>
      </w:r>
    </w:p>
    <w:p w14:paraId="2B34FF45">
      <w:pPr>
        <w:ind w:firstLine="600" w:firstLineChars="200"/>
        <w:rPr>
          <w:sz w:val="30"/>
        </w:rPr>
      </w:pPr>
      <w:r>
        <w:rPr>
          <w:rFonts w:hint="eastAsia" w:eastAsia="仿宋_GB2312"/>
          <w:kern w:val="0"/>
          <w:sz w:val="30"/>
          <w:szCs w:val="32"/>
        </w:rPr>
        <w:t>不属于法定必须监理的工程，监理人的职权可以由发包人代表或发包人指定的其他人员行使。</w:t>
      </w:r>
    </w:p>
    <w:p w14:paraId="71D4BD28">
      <w:pPr>
        <w:pStyle w:val="9"/>
        <w:spacing w:before="120" w:after="120" w:line="360" w:lineRule="auto"/>
        <w:ind w:firstLine="600" w:firstLineChars="200"/>
        <w:rPr>
          <w:rFonts w:eastAsia="黑体"/>
          <w:b w:val="0"/>
          <w:i w:val="0"/>
          <w:iCs w:val="0"/>
          <w:sz w:val="30"/>
          <w:szCs w:val="32"/>
        </w:rPr>
      </w:pPr>
      <w:bookmarkStart w:id="259" w:name="_Toc351203512"/>
      <w:r>
        <w:rPr>
          <w:rFonts w:eastAsia="黑体"/>
          <w:b w:val="0"/>
          <w:i w:val="0"/>
          <w:iCs w:val="0"/>
          <w:sz w:val="30"/>
          <w:szCs w:val="32"/>
        </w:rPr>
        <w:t>2.3发包人人员</w:t>
      </w:r>
      <w:bookmarkEnd w:id="259"/>
    </w:p>
    <w:p w14:paraId="1D8228B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发包人应要求在施工现场的发包人人员遵守法律及有关安全、质量、环境保护、文明施工等规定，并保障承包人免于承受因发包人人员未遵守上述要求给承包人造成的损失和责任。</w:t>
      </w:r>
    </w:p>
    <w:p w14:paraId="736C7B38">
      <w:pPr>
        <w:spacing w:line="360" w:lineRule="auto"/>
        <w:ind w:firstLine="640"/>
        <w:jc w:val="left"/>
        <w:rPr>
          <w:rFonts w:eastAsia="仿宋_GB2312"/>
          <w:kern w:val="0"/>
          <w:sz w:val="30"/>
          <w:szCs w:val="32"/>
        </w:rPr>
      </w:pPr>
      <w:r>
        <w:rPr>
          <w:rFonts w:eastAsia="仿宋_GB2312"/>
          <w:kern w:val="0"/>
          <w:sz w:val="30"/>
          <w:szCs w:val="32"/>
        </w:rPr>
        <w:t>发包人人员包括发包人代表及其他由发包人派驻施工现场的人员。</w:t>
      </w:r>
      <w:bookmarkEnd w:id="255"/>
      <w:bookmarkEnd w:id="256"/>
      <w:bookmarkEnd w:id="257"/>
    </w:p>
    <w:p w14:paraId="057AB8DD">
      <w:pPr>
        <w:pStyle w:val="9"/>
        <w:spacing w:before="120" w:after="120" w:line="360" w:lineRule="auto"/>
        <w:ind w:firstLine="600" w:firstLineChars="200"/>
        <w:rPr>
          <w:rFonts w:eastAsia="黑体"/>
          <w:b w:val="0"/>
          <w:i w:val="0"/>
          <w:iCs w:val="0"/>
          <w:sz w:val="30"/>
          <w:szCs w:val="32"/>
        </w:rPr>
      </w:pPr>
      <w:bookmarkStart w:id="260" w:name="_Toc351203513"/>
      <w:r>
        <w:rPr>
          <w:rFonts w:eastAsia="黑体"/>
          <w:b w:val="0"/>
          <w:i w:val="0"/>
          <w:iCs w:val="0"/>
          <w:sz w:val="30"/>
          <w:szCs w:val="32"/>
        </w:rPr>
        <w:t>2</w:t>
      </w:r>
      <w:bookmarkStart w:id="261" w:name="_Toc296346541"/>
      <w:bookmarkStart w:id="262" w:name="_Toc337558741"/>
      <w:bookmarkStart w:id="263" w:name="_Toc296503040"/>
      <w:r>
        <w:rPr>
          <w:rFonts w:eastAsia="黑体"/>
          <w:b w:val="0"/>
          <w:i w:val="0"/>
          <w:iCs w:val="0"/>
          <w:sz w:val="30"/>
          <w:szCs w:val="32"/>
        </w:rPr>
        <w:t>.4施工现场、施工条件和基础资料的提供</w:t>
      </w:r>
      <w:bookmarkEnd w:id="260"/>
      <w:bookmarkEnd w:id="261"/>
      <w:bookmarkEnd w:id="262"/>
      <w:bookmarkEnd w:id="263"/>
    </w:p>
    <w:p w14:paraId="6B33371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2.4.1提供施工现场</w:t>
      </w:r>
    </w:p>
    <w:p w14:paraId="73446DA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w:t>
      </w:r>
      <w:bookmarkEnd w:id="252"/>
      <w:bookmarkEnd w:id="253"/>
      <w:r>
        <w:rPr>
          <w:rFonts w:eastAsia="仿宋_GB2312"/>
          <w:kern w:val="0"/>
          <w:sz w:val="30"/>
          <w:szCs w:val="32"/>
        </w:rPr>
        <w:t>专用合同条款另有约定外，发包人应</w:t>
      </w:r>
      <w:r>
        <w:rPr>
          <w:rFonts w:hint="eastAsia" w:eastAsia="仿宋_GB2312"/>
          <w:kern w:val="0"/>
          <w:sz w:val="30"/>
          <w:szCs w:val="32"/>
        </w:rPr>
        <w:t>最迟于</w:t>
      </w:r>
      <w:r>
        <w:rPr>
          <w:rFonts w:eastAsia="仿宋_GB2312"/>
          <w:kern w:val="0"/>
          <w:sz w:val="30"/>
          <w:szCs w:val="32"/>
        </w:rPr>
        <w:t>开工日期7天前向承包人移交施工现场。</w:t>
      </w:r>
    </w:p>
    <w:p w14:paraId="6C5ECB3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2.4.2提供施工条件</w:t>
      </w:r>
    </w:p>
    <w:p w14:paraId="08434C3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除专用合同条款另有约定外，发包人应负责提供施工所需要的条件，包括：</w:t>
      </w:r>
    </w:p>
    <w:p w14:paraId="2CAEA95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（1）将施工用水、电力、通讯线路等施工所必需的条件接至施工现场内；</w:t>
      </w:r>
    </w:p>
    <w:p w14:paraId="67143CD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（2）保证向承包人提供正常施工所需要的进入施工现场的交通条件；</w:t>
      </w:r>
    </w:p>
    <w:p w14:paraId="1747F06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（3）协调处理施工现场周围地下管线和邻近建筑物、构筑物、古树名木的保护工作，并承担相关费用；</w:t>
      </w:r>
    </w:p>
    <w:p w14:paraId="1B3C095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（4）按照专用合同条款约定</w:t>
      </w:r>
      <w:r>
        <w:rPr>
          <w:rFonts w:hint="eastAsia" w:eastAsia="仿宋_GB2312"/>
          <w:kern w:val="0"/>
          <w:sz w:val="30"/>
          <w:szCs w:val="32"/>
        </w:rPr>
        <w:t>应</w:t>
      </w:r>
      <w:r>
        <w:rPr>
          <w:rFonts w:eastAsia="仿宋_GB2312"/>
          <w:kern w:val="0"/>
          <w:sz w:val="30"/>
          <w:szCs w:val="32"/>
        </w:rPr>
        <w:t>提供的其他设施和条件。</w:t>
      </w:r>
    </w:p>
    <w:p w14:paraId="2D3F52FD">
      <w:pPr>
        <w:autoSpaceDE w:val="0"/>
        <w:autoSpaceDN w:val="0"/>
        <w:adjustRightInd w:val="0"/>
        <w:spacing w:line="360" w:lineRule="auto"/>
        <w:ind w:firstLine="600" w:firstLineChars="200"/>
        <w:jc w:val="left"/>
        <w:rPr>
          <w:rFonts w:eastAsia="仿宋_GB2312"/>
          <w:sz w:val="30"/>
          <w:szCs w:val="32"/>
        </w:rPr>
      </w:pPr>
      <w:r>
        <w:rPr>
          <w:rFonts w:eastAsia="仿宋_GB2312"/>
          <w:kern w:val="0"/>
          <w:sz w:val="30"/>
          <w:szCs w:val="32"/>
        </w:rPr>
        <w:t>2.4.3提供基础资料</w:t>
      </w:r>
    </w:p>
    <w:p w14:paraId="020E5C3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当在移交施工现场前向承包人提供施工现场及工程施工所必需的毗邻区域内供水、排水、供电、供气、供热、通信、广播电视等地下管线资料，气象和水文观测资料，地质勘察资料，相邻建筑物、构筑物和地下工程等有关基础资料，并对所提供资料的真实性、准确性和完整性负责。</w:t>
      </w:r>
    </w:p>
    <w:p w14:paraId="79AF8F26">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按照法律规定确需在开工后方能提供的基础资料，发包人应尽其努力及时地在相应工程施工前的合理期限内提供，合理期限应以不影响承包人的正常施工为限。</w:t>
      </w:r>
    </w:p>
    <w:p w14:paraId="0C677975">
      <w:pPr>
        <w:spacing w:line="360" w:lineRule="auto"/>
        <w:ind w:firstLine="600" w:firstLineChars="200"/>
        <w:jc w:val="left"/>
        <w:rPr>
          <w:rFonts w:eastAsia="仿宋_GB2312"/>
          <w:kern w:val="0"/>
          <w:sz w:val="30"/>
          <w:szCs w:val="32"/>
        </w:rPr>
      </w:pPr>
      <w:r>
        <w:rPr>
          <w:rFonts w:eastAsia="仿宋_GB2312"/>
          <w:kern w:val="0"/>
          <w:sz w:val="30"/>
          <w:szCs w:val="32"/>
        </w:rPr>
        <w:t>2.4.4逾期提供的责任</w:t>
      </w:r>
    </w:p>
    <w:p w14:paraId="1EBA41BB">
      <w:pPr>
        <w:spacing w:line="360" w:lineRule="auto"/>
        <w:ind w:firstLine="600" w:firstLineChars="200"/>
        <w:jc w:val="left"/>
        <w:rPr>
          <w:rFonts w:eastAsia="仿宋_GB2312"/>
          <w:kern w:val="0"/>
          <w:sz w:val="30"/>
          <w:szCs w:val="32"/>
        </w:rPr>
      </w:pPr>
      <w:r>
        <w:rPr>
          <w:rFonts w:eastAsia="仿宋_GB2312"/>
          <w:kern w:val="0"/>
          <w:sz w:val="30"/>
          <w:szCs w:val="32"/>
        </w:rPr>
        <w:t>因发包人原因未能按合同约定及时向承包人提供施工现场、施工条件、基础资料的，由发包人承担由此增加的费用和（或）延误的工期。</w:t>
      </w:r>
    </w:p>
    <w:p w14:paraId="64244040">
      <w:pPr>
        <w:pStyle w:val="9"/>
        <w:spacing w:before="120" w:after="120" w:line="360" w:lineRule="auto"/>
        <w:ind w:firstLine="600" w:firstLineChars="200"/>
        <w:rPr>
          <w:rFonts w:eastAsia="黑体"/>
          <w:b w:val="0"/>
          <w:i w:val="0"/>
          <w:iCs w:val="0"/>
          <w:sz w:val="30"/>
          <w:szCs w:val="32"/>
        </w:rPr>
      </w:pPr>
      <w:bookmarkStart w:id="264" w:name="_Toc351203514"/>
      <w:r>
        <w:rPr>
          <w:rFonts w:eastAsia="黑体"/>
          <w:b w:val="0"/>
          <w:i w:val="0"/>
          <w:iCs w:val="0"/>
          <w:sz w:val="30"/>
          <w:szCs w:val="32"/>
        </w:rPr>
        <w:t>2</w:t>
      </w:r>
      <w:bookmarkStart w:id="265" w:name="_Toc337558745"/>
      <w:bookmarkStart w:id="266" w:name="_Toc296503042"/>
      <w:bookmarkStart w:id="267" w:name="_Toc296346543"/>
      <w:r>
        <w:rPr>
          <w:rFonts w:eastAsia="黑体"/>
          <w:b w:val="0"/>
          <w:i w:val="0"/>
          <w:iCs w:val="0"/>
          <w:sz w:val="30"/>
          <w:szCs w:val="32"/>
        </w:rPr>
        <w:t>.5资</w:t>
      </w:r>
      <w:bookmarkEnd w:id="265"/>
      <w:bookmarkEnd w:id="266"/>
      <w:bookmarkEnd w:id="267"/>
      <w:r>
        <w:rPr>
          <w:rFonts w:eastAsia="黑体"/>
          <w:b w:val="0"/>
          <w:i w:val="0"/>
          <w:iCs w:val="0"/>
          <w:sz w:val="30"/>
          <w:szCs w:val="32"/>
        </w:rPr>
        <w:t>金来源证明及支付担保</w:t>
      </w:r>
      <w:bookmarkEnd w:id="264"/>
    </w:p>
    <w:p w14:paraId="1158C970">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除专用合同条款另有约定外，发包人应在收到承包人要求提供资金来源证明的书面通知后28天内，向承包人提供能够按照合同约定支付合同价款的相应资金来源证明。</w:t>
      </w:r>
    </w:p>
    <w:p w14:paraId="305B5981">
      <w:pPr>
        <w:spacing w:line="360" w:lineRule="auto"/>
        <w:ind w:firstLine="600" w:firstLineChars="200"/>
        <w:jc w:val="left"/>
        <w:rPr>
          <w:rFonts w:eastAsia="仿宋_GB2312"/>
          <w:kern w:val="0"/>
          <w:sz w:val="30"/>
          <w:szCs w:val="32"/>
        </w:rPr>
      </w:pPr>
      <w:r>
        <w:rPr>
          <w:rFonts w:eastAsia="仿宋_GB2312"/>
          <w:kern w:val="0"/>
          <w:sz w:val="30"/>
          <w:szCs w:val="32"/>
        </w:rPr>
        <w:t>发包人要求承包人提供履约担保的，发包人</w:t>
      </w:r>
      <w:r>
        <w:rPr>
          <w:rFonts w:hint="eastAsia" w:eastAsia="仿宋_GB2312"/>
          <w:kern w:val="0"/>
          <w:sz w:val="30"/>
          <w:szCs w:val="32"/>
        </w:rPr>
        <w:t>必须</w:t>
      </w:r>
      <w:r>
        <w:rPr>
          <w:rFonts w:eastAsia="仿宋_GB2312"/>
          <w:kern w:val="0"/>
          <w:sz w:val="30"/>
          <w:szCs w:val="32"/>
        </w:rPr>
        <w:t>向承包人</w:t>
      </w:r>
      <w:r>
        <w:rPr>
          <w:rFonts w:hint="eastAsia" w:eastAsia="仿宋_GB2312"/>
          <w:kern w:val="0"/>
          <w:sz w:val="30"/>
          <w:szCs w:val="32"/>
        </w:rPr>
        <w:t>对等</w:t>
      </w:r>
      <w:r>
        <w:rPr>
          <w:rFonts w:eastAsia="仿宋_GB2312"/>
          <w:kern w:val="0"/>
          <w:sz w:val="30"/>
          <w:szCs w:val="32"/>
        </w:rPr>
        <w:t>提供支付担保。支付担保可以采用银行保函</w:t>
      </w:r>
      <w:r>
        <w:rPr>
          <w:rFonts w:hint="eastAsia" w:eastAsia="仿宋_GB2312"/>
          <w:kern w:val="0"/>
          <w:sz w:val="30"/>
          <w:szCs w:val="32"/>
        </w:rPr>
        <w:t>、保险保函</w:t>
      </w:r>
      <w:r>
        <w:rPr>
          <w:rFonts w:eastAsia="仿宋_GB2312"/>
          <w:kern w:val="0"/>
          <w:sz w:val="30"/>
          <w:szCs w:val="32"/>
        </w:rPr>
        <w:t>或</w:t>
      </w:r>
      <w:r>
        <w:rPr>
          <w:rFonts w:hint="eastAsia" w:eastAsia="仿宋_GB2312"/>
          <w:kern w:val="0"/>
          <w:sz w:val="30"/>
          <w:szCs w:val="32"/>
        </w:rPr>
        <w:t>融资性</w:t>
      </w:r>
      <w:r>
        <w:rPr>
          <w:rFonts w:eastAsia="仿宋_GB2312"/>
          <w:kern w:val="0"/>
          <w:sz w:val="30"/>
          <w:szCs w:val="32"/>
        </w:rPr>
        <w:t>担保公司担保等形式，具体</w:t>
      </w:r>
      <w:r>
        <w:rPr>
          <w:rFonts w:hint="eastAsia" w:eastAsia="仿宋_GB2312"/>
          <w:kern w:val="0"/>
          <w:sz w:val="30"/>
          <w:szCs w:val="32"/>
        </w:rPr>
        <w:t>形式</w:t>
      </w:r>
      <w:r>
        <w:rPr>
          <w:rFonts w:eastAsia="仿宋_GB2312"/>
          <w:kern w:val="0"/>
          <w:sz w:val="30"/>
          <w:szCs w:val="32"/>
        </w:rPr>
        <w:t>由合同当事人在专用合同条款中约定。</w:t>
      </w:r>
    </w:p>
    <w:p w14:paraId="3972E927">
      <w:pPr>
        <w:pStyle w:val="9"/>
        <w:spacing w:before="120" w:after="120" w:line="360" w:lineRule="auto"/>
        <w:ind w:firstLine="600" w:firstLineChars="200"/>
        <w:rPr>
          <w:rFonts w:eastAsia="黑体"/>
          <w:b w:val="0"/>
          <w:i w:val="0"/>
          <w:iCs w:val="0"/>
          <w:sz w:val="30"/>
          <w:szCs w:val="32"/>
        </w:rPr>
      </w:pPr>
      <w:bookmarkStart w:id="268" w:name="_Toc351203515"/>
      <w:r>
        <w:rPr>
          <w:rFonts w:eastAsia="黑体"/>
          <w:b w:val="0"/>
          <w:i w:val="0"/>
          <w:iCs w:val="0"/>
          <w:sz w:val="30"/>
          <w:szCs w:val="32"/>
        </w:rPr>
        <w:t>2.6支付合同价款</w:t>
      </w:r>
      <w:bookmarkEnd w:id="268"/>
    </w:p>
    <w:p w14:paraId="2B377A5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发包人应按合同约定向承包人及时支付合同价款。</w:t>
      </w:r>
    </w:p>
    <w:p w14:paraId="2C85F0D9">
      <w:pPr>
        <w:pStyle w:val="9"/>
        <w:spacing w:before="120" w:after="120" w:line="360" w:lineRule="auto"/>
        <w:ind w:firstLine="600" w:firstLineChars="200"/>
        <w:rPr>
          <w:rFonts w:eastAsia="黑体"/>
          <w:b w:val="0"/>
          <w:i w:val="0"/>
          <w:iCs w:val="0"/>
          <w:sz w:val="30"/>
          <w:szCs w:val="32"/>
        </w:rPr>
      </w:pPr>
      <w:bookmarkStart w:id="269" w:name="_Toc351203516"/>
      <w:r>
        <w:rPr>
          <w:rFonts w:eastAsia="黑体"/>
          <w:b w:val="0"/>
          <w:i w:val="0"/>
          <w:iCs w:val="0"/>
          <w:sz w:val="30"/>
          <w:szCs w:val="32"/>
        </w:rPr>
        <w:t>2.7组织竣工验收</w:t>
      </w:r>
      <w:bookmarkEnd w:id="269"/>
    </w:p>
    <w:p w14:paraId="653CD82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发包人应按合同约定及时组织竣工验收。</w:t>
      </w:r>
    </w:p>
    <w:p w14:paraId="2044F658">
      <w:pPr>
        <w:pStyle w:val="9"/>
        <w:spacing w:before="120" w:after="120" w:line="360" w:lineRule="auto"/>
        <w:ind w:firstLine="600" w:firstLineChars="200"/>
        <w:rPr>
          <w:rFonts w:eastAsia="黑体"/>
          <w:b w:val="0"/>
          <w:i w:val="0"/>
          <w:iCs w:val="0"/>
          <w:sz w:val="30"/>
          <w:szCs w:val="32"/>
        </w:rPr>
      </w:pPr>
      <w:bookmarkStart w:id="270" w:name="_Toc351203517"/>
      <w:r>
        <w:rPr>
          <w:rFonts w:eastAsia="黑体"/>
          <w:b w:val="0"/>
          <w:i w:val="0"/>
          <w:iCs w:val="0"/>
          <w:sz w:val="30"/>
          <w:szCs w:val="32"/>
        </w:rPr>
        <w:t>2.8现场统一管理协议</w:t>
      </w:r>
      <w:bookmarkEnd w:id="270"/>
    </w:p>
    <w:p w14:paraId="715340A8">
      <w:pPr>
        <w:spacing w:line="360" w:lineRule="auto"/>
        <w:ind w:firstLine="600" w:firstLineChars="200"/>
        <w:jc w:val="left"/>
        <w:rPr>
          <w:rFonts w:eastAsia="仿宋_GB2312"/>
          <w:kern w:val="0"/>
          <w:sz w:val="30"/>
          <w:szCs w:val="32"/>
        </w:rPr>
      </w:pPr>
      <w:r>
        <w:rPr>
          <w:rFonts w:eastAsia="仿宋_GB2312"/>
          <w:kern w:val="0"/>
          <w:sz w:val="30"/>
          <w:szCs w:val="32"/>
        </w:rPr>
        <w:t>发包人应与承包人、由发包人直接发包的专业工程的承包人签订施工现场统一管理协议，明确各方的权利义务。施工现场统一管理协议作为专用合同条款的附件。</w:t>
      </w:r>
    </w:p>
    <w:p w14:paraId="17982656">
      <w:pPr>
        <w:pStyle w:val="8"/>
        <w:spacing w:before="120" w:after="120" w:line="360" w:lineRule="auto"/>
        <w:rPr>
          <w:rFonts w:ascii="Times New Roman" w:hAnsi="Times New Roman" w:eastAsia="黑体"/>
          <w:b w:val="0"/>
          <w:sz w:val="32"/>
          <w:szCs w:val="32"/>
        </w:rPr>
      </w:pPr>
      <w:bookmarkStart w:id="271" w:name="_Toc351203518"/>
      <w:r>
        <w:rPr>
          <w:rFonts w:ascii="Times New Roman" w:hAnsi="Times New Roman" w:eastAsia="黑体"/>
          <w:b w:val="0"/>
          <w:sz w:val="32"/>
          <w:szCs w:val="32"/>
        </w:rPr>
        <w:t>3</w:t>
      </w:r>
      <w:bookmarkStart w:id="272" w:name="_Toc296503045"/>
      <w:bookmarkStart w:id="273" w:name="_Toc296346546"/>
      <w:bookmarkStart w:id="274" w:name="_Toc337558746"/>
      <w:r>
        <w:rPr>
          <w:rFonts w:ascii="Times New Roman" w:hAnsi="Times New Roman" w:eastAsia="黑体"/>
          <w:b w:val="0"/>
          <w:sz w:val="32"/>
          <w:szCs w:val="32"/>
        </w:rPr>
        <w:t>.承包人</w:t>
      </w:r>
      <w:bookmarkEnd w:id="271"/>
    </w:p>
    <w:bookmarkEnd w:id="272"/>
    <w:bookmarkEnd w:id="273"/>
    <w:bookmarkEnd w:id="274"/>
    <w:p w14:paraId="65790819">
      <w:pPr>
        <w:pStyle w:val="9"/>
        <w:spacing w:before="120" w:after="120" w:line="360" w:lineRule="auto"/>
        <w:ind w:firstLine="600" w:firstLineChars="200"/>
        <w:rPr>
          <w:rFonts w:eastAsia="黑体"/>
          <w:b w:val="0"/>
          <w:i w:val="0"/>
          <w:iCs w:val="0"/>
          <w:sz w:val="30"/>
          <w:szCs w:val="32"/>
        </w:rPr>
      </w:pPr>
      <w:bookmarkStart w:id="275" w:name="_Toc351203519"/>
      <w:r>
        <w:rPr>
          <w:rFonts w:eastAsia="黑体"/>
          <w:b w:val="0"/>
          <w:i w:val="0"/>
          <w:iCs w:val="0"/>
          <w:sz w:val="30"/>
          <w:szCs w:val="32"/>
        </w:rPr>
        <w:t>3</w:t>
      </w:r>
      <w:bookmarkStart w:id="276" w:name="_Toc337558747"/>
      <w:bookmarkStart w:id="277" w:name="_Toc296346547"/>
      <w:bookmarkStart w:id="278" w:name="_Toc296503046"/>
      <w:r>
        <w:rPr>
          <w:rFonts w:eastAsia="黑体"/>
          <w:b w:val="0"/>
          <w:i w:val="0"/>
          <w:iCs w:val="0"/>
          <w:sz w:val="30"/>
          <w:szCs w:val="32"/>
        </w:rPr>
        <w:t>.1承包人的一般义务</w:t>
      </w:r>
      <w:bookmarkEnd w:id="275"/>
    </w:p>
    <w:bookmarkEnd w:id="276"/>
    <w:bookmarkEnd w:id="277"/>
    <w:bookmarkEnd w:id="278"/>
    <w:p w14:paraId="51F3183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承包人在履行合同过程中应遵守法律和工程建设标准规范，并履行以下义务：</w:t>
      </w:r>
    </w:p>
    <w:p w14:paraId="1C4D0CF1">
      <w:pPr>
        <w:numPr>
          <w:ilvl w:val="0"/>
          <w:numId w:val="9"/>
        </w:num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办理法律规定</w:t>
      </w:r>
      <w:r>
        <w:rPr>
          <w:rFonts w:hint="eastAsia" w:eastAsia="仿宋_GB2312"/>
          <w:kern w:val="0"/>
          <w:sz w:val="30"/>
          <w:szCs w:val="32"/>
        </w:rPr>
        <w:t>应</w:t>
      </w:r>
      <w:r>
        <w:rPr>
          <w:rFonts w:eastAsia="仿宋_GB2312"/>
          <w:kern w:val="0"/>
          <w:sz w:val="30"/>
          <w:szCs w:val="32"/>
        </w:rPr>
        <w:t>由承包人办理的许可和批准，并将</w:t>
      </w:r>
      <w:r>
        <w:rPr>
          <w:rFonts w:hint="eastAsia" w:eastAsia="仿宋_GB2312"/>
          <w:kern w:val="0"/>
          <w:sz w:val="30"/>
          <w:szCs w:val="32"/>
        </w:rPr>
        <w:t>办理</w:t>
      </w:r>
      <w:r>
        <w:rPr>
          <w:rFonts w:eastAsia="仿宋_GB2312"/>
          <w:kern w:val="0"/>
          <w:sz w:val="30"/>
          <w:szCs w:val="32"/>
        </w:rPr>
        <w:t>结果书面报送发包人留存；</w:t>
      </w:r>
    </w:p>
    <w:p w14:paraId="35B5F9B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（2）按法律规定和合同约定完成工程，并在保修期内承担保修义务；</w:t>
      </w:r>
    </w:p>
    <w:p w14:paraId="475AEB3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（3）按法律规定和合同约定采取施工安全和环境保护措施，办理工伤保险，确保工程及人员、材料、设备和设施的安全；</w:t>
      </w:r>
    </w:p>
    <w:p w14:paraId="4C43B5B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（4）按合同约定的工作内容和施工进度要求，编制施工组织设计和施工措施计划，并对所有施工作业和施工方法的完备性和安全可靠性负责；</w:t>
      </w:r>
    </w:p>
    <w:p w14:paraId="58C5DEE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在进行合同约定的各项工作时，不得侵害发包人与他人使用公用道路、水源、市政管网等公共设施的权利，避免对邻近的公共设施产生干扰。承包人占用或使用他人的施工场地，影响他人作业或生活的，应承担相应责任；</w:t>
      </w:r>
    </w:p>
    <w:p w14:paraId="41F6E82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（6）按照第6.3款</w:t>
      </w:r>
      <w:r>
        <w:rPr>
          <w:rFonts w:hint="eastAsia" w:eastAsia="仿宋_GB2312"/>
          <w:kern w:val="0"/>
          <w:sz w:val="30"/>
          <w:szCs w:val="32"/>
        </w:rPr>
        <w:t>〔</w:t>
      </w:r>
      <w:r>
        <w:rPr>
          <w:rFonts w:eastAsia="仿宋_GB2312"/>
          <w:kern w:val="0"/>
          <w:sz w:val="30"/>
          <w:szCs w:val="32"/>
        </w:rPr>
        <w:t>环境保护</w:t>
      </w:r>
      <w:r>
        <w:rPr>
          <w:rFonts w:hint="eastAsia" w:eastAsia="仿宋_GB2312"/>
          <w:kern w:val="0"/>
          <w:sz w:val="30"/>
          <w:szCs w:val="32"/>
        </w:rPr>
        <w:t>〕</w:t>
      </w:r>
      <w:r>
        <w:rPr>
          <w:rFonts w:eastAsia="仿宋_GB2312"/>
          <w:kern w:val="0"/>
          <w:sz w:val="30"/>
          <w:szCs w:val="32"/>
        </w:rPr>
        <w:t>约定负责施工场地及其周边环境与生态的保护工作；</w:t>
      </w:r>
    </w:p>
    <w:p w14:paraId="37391FA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（7）按第6.1款</w:t>
      </w:r>
      <w:r>
        <w:rPr>
          <w:rFonts w:hint="eastAsia" w:eastAsia="仿宋_GB2312"/>
          <w:kern w:val="0"/>
          <w:sz w:val="30"/>
          <w:szCs w:val="32"/>
        </w:rPr>
        <w:t>〔</w:t>
      </w:r>
      <w:r>
        <w:rPr>
          <w:rFonts w:eastAsia="仿宋_GB2312"/>
          <w:kern w:val="0"/>
          <w:sz w:val="30"/>
          <w:szCs w:val="32"/>
        </w:rPr>
        <w:t>安全文明施工</w:t>
      </w:r>
      <w:r>
        <w:rPr>
          <w:rFonts w:hint="eastAsia" w:eastAsia="仿宋_GB2312"/>
          <w:kern w:val="0"/>
          <w:sz w:val="30"/>
          <w:szCs w:val="32"/>
        </w:rPr>
        <w:t>〕</w:t>
      </w:r>
      <w:r>
        <w:rPr>
          <w:rFonts w:eastAsia="仿宋_GB2312"/>
          <w:kern w:val="0"/>
          <w:sz w:val="30"/>
          <w:szCs w:val="32"/>
        </w:rPr>
        <w:t>约定采取施工安全措施，确保工程及其人员、材料、设备和设施的安全，防止因工程施工造成的人身伤害和财产损失；</w:t>
      </w:r>
    </w:p>
    <w:p w14:paraId="7404658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w:t>
      </w:r>
      <w:r>
        <w:rPr>
          <w:rFonts w:hint="eastAsia" w:eastAsia="仿宋_GB2312"/>
          <w:kern w:val="0"/>
          <w:sz w:val="30"/>
          <w:szCs w:val="32"/>
        </w:rPr>
        <w:t>将</w:t>
      </w:r>
      <w:r>
        <w:rPr>
          <w:rFonts w:eastAsia="仿宋_GB2312"/>
          <w:kern w:val="0"/>
          <w:sz w:val="30"/>
          <w:szCs w:val="32"/>
        </w:rPr>
        <w:t>发包人按合同约定支付的各项价款专用于合同工程，且应及时支付其雇用人员工资，并及时向分包人支付合同价款；</w:t>
      </w:r>
    </w:p>
    <w:p w14:paraId="18428F5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（9）按照法律规定和合同约定编制竣工资料，完成竣工资料立卷及归档，并按专用合同条款约定的竣工资料的套数、内容、时间等要求移交发包人；</w:t>
      </w:r>
    </w:p>
    <w:p w14:paraId="0106307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（10）应履行的其他义务。</w:t>
      </w:r>
    </w:p>
    <w:p w14:paraId="4251B8B8">
      <w:pPr>
        <w:pStyle w:val="9"/>
        <w:spacing w:before="120" w:after="120" w:line="360" w:lineRule="auto"/>
        <w:ind w:firstLine="600" w:firstLineChars="200"/>
        <w:rPr>
          <w:rFonts w:eastAsia="黑体"/>
          <w:b w:val="0"/>
          <w:i w:val="0"/>
          <w:iCs w:val="0"/>
          <w:sz w:val="30"/>
          <w:szCs w:val="32"/>
        </w:rPr>
      </w:pPr>
      <w:bookmarkStart w:id="279" w:name="_Toc351203520"/>
      <w:r>
        <w:rPr>
          <w:rFonts w:eastAsia="黑体"/>
          <w:b w:val="0"/>
          <w:i w:val="0"/>
          <w:iCs w:val="0"/>
          <w:sz w:val="30"/>
          <w:szCs w:val="32"/>
        </w:rPr>
        <w:t>3</w:t>
      </w:r>
      <w:bookmarkStart w:id="280" w:name="_Toc296503047"/>
      <w:bookmarkStart w:id="281" w:name="_Toc337558748"/>
      <w:bookmarkStart w:id="282" w:name="_Toc296346548"/>
      <w:r>
        <w:rPr>
          <w:rFonts w:eastAsia="黑体"/>
          <w:b w:val="0"/>
          <w:i w:val="0"/>
          <w:iCs w:val="0"/>
          <w:sz w:val="30"/>
          <w:szCs w:val="32"/>
        </w:rPr>
        <w:t>.2</w:t>
      </w:r>
      <w:bookmarkEnd w:id="279"/>
      <w:r>
        <w:rPr>
          <w:rFonts w:eastAsia="黑体"/>
          <w:b w:val="0"/>
          <w:i w:val="0"/>
          <w:iCs w:val="0"/>
          <w:sz w:val="30"/>
          <w:szCs w:val="32"/>
        </w:rPr>
        <w:t>项目经理</w:t>
      </w:r>
    </w:p>
    <w:bookmarkEnd w:id="280"/>
    <w:bookmarkEnd w:id="281"/>
    <w:bookmarkEnd w:id="282"/>
    <w:p w14:paraId="6D72E2C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3.2.1项目经理应为合同当事人所确认的人选，并在专用合同条款中明确项目经理的姓名、职称、注册执业证书编号、联系方式及授权范围等事项，项目经理经承包人授权后代表承包人负责履行合同。项目经理应是承包人正式聘用的员工，承包人应向发包人提交项目经理与承包人之间的劳动合同，以及承包人为项目经理缴纳社会保险的有效证明。承包人不提交上述文件的，项目经理无权履行职责，发包人有权要求更换项目经理，由此增加的费用和（或）延误的工期由承包人承担。</w:t>
      </w:r>
    </w:p>
    <w:p w14:paraId="2CCA3F7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项目经理应常驻施工现场，且每月在施工现场时间不得少于专用合同条款约定的天数。项目经理不得同时担任其他项目的项目经理。项目经理确需离开施工现场时，应事先通知监理人，并取得发包人的书面同意。项目经理的通知中应当载明临时代行其职责的人员的注册执业资格、管理经验等资料，该人员应具备履行相应职责的能力。</w:t>
      </w:r>
    </w:p>
    <w:p w14:paraId="2186499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承包人违反上述约定的，应按照专用合同条款的约定，承担违约责任。</w:t>
      </w:r>
    </w:p>
    <w:p w14:paraId="39845D3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3.2.2项目经理按合同约定组织工程实施。在紧急情况下</w:t>
      </w:r>
      <w:r>
        <w:rPr>
          <w:rFonts w:hint="eastAsia" w:eastAsia="仿宋_GB2312"/>
          <w:kern w:val="0"/>
          <w:sz w:val="30"/>
          <w:szCs w:val="32"/>
        </w:rPr>
        <w:t>为确保施工安全和人员安全</w:t>
      </w:r>
      <w:r>
        <w:rPr>
          <w:rFonts w:eastAsia="仿宋_GB2312"/>
          <w:kern w:val="0"/>
          <w:sz w:val="30"/>
          <w:szCs w:val="32"/>
        </w:rPr>
        <w:t>，</w:t>
      </w:r>
      <w:r>
        <w:rPr>
          <w:rFonts w:hint="eastAsia" w:eastAsia="仿宋_GB2312"/>
          <w:kern w:val="0"/>
          <w:sz w:val="30"/>
          <w:szCs w:val="32"/>
        </w:rPr>
        <w:t>在</w:t>
      </w:r>
      <w:r>
        <w:rPr>
          <w:rFonts w:eastAsia="仿宋_GB2312"/>
          <w:kern w:val="0"/>
          <w:sz w:val="30"/>
          <w:szCs w:val="32"/>
        </w:rPr>
        <w:t>无法与发包人代表和总监理工程师</w:t>
      </w:r>
      <w:r>
        <w:rPr>
          <w:rFonts w:hint="eastAsia" w:eastAsia="仿宋_GB2312"/>
          <w:kern w:val="0"/>
          <w:sz w:val="30"/>
          <w:szCs w:val="32"/>
        </w:rPr>
        <w:t>及时</w:t>
      </w:r>
      <w:r>
        <w:rPr>
          <w:rFonts w:eastAsia="仿宋_GB2312"/>
          <w:kern w:val="0"/>
          <w:sz w:val="30"/>
          <w:szCs w:val="32"/>
        </w:rPr>
        <w:t>取得联系时，项目经理有权采取必要的措施保证与工程有关的人身、财产和工程的安全，但应在48小时内向发包人代表和总监理工程师提交书面报告。</w:t>
      </w:r>
    </w:p>
    <w:p w14:paraId="2B73BE0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3.2.3承包人需要更换项目经理的，应提前14天书面通知发包人和监理人，并征得发包人书面同意。通知中应当载明继任项目经理的注册执业资格、管理经验等资料，继任项目经理继续履行第3.2.1项约定的职责。未经发包人书面同意，承包人不得擅自更换项目经理。承包人擅自更换项目经理的，应按照专用合同条款的约定承担违约责任。</w:t>
      </w:r>
    </w:p>
    <w:p w14:paraId="515702B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3.2.4发包人有权书面通知承包人更换其认为不称职的项目经理，通知中应当载明要求更换的理由。承包人应在接到更换通知后14天内向发包人提出书面的改进报告。发包人收到改进报告后仍要求更换的，承包人应在接到第二次更换通知的28天内进行更换，并将新任命的项目经理的注册执业资格、管理经验等资料书面通知发包人。</w:t>
      </w:r>
      <w:r>
        <w:rPr>
          <w:rFonts w:hint="eastAsia" w:eastAsia="仿宋_GB2312"/>
          <w:kern w:val="0"/>
          <w:sz w:val="30"/>
          <w:szCs w:val="32"/>
        </w:rPr>
        <w:t>继</w:t>
      </w:r>
      <w:r>
        <w:rPr>
          <w:rFonts w:eastAsia="仿宋_GB2312"/>
          <w:kern w:val="0"/>
          <w:sz w:val="30"/>
          <w:szCs w:val="32"/>
        </w:rPr>
        <w:t>任项目经理继续履行第3.2.1项约定的职责。承包人无正当理由拒绝更换项目经理的，应按照专用合同条款的约定承担违约责任。</w:t>
      </w:r>
    </w:p>
    <w:p w14:paraId="148BE13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3.2.5项目经理因特殊情况授权其下属人员履行其某项工作职责的，该下属人员应具备履行相应职责的能力，并应提前7天将上述人员的姓名和授权范围书面通知监理人，并征得发包人书面同意。</w:t>
      </w:r>
    </w:p>
    <w:p w14:paraId="1752E2C8">
      <w:pPr>
        <w:pStyle w:val="9"/>
        <w:spacing w:before="120" w:after="120" w:line="360" w:lineRule="auto"/>
        <w:ind w:firstLine="600" w:firstLineChars="200"/>
        <w:rPr>
          <w:rFonts w:eastAsia="黑体"/>
          <w:b w:val="0"/>
          <w:i w:val="0"/>
          <w:iCs w:val="0"/>
          <w:sz w:val="30"/>
          <w:szCs w:val="32"/>
        </w:rPr>
      </w:pPr>
      <w:bookmarkStart w:id="283" w:name="_Toc351203521"/>
      <w:r>
        <w:rPr>
          <w:rFonts w:eastAsia="黑体"/>
          <w:b w:val="0"/>
          <w:i w:val="0"/>
          <w:iCs w:val="0"/>
          <w:sz w:val="30"/>
          <w:szCs w:val="32"/>
        </w:rPr>
        <w:t>3</w:t>
      </w:r>
      <w:bookmarkStart w:id="284" w:name="_Toc296503048"/>
      <w:bookmarkStart w:id="285" w:name="_Toc296346549"/>
      <w:bookmarkStart w:id="286" w:name="_Toc337558749"/>
      <w:r>
        <w:rPr>
          <w:rFonts w:eastAsia="黑体"/>
          <w:b w:val="0"/>
          <w:i w:val="0"/>
          <w:iCs w:val="0"/>
          <w:sz w:val="30"/>
          <w:szCs w:val="32"/>
        </w:rPr>
        <w:t>.3</w:t>
      </w:r>
      <w:bookmarkEnd w:id="284"/>
      <w:bookmarkEnd w:id="285"/>
      <w:r>
        <w:rPr>
          <w:rFonts w:eastAsia="黑体"/>
          <w:b w:val="0"/>
          <w:i w:val="0"/>
          <w:iCs w:val="0"/>
          <w:sz w:val="30"/>
          <w:szCs w:val="32"/>
        </w:rPr>
        <w:t>承包人人员</w:t>
      </w:r>
      <w:bookmarkEnd w:id="283"/>
    </w:p>
    <w:bookmarkEnd w:id="286"/>
    <w:p w14:paraId="7EEAA5E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3.3.1除专用合同条款另有约定外，承包人应在接到开工通知后7天内，向监理人提交承包人项目管理机构及施工现场人员安排的报告，其内容应包括合同管理、施工、技术、材料、质量、安全、财务</w:t>
      </w:r>
      <w:r>
        <w:rPr>
          <w:rFonts w:hint="eastAsia" w:eastAsia="仿宋_GB2312"/>
          <w:kern w:val="0"/>
          <w:sz w:val="30"/>
          <w:szCs w:val="32"/>
        </w:rPr>
        <w:t>、标准、机械、劳务、资料</w:t>
      </w:r>
      <w:r>
        <w:rPr>
          <w:rFonts w:eastAsia="仿宋_GB2312"/>
          <w:kern w:val="0"/>
          <w:sz w:val="30"/>
          <w:szCs w:val="32"/>
        </w:rPr>
        <w:t>等主要施工管理人员名单及其岗位、注册执业资格等，以及各工种技术工人的安排情况，并同时提交主要施工管理人员与承包人之间的劳动关系证明</w:t>
      </w:r>
      <w:r>
        <w:rPr>
          <w:rFonts w:hint="eastAsia" w:eastAsia="仿宋_GB2312"/>
          <w:kern w:val="0"/>
          <w:sz w:val="30"/>
          <w:szCs w:val="32"/>
        </w:rPr>
        <w:t>和</w:t>
      </w:r>
      <w:r>
        <w:rPr>
          <w:rFonts w:eastAsia="仿宋_GB2312"/>
          <w:kern w:val="0"/>
          <w:sz w:val="30"/>
          <w:szCs w:val="32"/>
        </w:rPr>
        <w:t>缴纳社会保险的有效证明。</w:t>
      </w:r>
    </w:p>
    <w:p w14:paraId="0798978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3.3.2承包人派驻到施工现场的主要施工管理人员应相对稳定。施工过程中</w:t>
      </w:r>
      <w:r>
        <w:rPr>
          <w:rFonts w:hint="eastAsia" w:eastAsia="仿宋_GB2312"/>
          <w:kern w:val="0"/>
          <w:sz w:val="30"/>
          <w:szCs w:val="32"/>
        </w:rPr>
        <w:t>如有变动</w:t>
      </w:r>
      <w:r>
        <w:rPr>
          <w:rFonts w:eastAsia="仿宋_GB2312"/>
          <w:kern w:val="0"/>
          <w:sz w:val="30"/>
          <w:szCs w:val="32"/>
        </w:rPr>
        <w:t>，承包人应及时向监理人提交施工现场人员变动情况的报告。承包人更换主要施工管理人员时，应提前7天书面通知监理人，并征得发包人书面同意。通知中应当载明继任人员的注册执业资格、管理经验等资料。</w:t>
      </w:r>
    </w:p>
    <w:p w14:paraId="062F14C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特殊工种作业人员均应持有相应的资格证明，监理人可以随时检查。</w:t>
      </w:r>
    </w:p>
    <w:p w14:paraId="5D66A4F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3.3.3发包人对于承包人主要施工管理人员</w:t>
      </w:r>
      <w:r>
        <w:rPr>
          <w:rFonts w:hint="eastAsia" w:eastAsia="仿宋_GB2312"/>
          <w:kern w:val="0"/>
          <w:sz w:val="30"/>
          <w:szCs w:val="32"/>
        </w:rPr>
        <w:t>的资格或能力</w:t>
      </w:r>
      <w:r>
        <w:rPr>
          <w:rFonts w:eastAsia="仿宋_GB2312"/>
          <w:kern w:val="0"/>
          <w:sz w:val="30"/>
          <w:szCs w:val="32"/>
        </w:rPr>
        <w:t>有异议的，承包人应提供资料证明被质疑人员有能力完成其岗位工作或不存在发包人所质疑的情形。发包人要求撤换不能按照合同约定履行职责及义务的主要施工管理人员的，承包人应当撤换。承包人无正当理由拒绝撤换的，应按照专用合同条款的约定承担违约责任。</w:t>
      </w:r>
    </w:p>
    <w:p w14:paraId="4CA43B9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3.3.4除专用合同条款另有约定外，承包人的主要施工管理人员离开施工现场每月累计不超过5天的，应报监理人同意；离开施工现场每月累计超过5天的，应通知监理人，并征得发包人书面同意。主要施工管理人员离开施工现场前应指定一名有经验的人员临时代行其职责，该人员应具备履行相应职责的资格和能力，且应征得监理人或发包人的同意。</w:t>
      </w:r>
    </w:p>
    <w:p w14:paraId="635F084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3.3.5承包人擅自更换主要施工管理人员，或前述人员未经监理人或发包人同意擅自离开施工现场的，应按照专用合同条款约定承担违约责任。</w:t>
      </w:r>
    </w:p>
    <w:p w14:paraId="0F8F64CF">
      <w:pPr>
        <w:pStyle w:val="9"/>
        <w:spacing w:before="120" w:after="120" w:line="360" w:lineRule="auto"/>
        <w:ind w:firstLine="600" w:firstLineChars="200"/>
        <w:rPr>
          <w:rFonts w:eastAsia="黑体"/>
          <w:b w:val="0"/>
          <w:i w:val="0"/>
          <w:iCs w:val="0"/>
          <w:sz w:val="30"/>
          <w:szCs w:val="32"/>
        </w:rPr>
      </w:pPr>
      <w:bookmarkStart w:id="287" w:name="_Toc351203522"/>
      <w:r>
        <w:rPr>
          <w:rFonts w:eastAsia="黑体"/>
          <w:b w:val="0"/>
          <w:i w:val="0"/>
          <w:iCs w:val="0"/>
          <w:sz w:val="30"/>
          <w:szCs w:val="32"/>
        </w:rPr>
        <w:t>3</w:t>
      </w:r>
      <w:bookmarkStart w:id="288" w:name="_Toc337558750"/>
      <w:bookmarkStart w:id="289" w:name="_Toc296503050"/>
      <w:bookmarkStart w:id="290" w:name="_Toc296346551"/>
      <w:r>
        <w:rPr>
          <w:rFonts w:eastAsia="黑体"/>
          <w:b w:val="0"/>
          <w:i w:val="0"/>
          <w:iCs w:val="0"/>
          <w:sz w:val="30"/>
          <w:szCs w:val="32"/>
        </w:rPr>
        <w:t>.4承包人现场查勘</w:t>
      </w:r>
      <w:bookmarkEnd w:id="287"/>
    </w:p>
    <w:bookmarkEnd w:id="288"/>
    <w:bookmarkEnd w:id="289"/>
    <w:bookmarkEnd w:id="290"/>
    <w:p w14:paraId="726C888C">
      <w:pPr>
        <w:autoSpaceDE w:val="0"/>
        <w:autoSpaceDN w:val="0"/>
        <w:adjustRightInd w:val="0"/>
        <w:spacing w:line="360" w:lineRule="auto"/>
        <w:ind w:firstLine="600" w:firstLineChars="200"/>
        <w:jc w:val="left"/>
        <w:rPr>
          <w:rFonts w:eastAsia="仿宋_GB2312"/>
          <w:sz w:val="30"/>
          <w:szCs w:val="32"/>
        </w:rPr>
      </w:pPr>
      <w:r>
        <w:rPr>
          <w:rFonts w:eastAsia="仿宋_GB2312"/>
          <w:kern w:val="0"/>
          <w:sz w:val="30"/>
          <w:szCs w:val="32"/>
        </w:rPr>
        <w:t>承包人应对基于发包人按照第2.4.3项</w:t>
      </w:r>
      <w:r>
        <w:rPr>
          <w:rFonts w:hint="eastAsia" w:eastAsia="仿宋_GB2312"/>
          <w:kern w:val="0"/>
          <w:sz w:val="30"/>
          <w:szCs w:val="32"/>
        </w:rPr>
        <w:t>〔</w:t>
      </w:r>
      <w:r>
        <w:rPr>
          <w:rFonts w:eastAsia="仿宋_GB2312"/>
          <w:kern w:val="0"/>
          <w:sz w:val="30"/>
          <w:szCs w:val="32"/>
        </w:rPr>
        <w:t>提供基础资料</w:t>
      </w:r>
      <w:r>
        <w:rPr>
          <w:rFonts w:hint="eastAsia" w:eastAsia="仿宋_GB2312"/>
          <w:kern w:val="0"/>
          <w:sz w:val="30"/>
          <w:szCs w:val="32"/>
        </w:rPr>
        <w:t>〕</w:t>
      </w:r>
      <w:r>
        <w:rPr>
          <w:rFonts w:eastAsia="仿宋_GB2312"/>
          <w:kern w:val="0"/>
          <w:sz w:val="30"/>
          <w:szCs w:val="32"/>
        </w:rPr>
        <w:t>提交的基础资料所做出的解释和推断负责，但因基础资料存在错误、遗漏导致承包人解释或推断失实的，由发包人承担责任。</w:t>
      </w:r>
    </w:p>
    <w:p w14:paraId="67E513E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对施工现场和施工条件进行查勘，并充分了解工程所在地的气象条件、交通条件、风俗习惯以及其他与完成合同工作有关的其他资料。因承包人未能充分查勘、了解前述情况或未能充分估计前述情况所可能产生后果的，承包人承担由此增加的费用和（或）延误的工期。</w:t>
      </w:r>
    </w:p>
    <w:p w14:paraId="541DED2A">
      <w:pPr>
        <w:pStyle w:val="9"/>
        <w:spacing w:before="120" w:after="120" w:line="360" w:lineRule="auto"/>
        <w:ind w:firstLine="600" w:firstLineChars="200"/>
        <w:rPr>
          <w:rFonts w:eastAsia="黑体"/>
          <w:b w:val="0"/>
          <w:i w:val="0"/>
          <w:iCs w:val="0"/>
          <w:sz w:val="30"/>
          <w:szCs w:val="32"/>
        </w:rPr>
      </w:pPr>
      <w:bookmarkStart w:id="291" w:name="_Toc351203523"/>
      <w:r>
        <w:rPr>
          <w:rFonts w:eastAsia="黑体"/>
          <w:b w:val="0"/>
          <w:i w:val="0"/>
          <w:iCs w:val="0"/>
          <w:sz w:val="30"/>
          <w:szCs w:val="32"/>
        </w:rPr>
        <w:t>3</w:t>
      </w:r>
      <w:bookmarkStart w:id="292" w:name="_Toc296503051"/>
      <w:bookmarkStart w:id="293" w:name="_Toc296346552"/>
      <w:bookmarkStart w:id="294" w:name="_Toc337558751"/>
      <w:r>
        <w:rPr>
          <w:rFonts w:eastAsia="黑体"/>
          <w:b w:val="0"/>
          <w:i w:val="0"/>
          <w:iCs w:val="0"/>
          <w:sz w:val="30"/>
          <w:szCs w:val="32"/>
        </w:rPr>
        <w:t>.5分包</w:t>
      </w:r>
      <w:bookmarkEnd w:id="291"/>
    </w:p>
    <w:bookmarkEnd w:id="292"/>
    <w:bookmarkEnd w:id="293"/>
    <w:bookmarkEnd w:id="294"/>
    <w:p w14:paraId="5888A4B7">
      <w:pPr>
        <w:spacing w:line="360" w:lineRule="auto"/>
        <w:ind w:firstLine="600" w:firstLineChars="200"/>
        <w:jc w:val="left"/>
        <w:rPr>
          <w:rFonts w:eastAsia="仿宋_GB2312"/>
          <w:kern w:val="0"/>
          <w:sz w:val="30"/>
          <w:szCs w:val="32"/>
        </w:rPr>
      </w:pPr>
      <w:r>
        <w:rPr>
          <w:rFonts w:eastAsia="仿宋_GB2312"/>
          <w:kern w:val="0"/>
          <w:sz w:val="30"/>
          <w:szCs w:val="32"/>
        </w:rPr>
        <w:t>3.5.1分包的一般约定</w:t>
      </w:r>
    </w:p>
    <w:p w14:paraId="1DD17510">
      <w:pPr>
        <w:spacing w:line="360" w:lineRule="auto"/>
        <w:ind w:firstLine="600" w:firstLineChars="200"/>
        <w:jc w:val="left"/>
        <w:rPr>
          <w:rFonts w:eastAsia="仿宋_GB2312"/>
          <w:kern w:val="0"/>
          <w:sz w:val="30"/>
          <w:szCs w:val="32"/>
        </w:rPr>
      </w:pPr>
      <w:r>
        <w:rPr>
          <w:rFonts w:eastAsia="仿宋_GB2312"/>
          <w:kern w:val="0"/>
          <w:sz w:val="30"/>
          <w:szCs w:val="32"/>
        </w:rPr>
        <w:t>承包人不得将其承包的全部工程转包给第三人，或将其承包的全部工程肢解后以分包的名义转包给第三人。承包人不得将工程主体结构、关键性工作及专用合同条款中禁止分包的专业工程分包给第三人，主体结构、关键性工作的范围由合同当事人按照法律规定在专用合同条款中予以明确。</w:t>
      </w:r>
    </w:p>
    <w:p w14:paraId="627E8BEA">
      <w:pPr>
        <w:spacing w:line="360" w:lineRule="auto"/>
        <w:ind w:firstLine="600" w:firstLineChars="200"/>
        <w:jc w:val="left"/>
        <w:rPr>
          <w:rFonts w:eastAsia="仿宋_GB2312"/>
          <w:kern w:val="0"/>
          <w:sz w:val="30"/>
          <w:szCs w:val="32"/>
        </w:rPr>
      </w:pPr>
      <w:r>
        <w:rPr>
          <w:rFonts w:hint="eastAsia" w:eastAsia="仿宋_GB2312"/>
          <w:kern w:val="0"/>
          <w:sz w:val="30"/>
          <w:szCs w:val="32"/>
        </w:rPr>
        <w:t>承包人不得以劳务分包的名义转包或违法分包工程。</w:t>
      </w:r>
    </w:p>
    <w:p w14:paraId="7FF073F9">
      <w:pPr>
        <w:spacing w:line="360" w:lineRule="auto"/>
        <w:ind w:firstLine="600" w:firstLineChars="200"/>
        <w:jc w:val="left"/>
        <w:rPr>
          <w:rFonts w:eastAsia="仿宋_GB2312"/>
          <w:kern w:val="0"/>
          <w:sz w:val="30"/>
          <w:szCs w:val="32"/>
        </w:rPr>
      </w:pPr>
      <w:r>
        <w:rPr>
          <w:rFonts w:eastAsia="仿宋_GB2312"/>
          <w:kern w:val="0"/>
          <w:sz w:val="30"/>
          <w:szCs w:val="32"/>
        </w:rPr>
        <w:t>3.5.2分包的确定</w:t>
      </w:r>
    </w:p>
    <w:p w14:paraId="385168DB">
      <w:pPr>
        <w:spacing w:line="360" w:lineRule="auto"/>
        <w:ind w:firstLine="600" w:firstLineChars="200"/>
        <w:jc w:val="left"/>
        <w:rPr>
          <w:rFonts w:eastAsia="仿宋_GB2312"/>
          <w:kern w:val="0"/>
          <w:sz w:val="30"/>
          <w:szCs w:val="32"/>
        </w:rPr>
      </w:pPr>
      <w:r>
        <w:rPr>
          <w:rFonts w:eastAsia="仿宋_GB2312"/>
          <w:kern w:val="0"/>
          <w:sz w:val="30"/>
          <w:szCs w:val="32"/>
        </w:rPr>
        <w:t>承包人应按专用合同条款的约定进行分包，确定分包人。已标价工程量清单或预算书中给定暂估价的专业工程，按照第10.7款</w:t>
      </w:r>
      <w:r>
        <w:rPr>
          <w:rFonts w:hint="eastAsia" w:eastAsia="仿宋_GB2312"/>
          <w:kern w:val="0"/>
          <w:sz w:val="30"/>
          <w:szCs w:val="32"/>
        </w:rPr>
        <w:t>〔</w:t>
      </w:r>
      <w:r>
        <w:rPr>
          <w:rFonts w:eastAsia="仿宋_GB2312"/>
          <w:kern w:val="0"/>
          <w:sz w:val="30"/>
          <w:szCs w:val="32"/>
        </w:rPr>
        <w:t>暂估价</w:t>
      </w:r>
      <w:r>
        <w:rPr>
          <w:rFonts w:hint="eastAsia" w:eastAsia="仿宋_GB2312"/>
          <w:kern w:val="0"/>
          <w:sz w:val="30"/>
          <w:szCs w:val="32"/>
        </w:rPr>
        <w:t>〕</w:t>
      </w:r>
      <w:r>
        <w:rPr>
          <w:rFonts w:eastAsia="仿宋_GB2312"/>
          <w:kern w:val="0"/>
          <w:sz w:val="30"/>
          <w:szCs w:val="32"/>
        </w:rPr>
        <w:t>确定分包人。按照合同约定进行分包的，承包人应确保分包人具有相应的资质和能力</w:t>
      </w:r>
      <w:r>
        <w:rPr>
          <w:rFonts w:hint="eastAsia" w:eastAsia="仿宋_GB2312"/>
          <w:kern w:val="0"/>
          <w:sz w:val="30"/>
          <w:szCs w:val="32"/>
        </w:rPr>
        <w:t>（劳务</w:t>
      </w:r>
      <w:r>
        <w:rPr>
          <w:rFonts w:eastAsia="仿宋_GB2312"/>
          <w:kern w:val="0"/>
          <w:sz w:val="30"/>
          <w:szCs w:val="32"/>
        </w:rPr>
        <w:t>分包</w:t>
      </w:r>
      <w:r>
        <w:rPr>
          <w:rFonts w:hint="eastAsia" w:eastAsia="仿宋_GB2312"/>
          <w:kern w:val="0"/>
          <w:sz w:val="30"/>
          <w:szCs w:val="32"/>
        </w:rPr>
        <w:t>除外）</w:t>
      </w:r>
      <w:r>
        <w:rPr>
          <w:rFonts w:eastAsia="仿宋_GB2312"/>
          <w:kern w:val="0"/>
          <w:sz w:val="30"/>
          <w:szCs w:val="32"/>
        </w:rPr>
        <w:t>。工程分包不减轻或免除承包人的责任和义务，承包人和分包人就分包工程向发包人承担连带责任。除合同另有约定外，承包人应在分包合同签订后7天内向发包人和监理人提交分包合同副本。</w:t>
      </w:r>
    </w:p>
    <w:p w14:paraId="1DA2481C">
      <w:pPr>
        <w:spacing w:line="360" w:lineRule="auto"/>
        <w:ind w:firstLine="600" w:firstLineChars="200"/>
        <w:jc w:val="left"/>
        <w:rPr>
          <w:rFonts w:eastAsia="仿宋_GB2312"/>
          <w:kern w:val="0"/>
          <w:sz w:val="30"/>
          <w:szCs w:val="32"/>
        </w:rPr>
      </w:pPr>
      <w:r>
        <w:rPr>
          <w:rFonts w:eastAsia="仿宋_GB2312"/>
          <w:kern w:val="0"/>
          <w:sz w:val="30"/>
          <w:szCs w:val="32"/>
        </w:rPr>
        <w:t>3.5.3分包管理</w:t>
      </w:r>
    </w:p>
    <w:p w14:paraId="5BAD2EF8">
      <w:pPr>
        <w:spacing w:line="360" w:lineRule="auto"/>
        <w:ind w:firstLine="600" w:firstLineChars="200"/>
        <w:jc w:val="left"/>
        <w:rPr>
          <w:rFonts w:eastAsia="仿宋_GB2312"/>
          <w:kern w:val="0"/>
          <w:sz w:val="30"/>
          <w:szCs w:val="32"/>
        </w:rPr>
      </w:pPr>
      <w:r>
        <w:rPr>
          <w:rFonts w:eastAsia="仿宋_GB2312"/>
          <w:kern w:val="0"/>
          <w:sz w:val="30"/>
          <w:szCs w:val="32"/>
        </w:rPr>
        <w:t>承包人应向监理人提交分包人的主要施工管理人员表，并对分包人的施工人员进行实名制管理，包括但不限于进出场管理、登记造册以及各种证照的办理。</w:t>
      </w:r>
    </w:p>
    <w:p w14:paraId="4CD69F66">
      <w:pPr>
        <w:spacing w:line="360" w:lineRule="auto"/>
        <w:ind w:firstLine="600" w:firstLineChars="200"/>
        <w:jc w:val="left"/>
        <w:rPr>
          <w:rFonts w:eastAsia="仿宋_GB2312"/>
          <w:kern w:val="0"/>
          <w:sz w:val="30"/>
          <w:szCs w:val="32"/>
        </w:rPr>
      </w:pPr>
      <w:r>
        <w:rPr>
          <w:rFonts w:eastAsia="仿宋_GB2312"/>
          <w:kern w:val="0"/>
          <w:sz w:val="30"/>
          <w:szCs w:val="32"/>
        </w:rPr>
        <w:t>3.5.4分包合同价款</w:t>
      </w:r>
    </w:p>
    <w:p w14:paraId="2C2F24EE">
      <w:pPr>
        <w:spacing w:line="360" w:lineRule="auto"/>
        <w:ind w:firstLine="600" w:firstLineChars="200"/>
        <w:jc w:val="left"/>
        <w:rPr>
          <w:rFonts w:eastAsia="仿宋_GB2312"/>
          <w:kern w:val="0"/>
          <w:sz w:val="30"/>
          <w:szCs w:val="32"/>
        </w:rPr>
      </w:pPr>
      <w:r>
        <w:rPr>
          <w:rFonts w:eastAsia="仿宋_GB2312"/>
          <w:kern w:val="0"/>
          <w:sz w:val="30"/>
          <w:szCs w:val="32"/>
        </w:rPr>
        <w:t>（1）除本项第（2）目约定的情况或专用合同条款另有约定外，分包合同价款由承包人与分包人结算，未经承包人同意，发包人不得向分包人支付分包工程价款；</w:t>
      </w:r>
    </w:p>
    <w:p w14:paraId="78566D95">
      <w:pPr>
        <w:spacing w:line="360" w:lineRule="auto"/>
        <w:ind w:firstLine="600" w:firstLineChars="200"/>
        <w:jc w:val="left"/>
        <w:rPr>
          <w:rFonts w:eastAsia="仿宋_GB2312"/>
          <w:kern w:val="0"/>
          <w:sz w:val="30"/>
          <w:szCs w:val="32"/>
        </w:rPr>
      </w:pPr>
      <w:r>
        <w:rPr>
          <w:rFonts w:eastAsia="仿宋_GB2312"/>
          <w:kern w:val="0"/>
          <w:sz w:val="30"/>
          <w:szCs w:val="32"/>
        </w:rPr>
        <w:t>（2）生效法律文书要求发包人向分包人支付分包合同价款的，发包人有权从应付承包人工程款中扣除该部分款项。</w:t>
      </w:r>
    </w:p>
    <w:p w14:paraId="1B70CDD2">
      <w:pPr>
        <w:spacing w:line="360" w:lineRule="auto"/>
        <w:ind w:firstLine="600" w:firstLineChars="200"/>
        <w:jc w:val="left"/>
        <w:rPr>
          <w:rFonts w:eastAsia="仿宋_GB2312"/>
          <w:kern w:val="0"/>
          <w:sz w:val="30"/>
          <w:szCs w:val="32"/>
        </w:rPr>
      </w:pPr>
      <w:r>
        <w:rPr>
          <w:rFonts w:eastAsia="仿宋_GB2312"/>
          <w:kern w:val="0"/>
          <w:sz w:val="30"/>
          <w:szCs w:val="32"/>
        </w:rPr>
        <w:t>3.5.5分包合同权益的转让</w:t>
      </w:r>
    </w:p>
    <w:p w14:paraId="26514E21">
      <w:pPr>
        <w:spacing w:line="360" w:lineRule="auto"/>
        <w:ind w:firstLine="600" w:firstLineChars="200"/>
        <w:jc w:val="left"/>
        <w:rPr>
          <w:rFonts w:eastAsia="仿宋_GB2312"/>
          <w:kern w:val="0"/>
          <w:sz w:val="30"/>
          <w:szCs w:val="32"/>
        </w:rPr>
      </w:pPr>
      <w:r>
        <w:rPr>
          <w:rFonts w:eastAsia="仿宋_GB2312"/>
          <w:kern w:val="0"/>
          <w:sz w:val="30"/>
          <w:szCs w:val="32"/>
        </w:rPr>
        <w:t>分包人在分包合同项下的义务持续到缺陷责任期届满以后的，发包人有权在缺陷责任期届满前，要求承包人将其在分包合同项下的权益转让给发包人，承包人应当转让。除转让合同另有约定外，转让合同生效后，由分包人向发包人履行义务。</w:t>
      </w:r>
      <w:bookmarkStart w:id="295" w:name="_Toc351203524"/>
    </w:p>
    <w:p w14:paraId="3DF0852E">
      <w:pPr>
        <w:pStyle w:val="9"/>
        <w:spacing w:before="120" w:after="120" w:line="360" w:lineRule="auto"/>
        <w:ind w:firstLine="600" w:firstLineChars="200"/>
        <w:rPr>
          <w:rFonts w:eastAsia="黑体"/>
          <w:b w:val="0"/>
          <w:i w:val="0"/>
          <w:iCs w:val="0"/>
          <w:sz w:val="30"/>
          <w:szCs w:val="32"/>
        </w:rPr>
      </w:pPr>
      <w:r>
        <w:rPr>
          <w:rFonts w:eastAsia="黑体"/>
          <w:b w:val="0"/>
          <w:i w:val="0"/>
          <w:iCs w:val="0"/>
          <w:sz w:val="30"/>
          <w:szCs w:val="32"/>
        </w:rPr>
        <w:t>3.6工程照管与成品、半成品保护</w:t>
      </w:r>
      <w:bookmarkEnd w:id="295"/>
    </w:p>
    <w:p w14:paraId="4103E8EF">
      <w:pPr>
        <w:spacing w:line="360" w:lineRule="auto"/>
        <w:ind w:firstLine="600" w:firstLineChars="200"/>
        <w:jc w:val="left"/>
        <w:rPr>
          <w:rFonts w:eastAsia="仿宋_GB2312"/>
          <w:kern w:val="0"/>
          <w:sz w:val="30"/>
          <w:szCs w:val="32"/>
        </w:rPr>
      </w:pPr>
      <w:r>
        <w:rPr>
          <w:rFonts w:eastAsia="仿宋_GB2312"/>
          <w:kern w:val="0"/>
          <w:sz w:val="30"/>
          <w:szCs w:val="32"/>
        </w:rPr>
        <w:t>（1）除专用合同条款另有约定外，自发包人向承包人移交施工现场之日起，承包人应负责照管工程及工程相关的材料、工程设备，直到颁发工程接收证书之日止。</w:t>
      </w:r>
    </w:p>
    <w:p w14:paraId="25C56B6C">
      <w:pPr>
        <w:spacing w:line="360" w:lineRule="auto"/>
        <w:ind w:firstLine="600" w:firstLineChars="200"/>
        <w:jc w:val="left"/>
        <w:rPr>
          <w:rFonts w:eastAsia="仿宋_GB2312"/>
          <w:kern w:val="0"/>
          <w:sz w:val="30"/>
          <w:szCs w:val="32"/>
        </w:rPr>
      </w:pPr>
      <w:r>
        <w:rPr>
          <w:rFonts w:eastAsia="仿宋_GB2312"/>
          <w:kern w:val="0"/>
          <w:sz w:val="30"/>
          <w:szCs w:val="32"/>
        </w:rPr>
        <w:t>（</w:t>
      </w:r>
      <w:r>
        <w:rPr>
          <w:rFonts w:hint="eastAsia" w:eastAsia="仿宋_GB2312"/>
          <w:kern w:val="0"/>
          <w:sz w:val="30"/>
          <w:szCs w:val="32"/>
        </w:rPr>
        <w:t>2</w:t>
      </w:r>
      <w:r>
        <w:rPr>
          <w:rFonts w:eastAsia="仿宋_GB2312"/>
          <w:kern w:val="0"/>
          <w:sz w:val="30"/>
          <w:szCs w:val="32"/>
        </w:rPr>
        <w:t>）在承包人负责照管期间，因承包人原因造成工程、材料、工程设备损坏的，由承包人负责修复或更换，并承担由此增加的费用和（或）延误的工期。</w:t>
      </w:r>
    </w:p>
    <w:p w14:paraId="13AEF99D">
      <w:pPr>
        <w:spacing w:line="360" w:lineRule="auto"/>
        <w:ind w:firstLine="600" w:firstLineChars="200"/>
        <w:jc w:val="left"/>
        <w:rPr>
          <w:rFonts w:eastAsia="仿宋_GB2312"/>
          <w:kern w:val="0"/>
          <w:sz w:val="30"/>
          <w:szCs w:val="32"/>
        </w:rPr>
      </w:pPr>
      <w:r>
        <w:rPr>
          <w:rFonts w:eastAsia="仿宋_GB2312"/>
          <w:kern w:val="0"/>
          <w:sz w:val="30"/>
          <w:szCs w:val="32"/>
        </w:rPr>
        <w:t>（</w:t>
      </w:r>
      <w:r>
        <w:rPr>
          <w:rFonts w:hint="eastAsia" w:eastAsia="仿宋_GB2312"/>
          <w:kern w:val="0"/>
          <w:sz w:val="30"/>
          <w:szCs w:val="32"/>
        </w:rPr>
        <w:t>3</w:t>
      </w:r>
      <w:r>
        <w:rPr>
          <w:rFonts w:eastAsia="仿宋_GB2312"/>
          <w:kern w:val="0"/>
          <w:sz w:val="30"/>
          <w:szCs w:val="32"/>
        </w:rPr>
        <w:t>）对合同内分期完成的成品和半成品，在工程接收证书颁发前，由承包人承担保护责任。因承包人原因造成成品或半成品损坏的，由承包人负责修复或更换，并承担由此增加的费用和（或）延误的工期。</w:t>
      </w:r>
    </w:p>
    <w:p w14:paraId="4CD248E6">
      <w:pPr>
        <w:pStyle w:val="9"/>
        <w:spacing w:before="120" w:after="120" w:line="360" w:lineRule="auto"/>
        <w:ind w:firstLine="600" w:firstLineChars="200"/>
        <w:rPr>
          <w:rFonts w:eastAsia="黑体"/>
          <w:b w:val="0"/>
          <w:i w:val="0"/>
          <w:iCs w:val="0"/>
          <w:sz w:val="30"/>
          <w:szCs w:val="32"/>
        </w:rPr>
      </w:pPr>
      <w:bookmarkStart w:id="296" w:name="_Toc351203525"/>
      <w:r>
        <w:rPr>
          <w:rFonts w:eastAsia="黑体"/>
          <w:b w:val="0"/>
          <w:i w:val="0"/>
          <w:iCs w:val="0"/>
          <w:sz w:val="30"/>
          <w:szCs w:val="32"/>
        </w:rPr>
        <w:t>3</w:t>
      </w:r>
      <w:bookmarkStart w:id="297" w:name="_Toc337558752"/>
      <w:bookmarkStart w:id="298" w:name="_Toc296346553"/>
      <w:bookmarkStart w:id="299" w:name="_Toc296503052"/>
      <w:r>
        <w:rPr>
          <w:rFonts w:eastAsia="黑体"/>
          <w:b w:val="0"/>
          <w:i w:val="0"/>
          <w:iCs w:val="0"/>
          <w:sz w:val="30"/>
          <w:szCs w:val="32"/>
        </w:rPr>
        <w:t>.7履约担保</w:t>
      </w:r>
      <w:bookmarkEnd w:id="296"/>
    </w:p>
    <w:bookmarkEnd w:id="297"/>
    <w:bookmarkEnd w:id="298"/>
    <w:bookmarkEnd w:id="299"/>
    <w:p w14:paraId="246BBE91">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发包人需要承包人提供履约担保的，由合同当事人在专用合同条款中约定履约担保的方式、金额及期限等。</w:t>
      </w:r>
      <w:r>
        <w:rPr>
          <w:rFonts w:eastAsia="仿宋_GB2312"/>
          <w:kern w:val="0"/>
          <w:sz w:val="30"/>
          <w:szCs w:val="32"/>
        </w:rPr>
        <w:t>履约担保由</w:t>
      </w:r>
      <w:r>
        <w:rPr>
          <w:rFonts w:hint="eastAsia" w:eastAsia="仿宋_GB2312"/>
          <w:kern w:val="0"/>
          <w:sz w:val="30"/>
          <w:szCs w:val="32"/>
        </w:rPr>
        <w:t>承包人自愿选择</w:t>
      </w:r>
      <w:r>
        <w:rPr>
          <w:rFonts w:eastAsia="仿宋_GB2312"/>
          <w:kern w:val="0"/>
          <w:sz w:val="30"/>
          <w:szCs w:val="32"/>
        </w:rPr>
        <w:t>银行保函</w:t>
      </w:r>
      <w:r>
        <w:rPr>
          <w:rFonts w:hint="eastAsia" w:eastAsia="仿宋_GB2312"/>
          <w:kern w:val="0"/>
          <w:sz w:val="30"/>
          <w:szCs w:val="32"/>
        </w:rPr>
        <w:t>、保险保函、融资性担保公司担保</w:t>
      </w:r>
      <w:r>
        <w:rPr>
          <w:rFonts w:eastAsia="仿宋_GB2312"/>
          <w:kern w:val="0"/>
          <w:sz w:val="30"/>
          <w:szCs w:val="32"/>
        </w:rPr>
        <w:t>或</w:t>
      </w:r>
      <w:r>
        <w:rPr>
          <w:rFonts w:hint="eastAsia" w:eastAsia="仿宋_GB2312"/>
          <w:kern w:val="0"/>
          <w:sz w:val="30"/>
          <w:szCs w:val="32"/>
        </w:rPr>
        <w:t>履约保证金</w:t>
      </w:r>
      <w:r>
        <w:rPr>
          <w:rFonts w:eastAsia="仿宋_GB2312"/>
          <w:kern w:val="0"/>
          <w:sz w:val="30"/>
          <w:szCs w:val="32"/>
        </w:rPr>
        <w:t>等</w:t>
      </w:r>
      <w:r>
        <w:rPr>
          <w:rFonts w:hint="eastAsia" w:eastAsia="仿宋_GB2312"/>
          <w:kern w:val="0"/>
          <w:sz w:val="30"/>
          <w:szCs w:val="32"/>
        </w:rPr>
        <w:t>任一形式，发包人不得以任何理由拒绝或限制使用。</w:t>
      </w:r>
    </w:p>
    <w:p w14:paraId="20ED6C5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因承包人原因导致工期延长的，继续提供履约担保所增加的费用由承包人承担；非因承包人原因导致工期延长的，继续提供履约担保所增加的费用由发包人承担。</w:t>
      </w:r>
    </w:p>
    <w:p w14:paraId="0FD1129B">
      <w:pPr>
        <w:pStyle w:val="9"/>
        <w:spacing w:before="120" w:after="120" w:line="360" w:lineRule="auto"/>
        <w:ind w:firstLine="600" w:firstLineChars="200"/>
        <w:rPr>
          <w:rFonts w:eastAsia="黑体"/>
          <w:b w:val="0"/>
          <w:i w:val="0"/>
          <w:iCs w:val="0"/>
          <w:sz w:val="30"/>
          <w:szCs w:val="32"/>
        </w:rPr>
      </w:pPr>
      <w:bookmarkStart w:id="300" w:name="_Toc351203526"/>
      <w:r>
        <w:rPr>
          <w:rFonts w:eastAsia="黑体"/>
          <w:b w:val="0"/>
          <w:i w:val="0"/>
          <w:iCs w:val="0"/>
          <w:sz w:val="30"/>
          <w:szCs w:val="32"/>
        </w:rPr>
        <w:t>3.8联合体</w:t>
      </w:r>
      <w:bookmarkEnd w:id="300"/>
    </w:p>
    <w:p w14:paraId="7C0C879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3.8.1联合体各方应共同与发包人签订合同协议书。联合体各方应为履行合同</w:t>
      </w:r>
      <w:r>
        <w:rPr>
          <w:rFonts w:hint="eastAsia" w:eastAsia="仿宋_GB2312"/>
          <w:kern w:val="0"/>
          <w:sz w:val="30"/>
          <w:szCs w:val="32"/>
        </w:rPr>
        <w:t>向发包人</w:t>
      </w:r>
      <w:r>
        <w:rPr>
          <w:rFonts w:eastAsia="仿宋_GB2312"/>
          <w:kern w:val="0"/>
          <w:sz w:val="30"/>
          <w:szCs w:val="32"/>
        </w:rPr>
        <w:t>承担连带责任。</w:t>
      </w:r>
    </w:p>
    <w:p w14:paraId="66C3E5E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3.8.2联合体协议经发包人确认后作为合同附件。在履行合同过程中，未经发包人同意，不得修改联合体协议。</w:t>
      </w:r>
    </w:p>
    <w:p w14:paraId="37376B1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3.8.3联合体牵头人负责与发包人和监理人联系，并接受指示，负责组织联合体各成员全面履行合同。</w:t>
      </w:r>
    </w:p>
    <w:p w14:paraId="166F2899">
      <w:pPr>
        <w:pStyle w:val="8"/>
        <w:spacing w:before="120" w:after="120" w:line="360" w:lineRule="auto"/>
        <w:rPr>
          <w:rFonts w:ascii="Times New Roman" w:hAnsi="Times New Roman" w:eastAsia="黑体"/>
          <w:b w:val="0"/>
          <w:sz w:val="32"/>
          <w:szCs w:val="32"/>
        </w:rPr>
      </w:pPr>
      <w:bookmarkStart w:id="301" w:name="_Toc351203527"/>
      <w:r>
        <w:rPr>
          <w:rFonts w:ascii="Times New Roman" w:hAnsi="Times New Roman" w:eastAsia="黑体"/>
          <w:b w:val="0"/>
          <w:sz w:val="32"/>
          <w:szCs w:val="32"/>
        </w:rPr>
        <w:t>4</w:t>
      </w:r>
      <w:bookmarkStart w:id="302" w:name="_Toc296503053"/>
      <w:bookmarkStart w:id="303" w:name="_Toc296346554"/>
      <w:bookmarkStart w:id="304" w:name="_Toc337558753"/>
      <w:r>
        <w:rPr>
          <w:rFonts w:ascii="Times New Roman" w:hAnsi="Times New Roman" w:eastAsia="黑体"/>
          <w:b w:val="0"/>
          <w:sz w:val="32"/>
          <w:szCs w:val="32"/>
        </w:rPr>
        <w:t>.监</w:t>
      </w:r>
      <w:bookmarkEnd w:id="302"/>
      <w:bookmarkEnd w:id="303"/>
      <w:r>
        <w:rPr>
          <w:rFonts w:ascii="Times New Roman" w:hAnsi="Times New Roman" w:eastAsia="黑体"/>
          <w:b w:val="0"/>
          <w:sz w:val="32"/>
          <w:szCs w:val="32"/>
        </w:rPr>
        <w:t>理人</w:t>
      </w:r>
      <w:bookmarkEnd w:id="301"/>
    </w:p>
    <w:bookmarkEnd w:id="304"/>
    <w:p w14:paraId="04EF0A6A">
      <w:pPr>
        <w:pStyle w:val="9"/>
        <w:spacing w:before="120" w:after="120" w:line="360" w:lineRule="auto"/>
        <w:ind w:firstLine="600" w:firstLineChars="200"/>
        <w:rPr>
          <w:rFonts w:eastAsia="黑体"/>
          <w:b w:val="0"/>
          <w:i w:val="0"/>
          <w:iCs w:val="0"/>
          <w:sz w:val="30"/>
          <w:szCs w:val="32"/>
        </w:rPr>
      </w:pPr>
      <w:bookmarkStart w:id="305" w:name="_Toc351203528"/>
      <w:r>
        <w:rPr>
          <w:rFonts w:eastAsia="黑体"/>
          <w:b w:val="0"/>
          <w:i w:val="0"/>
          <w:iCs w:val="0"/>
          <w:sz w:val="30"/>
          <w:szCs w:val="32"/>
        </w:rPr>
        <w:t>4</w:t>
      </w:r>
      <w:bookmarkStart w:id="306" w:name="_Toc296503054"/>
      <w:bookmarkStart w:id="307" w:name="_Toc296346555"/>
      <w:bookmarkStart w:id="308" w:name="_Toc337558754"/>
      <w:r>
        <w:rPr>
          <w:rFonts w:eastAsia="黑体"/>
          <w:b w:val="0"/>
          <w:i w:val="0"/>
          <w:iCs w:val="0"/>
          <w:sz w:val="30"/>
          <w:szCs w:val="32"/>
        </w:rPr>
        <w:t>.1监理人的一般规定</w:t>
      </w:r>
      <w:bookmarkEnd w:id="305"/>
    </w:p>
    <w:bookmarkEnd w:id="306"/>
    <w:bookmarkEnd w:id="307"/>
    <w:bookmarkEnd w:id="308"/>
    <w:p w14:paraId="61ACC1E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工程实行监理的，发包人和承包人应在专用合同条款中明确监理人的监理内容及监理权限等事项。监理人应当根据发包人授权及法律规定，代表发包人对工程施工相关事项进行检查、查验、审核、验收，并签发相关指示，但监理人无权修改合同，且无权减轻或免除合同约定的承包人的任何责任与义务。</w:t>
      </w:r>
    </w:p>
    <w:p w14:paraId="6208AB6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除专用合同条款另有约定外，监理人在施工现场的办公场所、生活场所由承包人提供，所发生的费用由发包人承担。</w:t>
      </w:r>
    </w:p>
    <w:p w14:paraId="1D57030B">
      <w:pPr>
        <w:pStyle w:val="9"/>
        <w:spacing w:before="120" w:after="120" w:line="360" w:lineRule="auto"/>
        <w:ind w:firstLine="600" w:firstLineChars="200"/>
        <w:rPr>
          <w:rFonts w:eastAsia="黑体"/>
          <w:b w:val="0"/>
          <w:i w:val="0"/>
          <w:iCs w:val="0"/>
          <w:sz w:val="30"/>
          <w:szCs w:val="32"/>
        </w:rPr>
      </w:pPr>
      <w:bookmarkStart w:id="309" w:name="_Toc351203529"/>
      <w:r>
        <w:rPr>
          <w:rFonts w:eastAsia="黑体"/>
          <w:b w:val="0"/>
          <w:i w:val="0"/>
          <w:iCs w:val="0"/>
          <w:sz w:val="30"/>
          <w:szCs w:val="32"/>
        </w:rPr>
        <w:t>4</w:t>
      </w:r>
      <w:bookmarkStart w:id="310" w:name="_Toc337558755"/>
      <w:r>
        <w:rPr>
          <w:rFonts w:eastAsia="黑体"/>
          <w:b w:val="0"/>
          <w:i w:val="0"/>
          <w:iCs w:val="0"/>
          <w:sz w:val="30"/>
          <w:szCs w:val="32"/>
        </w:rPr>
        <w:t>.2监理人员</w:t>
      </w:r>
      <w:bookmarkEnd w:id="309"/>
    </w:p>
    <w:bookmarkEnd w:id="310"/>
    <w:p w14:paraId="2230E09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授予监理人对工程实施监理的权利由监理人派驻施工现场的监理人员行使，监理人员包括总监理工程师及监理工程师。监理人应将授权的总监理工程师和监理工程师的姓名及授权范围以书面形式提前通知承包人。更换总监理工程师的，监理人应提前7天书面通知承包人；更换其他监理人员，监理人应提前48小时书面通知承包人。</w:t>
      </w:r>
    </w:p>
    <w:p w14:paraId="0370D650">
      <w:pPr>
        <w:pStyle w:val="9"/>
        <w:spacing w:before="120" w:after="120" w:line="360" w:lineRule="auto"/>
        <w:ind w:firstLine="600" w:firstLineChars="200"/>
        <w:rPr>
          <w:rFonts w:eastAsia="黑体"/>
          <w:b w:val="0"/>
          <w:i w:val="0"/>
          <w:iCs w:val="0"/>
          <w:sz w:val="30"/>
          <w:szCs w:val="32"/>
        </w:rPr>
      </w:pPr>
      <w:bookmarkStart w:id="311" w:name="_Toc351203530"/>
      <w:r>
        <w:rPr>
          <w:rFonts w:eastAsia="黑体"/>
          <w:b w:val="0"/>
          <w:i w:val="0"/>
          <w:iCs w:val="0"/>
          <w:sz w:val="30"/>
          <w:szCs w:val="32"/>
        </w:rPr>
        <w:t>4</w:t>
      </w:r>
      <w:bookmarkStart w:id="312" w:name="_Toc296346556"/>
      <w:bookmarkStart w:id="313" w:name="_Toc296503055"/>
      <w:bookmarkStart w:id="314" w:name="_Toc337558756"/>
      <w:r>
        <w:rPr>
          <w:rFonts w:eastAsia="黑体"/>
          <w:b w:val="0"/>
          <w:i w:val="0"/>
          <w:iCs w:val="0"/>
          <w:sz w:val="30"/>
          <w:szCs w:val="32"/>
        </w:rPr>
        <w:t>.3</w:t>
      </w:r>
      <w:bookmarkEnd w:id="312"/>
      <w:bookmarkEnd w:id="313"/>
      <w:r>
        <w:rPr>
          <w:rFonts w:eastAsia="黑体"/>
          <w:b w:val="0"/>
          <w:i w:val="0"/>
          <w:iCs w:val="0"/>
          <w:sz w:val="30"/>
          <w:szCs w:val="32"/>
        </w:rPr>
        <w:t>监理人的指</w:t>
      </w:r>
      <w:bookmarkEnd w:id="314"/>
      <w:r>
        <w:rPr>
          <w:rFonts w:eastAsia="黑体"/>
          <w:b w:val="0"/>
          <w:i w:val="0"/>
          <w:iCs w:val="0"/>
          <w:sz w:val="30"/>
          <w:szCs w:val="32"/>
        </w:rPr>
        <w:t>示</w:t>
      </w:r>
      <w:bookmarkEnd w:id="311"/>
    </w:p>
    <w:p w14:paraId="5FB65B8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应按照发包人的授权发出监理指示。监理人的指示应采用书面形式，并经其授权的监理人员签字。紧急情况下，为了保证施工人员的安全或避免工程受损，监理人员可以口头形式发出指示，该指示与书面形式的指示具有同等法律效力，但必须在发出口头指示后24小时内补发书面监理指示，补发的书面监理指示应与口头指示一致。</w:t>
      </w:r>
    </w:p>
    <w:p w14:paraId="188CFF3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监理人发出的指示应送达承包人项目经理或经项目经理授权接收的人员。因监理人未能按合同约定发出指示、指示延误或发出了错误指示而导致承包人费用增加和（或）工期延误的，由发包人承担</w:t>
      </w:r>
      <w:r>
        <w:rPr>
          <w:rFonts w:hint="eastAsia" w:eastAsia="仿宋_GB2312"/>
          <w:kern w:val="0"/>
          <w:sz w:val="30"/>
          <w:szCs w:val="32"/>
        </w:rPr>
        <w:t>相应</w:t>
      </w:r>
      <w:r>
        <w:rPr>
          <w:rFonts w:eastAsia="仿宋_GB2312"/>
          <w:kern w:val="0"/>
          <w:sz w:val="30"/>
          <w:szCs w:val="32"/>
        </w:rPr>
        <w:t>责任。除专用合同条款另有约定外，总监理工程师不应将第4.4款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约定应由总监理工程师作出确定的权力授权或委托给其他监理人员。</w:t>
      </w:r>
    </w:p>
    <w:p w14:paraId="2FAAA3F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承包人对监理人发出的指示有疑问的，应向监理人提出书面异议，监理人应在48小时内对该指示予以确认、更改或撤销，监理人逾期未回复的，承包人有权拒绝执行上述指示。</w:t>
      </w:r>
    </w:p>
    <w:p w14:paraId="1FB480A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监理人对承包人的任何工作、工程或其采用的材料和工程设备未在约定的或合理期限内提出意见的，视为批准，但不免除或减轻承包人对该工作、工程、材料、工程设备等应承担的责任和义务。</w:t>
      </w:r>
    </w:p>
    <w:p w14:paraId="341D3CAC">
      <w:pPr>
        <w:pStyle w:val="8"/>
        <w:spacing w:before="120" w:after="120" w:line="360" w:lineRule="auto"/>
        <w:ind w:firstLine="600" w:firstLineChars="200"/>
        <w:rPr>
          <w:rFonts w:ascii="Times New Roman" w:hAnsi="Times New Roman" w:eastAsia="黑体"/>
          <w:b w:val="0"/>
          <w:sz w:val="32"/>
          <w:szCs w:val="32"/>
        </w:rPr>
      </w:pPr>
      <w:bookmarkStart w:id="315" w:name="_Toc351203531"/>
      <w:r>
        <w:rPr>
          <w:rFonts w:ascii="Times New Roman" w:hAnsi="Times New Roman" w:eastAsia="黑体"/>
          <w:b w:val="0"/>
          <w:sz w:val="30"/>
          <w:szCs w:val="32"/>
        </w:rPr>
        <w:t>4</w:t>
      </w:r>
      <w:bookmarkStart w:id="316" w:name="_Toc337558757"/>
      <w:bookmarkStart w:id="317" w:name="_Toc296503057"/>
      <w:bookmarkStart w:id="318" w:name="_Toc296346558"/>
      <w:r>
        <w:rPr>
          <w:rFonts w:ascii="Times New Roman" w:hAnsi="Times New Roman" w:eastAsia="黑体"/>
          <w:b w:val="0"/>
          <w:sz w:val="30"/>
          <w:szCs w:val="32"/>
        </w:rPr>
        <w:t>.4商定或确定</w:t>
      </w:r>
      <w:bookmarkEnd w:id="315"/>
    </w:p>
    <w:bookmarkEnd w:id="316"/>
    <w:bookmarkEnd w:id="317"/>
    <w:bookmarkEnd w:id="318"/>
    <w:p w14:paraId="1C4FED0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w:t>
      </w:r>
      <w:r>
        <w:rPr>
          <w:rFonts w:hint="eastAsia" w:eastAsia="仿宋_GB2312"/>
          <w:kern w:val="0"/>
          <w:sz w:val="30"/>
          <w:szCs w:val="32"/>
        </w:rPr>
        <w:t>当事人</w:t>
      </w:r>
      <w:r>
        <w:rPr>
          <w:rFonts w:eastAsia="仿宋_GB2312"/>
          <w:kern w:val="0"/>
          <w:sz w:val="30"/>
          <w:szCs w:val="32"/>
        </w:rPr>
        <w:t>进行</w:t>
      </w:r>
      <w:r>
        <w:rPr>
          <w:rFonts w:hint="eastAsia" w:eastAsia="仿宋_GB2312"/>
          <w:kern w:val="0"/>
          <w:sz w:val="30"/>
          <w:szCs w:val="32"/>
        </w:rPr>
        <w:t>商定</w:t>
      </w:r>
      <w:r>
        <w:rPr>
          <w:rFonts w:eastAsia="仿宋_GB2312"/>
          <w:kern w:val="0"/>
          <w:sz w:val="30"/>
          <w:szCs w:val="32"/>
        </w:rPr>
        <w:t>或确定时，总监理工程师应当会同合同当事人尽量通过协商达成一致，不能达成一致的，由总监理工程师按照合同约定审慎做出公正的确定。</w:t>
      </w:r>
    </w:p>
    <w:p w14:paraId="5EC3540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总监理工程师应将确定以书面形式通知发包人和承包人，并附详细依据。合同当事人对总监理工程师的确定没有异议的，按照总监理工程师的确定执行。任何一方合同当事人有异议，按照第20条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约定处理。争议解决前，合同当事人暂按总监理工程师的确定执行；争议解决后，争议解决的结果与总监理工程师的确定不一致的，按照争议解决的结果执行，由此造成的损失由责任人承担。</w:t>
      </w:r>
    </w:p>
    <w:p w14:paraId="3BB6B04B">
      <w:pPr>
        <w:pStyle w:val="8"/>
        <w:spacing w:before="120" w:after="120" w:line="360" w:lineRule="auto"/>
        <w:rPr>
          <w:rFonts w:ascii="Times New Roman" w:hAnsi="Times New Roman" w:eastAsia="黑体"/>
          <w:b w:val="0"/>
          <w:sz w:val="30"/>
          <w:szCs w:val="32"/>
        </w:rPr>
      </w:pPr>
      <w:bookmarkStart w:id="319" w:name="_Toc351203532"/>
      <w:r>
        <w:rPr>
          <w:rFonts w:ascii="Times New Roman" w:hAnsi="Times New Roman" w:eastAsia="黑体"/>
          <w:b w:val="0"/>
          <w:sz w:val="32"/>
          <w:szCs w:val="32"/>
        </w:rPr>
        <w:t>5</w:t>
      </w:r>
      <w:bookmarkStart w:id="320" w:name="_Toc337558758"/>
      <w:r>
        <w:rPr>
          <w:rFonts w:ascii="Times New Roman" w:hAnsi="Times New Roman" w:eastAsia="黑体"/>
          <w:b w:val="0"/>
          <w:sz w:val="32"/>
          <w:szCs w:val="32"/>
        </w:rPr>
        <w:t>.工程质量</w:t>
      </w:r>
      <w:bookmarkEnd w:id="319"/>
    </w:p>
    <w:bookmarkEnd w:id="320"/>
    <w:p w14:paraId="6BC27C0C">
      <w:pPr>
        <w:pStyle w:val="9"/>
        <w:spacing w:before="120" w:after="120" w:line="360" w:lineRule="auto"/>
        <w:ind w:firstLine="600" w:firstLineChars="200"/>
        <w:rPr>
          <w:rFonts w:eastAsia="黑体"/>
          <w:b w:val="0"/>
          <w:i w:val="0"/>
          <w:iCs w:val="0"/>
          <w:sz w:val="30"/>
          <w:szCs w:val="32"/>
        </w:rPr>
      </w:pPr>
      <w:bookmarkStart w:id="321" w:name="_Toc351203533"/>
      <w:r>
        <w:rPr>
          <w:rFonts w:eastAsia="黑体"/>
          <w:b w:val="0"/>
          <w:i w:val="0"/>
          <w:iCs w:val="0"/>
          <w:sz w:val="30"/>
          <w:szCs w:val="32"/>
        </w:rPr>
        <w:t>5</w:t>
      </w:r>
      <w:bookmarkStart w:id="322" w:name="_Toc337558759"/>
      <w:r>
        <w:rPr>
          <w:rFonts w:eastAsia="黑体"/>
          <w:b w:val="0"/>
          <w:i w:val="0"/>
          <w:iCs w:val="0"/>
          <w:sz w:val="30"/>
          <w:szCs w:val="32"/>
        </w:rPr>
        <w:t>.1质量要求</w:t>
      </w:r>
      <w:bookmarkEnd w:id="321"/>
    </w:p>
    <w:bookmarkEnd w:id="322"/>
    <w:p w14:paraId="12753FA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5.1.1工程质量标准必须符合现行国家</w:t>
      </w:r>
      <w:r>
        <w:rPr>
          <w:rFonts w:hint="eastAsia" w:eastAsia="仿宋_GB2312"/>
          <w:kern w:val="0"/>
          <w:sz w:val="30"/>
          <w:szCs w:val="32"/>
        </w:rPr>
        <w:t>、省</w:t>
      </w:r>
      <w:r>
        <w:rPr>
          <w:rFonts w:eastAsia="仿宋_GB2312"/>
          <w:kern w:val="0"/>
          <w:sz w:val="30"/>
          <w:szCs w:val="32"/>
        </w:rPr>
        <w:t>有关工程施工质量验收规范和标准的要求。</w:t>
      </w:r>
      <w:r>
        <w:rPr>
          <w:rFonts w:hint="eastAsia" w:eastAsia="仿宋_GB2312"/>
          <w:kern w:val="0"/>
          <w:sz w:val="30"/>
          <w:szCs w:val="32"/>
        </w:rPr>
        <w:t>有关</w:t>
      </w:r>
      <w:r>
        <w:rPr>
          <w:rFonts w:eastAsia="仿宋_GB2312"/>
          <w:kern w:val="0"/>
          <w:sz w:val="30"/>
          <w:szCs w:val="32"/>
        </w:rPr>
        <w:t>工程质量的特殊标准或要求由合同当事人在专用合同条款中约定。</w:t>
      </w:r>
    </w:p>
    <w:p w14:paraId="6E2AC6A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5.1.</w:t>
      </w:r>
      <w:r>
        <w:rPr>
          <w:rFonts w:hint="eastAsia" w:eastAsia="仿宋_GB2312"/>
          <w:kern w:val="0"/>
          <w:sz w:val="30"/>
          <w:szCs w:val="32"/>
        </w:rPr>
        <w:t>2</w:t>
      </w:r>
      <w:r>
        <w:rPr>
          <w:rFonts w:eastAsia="仿宋_GB2312"/>
          <w:kern w:val="0"/>
          <w:sz w:val="30"/>
          <w:szCs w:val="32"/>
        </w:rPr>
        <w:t>因发包人原因造成工程质量未达到合同约定标准的，由发包人承担由此增加的费用和（或）延误的工期，并支付承包人合理的利润。</w:t>
      </w:r>
    </w:p>
    <w:p w14:paraId="015FD8C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5.1.</w:t>
      </w:r>
      <w:r>
        <w:rPr>
          <w:rFonts w:hint="eastAsia" w:eastAsia="仿宋_GB2312"/>
          <w:kern w:val="0"/>
          <w:sz w:val="30"/>
          <w:szCs w:val="32"/>
        </w:rPr>
        <w:t>3</w:t>
      </w:r>
      <w:r>
        <w:rPr>
          <w:rFonts w:eastAsia="仿宋_GB2312"/>
          <w:kern w:val="0"/>
          <w:sz w:val="30"/>
          <w:szCs w:val="32"/>
        </w:rPr>
        <w:t>因承包人原因造成工程质量未达到合同约定标准的，发包人有权要求承包人返工直至工程质量达到合同约定的标准为止，并由承包人承担由此增加的费用和（或）延误的工期。</w:t>
      </w:r>
    </w:p>
    <w:p w14:paraId="14F7437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5.1.</w:t>
      </w:r>
      <w:r>
        <w:rPr>
          <w:rFonts w:hint="eastAsia" w:eastAsia="仿宋_GB2312"/>
          <w:kern w:val="0"/>
          <w:sz w:val="30"/>
          <w:szCs w:val="32"/>
        </w:rPr>
        <w:t>4合同当事人可以在专用合同条款中约定工程质量创建目标。工程达到合同约定的质量创建目标时，按照达到的质量等次计取优质优价费用；未达到合同约定的质量创建目标时，按照实际获得的质量等次计取优质优价费用；合同当事人可以在专用合同条款中约定超出质量创建目标时的奖励及其他奖惩条款。</w:t>
      </w:r>
      <w:r>
        <w:rPr>
          <w:rFonts w:eastAsia="仿宋_GB2312"/>
          <w:kern w:val="0"/>
          <w:sz w:val="30"/>
          <w:szCs w:val="32"/>
        </w:rPr>
        <w:t xml:space="preserve"> </w:t>
      </w:r>
    </w:p>
    <w:p w14:paraId="2FEB0C17">
      <w:pPr>
        <w:pStyle w:val="9"/>
        <w:spacing w:before="120" w:after="120" w:line="360" w:lineRule="auto"/>
        <w:ind w:firstLine="600" w:firstLineChars="200"/>
        <w:rPr>
          <w:rFonts w:eastAsia="黑体"/>
          <w:b w:val="0"/>
          <w:i w:val="0"/>
          <w:iCs w:val="0"/>
          <w:sz w:val="30"/>
          <w:szCs w:val="32"/>
        </w:rPr>
      </w:pPr>
      <w:bookmarkStart w:id="323" w:name="_Toc351203534"/>
      <w:r>
        <w:rPr>
          <w:rFonts w:eastAsia="黑体"/>
          <w:b w:val="0"/>
          <w:i w:val="0"/>
          <w:iCs w:val="0"/>
          <w:sz w:val="30"/>
          <w:szCs w:val="32"/>
        </w:rPr>
        <w:t>5</w:t>
      </w:r>
      <w:bookmarkStart w:id="324" w:name="_Toc337558760"/>
      <w:r>
        <w:rPr>
          <w:rFonts w:eastAsia="黑体"/>
          <w:b w:val="0"/>
          <w:i w:val="0"/>
          <w:iCs w:val="0"/>
          <w:sz w:val="30"/>
          <w:szCs w:val="32"/>
        </w:rPr>
        <w:t>.2质量保证措施</w:t>
      </w:r>
      <w:bookmarkEnd w:id="323"/>
    </w:p>
    <w:bookmarkEnd w:id="324"/>
    <w:p w14:paraId="5BEE0B4F">
      <w:pPr>
        <w:autoSpaceDE w:val="0"/>
        <w:autoSpaceDN w:val="0"/>
        <w:adjustRightInd w:val="0"/>
        <w:spacing w:line="360" w:lineRule="auto"/>
        <w:ind w:firstLine="600" w:firstLineChars="200"/>
        <w:jc w:val="left"/>
        <w:outlineLvl w:val="0"/>
        <w:rPr>
          <w:rFonts w:eastAsia="仿宋_GB2312"/>
          <w:kern w:val="0"/>
          <w:sz w:val="30"/>
          <w:szCs w:val="32"/>
        </w:rPr>
      </w:pPr>
      <w:bookmarkStart w:id="325" w:name="_Toc11257"/>
      <w:bookmarkStart w:id="326" w:name="_Toc9415"/>
      <w:bookmarkStart w:id="327" w:name="_Toc31278"/>
      <w:bookmarkStart w:id="328" w:name="_Toc29585"/>
      <w:bookmarkStart w:id="329" w:name="_Toc26429"/>
      <w:r>
        <w:rPr>
          <w:rFonts w:eastAsia="仿宋_GB2312"/>
          <w:kern w:val="0"/>
          <w:sz w:val="30"/>
          <w:szCs w:val="32"/>
        </w:rPr>
        <w:t>5.2.1发包人的质量管理</w:t>
      </w:r>
      <w:bookmarkEnd w:id="325"/>
      <w:bookmarkEnd w:id="326"/>
      <w:bookmarkEnd w:id="327"/>
      <w:bookmarkEnd w:id="328"/>
      <w:bookmarkEnd w:id="329"/>
    </w:p>
    <w:p w14:paraId="3E21139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发包人应按照法律规定及合同约定完成与工程质量有关的各项工作。</w:t>
      </w:r>
    </w:p>
    <w:p w14:paraId="043745B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5.2.2承包人的质量管理</w:t>
      </w:r>
    </w:p>
    <w:p w14:paraId="7EB785A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承包人按照第7.1款</w:t>
      </w:r>
      <w:r>
        <w:rPr>
          <w:rFonts w:hint="eastAsia" w:eastAsia="仿宋_GB2312"/>
          <w:kern w:val="0"/>
          <w:sz w:val="30"/>
          <w:szCs w:val="32"/>
        </w:rPr>
        <w:t>〔</w:t>
      </w:r>
      <w:r>
        <w:rPr>
          <w:rFonts w:eastAsia="仿宋_GB2312"/>
          <w:kern w:val="0"/>
          <w:sz w:val="30"/>
          <w:szCs w:val="32"/>
        </w:rPr>
        <w:t>施工组织设计</w:t>
      </w:r>
      <w:r>
        <w:rPr>
          <w:rFonts w:hint="eastAsia" w:eastAsia="仿宋_GB2312"/>
          <w:kern w:val="0"/>
          <w:sz w:val="30"/>
          <w:szCs w:val="32"/>
        </w:rPr>
        <w:t>〕</w:t>
      </w:r>
      <w:r>
        <w:rPr>
          <w:rFonts w:eastAsia="仿宋_GB2312"/>
          <w:kern w:val="0"/>
          <w:sz w:val="30"/>
          <w:szCs w:val="32"/>
        </w:rPr>
        <w:t>约定向发包人和监理人提交工程质量保证体系及措施文件，建立完善的质量检查制度，并提交相应的工程质量文件。对于发包人和监理人违反法律规定和合同约定的错误指示，承包人有权拒绝实施。</w:t>
      </w:r>
    </w:p>
    <w:p w14:paraId="1B5EA58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承包人应对施工人员进行质量教育和技术培训，定期考核施工人员的劳动技能，严格执行施工规范和操作规程。</w:t>
      </w:r>
    </w:p>
    <w:p w14:paraId="5B5D9FE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按照法律规定和发包人的要求，对材料、工程设备以及工程的所有部位及其施工工艺进行全过程的质量检查和检验，并作详细记录，编制工程质量报表，报送监理人审查。此外，承包人还应按照法律规定和发包人的要求，进行施工现场取样试验、工程复核测量和设备性能检测，提供试验样品、提交试验报告和测量成果以及其他工作。</w:t>
      </w:r>
    </w:p>
    <w:p w14:paraId="27938F10">
      <w:pPr>
        <w:autoSpaceDE w:val="0"/>
        <w:autoSpaceDN w:val="0"/>
        <w:adjustRightInd w:val="0"/>
        <w:spacing w:line="360" w:lineRule="auto"/>
        <w:ind w:firstLine="600" w:firstLineChars="200"/>
        <w:jc w:val="left"/>
        <w:outlineLvl w:val="0"/>
        <w:rPr>
          <w:rFonts w:eastAsia="仿宋_GB2312"/>
          <w:kern w:val="0"/>
          <w:sz w:val="30"/>
          <w:szCs w:val="32"/>
        </w:rPr>
      </w:pPr>
      <w:bookmarkStart w:id="330" w:name="_Toc27427"/>
      <w:bookmarkStart w:id="331" w:name="_Toc29013"/>
      <w:bookmarkStart w:id="332" w:name="_Toc19655"/>
      <w:bookmarkStart w:id="333" w:name="_Toc41"/>
      <w:bookmarkStart w:id="334" w:name="_Toc32414"/>
      <w:r>
        <w:rPr>
          <w:rFonts w:eastAsia="仿宋_GB2312"/>
          <w:kern w:val="0"/>
          <w:sz w:val="30"/>
          <w:szCs w:val="32"/>
        </w:rPr>
        <w:t>5.2.3监理人的质量检查和检验</w:t>
      </w:r>
      <w:bookmarkEnd w:id="330"/>
      <w:bookmarkEnd w:id="331"/>
      <w:bookmarkEnd w:id="332"/>
      <w:bookmarkEnd w:id="333"/>
      <w:bookmarkEnd w:id="334"/>
    </w:p>
    <w:p w14:paraId="4420148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按照法律规定和发包人授权对工程的所有部位及其施工工艺、材料和工程设备进行检查和检验。承包人应为监理人的检查和检验提供方便，包括监理人到施工现场，或制造、加工地点，或合同约定的其他地方进行察看和查阅施工原始记录。监理人为此进行的检查和检验，不免除或减轻承包人按照合同约定应当承担的责任。</w:t>
      </w:r>
    </w:p>
    <w:p w14:paraId="69EBDF5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的检查和检验不应影响施工正常进行。监理人的检查和检验影响施工正常进行的，且经检查检验不合格的，影响正常施工的费用由承包人承担，工期不予顺延；经检查检验合格的，由此增加的费用和（或）延误的工期由发包人承担。</w:t>
      </w:r>
    </w:p>
    <w:p w14:paraId="2D75A598">
      <w:pPr>
        <w:pStyle w:val="9"/>
        <w:spacing w:before="120" w:after="120" w:line="360" w:lineRule="auto"/>
        <w:ind w:firstLine="600" w:firstLineChars="200"/>
        <w:rPr>
          <w:rFonts w:eastAsia="黑体"/>
          <w:b w:val="0"/>
          <w:i w:val="0"/>
          <w:iCs w:val="0"/>
          <w:sz w:val="30"/>
          <w:szCs w:val="32"/>
        </w:rPr>
      </w:pPr>
      <w:bookmarkStart w:id="335" w:name="_Toc351203535"/>
      <w:r>
        <w:rPr>
          <w:rFonts w:eastAsia="黑体"/>
          <w:b w:val="0"/>
          <w:i w:val="0"/>
          <w:iCs w:val="0"/>
          <w:sz w:val="30"/>
          <w:szCs w:val="32"/>
        </w:rPr>
        <w:t>5</w:t>
      </w:r>
      <w:bookmarkStart w:id="336" w:name="_Toc337558761"/>
      <w:r>
        <w:rPr>
          <w:rFonts w:eastAsia="黑体"/>
          <w:b w:val="0"/>
          <w:i w:val="0"/>
          <w:iCs w:val="0"/>
          <w:sz w:val="30"/>
          <w:szCs w:val="32"/>
        </w:rPr>
        <w:t>.3隐蔽工程检查</w:t>
      </w:r>
      <w:bookmarkEnd w:id="335"/>
    </w:p>
    <w:bookmarkEnd w:id="336"/>
    <w:p w14:paraId="5D3EE52B">
      <w:pPr>
        <w:spacing w:line="360" w:lineRule="auto"/>
        <w:ind w:firstLine="600" w:firstLineChars="200"/>
        <w:jc w:val="left"/>
        <w:rPr>
          <w:rFonts w:eastAsia="仿宋_GB2312"/>
          <w:kern w:val="0"/>
          <w:sz w:val="30"/>
          <w:szCs w:val="32"/>
        </w:rPr>
      </w:pPr>
      <w:r>
        <w:rPr>
          <w:rFonts w:eastAsia="仿宋_GB2312"/>
          <w:kern w:val="0"/>
          <w:sz w:val="30"/>
          <w:szCs w:val="32"/>
        </w:rPr>
        <w:t>5.3.1承包人自检</w:t>
      </w:r>
    </w:p>
    <w:p w14:paraId="618B95F4">
      <w:pPr>
        <w:spacing w:line="360" w:lineRule="auto"/>
        <w:ind w:firstLine="600" w:firstLineChars="200"/>
        <w:jc w:val="left"/>
        <w:rPr>
          <w:rFonts w:eastAsia="仿宋_GB2312"/>
          <w:kern w:val="0"/>
          <w:sz w:val="30"/>
          <w:szCs w:val="32"/>
        </w:rPr>
      </w:pPr>
      <w:r>
        <w:rPr>
          <w:rFonts w:eastAsia="仿宋_GB2312"/>
          <w:kern w:val="0"/>
          <w:sz w:val="30"/>
          <w:szCs w:val="32"/>
        </w:rPr>
        <w:t>承包人应当对工程隐蔽部位进行自检，并经自检确认是否具备覆盖条件。</w:t>
      </w:r>
    </w:p>
    <w:p w14:paraId="76E3AD62">
      <w:pPr>
        <w:spacing w:line="360" w:lineRule="auto"/>
        <w:ind w:firstLine="600" w:firstLineChars="200"/>
        <w:jc w:val="left"/>
        <w:rPr>
          <w:rFonts w:eastAsia="仿宋_GB2312"/>
          <w:kern w:val="0"/>
          <w:sz w:val="30"/>
          <w:szCs w:val="32"/>
        </w:rPr>
      </w:pPr>
      <w:r>
        <w:rPr>
          <w:rFonts w:eastAsia="仿宋_GB2312"/>
          <w:kern w:val="0"/>
          <w:sz w:val="30"/>
          <w:szCs w:val="32"/>
        </w:rPr>
        <w:t>5.3.2检查程序</w:t>
      </w:r>
    </w:p>
    <w:p w14:paraId="01F09BDB">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除专用合同条款另有约定外，工程隐蔽部位经承包人自检确认具备覆盖条件的，承包人应在</w:t>
      </w:r>
      <w:r>
        <w:rPr>
          <w:rFonts w:hint="eastAsia" w:eastAsia="仿宋_GB2312"/>
          <w:kern w:val="0"/>
          <w:sz w:val="30"/>
          <w:szCs w:val="32"/>
        </w:rPr>
        <w:t>共同</w:t>
      </w:r>
      <w:r>
        <w:rPr>
          <w:rFonts w:eastAsia="仿宋_GB2312"/>
          <w:kern w:val="0"/>
          <w:sz w:val="30"/>
          <w:szCs w:val="32"/>
        </w:rPr>
        <w:t>检查前48小时书面通知监理人检查，通知中应载明隐蔽检查的内容、时间和地点，并应附有自检记录和必要的检查资料。</w:t>
      </w:r>
    </w:p>
    <w:p w14:paraId="408C2C21">
      <w:pPr>
        <w:spacing w:line="360" w:lineRule="auto"/>
        <w:ind w:firstLine="600" w:firstLineChars="200"/>
        <w:jc w:val="left"/>
        <w:rPr>
          <w:rFonts w:eastAsia="仿宋_GB2312"/>
          <w:kern w:val="0"/>
          <w:sz w:val="30"/>
          <w:szCs w:val="32"/>
        </w:rPr>
      </w:pPr>
      <w:r>
        <w:rPr>
          <w:rFonts w:eastAsia="仿宋_GB2312"/>
          <w:kern w:val="0"/>
          <w:sz w:val="30"/>
          <w:szCs w:val="32"/>
        </w:rPr>
        <w:t>监理人应按时到场并对隐蔽工程及其施工工艺、材料和工程设备进行检查。经监理人检查确认质量符合隐蔽要求，并在验收记录上签字后，承包人才能进行覆盖。经监理人检查质量不合格的，承包人应在监理人指示的时间内完成修复，并由监理人重新检查，由此增加的费用和（或）延误的工期由承包人承担。</w:t>
      </w:r>
    </w:p>
    <w:p w14:paraId="6FA77688">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监理人不能按时进行检查的，应在检查前24小时向承包人提交书面延期要求，但延期不能超过48小时，由此导致工期延误的，工期应予以顺延。监理人未按时进行检查，也未提出延期要求的，视为隐蔽工程检查合格，承包人可自行完成覆盖工作，并作相应记录报送监理人，监理人应签字确认。监理人事后对检查记录有疑问的，可按第5.3.3项</w:t>
      </w:r>
      <w:r>
        <w:rPr>
          <w:rFonts w:hint="eastAsia" w:eastAsia="仿宋_GB2312"/>
          <w:kern w:val="0"/>
          <w:sz w:val="30"/>
          <w:szCs w:val="32"/>
        </w:rPr>
        <w:t>〔</w:t>
      </w:r>
      <w:r>
        <w:rPr>
          <w:rFonts w:eastAsia="仿宋_GB2312"/>
          <w:kern w:val="0"/>
          <w:sz w:val="30"/>
          <w:szCs w:val="32"/>
        </w:rPr>
        <w:t>重新检查</w:t>
      </w:r>
      <w:r>
        <w:rPr>
          <w:rFonts w:hint="eastAsia" w:eastAsia="仿宋_GB2312"/>
          <w:kern w:val="0"/>
          <w:sz w:val="30"/>
          <w:szCs w:val="32"/>
        </w:rPr>
        <w:t>〕</w:t>
      </w:r>
      <w:r>
        <w:rPr>
          <w:rFonts w:eastAsia="仿宋_GB2312"/>
          <w:kern w:val="0"/>
          <w:sz w:val="30"/>
          <w:szCs w:val="32"/>
        </w:rPr>
        <w:t>的约定重新检查。</w:t>
      </w:r>
    </w:p>
    <w:p w14:paraId="38F5BEBC">
      <w:pPr>
        <w:spacing w:line="360" w:lineRule="auto"/>
        <w:ind w:firstLine="600" w:firstLineChars="200"/>
        <w:jc w:val="left"/>
        <w:rPr>
          <w:rFonts w:eastAsia="仿宋_GB2312"/>
          <w:kern w:val="0"/>
          <w:sz w:val="30"/>
          <w:szCs w:val="32"/>
        </w:rPr>
      </w:pPr>
      <w:r>
        <w:rPr>
          <w:rFonts w:eastAsia="仿宋_GB2312"/>
          <w:kern w:val="0"/>
          <w:sz w:val="30"/>
          <w:szCs w:val="32"/>
        </w:rPr>
        <w:t>5.3.3重新检查</w:t>
      </w:r>
    </w:p>
    <w:p w14:paraId="5BA5C247">
      <w:pPr>
        <w:spacing w:line="360" w:lineRule="auto"/>
        <w:ind w:firstLine="600" w:firstLineChars="200"/>
        <w:jc w:val="left"/>
        <w:rPr>
          <w:rFonts w:eastAsia="仿宋_GB2312"/>
          <w:kern w:val="0"/>
          <w:sz w:val="30"/>
          <w:szCs w:val="32"/>
        </w:rPr>
      </w:pPr>
      <w:r>
        <w:rPr>
          <w:rFonts w:eastAsia="仿宋_GB2312"/>
          <w:kern w:val="0"/>
          <w:sz w:val="30"/>
          <w:szCs w:val="32"/>
        </w:rPr>
        <w:t>承包人覆盖工程隐蔽部位后，发包人或监理人对质量有疑问的，可要求承包人对已覆盖的部位进行钻孔探测或揭开重新检查，承包人应遵照执行，并在检查后重新覆盖恢复原状。经检查证明工程质量符合合同要求的，由发包人承担由此增加的费用和（或）延误的工期，并支付承包人合理的利润；经检查证明工程质量不符合合同要求的，由此增加的费用和（或）延误的工期由承包人承担。</w:t>
      </w:r>
    </w:p>
    <w:p w14:paraId="56D23414">
      <w:pPr>
        <w:spacing w:line="360" w:lineRule="auto"/>
        <w:ind w:firstLine="600" w:firstLineChars="200"/>
        <w:jc w:val="left"/>
        <w:rPr>
          <w:rFonts w:eastAsia="仿宋_GB2312"/>
          <w:kern w:val="0"/>
          <w:sz w:val="30"/>
          <w:szCs w:val="32"/>
        </w:rPr>
      </w:pPr>
      <w:r>
        <w:rPr>
          <w:rFonts w:eastAsia="仿宋_GB2312"/>
          <w:kern w:val="0"/>
          <w:sz w:val="30"/>
          <w:szCs w:val="32"/>
        </w:rPr>
        <w:t>5.3.4承包人私自覆盖</w:t>
      </w:r>
    </w:p>
    <w:p w14:paraId="5EA0D602">
      <w:pPr>
        <w:spacing w:line="360" w:lineRule="auto"/>
        <w:ind w:firstLine="600" w:firstLineChars="200"/>
        <w:jc w:val="left"/>
        <w:rPr>
          <w:rFonts w:eastAsia="仿宋_GB2312"/>
          <w:sz w:val="30"/>
          <w:szCs w:val="32"/>
        </w:rPr>
      </w:pPr>
      <w:r>
        <w:rPr>
          <w:rFonts w:eastAsia="仿宋_GB2312"/>
          <w:kern w:val="0"/>
          <w:sz w:val="30"/>
          <w:szCs w:val="32"/>
        </w:rPr>
        <w:t>承包人未通知监理人到场检查，私自将工程隐蔽部位覆盖的，监理人有权指示承包人钻孔探测或揭开检查，无论工程隐蔽部位质量是否合格，由此增加的费用和（或）延误的工期均由承包人承担。</w:t>
      </w:r>
    </w:p>
    <w:p w14:paraId="2C4503E7">
      <w:pPr>
        <w:pStyle w:val="9"/>
        <w:spacing w:before="120" w:after="120" w:line="360" w:lineRule="auto"/>
        <w:ind w:firstLine="600" w:firstLineChars="200"/>
        <w:rPr>
          <w:rFonts w:eastAsia="黑体"/>
          <w:b w:val="0"/>
          <w:i w:val="0"/>
          <w:iCs w:val="0"/>
          <w:sz w:val="30"/>
          <w:szCs w:val="32"/>
        </w:rPr>
      </w:pPr>
      <w:bookmarkStart w:id="337" w:name="_Toc351203536"/>
      <w:r>
        <w:rPr>
          <w:rFonts w:eastAsia="黑体"/>
          <w:b w:val="0"/>
          <w:i w:val="0"/>
          <w:iCs w:val="0"/>
          <w:sz w:val="30"/>
          <w:szCs w:val="32"/>
        </w:rPr>
        <w:t>5</w:t>
      </w:r>
      <w:bookmarkStart w:id="338" w:name="_Toc337558762"/>
      <w:r>
        <w:rPr>
          <w:rFonts w:eastAsia="黑体"/>
          <w:b w:val="0"/>
          <w:i w:val="0"/>
          <w:iCs w:val="0"/>
          <w:sz w:val="30"/>
          <w:szCs w:val="32"/>
        </w:rPr>
        <w:t>.4不合格工程的处理</w:t>
      </w:r>
      <w:bookmarkEnd w:id="337"/>
    </w:p>
    <w:bookmarkEnd w:id="338"/>
    <w:p w14:paraId="33B3925D">
      <w:pPr>
        <w:spacing w:line="360" w:lineRule="auto"/>
        <w:ind w:firstLine="600" w:firstLineChars="200"/>
        <w:jc w:val="left"/>
        <w:rPr>
          <w:rFonts w:eastAsia="仿宋_GB2312"/>
          <w:kern w:val="0"/>
          <w:sz w:val="30"/>
          <w:szCs w:val="32"/>
        </w:rPr>
      </w:pPr>
      <w:r>
        <w:rPr>
          <w:rFonts w:eastAsia="仿宋_GB2312"/>
          <w:kern w:val="0"/>
          <w:sz w:val="30"/>
          <w:szCs w:val="32"/>
        </w:rPr>
        <w:t>5.4.1因承包人原因造成工程不合格的，发包人有权随时要求承包人采取补救措施，直至达到合同要求的质量标准，由此增加的费用和（或）延误的工期由承包人承担。无法补救的，按照第13.2.4项</w:t>
      </w:r>
      <w:r>
        <w:rPr>
          <w:rFonts w:hint="eastAsia" w:eastAsia="仿宋_GB2312"/>
          <w:kern w:val="0"/>
          <w:sz w:val="30"/>
          <w:szCs w:val="32"/>
        </w:rPr>
        <w:t>〔</w:t>
      </w:r>
      <w:r>
        <w:rPr>
          <w:rFonts w:eastAsia="仿宋_GB2312"/>
          <w:kern w:val="0"/>
          <w:sz w:val="30"/>
          <w:szCs w:val="32"/>
        </w:rPr>
        <w:t>拒绝接收全部或部分工程</w:t>
      </w:r>
      <w:r>
        <w:rPr>
          <w:rFonts w:hint="eastAsia" w:eastAsia="仿宋_GB2312"/>
          <w:kern w:val="0"/>
          <w:sz w:val="30"/>
          <w:szCs w:val="32"/>
        </w:rPr>
        <w:t>〕</w:t>
      </w:r>
      <w:r>
        <w:rPr>
          <w:rFonts w:eastAsia="仿宋_GB2312"/>
          <w:kern w:val="0"/>
          <w:sz w:val="30"/>
          <w:szCs w:val="32"/>
        </w:rPr>
        <w:t>约定执行。</w:t>
      </w:r>
    </w:p>
    <w:p w14:paraId="12E026F9">
      <w:pPr>
        <w:spacing w:line="360" w:lineRule="auto"/>
        <w:ind w:firstLine="600" w:firstLineChars="200"/>
        <w:jc w:val="left"/>
        <w:rPr>
          <w:rFonts w:eastAsia="仿宋_GB2312"/>
          <w:kern w:val="0"/>
          <w:sz w:val="30"/>
          <w:szCs w:val="32"/>
        </w:rPr>
      </w:pPr>
      <w:r>
        <w:rPr>
          <w:rFonts w:eastAsia="仿宋_GB2312"/>
          <w:kern w:val="0"/>
          <w:sz w:val="30"/>
          <w:szCs w:val="32"/>
        </w:rPr>
        <w:t>5.4.2因发包人原因造成工程不合格的，由此增加的费用和（或）延误的工期由发包人承担，并支付承包人合理的利润。</w:t>
      </w:r>
    </w:p>
    <w:p w14:paraId="6462E807">
      <w:pPr>
        <w:pStyle w:val="9"/>
        <w:spacing w:before="120" w:after="120" w:line="360" w:lineRule="auto"/>
        <w:ind w:firstLine="600" w:firstLineChars="200"/>
        <w:rPr>
          <w:rFonts w:eastAsia="黑体"/>
          <w:b w:val="0"/>
          <w:i w:val="0"/>
          <w:iCs w:val="0"/>
          <w:sz w:val="30"/>
          <w:szCs w:val="32"/>
        </w:rPr>
      </w:pPr>
      <w:bookmarkStart w:id="339" w:name="_Toc351203537"/>
      <w:r>
        <w:rPr>
          <w:rFonts w:eastAsia="黑体"/>
          <w:b w:val="0"/>
          <w:i w:val="0"/>
          <w:iCs w:val="0"/>
          <w:sz w:val="30"/>
          <w:szCs w:val="32"/>
        </w:rPr>
        <w:t>5.5质量争议检测</w:t>
      </w:r>
      <w:bookmarkEnd w:id="339"/>
    </w:p>
    <w:p w14:paraId="3EB8079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合同当事人对工程质量有争议的，由双方协商确定的工程质量检测机构鉴定，由此产生的费用及因此造成的损失，由责任方承担。</w:t>
      </w:r>
    </w:p>
    <w:p w14:paraId="2899558F">
      <w:pPr>
        <w:autoSpaceDE w:val="0"/>
        <w:autoSpaceDN w:val="0"/>
        <w:adjustRightInd w:val="0"/>
        <w:spacing w:line="360" w:lineRule="auto"/>
        <w:jc w:val="left"/>
        <w:rPr>
          <w:rFonts w:eastAsia="仿宋_GB2312"/>
          <w:kern w:val="0"/>
          <w:sz w:val="30"/>
          <w:szCs w:val="32"/>
        </w:rPr>
      </w:pPr>
      <w:r>
        <w:rPr>
          <w:rFonts w:eastAsia="仿宋_GB2312"/>
          <w:kern w:val="0"/>
          <w:sz w:val="30"/>
          <w:szCs w:val="32"/>
        </w:rPr>
        <w:t>合同当事人均有责任的，由双方根据其责任分别承担。合同当事人无法达成一致的，按照第4.4款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执行。</w:t>
      </w:r>
    </w:p>
    <w:p w14:paraId="3053BFE1">
      <w:pPr>
        <w:pStyle w:val="8"/>
        <w:spacing w:before="120" w:after="120" w:line="360" w:lineRule="auto"/>
        <w:rPr>
          <w:rFonts w:ascii="Times New Roman" w:hAnsi="Times New Roman" w:eastAsia="黑体"/>
          <w:b w:val="0"/>
          <w:sz w:val="32"/>
          <w:szCs w:val="32"/>
        </w:rPr>
      </w:pPr>
      <w:bookmarkStart w:id="340" w:name="_Toc351203538"/>
      <w:r>
        <w:rPr>
          <w:rFonts w:ascii="Times New Roman" w:hAnsi="Times New Roman" w:eastAsia="黑体"/>
          <w:b w:val="0"/>
          <w:sz w:val="32"/>
          <w:szCs w:val="32"/>
        </w:rPr>
        <w:t>6</w:t>
      </w:r>
      <w:bookmarkStart w:id="341" w:name="_Toc337558763"/>
      <w:r>
        <w:rPr>
          <w:rFonts w:ascii="Times New Roman" w:hAnsi="Times New Roman" w:eastAsia="黑体"/>
          <w:b w:val="0"/>
          <w:sz w:val="32"/>
          <w:szCs w:val="32"/>
        </w:rPr>
        <w:t>.安全文明施工与环境保护</w:t>
      </w:r>
      <w:bookmarkEnd w:id="340"/>
    </w:p>
    <w:bookmarkEnd w:id="341"/>
    <w:p w14:paraId="658D7CE0">
      <w:pPr>
        <w:pStyle w:val="9"/>
        <w:spacing w:before="120" w:after="120" w:line="360" w:lineRule="auto"/>
        <w:ind w:firstLine="600" w:firstLineChars="200"/>
        <w:rPr>
          <w:rFonts w:eastAsia="黑体"/>
          <w:b w:val="0"/>
          <w:i w:val="0"/>
          <w:iCs w:val="0"/>
          <w:sz w:val="30"/>
          <w:szCs w:val="32"/>
        </w:rPr>
      </w:pPr>
      <w:bookmarkStart w:id="342" w:name="_Toc351203539"/>
      <w:r>
        <w:rPr>
          <w:rFonts w:eastAsia="黑体"/>
          <w:b w:val="0"/>
          <w:i w:val="0"/>
          <w:iCs w:val="0"/>
          <w:sz w:val="30"/>
          <w:szCs w:val="32"/>
        </w:rPr>
        <w:t>6</w:t>
      </w:r>
      <w:bookmarkStart w:id="343" w:name="_Toc337558764"/>
      <w:r>
        <w:rPr>
          <w:rFonts w:eastAsia="黑体"/>
          <w:b w:val="0"/>
          <w:i w:val="0"/>
          <w:iCs w:val="0"/>
          <w:sz w:val="30"/>
          <w:szCs w:val="32"/>
        </w:rPr>
        <w:t>.1安全文明施工</w:t>
      </w:r>
      <w:bookmarkEnd w:id="342"/>
    </w:p>
    <w:bookmarkEnd w:id="343"/>
    <w:p w14:paraId="7710909A">
      <w:pPr>
        <w:spacing w:line="360" w:lineRule="auto"/>
        <w:ind w:firstLine="600" w:firstLineChars="200"/>
        <w:rPr>
          <w:rFonts w:eastAsia="仿宋_GB2312"/>
          <w:sz w:val="30"/>
          <w:szCs w:val="32"/>
        </w:rPr>
      </w:pPr>
      <w:r>
        <w:rPr>
          <w:rFonts w:eastAsia="仿宋_GB2312"/>
          <w:sz w:val="30"/>
          <w:szCs w:val="32"/>
        </w:rPr>
        <w:t>6.1.1安全生产要求</w:t>
      </w:r>
    </w:p>
    <w:p w14:paraId="68E72804">
      <w:pPr>
        <w:spacing w:line="360" w:lineRule="auto"/>
        <w:ind w:firstLine="600" w:firstLineChars="200"/>
        <w:rPr>
          <w:rFonts w:eastAsia="仿宋_GB2312"/>
          <w:sz w:val="30"/>
          <w:szCs w:val="32"/>
        </w:rPr>
      </w:pPr>
      <w:r>
        <w:rPr>
          <w:rFonts w:eastAsia="仿宋_GB2312"/>
          <w:sz w:val="30"/>
          <w:szCs w:val="32"/>
        </w:rPr>
        <w:t>合同履行期间，合同当事人均应当遵守国家</w:t>
      </w:r>
      <w:r>
        <w:rPr>
          <w:rFonts w:hint="eastAsia" w:eastAsia="仿宋_GB2312"/>
          <w:sz w:val="30"/>
          <w:szCs w:val="32"/>
        </w:rPr>
        <w:t>、省</w:t>
      </w:r>
      <w:r>
        <w:rPr>
          <w:rFonts w:eastAsia="仿宋_GB2312"/>
          <w:sz w:val="30"/>
          <w:szCs w:val="32"/>
        </w:rPr>
        <w:t>和工程所在地有关安全生产的要求</w:t>
      </w:r>
      <w:r>
        <w:rPr>
          <w:rFonts w:hint="eastAsia" w:eastAsia="仿宋_GB2312"/>
          <w:sz w:val="30"/>
          <w:szCs w:val="32"/>
        </w:rPr>
        <w:t>。</w:t>
      </w:r>
      <w:r>
        <w:rPr>
          <w:rFonts w:eastAsia="仿宋_GB2312"/>
          <w:sz w:val="30"/>
          <w:szCs w:val="32"/>
        </w:rPr>
        <w:t>合同当事人有特别要求的，应在专用合同条款中明确施工项目安全生产标准化达标目标及相应事项</w:t>
      </w:r>
      <w:r>
        <w:rPr>
          <w:rFonts w:hint="eastAsia" w:eastAsia="仿宋_GB2312"/>
          <w:sz w:val="30"/>
          <w:szCs w:val="32"/>
        </w:rPr>
        <w:t>。发包人不得明示或者暗示承包人购买、租赁、使用不符合安全施工要求的安全防护用具、机械设备、施工机具及配件、消防设施和器材。</w:t>
      </w:r>
      <w:r>
        <w:rPr>
          <w:rFonts w:eastAsia="仿宋_GB2312"/>
          <w:sz w:val="30"/>
          <w:szCs w:val="32"/>
        </w:rPr>
        <w:t>承包人有权拒绝发包人及监理人强令承包人违章作业、冒险施工的任何指示。</w:t>
      </w:r>
    </w:p>
    <w:p w14:paraId="50EEF5B6">
      <w:pPr>
        <w:spacing w:line="360" w:lineRule="auto"/>
        <w:ind w:firstLine="600" w:firstLineChars="200"/>
        <w:rPr>
          <w:rFonts w:eastAsia="仿宋_GB2312"/>
          <w:sz w:val="30"/>
          <w:szCs w:val="32"/>
        </w:rPr>
      </w:pPr>
      <w:r>
        <w:rPr>
          <w:rFonts w:eastAsia="仿宋_GB2312"/>
          <w:sz w:val="30"/>
          <w:szCs w:val="32"/>
        </w:rPr>
        <w:t>在施工过程中，如遇到突发的地质变动、事先未知的地下施工障碍等影响施工安全的紧急情况，</w:t>
      </w:r>
      <w:r>
        <w:rPr>
          <w:rFonts w:hint="eastAsia" w:eastAsia="仿宋_GB2312"/>
          <w:sz w:val="30"/>
          <w:szCs w:val="32"/>
        </w:rPr>
        <w:t>承包人应及时报告监理人和发包人，</w:t>
      </w:r>
      <w:r>
        <w:rPr>
          <w:rFonts w:eastAsia="仿宋_GB2312"/>
          <w:sz w:val="30"/>
          <w:szCs w:val="32"/>
        </w:rPr>
        <w:t>发包人应当及时下令停工并报</w:t>
      </w:r>
      <w:r>
        <w:rPr>
          <w:rFonts w:eastAsia="仿宋_GB2312"/>
          <w:kern w:val="0"/>
          <w:sz w:val="30"/>
          <w:szCs w:val="32"/>
        </w:rPr>
        <w:t>政府有关行政管理部门</w:t>
      </w:r>
      <w:r>
        <w:rPr>
          <w:rFonts w:eastAsia="仿宋_GB2312"/>
          <w:sz w:val="30"/>
          <w:szCs w:val="32"/>
        </w:rPr>
        <w:t>采取应急措施。</w:t>
      </w:r>
    </w:p>
    <w:p w14:paraId="598F759E">
      <w:pPr>
        <w:spacing w:line="360" w:lineRule="auto"/>
        <w:ind w:firstLine="600" w:firstLineChars="200"/>
        <w:rPr>
          <w:rFonts w:eastAsia="仿宋_GB2312"/>
          <w:sz w:val="30"/>
          <w:szCs w:val="32"/>
        </w:rPr>
      </w:pPr>
      <w:r>
        <w:rPr>
          <w:rFonts w:eastAsia="仿宋_GB2312"/>
          <w:sz w:val="30"/>
          <w:szCs w:val="32"/>
        </w:rPr>
        <w:t>因安全生产需要暂停施工的，按照第7.8款</w:t>
      </w:r>
      <w:r>
        <w:rPr>
          <w:rFonts w:hint="eastAsia" w:eastAsia="仿宋_GB2312"/>
          <w:sz w:val="30"/>
          <w:szCs w:val="32"/>
        </w:rPr>
        <w:t>〔</w:t>
      </w:r>
      <w:r>
        <w:rPr>
          <w:rFonts w:eastAsia="仿宋_GB2312"/>
          <w:sz w:val="30"/>
          <w:szCs w:val="32"/>
        </w:rPr>
        <w:t>暂停施工</w:t>
      </w:r>
      <w:r>
        <w:rPr>
          <w:rFonts w:hint="eastAsia" w:eastAsia="仿宋_GB2312"/>
          <w:sz w:val="30"/>
          <w:szCs w:val="32"/>
        </w:rPr>
        <w:t>〕</w:t>
      </w:r>
      <w:r>
        <w:rPr>
          <w:rFonts w:eastAsia="仿宋_GB2312"/>
          <w:sz w:val="30"/>
          <w:szCs w:val="32"/>
        </w:rPr>
        <w:t>的约定执行。</w:t>
      </w:r>
    </w:p>
    <w:p w14:paraId="59F46CCC">
      <w:pPr>
        <w:spacing w:line="360" w:lineRule="auto"/>
        <w:ind w:firstLine="600" w:firstLineChars="200"/>
        <w:rPr>
          <w:rFonts w:eastAsia="仿宋_GB2312"/>
          <w:sz w:val="30"/>
          <w:szCs w:val="32"/>
        </w:rPr>
      </w:pPr>
      <w:r>
        <w:rPr>
          <w:rFonts w:eastAsia="仿宋_GB2312"/>
          <w:sz w:val="30"/>
          <w:szCs w:val="32"/>
        </w:rPr>
        <w:t>6.1.2安全生产保证措施</w:t>
      </w:r>
    </w:p>
    <w:p w14:paraId="281B8E5E">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承包人应当按照有关</w:t>
      </w:r>
      <w:r>
        <w:rPr>
          <w:rFonts w:eastAsia="仿宋_GB2312"/>
          <w:kern w:val="0"/>
          <w:sz w:val="30"/>
          <w:szCs w:val="32"/>
        </w:rPr>
        <w:t>规定编制</w:t>
      </w:r>
      <w:r>
        <w:rPr>
          <w:rFonts w:hint="eastAsia" w:eastAsia="仿宋_GB2312"/>
          <w:kern w:val="0"/>
          <w:sz w:val="30"/>
          <w:szCs w:val="32"/>
        </w:rPr>
        <w:t>施工组织设计，施工组织设计中的</w:t>
      </w:r>
      <w:r>
        <w:rPr>
          <w:rFonts w:eastAsia="仿宋_GB2312"/>
          <w:kern w:val="0"/>
          <w:sz w:val="30"/>
          <w:szCs w:val="32"/>
        </w:rPr>
        <w:t>安全技术措施或者专项施工方案</w:t>
      </w:r>
      <w:r>
        <w:rPr>
          <w:rFonts w:hint="eastAsia" w:eastAsia="仿宋_GB2312"/>
          <w:kern w:val="0"/>
          <w:sz w:val="30"/>
          <w:szCs w:val="32"/>
        </w:rPr>
        <w:t>应符合工程建设强制性标准</w:t>
      </w:r>
      <w:r>
        <w:rPr>
          <w:rFonts w:eastAsia="仿宋_GB2312"/>
          <w:kern w:val="0"/>
          <w:sz w:val="30"/>
          <w:szCs w:val="32"/>
        </w:rPr>
        <w:t>，</w:t>
      </w:r>
      <w:r>
        <w:rPr>
          <w:rFonts w:eastAsia="仿宋_GB2312"/>
          <w:sz w:val="30"/>
          <w:szCs w:val="32"/>
        </w:rPr>
        <w:t>建立</w:t>
      </w:r>
      <w:r>
        <w:rPr>
          <w:rFonts w:hint="eastAsia" w:eastAsia="仿宋_GB2312"/>
          <w:kern w:val="0"/>
          <w:sz w:val="30"/>
          <w:szCs w:val="32"/>
        </w:rPr>
        <w:t>健全安全生产责任制，制定</w:t>
      </w:r>
      <w:r>
        <w:rPr>
          <w:rFonts w:eastAsia="仿宋_GB2312"/>
          <w:sz w:val="30"/>
          <w:szCs w:val="32"/>
        </w:rPr>
        <w:t>安全生产责任制度</w:t>
      </w:r>
      <w:r>
        <w:rPr>
          <w:rFonts w:hint="eastAsia" w:eastAsia="仿宋_GB2312"/>
          <w:sz w:val="30"/>
          <w:szCs w:val="32"/>
        </w:rPr>
        <w:t>及操作规程</w:t>
      </w:r>
      <w:r>
        <w:rPr>
          <w:rFonts w:eastAsia="仿宋_GB2312"/>
          <w:sz w:val="30"/>
          <w:szCs w:val="32"/>
        </w:rPr>
        <w:t>、治安保卫制度</w:t>
      </w:r>
      <w:r>
        <w:rPr>
          <w:rFonts w:hint="eastAsia" w:eastAsia="仿宋_GB2312"/>
          <w:sz w:val="30"/>
          <w:szCs w:val="32"/>
        </w:rPr>
        <w:t>、</w:t>
      </w:r>
      <w:r>
        <w:rPr>
          <w:rFonts w:eastAsia="仿宋_GB2312"/>
          <w:sz w:val="30"/>
          <w:szCs w:val="32"/>
        </w:rPr>
        <w:t>安全生产教育培训制度，并</w:t>
      </w:r>
      <w:r>
        <w:rPr>
          <w:rFonts w:eastAsia="仿宋_GB2312"/>
          <w:kern w:val="0"/>
          <w:sz w:val="30"/>
          <w:szCs w:val="32"/>
        </w:rPr>
        <w:t>按安全生产法律规定及合同约定履行安全职责，</w:t>
      </w:r>
      <w:r>
        <w:rPr>
          <w:rFonts w:hint="eastAsia" w:eastAsia="仿宋_GB2312"/>
          <w:kern w:val="0"/>
          <w:sz w:val="30"/>
          <w:szCs w:val="32"/>
        </w:rPr>
        <w:t>如实</w:t>
      </w:r>
      <w:r>
        <w:rPr>
          <w:rFonts w:eastAsia="仿宋_GB2312"/>
          <w:sz w:val="30"/>
          <w:szCs w:val="32"/>
        </w:rPr>
        <w:t>编制工程安全生产的有关记录，</w:t>
      </w:r>
      <w:r>
        <w:rPr>
          <w:rFonts w:eastAsia="仿宋_GB2312"/>
          <w:kern w:val="0"/>
          <w:sz w:val="30"/>
          <w:szCs w:val="32"/>
        </w:rPr>
        <w:t>接受发包人、监理人及政府安全监督部门的检查与监督。</w:t>
      </w:r>
    </w:p>
    <w:p w14:paraId="62DEA7A9">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承包人应当按照有关规定编制施工组织设计，施工组织设计中的安全技术措施或者专项施工方案应符合工程建设强制性标准，建立健全安全生产责任制，制定安全生产规章制度和操作规程，</w:t>
      </w:r>
    </w:p>
    <w:p w14:paraId="3FA4D45C">
      <w:pPr>
        <w:spacing w:line="360" w:lineRule="auto"/>
        <w:ind w:firstLine="600" w:firstLineChars="200"/>
        <w:rPr>
          <w:rFonts w:eastAsia="仿宋_GB2312"/>
          <w:sz w:val="30"/>
          <w:szCs w:val="32"/>
        </w:rPr>
      </w:pPr>
      <w:r>
        <w:rPr>
          <w:rFonts w:eastAsia="仿宋_GB2312"/>
          <w:sz w:val="30"/>
          <w:szCs w:val="32"/>
        </w:rPr>
        <w:t>6.1.3特别安全生产事项</w:t>
      </w:r>
    </w:p>
    <w:p w14:paraId="44CB5A4A">
      <w:pPr>
        <w:spacing w:line="360" w:lineRule="auto"/>
        <w:ind w:firstLine="600" w:firstLineChars="200"/>
        <w:rPr>
          <w:rFonts w:eastAsia="仿宋_GB2312"/>
          <w:sz w:val="30"/>
          <w:szCs w:val="32"/>
        </w:rPr>
      </w:pPr>
      <w:r>
        <w:rPr>
          <w:rFonts w:eastAsia="仿宋_GB2312"/>
          <w:sz w:val="30"/>
          <w:szCs w:val="32"/>
        </w:rPr>
        <w:t>承包人应按照法律规定进行施工，开工前做好安全技术交底工作，施工过程中做好各项安全防护措施。承包人为实施合同而雇用的特殊工种的人员应受过专门的培训并已取得政府有关管理机构颁发的上岗证书。</w:t>
      </w:r>
    </w:p>
    <w:p w14:paraId="07F78417">
      <w:pPr>
        <w:spacing w:line="360" w:lineRule="auto"/>
        <w:ind w:firstLine="600" w:firstLineChars="200"/>
        <w:rPr>
          <w:rFonts w:eastAsia="仿宋_GB2312"/>
          <w:sz w:val="30"/>
          <w:szCs w:val="32"/>
        </w:rPr>
      </w:pPr>
      <w:r>
        <w:rPr>
          <w:rFonts w:eastAsia="仿宋_GB2312"/>
          <w:sz w:val="30"/>
          <w:szCs w:val="32"/>
        </w:rPr>
        <w:t>承包人在动力设备、输电线路、地下管道、密封防震车间、易燃易爆地段以及临街交通要道附近施工时，施工开始前应向发包人和监理人提出安全防护措施，经发包人认可后实施。</w:t>
      </w:r>
    </w:p>
    <w:p w14:paraId="4A80E955">
      <w:pPr>
        <w:spacing w:line="360" w:lineRule="auto"/>
        <w:ind w:firstLine="600" w:firstLineChars="200"/>
        <w:rPr>
          <w:rFonts w:eastAsia="仿宋_GB2312"/>
          <w:sz w:val="30"/>
          <w:szCs w:val="32"/>
        </w:rPr>
      </w:pPr>
      <w:r>
        <w:rPr>
          <w:rFonts w:eastAsia="仿宋_GB2312"/>
          <w:sz w:val="30"/>
          <w:szCs w:val="32"/>
        </w:rPr>
        <w:t>实施爆破作业，在放射、毒害性环境中施工（含储存、运输、使用）及使用毒害性、腐蚀性物品施工时，承包人应在施工前7天以书面通知发包人和监理人，并报送相应的安全防护措施，经发包人认可后实施。</w:t>
      </w:r>
    </w:p>
    <w:p w14:paraId="3361EC30">
      <w:pPr>
        <w:spacing w:line="360" w:lineRule="auto"/>
        <w:ind w:firstLine="600" w:firstLineChars="200"/>
        <w:rPr>
          <w:rFonts w:eastAsia="仿宋_GB2312"/>
          <w:sz w:val="30"/>
          <w:szCs w:val="32"/>
        </w:rPr>
      </w:pPr>
      <w:r>
        <w:rPr>
          <w:rFonts w:eastAsia="仿宋_GB2312"/>
          <w:sz w:val="30"/>
          <w:szCs w:val="32"/>
        </w:rPr>
        <w:t>需单独编制危险性较大分部分项专项工程施工方案的，及要求进行专家论证的超过一定规模的危险性较大的分部分项工程，承包人应及时编制和组织论证。</w:t>
      </w:r>
    </w:p>
    <w:p w14:paraId="649DBF1F">
      <w:pPr>
        <w:spacing w:line="360" w:lineRule="auto"/>
        <w:ind w:firstLine="600" w:firstLineChars="200"/>
        <w:rPr>
          <w:rFonts w:eastAsia="仿宋_GB2312"/>
          <w:sz w:val="30"/>
          <w:szCs w:val="32"/>
        </w:rPr>
      </w:pPr>
      <w:r>
        <w:rPr>
          <w:rFonts w:eastAsia="仿宋_GB2312"/>
          <w:sz w:val="30"/>
          <w:szCs w:val="32"/>
        </w:rPr>
        <w:t>6.1.4治安保卫</w:t>
      </w:r>
    </w:p>
    <w:p w14:paraId="27CEAA0A">
      <w:pPr>
        <w:spacing w:line="360" w:lineRule="auto"/>
        <w:ind w:firstLine="600" w:firstLineChars="200"/>
        <w:rPr>
          <w:rFonts w:eastAsia="仿宋_GB2312"/>
          <w:sz w:val="30"/>
          <w:szCs w:val="32"/>
        </w:rPr>
      </w:pPr>
      <w:r>
        <w:rPr>
          <w:rFonts w:eastAsia="仿宋_GB2312"/>
          <w:sz w:val="30"/>
          <w:szCs w:val="32"/>
        </w:rPr>
        <w:t>除专用合同条款另有约定外，发包人应与当地公安部门协商，在现场建立治安管理机构或联防组织，统一管理施工场地的治安保卫事项，履行合同工程的治安保卫职责。</w:t>
      </w:r>
    </w:p>
    <w:p w14:paraId="09A848F3">
      <w:pPr>
        <w:spacing w:line="360" w:lineRule="auto"/>
        <w:ind w:firstLine="600" w:firstLineChars="200"/>
        <w:rPr>
          <w:rFonts w:eastAsia="仿宋_GB2312"/>
          <w:sz w:val="30"/>
          <w:szCs w:val="32"/>
        </w:rPr>
      </w:pPr>
      <w:r>
        <w:rPr>
          <w:rFonts w:eastAsia="仿宋_GB2312"/>
          <w:sz w:val="30"/>
          <w:szCs w:val="32"/>
        </w:rPr>
        <w:t>发包人和承包人除应协助现场治安管理机构或联防组织维护施工场地的社会治安外，还应做好包括生活区在内的各自管辖区的治安保卫工作。</w:t>
      </w:r>
    </w:p>
    <w:p w14:paraId="538E399C">
      <w:pPr>
        <w:spacing w:line="360" w:lineRule="auto"/>
        <w:ind w:firstLine="600" w:firstLineChars="200"/>
        <w:rPr>
          <w:rFonts w:eastAsia="仿宋_GB2312"/>
          <w:sz w:val="30"/>
          <w:szCs w:val="32"/>
        </w:rPr>
      </w:pPr>
      <w:r>
        <w:rPr>
          <w:rFonts w:eastAsia="仿宋_GB2312"/>
          <w:sz w:val="30"/>
          <w:szCs w:val="32"/>
        </w:rPr>
        <w:t>除专用合同条款另有约定外，发包人和承包人应在工程开工后7天内共同编制施工场地治安管理计划，并制定应对突发治安事件的紧急预案。在工程施工过程中，发生暴乱、爆炸等恐怖事件，以及群殴、械斗等群体性突发治安事件的，发包人和承包人应立即向当地政府报告。发包人和承包人应积极协助当地有关部门采取措施平息事态，防止事态扩大，尽量避免人员伤亡</w:t>
      </w:r>
      <w:r>
        <w:rPr>
          <w:rFonts w:hint="eastAsia" w:eastAsia="仿宋_GB2312"/>
          <w:sz w:val="30"/>
          <w:szCs w:val="32"/>
        </w:rPr>
        <w:t>和</w:t>
      </w:r>
      <w:r>
        <w:rPr>
          <w:rFonts w:eastAsia="仿宋_GB2312"/>
          <w:sz w:val="30"/>
          <w:szCs w:val="32"/>
        </w:rPr>
        <w:t>财产损失。</w:t>
      </w:r>
    </w:p>
    <w:p w14:paraId="776E182D">
      <w:pPr>
        <w:spacing w:line="360" w:lineRule="auto"/>
        <w:ind w:firstLine="600" w:firstLineChars="200"/>
        <w:rPr>
          <w:rFonts w:eastAsia="仿宋_GB2312"/>
          <w:kern w:val="0"/>
          <w:sz w:val="30"/>
          <w:szCs w:val="32"/>
        </w:rPr>
      </w:pPr>
      <w:r>
        <w:rPr>
          <w:rFonts w:eastAsia="仿宋_GB2312"/>
          <w:sz w:val="30"/>
          <w:szCs w:val="32"/>
        </w:rPr>
        <w:t>6.1.5文明施工</w:t>
      </w:r>
    </w:p>
    <w:p w14:paraId="1E5D5E7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承包人在工程施工期间，应当采取措施保持施工现场平整，物料堆放整齐。工程所在地有关政府行政管理部门有特殊要求的，按照其要求执行。</w:t>
      </w:r>
      <w:r>
        <w:rPr>
          <w:rFonts w:hint="eastAsia" w:eastAsia="仿宋_GB2312"/>
          <w:kern w:val="0"/>
          <w:sz w:val="30"/>
          <w:szCs w:val="32"/>
        </w:rPr>
        <w:t>合同当事人对文明施工有其他要求的，可以在专用合同条款中明确。</w:t>
      </w:r>
    </w:p>
    <w:p w14:paraId="4DC0FDE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在工程移交之前，承包人应当从施工现场清除承包人的全部工程设备、多余材料、垃圾和各种临时工程，并保持施工现场清洁整齐。经发包人书面同意，承包人可在发包人指定的地点保留承包人履行保修期内的各项义务所需要的材料、施工设备和临时工程。</w:t>
      </w:r>
    </w:p>
    <w:p w14:paraId="085A4DA2">
      <w:pPr>
        <w:spacing w:line="360" w:lineRule="auto"/>
        <w:ind w:firstLine="600" w:firstLineChars="200"/>
        <w:rPr>
          <w:rFonts w:eastAsia="仿宋_GB2312"/>
          <w:sz w:val="30"/>
          <w:szCs w:val="32"/>
        </w:rPr>
      </w:pPr>
      <w:r>
        <w:rPr>
          <w:rFonts w:eastAsia="仿宋_GB2312"/>
          <w:sz w:val="30"/>
          <w:szCs w:val="32"/>
        </w:rPr>
        <w:t>6.1.6安全文明施工费</w:t>
      </w:r>
    </w:p>
    <w:p w14:paraId="1B70B69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安全文明施工费由发包人承担，发包人不得以任何形式扣减该部分费用。因基准日期后合同所适用的法律或政府有关规定发生变化，增加的安全文明施工费由发包人承担。</w:t>
      </w:r>
    </w:p>
    <w:p w14:paraId="4B145A5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经发包人同意采取合同约定以外的安全措施所产生的费用，由发包人承担。未经发包人同意的，如果该措施避免了发包人的损失，则发包人在避免损失的额度内承担该措施费。如果该措施避免了承包人的损失，由承包人承担该措施费。</w:t>
      </w:r>
    </w:p>
    <w:p w14:paraId="63C54A1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发包人应在开工</w:t>
      </w:r>
      <w:r>
        <w:rPr>
          <w:rFonts w:hint="eastAsia" w:eastAsia="仿宋_GB2312"/>
          <w:kern w:val="0"/>
          <w:sz w:val="30"/>
          <w:szCs w:val="32"/>
        </w:rPr>
        <w:t>前，将安全文明施工费用一次性全额拨付给承包人，工程竣工结算时，根据结算造价对安全文明施工费用总额进行调整和结算。发包人拨付时应注明此项费用为安全文明施工费。</w:t>
      </w:r>
      <w:r>
        <w:rPr>
          <w:rFonts w:eastAsia="仿宋_GB2312"/>
          <w:kern w:val="0"/>
          <w:sz w:val="30"/>
          <w:szCs w:val="32"/>
        </w:rPr>
        <w:t>发包人逾期支付安全文明施工费超过7天的，承包人有权向发包人发出要求预付的催告通知，发包人收到通知后7天内仍未支付的，承包人有权暂停施工，并按第16.1.1项</w:t>
      </w:r>
      <w:r>
        <w:rPr>
          <w:rFonts w:hint="eastAsia" w:eastAsia="仿宋_GB2312"/>
          <w:kern w:val="0"/>
          <w:sz w:val="30"/>
          <w:szCs w:val="32"/>
        </w:rPr>
        <w:t>〔</w:t>
      </w:r>
      <w:r>
        <w:rPr>
          <w:rFonts w:eastAsia="仿宋_GB2312"/>
          <w:kern w:val="0"/>
          <w:sz w:val="30"/>
          <w:szCs w:val="32"/>
        </w:rPr>
        <w:t>发包人违约的情形</w:t>
      </w:r>
      <w:r>
        <w:rPr>
          <w:rFonts w:hint="eastAsia" w:eastAsia="仿宋_GB2312"/>
          <w:kern w:val="0"/>
          <w:sz w:val="30"/>
          <w:szCs w:val="32"/>
        </w:rPr>
        <w:t>〕</w:t>
      </w:r>
      <w:r>
        <w:rPr>
          <w:rFonts w:eastAsia="仿宋_GB2312"/>
          <w:kern w:val="0"/>
          <w:sz w:val="30"/>
          <w:szCs w:val="32"/>
        </w:rPr>
        <w:t>执行。</w:t>
      </w:r>
    </w:p>
    <w:p w14:paraId="26D5DEC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对安全文明施工费应专款专用，承包人应在财务账目中单独列项备查，不得挪作他用，否则发包人有权责令其限期改正；逾期未改正的，可以责令其暂停施工，由此增加的费用和（或）延误的工期由承包人承担。</w:t>
      </w:r>
    </w:p>
    <w:p w14:paraId="681816B6">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6.1.7安全文明施工创建目标</w:t>
      </w:r>
    </w:p>
    <w:p w14:paraId="487F4F01">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合同当事人可以在专用合同条款中约定安全文明施工创建目标。工程达到合同约定的安全文明施工创建目标时，按照达到的安全文明施工等次计取优质优价费用；未达到合同约定的安全文明施工创建目标时，按照实际获得的安全文明施工等次计取优质优价费用；合同当事人可以在专用合同条款中约定超出安全文明施工创建目标时的奖励及其他奖惩条款。</w:t>
      </w:r>
    </w:p>
    <w:p w14:paraId="079AF935">
      <w:pPr>
        <w:spacing w:line="360" w:lineRule="auto"/>
        <w:ind w:firstLine="600" w:firstLineChars="200"/>
        <w:jc w:val="left"/>
        <w:rPr>
          <w:rFonts w:eastAsia="仿宋_GB2312"/>
          <w:kern w:val="0"/>
          <w:sz w:val="30"/>
          <w:szCs w:val="32"/>
        </w:rPr>
      </w:pPr>
      <w:r>
        <w:rPr>
          <w:rFonts w:eastAsia="仿宋_GB2312"/>
          <w:kern w:val="0"/>
          <w:sz w:val="30"/>
          <w:szCs w:val="32"/>
        </w:rPr>
        <w:t>6.1.</w:t>
      </w:r>
      <w:r>
        <w:rPr>
          <w:rFonts w:hint="eastAsia" w:eastAsia="仿宋_GB2312"/>
          <w:kern w:val="0"/>
          <w:sz w:val="30"/>
          <w:szCs w:val="32"/>
        </w:rPr>
        <w:t>8</w:t>
      </w:r>
      <w:r>
        <w:rPr>
          <w:rFonts w:eastAsia="仿宋_GB2312"/>
          <w:kern w:val="0"/>
          <w:sz w:val="30"/>
          <w:szCs w:val="32"/>
        </w:rPr>
        <w:t>紧急情况</w:t>
      </w:r>
      <w:r>
        <w:rPr>
          <w:rFonts w:hint="eastAsia" w:eastAsia="仿宋_GB2312"/>
          <w:kern w:val="0"/>
          <w:sz w:val="30"/>
          <w:szCs w:val="32"/>
        </w:rPr>
        <w:t>处理</w:t>
      </w:r>
    </w:p>
    <w:p w14:paraId="792F8F79">
      <w:pPr>
        <w:spacing w:line="360" w:lineRule="auto"/>
        <w:ind w:firstLine="600" w:firstLineChars="200"/>
        <w:jc w:val="left"/>
        <w:rPr>
          <w:rFonts w:eastAsia="仿宋_GB2312"/>
          <w:kern w:val="0"/>
          <w:sz w:val="30"/>
          <w:szCs w:val="32"/>
        </w:rPr>
      </w:pPr>
      <w:r>
        <w:rPr>
          <w:rFonts w:eastAsia="仿宋_GB2312"/>
          <w:kern w:val="0"/>
          <w:sz w:val="30"/>
          <w:szCs w:val="32"/>
        </w:rPr>
        <w:t>在工程实施期间或缺陷责任期内发生危及工程安全的事件，监理人通知承包人进行抢救，承包人声明无能力或不愿立即执行的，发包人有权雇佣其他人员进行抢救。此类抢救按合同约定属于承包人义务的，由此增加的费用和（或）延误的工期由承包人承担。</w:t>
      </w:r>
    </w:p>
    <w:p w14:paraId="1E74C22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6.1.</w:t>
      </w:r>
      <w:r>
        <w:rPr>
          <w:rFonts w:hint="eastAsia" w:eastAsia="仿宋_GB2312"/>
          <w:kern w:val="0"/>
          <w:sz w:val="30"/>
          <w:szCs w:val="32"/>
        </w:rPr>
        <w:t>9</w:t>
      </w:r>
      <w:r>
        <w:rPr>
          <w:rFonts w:eastAsia="仿宋_GB2312"/>
          <w:kern w:val="0"/>
          <w:sz w:val="30"/>
          <w:szCs w:val="32"/>
        </w:rPr>
        <w:t>事故处理</w:t>
      </w:r>
    </w:p>
    <w:p w14:paraId="523A524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工程施工过程中发生事故的，承包人应立即通知监理人，监理人应立即通知发包人。发包人和承包人应立即组织人员和设备进行紧急抢救和抢修，减少人员伤亡和财产损失，防止事故扩大，并保护事故现场。需要移动现场物品时，应作出标记和书面记录，妥善保管有关证据。发包人和承包人应按国家有关规定，及时如实地向有关部门报告事故发生的情况，以及正在采取的紧急措施等。</w:t>
      </w:r>
    </w:p>
    <w:p w14:paraId="11CC5B8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6.1.</w:t>
      </w:r>
      <w:r>
        <w:rPr>
          <w:rFonts w:hint="eastAsia" w:eastAsia="仿宋_GB2312"/>
          <w:kern w:val="0"/>
          <w:sz w:val="30"/>
          <w:szCs w:val="32"/>
        </w:rPr>
        <w:t>10</w:t>
      </w:r>
      <w:r>
        <w:rPr>
          <w:rFonts w:eastAsia="仿宋_GB2312"/>
          <w:kern w:val="0"/>
          <w:sz w:val="30"/>
          <w:szCs w:val="32"/>
        </w:rPr>
        <w:t>安全生产责任</w:t>
      </w:r>
    </w:p>
    <w:p w14:paraId="660A56F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6.1.</w:t>
      </w:r>
      <w:r>
        <w:rPr>
          <w:rFonts w:hint="eastAsia" w:eastAsia="仿宋_GB2312"/>
          <w:kern w:val="0"/>
          <w:sz w:val="30"/>
          <w:szCs w:val="32"/>
        </w:rPr>
        <w:t>10</w:t>
      </w:r>
      <w:r>
        <w:rPr>
          <w:rFonts w:eastAsia="仿宋_GB2312"/>
          <w:kern w:val="0"/>
          <w:sz w:val="30"/>
          <w:szCs w:val="32"/>
        </w:rPr>
        <w:t>.1发包人的安全责任</w:t>
      </w:r>
    </w:p>
    <w:p w14:paraId="1DDA5B26">
      <w:pPr>
        <w:spacing w:line="360" w:lineRule="auto"/>
        <w:ind w:firstLine="600" w:firstLineChars="200"/>
        <w:rPr>
          <w:rFonts w:eastAsia="仿宋_GB2312"/>
          <w:sz w:val="30"/>
          <w:szCs w:val="32"/>
        </w:rPr>
      </w:pPr>
      <w:r>
        <w:rPr>
          <w:rFonts w:eastAsia="仿宋_GB2312"/>
          <w:sz w:val="30"/>
          <w:szCs w:val="32"/>
        </w:rPr>
        <w:t>发包人应负责赔偿以下各种情况造成</w:t>
      </w:r>
      <w:r>
        <w:rPr>
          <w:rFonts w:hint="eastAsia" w:eastAsia="仿宋_GB2312"/>
          <w:sz w:val="30"/>
          <w:szCs w:val="32"/>
        </w:rPr>
        <w:t>的</w:t>
      </w:r>
      <w:r>
        <w:rPr>
          <w:rFonts w:eastAsia="仿宋_GB2312"/>
          <w:sz w:val="30"/>
          <w:szCs w:val="32"/>
        </w:rPr>
        <w:t>损失：</w:t>
      </w:r>
    </w:p>
    <w:p w14:paraId="15D38A55">
      <w:pPr>
        <w:spacing w:line="360" w:lineRule="auto"/>
        <w:ind w:firstLine="600" w:firstLineChars="200"/>
        <w:rPr>
          <w:rFonts w:eastAsia="仿宋_GB2312"/>
          <w:sz w:val="30"/>
          <w:szCs w:val="32"/>
        </w:rPr>
      </w:pPr>
      <w:r>
        <w:rPr>
          <w:rFonts w:eastAsia="仿宋_GB2312"/>
          <w:sz w:val="30"/>
          <w:szCs w:val="32"/>
        </w:rPr>
        <w:t>（1）工程或工程的任何部分对土地的占用所造成的第三者财产损失；</w:t>
      </w:r>
    </w:p>
    <w:p w14:paraId="686B16E9">
      <w:pPr>
        <w:spacing w:line="360" w:lineRule="auto"/>
        <w:ind w:firstLine="600" w:firstLineChars="200"/>
        <w:rPr>
          <w:rFonts w:eastAsia="仿宋_GB2312"/>
          <w:sz w:val="30"/>
          <w:szCs w:val="32"/>
        </w:rPr>
      </w:pPr>
      <w:r>
        <w:rPr>
          <w:rFonts w:eastAsia="仿宋_GB2312"/>
          <w:sz w:val="30"/>
          <w:szCs w:val="32"/>
        </w:rPr>
        <w:t>（2）由于发包人原因在施工场地及其毗邻地带造成的第三者人身伤亡和财产损失</w:t>
      </w:r>
      <w:r>
        <w:rPr>
          <w:rFonts w:hint="eastAsia" w:eastAsia="仿宋_GB2312"/>
          <w:sz w:val="30"/>
          <w:szCs w:val="32"/>
        </w:rPr>
        <w:t>；</w:t>
      </w:r>
    </w:p>
    <w:p w14:paraId="7DD4F0CC">
      <w:pPr>
        <w:spacing w:line="360" w:lineRule="auto"/>
        <w:ind w:firstLine="600" w:firstLineChars="200"/>
        <w:rPr>
          <w:rFonts w:eastAsia="仿宋_GB2312"/>
          <w:sz w:val="30"/>
          <w:szCs w:val="32"/>
        </w:rPr>
      </w:pPr>
      <w:r>
        <w:rPr>
          <w:rFonts w:hint="eastAsia" w:eastAsia="仿宋_GB2312"/>
          <w:sz w:val="30"/>
          <w:szCs w:val="32"/>
        </w:rPr>
        <w:t>（3）由于发包人原因对承包人、监理人造成的人员人身伤亡和财产损失；</w:t>
      </w:r>
    </w:p>
    <w:p w14:paraId="251206A9">
      <w:pPr>
        <w:spacing w:line="360" w:lineRule="auto"/>
        <w:ind w:firstLine="600" w:firstLineChars="200"/>
        <w:rPr>
          <w:rFonts w:eastAsia="仿宋_GB2312"/>
          <w:sz w:val="30"/>
          <w:szCs w:val="32"/>
        </w:rPr>
      </w:pPr>
      <w:r>
        <w:rPr>
          <w:rFonts w:hint="eastAsia" w:eastAsia="仿宋_GB2312"/>
          <w:sz w:val="30"/>
          <w:szCs w:val="32"/>
        </w:rPr>
        <w:t>（4）由于发包人原因造成的发包人自身人员的人身伤害以及财产损失。</w:t>
      </w:r>
    </w:p>
    <w:p w14:paraId="15724E7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6.1.</w:t>
      </w:r>
      <w:r>
        <w:rPr>
          <w:rFonts w:hint="eastAsia" w:eastAsia="仿宋_GB2312"/>
          <w:kern w:val="0"/>
          <w:sz w:val="30"/>
          <w:szCs w:val="32"/>
        </w:rPr>
        <w:t>10</w:t>
      </w:r>
      <w:r>
        <w:rPr>
          <w:rFonts w:eastAsia="仿宋_GB2312"/>
          <w:kern w:val="0"/>
          <w:sz w:val="30"/>
          <w:szCs w:val="32"/>
        </w:rPr>
        <w:t>.2承包人的安全责任</w:t>
      </w:r>
    </w:p>
    <w:p w14:paraId="1D782483">
      <w:pPr>
        <w:spacing w:line="360" w:lineRule="auto"/>
        <w:ind w:firstLine="600" w:firstLineChars="200"/>
        <w:rPr>
          <w:rFonts w:eastAsia="仿宋_GB2312"/>
          <w:kern w:val="0"/>
          <w:sz w:val="30"/>
          <w:szCs w:val="32"/>
        </w:rPr>
      </w:pPr>
      <w:r>
        <w:rPr>
          <w:rFonts w:eastAsia="仿宋_GB2312"/>
          <w:sz w:val="30"/>
          <w:szCs w:val="32"/>
        </w:rPr>
        <w:t>由于承包人原因在施工场地内及其毗邻地带造成的</w:t>
      </w:r>
      <w:r>
        <w:rPr>
          <w:rFonts w:hint="eastAsia" w:eastAsia="仿宋_GB2312"/>
          <w:sz w:val="30"/>
          <w:szCs w:val="32"/>
        </w:rPr>
        <w:t>发包人、监理人以及</w:t>
      </w:r>
      <w:r>
        <w:rPr>
          <w:rFonts w:eastAsia="仿宋_GB2312"/>
          <w:sz w:val="30"/>
          <w:szCs w:val="32"/>
        </w:rPr>
        <w:t>第三者人员伤亡和财产损失，由承包人负责赔偿。</w:t>
      </w:r>
    </w:p>
    <w:p w14:paraId="48DFCCDD">
      <w:pPr>
        <w:pStyle w:val="9"/>
        <w:spacing w:before="120" w:after="120" w:line="360" w:lineRule="auto"/>
        <w:ind w:firstLine="600" w:firstLineChars="200"/>
        <w:rPr>
          <w:rFonts w:eastAsia="黑体"/>
          <w:b w:val="0"/>
          <w:i w:val="0"/>
          <w:iCs w:val="0"/>
          <w:sz w:val="30"/>
          <w:szCs w:val="32"/>
        </w:rPr>
      </w:pPr>
      <w:bookmarkStart w:id="344" w:name="_Toc351203540"/>
      <w:r>
        <w:rPr>
          <w:rFonts w:eastAsia="黑体"/>
          <w:b w:val="0"/>
          <w:i w:val="0"/>
          <w:iCs w:val="0"/>
          <w:sz w:val="30"/>
          <w:szCs w:val="32"/>
        </w:rPr>
        <w:t>6</w:t>
      </w:r>
      <w:bookmarkStart w:id="345" w:name="_Toc337558765"/>
      <w:r>
        <w:rPr>
          <w:rFonts w:eastAsia="黑体"/>
          <w:b w:val="0"/>
          <w:i w:val="0"/>
          <w:iCs w:val="0"/>
          <w:sz w:val="30"/>
          <w:szCs w:val="32"/>
        </w:rPr>
        <w:t>.2职业健康</w:t>
      </w:r>
      <w:bookmarkEnd w:id="344"/>
    </w:p>
    <w:bookmarkEnd w:id="345"/>
    <w:p w14:paraId="4DD107F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6.2.1劳动保护</w:t>
      </w:r>
    </w:p>
    <w:p w14:paraId="31261B4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按照法律规定安排现场施工人员的劳动和休息时间，保障劳动者的休息时间，并支付合理的报酬和费用。承包人应依法为其履行合同所雇用的人员办理必要的证件、许可、保险和注册等，承包人应督促其分包人为分包人所雇用的人员办理必要的证件、许可、保险和注册等。</w:t>
      </w:r>
    </w:p>
    <w:p w14:paraId="38588C2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承包人应按照法律规定保障现场施工人员的劳动安全，并提供劳动保护,并应按国家有关劳动保护的规定，采取有效的防止粉尘、降低噪声、控制有害气体和保障高温、高寒、高</w:t>
      </w:r>
      <w:r>
        <w:rPr>
          <w:rFonts w:hint="eastAsia" w:eastAsia="仿宋_GB2312"/>
          <w:kern w:val="0"/>
          <w:sz w:val="30"/>
          <w:szCs w:val="32"/>
        </w:rPr>
        <w:t>处</w:t>
      </w:r>
      <w:r>
        <w:rPr>
          <w:rFonts w:eastAsia="仿宋_GB2312"/>
          <w:kern w:val="0"/>
          <w:sz w:val="30"/>
          <w:szCs w:val="32"/>
        </w:rPr>
        <w:t>作业安全等劳动保护措施。承包人雇佣人员在施工中受到伤害的，承包人应立即采取有效措施进行抢救和治疗。</w:t>
      </w:r>
    </w:p>
    <w:p w14:paraId="6175045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承包人应按</w:t>
      </w:r>
      <w:r>
        <w:rPr>
          <w:rFonts w:hint="eastAsia" w:eastAsia="仿宋_GB2312"/>
          <w:kern w:val="0"/>
          <w:sz w:val="30"/>
          <w:szCs w:val="32"/>
        </w:rPr>
        <w:t>法律</w:t>
      </w:r>
      <w:r>
        <w:rPr>
          <w:rFonts w:eastAsia="仿宋_GB2312"/>
          <w:kern w:val="0"/>
          <w:sz w:val="30"/>
          <w:szCs w:val="32"/>
        </w:rPr>
        <w:t>规定安排工作时间，保证其雇佣人员享有休息和休假的权利。因工程施工的特殊需要占用休假日或延长工作时间的，应不超过法律规定的限度，并按法律规定给予补休或付酬。</w:t>
      </w:r>
    </w:p>
    <w:p w14:paraId="6DBEE11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6.2.2生活条件</w:t>
      </w:r>
    </w:p>
    <w:p w14:paraId="0566BD4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承包人应为其履行合同所雇用的人员提供必要的膳宿条件和生活环境；承包人应采取有效措施预防传染病，保证施工人员的健康，并定期对施工现场、施工人员生活基地和工程进行防疫和卫生的专业检查和处理</w:t>
      </w:r>
      <w:r>
        <w:rPr>
          <w:rFonts w:hint="eastAsia" w:eastAsia="仿宋_GB2312"/>
          <w:kern w:val="0"/>
          <w:sz w:val="30"/>
          <w:szCs w:val="32"/>
        </w:rPr>
        <w:t>，</w:t>
      </w:r>
      <w:r>
        <w:rPr>
          <w:rFonts w:eastAsia="仿宋_GB2312"/>
          <w:kern w:val="0"/>
          <w:sz w:val="30"/>
          <w:szCs w:val="32"/>
        </w:rPr>
        <w:t>在远离城镇的施工场地，还应配备必要的伤病防治和急救的医务人员与医疗设施。</w:t>
      </w:r>
    </w:p>
    <w:p w14:paraId="7520A57F">
      <w:pPr>
        <w:pStyle w:val="9"/>
        <w:spacing w:before="120" w:after="120" w:line="360" w:lineRule="auto"/>
        <w:ind w:firstLine="600" w:firstLineChars="200"/>
        <w:rPr>
          <w:rFonts w:eastAsia="黑体"/>
          <w:b w:val="0"/>
          <w:i w:val="0"/>
          <w:iCs w:val="0"/>
          <w:sz w:val="30"/>
          <w:szCs w:val="32"/>
        </w:rPr>
      </w:pPr>
      <w:bookmarkStart w:id="346" w:name="_Toc351203541"/>
      <w:r>
        <w:rPr>
          <w:rFonts w:eastAsia="黑体"/>
          <w:b w:val="0"/>
          <w:i w:val="0"/>
          <w:iCs w:val="0"/>
          <w:sz w:val="30"/>
          <w:szCs w:val="32"/>
        </w:rPr>
        <w:t>6</w:t>
      </w:r>
      <w:bookmarkStart w:id="347" w:name="_Toc337558766"/>
      <w:r>
        <w:rPr>
          <w:rFonts w:eastAsia="黑体"/>
          <w:b w:val="0"/>
          <w:i w:val="0"/>
          <w:iCs w:val="0"/>
          <w:sz w:val="30"/>
          <w:szCs w:val="32"/>
        </w:rPr>
        <w:t>.3环境保护</w:t>
      </w:r>
      <w:bookmarkEnd w:id="346"/>
    </w:p>
    <w:bookmarkEnd w:id="347"/>
    <w:p w14:paraId="1042D4A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承包人应在施工组织设计中列明环境保护的具体措施。在合同履行期间，承包人应采取合理措施保护施工现场环境。对施工作业过程中可能引起的大气、水、噪音以及固体废物污染采取具体可行的防范措施。</w:t>
      </w:r>
    </w:p>
    <w:p w14:paraId="2D1936D9">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bCs/>
          <w:sz w:val="30"/>
          <w:szCs w:val="30"/>
        </w:rPr>
        <w:t>发包人和承包人应按照政府行政管理部门要求，落实扬尘污染控制措施、落实渣土车运输管控措施。不得将渣土运输承包给个人或未获得渣土运输市场准入资格的企业；在非道路移动机械低排放控制区内，承包人应使用国三及以上排放标准的非道路移动机械。</w:t>
      </w:r>
    </w:p>
    <w:p w14:paraId="7E13D71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承包人应当承担因其原因引起的环境污染侵权损害赔偿责任，因上述环境污染引起纠纷而导致暂停施工的，由此增加的费用和（或）延误的工期由承包人承担。</w:t>
      </w:r>
    </w:p>
    <w:p w14:paraId="6E2548B2">
      <w:pPr>
        <w:pStyle w:val="8"/>
        <w:spacing w:before="120" w:after="120" w:line="360" w:lineRule="auto"/>
        <w:rPr>
          <w:rFonts w:ascii="Times New Roman" w:hAnsi="Times New Roman" w:eastAsia="黑体"/>
          <w:b w:val="0"/>
          <w:sz w:val="32"/>
          <w:szCs w:val="32"/>
        </w:rPr>
      </w:pPr>
      <w:bookmarkStart w:id="348" w:name="_Toc351203542"/>
      <w:r>
        <w:rPr>
          <w:rFonts w:ascii="Times New Roman" w:hAnsi="Times New Roman" w:eastAsia="黑体"/>
          <w:b w:val="0"/>
          <w:sz w:val="32"/>
          <w:szCs w:val="32"/>
        </w:rPr>
        <w:t>7</w:t>
      </w:r>
      <w:bookmarkStart w:id="349" w:name="_Toc337558767"/>
      <w:r>
        <w:rPr>
          <w:rFonts w:ascii="Times New Roman" w:hAnsi="Times New Roman" w:eastAsia="黑体"/>
          <w:b w:val="0"/>
          <w:sz w:val="32"/>
          <w:szCs w:val="32"/>
        </w:rPr>
        <w:t>.工期和进度</w:t>
      </w:r>
      <w:bookmarkEnd w:id="348"/>
    </w:p>
    <w:bookmarkEnd w:id="349"/>
    <w:p w14:paraId="7ACE172E">
      <w:pPr>
        <w:pStyle w:val="9"/>
        <w:spacing w:before="120" w:after="120" w:line="360" w:lineRule="auto"/>
        <w:ind w:firstLine="600" w:firstLineChars="200"/>
        <w:rPr>
          <w:rFonts w:eastAsia="黑体"/>
          <w:b w:val="0"/>
          <w:i w:val="0"/>
          <w:iCs w:val="0"/>
          <w:sz w:val="30"/>
          <w:szCs w:val="32"/>
        </w:rPr>
      </w:pPr>
      <w:bookmarkStart w:id="350" w:name="_Toc351203543"/>
      <w:r>
        <w:rPr>
          <w:rFonts w:eastAsia="黑体"/>
          <w:b w:val="0"/>
          <w:i w:val="0"/>
          <w:iCs w:val="0"/>
          <w:sz w:val="30"/>
          <w:szCs w:val="32"/>
        </w:rPr>
        <w:t>7</w:t>
      </w:r>
      <w:bookmarkStart w:id="351" w:name="_Toc337558768"/>
      <w:bookmarkStart w:id="352" w:name="_Toc296346567"/>
      <w:bookmarkStart w:id="353" w:name="_Toc296503066"/>
      <w:r>
        <w:rPr>
          <w:rFonts w:eastAsia="黑体"/>
          <w:b w:val="0"/>
          <w:i w:val="0"/>
          <w:iCs w:val="0"/>
          <w:sz w:val="30"/>
          <w:szCs w:val="32"/>
        </w:rPr>
        <w:t>.1施工组织设计</w:t>
      </w:r>
      <w:bookmarkEnd w:id="350"/>
    </w:p>
    <w:bookmarkEnd w:id="351"/>
    <w:p w14:paraId="5004F394">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7.1.1</w:t>
      </w:r>
      <w:r>
        <w:rPr>
          <w:rFonts w:eastAsia="仿宋_GB2312"/>
          <w:kern w:val="0"/>
          <w:sz w:val="30"/>
          <w:szCs w:val="32"/>
        </w:rPr>
        <w:t>施工组织设计的内容</w:t>
      </w:r>
    </w:p>
    <w:p w14:paraId="2A27C39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施工组织设计应包含以下内容：</w:t>
      </w:r>
    </w:p>
    <w:p w14:paraId="735DE54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 xml:space="preserve">（1）施工方案； </w:t>
      </w:r>
    </w:p>
    <w:p w14:paraId="285507D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（2）施工现场平面布置图；</w:t>
      </w:r>
    </w:p>
    <w:p w14:paraId="1B24A63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 xml:space="preserve">（3）施工进度计划和保证措施； </w:t>
      </w:r>
    </w:p>
    <w:p w14:paraId="6842175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（4）劳动力及材料供应计划；</w:t>
      </w:r>
    </w:p>
    <w:p w14:paraId="43FEF7F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（5）施工机械设备的选用；</w:t>
      </w:r>
    </w:p>
    <w:p w14:paraId="34C2389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（6）质量保证体系及措施；</w:t>
      </w:r>
    </w:p>
    <w:p w14:paraId="6065DE6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（7）安全生产、文明施工措施；</w:t>
      </w:r>
    </w:p>
    <w:p w14:paraId="251019E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（8）环境保护、成本控制措施</w:t>
      </w:r>
      <w:r>
        <w:rPr>
          <w:rFonts w:hint="eastAsia" w:eastAsia="仿宋_GB2312"/>
          <w:kern w:val="0"/>
          <w:sz w:val="30"/>
          <w:szCs w:val="32"/>
        </w:rPr>
        <w:t>；</w:t>
      </w:r>
    </w:p>
    <w:p w14:paraId="0A18E957">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（9）合同当事人约定的其他内容</w:t>
      </w:r>
      <w:r>
        <w:rPr>
          <w:rFonts w:eastAsia="仿宋_GB2312"/>
          <w:kern w:val="0"/>
          <w:sz w:val="30"/>
          <w:szCs w:val="32"/>
        </w:rPr>
        <w:t>。</w:t>
      </w:r>
    </w:p>
    <w:p w14:paraId="20223DDC">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7.1.2</w:t>
      </w:r>
      <w:r>
        <w:rPr>
          <w:rFonts w:eastAsia="仿宋_GB2312"/>
          <w:kern w:val="0"/>
          <w:sz w:val="30"/>
          <w:szCs w:val="32"/>
        </w:rPr>
        <w:t>施工组织设计的提交和修改</w:t>
      </w:r>
    </w:p>
    <w:p w14:paraId="036DC02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除专用合同条款另有约定外，承包人应在合同签订后14天内，但至迟不得晚于第7.3.2项</w:t>
      </w:r>
      <w:r>
        <w:rPr>
          <w:rFonts w:hint="eastAsia" w:eastAsia="仿宋_GB2312"/>
          <w:kern w:val="0"/>
          <w:sz w:val="30"/>
          <w:szCs w:val="32"/>
        </w:rPr>
        <w:t>〔</w:t>
      </w:r>
      <w:r>
        <w:rPr>
          <w:rFonts w:eastAsia="仿宋_GB2312"/>
          <w:kern w:val="0"/>
          <w:sz w:val="30"/>
          <w:szCs w:val="32"/>
        </w:rPr>
        <w:t>开工通知</w:t>
      </w:r>
      <w:r>
        <w:rPr>
          <w:rFonts w:hint="eastAsia" w:eastAsia="仿宋_GB2312"/>
          <w:kern w:val="0"/>
          <w:sz w:val="30"/>
          <w:szCs w:val="32"/>
        </w:rPr>
        <w:t>〕</w:t>
      </w:r>
      <w:r>
        <w:rPr>
          <w:rFonts w:eastAsia="仿宋_GB2312"/>
          <w:kern w:val="0"/>
          <w:sz w:val="30"/>
          <w:szCs w:val="32"/>
        </w:rPr>
        <w:t>载明的开工日期前7天，向监理人提交详细的施工组织设计，并由监理人报送发包人。</w:t>
      </w:r>
      <w:r>
        <w:rPr>
          <w:rFonts w:hint="eastAsia" w:eastAsia="仿宋_GB2312"/>
          <w:kern w:val="0"/>
          <w:sz w:val="30"/>
          <w:szCs w:val="32"/>
        </w:rPr>
        <w:t>除专用合同条款另有约定外，发包人和监理人应在监理人收到施工组织设计后7天内确认或提出修改意见</w:t>
      </w:r>
      <w:r>
        <w:rPr>
          <w:rFonts w:eastAsia="仿宋_GB2312"/>
          <w:kern w:val="0"/>
          <w:sz w:val="30"/>
          <w:szCs w:val="32"/>
        </w:rPr>
        <w:t>。对发包人和监理人提出的合理意见和要求，承包人应自费修改完善。根据工程实际情况需要修改施工组织设计的，承包人应向发包人和监理人提交修改后的施工组织设计。</w:t>
      </w:r>
    </w:p>
    <w:p w14:paraId="7E72184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施工进度计划的编制和修改按照第7.2款</w:t>
      </w:r>
      <w:r>
        <w:rPr>
          <w:rFonts w:hint="eastAsia" w:eastAsia="仿宋_GB2312"/>
          <w:kern w:val="0"/>
          <w:sz w:val="30"/>
          <w:szCs w:val="32"/>
        </w:rPr>
        <w:t>〔</w:t>
      </w:r>
      <w:r>
        <w:rPr>
          <w:rFonts w:eastAsia="仿宋_GB2312"/>
          <w:kern w:val="0"/>
          <w:sz w:val="30"/>
          <w:szCs w:val="32"/>
        </w:rPr>
        <w:t>施工进度计划</w:t>
      </w:r>
      <w:r>
        <w:rPr>
          <w:rFonts w:hint="eastAsia" w:eastAsia="仿宋_GB2312"/>
          <w:kern w:val="0"/>
          <w:sz w:val="30"/>
          <w:szCs w:val="32"/>
        </w:rPr>
        <w:t>〕</w:t>
      </w:r>
      <w:r>
        <w:rPr>
          <w:rFonts w:eastAsia="仿宋_GB2312"/>
          <w:kern w:val="0"/>
          <w:sz w:val="30"/>
          <w:szCs w:val="32"/>
        </w:rPr>
        <w:t>执行。</w:t>
      </w:r>
    </w:p>
    <w:p w14:paraId="4172CDB0">
      <w:pPr>
        <w:pStyle w:val="9"/>
        <w:spacing w:before="120" w:after="120" w:line="360" w:lineRule="auto"/>
        <w:ind w:firstLine="600" w:firstLineChars="200"/>
        <w:rPr>
          <w:rFonts w:eastAsia="黑体"/>
          <w:b w:val="0"/>
          <w:i w:val="0"/>
          <w:iCs w:val="0"/>
          <w:sz w:val="30"/>
          <w:szCs w:val="32"/>
        </w:rPr>
      </w:pPr>
      <w:bookmarkStart w:id="354" w:name="_Toc351203544"/>
      <w:r>
        <w:rPr>
          <w:rFonts w:eastAsia="黑体"/>
          <w:b w:val="0"/>
          <w:i w:val="0"/>
          <w:iCs w:val="0"/>
          <w:sz w:val="30"/>
          <w:szCs w:val="32"/>
        </w:rPr>
        <w:t>7</w:t>
      </w:r>
      <w:bookmarkStart w:id="355" w:name="_Toc337558769"/>
      <w:r>
        <w:rPr>
          <w:rFonts w:eastAsia="黑体"/>
          <w:b w:val="0"/>
          <w:i w:val="0"/>
          <w:iCs w:val="0"/>
          <w:sz w:val="30"/>
          <w:szCs w:val="32"/>
        </w:rPr>
        <w:t>.2施工进度计划</w:t>
      </w:r>
      <w:bookmarkEnd w:id="354"/>
    </w:p>
    <w:bookmarkEnd w:id="355"/>
    <w:p w14:paraId="642D0E8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7.2.1施工进度计划的编制</w:t>
      </w:r>
    </w:p>
    <w:p w14:paraId="5EC29CB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承包人应按照第7.1款</w:t>
      </w:r>
      <w:r>
        <w:rPr>
          <w:rFonts w:hint="eastAsia" w:eastAsia="仿宋_GB2312"/>
          <w:kern w:val="0"/>
          <w:sz w:val="30"/>
          <w:szCs w:val="32"/>
        </w:rPr>
        <w:t>〔</w:t>
      </w:r>
      <w:r>
        <w:rPr>
          <w:rFonts w:eastAsia="仿宋_GB2312"/>
          <w:kern w:val="0"/>
          <w:sz w:val="30"/>
          <w:szCs w:val="32"/>
        </w:rPr>
        <w:t>施工组织设计</w:t>
      </w:r>
      <w:r>
        <w:rPr>
          <w:rFonts w:hint="eastAsia" w:eastAsia="仿宋_GB2312"/>
          <w:kern w:val="0"/>
          <w:sz w:val="30"/>
          <w:szCs w:val="32"/>
        </w:rPr>
        <w:t>〕</w:t>
      </w:r>
      <w:r>
        <w:rPr>
          <w:rFonts w:eastAsia="仿宋_GB2312"/>
          <w:kern w:val="0"/>
          <w:sz w:val="30"/>
          <w:szCs w:val="32"/>
        </w:rPr>
        <w:t>约定提交详细的施工进度计划，施工进度计划的编制应当符合国家法律规定和一般工程实践惯例，施工进度计划经发包人批准后实施。施工进度计划是控制工程进度的依据，发包人和监理人有权按照施工进度计划检查工程进度情况。</w:t>
      </w:r>
    </w:p>
    <w:p w14:paraId="7B4E67BB">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7.2.2施工进度计划的修订</w:t>
      </w:r>
    </w:p>
    <w:p w14:paraId="46ED1EF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施工进度计划不符合合同要求或与工程的实际进度不一致的，承包人应向监理人提交修订的施工进度计划，并附具有关措施和相关资料，由监理人报送发包人。除专用合同条款另有约定外，发包人和监理人应在收到修订的施工进度计划后7天内完成审核和批准或提出修改意见。发包人和监理人对承包人提交的施工进度计划的确认，不能减轻或免除承包人根据法律规定和合同约定应承担的任何责任或义务。</w:t>
      </w:r>
    </w:p>
    <w:p w14:paraId="7248D833">
      <w:pPr>
        <w:pStyle w:val="9"/>
        <w:spacing w:before="120" w:after="120" w:line="360" w:lineRule="auto"/>
        <w:ind w:firstLine="600" w:firstLineChars="200"/>
        <w:rPr>
          <w:rFonts w:eastAsia="黑体"/>
          <w:b w:val="0"/>
          <w:i w:val="0"/>
          <w:iCs w:val="0"/>
          <w:sz w:val="30"/>
          <w:szCs w:val="32"/>
        </w:rPr>
      </w:pPr>
      <w:bookmarkStart w:id="356" w:name="_Toc351203545"/>
      <w:r>
        <w:rPr>
          <w:rFonts w:eastAsia="黑体"/>
          <w:b w:val="0"/>
          <w:i w:val="0"/>
          <w:iCs w:val="0"/>
          <w:sz w:val="30"/>
          <w:szCs w:val="32"/>
        </w:rPr>
        <w:t>7</w:t>
      </w:r>
      <w:bookmarkStart w:id="357" w:name="_Toc337558770"/>
      <w:r>
        <w:rPr>
          <w:rFonts w:eastAsia="黑体"/>
          <w:b w:val="0"/>
          <w:i w:val="0"/>
          <w:iCs w:val="0"/>
          <w:sz w:val="30"/>
          <w:szCs w:val="32"/>
        </w:rPr>
        <w:t>.3开工</w:t>
      </w:r>
      <w:bookmarkEnd w:id="356"/>
    </w:p>
    <w:p w14:paraId="3FB9EFF8">
      <w:pPr>
        <w:spacing w:line="360" w:lineRule="auto"/>
        <w:ind w:firstLine="600" w:firstLineChars="200"/>
        <w:rPr>
          <w:rFonts w:eastAsia="仿宋_GB2312"/>
          <w:sz w:val="30"/>
          <w:szCs w:val="32"/>
        </w:rPr>
      </w:pPr>
      <w:r>
        <w:rPr>
          <w:rFonts w:eastAsia="仿宋_GB2312"/>
          <w:kern w:val="0"/>
          <w:sz w:val="30"/>
          <w:szCs w:val="32"/>
        </w:rPr>
        <w:t>7.3.1开工准备</w:t>
      </w:r>
    </w:p>
    <w:p w14:paraId="5A8954DF">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除专用合同条款另有约定外，承包人应按照第7.1款</w:t>
      </w:r>
      <w:r>
        <w:rPr>
          <w:rFonts w:hint="eastAsia" w:eastAsia="仿宋_GB2312"/>
          <w:kern w:val="0"/>
          <w:sz w:val="30"/>
          <w:szCs w:val="32"/>
        </w:rPr>
        <w:t>〔</w:t>
      </w:r>
      <w:r>
        <w:rPr>
          <w:rFonts w:eastAsia="仿宋_GB2312"/>
          <w:kern w:val="0"/>
          <w:sz w:val="30"/>
          <w:szCs w:val="32"/>
        </w:rPr>
        <w:t>施工组织设计</w:t>
      </w:r>
      <w:r>
        <w:rPr>
          <w:rFonts w:hint="eastAsia" w:eastAsia="仿宋_GB2312"/>
          <w:kern w:val="0"/>
          <w:sz w:val="30"/>
          <w:szCs w:val="32"/>
        </w:rPr>
        <w:t>〕</w:t>
      </w:r>
      <w:r>
        <w:rPr>
          <w:rFonts w:eastAsia="仿宋_GB2312"/>
          <w:kern w:val="0"/>
          <w:sz w:val="30"/>
          <w:szCs w:val="32"/>
        </w:rPr>
        <w:t>约定的期限，向监理人提交工程开工报审表，经监理人报发包人批准后执行。开工报审表应详细说明按施工进度计划正常施工所需的施工道路、临时设施、材料、工程设备、施工设备、施工人员等落实情况以及工程的进度安排。</w:t>
      </w:r>
    </w:p>
    <w:p w14:paraId="2FAB92CB">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除专用合同条款另有约定外，合同当事人应按约定完成开工准备工作。</w:t>
      </w:r>
    </w:p>
    <w:p w14:paraId="4F0B7BD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7.3.2开工通知</w:t>
      </w:r>
    </w:p>
    <w:bookmarkEnd w:id="357"/>
    <w:p w14:paraId="624C2D3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发包人应按照法律规定获得工程施工所需的许可。经发包人同意后，监理人发出的开工通知应符合法律规定。监理人应在计划开工日期7天前向承包人发出开工通知，工期自开工通知中载明的开工日期起算。</w:t>
      </w:r>
    </w:p>
    <w:p w14:paraId="15E9AB37">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因发包人原因造成监理人未能在计划开工日期之日起90天内发出开工通知的，承包人有权提出价格调整要求，或者解除合同。发包人应当承担由此增加的费用和（或）延误的工期，并向承包人支付合理利润。</w:t>
      </w:r>
    </w:p>
    <w:p w14:paraId="69405FF8">
      <w:pPr>
        <w:pStyle w:val="9"/>
        <w:spacing w:before="120" w:after="120" w:line="360" w:lineRule="auto"/>
        <w:ind w:firstLine="600" w:firstLineChars="200"/>
        <w:rPr>
          <w:rFonts w:eastAsia="黑体"/>
          <w:b w:val="0"/>
          <w:i w:val="0"/>
          <w:iCs w:val="0"/>
          <w:sz w:val="30"/>
          <w:szCs w:val="32"/>
        </w:rPr>
      </w:pPr>
      <w:bookmarkStart w:id="358" w:name="_Toc351203546"/>
      <w:r>
        <w:rPr>
          <w:rFonts w:eastAsia="黑体"/>
          <w:b w:val="0"/>
          <w:i w:val="0"/>
          <w:iCs w:val="0"/>
          <w:sz w:val="30"/>
          <w:szCs w:val="32"/>
        </w:rPr>
        <w:t>7.4测量放线</w:t>
      </w:r>
      <w:bookmarkEnd w:id="358"/>
    </w:p>
    <w:p w14:paraId="51C248D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7.4.1除专用合同条款另有约定外，发包人应在至迟不得晚于第7.3.2项</w:t>
      </w:r>
      <w:r>
        <w:rPr>
          <w:rFonts w:hint="eastAsia" w:eastAsia="仿宋_GB2312"/>
          <w:kern w:val="0"/>
          <w:sz w:val="30"/>
          <w:szCs w:val="32"/>
        </w:rPr>
        <w:t>〔</w:t>
      </w:r>
      <w:r>
        <w:rPr>
          <w:rFonts w:eastAsia="仿宋_GB2312"/>
          <w:kern w:val="0"/>
          <w:sz w:val="30"/>
          <w:szCs w:val="32"/>
        </w:rPr>
        <w:t>开工通知</w:t>
      </w:r>
      <w:r>
        <w:rPr>
          <w:rFonts w:hint="eastAsia" w:eastAsia="仿宋_GB2312"/>
          <w:kern w:val="0"/>
          <w:sz w:val="30"/>
          <w:szCs w:val="32"/>
        </w:rPr>
        <w:t>〕</w:t>
      </w:r>
      <w:r>
        <w:rPr>
          <w:rFonts w:eastAsia="仿宋_GB2312"/>
          <w:kern w:val="0"/>
          <w:sz w:val="30"/>
          <w:szCs w:val="32"/>
        </w:rPr>
        <w:t>载明的开工日期前7天通过监理人向承包人提供测量基准点、基准线和水准点及其书面资料。发包人应对其提供的测量基准点、基准线和水准点及其书面资料的真实性、准确性和完整性负责。</w:t>
      </w:r>
    </w:p>
    <w:p w14:paraId="4E50B20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发现发包人提供的测量基准点、基准线和水准点及其书面资料存在错误或疏漏的，应及时通知监理人。监理人应及时报告发包人，并会同发包人和承包人予以核实。发包人应就如何处理和是否继续施工作出决定，并通知监理人和承包人。</w:t>
      </w:r>
    </w:p>
    <w:p w14:paraId="4E90F69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7.4.2承包人负责施工过程中的全部施工测量放线工作，并配置具有相应资质的人员、合格的仪器、设备和其他物品。承包人应矫正工程的位置、标高、尺寸或准线中出现的任何差错，并对工程各部分的定位负责。</w:t>
      </w:r>
    </w:p>
    <w:p w14:paraId="29AD83C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施工过程中对施工现场内水准点等测量标志物的保护工作由承包人负责。</w:t>
      </w:r>
      <w:bookmarkStart w:id="359" w:name="_Toc351203547"/>
    </w:p>
    <w:p w14:paraId="3891B6BD">
      <w:pPr>
        <w:pStyle w:val="9"/>
        <w:spacing w:before="120" w:after="120" w:line="360" w:lineRule="auto"/>
        <w:ind w:firstLine="600" w:firstLineChars="200"/>
        <w:rPr>
          <w:rFonts w:eastAsia="黑体"/>
          <w:b w:val="0"/>
          <w:i w:val="0"/>
          <w:iCs w:val="0"/>
          <w:sz w:val="30"/>
          <w:szCs w:val="32"/>
        </w:rPr>
      </w:pPr>
      <w:r>
        <w:rPr>
          <w:rFonts w:eastAsia="黑体"/>
          <w:b w:val="0"/>
          <w:i w:val="0"/>
          <w:iCs w:val="0"/>
          <w:sz w:val="30"/>
          <w:szCs w:val="32"/>
        </w:rPr>
        <w:t>7</w:t>
      </w:r>
      <w:bookmarkEnd w:id="352"/>
      <w:bookmarkEnd w:id="353"/>
      <w:bookmarkStart w:id="360" w:name="_Toc296346574"/>
      <w:bookmarkStart w:id="361" w:name="_Toc296503073"/>
      <w:bookmarkStart w:id="362" w:name="_Toc337558772"/>
      <w:r>
        <w:rPr>
          <w:rFonts w:eastAsia="黑体"/>
          <w:b w:val="0"/>
          <w:i w:val="0"/>
          <w:iCs w:val="0"/>
          <w:sz w:val="30"/>
          <w:szCs w:val="32"/>
        </w:rPr>
        <w:t>.5工期延误</w:t>
      </w:r>
      <w:bookmarkEnd w:id="359"/>
    </w:p>
    <w:bookmarkEnd w:id="360"/>
    <w:bookmarkEnd w:id="361"/>
    <w:bookmarkEnd w:id="362"/>
    <w:p w14:paraId="1B789F50">
      <w:pPr>
        <w:spacing w:line="360" w:lineRule="auto"/>
        <w:ind w:firstLine="600" w:firstLineChars="200"/>
        <w:jc w:val="left"/>
        <w:rPr>
          <w:rFonts w:eastAsia="仿宋_GB2312"/>
          <w:kern w:val="0"/>
          <w:sz w:val="30"/>
          <w:szCs w:val="32"/>
        </w:rPr>
      </w:pPr>
      <w:r>
        <w:rPr>
          <w:rFonts w:eastAsia="仿宋_GB2312"/>
          <w:kern w:val="0"/>
          <w:sz w:val="30"/>
          <w:szCs w:val="32"/>
        </w:rPr>
        <w:t>7.5.1因发包人原因导致工期延误</w:t>
      </w:r>
    </w:p>
    <w:p w14:paraId="591B866E">
      <w:pPr>
        <w:spacing w:line="360" w:lineRule="auto"/>
        <w:ind w:firstLine="600" w:firstLineChars="200"/>
        <w:jc w:val="left"/>
        <w:rPr>
          <w:rFonts w:eastAsia="仿宋_GB2312"/>
          <w:kern w:val="0"/>
          <w:sz w:val="30"/>
          <w:szCs w:val="32"/>
        </w:rPr>
      </w:pPr>
      <w:r>
        <w:rPr>
          <w:rFonts w:eastAsia="仿宋_GB2312"/>
          <w:kern w:val="0"/>
          <w:sz w:val="30"/>
          <w:szCs w:val="32"/>
        </w:rPr>
        <w:t xml:space="preserve">在合同履行过程中，因下列情况导致工期延误和（或）费用增加的，由发包人承担由此延误的工期和（或）增加的费用，且发包人应支付承包人合理的利润： </w:t>
      </w:r>
    </w:p>
    <w:p w14:paraId="1C2511BA">
      <w:pPr>
        <w:spacing w:line="360" w:lineRule="auto"/>
        <w:ind w:firstLine="600" w:firstLineChars="200"/>
        <w:jc w:val="left"/>
        <w:rPr>
          <w:rFonts w:eastAsia="仿宋_GB2312"/>
          <w:kern w:val="0"/>
          <w:sz w:val="30"/>
          <w:szCs w:val="32"/>
        </w:rPr>
      </w:pPr>
      <w:r>
        <w:rPr>
          <w:rFonts w:eastAsia="仿宋_GB2312"/>
          <w:kern w:val="0"/>
          <w:sz w:val="30"/>
          <w:szCs w:val="32"/>
        </w:rPr>
        <w:t>（1）发包人未能按合同约定提供图纸或所提供图纸不符合合同约定的；</w:t>
      </w:r>
    </w:p>
    <w:p w14:paraId="05BA73CD">
      <w:pPr>
        <w:spacing w:line="360" w:lineRule="auto"/>
        <w:ind w:firstLine="600" w:firstLineChars="200"/>
        <w:jc w:val="left"/>
        <w:rPr>
          <w:rFonts w:eastAsia="仿宋_GB2312"/>
          <w:kern w:val="0"/>
          <w:sz w:val="30"/>
          <w:szCs w:val="32"/>
        </w:rPr>
      </w:pPr>
      <w:r>
        <w:rPr>
          <w:rFonts w:eastAsia="仿宋_GB2312"/>
          <w:kern w:val="0"/>
          <w:sz w:val="30"/>
          <w:szCs w:val="32"/>
        </w:rPr>
        <w:t>（2）发包人未能按合同约定提供施工现场、施工条件、基础资料、许可、批准等开工条件的；</w:t>
      </w:r>
    </w:p>
    <w:p w14:paraId="1369E97F">
      <w:pPr>
        <w:spacing w:line="360" w:lineRule="auto"/>
        <w:ind w:firstLine="600" w:firstLineChars="200"/>
        <w:jc w:val="left"/>
        <w:rPr>
          <w:rFonts w:eastAsia="仿宋_GB2312"/>
          <w:kern w:val="0"/>
          <w:sz w:val="30"/>
          <w:szCs w:val="32"/>
        </w:rPr>
      </w:pPr>
      <w:r>
        <w:rPr>
          <w:rFonts w:eastAsia="仿宋_GB2312"/>
          <w:kern w:val="0"/>
          <w:sz w:val="30"/>
          <w:szCs w:val="32"/>
        </w:rPr>
        <w:t>（3）发包人提供的测量基准点、基准线和水准点及其书面资料存在错误或疏漏的；</w:t>
      </w:r>
    </w:p>
    <w:p w14:paraId="1623A80C">
      <w:pPr>
        <w:spacing w:line="360" w:lineRule="auto"/>
        <w:ind w:firstLine="600" w:firstLineChars="200"/>
        <w:jc w:val="left"/>
        <w:rPr>
          <w:rFonts w:eastAsia="仿宋_GB2312"/>
          <w:kern w:val="0"/>
          <w:sz w:val="30"/>
          <w:szCs w:val="32"/>
        </w:rPr>
      </w:pPr>
      <w:r>
        <w:rPr>
          <w:rFonts w:eastAsia="仿宋_GB2312"/>
          <w:kern w:val="0"/>
          <w:sz w:val="30"/>
          <w:szCs w:val="32"/>
        </w:rPr>
        <w:t>（4）发包人未能在计划开工日期之日起7天内同意下达开工通知的；</w:t>
      </w:r>
    </w:p>
    <w:p w14:paraId="28181E55">
      <w:pPr>
        <w:spacing w:line="360" w:lineRule="auto"/>
        <w:ind w:firstLine="600" w:firstLineChars="200"/>
        <w:jc w:val="left"/>
        <w:rPr>
          <w:rFonts w:eastAsia="仿宋_GB2312"/>
          <w:kern w:val="0"/>
          <w:sz w:val="30"/>
          <w:szCs w:val="32"/>
        </w:rPr>
      </w:pPr>
      <w:r>
        <w:rPr>
          <w:rFonts w:eastAsia="仿宋_GB2312"/>
          <w:kern w:val="0"/>
          <w:sz w:val="30"/>
          <w:szCs w:val="32"/>
        </w:rPr>
        <w:t>（5）发包人未能按合同约定日期支付工程预付款、进度款或竣工结算款的；</w:t>
      </w:r>
    </w:p>
    <w:p w14:paraId="3BEF1C4C">
      <w:pPr>
        <w:spacing w:line="360" w:lineRule="auto"/>
        <w:ind w:firstLine="600" w:firstLineChars="200"/>
        <w:jc w:val="left"/>
        <w:rPr>
          <w:rFonts w:eastAsia="仿宋_GB2312"/>
          <w:kern w:val="0"/>
          <w:sz w:val="30"/>
          <w:szCs w:val="32"/>
        </w:rPr>
      </w:pPr>
      <w:r>
        <w:rPr>
          <w:rFonts w:eastAsia="仿宋_GB2312"/>
          <w:kern w:val="0"/>
          <w:sz w:val="30"/>
          <w:szCs w:val="32"/>
        </w:rPr>
        <w:t>（6）监理人未按合同约定发出指示、批准等文件的；</w:t>
      </w:r>
    </w:p>
    <w:p w14:paraId="219CBE24">
      <w:pPr>
        <w:spacing w:line="360" w:lineRule="auto"/>
        <w:ind w:firstLine="600" w:firstLineChars="200"/>
        <w:jc w:val="left"/>
        <w:rPr>
          <w:rFonts w:eastAsia="仿宋_GB2312"/>
          <w:kern w:val="0"/>
          <w:sz w:val="30"/>
          <w:szCs w:val="32"/>
        </w:rPr>
      </w:pPr>
      <w:r>
        <w:rPr>
          <w:rFonts w:eastAsia="仿宋_GB2312"/>
          <w:kern w:val="0"/>
          <w:sz w:val="30"/>
          <w:szCs w:val="32"/>
        </w:rPr>
        <w:t>（7）专用合同条款中约定的其他情形。</w:t>
      </w:r>
    </w:p>
    <w:p w14:paraId="1EE3B2D7">
      <w:pPr>
        <w:spacing w:line="360" w:lineRule="auto"/>
        <w:ind w:firstLine="600" w:firstLineChars="200"/>
        <w:jc w:val="left"/>
        <w:rPr>
          <w:rFonts w:eastAsia="仿宋_GB2312"/>
          <w:kern w:val="0"/>
          <w:sz w:val="30"/>
          <w:szCs w:val="32"/>
        </w:rPr>
      </w:pPr>
      <w:r>
        <w:rPr>
          <w:rFonts w:eastAsia="仿宋_GB2312"/>
          <w:kern w:val="0"/>
          <w:sz w:val="30"/>
          <w:szCs w:val="32"/>
        </w:rPr>
        <w:t>因发包人原因未按计划开工日期开工的，发包人应按实际开工日期顺延竣工日期，确保实际工期不低于合同约定的工期总日历天数。因发包人原因导致工期延误需要修订施工进度计划的，按照第7.2.2项</w:t>
      </w:r>
      <w:r>
        <w:rPr>
          <w:rFonts w:hint="eastAsia" w:eastAsia="仿宋_GB2312"/>
          <w:kern w:val="0"/>
          <w:sz w:val="30"/>
          <w:szCs w:val="32"/>
        </w:rPr>
        <w:t>〔</w:t>
      </w:r>
      <w:r>
        <w:rPr>
          <w:rFonts w:eastAsia="仿宋_GB2312"/>
          <w:kern w:val="0"/>
          <w:sz w:val="30"/>
          <w:szCs w:val="32"/>
        </w:rPr>
        <w:t>施工进度计划的修订</w:t>
      </w:r>
      <w:r>
        <w:rPr>
          <w:rFonts w:hint="eastAsia" w:eastAsia="仿宋_GB2312"/>
          <w:kern w:val="0"/>
          <w:sz w:val="30"/>
          <w:szCs w:val="32"/>
        </w:rPr>
        <w:t>〕</w:t>
      </w:r>
      <w:r>
        <w:rPr>
          <w:rFonts w:eastAsia="仿宋_GB2312"/>
          <w:kern w:val="0"/>
          <w:sz w:val="30"/>
          <w:szCs w:val="32"/>
        </w:rPr>
        <w:t>执行。</w:t>
      </w:r>
    </w:p>
    <w:p w14:paraId="580D0D58">
      <w:pPr>
        <w:autoSpaceDE w:val="0"/>
        <w:autoSpaceDN w:val="0"/>
        <w:adjustRightInd w:val="0"/>
        <w:spacing w:line="360" w:lineRule="auto"/>
        <w:ind w:firstLine="600" w:firstLineChars="200"/>
        <w:jc w:val="left"/>
        <w:rPr>
          <w:rFonts w:eastAsia="仿宋_GB2312"/>
          <w:sz w:val="30"/>
          <w:szCs w:val="32"/>
        </w:rPr>
      </w:pPr>
      <w:r>
        <w:rPr>
          <w:rFonts w:eastAsia="仿宋_GB2312"/>
          <w:kern w:val="0"/>
          <w:sz w:val="30"/>
          <w:szCs w:val="32"/>
        </w:rPr>
        <w:t>7.5.2因承包人原因导致工期延误</w:t>
      </w:r>
    </w:p>
    <w:p w14:paraId="6EA5E47E">
      <w:pPr>
        <w:autoSpaceDE w:val="0"/>
        <w:autoSpaceDN w:val="0"/>
        <w:adjustRightInd w:val="0"/>
        <w:spacing w:line="360" w:lineRule="auto"/>
        <w:ind w:firstLine="600" w:firstLineChars="200"/>
        <w:jc w:val="left"/>
        <w:rPr>
          <w:rFonts w:eastAsia="仿宋_GB2312"/>
          <w:kern w:val="0"/>
          <w:sz w:val="30"/>
          <w:szCs w:val="32"/>
        </w:rPr>
      </w:pPr>
      <w:bookmarkStart w:id="363" w:name="_Toc296346577"/>
      <w:bookmarkStart w:id="364" w:name="_Toc296503076"/>
      <w:r>
        <w:rPr>
          <w:rFonts w:eastAsia="仿宋_GB2312"/>
          <w:kern w:val="0"/>
          <w:sz w:val="30"/>
          <w:szCs w:val="32"/>
        </w:rPr>
        <w:t>因</w:t>
      </w:r>
      <w:bookmarkEnd w:id="363"/>
      <w:bookmarkEnd w:id="364"/>
      <w:r>
        <w:rPr>
          <w:rFonts w:eastAsia="仿宋_GB2312"/>
          <w:kern w:val="0"/>
          <w:sz w:val="30"/>
          <w:szCs w:val="32"/>
        </w:rPr>
        <w:t>承包人原因造成工期延误的，可以在专用合同条款中约定逾期竣工违约金的计算方法和逾期竣工违约金的上限。承包人支付逾期竣工违约金后，不免除承包人继续完成工程及修补缺陷的义务。</w:t>
      </w:r>
    </w:p>
    <w:p w14:paraId="1174BB56">
      <w:pPr>
        <w:pStyle w:val="9"/>
        <w:spacing w:before="120" w:after="120" w:line="360" w:lineRule="auto"/>
        <w:ind w:firstLine="600" w:firstLineChars="200"/>
        <w:rPr>
          <w:rFonts w:eastAsia="黑体"/>
          <w:b w:val="0"/>
          <w:i w:val="0"/>
          <w:iCs w:val="0"/>
          <w:sz w:val="30"/>
          <w:szCs w:val="32"/>
        </w:rPr>
      </w:pPr>
      <w:bookmarkStart w:id="365" w:name="_Toc351203548"/>
      <w:r>
        <w:rPr>
          <w:rFonts w:eastAsia="黑体"/>
          <w:b w:val="0"/>
          <w:i w:val="0"/>
          <w:iCs w:val="0"/>
          <w:sz w:val="30"/>
          <w:szCs w:val="32"/>
        </w:rPr>
        <w:t>7</w:t>
      </w:r>
      <w:bookmarkStart w:id="366" w:name="_Toc296503074"/>
      <w:bookmarkStart w:id="367" w:name="_Toc296346575"/>
      <w:bookmarkStart w:id="368" w:name="_Toc337558773"/>
      <w:bookmarkStart w:id="369" w:name="_Toc296503077"/>
      <w:bookmarkStart w:id="370" w:name="_Toc296346578"/>
      <w:r>
        <w:rPr>
          <w:rFonts w:eastAsia="黑体"/>
          <w:b w:val="0"/>
          <w:i w:val="0"/>
          <w:iCs w:val="0"/>
          <w:sz w:val="30"/>
          <w:szCs w:val="32"/>
        </w:rPr>
        <w:t>.6不利物质条件</w:t>
      </w:r>
      <w:bookmarkEnd w:id="365"/>
    </w:p>
    <w:bookmarkEnd w:id="366"/>
    <w:bookmarkEnd w:id="367"/>
    <w:bookmarkEnd w:id="368"/>
    <w:p w14:paraId="2A0B7DF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不利物质条件是指有经验的承包人在施工现场遇到的不可预见的自然物质条件、非自然的物质障碍和污染物，包括地表以下物质条件和水文条件以及专用合同条款约定的其他情形，但不包括气候条件。</w:t>
      </w:r>
    </w:p>
    <w:p w14:paraId="554039E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遇到不利物质条件时，应采取克服不利物质条件的合理措施继续施工，并及时通知发包人和监理人。通知应载明不利物质条件的内容以及承包人认为不可预见的理由。监理人经发包人同意后应当及时发出指示，指示构成变更的，按第10条</w:t>
      </w:r>
      <w:r>
        <w:rPr>
          <w:rFonts w:hint="eastAsia" w:eastAsia="仿宋_GB2312"/>
          <w:kern w:val="0"/>
          <w:sz w:val="30"/>
          <w:szCs w:val="32"/>
        </w:rPr>
        <w:t>〔</w:t>
      </w:r>
      <w:r>
        <w:rPr>
          <w:rFonts w:eastAsia="仿宋_GB2312"/>
          <w:kern w:val="0"/>
          <w:sz w:val="30"/>
          <w:szCs w:val="32"/>
        </w:rPr>
        <w:t>变更</w:t>
      </w:r>
      <w:r>
        <w:rPr>
          <w:rFonts w:hint="eastAsia" w:eastAsia="仿宋_GB2312"/>
          <w:kern w:val="0"/>
          <w:sz w:val="30"/>
          <w:szCs w:val="32"/>
        </w:rPr>
        <w:t>〕</w:t>
      </w:r>
      <w:r>
        <w:rPr>
          <w:rFonts w:eastAsia="仿宋_GB2312"/>
          <w:kern w:val="0"/>
          <w:sz w:val="30"/>
          <w:szCs w:val="32"/>
        </w:rPr>
        <w:t>约定执行。承包人因采取合理措施而增加的费用和（或）延误的工期由发包人承担。</w:t>
      </w:r>
    </w:p>
    <w:p w14:paraId="4B405657">
      <w:pPr>
        <w:pStyle w:val="9"/>
        <w:spacing w:before="120" w:after="120" w:line="360" w:lineRule="auto"/>
        <w:ind w:firstLine="600" w:firstLineChars="200"/>
        <w:rPr>
          <w:rFonts w:eastAsia="黑体"/>
          <w:b w:val="0"/>
          <w:i w:val="0"/>
          <w:iCs w:val="0"/>
          <w:sz w:val="30"/>
          <w:szCs w:val="32"/>
        </w:rPr>
      </w:pPr>
      <w:bookmarkStart w:id="371" w:name="_Toc351203549"/>
      <w:r>
        <w:rPr>
          <w:rFonts w:eastAsia="黑体"/>
          <w:b w:val="0"/>
          <w:i w:val="0"/>
          <w:iCs w:val="0"/>
          <w:sz w:val="30"/>
          <w:szCs w:val="32"/>
        </w:rPr>
        <w:t>7</w:t>
      </w:r>
      <w:bookmarkStart w:id="372" w:name="_Toc296503075"/>
      <w:bookmarkStart w:id="373" w:name="_Toc296346576"/>
      <w:bookmarkStart w:id="374" w:name="_Toc337558774"/>
      <w:r>
        <w:rPr>
          <w:rFonts w:eastAsia="黑体"/>
          <w:b w:val="0"/>
          <w:i w:val="0"/>
          <w:iCs w:val="0"/>
          <w:sz w:val="30"/>
          <w:szCs w:val="32"/>
        </w:rPr>
        <w:t>.7异常恶劣的气候条件</w:t>
      </w:r>
      <w:bookmarkEnd w:id="371"/>
    </w:p>
    <w:bookmarkEnd w:id="372"/>
    <w:bookmarkEnd w:id="373"/>
    <w:bookmarkEnd w:id="374"/>
    <w:p w14:paraId="547D1B0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异常恶劣的气候条件是指在施工过程中遇到的，有经验的承包人在签订合同时不可预见的，对合同履行造成实质性影响的，但尚未构成不可抗力事件的恶劣气候条件。合同当事人可以在专用合同条款中约定异常恶劣的气候条件的具体情形。</w:t>
      </w:r>
    </w:p>
    <w:p w14:paraId="7F4D3FC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承包人应采取克服异常恶劣的气候条件的合理措施继续施工，并及时通知发包人和监理人。监理人经发包人同意后应当及时发出指示，指示构成变更的，按第10条</w:t>
      </w:r>
      <w:r>
        <w:rPr>
          <w:rFonts w:hint="eastAsia" w:eastAsia="仿宋_GB2312"/>
          <w:kern w:val="0"/>
          <w:sz w:val="30"/>
          <w:szCs w:val="32"/>
        </w:rPr>
        <w:t>〔</w:t>
      </w:r>
      <w:r>
        <w:rPr>
          <w:rFonts w:eastAsia="仿宋_GB2312"/>
          <w:kern w:val="0"/>
          <w:sz w:val="30"/>
          <w:szCs w:val="32"/>
        </w:rPr>
        <w:t>变更</w:t>
      </w:r>
      <w:r>
        <w:rPr>
          <w:rFonts w:hint="eastAsia" w:eastAsia="仿宋_GB2312"/>
          <w:kern w:val="0"/>
          <w:sz w:val="30"/>
          <w:szCs w:val="32"/>
        </w:rPr>
        <w:t>〕</w:t>
      </w:r>
      <w:r>
        <w:rPr>
          <w:rFonts w:eastAsia="仿宋_GB2312"/>
          <w:kern w:val="0"/>
          <w:sz w:val="30"/>
          <w:szCs w:val="32"/>
        </w:rPr>
        <w:t>约定办理。承包人因采取合理措施而增加的费用和（或）延误的工期由发包人承担。</w:t>
      </w:r>
      <w:bookmarkStart w:id="375" w:name="_Toc351203550"/>
    </w:p>
    <w:p w14:paraId="22D4365D">
      <w:pPr>
        <w:autoSpaceDE w:val="0"/>
        <w:autoSpaceDN w:val="0"/>
        <w:adjustRightInd w:val="0"/>
        <w:spacing w:line="360" w:lineRule="auto"/>
        <w:ind w:firstLine="600" w:firstLineChars="200"/>
        <w:jc w:val="left"/>
        <w:outlineLvl w:val="0"/>
        <w:rPr>
          <w:rFonts w:eastAsia="黑体"/>
          <w:bCs/>
          <w:sz w:val="30"/>
          <w:szCs w:val="32"/>
        </w:rPr>
      </w:pPr>
      <w:bookmarkStart w:id="376" w:name="_Toc10744"/>
      <w:bookmarkStart w:id="377" w:name="_Toc14116"/>
      <w:bookmarkStart w:id="378" w:name="_Toc13462"/>
      <w:bookmarkStart w:id="379" w:name="_Toc8344"/>
      <w:bookmarkStart w:id="380" w:name="_Toc16553"/>
      <w:r>
        <w:rPr>
          <w:rFonts w:eastAsia="黑体"/>
          <w:bCs/>
          <w:sz w:val="30"/>
          <w:szCs w:val="32"/>
        </w:rPr>
        <w:t>7</w:t>
      </w:r>
      <w:bookmarkStart w:id="381" w:name="_Toc337558775"/>
      <w:r>
        <w:rPr>
          <w:rFonts w:eastAsia="黑体"/>
          <w:bCs/>
          <w:sz w:val="30"/>
          <w:szCs w:val="32"/>
        </w:rPr>
        <w:t>.8暂停施工</w:t>
      </w:r>
      <w:bookmarkEnd w:id="375"/>
      <w:bookmarkEnd w:id="376"/>
      <w:bookmarkEnd w:id="377"/>
      <w:bookmarkEnd w:id="378"/>
      <w:bookmarkEnd w:id="379"/>
      <w:bookmarkEnd w:id="380"/>
    </w:p>
    <w:bookmarkEnd w:id="369"/>
    <w:bookmarkEnd w:id="370"/>
    <w:bookmarkEnd w:id="381"/>
    <w:p w14:paraId="5F5FD167">
      <w:pPr>
        <w:spacing w:line="360" w:lineRule="auto"/>
        <w:ind w:firstLine="600" w:firstLineChars="200"/>
        <w:jc w:val="left"/>
        <w:rPr>
          <w:rFonts w:eastAsia="仿宋_GB2312"/>
          <w:kern w:val="0"/>
          <w:sz w:val="30"/>
          <w:szCs w:val="32"/>
        </w:rPr>
      </w:pPr>
      <w:r>
        <w:rPr>
          <w:rFonts w:eastAsia="仿宋_GB2312"/>
          <w:kern w:val="0"/>
          <w:sz w:val="30"/>
          <w:szCs w:val="32"/>
        </w:rPr>
        <w:t>7.8.1发包人原因引起的暂停施工</w:t>
      </w:r>
    </w:p>
    <w:p w14:paraId="091417EE">
      <w:pPr>
        <w:spacing w:line="360" w:lineRule="auto"/>
        <w:ind w:firstLine="600" w:firstLineChars="200"/>
        <w:jc w:val="left"/>
        <w:rPr>
          <w:rFonts w:eastAsia="仿宋_GB2312"/>
          <w:kern w:val="0"/>
          <w:sz w:val="30"/>
          <w:szCs w:val="32"/>
        </w:rPr>
      </w:pPr>
      <w:r>
        <w:rPr>
          <w:rFonts w:eastAsia="仿宋_GB2312"/>
          <w:kern w:val="0"/>
          <w:sz w:val="30"/>
          <w:szCs w:val="32"/>
        </w:rPr>
        <w:t>因发包人原因引起暂停施工的，监理人经发包人同意后，应及时下达暂停施工指示。情况紧急且监理人未及时下达暂停施工指示的，按照第7.8.4项</w:t>
      </w:r>
      <w:r>
        <w:rPr>
          <w:rFonts w:hint="eastAsia" w:eastAsia="仿宋_GB2312"/>
          <w:kern w:val="0"/>
          <w:sz w:val="30"/>
          <w:szCs w:val="32"/>
        </w:rPr>
        <w:t>〔</w:t>
      </w:r>
      <w:r>
        <w:rPr>
          <w:rFonts w:eastAsia="仿宋_GB2312"/>
          <w:kern w:val="0"/>
          <w:sz w:val="30"/>
          <w:szCs w:val="32"/>
        </w:rPr>
        <w:t>紧急情况下的暂停施工</w:t>
      </w:r>
      <w:r>
        <w:rPr>
          <w:rFonts w:hint="eastAsia" w:eastAsia="仿宋_GB2312"/>
          <w:kern w:val="0"/>
          <w:sz w:val="30"/>
          <w:szCs w:val="32"/>
        </w:rPr>
        <w:t>〕</w:t>
      </w:r>
      <w:r>
        <w:rPr>
          <w:rFonts w:eastAsia="仿宋_GB2312"/>
          <w:kern w:val="0"/>
          <w:sz w:val="30"/>
          <w:szCs w:val="32"/>
        </w:rPr>
        <w:t>执行。</w:t>
      </w:r>
    </w:p>
    <w:p w14:paraId="730E0643">
      <w:pPr>
        <w:spacing w:line="360" w:lineRule="auto"/>
        <w:ind w:firstLine="600" w:firstLineChars="200"/>
        <w:jc w:val="left"/>
        <w:rPr>
          <w:rFonts w:eastAsia="仿宋_GB2312"/>
          <w:kern w:val="0"/>
          <w:sz w:val="30"/>
          <w:szCs w:val="32"/>
        </w:rPr>
      </w:pPr>
      <w:r>
        <w:rPr>
          <w:rFonts w:eastAsia="仿宋_GB2312"/>
          <w:kern w:val="0"/>
          <w:sz w:val="30"/>
          <w:szCs w:val="32"/>
        </w:rPr>
        <w:t>因发包人原因引起的暂停施工，发包人应承担由此增加的费用和（或）延误的工期，并支付承包人合理的利润。</w:t>
      </w:r>
    </w:p>
    <w:p w14:paraId="6E856855">
      <w:pPr>
        <w:spacing w:line="360" w:lineRule="auto"/>
        <w:ind w:firstLine="600" w:firstLineChars="200"/>
        <w:jc w:val="left"/>
        <w:rPr>
          <w:rFonts w:eastAsia="仿宋_GB2312"/>
          <w:kern w:val="0"/>
          <w:sz w:val="30"/>
          <w:szCs w:val="32"/>
        </w:rPr>
      </w:pPr>
      <w:r>
        <w:rPr>
          <w:rFonts w:eastAsia="仿宋_GB2312"/>
          <w:kern w:val="0"/>
          <w:sz w:val="30"/>
          <w:szCs w:val="32"/>
        </w:rPr>
        <w:t>7.8.2承包人原因引起的暂停施工</w:t>
      </w:r>
    </w:p>
    <w:p w14:paraId="053FBF21">
      <w:pPr>
        <w:spacing w:line="360" w:lineRule="auto"/>
        <w:ind w:firstLine="600" w:firstLineChars="200"/>
        <w:jc w:val="left"/>
        <w:rPr>
          <w:rFonts w:eastAsia="仿宋_GB2312"/>
          <w:kern w:val="0"/>
          <w:sz w:val="30"/>
          <w:szCs w:val="32"/>
        </w:rPr>
      </w:pPr>
      <w:r>
        <w:rPr>
          <w:rFonts w:eastAsia="仿宋_GB2312"/>
          <w:kern w:val="0"/>
          <w:sz w:val="30"/>
          <w:szCs w:val="32"/>
        </w:rPr>
        <w:t>因承包人原因引起的暂停施工，承包人应承担由此增加的费用和（或）延误的工期，且承包人在收到监理人复工指示后</w:t>
      </w:r>
      <w:r>
        <w:rPr>
          <w:rFonts w:hint="eastAsia" w:eastAsia="仿宋_GB2312"/>
          <w:kern w:val="0"/>
          <w:sz w:val="30"/>
          <w:szCs w:val="32"/>
        </w:rPr>
        <w:t>84</w:t>
      </w:r>
      <w:r>
        <w:rPr>
          <w:rFonts w:eastAsia="仿宋_GB2312"/>
          <w:kern w:val="0"/>
          <w:sz w:val="30"/>
          <w:szCs w:val="32"/>
        </w:rPr>
        <w:t>天内仍未复工的，视为第16.2.1项</w:t>
      </w:r>
      <w:r>
        <w:rPr>
          <w:rFonts w:hint="eastAsia" w:eastAsia="仿宋_GB2312"/>
          <w:kern w:val="0"/>
          <w:sz w:val="30"/>
          <w:szCs w:val="32"/>
        </w:rPr>
        <w:t>〔</w:t>
      </w:r>
      <w:r>
        <w:rPr>
          <w:rFonts w:eastAsia="仿宋_GB2312"/>
          <w:kern w:val="0"/>
          <w:sz w:val="30"/>
          <w:szCs w:val="32"/>
        </w:rPr>
        <w:t>承包人违约的情形</w:t>
      </w:r>
      <w:r>
        <w:rPr>
          <w:rFonts w:hint="eastAsia" w:eastAsia="仿宋_GB2312"/>
          <w:kern w:val="0"/>
          <w:sz w:val="30"/>
          <w:szCs w:val="32"/>
        </w:rPr>
        <w:t>〕</w:t>
      </w:r>
      <w:r>
        <w:rPr>
          <w:rFonts w:eastAsia="仿宋_GB2312"/>
          <w:kern w:val="0"/>
          <w:sz w:val="30"/>
          <w:szCs w:val="32"/>
        </w:rPr>
        <w:t>第（</w:t>
      </w:r>
      <w:r>
        <w:rPr>
          <w:rFonts w:hint="eastAsia" w:eastAsia="仿宋_GB2312"/>
          <w:kern w:val="0"/>
          <w:sz w:val="30"/>
          <w:szCs w:val="32"/>
        </w:rPr>
        <w:t>8</w:t>
      </w:r>
      <w:r>
        <w:rPr>
          <w:rFonts w:eastAsia="仿宋_GB2312"/>
          <w:kern w:val="0"/>
          <w:sz w:val="30"/>
          <w:szCs w:val="32"/>
        </w:rPr>
        <w:t>）目约定的承包人无法继续履行合同的情形。</w:t>
      </w:r>
    </w:p>
    <w:p w14:paraId="4F554485">
      <w:pPr>
        <w:spacing w:line="360" w:lineRule="auto"/>
        <w:ind w:firstLine="600" w:firstLineChars="200"/>
        <w:jc w:val="left"/>
        <w:rPr>
          <w:rFonts w:eastAsia="仿宋_GB2312"/>
          <w:kern w:val="0"/>
          <w:sz w:val="30"/>
          <w:szCs w:val="32"/>
        </w:rPr>
      </w:pPr>
      <w:r>
        <w:rPr>
          <w:rFonts w:eastAsia="仿宋_GB2312"/>
          <w:kern w:val="0"/>
          <w:sz w:val="30"/>
          <w:szCs w:val="32"/>
        </w:rPr>
        <w:t>7.8.3指示暂停施工</w:t>
      </w:r>
    </w:p>
    <w:p w14:paraId="3C3ABB14">
      <w:pPr>
        <w:spacing w:line="360" w:lineRule="auto"/>
        <w:ind w:firstLine="600" w:firstLineChars="200"/>
        <w:jc w:val="left"/>
        <w:rPr>
          <w:rFonts w:eastAsia="仿宋_GB2312"/>
          <w:kern w:val="0"/>
          <w:sz w:val="30"/>
          <w:szCs w:val="32"/>
        </w:rPr>
      </w:pPr>
      <w:r>
        <w:rPr>
          <w:rFonts w:eastAsia="仿宋_GB2312"/>
          <w:kern w:val="0"/>
          <w:sz w:val="30"/>
          <w:szCs w:val="32"/>
        </w:rPr>
        <w:t>监理人认为有必要时，并经发包人批准后，可向承包人作出暂停施工的指示，承包人应按监理人指示暂停施工。</w:t>
      </w:r>
    </w:p>
    <w:p w14:paraId="2BE3450C">
      <w:pPr>
        <w:spacing w:line="360" w:lineRule="auto"/>
        <w:ind w:firstLine="600" w:firstLineChars="200"/>
        <w:jc w:val="left"/>
        <w:rPr>
          <w:rFonts w:eastAsia="仿宋_GB2312"/>
          <w:kern w:val="0"/>
          <w:sz w:val="30"/>
          <w:szCs w:val="32"/>
        </w:rPr>
      </w:pPr>
      <w:r>
        <w:rPr>
          <w:rFonts w:eastAsia="仿宋_GB2312"/>
          <w:kern w:val="0"/>
          <w:sz w:val="30"/>
          <w:szCs w:val="32"/>
        </w:rPr>
        <w:t>7.8.4紧急情况下的暂停施工</w:t>
      </w:r>
    </w:p>
    <w:p w14:paraId="0DFBC910">
      <w:pPr>
        <w:spacing w:line="360" w:lineRule="auto"/>
        <w:ind w:firstLine="600" w:firstLineChars="200"/>
        <w:jc w:val="left"/>
        <w:rPr>
          <w:rFonts w:eastAsia="仿宋_GB2312"/>
          <w:kern w:val="0"/>
          <w:sz w:val="30"/>
          <w:szCs w:val="32"/>
        </w:rPr>
      </w:pPr>
      <w:r>
        <w:rPr>
          <w:rFonts w:eastAsia="仿宋_GB2312"/>
          <w:kern w:val="0"/>
          <w:sz w:val="30"/>
          <w:szCs w:val="32"/>
        </w:rPr>
        <w:t>因紧急情况需暂停施工，且监理人未及时下达暂停施工指示的，承包人可先暂停施工，并及时通知监理人。监理人应在接到通知后24小时内发出指示，逾期未发出指示，视为同意承包人暂停施工。监理人不同意承包人暂停施工的，应说明理由，承包人对监理人的答复有异议，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约定处理。</w:t>
      </w:r>
    </w:p>
    <w:p w14:paraId="2DA8DAED">
      <w:pPr>
        <w:spacing w:line="360" w:lineRule="auto"/>
        <w:ind w:firstLine="600" w:firstLineChars="200"/>
        <w:jc w:val="left"/>
        <w:rPr>
          <w:rFonts w:eastAsia="仿宋_GB2312"/>
          <w:kern w:val="0"/>
          <w:sz w:val="30"/>
          <w:szCs w:val="32"/>
        </w:rPr>
      </w:pPr>
      <w:r>
        <w:rPr>
          <w:rFonts w:eastAsia="仿宋_GB2312"/>
          <w:kern w:val="0"/>
          <w:sz w:val="30"/>
          <w:szCs w:val="32"/>
        </w:rPr>
        <w:t>7.8.5暂停施工后的复工</w:t>
      </w:r>
    </w:p>
    <w:p w14:paraId="42A2F150">
      <w:pPr>
        <w:spacing w:line="360" w:lineRule="auto"/>
        <w:ind w:firstLine="600" w:firstLineChars="200"/>
        <w:jc w:val="left"/>
        <w:rPr>
          <w:rFonts w:eastAsia="仿宋_GB2312"/>
          <w:kern w:val="0"/>
          <w:sz w:val="30"/>
          <w:szCs w:val="32"/>
        </w:rPr>
      </w:pPr>
      <w:r>
        <w:rPr>
          <w:rFonts w:eastAsia="仿宋_GB2312"/>
          <w:kern w:val="0"/>
          <w:sz w:val="30"/>
          <w:szCs w:val="32"/>
        </w:rPr>
        <w:t>暂停施工后，发包人和承包人应采取有效措施积极消除暂停施工的影响。在工程复工前，监理人会同发包人和承包人确定因暂停施工造成的损失，并确定工程复工条件。当工程具备复工条件时，监理人应经发包人批准后向承包人发出复工通知，承包人应按照复工通知要求复工。</w:t>
      </w:r>
    </w:p>
    <w:p w14:paraId="21E4558C">
      <w:pPr>
        <w:spacing w:line="360" w:lineRule="auto"/>
        <w:ind w:firstLine="600" w:firstLineChars="200"/>
        <w:jc w:val="left"/>
        <w:rPr>
          <w:rFonts w:eastAsia="仿宋_GB2312"/>
          <w:kern w:val="0"/>
          <w:sz w:val="30"/>
          <w:szCs w:val="32"/>
        </w:rPr>
      </w:pPr>
      <w:r>
        <w:rPr>
          <w:rFonts w:eastAsia="仿宋_GB2312"/>
          <w:kern w:val="0"/>
          <w:sz w:val="30"/>
          <w:szCs w:val="32"/>
        </w:rPr>
        <w:t>承包人无故拖延和拒绝复工的，承包人承担由此增加的费用和（或）延误的工期；因发包人原因无法按时复工的，按照第7.5.1项</w:t>
      </w:r>
      <w:r>
        <w:rPr>
          <w:rFonts w:hint="eastAsia" w:eastAsia="仿宋_GB2312"/>
          <w:kern w:val="0"/>
          <w:sz w:val="30"/>
          <w:szCs w:val="32"/>
        </w:rPr>
        <w:t>〔</w:t>
      </w:r>
      <w:r>
        <w:rPr>
          <w:rFonts w:eastAsia="仿宋_GB2312"/>
          <w:kern w:val="0"/>
          <w:sz w:val="30"/>
          <w:szCs w:val="32"/>
        </w:rPr>
        <w:t>因发包人原因导致工期延误</w:t>
      </w:r>
      <w:r>
        <w:rPr>
          <w:rFonts w:hint="eastAsia" w:eastAsia="仿宋_GB2312"/>
          <w:kern w:val="0"/>
          <w:sz w:val="30"/>
          <w:szCs w:val="32"/>
        </w:rPr>
        <w:t>〕</w:t>
      </w:r>
      <w:r>
        <w:rPr>
          <w:rFonts w:eastAsia="仿宋_GB2312"/>
          <w:kern w:val="0"/>
          <w:sz w:val="30"/>
          <w:szCs w:val="32"/>
        </w:rPr>
        <w:t>约定办理。</w:t>
      </w:r>
    </w:p>
    <w:p w14:paraId="4EB04CD6">
      <w:pPr>
        <w:spacing w:line="360" w:lineRule="auto"/>
        <w:ind w:firstLine="600" w:firstLineChars="200"/>
        <w:jc w:val="left"/>
        <w:rPr>
          <w:rFonts w:eastAsia="仿宋_GB2312"/>
          <w:kern w:val="0"/>
          <w:sz w:val="30"/>
          <w:szCs w:val="32"/>
        </w:rPr>
      </w:pPr>
      <w:r>
        <w:rPr>
          <w:rFonts w:eastAsia="仿宋_GB2312"/>
          <w:kern w:val="0"/>
          <w:sz w:val="30"/>
          <w:szCs w:val="32"/>
        </w:rPr>
        <w:t>7.8.6暂停施工持续56天以上</w:t>
      </w:r>
    </w:p>
    <w:p w14:paraId="3A0D7347">
      <w:pPr>
        <w:spacing w:line="360" w:lineRule="auto"/>
        <w:ind w:firstLine="585" w:firstLineChars="195"/>
        <w:jc w:val="left"/>
        <w:rPr>
          <w:rFonts w:eastAsia="仿宋_GB2312"/>
          <w:kern w:val="0"/>
          <w:sz w:val="30"/>
          <w:szCs w:val="32"/>
        </w:rPr>
      </w:pPr>
      <w:r>
        <w:rPr>
          <w:rFonts w:eastAsia="仿宋_GB2312"/>
          <w:kern w:val="0"/>
          <w:sz w:val="30"/>
          <w:szCs w:val="32"/>
        </w:rPr>
        <w:t>监理人发出暂停施工指示后56天内未向承包人发出复工通知，除该项停工属于第7.8.2项</w:t>
      </w:r>
      <w:r>
        <w:rPr>
          <w:rFonts w:hint="eastAsia" w:eastAsia="仿宋_GB2312"/>
          <w:kern w:val="0"/>
          <w:sz w:val="30"/>
          <w:szCs w:val="32"/>
        </w:rPr>
        <w:t>〔</w:t>
      </w:r>
      <w:r>
        <w:rPr>
          <w:rFonts w:eastAsia="仿宋_GB2312"/>
          <w:kern w:val="0"/>
          <w:sz w:val="30"/>
          <w:szCs w:val="32"/>
        </w:rPr>
        <w:t>承包人原因引起的暂停施工</w:t>
      </w:r>
      <w:r>
        <w:rPr>
          <w:rFonts w:hint="eastAsia" w:eastAsia="仿宋_GB2312"/>
          <w:kern w:val="0"/>
          <w:sz w:val="30"/>
          <w:szCs w:val="32"/>
        </w:rPr>
        <w:t>〕</w:t>
      </w:r>
      <w:r>
        <w:rPr>
          <w:rFonts w:eastAsia="仿宋_GB2312"/>
          <w:kern w:val="0"/>
          <w:sz w:val="30"/>
          <w:szCs w:val="32"/>
        </w:rPr>
        <w:t>及第17条</w:t>
      </w:r>
      <w:r>
        <w:rPr>
          <w:rFonts w:hint="eastAsia" w:eastAsia="仿宋_GB2312"/>
          <w:kern w:val="0"/>
          <w:sz w:val="30"/>
          <w:szCs w:val="32"/>
        </w:rPr>
        <w:t>〔</w:t>
      </w:r>
      <w:r>
        <w:rPr>
          <w:rFonts w:eastAsia="仿宋_GB2312"/>
          <w:kern w:val="0"/>
          <w:sz w:val="30"/>
          <w:szCs w:val="32"/>
        </w:rPr>
        <w:t>不可抗力</w:t>
      </w:r>
      <w:r>
        <w:rPr>
          <w:rFonts w:hint="eastAsia" w:eastAsia="仿宋_GB2312"/>
          <w:kern w:val="0"/>
          <w:sz w:val="30"/>
          <w:szCs w:val="32"/>
        </w:rPr>
        <w:t>〕</w:t>
      </w:r>
      <w:r>
        <w:rPr>
          <w:rFonts w:eastAsia="仿宋_GB2312"/>
          <w:kern w:val="0"/>
          <w:sz w:val="30"/>
          <w:szCs w:val="32"/>
        </w:rPr>
        <w:t>约定的情形外，承包人可向发包人提交书面通知，要求发包人在收到书面通知后28天内准许已暂停施工的部分或全部工程继续施工。发包人逾期不予批准的，则承包人可以通知发包人，将工程受影响的部分视为按第10.1款</w:t>
      </w:r>
      <w:r>
        <w:rPr>
          <w:rFonts w:hint="eastAsia" w:eastAsia="仿宋_GB2312"/>
          <w:kern w:val="0"/>
          <w:sz w:val="30"/>
          <w:szCs w:val="32"/>
        </w:rPr>
        <w:t>〔</w:t>
      </w:r>
      <w:r>
        <w:rPr>
          <w:rFonts w:eastAsia="仿宋_GB2312"/>
          <w:kern w:val="0"/>
          <w:sz w:val="30"/>
          <w:szCs w:val="32"/>
        </w:rPr>
        <w:t>变更的范围</w:t>
      </w:r>
      <w:r>
        <w:rPr>
          <w:rFonts w:hint="eastAsia" w:eastAsia="仿宋_GB2312"/>
          <w:kern w:val="0"/>
          <w:sz w:val="30"/>
          <w:szCs w:val="32"/>
        </w:rPr>
        <w:t>〕</w:t>
      </w:r>
      <w:r>
        <w:rPr>
          <w:rFonts w:eastAsia="仿宋_GB2312"/>
          <w:kern w:val="0"/>
          <w:sz w:val="30"/>
          <w:szCs w:val="32"/>
        </w:rPr>
        <w:t>第（2）项的可取消工作。</w:t>
      </w:r>
    </w:p>
    <w:p w14:paraId="12BFAEB2">
      <w:pPr>
        <w:spacing w:line="360" w:lineRule="auto"/>
        <w:ind w:firstLine="585" w:firstLineChars="195"/>
        <w:jc w:val="left"/>
        <w:rPr>
          <w:rFonts w:eastAsia="仿宋_GB2312"/>
          <w:kern w:val="0"/>
          <w:sz w:val="30"/>
          <w:szCs w:val="32"/>
        </w:rPr>
      </w:pPr>
      <w:r>
        <w:rPr>
          <w:rFonts w:eastAsia="仿宋_GB2312"/>
          <w:kern w:val="0"/>
          <w:sz w:val="30"/>
          <w:szCs w:val="32"/>
        </w:rPr>
        <w:t>暂停施工持续</w:t>
      </w:r>
      <w:r>
        <w:rPr>
          <w:rFonts w:hint="eastAsia" w:eastAsia="仿宋_GB2312"/>
          <w:kern w:val="0"/>
          <w:sz w:val="30"/>
          <w:szCs w:val="32"/>
        </w:rPr>
        <w:t>84</w:t>
      </w:r>
      <w:r>
        <w:rPr>
          <w:rFonts w:eastAsia="仿宋_GB2312"/>
          <w:kern w:val="0"/>
          <w:sz w:val="30"/>
          <w:szCs w:val="32"/>
        </w:rPr>
        <w:t>天以上不复工的，且不属于第7.8.2项</w:t>
      </w:r>
      <w:r>
        <w:rPr>
          <w:rFonts w:hint="eastAsia" w:eastAsia="仿宋_GB2312"/>
          <w:kern w:val="0"/>
          <w:sz w:val="30"/>
          <w:szCs w:val="32"/>
        </w:rPr>
        <w:t>〔</w:t>
      </w:r>
      <w:r>
        <w:rPr>
          <w:rFonts w:eastAsia="仿宋_GB2312"/>
          <w:kern w:val="0"/>
          <w:sz w:val="30"/>
          <w:szCs w:val="32"/>
        </w:rPr>
        <w:t>承包人原因引起的暂停施工</w:t>
      </w:r>
      <w:r>
        <w:rPr>
          <w:rFonts w:hint="eastAsia" w:eastAsia="仿宋_GB2312"/>
          <w:kern w:val="0"/>
          <w:sz w:val="30"/>
          <w:szCs w:val="32"/>
        </w:rPr>
        <w:t>〕</w:t>
      </w:r>
      <w:r>
        <w:rPr>
          <w:rFonts w:eastAsia="仿宋_GB2312"/>
          <w:kern w:val="0"/>
          <w:sz w:val="30"/>
          <w:szCs w:val="32"/>
        </w:rPr>
        <w:t>及第17条</w:t>
      </w:r>
      <w:r>
        <w:rPr>
          <w:rFonts w:hint="eastAsia" w:eastAsia="仿宋_GB2312"/>
          <w:kern w:val="0"/>
          <w:sz w:val="30"/>
          <w:szCs w:val="32"/>
        </w:rPr>
        <w:t>〔</w:t>
      </w:r>
      <w:r>
        <w:rPr>
          <w:rFonts w:eastAsia="仿宋_GB2312"/>
          <w:kern w:val="0"/>
          <w:sz w:val="30"/>
          <w:szCs w:val="32"/>
        </w:rPr>
        <w:t>不可抗力</w:t>
      </w:r>
      <w:r>
        <w:rPr>
          <w:rFonts w:hint="eastAsia" w:eastAsia="仿宋_GB2312"/>
          <w:kern w:val="0"/>
          <w:sz w:val="30"/>
          <w:szCs w:val="32"/>
        </w:rPr>
        <w:t>〕</w:t>
      </w:r>
      <w:r>
        <w:rPr>
          <w:rFonts w:eastAsia="仿宋_GB2312"/>
          <w:kern w:val="0"/>
          <w:sz w:val="30"/>
          <w:szCs w:val="32"/>
        </w:rPr>
        <w:t>约定的情形，并影响到整个工程以及合同目的实现的，承包人有权提出价格调整要求，或者解除合同。解除合同的，按照第16.1.3项</w:t>
      </w:r>
      <w:r>
        <w:rPr>
          <w:rFonts w:hint="eastAsia" w:eastAsia="仿宋_GB2312"/>
          <w:kern w:val="0"/>
          <w:sz w:val="30"/>
          <w:szCs w:val="32"/>
        </w:rPr>
        <w:t>〔</w:t>
      </w:r>
      <w:r>
        <w:rPr>
          <w:rFonts w:eastAsia="仿宋_GB2312"/>
          <w:kern w:val="0"/>
          <w:sz w:val="30"/>
          <w:szCs w:val="32"/>
        </w:rPr>
        <w:t>因发包人违约解除合同</w:t>
      </w:r>
      <w:r>
        <w:rPr>
          <w:rFonts w:hint="eastAsia" w:eastAsia="仿宋_GB2312"/>
          <w:kern w:val="0"/>
          <w:sz w:val="30"/>
          <w:szCs w:val="32"/>
        </w:rPr>
        <w:t>〕</w:t>
      </w:r>
      <w:r>
        <w:rPr>
          <w:rFonts w:eastAsia="仿宋_GB2312"/>
          <w:kern w:val="0"/>
          <w:sz w:val="30"/>
          <w:szCs w:val="32"/>
        </w:rPr>
        <w:t>执行。</w:t>
      </w:r>
    </w:p>
    <w:p w14:paraId="79D587B4">
      <w:pPr>
        <w:spacing w:line="360" w:lineRule="auto"/>
        <w:ind w:left="16" w:firstLine="585" w:firstLineChars="195"/>
        <w:jc w:val="left"/>
        <w:rPr>
          <w:rFonts w:eastAsia="仿宋_GB2312"/>
          <w:kern w:val="0"/>
          <w:sz w:val="30"/>
          <w:szCs w:val="32"/>
        </w:rPr>
      </w:pPr>
      <w:r>
        <w:rPr>
          <w:rFonts w:eastAsia="仿宋_GB2312"/>
          <w:kern w:val="0"/>
          <w:sz w:val="30"/>
          <w:szCs w:val="32"/>
        </w:rPr>
        <w:t>7.8.7暂停施工期间的工程照管</w:t>
      </w:r>
    </w:p>
    <w:p w14:paraId="575FDD5E">
      <w:pPr>
        <w:spacing w:line="360" w:lineRule="auto"/>
        <w:ind w:firstLine="600" w:firstLineChars="200"/>
        <w:jc w:val="left"/>
        <w:rPr>
          <w:rFonts w:eastAsia="仿宋_GB2312"/>
          <w:kern w:val="0"/>
          <w:sz w:val="30"/>
          <w:szCs w:val="32"/>
        </w:rPr>
      </w:pPr>
      <w:r>
        <w:rPr>
          <w:rFonts w:eastAsia="仿宋_GB2312"/>
          <w:kern w:val="0"/>
          <w:sz w:val="30"/>
          <w:szCs w:val="32"/>
        </w:rPr>
        <w:t>暂停施工期间，承包人应负责妥善照管工程并提供安全保障，由此增加的费用由责任方承担。</w:t>
      </w:r>
    </w:p>
    <w:p w14:paraId="17B5C630">
      <w:pPr>
        <w:spacing w:line="360" w:lineRule="auto"/>
        <w:ind w:firstLine="600" w:firstLineChars="200"/>
        <w:jc w:val="left"/>
        <w:rPr>
          <w:rFonts w:eastAsia="仿宋_GB2312"/>
          <w:kern w:val="0"/>
          <w:sz w:val="30"/>
          <w:szCs w:val="32"/>
        </w:rPr>
      </w:pPr>
      <w:r>
        <w:rPr>
          <w:rFonts w:eastAsia="仿宋_GB2312"/>
          <w:kern w:val="0"/>
          <w:sz w:val="30"/>
          <w:szCs w:val="32"/>
        </w:rPr>
        <w:t>7.8.8暂停施工的措施</w:t>
      </w:r>
    </w:p>
    <w:p w14:paraId="249EB8E0">
      <w:pPr>
        <w:spacing w:line="360" w:lineRule="auto"/>
        <w:ind w:firstLine="600" w:firstLineChars="200"/>
        <w:jc w:val="left"/>
        <w:rPr>
          <w:rFonts w:eastAsia="仿宋_GB2312"/>
          <w:kern w:val="0"/>
          <w:sz w:val="30"/>
          <w:szCs w:val="32"/>
        </w:rPr>
      </w:pPr>
      <w:r>
        <w:rPr>
          <w:rFonts w:eastAsia="仿宋_GB2312"/>
          <w:kern w:val="0"/>
          <w:sz w:val="30"/>
          <w:szCs w:val="32"/>
        </w:rPr>
        <w:t>暂停施工期间，发包人和承包人均应采取必要的措施确保工程质量及安全，防止因暂停施工扩大损失。</w:t>
      </w:r>
    </w:p>
    <w:p w14:paraId="563C45E9">
      <w:pPr>
        <w:pStyle w:val="9"/>
        <w:spacing w:before="120" w:after="120" w:line="360" w:lineRule="auto"/>
        <w:ind w:firstLine="600" w:firstLineChars="200"/>
        <w:rPr>
          <w:rFonts w:eastAsia="黑体"/>
          <w:b w:val="0"/>
          <w:i w:val="0"/>
          <w:iCs w:val="0"/>
          <w:sz w:val="30"/>
          <w:szCs w:val="32"/>
        </w:rPr>
      </w:pPr>
      <w:bookmarkStart w:id="382" w:name="_Toc351203551"/>
      <w:r>
        <w:rPr>
          <w:rFonts w:eastAsia="黑体"/>
          <w:b w:val="0"/>
          <w:i w:val="0"/>
          <w:iCs w:val="0"/>
          <w:sz w:val="30"/>
          <w:szCs w:val="32"/>
        </w:rPr>
        <w:t>7.9提前竣工</w:t>
      </w:r>
      <w:bookmarkEnd w:id="382"/>
    </w:p>
    <w:p w14:paraId="2D601076">
      <w:pPr>
        <w:spacing w:line="360" w:lineRule="auto"/>
        <w:ind w:firstLine="600" w:firstLineChars="200"/>
        <w:jc w:val="left"/>
        <w:rPr>
          <w:rFonts w:eastAsia="仿宋_GB2312"/>
          <w:kern w:val="0"/>
          <w:sz w:val="30"/>
          <w:szCs w:val="32"/>
        </w:rPr>
      </w:pPr>
      <w:r>
        <w:rPr>
          <w:rFonts w:eastAsia="仿宋_GB2312"/>
          <w:kern w:val="0"/>
          <w:sz w:val="30"/>
          <w:szCs w:val="32"/>
        </w:rPr>
        <w:t>7.9.1发包人要求承包人提前竣工的，发包人应通过监理人向承包人下达提前竣工指示，承包人应向发包人和监理人提交提前竣工建议书，提前竣工建议书应包括实施的方案、缩短的时间、增加的合同价格等内容。发包人接受该提前竣工建议书的，监理人应与发包人和承包人协商采取加快工程进度的措施，并修订施工进度计划，由此增加的费用由发包人承担。</w:t>
      </w:r>
      <w:r>
        <w:rPr>
          <w:rFonts w:hint="eastAsia" w:eastAsia="仿宋_GB2312"/>
          <w:kern w:val="0"/>
          <w:sz w:val="30"/>
          <w:szCs w:val="32"/>
        </w:rPr>
        <w:t>承包人认为提前竣工指示无法执行的，应向监理人和发包人提出书面异议，发包人和监理人应在收到异议后7天内予以答复。任何情况下，发包人不得压缩合理工期。</w:t>
      </w:r>
    </w:p>
    <w:p w14:paraId="44C2C2A3">
      <w:pPr>
        <w:spacing w:line="360" w:lineRule="auto"/>
        <w:ind w:firstLine="600" w:firstLineChars="200"/>
        <w:jc w:val="left"/>
        <w:rPr>
          <w:rFonts w:eastAsia="仿宋_GB2312"/>
          <w:kern w:val="0"/>
          <w:sz w:val="30"/>
          <w:szCs w:val="32"/>
        </w:rPr>
      </w:pPr>
      <w:r>
        <w:rPr>
          <w:rFonts w:eastAsia="仿宋_GB2312"/>
          <w:kern w:val="0"/>
          <w:sz w:val="30"/>
          <w:szCs w:val="32"/>
        </w:rPr>
        <w:t>7.9.2发包人要求承包人提前竣工，或承包人提出提前竣工的建议能够给发包人带来效益的，合同当事人可以在专用合同条款中约定提前竣工的奖励。</w:t>
      </w:r>
    </w:p>
    <w:p w14:paraId="6731EDDC">
      <w:pPr>
        <w:pStyle w:val="8"/>
        <w:spacing w:before="120" w:after="120" w:line="360" w:lineRule="auto"/>
        <w:rPr>
          <w:rFonts w:ascii="Times New Roman" w:hAnsi="Times New Roman" w:eastAsia="黑体"/>
          <w:b w:val="0"/>
          <w:sz w:val="32"/>
          <w:szCs w:val="32"/>
        </w:rPr>
      </w:pPr>
      <w:bookmarkStart w:id="383" w:name="_Toc351203552"/>
      <w:r>
        <w:rPr>
          <w:rFonts w:ascii="Times New Roman" w:hAnsi="Times New Roman" w:eastAsia="黑体"/>
          <w:b w:val="0"/>
          <w:sz w:val="32"/>
          <w:szCs w:val="32"/>
        </w:rPr>
        <w:t>8</w:t>
      </w:r>
      <w:bookmarkStart w:id="384" w:name="_Toc337558776"/>
      <w:bookmarkStart w:id="385" w:name="_Toc296503058"/>
      <w:bookmarkStart w:id="386" w:name="_Toc296346559"/>
      <w:r>
        <w:rPr>
          <w:rFonts w:ascii="Times New Roman" w:hAnsi="Times New Roman" w:eastAsia="黑体"/>
          <w:b w:val="0"/>
          <w:sz w:val="32"/>
          <w:szCs w:val="32"/>
        </w:rPr>
        <w:t>.材料与设备</w:t>
      </w:r>
      <w:bookmarkEnd w:id="383"/>
    </w:p>
    <w:bookmarkEnd w:id="384"/>
    <w:bookmarkEnd w:id="385"/>
    <w:bookmarkEnd w:id="386"/>
    <w:p w14:paraId="4751F561">
      <w:pPr>
        <w:pStyle w:val="9"/>
        <w:spacing w:before="120" w:after="120" w:line="360" w:lineRule="auto"/>
        <w:ind w:firstLine="600" w:firstLineChars="200"/>
        <w:rPr>
          <w:rFonts w:eastAsia="黑体"/>
          <w:b w:val="0"/>
          <w:i w:val="0"/>
          <w:iCs w:val="0"/>
          <w:sz w:val="30"/>
          <w:szCs w:val="32"/>
        </w:rPr>
      </w:pPr>
      <w:bookmarkStart w:id="387" w:name="_Toc351203553"/>
      <w:r>
        <w:rPr>
          <w:rFonts w:eastAsia="黑体"/>
          <w:b w:val="0"/>
          <w:i w:val="0"/>
          <w:iCs w:val="0"/>
          <w:sz w:val="30"/>
          <w:szCs w:val="32"/>
        </w:rPr>
        <w:t>8</w:t>
      </w:r>
      <w:bookmarkStart w:id="388" w:name="_Toc296346560"/>
      <w:bookmarkStart w:id="389" w:name="_Toc296503059"/>
      <w:bookmarkStart w:id="390" w:name="_Toc337558777"/>
      <w:bookmarkStart w:id="391" w:name="_Toc468936960"/>
      <w:r>
        <w:rPr>
          <w:rFonts w:eastAsia="黑体"/>
          <w:b w:val="0"/>
          <w:i w:val="0"/>
          <w:iCs w:val="0"/>
          <w:sz w:val="30"/>
          <w:szCs w:val="32"/>
        </w:rPr>
        <w:t>.1发包人供应材料与工程设备</w:t>
      </w:r>
      <w:bookmarkEnd w:id="387"/>
    </w:p>
    <w:bookmarkEnd w:id="388"/>
    <w:bookmarkEnd w:id="389"/>
    <w:bookmarkEnd w:id="390"/>
    <w:p w14:paraId="23D2284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发包人自行供应材料、工程设备的，应在签订合同时在专用合同条款的附件《发包人供应材料设备一览表》中明确材料、工程设备的品种、规格、型号、数量、单价、质量等级和送达地点。</w:t>
      </w:r>
    </w:p>
    <w:p w14:paraId="43DD4DB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承包人应提前30天通过监理人以书面形式通知发包人供应材料与工程设备进场。承包人按照第7.2.2项</w:t>
      </w:r>
      <w:r>
        <w:rPr>
          <w:rFonts w:hint="eastAsia" w:eastAsia="仿宋_GB2312"/>
          <w:kern w:val="0"/>
          <w:sz w:val="30"/>
          <w:szCs w:val="32"/>
        </w:rPr>
        <w:t>〔</w:t>
      </w:r>
      <w:r>
        <w:rPr>
          <w:rFonts w:eastAsia="仿宋_GB2312"/>
          <w:kern w:val="0"/>
          <w:sz w:val="30"/>
          <w:szCs w:val="32"/>
        </w:rPr>
        <w:t>施工进度计划的修订</w:t>
      </w:r>
      <w:r>
        <w:rPr>
          <w:rFonts w:hint="eastAsia" w:eastAsia="仿宋_GB2312"/>
          <w:kern w:val="0"/>
          <w:sz w:val="30"/>
          <w:szCs w:val="32"/>
        </w:rPr>
        <w:t>〕</w:t>
      </w:r>
      <w:r>
        <w:rPr>
          <w:rFonts w:eastAsia="仿宋_GB2312"/>
          <w:kern w:val="0"/>
          <w:sz w:val="30"/>
          <w:szCs w:val="32"/>
        </w:rPr>
        <w:t>约定修订施工进度计划时，需同时提交经修订后的发包人供应材料与工程设备的进场计划。</w:t>
      </w:r>
    </w:p>
    <w:p w14:paraId="05C00490">
      <w:pPr>
        <w:pStyle w:val="9"/>
        <w:spacing w:before="120" w:after="120" w:line="360" w:lineRule="auto"/>
        <w:ind w:firstLine="600" w:firstLineChars="200"/>
        <w:rPr>
          <w:rFonts w:eastAsia="仿宋_GB2312"/>
          <w:i w:val="0"/>
          <w:iCs w:val="0"/>
          <w:sz w:val="30"/>
          <w:szCs w:val="32"/>
        </w:rPr>
      </w:pPr>
      <w:bookmarkStart w:id="392" w:name="_Toc351203554"/>
      <w:r>
        <w:rPr>
          <w:rFonts w:eastAsia="黑体"/>
          <w:b w:val="0"/>
          <w:i w:val="0"/>
          <w:iCs w:val="0"/>
          <w:sz w:val="30"/>
          <w:szCs w:val="32"/>
        </w:rPr>
        <w:t>8</w:t>
      </w:r>
      <w:bookmarkStart w:id="393" w:name="_Toc296346561"/>
      <w:bookmarkStart w:id="394" w:name="_Toc337558778"/>
      <w:bookmarkStart w:id="395" w:name="_Toc296503060"/>
      <w:r>
        <w:rPr>
          <w:rFonts w:eastAsia="黑体"/>
          <w:b w:val="0"/>
          <w:i w:val="0"/>
          <w:iCs w:val="0"/>
          <w:sz w:val="30"/>
          <w:szCs w:val="32"/>
        </w:rPr>
        <w:t>.2承包人采购材料与工程设备</w:t>
      </w:r>
      <w:bookmarkEnd w:id="392"/>
    </w:p>
    <w:bookmarkEnd w:id="393"/>
    <w:bookmarkEnd w:id="394"/>
    <w:bookmarkEnd w:id="395"/>
    <w:p w14:paraId="13A81F4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负责采购材料、工程设备的，应按照设计和有关标准要求采购，并提供产品合格证明及出厂证明，对材料、工程设备质量负责。合同约定由承包人采购的材料、工程设备，发包人不得指定生产厂家或供应商，发包人违反本款约定指定生产厂家或供应商的，承包人有权拒绝，并由发包人承担</w:t>
      </w:r>
      <w:r>
        <w:rPr>
          <w:rFonts w:hint="eastAsia" w:eastAsia="仿宋_GB2312"/>
          <w:kern w:val="0"/>
          <w:sz w:val="30"/>
          <w:szCs w:val="32"/>
        </w:rPr>
        <w:t>相应责任</w:t>
      </w:r>
      <w:r>
        <w:rPr>
          <w:rFonts w:eastAsia="仿宋_GB2312"/>
          <w:kern w:val="0"/>
          <w:sz w:val="30"/>
          <w:szCs w:val="32"/>
        </w:rPr>
        <w:t>。</w:t>
      </w:r>
    </w:p>
    <w:p w14:paraId="62B18744">
      <w:pPr>
        <w:pStyle w:val="9"/>
        <w:spacing w:before="120" w:after="120" w:line="360" w:lineRule="auto"/>
        <w:ind w:firstLine="600" w:firstLineChars="200"/>
        <w:rPr>
          <w:rFonts w:eastAsia="黑体"/>
          <w:b w:val="0"/>
          <w:i w:val="0"/>
          <w:iCs w:val="0"/>
          <w:sz w:val="30"/>
          <w:szCs w:val="32"/>
        </w:rPr>
      </w:pPr>
      <w:bookmarkStart w:id="396" w:name="_Toc351203555"/>
      <w:r>
        <w:rPr>
          <w:rFonts w:eastAsia="黑体"/>
          <w:b w:val="0"/>
          <w:i w:val="0"/>
          <w:iCs w:val="0"/>
          <w:sz w:val="30"/>
          <w:szCs w:val="32"/>
        </w:rPr>
        <w:t>8</w:t>
      </w:r>
      <w:bookmarkStart w:id="397" w:name="_Toc296346562"/>
      <w:bookmarkStart w:id="398" w:name="_Toc337558779"/>
      <w:bookmarkStart w:id="399" w:name="_Toc296503061"/>
      <w:r>
        <w:rPr>
          <w:rFonts w:eastAsia="黑体"/>
          <w:b w:val="0"/>
          <w:i w:val="0"/>
          <w:iCs w:val="0"/>
          <w:sz w:val="30"/>
          <w:szCs w:val="32"/>
        </w:rPr>
        <w:t>.3材料与工程设备的接收与拒收</w:t>
      </w:r>
      <w:bookmarkEnd w:id="396"/>
    </w:p>
    <w:bookmarkEnd w:id="397"/>
    <w:bookmarkEnd w:id="398"/>
    <w:bookmarkEnd w:id="399"/>
    <w:p w14:paraId="54BCE8A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8.3.1发包人应按《发包人供应材料设备一览表》约定的内容提供材料和工程设备，并向承包人提供产品合格证明及出厂证明，对其质量负责。发包人应提前24小时以书面形式通知承包人、监理人材料和工程设备到货时间，承包人负责材料和工程设备的清点、检验和接收。</w:t>
      </w:r>
    </w:p>
    <w:p w14:paraId="56A3DD1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发包人提供的材料和工程设备的规格、数量或质量不符合合同约定的，或因发包人原因导致交货日期延误或交货地点变更等情况的，按照第16.1款</w:t>
      </w:r>
      <w:r>
        <w:rPr>
          <w:rFonts w:hint="eastAsia" w:eastAsia="仿宋_GB2312"/>
          <w:kern w:val="0"/>
          <w:sz w:val="30"/>
          <w:szCs w:val="32"/>
        </w:rPr>
        <w:t>〔</w:t>
      </w:r>
      <w:r>
        <w:rPr>
          <w:rFonts w:eastAsia="仿宋_GB2312"/>
          <w:kern w:val="0"/>
          <w:sz w:val="30"/>
          <w:szCs w:val="32"/>
        </w:rPr>
        <w:t>发包人违约</w:t>
      </w:r>
      <w:r>
        <w:rPr>
          <w:rFonts w:hint="eastAsia" w:eastAsia="仿宋_GB2312"/>
          <w:kern w:val="0"/>
          <w:sz w:val="30"/>
          <w:szCs w:val="32"/>
        </w:rPr>
        <w:t>〕</w:t>
      </w:r>
      <w:r>
        <w:rPr>
          <w:rFonts w:eastAsia="仿宋_GB2312"/>
          <w:kern w:val="0"/>
          <w:sz w:val="30"/>
          <w:szCs w:val="32"/>
        </w:rPr>
        <w:t>约定办理。</w:t>
      </w:r>
    </w:p>
    <w:p w14:paraId="7DAAC2F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8.3.2承包人采购的材料和工程设备，应保证产品质量合格，承包人应在材料和工程设备到货前24小时通知监理人检验。承</w:t>
      </w:r>
      <w:bookmarkStart w:id="400" w:name="_Toc250655469"/>
      <w:r>
        <w:rPr>
          <w:rFonts w:eastAsia="仿宋_GB2312"/>
          <w:kern w:val="0"/>
          <w:sz w:val="30"/>
          <w:szCs w:val="32"/>
        </w:rPr>
        <w:t>包人进行永久设备、材料的制造和生产的，应符合相关质量标准，并向监理人提交材料的样本以及有关资料，并应在使用该材料或工程设备之前获得监理人同意。</w:t>
      </w:r>
    </w:p>
    <w:bookmarkEnd w:id="400"/>
    <w:p w14:paraId="7A5FB88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采购的材料和工程设备不符合设计或有关标准要求时，承包人应在监理人要求的合理期限内将不符合设计或有关标准要求的材料、工程设备运出施工现场，并重新采购符合要求的材料、工程设备，由此增加的费用和（或）延误的工期，由承包人承担。</w:t>
      </w:r>
    </w:p>
    <w:p w14:paraId="42ECCEC2">
      <w:pPr>
        <w:pStyle w:val="9"/>
        <w:spacing w:before="120" w:after="120" w:line="360" w:lineRule="auto"/>
        <w:ind w:firstLine="600" w:firstLineChars="200"/>
        <w:rPr>
          <w:rFonts w:eastAsia="黑体"/>
          <w:b w:val="0"/>
          <w:i w:val="0"/>
          <w:iCs w:val="0"/>
          <w:sz w:val="30"/>
          <w:szCs w:val="32"/>
        </w:rPr>
      </w:pPr>
      <w:bookmarkStart w:id="401" w:name="_Toc351203556"/>
      <w:r>
        <w:rPr>
          <w:rFonts w:eastAsia="黑体"/>
          <w:b w:val="0"/>
          <w:i w:val="0"/>
          <w:iCs w:val="0"/>
          <w:sz w:val="30"/>
          <w:szCs w:val="32"/>
        </w:rPr>
        <w:t>8</w:t>
      </w:r>
      <w:bookmarkStart w:id="402" w:name="_Toc337558780"/>
      <w:bookmarkStart w:id="403" w:name="_Toc296503062"/>
      <w:bookmarkStart w:id="404" w:name="_Toc296346563"/>
      <w:r>
        <w:rPr>
          <w:rFonts w:eastAsia="黑体"/>
          <w:b w:val="0"/>
          <w:i w:val="0"/>
          <w:iCs w:val="0"/>
          <w:sz w:val="30"/>
          <w:szCs w:val="32"/>
        </w:rPr>
        <w:t>.4材料与工程设备的保管与使用</w:t>
      </w:r>
      <w:bookmarkEnd w:id="401"/>
    </w:p>
    <w:bookmarkEnd w:id="402"/>
    <w:bookmarkEnd w:id="403"/>
    <w:bookmarkEnd w:id="404"/>
    <w:p w14:paraId="38C95F3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8.4.1发包人供应</w:t>
      </w:r>
      <w:r>
        <w:rPr>
          <w:rFonts w:eastAsia="仿宋_GB2312"/>
          <w:sz w:val="30"/>
          <w:szCs w:val="32"/>
        </w:rPr>
        <w:t>材料与</w:t>
      </w:r>
      <w:r>
        <w:rPr>
          <w:rFonts w:eastAsia="仿宋_GB2312"/>
          <w:kern w:val="0"/>
          <w:sz w:val="30"/>
          <w:szCs w:val="32"/>
        </w:rPr>
        <w:t>工程</w:t>
      </w:r>
      <w:r>
        <w:rPr>
          <w:rFonts w:eastAsia="仿宋_GB2312"/>
          <w:sz w:val="30"/>
          <w:szCs w:val="32"/>
        </w:rPr>
        <w:t>设备的保管与使用</w:t>
      </w:r>
    </w:p>
    <w:p w14:paraId="4202A58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供应的材料和工程设备，承包人清点后由承包人妥善保管，保管费用由发包人承担，但已标价工程量清单或预算书已经列支或专用合同条款另有约定除外。因承包人原因发生丢失毁损的，由承包人负责赔偿；监理人未通知承包人清点的，承包人不负责材料和工程设备的保管，由此导致丢失毁损的由发包人负责。</w:t>
      </w:r>
    </w:p>
    <w:p w14:paraId="6F524F4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发包人供应的材料和工程设备使用前，由承包人负责检验，检验费用由发包人承担，不合格的不得使用。</w:t>
      </w:r>
    </w:p>
    <w:p w14:paraId="60C05F1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8.4.2承包人采购</w:t>
      </w:r>
      <w:r>
        <w:rPr>
          <w:rFonts w:eastAsia="仿宋_GB2312"/>
          <w:sz w:val="30"/>
          <w:szCs w:val="32"/>
        </w:rPr>
        <w:t>材料与</w:t>
      </w:r>
      <w:r>
        <w:rPr>
          <w:rFonts w:eastAsia="仿宋_GB2312"/>
          <w:kern w:val="0"/>
          <w:sz w:val="30"/>
          <w:szCs w:val="32"/>
        </w:rPr>
        <w:t>工程</w:t>
      </w:r>
      <w:r>
        <w:rPr>
          <w:rFonts w:eastAsia="仿宋_GB2312"/>
          <w:sz w:val="30"/>
          <w:szCs w:val="32"/>
        </w:rPr>
        <w:t>设备的保管与使用</w:t>
      </w:r>
    </w:p>
    <w:p w14:paraId="1A184ED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采购的材料和工程设备由承包人妥善保管，保管费用由承包人承担。法律规定材料和工程设备使用前必须进行检验或试验的，承包人应按监理人的要求进行检验或试验，检验或试验费用由承包人承担，不合格的不得使用。</w:t>
      </w:r>
    </w:p>
    <w:p w14:paraId="0F26A5A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发包人或监理人发现承包人使用不符合设计或有关标准要求的材料和工程设备时，有权要求承包人进行修复、拆除或重新采购，由此增加的费用和（或）延误的工期，由承包人承担。</w:t>
      </w:r>
    </w:p>
    <w:p w14:paraId="2FFAE6B0">
      <w:pPr>
        <w:pStyle w:val="9"/>
        <w:spacing w:before="120" w:after="120" w:line="360" w:lineRule="auto"/>
        <w:ind w:firstLine="600" w:firstLineChars="200"/>
        <w:rPr>
          <w:rFonts w:eastAsia="黑体"/>
          <w:b w:val="0"/>
          <w:i w:val="0"/>
          <w:iCs w:val="0"/>
          <w:sz w:val="30"/>
          <w:szCs w:val="32"/>
        </w:rPr>
      </w:pPr>
      <w:bookmarkStart w:id="405" w:name="_Toc351203557"/>
      <w:r>
        <w:rPr>
          <w:rFonts w:eastAsia="黑体"/>
          <w:b w:val="0"/>
          <w:i w:val="0"/>
          <w:iCs w:val="0"/>
          <w:sz w:val="30"/>
          <w:szCs w:val="32"/>
        </w:rPr>
        <w:t>8.5禁止使用不合格的材料和工程设备</w:t>
      </w:r>
      <w:bookmarkEnd w:id="405"/>
    </w:p>
    <w:p w14:paraId="7147E6A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8.5.1监理人有权拒绝承包人提供的不合格材料或工程设备，并要求承包人立即进行更换。监理人应在更换后再次进行检查和检验，由此增加的费用和（或）延误的工期由承包人承担。</w:t>
      </w:r>
    </w:p>
    <w:p w14:paraId="3FEA782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8.5.2监理人发现承包人使用了不合格的材料和工程设备，承包人应按照监理人的指示立即改正，并禁止在工程中继续使用不合格的材料和工程设备。</w:t>
      </w:r>
    </w:p>
    <w:p w14:paraId="79A244A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8.5.3发包人提供的材料或工程设备不符合合同要求的，承包人有权拒绝，并可要求发包人更换，由此增加的费用和（或）延误的工期由发包人承担</w:t>
      </w:r>
      <w:r>
        <w:rPr>
          <w:rFonts w:hint="eastAsia" w:eastAsia="仿宋_GB2312"/>
          <w:kern w:val="0"/>
          <w:sz w:val="30"/>
          <w:szCs w:val="32"/>
        </w:rPr>
        <w:t>，并支付承包人合理的利润</w:t>
      </w:r>
      <w:r>
        <w:rPr>
          <w:rFonts w:eastAsia="仿宋_GB2312"/>
          <w:kern w:val="0"/>
          <w:sz w:val="30"/>
          <w:szCs w:val="32"/>
        </w:rPr>
        <w:t>。</w:t>
      </w:r>
    </w:p>
    <w:p w14:paraId="2B466AF5">
      <w:pPr>
        <w:pStyle w:val="9"/>
        <w:spacing w:before="120" w:after="120" w:line="360" w:lineRule="auto"/>
        <w:ind w:firstLine="600" w:firstLineChars="200"/>
        <w:rPr>
          <w:rFonts w:eastAsia="黑体"/>
          <w:b w:val="0"/>
          <w:i w:val="0"/>
          <w:iCs w:val="0"/>
          <w:sz w:val="30"/>
          <w:szCs w:val="32"/>
        </w:rPr>
      </w:pPr>
      <w:bookmarkStart w:id="406" w:name="_Toc351203558"/>
      <w:r>
        <w:rPr>
          <w:rFonts w:eastAsia="黑体"/>
          <w:b w:val="0"/>
          <w:i w:val="0"/>
          <w:iCs w:val="0"/>
          <w:sz w:val="30"/>
          <w:szCs w:val="32"/>
        </w:rPr>
        <w:t>8.6样品</w:t>
      </w:r>
      <w:bookmarkEnd w:id="406"/>
    </w:p>
    <w:p w14:paraId="02F4739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8.6.1样品的报送</w:t>
      </w:r>
      <w:r>
        <w:rPr>
          <w:rFonts w:hint="eastAsia" w:eastAsia="仿宋_GB2312"/>
          <w:kern w:val="0"/>
          <w:sz w:val="30"/>
          <w:szCs w:val="32"/>
        </w:rPr>
        <w:t>与封存</w:t>
      </w:r>
    </w:p>
    <w:p w14:paraId="44F420B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需要承包人报送样品的材料或工程设备，样品的种类、名称、规格、数量等要求均应在专用合同条款中约定。样品的报送程序如下：</w:t>
      </w:r>
    </w:p>
    <w:p w14:paraId="77BD0A3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承包人应在计划采购前28天向监理人报送样品。承包人报送的样品均应来自供应材料的实际生产地，且提供的样品的规格、数量足以表明材料或工程设备的质量、型号、颜色、表面处理、质地、误差和其他要求的特征。</w:t>
      </w:r>
    </w:p>
    <w:p w14:paraId="4FFB470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（2）承包人每次报送样品时应随附申报单，申报单应载明报送样品的相关数据和资料，并标明每件样品对应的图纸号，预留监理人批复</w:t>
      </w:r>
      <w:r>
        <w:rPr>
          <w:rFonts w:hint="eastAsia" w:eastAsia="仿宋_GB2312"/>
          <w:kern w:val="0"/>
          <w:sz w:val="30"/>
          <w:szCs w:val="32"/>
        </w:rPr>
        <w:t>（见证）</w:t>
      </w:r>
      <w:r>
        <w:rPr>
          <w:rFonts w:eastAsia="仿宋_GB2312"/>
          <w:kern w:val="0"/>
          <w:sz w:val="30"/>
          <w:szCs w:val="32"/>
        </w:rPr>
        <w:t>意见栏。监理人应在收到承包人报送的样品后7天向承包人回复经发包人签认的样品审批意见。</w:t>
      </w:r>
    </w:p>
    <w:p w14:paraId="7CDC28D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（3）经发包人和监理人审批确认的样品</w:t>
      </w:r>
      <w:r>
        <w:rPr>
          <w:rFonts w:hint="eastAsia" w:eastAsia="仿宋_GB2312"/>
          <w:kern w:val="0"/>
          <w:sz w:val="30"/>
          <w:szCs w:val="32"/>
        </w:rPr>
        <w:t>应按约定的方法封样，封存的样品</w:t>
      </w:r>
      <w:r>
        <w:rPr>
          <w:rFonts w:eastAsia="仿宋_GB2312"/>
          <w:kern w:val="0"/>
          <w:sz w:val="30"/>
          <w:szCs w:val="32"/>
        </w:rPr>
        <w:t>作为检验工程相关部分的标准之一。承包人在施工过程中不得使用与样品不符的材料或工程设备。</w:t>
      </w:r>
    </w:p>
    <w:p w14:paraId="76B22BE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（4）发包人和监理人对样品的审批确认仅为确认相关材料或工程设备的特征或用途，不得被理解为对合同的修改或改变，也并不减轻或免除承包人任何的责任和义务。</w:t>
      </w:r>
      <w:r>
        <w:rPr>
          <w:rFonts w:hint="eastAsia" w:eastAsia="仿宋_GB2312"/>
          <w:kern w:val="0"/>
          <w:sz w:val="30"/>
          <w:szCs w:val="32"/>
        </w:rPr>
        <w:t>如果封存的样品修改或改变了合同约定，合同当事人应当以书面协议予以确认。</w:t>
      </w:r>
    </w:p>
    <w:p w14:paraId="45E24C0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8.6.2样品的保管</w:t>
      </w:r>
    </w:p>
    <w:p w14:paraId="2A50FF6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经批准的样品应由监理人负责封存于现场，承包人应在现场为保存样品提供适当和固定的场所并保持适当和良好的存储环境条件。</w:t>
      </w:r>
    </w:p>
    <w:p w14:paraId="11760A31">
      <w:pPr>
        <w:pStyle w:val="9"/>
        <w:spacing w:before="120" w:after="120" w:line="360" w:lineRule="auto"/>
        <w:ind w:firstLine="600" w:firstLineChars="200"/>
        <w:rPr>
          <w:rFonts w:eastAsia="黑体"/>
          <w:b w:val="0"/>
          <w:i w:val="0"/>
          <w:iCs w:val="0"/>
          <w:sz w:val="30"/>
          <w:szCs w:val="32"/>
        </w:rPr>
      </w:pPr>
      <w:bookmarkStart w:id="407" w:name="_Toc351203559"/>
      <w:r>
        <w:rPr>
          <w:rFonts w:eastAsia="黑体"/>
          <w:b w:val="0"/>
          <w:i w:val="0"/>
          <w:iCs w:val="0"/>
          <w:sz w:val="30"/>
          <w:szCs w:val="32"/>
        </w:rPr>
        <w:t>8.7材料与工程设备的替代</w:t>
      </w:r>
      <w:bookmarkEnd w:id="407"/>
    </w:p>
    <w:p w14:paraId="39B9A7B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8.7.1出现下列情况需要使用替代材料和工程设备的，承包人应按照第8.7.2项约定的程序执行：</w:t>
      </w:r>
    </w:p>
    <w:p w14:paraId="31680C0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（1）基准日</w:t>
      </w:r>
      <w:r>
        <w:rPr>
          <w:rFonts w:hint="eastAsia" w:eastAsia="仿宋_GB2312"/>
          <w:kern w:val="0"/>
          <w:sz w:val="30"/>
          <w:szCs w:val="32"/>
        </w:rPr>
        <w:t>期</w:t>
      </w:r>
      <w:r>
        <w:rPr>
          <w:rFonts w:eastAsia="仿宋_GB2312"/>
          <w:kern w:val="0"/>
          <w:sz w:val="30"/>
          <w:szCs w:val="32"/>
        </w:rPr>
        <w:t>后生效的法律规定禁止使用的；</w:t>
      </w:r>
    </w:p>
    <w:p w14:paraId="3E8012D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（2）发包人要求使用替代品的；</w:t>
      </w:r>
    </w:p>
    <w:p w14:paraId="60BD94D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（3）因其他原因必须使用替代品的。</w:t>
      </w:r>
    </w:p>
    <w:p w14:paraId="12A900B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8.7.2承包人应在使用替代材料和工程设备28天前书面通知监理人，并附下列文件：</w:t>
      </w:r>
    </w:p>
    <w:p w14:paraId="6460B3C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（1）被替代的材料和工程设备的名称、数量、规格、型号、品牌、性能、价格及其他相关资料；</w:t>
      </w:r>
    </w:p>
    <w:p w14:paraId="5C2FA67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（2）替代品的名称、数量、规格、型号、品牌、性能、价格及其他相关资料；</w:t>
      </w:r>
    </w:p>
    <w:p w14:paraId="2F4F016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（3）替代品与被替代产品之间的差异以及使用替代品可能对工程产生的影响；</w:t>
      </w:r>
    </w:p>
    <w:p w14:paraId="37EED2E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（4）替代品与被替代产品的价格差异；</w:t>
      </w:r>
    </w:p>
    <w:p w14:paraId="72DC52F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（5）使用替代品的理由和原因说明；</w:t>
      </w:r>
    </w:p>
    <w:p w14:paraId="4094582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（6）监理人要求的其他文件。</w:t>
      </w:r>
    </w:p>
    <w:p w14:paraId="3CC92A9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监理人应在收到通知后14天内向承包人发出经发包人签认的书面指示；监理人逾期发出书面指示的，视为发包人和监理人同意使用替代品。</w:t>
      </w:r>
    </w:p>
    <w:p w14:paraId="0398459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8.7.3发包人认可使用替代材料和工程设备的，替代材料和工程设备的价格，按照已标价工程量清单或预算书相同项目的价格认定；无相同项目的，参考相似项目价格认定；</w:t>
      </w:r>
      <w:r>
        <w:rPr>
          <w:rFonts w:hint="eastAsia" w:eastAsia="仿宋_GB2312"/>
          <w:kern w:val="0"/>
          <w:sz w:val="30"/>
          <w:szCs w:val="32"/>
        </w:rPr>
        <w:t>既无</w:t>
      </w:r>
      <w:r>
        <w:rPr>
          <w:rFonts w:eastAsia="仿宋_GB2312"/>
          <w:kern w:val="0"/>
          <w:sz w:val="30"/>
          <w:szCs w:val="32"/>
        </w:rPr>
        <w:t>相同项目</w:t>
      </w:r>
      <w:r>
        <w:rPr>
          <w:rFonts w:hint="eastAsia" w:eastAsia="仿宋_GB2312"/>
          <w:kern w:val="0"/>
          <w:sz w:val="30"/>
          <w:szCs w:val="32"/>
        </w:rPr>
        <w:t>也</w:t>
      </w:r>
      <w:r>
        <w:rPr>
          <w:rFonts w:eastAsia="仿宋_GB2312"/>
          <w:kern w:val="0"/>
          <w:sz w:val="30"/>
          <w:szCs w:val="32"/>
        </w:rPr>
        <w:t>无相似项目的，</w:t>
      </w:r>
      <w:r>
        <w:rPr>
          <w:rFonts w:hint="eastAsia" w:eastAsia="仿宋_GB2312"/>
          <w:kern w:val="0"/>
          <w:sz w:val="30"/>
          <w:szCs w:val="32"/>
        </w:rPr>
        <w:t>按照合理的成本与利润构成的原则，</w:t>
      </w:r>
      <w:r>
        <w:rPr>
          <w:rFonts w:eastAsia="仿宋_GB2312"/>
          <w:kern w:val="0"/>
          <w:sz w:val="30"/>
          <w:szCs w:val="32"/>
        </w:rPr>
        <w:t>由合同当事人按照第4.4款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确定价格。</w:t>
      </w:r>
    </w:p>
    <w:p w14:paraId="67902A71">
      <w:pPr>
        <w:pStyle w:val="9"/>
        <w:spacing w:before="120" w:after="120" w:line="360" w:lineRule="auto"/>
        <w:ind w:firstLine="600" w:firstLineChars="200"/>
        <w:rPr>
          <w:rFonts w:eastAsia="黑体"/>
          <w:b w:val="0"/>
          <w:i w:val="0"/>
          <w:iCs w:val="0"/>
          <w:sz w:val="30"/>
          <w:szCs w:val="32"/>
        </w:rPr>
      </w:pPr>
      <w:bookmarkStart w:id="408" w:name="_Toc351203560"/>
      <w:r>
        <w:rPr>
          <w:rFonts w:eastAsia="黑体"/>
          <w:b w:val="0"/>
          <w:i w:val="0"/>
          <w:iCs w:val="0"/>
          <w:sz w:val="30"/>
          <w:szCs w:val="32"/>
        </w:rPr>
        <w:t>8.8施工设备和临时设施</w:t>
      </w:r>
      <w:bookmarkEnd w:id="408"/>
    </w:p>
    <w:p w14:paraId="3F16CAD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8.8.1承包人提供的施工设备和临时设施</w:t>
      </w:r>
    </w:p>
    <w:p w14:paraId="0D79B9A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承包人应按合同进度计划的要求，及时配置施工设备和修建临时设施。进入施工场地的承包人设备需经监理人核查后才能投入使用。承包人更换合同约定的承包人设备的，应报监理人批准。</w:t>
      </w:r>
    </w:p>
    <w:p w14:paraId="391B4D9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除专用合同条款另有约定外，承包人应自行承担修建临时设施的费用，需要临时占地的，应由发包人办理申请手续并承担相应费用。</w:t>
      </w:r>
    </w:p>
    <w:p w14:paraId="637A273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8.8.2发包人提供的施工设备和临时设施</w:t>
      </w:r>
    </w:p>
    <w:p w14:paraId="6D44027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发包人提供的施工设备或临时设施在专用合同条款中约定。</w:t>
      </w:r>
    </w:p>
    <w:p w14:paraId="5D15645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8.8.3要求承包人增加或更换施工设备</w:t>
      </w:r>
    </w:p>
    <w:p w14:paraId="45B7E10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承包人使用的施工设备不能满足合同进度计划和（或）质量要求时，监理人有权要求承包人增加或更换施工设备，承包人应及时增加或更换，由此增加的费用和（或）延误的工期由承包人承担。</w:t>
      </w:r>
    </w:p>
    <w:p w14:paraId="31DD8D96">
      <w:pPr>
        <w:pStyle w:val="9"/>
        <w:spacing w:before="120" w:after="120" w:line="360" w:lineRule="auto"/>
        <w:ind w:firstLine="600" w:firstLineChars="200"/>
        <w:rPr>
          <w:rFonts w:eastAsia="黑体"/>
          <w:b w:val="0"/>
          <w:i w:val="0"/>
          <w:iCs w:val="0"/>
          <w:sz w:val="30"/>
          <w:szCs w:val="32"/>
        </w:rPr>
      </w:pPr>
      <w:bookmarkStart w:id="409" w:name="_Toc351203561"/>
      <w:r>
        <w:rPr>
          <w:rFonts w:eastAsia="黑体"/>
          <w:b w:val="0"/>
          <w:i w:val="0"/>
          <w:iCs w:val="0"/>
          <w:sz w:val="30"/>
          <w:szCs w:val="32"/>
        </w:rPr>
        <w:t>8</w:t>
      </w:r>
      <w:bookmarkStart w:id="410" w:name="_Toc296503063"/>
      <w:bookmarkStart w:id="411" w:name="_Toc337558781"/>
      <w:bookmarkStart w:id="412" w:name="_Toc296346564"/>
      <w:r>
        <w:rPr>
          <w:rFonts w:eastAsia="黑体"/>
          <w:b w:val="0"/>
          <w:i w:val="0"/>
          <w:iCs w:val="0"/>
          <w:sz w:val="30"/>
          <w:szCs w:val="32"/>
        </w:rPr>
        <w:t>.9材料与设备专用</w:t>
      </w:r>
      <w:bookmarkEnd w:id="409"/>
      <w:r>
        <w:rPr>
          <w:rFonts w:hint="eastAsia" w:eastAsia="黑体"/>
          <w:b w:val="0"/>
          <w:i w:val="0"/>
          <w:iCs w:val="0"/>
          <w:sz w:val="30"/>
          <w:szCs w:val="32"/>
        </w:rPr>
        <w:t>要求</w:t>
      </w:r>
    </w:p>
    <w:bookmarkEnd w:id="410"/>
    <w:bookmarkEnd w:id="411"/>
    <w:bookmarkEnd w:id="412"/>
    <w:p w14:paraId="2C102FFD">
      <w:pPr>
        <w:spacing w:line="360" w:lineRule="auto"/>
        <w:ind w:firstLine="600" w:firstLineChars="200"/>
        <w:jc w:val="left"/>
        <w:rPr>
          <w:rFonts w:eastAsia="仿宋_GB2312"/>
          <w:kern w:val="0"/>
          <w:sz w:val="30"/>
          <w:szCs w:val="32"/>
        </w:rPr>
      </w:pPr>
      <w:r>
        <w:rPr>
          <w:rFonts w:eastAsia="仿宋_GB2312"/>
          <w:kern w:val="0"/>
          <w:sz w:val="30"/>
          <w:szCs w:val="32"/>
        </w:rPr>
        <w:t>承包人运入施工现场的材料、工程设备、施工设备以及在施工场地建设的临时设施，包括备品备件、安装工具与资料，必须专用于工程。未经发包人批准，承包人不得运出施工现场或挪作他用；</w:t>
      </w:r>
      <w:bookmarkEnd w:id="391"/>
      <w:r>
        <w:rPr>
          <w:rFonts w:eastAsia="仿宋_GB2312"/>
          <w:kern w:val="0"/>
          <w:sz w:val="30"/>
          <w:szCs w:val="32"/>
        </w:rPr>
        <w:t>经发包人批准，承包人可以根据施工进度计划撤走闲置的施工设备和其他物品。</w:t>
      </w:r>
    </w:p>
    <w:p w14:paraId="01DFB4E3">
      <w:pPr>
        <w:pStyle w:val="8"/>
        <w:spacing w:before="120" w:after="120" w:line="360" w:lineRule="auto"/>
        <w:rPr>
          <w:rFonts w:ascii="Times New Roman" w:hAnsi="Times New Roman" w:eastAsia="黑体"/>
          <w:b w:val="0"/>
          <w:sz w:val="32"/>
          <w:szCs w:val="32"/>
        </w:rPr>
      </w:pPr>
      <w:bookmarkStart w:id="413" w:name="_Toc351203562"/>
      <w:r>
        <w:rPr>
          <w:rFonts w:ascii="Times New Roman" w:hAnsi="Times New Roman" w:eastAsia="黑体"/>
          <w:b w:val="0"/>
          <w:sz w:val="32"/>
          <w:szCs w:val="32"/>
        </w:rPr>
        <w:t>9</w:t>
      </w:r>
      <w:bookmarkStart w:id="414" w:name="_Toc337558782"/>
      <w:bookmarkStart w:id="415" w:name="_Toc296503083"/>
      <w:bookmarkStart w:id="416" w:name="_Toc296346584"/>
      <w:r>
        <w:rPr>
          <w:rFonts w:ascii="Times New Roman" w:hAnsi="Times New Roman" w:eastAsia="黑体"/>
          <w:b w:val="0"/>
          <w:sz w:val="32"/>
          <w:szCs w:val="32"/>
        </w:rPr>
        <w:t>.试验与检验</w:t>
      </w:r>
      <w:bookmarkEnd w:id="413"/>
    </w:p>
    <w:bookmarkEnd w:id="414"/>
    <w:p w14:paraId="2154A9CE">
      <w:pPr>
        <w:pStyle w:val="9"/>
        <w:spacing w:before="120" w:after="120" w:line="360" w:lineRule="auto"/>
        <w:ind w:firstLine="600" w:firstLineChars="200"/>
        <w:rPr>
          <w:rFonts w:eastAsia="黑体"/>
          <w:b w:val="0"/>
          <w:i w:val="0"/>
          <w:iCs w:val="0"/>
          <w:sz w:val="30"/>
          <w:szCs w:val="32"/>
        </w:rPr>
      </w:pPr>
      <w:bookmarkStart w:id="417" w:name="_Toc351203563"/>
      <w:r>
        <w:rPr>
          <w:rFonts w:eastAsia="黑体"/>
          <w:b w:val="0"/>
          <w:i w:val="0"/>
          <w:iCs w:val="0"/>
          <w:sz w:val="30"/>
          <w:szCs w:val="32"/>
        </w:rPr>
        <w:t>9</w:t>
      </w:r>
      <w:bookmarkStart w:id="418" w:name="_Toc337558783"/>
      <w:r>
        <w:rPr>
          <w:rFonts w:eastAsia="黑体"/>
          <w:b w:val="0"/>
          <w:i w:val="0"/>
          <w:iCs w:val="0"/>
          <w:sz w:val="30"/>
          <w:szCs w:val="32"/>
        </w:rPr>
        <w:t>.1试验设备与试验人员</w:t>
      </w:r>
      <w:bookmarkEnd w:id="417"/>
    </w:p>
    <w:bookmarkEnd w:id="418"/>
    <w:p w14:paraId="6E106956">
      <w:pPr>
        <w:spacing w:line="360" w:lineRule="auto"/>
        <w:ind w:firstLine="600" w:firstLineChars="200"/>
        <w:jc w:val="left"/>
        <w:rPr>
          <w:rFonts w:eastAsia="仿宋_GB2312"/>
          <w:kern w:val="0"/>
          <w:sz w:val="30"/>
          <w:szCs w:val="32"/>
        </w:rPr>
      </w:pPr>
      <w:r>
        <w:rPr>
          <w:rFonts w:eastAsia="仿宋_GB2312"/>
          <w:kern w:val="0"/>
          <w:sz w:val="30"/>
          <w:szCs w:val="32"/>
        </w:rPr>
        <w:t>9.1.1承包人根据合同约定或监理人指示进行的现场材料试验，应由承包人提供试验场所、试验人员、试验设备以及其他必要的试验条件。监理人在必要时可以使用承包人提供的试验场所、试验设备以及其他试验条件，进行以工程质量检查为目的的材料复核试验，承包人应予以协助。</w:t>
      </w:r>
    </w:p>
    <w:p w14:paraId="137740D4">
      <w:pPr>
        <w:spacing w:line="360" w:lineRule="auto"/>
        <w:ind w:firstLine="600" w:firstLineChars="200"/>
        <w:jc w:val="left"/>
        <w:rPr>
          <w:rFonts w:eastAsia="仿宋_GB2312"/>
          <w:kern w:val="0"/>
          <w:sz w:val="30"/>
          <w:szCs w:val="32"/>
        </w:rPr>
      </w:pPr>
      <w:r>
        <w:rPr>
          <w:rFonts w:eastAsia="仿宋_GB2312"/>
          <w:kern w:val="0"/>
          <w:sz w:val="30"/>
          <w:szCs w:val="32"/>
        </w:rPr>
        <w:t>9.1.2承包人应按专用合同条款的约定提供试验设备、取样装置、试验场所和试验条件，并向监理人提交相应进场计划表。</w:t>
      </w:r>
    </w:p>
    <w:p w14:paraId="0743DE3A">
      <w:pPr>
        <w:spacing w:line="360" w:lineRule="auto"/>
        <w:ind w:firstLine="600" w:firstLineChars="200"/>
        <w:jc w:val="left"/>
        <w:rPr>
          <w:rFonts w:eastAsia="仿宋_GB2312"/>
          <w:kern w:val="0"/>
          <w:sz w:val="30"/>
          <w:szCs w:val="32"/>
        </w:rPr>
      </w:pPr>
      <w:r>
        <w:rPr>
          <w:rFonts w:eastAsia="仿宋_GB2312"/>
          <w:kern w:val="0"/>
          <w:sz w:val="30"/>
          <w:szCs w:val="32"/>
        </w:rPr>
        <w:t>承包人配置的试验设备要符合相应试验规程的要求并经过具有资质的检测单位检测，且在正式使用该试验设备前，需要经过监理人与承包人共同校定。</w:t>
      </w:r>
    </w:p>
    <w:p w14:paraId="34A8AE0E">
      <w:pPr>
        <w:spacing w:line="360" w:lineRule="auto"/>
        <w:ind w:firstLine="600" w:firstLineChars="200"/>
        <w:jc w:val="left"/>
        <w:rPr>
          <w:rFonts w:eastAsia="仿宋_GB2312"/>
          <w:kern w:val="0"/>
          <w:sz w:val="30"/>
          <w:szCs w:val="32"/>
        </w:rPr>
      </w:pPr>
      <w:r>
        <w:rPr>
          <w:rFonts w:eastAsia="仿宋_GB2312"/>
          <w:kern w:val="0"/>
          <w:sz w:val="30"/>
          <w:szCs w:val="32"/>
        </w:rPr>
        <w:t>9.1.3承包人应向监理人提交试验人员的名单及其岗位、资格等证明资料，试验人员必须能够熟练进行相应的检测试验，承包人对试验人员的试验程序和试验结果的正确性负责。</w:t>
      </w:r>
    </w:p>
    <w:p w14:paraId="517E834B">
      <w:pPr>
        <w:pStyle w:val="9"/>
        <w:spacing w:before="120" w:after="120" w:line="360" w:lineRule="auto"/>
        <w:ind w:firstLine="600" w:firstLineChars="200"/>
        <w:rPr>
          <w:rFonts w:eastAsia="黑体"/>
          <w:b w:val="0"/>
          <w:i w:val="0"/>
          <w:iCs w:val="0"/>
          <w:sz w:val="30"/>
          <w:szCs w:val="32"/>
        </w:rPr>
      </w:pPr>
      <w:bookmarkStart w:id="419" w:name="_Toc351203564"/>
      <w:r>
        <w:rPr>
          <w:rFonts w:eastAsia="黑体"/>
          <w:b w:val="0"/>
          <w:i w:val="0"/>
          <w:iCs w:val="0"/>
          <w:sz w:val="30"/>
          <w:szCs w:val="32"/>
        </w:rPr>
        <w:t>9</w:t>
      </w:r>
      <w:bookmarkStart w:id="420" w:name="_Toc337558784"/>
      <w:r>
        <w:rPr>
          <w:rFonts w:eastAsia="黑体"/>
          <w:b w:val="0"/>
          <w:i w:val="0"/>
          <w:iCs w:val="0"/>
          <w:sz w:val="30"/>
          <w:szCs w:val="32"/>
        </w:rPr>
        <w:t>.2取样</w:t>
      </w:r>
      <w:bookmarkEnd w:id="419"/>
    </w:p>
    <w:bookmarkEnd w:id="420"/>
    <w:p w14:paraId="621E444F">
      <w:pPr>
        <w:spacing w:line="360" w:lineRule="auto"/>
        <w:ind w:firstLine="600" w:firstLineChars="200"/>
        <w:jc w:val="left"/>
        <w:rPr>
          <w:rFonts w:eastAsia="仿宋_GB2312"/>
          <w:kern w:val="0"/>
          <w:sz w:val="30"/>
          <w:szCs w:val="32"/>
        </w:rPr>
      </w:pPr>
      <w:r>
        <w:rPr>
          <w:rFonts w:eastAsia="仿宋_GB2312"/>
          <w:kern w:val="0"/>
          <w:sz w:val="30"/>
          <w:szCs w:val="32"/>
        </w:rPr>
        <w:t>试验属于自检性质的，承包人可以单独取样。试验属于监理人抽检性质的，可由监理人取样，也可由承包人的试验人员在监理人的监督下取样。</w:t>
      </w:r>
    </w:p>
    <w:p w14:paraId="5812385C">
      <w:pPr>
        <w:pStyle w:val="9"/>
        <w:spacing w:before="120" w:after="120" w:line="360" w:lineRule="auto"/>
        <w:ind w:firstLine="600" w:firstLineChars="200"/>
        <w:rPr>
          <w:rFonts w:eastAsia="黑体"/>
          <w:b w:val="0"/>
          <w:i w:val="0"/>
          <w:iCs w:val="0"/>
          <w:sz w:val="30"/>
          <w:szCs w:val="32"/>
        </w:rPr>
      </w:pPr>
      <w:bookmarkStart w:id="421" w:name="_Toc351203565"/>
      <w:r>
        <w:rPr>
          <w:rFonts w:eastAsia="黑体"/>
          <w:b w:val="0"/>
          <w:i w:val="0"/>
          <w:iCs w:val="0"/>
          <w:sz w:val="30"/>
          <w:szCs w:val="32"/>
        </w:rPr>
        <w:t>9</w:t>
      </w:r>
      <w:bookmarkStart w:id="422" w:name="_Toc337558785"/>
      <w:r>
        <w:rPr>
          <w:rFonts w:eastAsia="黑体"/>
          <w:b w:val="0"/>
          <w:i w:val="0"/>
          <w:iCs w:val="0"/>
          <w:sz w:val="30"/>
          <w:szCs w:val="32"/>
        </w:rPr>
        <w:t>.3材料、工程设备和工程的试验和检验</w:t>
      </w:r>
      <w:bookmarkEnd w:id="421"/>
    </w:p>
    <w:bookmarkEnd w:id="422"/>
    <w:p w14:paraId="29B9BD9E">
      <w:pPr>
        <w:spacing w:line="360" w:lineRule="auto"/>
        <w:ind w:firstLine="600" w:firstLineChars="200"/>
        <w:jc w:val="left"/>
        <w:rPr>
          <w:rFonts w:eastAsia="仿宋_GB2312"/>
          <w:kern w:val="0"/>
          <w:sz w:val="30"/>
          <w:szCs w:val="32"/>
        </w:rPr>
      </w:pPr>
      <w:r>
        <w:rPr>
          <w:rFonts w:eastAsia="仿宋_GB2312"/>
          <w:kern w:val="0"/>
          <w:sz w:val="30"/>
          <w:szCs w:val="32"/>
        </w:rPr>
        <w:t>9.3.1承包人应按合同约定进行材料、工程设备和工程的试验和检验，并为监理人对上述材料、工程设备和工程的质量检查提供必要的试验资料和原始记录。按合同约定应由监理人与承包人共同进行试验和检验的，由承包人负责提供必要的试验资料和原始记录。</w:t>
      </w:r>
    </w:p>
    <w:p w14:paraId="6D72A194">
      <w:pPr>
        <w:spacing w:line="360" w:lineRule="auto"/>
        <w:ind w:firstLine="600" w:firstLineChars="200"/>
        <w:jc w:val="left"/>
        <w:rPr>
          <w:rFonts w:eastAsia="仿宋_GB2312"/>
          <w:kern w:val="0"/>
          <w:sz w:val="30"/>
          <w:szCs w:val="32"/>
        </w:rPr>
      </w:pPr>
      <w:r>
        <w:rPr>
          <w:rFonts w:eastAsia="仿宋_GB2312"/>
          <w:kern w:val="0"/>
          <w:sz w:val="30"/>
          <w:szCs w:val="32"/>
        </w:rPr>
        <w:t>9.3.2试验属于自检性质的，承包人可以单独进行试验。试验属于监理人抽检性质的，监理人可以单独进行试验，也可由承包人与监理人共同进行。承包人对由监理人单独进行的试验结果有异议的，可以申请重新共同进行试验。约定共同进行试验的，监理人未按照约定参加试验的，承包人可自行试验，并将试验结果报送监理人，监理人应承认该试验结果。</w:t>
      </w:r>
    </w:p>
    <w:p w14:paraId="27CDAA64">
      <w:pPr>
        <w:spacing w:line="360" w:lineRule="auto"/>
        <w:ind w:firstLine="600" w:firstLineChars="200"/>
        <w:jc w:val="left"/>
        <w:rPr>
          <w:rFonts w:eastAsia="仿宋_GB2312"/>
          <w:kern w:val="0"/>
          <w:sz w:val="30"/>
          <w:szCs w:val="32"/>
        </w:rPr>
      </w:pPr>
      <w:r>
        <w:rPr>
          <w:rFonts w:eastAsia="仿宋_GB2312"/>
          <w:kern w:val="0"/>
          <w:sz w:val="30"/>
          <w:szCs w:val="32"/>
        </w:rPr>
        <w:t>9.3.3监理人对承包人的试验和检验结果有异议的，或为查清承包人试验和检验成果的可靠性要求承包人重新试验和检验的，可由监理人与承包人共同进行。重新试验和检验的结果证明该项材料、工程设备或工程的质量不符合合同要求的，由此增加的费用和（或）延误的工期由承包人承担；重新试验和检验结果证明该项材料、工程设备和工程符合合同要求的，由此增加的费用和（或）延误的工期由发包人承担。</w:t>
      </w:r>
    </w:p>
    <w:p w14:paraId="1B9088C4">
      <w:pPr>
        <w:pStyle w:val="9"/>
        <w:spacing w:before="120" w:after="120" w:line="360" w:lineRule="auto"/>
        <w:ind w:firstLine="600" w:firstLineChars="200"/>
        <w:rPr>
          <w:rFonts w:eastAsia="黑体"/>
          <w:b w:val="0"/>
          <w:i w:val="0"/>
          <w:iCs w:val="0"/>
          <w:sz w:val="30"/>
          <w:szCs w:val="32"/>
        </w:rPr>
      </w:pPr>
      <w:bookmarkStart w:id="423" w:name="_Toc351203566"/>
      <w:r>
        <w:rPr>
          <w:rFonts w:eastAsia="黑体"/>
          <w:b w:val="0"/>
          <w:i w:val="0"/>
          <w:iCs w:val="0"/>
          <w:sz w:val="30"/>
          <w:szCs w:val="32"/>
        </w:rPr>
        <w:t>9</w:t>
      </w:r>
      <w:bookmarkStart w:id="424" w:name="_Toc337558786"/>
      <w:r>
        <w:rPr>
          <w:rFonts w:eastAsia="黑体"/>
          <w:b w:val="0"/>
          <w:i w:val="0"/>
          <w:iCs w:val="0"/>
          <w:sz w:val="30"/>
          <w:szCs w:val="32"/>
        </w:rPr>
        <w:t>.4现场工艺试验</w:t>
      </w:r>
      <w:bookmarkEnd w:id="423"/>
    </w:p>
    <w:bookmarkEnd w:id="424"/>
    <w:p w14:paraId="19AB1130">
      <w:pPr>
        <w:spacing w:line="360" w:lineRule="auto"/>
        <w:ind w:firstLine="600" w:firstLineChars="200"/>
        <w:jc w:val="left"/>
        <w:rPr>
          <w:rFonts w:eastAsia="仿宋_GB2312"/>
          <w:kern w:val="0"/>
          <w:sz w:val="30"/>
          <w:szCs w:val="32"/>
        </w:rPr>
      </w:pPr>
      <w:r>
        <w:rPr>
          <w:rFonts w:eastAsia="仿宋_GB2312"/>
          <w:kern w:val="0"/>
          <w:sz w:val="30"/>
          <w:szCs w:val="32"/>
        </w:rPr>
        <w:t>承包人应按合同约定或监理人指示进行现场工艺试验。对大型的现场工艺试验，监理人认为必要时，承包人应根据监理人提出的工艺试验要求，编制工艺试验措施计划，报送监理人审查。</w:t>
      </w:r>
    </w:p>
    <w:p w14:paraId="4C68047F">
      <w:pPr>
        <w:pStyle w:val="8"/>
        <w:spacing w:before="120" w:after="120" w:line="360" w:lineRule="auto"/>
        <w:rPr>
          <w:rFonts w:ascii="Times New Roman" w:hAnsi="Times New Roman" w:eastAsia="黑体"/>
          <w:b w:val="0"/>
          <w:sz w:val="32"/>
          <w:szCs w:val="32"/>
        </w:rPr>
      </w:pPr>
      <w:bookmarkStart w:id="425" w:name="_Toc351203567"/>
      <w:r>
        <w:rPr>
          <w:rFonts w:ascii="Times New Roman" w:hAnsi="Times New Roman" w:eastAsia="黑体"/>
          <w:b w:val="0"/>
          <w:sz w:val="32"/>
          <w:szCs w:val="32"/>
        </w:rPr>
        <w:t>1</w:t>
      </w:r>
      <w:bookmarkStart w:id="426" w:name="_Toc337558787"/>
      <w:r>
        <w:rPr>
          <w:rFonts w:ascii="Times New Roman" w:hAnsi="Times New Roman" w:eastAsia="黑体"/>
          <w:b w:val="0"/>
          <w:sz w:val="32"/>
          <w:szCs w:val="32"/>
        </w:rPr>
        <w:t>0.变更</w:t>
      </w:r>
      <w:bookmarkEnd w:id="415"/>
      <w:bookmarkEnd w:id="416"/>
      <w:bookmarkEnd w:id="425"/>
    </w:p>
    <w:bookmarkEnd w:id="426"/>
    <w:p w14:paraId="08E4821B">
      <w:pPr>
        <w:pStyle w:val="9"/>
        <w:spacing w:before="120" w:after="120" w:line="360" w:lineRule="auto"/>
        <w:ind w:firstLine="600" w:firstLineChars="200"/>
        <w:rPr>
          <w:rFonts w:eastAsia="黑体"/>
          <w:b w:val="0"/>
          <w:i w:val="0"/>
          <w:iCs w:val="0"/>
          <w:sz w:val="30"/>
          <w:szCs w:val="32"/>
        </w:rPr>
      </w:pPr>
      <w:bookmarkStart w:id="427" w:name="_Toc351203568"/>
      <w:r>
        <w:rPr>
          <w:rFonts w:eastAsia="黑体"/>
          <w:b w:val="0"/>
          <w:i w:val="0"/>
          <w:iCs w:val="0"/>
          <w:sz w:val="30"/>
          <w:szCs w:val="32"/>
        </w:rPr>
        <w:t>1</w:t>
      </w:r>
      <w:bookmarkStart w:id="428" w:name="_Toc296503084"/>
      <w:bookmarkStart w:id="429" w:name="_Toc296346585"/>
      <w:bookmarkStart w:id="430" w:name="_Toc337558788"/>
      <w:r>
        <w:rPr>
          <w:rFonts w:eastAsia="黑体"/>
          <w:b w:val="0"/>
          <w:i w:val="0"/>
          <w:iCs w:val="0"/>
          <w:sz w:val="30"/>
          <w:szCs w:val="32"/>
        </w:rPr>
        <w:t>0.1变更的范围</w:t>
      </w:r>
      <w:bookmarkEnd w:id="427"/>
    </w:p>
    <w:bookmarkEnd w:id="428"/>
    <w:bookmarkEnd w:id="429"/>
    <w:bookmarkEnd w:id="430"/>
    <w:p w14:paraId="55292BD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除专用合同条款另有约定外，合同履行过程中发生以下情形的，应按照本条约定进行变更：</w:t>
      </w:r>
    </w:p>
    <w:p w14:paraId="5ACDCE4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（1）增加或减少合同中任何工作，或追加额外的工作；</w:t>
      </w:r>
    </w:p>
    <w:p w14:paraId="7587EF1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（2）取消合同中任何工作，但转由他人实施的工作除外；</w:t>
      </w:r>
    </w:p>
    <w:p w14:paraId="5044989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（3）改变合同中任何工作的质量标准或其他特性；</w:t>
      </w:r>
    </w:p>
    <w:p w14:paraId="557BBD4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（4）改变工程的基线、标高、位置和尺寸；</w:t>
      </w:r>
    </w:p>
    <w:p w14:paraId="62239D2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（5）改变工程的时间安排或实施顺序。</w:t>
      </w:r>
    </w:p>
    <w:p w14:paraId="305BF2ED">
      <w:pPr>
        <w:pStyle w:val="9"/>
        <w:spacing w:before="120" w:after="120" w:line="360" w:lineRule="auto"/>
        <w:ind w:firstLine="600" w:firstLineChars="200"/>
        <w:rPr>
          <w:rFonts w:eastAsia="黑体"/>
          <w:b w:val="0"/>
          <w:i w:val="0"/>
          <w:iCs w:val="0"/>
          <w:sz w:val="30"/>
          <w:szCs w:val="32"/>
        </w:rPr>
      </w:pPr>
      <w:bookmarkStart w:id="431" w:name="_Toc351203569"/>
      <w:r>
        <w:rPr>
          <w:rFonts w:eastAsia="黑体"/>
          <w:b w:val="0"/>
          <w:i w:val="0"/>
          <w:iCs w:val="0"/>
          <w:sz w:val="30"/>
          <w:szCs w:val="32"/>
        </w:rPr>
        <w:t>1</w:t>
      </w:r>
      <w:bookmarkStart w:id="432" w:name="_Toc296346586"/>
      <w:bookmarkStart w:id="433" w:name="_Toc296503085"/>
      <w:bookmarkStart w:id="434" w:name="_Toc337558789"/>
      <w:r>
        <w:rPr>
          <w:rFonts w:eastAsia="黑体"/>
          <w:b w:val="0"/>
          <w:i w:val="0"/>
          <w:iCs w:val="0"/>
          <w:sz w:val="30"/>
          <w:szCs w:val="32"/>
        </w:rPr>
        <w:t>0.2变更权</w:t>
      </w:r>
      <w:bookmarkEnd w:id="431"/>
    </w:p>
    <w:bookmarkEnd w:id="432"/>
    <w:bookmarkEnd w:id="433"/>
    <w:bookmarkEnd w:id="434"/>
    <w:p w14:paraId="4F9E3CE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和监理人均可以提出变更。变更指示均通过监理人发出，监理人发出变更指示前应征得发包人同意。承包人收到经发包人签认的变更指示后，方可实施变更。未经许可，承包人不得擅自对工程的任何部分进行变更。</w:t>
      </w:r>
    </w:p>
    <w:p w14:paraId="7DE1711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涉及设计变更的，应由设计人提供变更后的图纸和说明。如变更超过原设计标准或批准的建设规模时，发包人应及时办理规划、设计变更</w:t>
      </w:r>
      <w:r>
        <w:rPr>
          <w:rFonts w:hint="eastAsia" w:eastAsia="仿宋_GB2312"/>
          <w:kern w:val="0"/>
          <w:sz w:val="30"/>
          <w:szCs w:val="32"/>
        </w:rPr>
        <w:t>等</w:t>
      </w:r>
      <w:r>
        <w:rPr>
          <w:rFonts w:eastAsia="仿宋_GB2312"/>
          <w:kern w:val="0"/>
          <w:sz w:val="30"/>
          <w:szCs w:val="32"/>
        </w:rPr>
        <w:t>审批手续。</w:t>
      </w:r>
    </w:p>
    <w:p w14:paraId="37BBF77C">
      <w:pPr>
        <w:pStyle w:val="9"/>
        <w:spacing w:before="120" w:after="120" w:line="360" w:lineRule="auto"/>
        <w:ind w:firstLine="600" w:firstLineChars="200"/>
        <w:rPr>
          <w:rFonts w:eastAsia="黑体"/>
          <w:b w:val="0"/>
          <w:i w:val="0"/>
          <w:iCs w:val="0"/>
          <w:sz w:val="30"/>
          <w:szCs w:val="32"/>
        </w:rPr>
      </w:pPr>
      <w:bookmarkStart w:id="435" w:name="_Toc351203570"/>
      <w:r>
        <w:rPr>
          <w:rFonts w:eastAsia="黑体"/>
          <w:b w:val="0"/>
          <w:i w:val="0"/>
          <w:iCs w:val="0"/>
          <w:sz w:val="30"/>
          <w:szCs w:val="32"/>
        </w:rPr>
        <w:t>1</w:t>
      </w:r>
      <w:bookmarkStart w:id="436" w:name="_Toc296503086"/>
      <w:bookmarkStart w:id="437" w:name="_Toc337558790"/>
      <w:bookmarkStart w:id="438" w:name="_Toc296346587"/>
      <w:r>
        <w:rPr>
          <w:rFonts w:eastAsia="黑体"/>
          <w:b w:val="0"/>
          <w:i w:val="0"/>
          <w:iCs w:val="0"/>
          <w:sz w:val="30"/>
          <w:szCs w:val="32"/>
        </w:rPr>
        <w:t>0.3变更程序</w:t>
      </w:r>
      <w:bookmarkEnd w:id="435"/>
    </w:p>
    <w:bookmarkEnd w:id="436"/>
    <w:bookmarkEnd w:id="437"/>
    <w:bookmarkEnd w:id="438"/>
    <w:p w14:paraId="09F60D94">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10</w:t>
      </w:r>
      <w:r>
        <w:rPr>
          <w:rFonts w:eastAsia="仿宋_GB2312"/>
          <w:kern w:val="0"/>
          <w:sz w:val="30"/>
          <w:szCs w:val="32"/>
        </w:rPr>
        <w:t>.3.1发包人提出变更</w:t>
      </w:r>
    </w:p>
    <w:p w14:paraId="42D0274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发包人提出变更的，应通过监理人向承包人发出变更指示，变更指示应说明计划变更的工程范围和变更的内容。</w:t>
      </w:r>
    </w:p>
    <w:p w14:paraId="0638FDA4">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10</w:t>
      </w:r>
      <w:r>
        <w:rPr>
          <w:rFonts w:eastAsia="仿宋_GB2312"/>
          <w:kern w:val="0"/>
          <w:sz w:val="30"/>
          <w:szCs w:val="32"/>
        </w:rPr>
        <w:t>.3.2监理人提出变更建议</w:t>
      </w:r>
    </w:p>
    <w:p w14:paraId="768603B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监理人提出变更建议的，需要向发包人以书面形式提出变更计划，说明计划变更工程范围和变更的内容、理由，以及实施该变更对合同价格和工期的影响。发包人同意变更的，由监理人向承包人发出变更指示。发包人不同意变更的，监理人无权擅自发出变更指示。</w:t>
      </w:r>
    </w:p>
    <w:p w14:paraId="76D5042D">
      <w:pPr>
        <w:autoSpaceDE w:val="0"/>
        <w:autoSpaceDN w:val="0"/>
        <w:adjustRightInd w:val="0"/>
        <w:spacing w:line="360" w:lineRule="auto"/>
        <w:ind w:firstLine="600" w:firstLineChars="200"/>
        <w:jc w:val="left"/>
        <w:rPr>
          <w:rFonts w:eastAsia="仿宋_GB2312"/>
          <w:sz w:val="30"/>
          <w:szCs w:val="32"/>
        </w:rPr>
      </w:pPr>
      <w:r>
        <w:rPr>
          <w:rFonts w:hint="eastAsia" w:eastAsia="仿宋_GB2312"/>
          <w:sz w:val="30"/>
          <w:szCs w:val="32"/>
        </w:rPr>
        <w:t>10.3.3变更执行</w:t>
      </w:r>
    </w:p>
    <w:p w14:paraId="4F02C32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承包人收到监理人下达的变更指示后，</w:t>
      </w:r>
      <w:r>
        <w:rPr>
          <w:rFonts w:hint="eastAsia" w:eastAsia="仿宋_GB2312"/>
          <w:kern w:val="0"/>
          <w:sz w:val="30"/>
          <w:szCs w:val="32"/>
        </w:rPr>
        <w:t>认为不能执行，应立即</w:t>
      </w:r>
      <w:r>
        <w:rPr>
          <w:rFonts w:eastAsia="仿宋_GB2312"/>
          <w:kern w:val="0"/>
          <w:sz w:val="30"/>
          <w:szCs w:val="32"/>
        </w:rPr>
        <w:t>提出不能执行该变更指示的理由。承包人</w:t>
      </w:r>
      <w:r>
        <w:rPr>
          <w:rFonts w:hint="eastAsia" w:eastAsia="仿宋_GB2312"/>
          <w:kern w:val="0"/>
          <w:sz w:val="30"/>
          <w:szCs w:val="32"/>
        </w:rPr>
        <w:t>认为可以</w:t>
      </w:r>
      <w:r>
        <w:rPr>
          <w:rFonts w:eastAsia="仿宋_GB2312"/>
          <w:kern w:val="0"/>
          <w:sz w:val="30"/>
          <w:szCs w:val="32"/>
        </w:rPr>
        <w:t>执行变更的，</w:t>
      </w:r>
      <w:r>
        <w:rPr>
          <w:rFonts w:hint="eastAsia" w:eastAsia="仿宋_GB2312"/>
          <w:kern w:val="0"/>
          <w:sz w:val="30"/>
          <w:szCs w:val="32"/>
        </w:rPr>
        <w:t>应当书面说明实施该变更指示对合同价格和工期的影响，且合同当事人应当按照第10.4款〔变更估价〕约定确定变更估价</w:t>
      </w:r>
      <w:r>
        <w:rPr>
          <w:rFonts w:eastAsia="仿宋_GB2312"/>
          <w:kern w:val="0"/>
          <w:sz w:val="30"/>
          <w:szCs w:val="32"/>
        </w:rPr>
        <w:t>。</w:t>
      </w:r>
    </w:p>
    <w:p w14:paraId="29548DED">
      <w:pPr>
        <w:pStyle w:val="9"/>
        <w:spacing w:before="120" w:after="120" w:line="360" w:lineRule="auto"/>
        <w:ind w:firstLine="600" w:firstLineChars="200"/>
        <w:rPr>
          <w:rFonts w:eastAsia="黑体"/>
          <w:b w:val="0"/>
          <w:i w:val="0"/>
          <w:iCs w:val="0"/>
          <w:sz w:val="30"/>
          <w:szCs w:val="32"/>
        </w:rPr>
      </w:pPr>
      <w:bookmarkStart w:id="439" w:name="_Toc351203571"/>
      <w:r>
        <w:rPr>
          <w:rFonts w:eastAsia="黑体"/>
          <w:b w:val="0"/>
          <w:i w:val="0"/>
          <w:iCs w:val="0"/>
          <w:sz w:val="30"/>
          <w:szCs w:val="32"/>
        </w:rPr>
        <w:t>1</w:t>
      </w:r>
      <w:bookmarkStart w:id="440" w:name="_Toc296503087"/>
      <w:bookmarkStart w:id="441" w:name="_Toc296346588"/>
      <w:bookmarkStart w:id="442" w:name="_Toc337558791"/>
      <w:r>
        <w:rPr>
          <w:rFonts w:eastAsia="黑体"/>
          <w:b w:val="0"/>
          <w:i w:val="0"/>
          <w:iCs w:val="0"/>
          <w:sz w:val="30"/>
          <w:szCs w:val="32"/>
        </w:rPr>
        <w:t>0.4变更估价</w:t>
      </w:r>
      <w:bookmarkEnd w:id="439"/>
    </w:p>
    <w:bookmarkEnd w:id="440"/>
    <w:bookmarkEnd w:id="441"/>
    <w:bookmarkEnd w:id="442"/>
    <w:p w14:paraId="3DDF1A7A">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10.4.1变更估价原则</w:t>
      </w:r>
    </w:p>
    <w:p w14:paraId="04DCACF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除专用合同条款另有约定外，变更估价按照本款约定处理：</w:t>
      </w:r>
    </w:p>
    <w:p w14:paraId="3E8019D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（1）已标价工程量清单或预算书有相同项目的，按照相同项目单价认定；</w:t>
      </w:r>
    </w:p>
    <w:p w14:paraId="27676A8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（2）已标价工程量清单或预算书中无相同项目，但有类似项目的，参照类似项目的单价认定；</w:t>
      </w:r>
    </w:p>
    <w:p w14:paraId="3F541A3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变更导致实际完成的变更工程量与已标价工程量清单或预算书中列明的该项目工程量的变化幅度超过15%的，或已标价工程量清单或预算书中无相同项目及类似项目单价的，按照合理的成本与利润构成的原则，由合同当事人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确定变更工作的单价。</w:t>
      </w:r>
    </w:p>
    <w:p w14:paraId="792B95A7">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10.4.2变更估价程序</w:t>
      </w:r>
    </w:p>
    <w:p w14:paraId="6F252120">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承包人应在收到变更指示后14天内，向监理人提交变更估价申请。监理人应在收到承包人提交的变更估价申请后7天内审查完毕并报送发包人，监理人对变更估价申请有异议</w:t>
      </w:r>
      <w:r>
        <w:rPr>
          <w:rFonts w:eastAsia="仿宋_GB2312"/>
          <w:kern w:val="0"/>
          <w:sz w:val="30"/>
          <w:szCs w:val="32"/>
        </w:rPr>
        <w:t>，通知承包人</w:t>
      </w:r>
      <w:r>
        <w:rPr>
          <w:rFonts w:hint="eastAsia" w:eastAsia="仿宋_GB2312"/>
          <w:kern w:val="0"/>
          <w:sz w:val="30"/>
          <w:szCs w:val="32"/>
        </w:rPr>
        <w:t>修</w:t>
      </w:r>
      <w:r>
        <w:rPr>
          <w:rFonts w:eastAsia="仿宋_GB2312"/>
          <w:kern w:val="0"/>
          <w:sz w:val="30"/>
          <w:szCs w:val="32"/>
        </w:rPr>
        <w:t>改</w:t>
      </w:r>
      <w:r>
        <w:rPr>
          <w:rFonts w:hint="eastAsia" w:eastAsia="仿宋_GB2312"/>
          <w:kern w:val="0"/>
          <w:sz w:val="30"/>
          <w:szCs w:val="32"/>
        </w:rPr>
        <w:t>后重新提交</w:t>
      </w:r>
      <w:r>
        <w:rPr>
          <w:rFonts w:eastAsia="仿宋_GB2312"/>
          <w:kern w:val="0"/>
          <w:sz w:val="30"/>
          <w:szCs w:val="32"/>
        </w:rPr>
        <w:t>。发包人应在</w:t>
      </w:r>
      <w:r>
        <w:rPr>
          <w:rFonts w:hint="eastAsia" w:eastAsia="仿宋_GB2312"/>
          <w:kern w:val="0"/>
          <w:sz w:val="30"/>
          <w:szCs w:val="32"/>
        </w:rPr>
        <w:t>承包人提交变更估价申请</w:t>
      </w:r>
      <w:r>
        <w:rPr>
          <w:rFonts w:eastAsia="仿宋_GB2312"/>
          <w:kern w:val="0"/>
          <w:sz w:val="30"/>
          <w:szCs w:val="32"/>
        </w:rPr>
        <w:t>后</w:t>
      </w:r>
      <w:r>
        <w:rPr>
          <w:rFonts w:hint="eastAsia" w:eastAsia="仿宋_GB2312"/>
          <w:kern w:val="0"/>
          <w:sz w:val="30"/>
          <w:szCs w:val="32"/>
        </w:rPr>
        <w:t>14</w:t>
      </w:r>
      <w:r>
        <w:rPr>
          <w:rFonts w:eastAsia="仿宋_GB2312"/>
          <w:kern w:val="0"/>
          <w:sz w:val="30"/>
          <w:szCs w:val="32"/>
        </w:rPr>
        <w:t>天内审批完毕。</w:t>
      </w:r>
      <w:r>
        <w:rPr>
          <w:rFonts w:hint="eastAsia" w:eastAsia="仿宋_GB2312"/>
          <w:kern w:val="0"/>
          <w:sz w:val="30"/>
          <w:szCs w:val="32"/>
        </w:rPr>
        <w:t>发包人逾期未完成审批或未提出异议的，视为认可承包人提交的变更估价申请。</w:t>
      </w:r>
    </w:p>
    <w:p w14:paraId="494D911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因变更引起的价格调整应计入最近一期的进度款中支付。</w:t>
      </w:r>
    </w:p>
    <w:p w14:paraId="6DA88FE6">
      <w:pPr>
        <w:pStyle w:val="9"/>
        <w:spacing w:before="120" w:after="120" w:line="360" w:lineRule="auto"/>
        <w:ind w:firstLine="600" w:firstLineChars="200"/>
        <w:rPr>
          <w:rFonts w:eastAsia="黑体"/>
          <w:b w:val="0"/>
          <w:i w:val="0"/>
          <w:iCs w:val="0"/>
          <w:sz w:val="30"/>
          <w:szCs w:val="32"/>
        </w:rPr>
      </w:pPr>
      <w:bookmarkStart w:id="443" w:name="_Toc351203572"/>
      <w:r>
        <w:rPr>
          <w:rFonts w:eastAsia="黑体"/>
          <w:b w:val="0"/>
          <w:i w:val="0"/>
          <w:iCs w:val="0"/>
          <w:sz w:val="30"/>
          <w:szCs w:val="32"/>
        </w:rPr>
        <w:t>1</w:t>
      </w:r>
      <w:bookmarkStart w:id="444" w:name="_Toc337558792"/>
      <w:bookmarkStart w:id="445" w:name="_Toc296503094"/>
      <w:bookmarkStart w:id="446" w:name="_Toc296346595"/>
      <w:r>
        <w:rPr>
          <w:rFonts w:eastAsia="黑体"/>
          <w:b w:val="0"/>
          <w:i w:val="0"/>
          <w:iCs w:val="0"/>
          <w:sz w:val="30"/>
          <w:szCs w:val="32"/>
        </w:rPr>
        <w:t>0.5承包人的合理化建议</w:t>
      </w:r>
      <w:bookmarkEnd w:id="443"/>
    </w:p>
    <w:bookmarkEnd w:id="444"/>
    <w:bookmarkEnd w:id="445"/>
    <w:bookmarkEnd w:id="446"/>
    <w:p w14:paraId="6EB73D2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承包人提出合理化建议的，应向监理人提交合理化建议说明，说明建议的内容和理由，以及实施该建议对合同价格和工期的影响。</w:t>
      </w:r>
    </w:p>
    <w:p w14:paraId="2827725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监理人应在收到承包人提交的合理化建议后7天内审查完毕并报送发包人，发现其中存在技术上的缺陷，应通知承包人修改。发包人应在收到监理人报送的合理化建议后7天内审批完毕。合理化建议经发包人批准的，监理人应及时发出变更指示，由此引起的合同价格调整按照第10.4款</w:t>
      </w:r>
      <w:r>
        <w:rPr>
          <w:rFonts w:hint="eastAsia" w:eastAsia="仿宋_GB2312"/>
          <w:kern w:val="0"/>
          <w:sz w:val="30"/>
          <w:szCs w:val="32"/>
        </w:rPr>
        <w:t>〔</w:t>
      </w:r>
      <w:r>
        <w:rPr>
          <w:rFonts w:eastAsia="仿宋_GB2312"/>
          <w:kern w:val="0"/>
          <w:sz w:val="30"/>
          <w:szCs w:val="32"/>
        </w:rPr>
        <w:t>变更估价</w:t>
      </w:r>
      <w:r>
        <w:rPr>
          <w:rFonts w:hint="eastAsia" w:eastAsia="仿宋_GB2312"/>
          <w:kern w:val="0"/>
          <w:sz w:val="30"/>
          <w:szCs w:val="32"/>
        </w:rPr>
        <w:t>〕</w:t>
      </w:r>
      <w:r>
        <w:rPr>
          <w:rFonts w:eastAsia="仿宋_GB2312"/>
          <w:kern w:val="0"/>
          <w:sz w:val="30"/>
          <w:szCs w:val="32"/>
        </w:rPr>
        <w:t>约定执行。发包人不同意变更的，监理人应书面通知承包人。</w:t>
      </w:r>
    </w:p>
    <w:p w14:paraId="451724E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合理化建议降低了合同价格或者提高了工程经济效益的，发包人可对承包人给予奖励，奖励的方法和金额在专用合同条款中约定。</w:t>
      </w:r>
    </w:p>
    <w:p w14:paraId="36E9BD60">
      <w:pPr>
        <w:pStyle w:val="9"/>
        <w:spacing w:before="120" w:after="120" w:line="360" w:lineRule="auto"/>
        <w:ind w:firstLine="600" w:firstLineChars="200"/>
        <w:rPr>
          <w:rFonts w:eastAsia="仿宋_GB2312"/>
          <w:i w:val="0"/>
          <w:iCs w:val="0"/>
          <w:sz w:val="30"/>
          <w:szCs w:val="32"/>
        </w:rPr>
      </w:pPr>
      <w:bookmarkStart w:id="447" w:name="_Toc351203573"/>
      <w:r>
        <w:rPr>
          <w:rFonts w:eastAsia="黑体"/>
          <w:b w:val="0"/>
          <w:i w:val="0"/>
          <w:iCs w:val="0"/>
          <w:sz w:val="30"/>
          <w:szCs w:val="32"/>
        </w:rPr>
        <w:t>1</w:t>
      </w:r>
      <w:bookmarkStart w:id="448" w:name="_Toc337558793"/>
      <w:r>
        <w:rPr>
          <w:rFonts w:eastAsia="黑体"/>
          <w:b w:val="0"/>
          <w:i w:val="0"/>
          <w:iCs w:val="0"/>
          <w:sz w:val="30"/>
          <w:szCs w:val="32"/>
        </w:rPr>
        <w:t>0.6变更引起的工期调整</w:t>
      </w:r>
      <w:bookmarkEnd w:id="447"/>
      <w:bookmarkEnd w:id="448"/>
    </w:p>
    <w:p w14:paraId="3F2762E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因变更引起工期变化的，合同当事人均可要求调整合同工期，由合同当事人按照第4.4款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并参考工程所在地的工期定额标准确定增减工期天数。</w:t>
      </w:r>
    </w:p>
    <w:p w14:paraId="2B91B3C9">
      <w:pPr>
        <w:pStyle w:val="9"/>
        <w:spacing w:before="120" w:after="120" w:line="360" w:lineRule="auto"/>
        <w:ind w:firstLine="600" w:firstLineChars="200"/>
        <w:rPr>
          <w:rFonts w:eastAsia="黑体"/>
          <w:b w:val="0"/>
          <w:i w:val="0"/>
          <w:iCs w:val="0"/>
          <w:sz w:val="30"/>
          <w:szCs w:val="32"/>
        </w:rPr>
      </w:pPr>
      <w:bookmarkStart w:id="449" w:name="_Toc351203574"/>
      <w:r>
        <w:rPr>
          <w:rFonts w:eastAsia="黑体"/>
          <w:b w:val="0"/>
          <w:i w:val="0"/>
          <w:iCs w:val="0"/>
          <w:sz w:val="30"/>
          <w:szCs w:val="32"/>
        </w:rPr>
        <w:t>10.7暂估价</w:t>
      </w:r>
      <w:bookmarkEnd w:id="449"/>
    </w:p>
    <w:p w14:paraId="5ED244E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暂估价专业分包工程、</w:t>
      </w:r>
      <w:r>
        <w:rPr>
          <w:rFonts w:hint="eastAsia" w:eastAsia="仿宋_GB2312"/>
          <w:kern w:val="0"/>
          <w:sz w:val="30"/>
          <w:szCs w:val="32"/>
        </w:rPr>
        <w:t>服务、</w:t>
      </w:r>
      <w:r>
        <w:rPr>
          <w:rFonts w:eastAsia="仿宋_GB2312"/>
          <w:kern w:val="0"/>
          <w:sz w:val="30"/>
          <w:szCs w:val="32"/>
        </w:rPr>
        <w:t>材料和工程设备的明细由合同当事人在专用合同条款中约定。</w:t>
      </w:r>
    </w:p>
    <w:p w14:paraId="1C3F27C8">
      <w:pPr>
        <w:spacing w:line="360" w:lineRule="auto"/>
        <w:ind w:firstLine="600" w:firstLineChars="200"/>
        <w:jc w:val="left"/>
        <w:rPr>
          <w:rFonts w:eastAsia="仿宋_GB2312"/>
          <w:kern w:val="0"/>
          <w:sz w:val="30"/>
          <w:szCs w:val="32"/>
        </w:rPr>
      </w:pPr>
      <w:r>
        <w:rPr>
          <w:rFonts w:eastAsia="仿宋_GB2312"/>
          <w:sz w:val="30"/>
          <w:szCs w:val="32"/>
        </w:rPr>
        <w:t>10.7.1</w:t>
      </w:r>
      <w:r>
        <w:rPr>
          <w:rFonts w:eastAsia="仿宋_GB2312"/>
          <w:kern w:val="0"/>
          <w:sz w:val="30"/>
          <w:szCs w:val="32"/>
        </w:rPr>
        <w:t>依法必须招标的暂估价项目</w:t>
      </w:r>
    </w:p>
    <w:p w14:paraId="063EC50F">
      <w:pPr>
        <w:spacing w:line="360" w:lineRule="auto"/>
        <w:ind w:firstLine="600" w:firstLineChars="200"/>
        <w:jc w:val="left"/>
        <w:rPr>
          <w:rFonts w:eastAsia="仿宋_GB2312"/>
          <w:kern w:val="0"/>
          <w:sz w:val="30"/>
          <w:szCs w:val="32"/>
        </w:rPr>
      </w:pPr>
      <w:r>
        <w:rPr>
          <w:rFonts w:eastAsia="仿宋_GB2312"/>
          <w:kern w:val="0"/>
          <w:sz w:val="30"/>
          <w:szCs w:val="32"/>
        </w:rPr>
        <w:t>对于依法必须招标的暂估价项目，采取以下第1种方式确定</w:t>
      </w:r>
      <w:r>
        <w:rPr>
          <w:rFonts w:hint="eastAsia" w:eastAsia="仿宋_GB2312"/>
          <w:kern w:val="0"/>
          <w:sz w:val="30"/>
          <w:szCs w:val="32"/>
        </w:rPr>
        <w:t>。合同当事人也可以在</w:t>
      </w:r>
      <w:r>
        <w:rPr>
          <w:rFonts w:eastAsia="仿宋_GB2312"/>
          <w:kern w:val="0"/>
          <w:sz w:val="30"/>
          <w:szCs w:val="32"/>
        </w:rPr>
        <w:t>专用合同条款</w:t>
      </w:r>
      <w:r>
        <w:rPr>
          <w:rFonts w:hint="eastAsia" w:eastAsia="仿宋_GB2312"/>
          <w:kern w:val="0"/>
          <w:sz w:val="30"/>
          <w:szCs w:val="32"/>
        </w:rPr>
        <w:t>中选择其他招标方式。</w:t>
      </w:r>
    </w:p>
    <w:p w14:paraId="2535C41B">
      <w:pPr>
        <w:spacing w:line="360" w:lineRule="auto"/>
        <w:ind w:firstLine="600" w:firstLineChars="200"/>
        <w:jc w:val="left"/>
        <w:rPr>
          <w:rFonts w:eastAsia="仿宋_GB2312"/>
          <w:kern w:val="0"/>
          <w:sz w:val="30"/>
          <w:szCs w:val="32"/>
        </w:rPr>
      </w:pPr>
      <w:r>
        <w:rPr>
          <w:rFonts w:eastAsia="仿宋_GB2312"/>
          <w:kern w:val="0"/>
          <w:sz w:val="30"/>
          <w:szCs w:val="32"/>
        </w:rPr>
        <w:t>第1种方式：对于依法必须招标的暂估价项目，由承包人招标，对该暂估价项目的确认和批准按照以下约定执行：</w:t>
      </w:r>
    </w:p>
    <w:p w14:paraId="5E5051C1">
      <w:pPr>
        <w:spacing w:line="360" w:lineRule="auto"/>
        <w:ind w:firstLine="600" w:firstLineChars="200"/>
        <w:jc w:val="left"/>
        <w:rPr>
          <w:rFonts w:eastAsia="仿宋_GB2312"/>
          <w:kern w:val="0"/>
          <w:sz w:val="30"/>
          <w:szCs w:val="32"/>
        </w:rPr>
      </w:pPr>
      <w:r>
        <w:rPr>
          <w:rFonts w:eastAsia="仿宋_GB2312"/>
          <w:kern w:val="0"/>
          <w:sz w:val="30"/>
          <w:szCs w:val="32"/>
        </w:rPr>
        <w:t>（1）承包人应当根据施工进度计划，在招标工作启动前14天将招标方案通过监理人报送发包人审查，发包人应当在收到承包人报送的招标方案后7天内批准或提出修改意见。承包人应当按照经过发包人批准的招标方案开展招标工作；</w:t>
      </w:r>
    </w:p>
    <w:p w14:paraId="4F3365BE">
      <w:pPr>
        <w:spacing w:line="360" w:lineRule="auto"/>
        <w:ind w:firstLine="600" w:firstLineChars="200"/>
        <w:jc w:val="left"/>
        <w:rPr>
          <w:rFonts w:eastAsia="仿宋_GB2312"/>
          <w:kern w:val="0"/>
          <w:sz w:val="30"/>
          <w:szCs w:val="32"/>
        </w:rPr>
      </w:pPr>
      <w:r>
        <w:rPr>
          <w:rFonts w:eastAsia="仿宋_GB2312"/>
          <w:kern w:val="0"/>
          <w:sz w:val="30"/>
          <w:szCs w:val="32"/>
        </w:rPr>
        <w:t>（2）承包人应当根据施工进度计划，提前14天将招标文件通过监理人报送发包人审批，发包人应当在收到承包人报送的相关文件后7天内完成审批或提出修改意见；发包人有权确定招标控制价</w:t>
      </w:r>
      <w:r>
        <w:rPr>
          <w:rFonts w:hint="eastAsia" w:eastAsia="仿宋_GB2312"/>
          <w:kern w:val="0"/>
          <w:sz w:val="30"/>
          <w:szCs w:val="32"/>
        </w:rPr>
        <w:t>并按照法律规定参加评标</w:t>
      </w:r>
      <w:r>
        <w:rPr>
          <w:rFonts w:eastAsia="仿宋_GB2312"/>
          <w:kern w:val="0"/>
          <w:sz w:val="30"/>
          <w:szCs w:val="32"/>
        </w:rPr>
        <w:t>；</w:t>
      </w:r>
    </w:p>
    <w:p w14:paraId="6AC47C8E">
      <w:pPr>
        <w:spacing w:line="360" w:lineRule="auto"/>
        <w:ind w:firstLine="600" w:firstLineChars="200"/>
        <w:jc w:val="left"/>
        <w:rPr>
          <w:rFonts w:eastAsia="仿宋_GB2312"/>
          <w:kern w:val="0"/>
          <w:sz w:val="30"/>
          <w:szCs w:val="32"/>
        </w:rPr>
      </w:pPr>
      <w:r>
        <w:rPr>
          <w:rFonts w:eastAsia="仿宋_GB2312"/>
          <w:kern w:val="0"/>
          <w:sz w:val="30"/>
          <w:szCs w:val="32"/>
        </w:rPr>
        <w:t>（3）承包人与供应商、分包人在签订暂估价合同前，应当提前7天将确定的中标候选供应商或中标候选分包人的资料报送发包人，发包人应在收到资料后3天内与承包人共同确定中标人；承包人应当在签订合同后7天内，将暂估价合同副本报送发包人留存。</w:t>
      </w:r>
    </w:p>
    <w:p w14:paraId="0F1B3921">
      <w:pPr>
        <w:spacing w:line="360" w:lineRule="auto"/>
        <w:ind w:firstLine="600" w:firstLineChars="200"/>
        <w:jc w:val="left"/>
        <w:rPr>
          <w:rFonts w:eastAsia="仿宋_GB2312"/>
          <w:kern w:val="0"/>
          <w:sz w:val="30"/>
          <w:szCs w:val="32"/>
        </w:rPr>
      </w:pPr>
      <w:r>
        <w:rPr>
          <w:rFonts w:eastAsia="仿宋_GB2312"/>
          <w:kern w:val="0"/>
          <w:sz w:val="30"/>
          <w:szCs w:val="32"/>
        </w:rPr>
        <w:t>第2种方式：对于依法必须招标的暂估价项目，由发包人和承包人共同招标确定暂估价供应商或分包人的，承包人应按照施工进度计划，在招标工作启动前14天通知发包人，并提交暂估价招标方案和工作分工。发包人应在收到后7天内确认。确定中标人后，由发包人、承包人与中标人共同签订暂估价合同。</w:t>
      </w:r>
    </w:p>
    <w:p w14:paraId="6576751F">
      <w:pPr>
        <w:spacing w:line="360" w:lineRule="auto"/>
        <w:ind w:firstLine="600" w:firstLineChars="200"/>
        <w:jc w:val="left"/>
        <w:rPr>
          <w:rFonts w:eastAsia="仿宋_GB2312"/>
          <w:kern w:val="0"/>
          <w:sz w:val="30"/>
          <w:szCs w:val="32"/>
        </w:rPr>
      </w:pPr>
      <w:r>
        <w:rPr>
          <w:rFonts w:eastAsia="仿宋_GB2312"/>
          <w:sz w:val="30"/>
          <w:szCs w:val="32"/>
        </w:rPr>
        <w:t>10.7.2</w:t>
      </w:r>
      <w:r>
        <w:rPr>
          <w:rFonts w:eastAsia="仿宋_GB2312"/>
          <w:kern w:val="0"/>
          <w:sz w:val="30"/>
          <w:szCs w:val="32"/>
        </w:rPr>
        <w:t>不属于依法必须招标的暂估价项目</w:t>
      </w:r>
    </w:p>
    <w:p w14:paraId="0C2725C6">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除专用合同条款另有约定外，对于不属于依法必须招标的暂估价项目，采取以下第1种方式确定：</w:t>
      </w:r>
    </w:p>
    <w:p w14:paraId="21FC3DAA">
      <w:pPr>
        <w:spacing w:line="360" w:lineRule="auto"/>
        <w:ind w:firstLine="600" w:firstLineChars="200"/>
        <w:jc w:val="left"/>
        <w:rPr>
          <w:rFonts w:eastAsia="仿宋_GB2312"/>
          <w:kern w:val="0"/>
          <w:sz w:val="30"/>
          <w:szCs w:val="32"/>
        </w:rPr>
      </w:pPr>
      <w:r>
        <w:rPr>
          <w:rFonts w:eastAsia="仿宋_GB2312"/>
          <w:kern w:val="0"/>
          <w:sz w:val="30"/>
          <w:szCs w:val="32"/>
        </w:rPr>
        <w:t>第1种方式：对于不属于依法必须招标的暂估价项目，按本项约定确认和批准：</w:t>
      </w:r>
    </w:p>
    <w:p w14:paraId="0BAEB1B7">
      <w:pPr>
        <w:spacing w:line="360" w:lineRule="auto"/>
        <w:ind w:firstLine="600" w:firstLineChars="200"/>
        <w:jc w:val="left"/>
        <w:rPr>
          <w:rFonts w:eastAsia="仿宋_GB2312"/>
          <w:kern w:val="0"/>
          <w:sz w:val="30"/>
          <w:szCs w:val="32"/>
        </w:rPr>
      </w:pPr>
      <w:r>
        <w:rPr>
          <w:rFonts w:eastAsia="仿宋_GB2312"/>
          <w:kern w:val="0"/>
          <w:sz w:val="30"/>
          <w:szCs w:val="32"/>
        </w:rPr>
        <w:t>（1）承包人应根据施工进度计划，在签订暂估价项目的采购合同、分包合同前28天向监理人提出书面申请。监理人应当在收到申请后3天内报送发包人，发包人应当在收到申请后14天内给予批准或提出修改意见，发包人逾期未予批准或提出修改意见的，视为该书面申请已获得同意；</w:t>
      </w:r>
    </w:p>
    <w:p w14:paraId="6CA0714F">
      <w:pPr>
        <w:spacing w:line="360" w:lineRule="auto"/>
        <w:ind w:firstLine="600" w:firstLineChars="200"/>
        <w:jc w:val="left"/>
        <w:rPr>
          <w:rFonts w:eastAsia="仿宋_GB2312"/>
          <w:kern w:val="0"/>
          <w:sz w:val="30"/>
          <w:szCs w:val="32"/>
        </w:rPr>
      </w:pPr>
      <w:r>
        <w:rPr>
          <w:rFonts w:eastAsia="仿宋_GB2312"/>
          <w:kern w:val="0"/>
          <w:sz w:val="30"/>
          <w:szCs w:val="32"/>
        </w:rPr>
        <w:t>（2）发包人认为承包人确定的供应商、分包人无法满足工程质量或合同要求的，发包人可以要求承包人重新确定暂估价项目的供应商、分包人;</w:t>
      </w:r>
    </w:p>
    <w:p w14:paraId="18DB759E">
      <w:pPr>
        <w:spacing w:line="360" w:lineRule="auto"/>
        <w:ind w:firstLine="600" w:firstLineChars="200"/>
        <w:jc w:val="left"/>
        <w:rPr>
          <w:rFonts w:eastAsia="仿宋_GB2312"/>
          <w:kern w:val="0"/>
          <w:sz w:val="30"/>
          <w:szCs w:val="32"/>
        </w:rPr>
      </w:pPr>
      <w:r>
        <w:rPr>
          <w:rFonts w:eastAsia="仿宋_GB2312"/>
          <w:kern w:val="0"/>
          <w:sz w:val="30"/>
          <w:szCs w:val="32"/>
        </w:rPr>
        <w:t>（3）承包人应当在签订暂估价合同后7天内，将暂估价合同副本报送发包人留存。</w:t>
      </w:r>
    </w:p>
    <w:p w14:paraId="3C334FC8">
      <w:pPr>
        <w:spacing w:line="360" w:lineRule="auto"/>
        <w:ind w:firstLine="600" w:firstLineChars="200"/>
        <w:jc w:val="left"/>
        <w:rPr>
          <w:rFonts w:eastAsia="仿宋_GB2312"/>
          <w:kern w:val="0"/>
          <w:sz w:val="30"/>
          <w:szCs w:val="32"/>
        </w:rPr>
      </w:pPr>
      <w:r>
        <w:rPr>
          <w:rFonts w:eastAsia="仿宋_GB2312"/>
          <w:kern w:val="0"/>
          <w:sz w:val="30"/>
          <w:szCs w:val="32"/>
        </w:rPr>
        <w:t>第2种方式：承包人按照第10.7.1项</w:t>
      </w:r>
      <w:r>
        <w:rPr>
          <w:rFonts w:hint="eastAsia" w:eastAsia="仿宋_GB2312"/>
          <w:kern w:val="0"/>
          <w:sz w:val="30"/>
          <w:szCs w:val="32"/>
        </w:rPr>
        <w:t>〔</w:t>
      </w:r>
      <w:r>
        <w:rPr>
          <w:rFonts w:eastAsia="仿宋_GB2312"/>
          <w:kern w:val="0"/>
          <w:sz w:val="30"/>
          <w:szCs w:val="32"/>
        </w:rPr>
        <w:t>依法必须招标的暂估价项目</w:t>
      </w:r>
      <w:r>
        <w:rPr>
          <w:rFonts w:hint="eastAsia" w:eastAsia="仿宋_GB2312"/>
          <w:kern w:val="0"/>
          <w:sz w:val="30"/>
          <w:szCs w:val="32"/>
        </w:rPr>
        <w:t>〕</w:t>
      </w:r>
      <w:r>
        <w:rPr>
          <w:rFonts w:eastAsia="仿宋_GB2312"/>
          <w:kern w:val="0"/>
          <w:sz w:val="30"/>
          <w:szCs w:val="32"/>
        </w:rPr>
        <w:t>约定的第1种方式确定暂估价项目。</w:t>
      </w:r>
    </w:p>
    <w:p w14:paraId="508C07BE">
      <w:pPr>
        <w:spacing w:line="360" w:lineRule="auto"/>
        <w:ind w:firstLine="600" w:firstLineChars="200"/>
        <w:jc w:val="left"/>
        <w:rPr>
          <w:rFonts w:eastAsia="仿宋_GB2312"/>
          <w:kern w:val="0"/>
          <w:sz w:val="30"/>
          <w:szCs w:val="32"/>
        </w:rPr>
      </w:pPr>
      <w:r>
        <w:rPr>
          <w:rFonts w:eastAsia="仿宋_GB2312"/>
          <w:sz w:val="30"/>
          <w:szCs w:val="32"/>
        </w:rPr>
        <w:t>第3种方式：</w:t>
      </w:r>
      <w:r>
        <w:rPr>
          <w:rFonts w:eastAsia="仿宋_GB2312"/>
          <w:kern w:val="0"/>
          <w:sz w:val="30"/>
          <w:szCs w:val="32"/>
        </w:rPr>
        <w:t>承包人直接实施的暂估价项目</w:t>
      </w:r>
    </w:p>
    <w:p w14:paraId="4667AB12">
      <w:pPr>
        <w:spacing w:line="360" w:lineRule="auto"/>
        <w:ind w:firstLine="600" w:firstLineChars="200"/>
        <w:jc w:val="left"/>
        <w:rPr>
          <w:rFonts w:eastAsia="仿宋_GB2312"/>
          <w:kern w:val="0"/>
          <w:sz w:val="30"/>
          <w:szCs w:val="32"/>
        </w:rPr>
      </w:pPr>
      <w:r>
        <w:rPr>
          <w:rFonts w:eastAsia="仿宋_GB2312"/>
          <w:kern w:val="0"/>
          <w:sz w:val="30"/>
          <w:szCs w:val="32"/>
        </w:rPr>
        <w:t>承包人具备实施暂估价项目的资格和条件的，经发包人和承包人协商一致后，可由承包人自行实施暂估价项目，合同当事人可以在专用合同条款约定具体事项。</w:t>
      </w:r>
    </w:p>
    <w:p w14:paraId="53123B92">
      <w:pPr>
        <w:spacing w:line="360" w:lineRule="auto"/>
        <w:ind w:firstLine="600" w:firstLineChars="200"/>
        <w:jc w:val="left"/>
        <w:rPr>
          <w:rFonts w:eastAsia="仿宋_GB2312"/>
          <w:kern w:val="0"/>
          <w:sz w:val="30"/>
          <w:szCs w:val="32"/>
        </w:rPr>
      </w:pPr>
      <w:r>
        <w:rPr>
          <w:rFonts w:eastAsia="仿宋_GB2312"/>
          <w:kern w:val="0"/>
          <w:sz w:val="30"/>
          <w:szCs w:val="32"/>
        </w:rPr>
        <w:t>10.7.3因发包人原因导致暂估价合同订立和履行迟延的，由此增加的费用和（或）延误的工期由发包人承担，并支付承包人合理的利润。因承包人原因导致暂估价合同订立和履行迟延的，由此增加的费用和（或）延误的工期由承包人承担。</w:t>
      </w:r>
    </w:p>
    <w:p w14:paraId="55686E39">
      <w:pPr>
        <w:pStyle w:val="9"/>
        <w:spacing w:before="120" w:after="120" w:line="360" w:lineRule="auto"/>
        <w:ind w:firstLine="600" w:firstLineChars="200"/>
        <w:rPr>
          <w:rFonts w:eastAsia="黑体"/>
          <w:b w:val="0"/>
          <w:i w:val="0"/>
          <w:iCs w:val="0"/>
          <w:sz w:val="30"/>
          <w:szCs w:val="32"/>
        </w:rPr>
      </w:pPr>
      <w:bookmarkStart w:id="450" w:name="_Toc351203575"/>
      <w:r>
        <w:rPr>
          <w:rFonts w:eastAsia="黑体"/>
          <w:b w:val="0"/>
          <w:i w:val="0"/>
          <w:iCs w:val="0"/>
          <w:sz w:val="30"/>
          <w:szCs w:val="32"/>
        </w:rPr>
        <w:t>1</w:t>
      </w:r>
      <w:bookmarkStart w:id="451" w:name="_Toc337558794"/>
      <w:bookmarkStart w:id="452" w:name="_Toc322522561"/>
      <w:bookmarkStart w:id="453" w:name="_Toc296503090"/>
      <w:bookmarkStart w:id="454" w:name="_Toc296346591"/>
      <w:r>
        <w:rPr>
          <w:rFonts w:eastAsia="黑体"/>
          <w:b w:val="0"/>
          <w:i w:val="0"/>
          <w:iCs w:val="0"/>
          <w:sz w:val="30"/>
          <w:szCs w:val="32"/>
        </w:rPr>
        <w:t>0.8暂列金额</w:t>
      </w:r>
      <w:bookmarkEnd w:id="450"/>
    </w:p>
    <w:bookmarkEnd w:id="451"/>
    <w:p w14:paraId="685F8B7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暂列金额应按照发包人的要求使用，发包人的要求应通过监理人发出。</w:t>
      </w:r>
      <w:r>
        <w:rPr>
          <w:rFonts w:hint="eastAsia" w:eastAsia="仿宋_GB2312"/>
          <w:kern w:val="0"/>
          <w:sz w:val="30"/>
          <w:szCs w:val="32"/>
        </w:rPr>
        <w:t>合同当事人可以在专用合同条款中协商确定有关事项。</w:t>
      </w:r>
    </w:p>
    <w:bookmarkEnd w:id="452"/>
    <w:bookmarkEnd w:id="453"/>
    <w:bookmarkEnd w:id="454"/>
    <w:p w14:paraId="5D802BC3">
      <w:pPr>
        <w:pStyle w:val="9"/>
        <w:spacing w:before="120" w:after="120" w:line="360" w:lineRule="auto"/>
        <w:ind w:firstLine="600" w:firstLineChars="200"/>
        <w:rPr>
          <w:rFonts w:eastAsia="黑体"/>
          <w:b w:val="0"/>
          <w:i w:val="0"/>
          <w:iCs w:val="0"/>
          <w:sz w:val="30"/>
          <w:szCs w:val="32"/>
        </w:rPr>
      </w:pPr>
      <w:bookmarkStart w:id="455" w:name="_Toc351203576"/>
      <w:r>
        <w:rPr>
          <w:rFonts w:eastAsia="黑体"/>
          <w:b w:val="0"/>
          <w:i w:val="0"/>
          <w:iCs w:val="0"/>
          <w:sz w:val="30"/>
          <w:szCs w:val="32"/>
        </w:rPr>
        <w:t>1</w:t>
      </w:r>
      <w:bookmarkStart w:id="456" w:name="_Toc296346592"/>
      <w:bookmarkStart w:id="457" w:name="_Toc337558796"/>
      <w:bookmarkStart w:id="458" w:name="_Toc296503091"/>
      <w:r>
        <w:rPr>
          <w:rFonts w:eastAsia="黑体"/>
          <w:b w:val="0"/>
          <w:i w:val="0"/>
          <w:iCs w:val="0"/>
          <w:sz w:val="30"/>
          <w:szCs w:val="32"/>
        </w:rPr>
        <w:t>0.9计日工</w:t>
      </w:r>
      <w:bookmarkEnd w:id="455"/>
      <w:bookmarkEnd w:id="456"/>
      <w:bookmarkEnd w:id="457"/>
      <w:bookmarkEnd w:id="458"/>
    </w:p>
    <w:p w14:paraId="09D6A7EC">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需要采用计日工方式的，经发包人同意后</w:t>
      </w:r>
      <w:r>
        <w:rPr>
          <w:rFonts w:eastAsia="仿宋_GB2312"/>
          <w:kern w:val="0"/>
          <w:sz w:val="30"/>
          <w:szCs w:val="32"/>
        </w:rPr>
        <w:t>，由监理人通知承包人以计日工计价方式实施</w:t>
      </w:r>
      <w:r>
        <w:rPr>
          <w:rFonts w:hint="eastAsia" w:eastAsia="仿宋_GB2312"/>
          <w:kern w:val="0"/>
          <w:sz w:val="30"/>
          <w:szCs w:val="32"/>
        </w:rPr>
        <w:t>相应</w:t>
      </w:r>
      <w:r>
        <w:rPr>
          <w:rFonts w:eastAsia="仿宋_GB2312"/>
          <w:kern w:val="0"/>
          <w:sz w:val="30"/>
          <w:szCs w:val="32"/>
        </w:rPr>
        <w:t>的工作，其价款按列入已标价工程量清单或预算书中的计日工计价项目及其单价进行计算；已标价工程量清单或预算书中无相应的计日工单价的，按照合理的成本与利润构成的原则，由合同当事人按照第4.4款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确定</w:t>
      </w:r>
      <w:r>
        <w:rPr>
          <w:rFonts w:hint="eastAsia" w:eastAsia="仿宋_GB2312"/>
          <w:kern w:val="0"/>
          <w:sz w:val="30"/>
          <w:szCs w:val="32"/>
        </w:rPr>
        <w:t>计日工</w:t>
      </w:r>
      <w:r>
        <w:rPr>
          <w:rFonts w:eastAsia="仿宋_GB2312"/>
          <w:kern w:val="0"/>
          <w:sz w:val="30"/>
          <w:szCs w:val="32"/>
        </w:rPr>
        <w:t>的单价。</w:t>
      </w:r>
    </w:p>
    <w:p w14:paraId="41B5A5AF">
      <w:pPr>
        <w:spacing w:line="360" w:lineRule="auto"/>
        <w:ind w:firstLine="600" w:firstLineChars="200"/>
        <w:jc w:val="left"/>
        <w:rPr>
          <w:rFonts w:eastAsia="仿宋_GB2312"/>
          <w:kern w:val="0"/>
          <w:sz w:val="30"/>
          <w:szCs w:val="32"/>
        </w:rPr>
      </w:pPr>
      <w:r>
        <w:rPr>
          <w:rFonts w:eastAsia="仿宋_GB2312"/>
          <w:kern w:val="0"/>
          <w:sz w:val="30"/>
          <w:szCs w:val="32"/>
        </w:rPr>
        <w:t>采用计日工计价的任何一项工作，承包人应在该项工作实施过程中，每天提交以下报表和有关凭证报送监理人审查：</w:t>
      </w:r>
    </w:p>
    <w:p w14:paraId="0D9ACCAC">
      <w:pPr>
        <w:spacing w:line="360" w:lineRule="auto"/>
        <w:ind w:firstLine="450" w:firstLineChars="150"/>
        <w:jc w:val="left"/>
        <w:rPr>
          <w:rFonts w:eastAsia="仿宋_GB2312"/>
          <w:kern w:val="0"/>
          <w:sz w:val="30"/>
          <w:szCs w:val="32"/>
        </w:rPr>
      </w:pPr>
      <w:r>
        <w:rPr>
          <w:rFonts w:eastAsia="仿宋_GB2312"/>
          <w:kern w:val="0"/>
          <w:sz w:val="30"/>
          <w:szCs w:val="32"/>
        </w:rPr>
        <w:t>（1）工作名称、内容和数量；</w:t>
      </w:r>
    </w:p>
    <w:p w14:paraId="142A0048">
      <w:pPr>
        <w:spacing w:line="360" w:lineRule="auto"/>
        <w:ind w:firstLine="450" w:firstLineChars="150"/>
        <w:jc w:val="left"/>
        <w:rPr>
          <w:rFonts w:eastAsia="仿宋_GB2312"/>
          <w:kern w:val="0"/>
          <w:sz w:val="30"/>
          <w:szCs w:val="32"/>
        </w:rPr>
      </w:pPr>
      <w:r>
        <w:rPr>
          <w:rFonts w:eastAsia="仿宋_GB2312"/>
          <w:kern w:val="0"/>
          <w:sz w:val="30"/>
          <w:szCs w:val="32"/>
        </w:rPr>
        <w:t>（2）投入该工作的所有人员的姓名、专业、工种、级别和耗用工时；</w:t>
      </w:r>
    </w:p>
    <w:p w14:paraId="2B77BE7C">
      <w:pPr>
        <w:spacing w:line="360" w:lineRule="auto"/>
        <w:ind w:firstLine="450" w:firstLineChars="150"/>
        <w:jc w:val="left"/>
        <w:rPr>
          <w:rFonts w:eastAsia="仿宋_GB2312"/>
          <w:kern w:val="0"/>
          <w:sz w:val="30"/>
          <w:szCs w:val="32"/>
        </w:rPr>
      </w:pPr>
      <w:r>
        <w:rPr>
          <w:rFonts w:eastAsia="仿宋_GB2312"/>
          <w:kern w:val="0"/>
          <w:sz w:val="30"/>
          <w:szCs w:val="32"/>
        </w:rPr>
        <w:t>（3）投入该工作的材料类别和数量；</w:t>
      </w:r>
    </w:p>
    <w:p w14:paraId="5C55978A">
      <w:pPr>
        <w:spacing w:line="360" w:lineRule="auto"/>
        <w:ind w:firstLine="450" w:firstLineChars="150"/>
        <w:jc w:val="left"/>
        <w:rPr>
          <w:rFonts w:eastAsia="仿宋_GB2312"/>
          <w:kern w:val="0"/>
          <w:sz w:val="30"/>
          <w:szCs w:val="32"/>
        </w:rPr>
      </w:pPr>
      <w:r>
        <w:rPr>
          <w:rFonts w:eastAsia="仿宋_GB2312"/>
          <w:kern w:val="0"/>
          <w:sz w:val="30"/>
          <w:szCs w:val="32"/>
        </w:rPr>
        <w:t>（4）投入该工作的施工设备型号、台数和耗用台时；</w:t>
      </w:r>
    </w:p>
    <w:p w14:paraId="3B7681B6">
      <w:pPr>
        <w:spacing w:line="360" w:lineRule="auto"/>
        <w:ind w:firstLine="450" w:firstLineChars="150"/>
        <w:jc w:val="left"/>
        <w:rPr>
          <w:rFonts w:eastAsia="仿宋_GB2312"/>
          <w:kern w:val="0"/>
          <w:sz w:val="30"/>
          <w:szCs w:val="32"/>
        </w:rPr>
      </w:pPr>
      <w:r>
        <w:rPr>
          <w:rFonts w:eastAsia="仿宋_GB2312"/>
          <w:kern w:val="0"/>
          <w:sz w:val="30"/>
          <w:szCs w:val="32"/>
        </w:rPr>
        <w:t>（5）其他有关资料和凭证。</w:t>
      </w:r>
    </w:p>
    <w:p w14:paraId="1147D4D8">
      <w:pPr>
        <w:spacing w:line="360" w:lineRule="auto"/>
        <w:ind w:firstLine="600" w:firstLineChars="200"/>
        <w:jc w:val="left"/>
        <w:rPr>
          <w:rFonts w:eastAsia="仿宋_GB2312"/>
          <w:kern w:val="0"/>
          <w:sz w:val="30"/>
          <w:szCs w:val="32"/>
        </w:rPr>
      </w:pPr>
      <w:r>
        <w:rPr>
          <w:rFonts w:eastAsia="仿宋_GB2312"/>
          <w:kern w:val="0"/>
          <w:sz w:val="30"/>
          <w:szCs w:val="32"/>
        </w:rPr>
        <w:t>计日工由承包人汇总后，列入最近一期进度付款申请单，由监理人审查并经发包人批准后列入进度付款。</w:t>
      </w:r>
    </w:p>
    <w:p w14:paraId="58C2B1FE">
      <w:pPr>
        <w:pStyle w:val="8"/>
        <w:spacing w:before="120" w:after="120" w:line="360" w:lineRule="auto"/>
        <w:rPr>
          <w:rFonts w:ascii="Times New Roman" w:hAnsi="Times New Roman" w:eastAsia="黑体"/>
          <w:b w:val="0"/>
          <w:sz w:val="32"/>
          <w:szCs w:val="32"/>
        </w:rPr>
      </w:pPr>
      <w:bookmarkStart w:id="459" w:name="_Toc351203577"/>
      <w:r>
        <w:rPr>
          <w:rFonts w:ascii="Times New Roman" w:hAnsi="Times New Roman" w:eastAsia="黑体"/>
          <w:b w:val="0"/>
          <w:sz w:val="32"/>
          <w:szCs w:val="32"/>
        </w:rPr>
        <w:t>11.价格调整</w:t>
      </w:r>
      <w:bookmarkEnd w:id="459"/>
    </w:p>
    <w:p w14:paraId="205C5F1E">
      <w:pPr>
        <w:pStyle w:val="9"/>
        <w:spacing w:before="120" w:after="120" w:line="360" w:lineRule="auto"/>
        <w:ind w:firstLine="600" w:firstLineChars="200"/>
        <w:rPr>
          <w:rFonts w:eastAsia="黑体"/>
          <w:b w:val="0"/>
          <w:i w:val="0"/>
          <w:iCs w:val="0"/>
          <w:sz w:val="30"/>
          <w:szCs w:val="32"/>
        </w:rPr>
      </w:pPr>
      <w:bookmarkStart w:id="460" w:name="_Toc351203578"/>
      <w:bookmarkStart w:id="461" w:name="_Toc296346593"/>
      <w:bookmarkStart w:id="462" w:name="_Toc296503092"/>
      <w:bookmarkStart w:id="463" w:name="_Toc337558797"/>
      <w:r>
        <w:rPr>
          <w:rFonts w:eastAsia="黑体"/>
          <w:b w:val="0"/>
          <w:i w:val="0"/>
          <w:iCs w:val="0"/>
          <w:sz w:val="30"/>
          <w:szCs w:val="32"/>
        </w:rPr>
        <w:t>11.1市场价格波动引起的调整</w:t>
      </w:r>
      <w:bookmarkEnd w:id="460"/>
    </w:p>
    <w:bookmarkEnd w:id="461"/>
    <w:bookmarkEnd w:id="462"/>
    <w:bookmarkEnd w:id="463"/>
    <w:p w14:paraId="014F2470">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除专用合同条款另有约定外，市场价格波动超过合同当事人约定的范围，合同价格应当调整。合同当事人可以在专用合同条款中约定选择以下一种方式对合同价格进行调整：</w:t>
      </w:r>
    </w:p>
    <w:p w14:paraId="679F74F6">
      <w:pPr>
        <w:spacing w:line="360" w:lineRule="auto"/>
        <w:ind w:firstLine="600" w:firstLineChars="200"/>
        <w:rPr>
          <w:rFonts w:eastAsia="仿宋_GB2312"/>
          <w:sz w:val="30"/>
          <w:szCs w:val="32"/>
        </w:rPr>
      </w:pPr>
      <w:r>
        <w:rPr>
          <w:rFonts w:eastAsia="仿宋_GB2312"/>
          <w:sz w:val="30"/>
          <w:szCs w:val="32"/>
        </w:rPr>
        <w:t>第1种方式：采用价格指数</w:t>
      </w:r>
      <w:r>
        <w:rPr>
          <w:rFonts w:hint="eastAsia" w:eastAsia="仿宋_GB2312"/>
          <w:sz w:val="30"/>
          <w:szCs w:val="32"/>
        </w:rPr>
        <w:t>进行价格</w:t>
      </w:r>
      <w:r>
        <w:rPr>
          <w:rFonts w:eastAsia="仿宋_GB2312"/>
          <w:sz w:val="30"/>
          <w:szCs w:val="32"/>
        </w:rPr>
        <w:t>调整。</w:t>
      </w:r>
    </w:p>
    <w:p w14:paraId="5AF1F760">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（1）价格调整公式</w:t>
      </w:r>
    </w:p>
    <w:p w14:paraId="1DD3F2B3">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因人工、材料和设备等价格波动影响合同价格时，根据专用合同条款中约定的数据，按以下公式计算差额并调整合同价格：</w:t>
      </w:r>
    </w:p>
    <w:p w14:paraId="4E995C1A">
      <w:pPr>
        <w:tabs>
          <w:tab w:val="left" w:pos="0"/>
          <w:tab w:val="left" w:pos="360"/>
          <w:tab w:val="left" w:pos="540"/>
        </w:tabs>
        <w:spacing w:line="360" w:lineRule="auto"/>
        <w:ind w:firstLine="600" w:firstLineChars="200"/>
        <w:rPr>
          <w:rFonts w:eastAsia="仿宋_GB2312"/>
          <w:sz w:val="30"/>
          <w:szCs w:val="32"/>
        </w:rPr>
      </w:pPr>
      <w:r>
        <w:rPr>
          <w:rFonts w:hint="eastAsia" w:eastAsia="仿宋_GB2312"/>
          <w:position w:val="-30"/>
          <w:sz w:val="30"/>
          <w:szCs w:val="32"/>
        </w:rPr>
        <w:object>
          <v:shape id="_x0000_i1025" o:spt="75" type="#_x0000_t75" style="height:43.8pt;width:360pt;" o:ole="t" filled="f" o:preferrelative="t" stroked="f" coordsize="21600,21600">
            <v:path/>
            <v:fill on="f" focussize="0,0"/>
            <v:stroke on="f" joinstyle="miter"/>
            <v:imagedata r:id="rId33" o:title=""/>
            <o:lock v:ext="edit" aspectratio="t"/>
            <w10:wrap type="none"/>
            <w10:anchorlock/>
          </v:shape>
          <o:OLEObject Type="Embed" ProgID="Equation.3" ShapeID="_x0000_i1025" DrawAspect="Content" ObjectID="_1468075725" r:id="rId32">
            <o:LockedField>false</o:LockedField>
          </o:OLEObject>
        </w:object>
      </w:r>
    </w:p>
    <w:p w14:paraId="30FB4AFC">
      <w:pPr>
        <w:tabs>
          <w:tab w:val="left" w:pos="0"/>
          <w:tab w:val="left" w:pos="360"/>
          <w:tab w:val="left" w:pos="540"/>
        </w:tabs>
        <w:spacing w:line="360" w:lineRule="auto"/>
        <w:ind w:firstLine="640"/>
        <w:rPr>
          <w:rFonts w:eastAsia="仿宋_GB2312"/>
          <w:sz w:val="30"/>
          <w:szCs w:val="32"/>
        </w:rPr>
      </w:pPr>
      <w:r>
        <w:rPr>
          <w:rFonts w:eastAsia="仿宋_GB2312"/>
          <w:sz w:val="30"/>
          <w:szCs w:val="32"/>
        </w:rPr>
        <w:t>公式中：ΔP——需调整的价格差额；</w:t>
      </w:r>
    </w:p>
    <w:p w14:paraId="5B11CFCF">
      <w:pPr>
        <w:tabs>
          <w:tab w:val="left" w:pos="0"/>
          <w:tab w:val="left" w:pos="360"/>
          <w:tab w:val="left" w:pos="540"/>
        </w:tabs>
        <w:spacing w:line="360" w:lineRule="auto"/>
        <w:ind w:firstLine="1800" w:firstLineChars="600"/>
        <w:rPr>
          <w:rFonts w:eastAsia="仿宋_GB2312"/>
          <w:sz w:val="30"/>
          <w:szCs w:val="32"/>
        </w:rPr>
      </w:pPr>
      <w:r>
        <w:rPr>
          <w:rFonts w:eastAsia="仿宋_GB2312"/>
          <w:position w:val="-6"/>
          <w:sz w:val="30"/>
          <w:szCs w:val="32"/>
        </w:rPr>
        <w:object>
          <v:shape id="_x0000_i1026" o:spt="75" type="#_x0000_t75" style="height:18pt;width:18pt;" o:ole="t" filled="f" o:preferrelative="t" stroked="f" coordsize="21600,21600">
            <v:path/>
            <v:fill on="f" focussize="0,0"/>
            <v:stroke on="f" joinstyle="miter"/>
            <v:imagedata r:id="rId35" o:title=""/>
            <o:lock v:ext="edit" aspectratio="t"/>
            <w10:wrap type="none"/>
            <w10:anchorlock/>
          </v:shape>
          <o:OLEObject Type="Embed" ProgID="Equation.3" ShapeID="_x0000_i1026" DrawAspect="Content" ObjectID="_1468075726" r:id="rId34">
            <o:LockedField>false</o:LockedField>
          </o:OLEObject>
        </w:object>
      </w:r>
      <w:r>
        <w:rPr>
          <w:rFonts w:eastAsia="仿宋_GB2312"/>
          <w:sz w:val="30"/>
          <w:szCs w:val="32"/>
        </w:rPr>
        <w:t>——约定的付款证书中承包人应得到的已完成工程量的金额。此项金额应不包括价格调整、不计质量保证金的扣留和支付、预付款的支付和扣回。约定的变更及其他金额已按现行价格计价的，也不计在内；</w:t>
      </w:r>
    </w:p>
    <w:p w14:paraId="5A75A9D8">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A——定值权重（即不调部分的权重）；</w:t>
      </w:r>
    </w:p>
    <w:p w14:paraId="36A86E81">
      <w:pPr>
        <w:tabs>
          <w:tab w:val="left" w:pos="0"/>
          <w:tab w:val="left" w:pos="360"/>
          <w:tab w:val="left" w:pos="540"/>
        </w:tabs>
        <w:spacing w:line="360" w:lineRule="auto"/>
        <w:ind w:firstLine="600" w:firstLineChars="200"/>
        <w:rPr>
          <w:rFonts w:eastAsia="仿宋_GB2312"/>
          <w:sz w:val="30"/>
          <w:szCs w:val="32"/>
        </w:rPr>
      </w:pPr>
      <w:r>
        <w:rPr>
          <w:rFonts w:eastAsia="仿宋_GB2312"/>
          <w:position w:val="-10"/>
          <w:sz w:val="30"/>
          <w:szCs w:val="32"/>
        </w:rPr>
        <w:object>
          <v:shape id="_x0000_i1027" o:spt="75" type="#_x0000_t75" style="height:21pt;width:100.8pt;" o:ole="t" filled="f" o:preferrelative="t" stroked="f" coordsize="21600,21600">
            <v:path/>
            <v:fill on="f" focussize="0,0"/>
            <v:stroke on="f" joinstyle="miter"/>
            <v:imagedata r:id="rId37" o:title=""/>
            <o:lock v:ext="edit" aspectratio="t"/>
            <w10:wrap type="none"/>
            <w10:anchorlock/>
          </v:shape>
          <o:OLEObject Type="Embed" ProgID="Equation.3" ShapeID="_x0000_i1027" DrawAspect="Content" ObjectID="_1468075727" r:id="rId36">
            <o:LockedField>false</o:LockedField>
          </o:OLEObject>
        </w:object>
      </w:r>
      <w:r>
        <w:rPr>
          <w:rFonts w:eastAsia="仿宋_GB2312"/>
          <w:sz w:val="30"/>
          <w:szCs w:val="32"/>
        </w:rPr>
        <w:t>——各可调因子的变值权重（即可调部分的权重），为各可调因子在签约合同价中所占的比例；</w:t>
      </w:r>
    </w:p>
    <w:p w14:paraId="68EA0D45">
      <w:pPr>
        <w:tabs>
          <w:tab w:val="left" w:pos="0"/>
          <w:tab w:val="left" w:pos="360"/>
          <w:tab w:val="left" w:pos="540"/>
        </w:tabs>
        <w:spacing w:line="360" w:lineRule="auto"/>
        <w:ind w:firstLine="600" w:firstLineChars="200"/>
        <w:rPr>
          <w:rFonts w:eastAsia="仿宋_GB2312"/>
          <w:sz w:val="30"/>
          <w:szCs w:val="32"/>
        </w:rPr>
      </w:pPr>
      <w:r>
        <w:rPr>
          <w:rFonts w:eastAsia="仿宋_GB2312"/>
          <w:position w:val="-10"/>
          <w:sz w:val="30"/>
          <w:szCs w:val="32"/>
        </w:rPr>
        <w:object>
          <v:shape id="_x0000_i1028" o:spt="75" type="#_x0000_t75" style="height:20.4pt;width:102pt;" o:ole="t" filled="f" o:preferrelative="t" stroked="f" coordsize="21600,21600">
            <v:path/>
            <v:fill on="f" focussize="0,0"/>
            <v:stroke on="f" joinstyle="miter"/>
            <v:imagedata r:id="rId39" o:title=""/>
            <o:lock v:ext="edit" aspectratio="t"/>
            <w10:wrap type="none"/>
            <w10:anchorlock/>
          </v:shape>
          <o:OLEObject Type="Embed" ProgID="Equation.3" ShapeID="_x0000_i1028" DrawAspect="Content" ObjectID="_1468075728" r:id="rId38">
            <o:LockedField>false</o:LockedField>
          </o:OLEObject>
        </w:object>
      </w:r>
      <w:r>
        <w:rPr>
          <w:rFonts w:eastAsia="仿宋_GB2312"/>
          <w:sz w:val="30"/>
          <w:szCs w:val="32"/>
        </w:rPr>
        <w:t>——各可调因子的现行价格指数，指约定的付款证书相关周期最后一天的前42天的各可调因子的价格指数；</w:t>
      </w:r>
    </w:p>
    <w:p w14:paraId="1D75C694">
      <w:pPr>
        <w:tabs>
          <w:tab w:val="left" w:pos="0"/>
          <w:tab w:val="left" w:pos="360"/>
          <w:tab w:val="left" w:pos="540"/>
        </w:tabs>
        <w:spacing w:line="360" w:lineRule="auto"/>
        <w:ind w:firstLine="600" w:firstLineChars="200"/>
        <w:rPr>
          <w:rFonts w:eastAsia="仿宋_GB2312"/>
          <w:sz w:val="30"/>
          <w:szCs w:val="32"/>
        </w:rPr>
      </w:pPr>
      <w:r>
        <w:rPr>
          <w:rFonts w:eastAsia="仿宋_GB2312"/>
          <w:position w:val="-10"/>
          <w:sz w:val="30"/>
          <w:szCs w:val="32"/>
        </w:rPr>
        <w:object>
          <v:shape id="_x0000_i1029" o:spt="75" type="#_x0000_t75" style="height:20.4pt;width:108pt;" o:ole="t" filled="f" o:preferrelative="t" stroked="f" coordsize="21600,21600">
            <v:path/>
            <v:fill on="f" focussize="0,0"/>
            <v:stroke on="f" joinstyle="miter"/>
            <v:imagedata r:id="rId41" o:title=""/>
            <o:lock v:ext="edit" aspectratio="t"/>
            <w10:wrap type="none"/>
            <w10:anchorlock/>
          </v:shape>
          <o:OLEObject Type="Embed" ProgID="Equation.3" ShapeID="_x0000_i1029" DrawAspect="Content" ObjectID="_1468075729" r:id="rId40">
            <o:LockedField>false</o:LockedField>
          </o:OLEObject>
        </w:object>
      </w:r>
      <w:r>
        <w:rPr>
          <w:rFonts w:eastAsia="仿宋_GB2312"/>
          <w:sz w:val="30"/>
          <w:szCs w:val="32"/>
        </w:rPr>
        <w:t>——各可调因子的基本价格指数，指基准日期的各可调因子的价格指数。</w:t>
      </w:r>
    </w:p>
    <w:p w14:paraId="4D2A7A18">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以上价格调整公式中的各可调因子、定值和变值权重，以及基本价格指数及其来源在投标函附录价格指数和权重表中约定，非招标订立的合同，由合同当事人在专用合同条款中约定。价格指数应首先采用工程造价管理机构发布的价格指数，无前述价格指数时，可采用工程造价管理机构发布的价格代替。</w:t>
      </w:r>
    </w:p>
    <w:p w14:paraId="7347153F">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（2）暂时确定调整差额</w:t>
      </w:r>
    </w:p>
    <w:p w14:paraId="5081644E">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在计算调整差额时无现行价格指数的，合同当事人同意暂用前次价格指数计算。实际价格指数有调整的，合同当事人进行相应调整。</w:t>
      </w:r>
    </w:p>
    <w:p w14:paraId="2AD50276">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（3）权重的调整</w:t>
      </w:r>
    </w:p>
    <w:p w14:paraId="5D1A3A58">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因变更导致合同约定的权重不合理时，按照第4.4款</w:t>
      </w:r>
      <w:r>
        <w:rPr>
          <w:rFonts w:hint="eastAsia" w:eastAsia="仿宋_GB2312"/>
          <w:sz w:val="30"/>
          <w:szCs w:val="32"/>
        </w:rPr>
        <w:t>〔</w:t>
      </w:r>
      <w:r>
        <w:rPr>
          <w:rFonts w:eastAsia="仿宋_GB2312"/>
          <w:sz w:val="30"/>
          <w:szCs w:val="32"/>
        </w:rPr>
        <w:t>商定或确定</w:t>
      </w:r>
      <w:r>
        <w:rPr>
          <w:rFonts w:hint="eastAsia" w:eastAsia="仿宋_GB2312"/>
          <w:sz w:val="30"/>
          <w:szCs w:val="32"/>
        </w:rPr>
        <w:t>〕</w:t>
      </w:r>
      <w:r>
        <w:rPr>
          <w:rFonts w:eastAsia="仿宋_GB2312"/>
          <w:sz w:val="30"/>
          <w:szCs w:val="32"/>
        </w:rPr>
        <w:t>执行。</w:t>
      </w:r>
    </w:p>
    <w:p w14:paraId="5C37CC4B">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（4）因承包人原因工期延误后的价格调整</w:t>
      </w:r>
    </w:p>
    <w:p w14:paraId="01D74BA1">
      <w:pPr>
        <w:tabs>
          <w:tab w:val="left" w:pos="0"/>
          <w:tab w:val="left" w:pos="360"/>
          <w:tab w:val="left" w:pos="540"/>
        </w:tabs>
        <w:spacing w:line="360" w:lineRule="auto"/>
        <w:ind w:firstLine="600" w:firstLineChars="200"/>
        <w:rPr>
          <w:rFonts w:eastAsia="仿宋_GB2312"/>
          <w:sz w:val="30"/>
          <w:szCs w:val="32"/>
        </w:rPr>
      </w:pPr>
      <w:r>
        <w:rPr>
          <w:rFonts w:eastAsia="仿宋_GB2312"/>
          <w:sz w:val="30"/>
          <w:szCs w:val="32"/>
        </w:rPr>
        <w:t>因承包人原因未按期竣工的，对合同约定的竣工日期后继续施工的工程，在使用价格调整公式时，应采用计划竣工日期与实际竣工日期的两个价格指数中较低的一个作为现行价格指数。</w:t>
      </w:r>
    </w:p>
    <w:p w14:paraId="0A2C5D41">
      <w:pPr>
        <w:spacing w:line="360" w:lineRule="auto"/>
        <w:ind w:firstLine="600" w:firstLineChars="200"/>
        <w:rPr>
          <w:rFonts w:eastAsia="仿宋_GB2312"/>
          <w:sz w:val="30"/>
          <w:szCs w:val="32"/>
        </w:rPr>
      </w:pPr>
      <w:r>
        <w:rPr>
          <w:rFonts w:eastAsia="仿宋_GB2312"/>
          <w:sz w:val="30"/>
          <w:szCs w:val="32"/>
        </w:rPr>
        <w:t>第2种方式：采用造价信息</w:t>
      </w:r>
      <w:r>
        <w:rPr>
          <w:rFonts w:hint="eastAsia" w:eastAsia="仿宋_GB2312"/>
          <w:sz w:val="30"/>
          <w:szCs w:val="32"/>
        </w:rPr>
        <w:t>进行价格</w:t>
      </w:r>
      <w:r>
        <w:rPr>
          <w:rFonts w:eastAsia="仿宋_GB2312"/>
          <w:sz w:val="30"/>
          <w:szCs w:val="32"/>
        </w:rPr>
        <w:t>调整。</w:t>
      </w:r>
    </w:p>
    <w:p w14:paraId="3771EAD5">
      <w:pPr>
        <w:spacing w:line="360" w:lineRule="auto"/>
        <w:ind w:firstLine="600" w:firstLineChars="200"/>
        <w:rPr>
          <w:rFonts w:eastAsia="仿宋_GB2312"/>
          <w:sz w:val="30"/>
          <w:szCs w:val="32"/>
        </w:rPr>
      </w:pPr>
      <w:r>
        <w:rPr>
          <w:rFonts w:eastAsia="仿宋_GB2312"/>
          <w:sz w:val="30"/>
          <w:szCs w:val="32"/>
        </w:rPr>
        <w:t>合同履行期间，因人工、材料、工程设备和机械台班价格波动影响合同价格时，人工、机械使用费按照国家</w:t>
      </w:r>
      <w:r>
        <w:rPr>
          <w:rFonts w:hint="eastAsia" w:eastAsia="仿宋_GB2312"/>
          <w:sz w:val="30"/>
          <w:szCs w:val="32"/>
        </w:rPr>
        <w:t>、</w:t>
      </w:r>
      <w:r>
        <w:rPr>
          <w:rFonts w:eastAsia="仿宋_GB2312"/>
          <w:sz w:val="30"/>
          <w:szCs w:val="32"/>
        </w:rPr>
        <w:t>省建设行政管理部门、行业建设管理部门或其授权的工程造价管理机构发布的人工、机械使用费系数进行调整；需要进行价格调整的材料，其单价和采购数</w:t>
      </w:r>
      <w:r>
        <w:rPr>
          <w:rFonts w:hint="eastAsia" w:eastAsia="仿宋_GB2312"/>
          <w:sz w:val="30"/>
          <w:szCs w:val="32"/>
        </w:rPr>
        <w:t>量</w:t>
      </w:r>
      <w:r>
        <w:rPr>
          <w:rFonts w:eastAsia="仿宋_GB2312"/>
          <w:sz w:val="30"/>
          <w:szCs w:val="32"/>
        </w:rPr>
        <w:t>应由发包人审批，发包人确认需调整的材料单价及数量，作为调整合同价格的依据。</w:t>
      </w:r>
    </w:p>
    <w:p w14:paraId="6AF07FD1">
      <w:pPr>
        <w:spacing w:line="360" w:lineRule="auto"/>
        <w:ind w:firstLine="600" w:firstLineChars="200"/>
        <w:rPr>
          <w:rFonts w:eastAsia="仿宋_GB2312"/>
          <w:sz w:val="30"/>
          <w:szCs w:val="32"/>
        </w:rPr>
      </w:pPr>
      <w:r>
        <w:rPr>
          <w:rFonts w:eastAsia="仿宋_GB2312"/>
          <w:sz w:val="30"/>
          <w:szCs w:val="32"/>
        </w:rPr>
        <w:t>（1）人工单价发生变化且符合省级或行业建设主管部门发布的人工费调整规定，合同当事人应按省级或行业建设主管部门或其授权的工程造价管理机构发布的人工费等文件调整合同价格，但承包人对人工费或人工单价的报价高于发布价格的除外。</w:t>
      </w:r>
    </w:p>
    <w:p w14:paraId="46D6C323">
      <w:pPr>
        <w:spacing w:line="360" w:lineRule="auto"/>
        <w:ind w:firstLine="600" w:firstLineChars="200"/>
        <w:rPr>
          <w:rFonts w:eastAsia="仿宋_GB2312"/>
          <w:sz w:val="30"/>
          <w:szCs w:val="32"/>
        </w:rPr>
      </w:pPr>
      <w:r>
        <w:rPr>
          <w:rFonts w:eastAsia="仿宋_GB2312"/>
          <w:sz w:val="30"/>
          <w:szCs w:val="32"/>
        </w:rPr>
        <w:t>（2）材料、工程设备价格变化的价款调整按照发包人提供的基准价格，按以下风险范围规定执行:</w:t>
      </w:r>
    </w:p>
    <w:p w14:paraId="76540B6A">
      <w:pPr>
        <w:spacing w:line="360" w:lineRule="auto"/>
        <w:ind w:firstLine="600" w:firstLineChars="200"/>
        <w:rPr>
          <w:rFonts w:eastAsia="仿宋_GB2312"/>
          <w:sz w:val="30"/>
          <w:szCs w:val="32"/>
        </w:rPr>
      </w:pPr>
      <w:r>
        <w:rPr>
          <w:rFonts w:hint="eastAsia" w:ascii="宋体" w:hAnsi="宋体" w:cs="宋体"/>
          <w:sz w:val="30"/>
          <w:szCs w:val="32"/>
        </w:rPr>
        <w:t>①</w:t>
      </w:r>
      <w:r>
        <w:rPr>
          <w:rFonts w:eastAsia="仿宋_GB2312"/>
          <w:sz w:val="30"/>
          <w:szCs w:val="32"/>
        </w:rPr>
        <w:t>承包人在已标价工程量清单或预算书中载明材料单价低于基准价格的：除专用合同条款另有约定外，合同履行期间材料单价涨幅以基准价格为基础超过5%时，或材料单价跌幅以在已标价工程量清单或预算书中载明材料单价为基础超过5%时，其超过部分据实调整。</w:t>
      </w:r>
    </w:p>
    <w:p w14:paraId="3654DC91">
      <w:pPr>
        <w:spacing w:line="360" w:lineRule="auto"/>
        <w:ind w:firstLine="600" w:firstLineChars="200"/>
        <w:rPr>
          <w:rFonts w:eastAsia="仿宋_GB2312"/>
          <w:sz w:val="30"/>
          <w:szCs w:val="32"/>
        </w:rPr>
      </w:pPr>
      <w:r>
        <w:rPr>
          <w:rFonts w:hint="eastAsia" w:ascii="宋体" w:hAnsi="宋体" w:cs="宋体"/>
          <w:sz w:val="30"/>
          <w:szCs w:val="32"/>
        </w:rPr>
        <w:t>②</w:t>
      </w:r>
      <w:r>
        <w:rPr>
          <w:rFonts w:eastAsia="仿宋_GB2312"/>
          <w:sz w:val="30"/>
          <w:szCs w:val="32"/>
        </w:rPr>
        <w:t>承包人在已标价工程量清单或预算书中载明材料单价高于基准价格的：除专用合同条款另有约定外，合同履行期间材料单价跌幅以基准价格为基础超过5%时，材料单价涨幅以在已标价工程量清单或预算书中载明材料单价为基础超过5%时，其超过部分据实调整。</w:t>
      </w:r>
    </w:p>
    <w:p w14:paraId="0CF64D00">
      <w:pPr>
        <w:spacing w:line="360" w:lineRule="auto"/>
        <w:ind w:firstLine="600" w:firstLineChars="200"/>
        <w:rPr>
          <w:rFonts w:eastAsia="仿宋_GB2312"/>
          <w:sz w:val="30"/>
          <w:szCs w:val="32"/>
        </w:rPr>
      </w:pPr>
      <w:r>
        <w:rPr>
          <w:rFonts w:hint="eastAsia" w:ascii="宋体" w:hAnsi="宋体" w:cs="宋体"/>
          <w:sz w:val="30"/>
          <w:szCs w:val="32"/>
        </w:rPr>
        <w:t>③</w:t>
      </w:r>
      <w:r>
        <w:rPr>
          <w:rFonts w:eastAsia="仿宋_GB2312"/>
          <w:sz w:val="30"/>
          <w:szCs w:val="32"/>
        </w:rPr>
        <w:t>承包人在已标价工程量清单或预算书中载明材料单价等于基准价格的：除专用合同条款另有约定外，合同履行期间材料单价涨跌幅以基准价格为基础超过±5%时，其超过部分据实调整。</w:t>
      </w:r>
    </w:p>
    <w:p w14:paraId="06CD0DD8">
      <w:pPr>
        <w:spacing w:line="360" w:lineRule="auto"/>
        <w:ind w:firstLine="600" w:firstLineChars="200"/>
        <w:rPr>
          <w:rFonts w:eastAsia="仿宋_GB2312"/>
          <w:sz w:val="30"/>
          <w:szCs w:val="32"/>
        </w:rPr>
      </w:pPr>
      <w:r>
        <w:rPr>
          <w:rFonts w:hint="eastAsia" w:ascii="宋体" w:hAnsi="宋体" w:cs="宋体"/>
          <w:sz w:val="30"/>
          <w:szCs w:val="32"/>
        </w:rPr>
        <w:t>④</w:t>
      </w:r>
      <w:r>
        <w:rPr>
          <w:rFonts w:eastAsia="仿宋_GB2312"/>
          <w:sz w:val="30"/>
          <w:szCs w:val="32"/>
        </w:rPr>
        <w:t>承包人应在采购材料前将采购数量和新的材料单价报发包人核对，发包人确认用于工程时，发包人应确认采购材料的数量和单价。发包人在收到承包人报送的确认资料后5天内不予答复的视为认可，作为调整合同价格的依据。未经发包人事先核对，承包人自行采购材料的，发包人有权不予调整合同价格。发包人同意的，可以调整合同价格。</w:t>
      </w:r>
    </w:p>
    <w:p w14:paraId="25E0EB23">
      <w:pPr>
        <w:spacing w:line="360" w:lineRule="auto"/>
        <w:ind w:firstLine="600" w:firstLineChars="200"/>
        <w:rPr>
          <w:rFonts w:eastAsia="仿宋_GB2312"/>
          <w:sz w:val="30"/>
          <w:szCs w:val="32"/>
        </w:rPr>
      </w:pPr>
      <w:bookmarkStart w:id="464" w:name="OLE_LINK3"/>
      <w:r>
        <w:rPr>
          <w:rFonts w:eastAsia="仿宋_GB2312"/>
          <w:sz w:val="30"/>
          <w:szCs w:val="32"/>
        </w:rPr>
        <w:t>前述基准价格是指由发包人在招标文件或专用合同条款中给定的材料、工程设备的价格，该价格原则上应当按照省级或行业建设主管部门或其授权的工程造价管理机构发布的信息价编制。</w:t>
      </w:r>
    </w:p>
    <w:p w14:paraId="4B2E65DB">
      <w:pPr>
        <w:spacing w:line="360" w:lineRule="auto"/>
        <w:ind w:firstLine="600" w:firstLineChars="200"/>
        <w:rPr>
          <w:rFonts w:eastAsia="仿宋_GB2312"/>
          <w:sz w:val="30"/>
          <w:szCs w:val="32"/>
        </w:rPr>
      </w:pPr>
      <w:r>
        <w:rPr>
          <w:rFonts w:eastAsia="仿宋_GB2312"/>
          <w:sz w:val="30"/>
          <w:szCs w:val="32"/>
        </w:rPr>
        <w:t>（3）施工机械台班单价或施工机械使用费发生变化超过省级或行业建设主管部门或其授权的工程造价管理机构规定的范围时，按规定调整合同价格。</w:t>
      </w:r>
    </w:p>
    <w:p w14:paraId="0D8C6B26">
      <w:pPr>
        <w:spacing w:line="360" w:lineRule="auto"/>
        <w:ind w:firstLine="600" w:firstLineChars="200"/>
        <w:rPr>
          <w:rFonts w:eastAsia="仿宋_GB2312"/>
          <w:sz w:val="30"/>
          <w:szCs w:val="32"/>
        </w:rPr>
      </w:pPr>
      <w:r>
        <w:rPr>
          <w:rFonts w:eastAsia="仿宋_GB2312"/>
          <w:sz w:val="30"/>
          <w:szCs w:val="32"/>
        </w:rPr>
        <w:t>第3种方式：专用合同条款约定的其他方式。</w:t>
      </w:r>
    </w:p>
    <w:p w14:paraId="6A6F55E3">
      <w:pPr>
        <w:pStyle w:val="9"/>
        <w:spacing w:before="120" w:after="120" w:line="360" w:lineRule="auto"/>
        <w:ind w:firstLine="600" w:firstLineChars="200"/>
        <w:rPr>
          <w:rFonts w:eastAsia="黑体"/>
          <w:b w:val="0"/>
          <w:i w:val="0"/>
          <w:iCs w:val="0"/>
          <w:sz w:val="30"/>
          <w:szCs w:val="32"/>
        </w:rPr>
      </w:pPr>
      <w:bookmarkStart w:id="465" w:name="_Toc351203579"/>
      <w:bookmarkStart w:id="466" w:name="_Toc337558798"/>
      <w:bookmarkStart w:id="467" w:name="_Toc296503093"/>
      <w:bookmarkStart w:id="468" w:name="_Toc296346594"/>
      <w:r>
        <w:rPr>
          <w:rFonts w:eastAsia="黑体"/>
          <w:b w:val="0"/>
          <w:i w:val="0"/>
          <w:iCs w:val="0"/>
          <w:sz w:val="30"/>
          <w:szCs w:val="32"/>
        </w:rPr>
        <w:t>11.2法律变化引起的调整</w:t>
      </w:r>
      <w:bookmarkEnd w:id="465"/>
    </w:p>
    <w:bookmarkEnd w:id="466"/>
    <w:bookmarkEnd w:id="467"/>
    <w:bookmarkEnd w:id="468"/>
    <w:p w14:paraId="77FE2D9B">
      <w:pPr>
        <w:spacing w:line="360" w:lineRule="auto"/>
        <w:ind w:firstLine="600" w:firstLineChars="200"/>
        <w:rPr>
          <w:rFonts w:eastAsia="仿宋_GB2312"/>
          <w:sz w:val="30"/>
          <w:szCs w:val="32"/>
        </w:rPr>
      </w:pPr>
      <w:r>
        <w:rPr>
          <w:rFonts w:eastAsia="仿宋_GB2312"/>
          <w:sz w:val="30"/>
          <w:szCs w:val="32"/>
        </w:rPr>
        <w:t>基准日</w:t>
      </w:r>
      <w:r>
        <w:rPr>
          <w:rFonts w:hint="eastAsia" w:eastAsia="仿宋_GB2312"/>
          <w:sz w:val="30"/>
          <w:szCs w:val="32"/>
        </w:rPr>
        <w:t>期</w:t>
      </w:r>
      <w:r>
        <w:rPr>
          <w:rFonts w:eastAsia="仿宋_GB2312"/>
          <w:sz w:val="30"/>
          <w:szCs w:val="32"/>
        </w:rPr>
        <w:t>后，法律变化</w:t>
      </w:r>
      <w:r>
        <w:rPr>
          <w:rFonts w:hint="eastAsia" w:eastAsia="仿宋_GB2312"/>
          <w:sz w:val="30"/>
          <w:szCs w:val="32"/>
        </w:rPr>
        <w:t>导致承包人在合同履行过程中所需要的费用发生除第11.1款〔市场价格波动引起的调整〕约定以外的增加时，由发包人承担由此增加的费用；减少时，应从合同价格中予以扣减。</w:t>
      </w:r>
      <w:r>
        <w:rPr>
          <w:rFonts w:eastAsia="仿宋_GB2312"/>
          <w:sz w:val="30"/>
          <w:szCs w:val="32"/>
        </w:rPr>
        <w:t>基准日</w:t>
      </w:r>
      <w:r>
        <w:rPr>
          <w:rFonts w:hint="eastAsia" w:eastAsia="仿宋_GB2312"/>
          <w:sz w:val="30"/>
          <w:szCs w:val="32"/>
        </w:rPr>
        <w:t>期</w:t>
      </w:r>
      <w:r>
        <w:rPr>
          <w:rFonts w:eastAsia="仿宋_GB2312"/>
          <w:sz w:val="30"/>
          <w:szCs w:val="32"/>
        </w:rPr>
        <w:t>后，</w:t>
      </w:r>
      <w:r>
        <w:rPr>
          <w:rFonts w:hint="eastAsia" w:eastAsia="仿宋_GB2312"/>
          <w:sz w:val="30"/>
          <w:szCs w:val="32"/>
        </w:rPr>
        <w:t>因</w:t>
      </w:r>
      <w:r>
        <w:rPr>
          <w:rFonts w:eastAsia="仿宋_GB2312"/>
          <w:sz w:val="30"/>
          <w:szCs w:val="32"/>
        </w:rPr>
        <w:t>法律变化</w:t>
      </w:r>
      <w:r>
        <w:rPr>
          <w:rFonts w:hint="eastAsia" w:eastAsia="仿宋_GB2312"/>
          <w:sz w:val="30"/>
          <w:szCs w:val="32"/>
        </w:rPr>
        <w:t>造成工期延误时，工期应予以顺延。</w:t>
      </w:r>
    </w:p>
    <w:p w14:paraId="40BE2338">
      <w:pPr>
        <w:spacing w:line="360" w:lineRule="auto"/>
        <w:ind w:firstLine="600" w:firstLineChars="200"/>
        <w:rPr>
          <w:rFonts w:eastAsia="仿宋_GB2312"/>
          <w:sz w:val="30"/>
          <w:szCs w:val="32"/>
        </w:rPr>
      </w:pPr>
      <w:r>
        <w:rPr>
          <w:rFonts w:hint="eastAsia" w:eastAsia="仿宋_GB2312"/>
          <w:sz w:val="30"/>
          <w:szCs w:val="32"/>
        </w:rPr>
        <w:t>因法律变化引起的合同价格和工期调整，合同当事人无法达成一致的，由总监理工程师按第4.4款〔商定或确定〕的约定处理。</w:t>
      </w:r>
    </w:p>
    <w:p w14:paraId="5B226B9E">
      <w:pPr>
        <w:spacing w:line="360" w:lineRule="auto"/>
        <w:ind w:firstLine="600" w:firstLineChars="200"/>
        <w:rPr>
          <w:rFonts w:eastAsia="仿宋_GB2312"/>
          <w:sz w:val="30"/>
          <w:szCs w:val="32"/>
        </w:rPr>
      </w:pPr>
      <w:r>
        <w:rPr>
          <w:rFonts w:eastAsia="仿宋_GB2312"/>
          <w:kern w:val="0"/>
          <w:sz w:val="30"/>
          <w:szCs w:val="32"/>
        </w:rPr>
        <w:t>因承包人原因造成工期延误，在工期延误期间出现法律变化的，由此增加的费用和（或）延误的工期由承包人承担。</w:t>
      </w:r>
    </w:p>
    <w:p w14:paraId="37745560">
      <w:pPr>
        <w:pStyle w:val="8"/>
        <w:spacing w:before="120" w:after="120" w:line="360" w:lineRule="auto"/>
        <w:rPr>
          <w:rFonts w:ascii="Times New Roman" w:hAnsi="Times New Roman" w:eastAsia="黑体"/>
          <w:b w:val="0"/>
          <w:sz w:val="30"/>
          <w:szCs w:val="32"/>
        </w:rPr>
      </w:pPr>
      <w:bookmarkStart w:id="469" w:name="_Toc351203580"/>
      <w:bookmarkStart w:id="470" w:name="_Toc337558799"/>
      <w:bookmarkStart w:id="471" w:name="_Toc296503096"/>
      <w:bookmarkStart w:id="472" w:name="_Toc296346597"/>
      <w:r>
        <w:rPr>
          <w:rFonts w:ascii="Times New Roman" w:hAnsi="Times New Roman" w:eastAsia="黑体"/>
          <w:b w:val="0"/>
          <w:sz w:val="32"/>
          <w:szCs w:val="32"/>
        </w:rPr>
        <w:t>12.合同价格、计量与支付</w:t>
      </w:r>
      <w:bookmarkEnd w:id="469"/>
    </w:p>
    <w:bookmarkEnd w:id="470"/>
    <w:p w14:paraId="0169F256">
      <w:pPr>
        <w:pStyle w:val="9"/>
        <w:spacing w:before="120" w:after="120" w:line="360" w:lineRule="auto"/>
        <w:ind w:firstLine="600" w:firstLineChars="200"/>
        <w:rPr>
          <w:rFonts w:eastAsia="黑体"/>
          <w:b w:val="0"/>
          <w:i w:val="0"/>
          <w:iCs w:val="0"/>
          <w:sz w:val="30"/>
          <w:szCs w:val="32"/>
        </w:rPr>
      </w:pPr>
      <w:bookmarkStart w:id="473" w:name="_Toc351203581"/>
      <w:bookmarkStart w:id="474" w:name="_Toc337558800"/>
      <w:r>
        <w:rPr>
          <w:rFonts w:eastAsia="黑体"/>
          <w:b w:val="0"/>
          <w:i w:val="0"/>
          <w:iCs w:val="0"/>
          <w:sz w:val="30"/>
          <w:szCs w:val="32"/>
        </w:rPr>
        <w:t>12.1合同价</w:t>
      </w:r>
      <w:bookmarkEnd w:id="471"/>
      <w:bookmarkEnd w:id="472"/>
      <w:r>
        <w:rPr>
          <w:rFonts w:eastAsia="黑体"/>
          <w:b w:val="0"/>
          <w:i w:val="0"/>
          <w:iCs w:val="0"/>
          <w:sz w:val="30"/>
          <w:szCs w:val="32"/>
        </w:rPr>
        <w:t>格形式</w:t>
      </w:r>
      <w:bookmarkEnd w:id="473"/>
    </w:p>
    <w:bookmarkEnd w:id="474"/>
    <w:p w14:paraId="7165F14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发包人和承包人应在合同协议书中</w:t>
      </w:r>
      <w:r>
        <w:rPr>
          <w:rFonts w:hint="eastAsia" w:eastAsia="仿宋_GB2312"/>
          <w:kern w:val="0"/>
          <w:sz w:val="30"/>
          <w:szCs w:val="32"/>
        </w:rPr>
        <w:t>选择</w:t>
      </w:r>
      <w:r>
        <w:rPr>
          <w:rFonts w:eastAsia="仿宋_GB2312"/>
          <w:kern w:val="0"/>
          <w:sz w:val="30"/>
          <w:szCs w:val="32"/>
        </w:rPr>
        <w:t>下列一种合同价格形式：</w:t>
      </w:r>
    </w:p>
    <w:p w14:paraId="00BD957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w:t>
      </w:r>
      <w:r>
        <w:rPr>
          <w:rFonts w:hint="eastAsia" w:eastAsia="仿宋_GB2312"/>
          <w:kern w:val="0"/>
          <w:sz w:val="30"/>
          <w:szCs w:val="32"/>
        </w:rPr>
        <w:t>.</w:t>
      </w:r>
      <w:r>
        <w:rPr>
          <w:rFonts w:eastAsia="仿宋_GB2312"/>
          <w:kern w:val="0"/>
          <w:sz w:val="30"/>
          <w:szCs w:val="32"/>
        </w:rPr>
        <w:t>单价合同</w:t>
      </w:r>
    </w:p>
    <w:p w14:paraId="3FAF590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单价合同是指合同当事人约定以工程量清单及其综合单价进行合同价格计算、调整和确认的建设工程施工合同，</w:t>
      </w:r>
      <w:r>
        <w:rPr>
          <w:rFonts w:eastAsia="仿宋_GB2312"/>
          <w:sz w:val="30"/>
          <w:szCs w:val="32"/>
        </w:rPr>
        <w:t>在约定的范围内合同单价不作调整</w:t>
      </w:r>
      <w:r>
        <w:rPr>
          <w:rFonts w:eastAsia="仿宋_GB2312"/>
          <w:kern w:val="0"/>
          <w:sz w:val="30"/>
          <w:szCs w:val="32"/>
        </w:rPr>
        <w:t>。合同当事人应在专用合同条款中约定综合单价包含的风险范围和风险费用的计算方法</w:t>
      </w:r>
      <w:r>
        <w:rPr>
          <w:rFonts w:eastAsia="仿宋_GB2312"/>
          <w:sz w:val="30"/>
          <w:szCs w:val="32"/>
        </w:rPr>
        <w:t>，</w:t>
      </w:r>
      <w:r>
        <w:rPr>
          <w:rFonts w:eastAsia="仿宋_GB2312"/>
          <w:kern w:val="0"/>
          <w:sz w:val="30"/>
          <w:szCs w:val="32"/>
        </w:rPr>
        <w:t>并约定风险范围以外的合同价格的调整方法，其中因市场价格波动引起的调整按第11.1款</w:t>
      </w:r>
      <w:r>
        <w:rPr>
          <w:rFonts w:hint="eastAsia" w:eastAsia="仿宋_GB2312"/>
          <w:kern w:val="0"/>
          <w:sz w:val="30"/>
          <w:szCs w:val="32"/>
        </w:rPr>
        <w:t>〔</w:t>
      </w:r>
      <w:r>
        <w:rPr>
          <w:rFonts w:eastAsia="仿宋_GB2312"/>
          <w:kern w:val="0"/>
          <w:sz w:val="30"/>
          <w:szCs w:val="32"/>
        </w:rPr>
        <w:t>市场价格波动引起的调整</w:t>
      </w:r>
      <w:r>
        <w:rPr>
          <w:rFonts w:hint="eastAsia" w:eastAsia="仿宋_GB2312"/>
          <w:kern w:val="0"/>
          <w:sz w:val="30"/>
          <w:szCs w:val="32"/>
        </w:rPr>
        <w:t>〕</w:t>
      </w:r>
      <w:r>
        <w:rPr>
          <w:rFonts w:eastAsia="仿宋_GB2312"/>
          <w:kern w:val="0"/>
          <w:sz w:val="30"/>
          <w:szCs w:val="32"/>
        </w:rPr>
        <w:t>约定执行。</w:t>
      </w:r>
    </w:p>
    <w:p w14:paraId="71F70B2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w:t>
      </w:r>
      <w:r>
        <w:rPr>
          <w:rFonts w:hint="eastAsia" w:eastAsia="仿宋_GB2312"/>
          <w:kern w:val="0"/>
          <w:sz w:val="30"/>
          <w:szCs w:val="32"/>
        </w:rPr>
        <w:t>.</w:t>
      </w:r>
      <w:r>
        <w:rPr>
          <w:rFonts w:eastAsia="仿宋_GB2312"/>
          <w:kern w:val="0"/>
          <w:sz w:val="30"/>
          <w:szCs w:val="32"/>
        </w:rPr>
        <w:t>总价合同</w:t>
      </w:r>
    </w:p>
    <w:p w14:paraId="67A9696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总价合同是指合同当事人约定以施工图、已标价工程量清单或预算书及有关条件进行合同价格计算、调整和确认的建设工程施工合同，</w:t>
      </w:r>
      <w:r>
        <w:rPr>
          <w:rFonts w:eastAsia="仿宋_GB2312"/>
          <w:sz w:val="30"/>
          <w:szCs w:val="32"/>
        </w:rPr>
        <w:t>在约定的范围内合同总价不作调整</w:t>
      </w:r>
      <w:r>
        <w:rPr>
          <w:rFonts w:eastAsia="仿宋_GB2312"/>
          <w:kern w:val="0"/>
          <w:sz w:val="30"/>
          <w:szCs w:val="32"/>
        </w:rPr>
        <w:t>。合同当事人应在专用合同条款中约定总价包含的风险范围和风险费用的计算方法，并约定风险范围以外的合同价格的调整方法，其中因市场价格波动引起的调整按第11.1款</w:t>
      </w:r>
      <w:r>
        <w:rPr>
          <w:rFonts w:hint="eastAsia" w:eastAsia="仿宋_GB2312"/>
          <w:kern w:val="0"/>
          <w:sz w:val="30"/>
          <w:szCs w:val="32"/>
        </w:rPr>
        <w:t>〔</w:t>
      </w:r>
      <w:r>
        <w:rPr>
          <w:rFonts w:eastAsia="仿宋_GB2312"/>
          <w:kern w:val="0"/>
          <w:sz w:val="30"/>
          <w:szCs w:val="32"/>
        </w:rPr>
        <w:t>市场价格波动引起的调整</w:t>
      </w:r>
      <w:r>
        <w:rPr>
          <w:rFonts w:hint="eastAsia" w:eastAsia="仿宋_GB2312"/>
          <w:kern w:val="0"/>
          <w:sz w:val="30"/>
          <w:szCs w:val="32"/>
        </w:rPr>
        <w:t>〕</w:t>
      </w:r>
      <w:r>
        <w:rPr>
          <w:rFonts w:eastAsia="仿宋_GB2312"/>
          <w:kern w:val="0"/>
          <w:sz w:val="30"/>
          <w:szCs w:val="32"/>
        </w:rPr>
        <w:t>、因法律变化引起的调整按第11.2款</w:t>
      </w:r>
      <w:r>
        <w:rPr>
          <w:rFonts w:hint="eastAsia" w:eastAsia="仿宋_GB2312"/>
          <w:kern w:val="0"/>
          <w:sz w:val="30"/>
          <w:szCs w:val="32"/>
        </w:rPr>
        <w:t>〔</w:t>
      </w:r>
      <w:r>
        <w:rPr>
          <w:rFonts w:eastAsia="仿宋_GB2312"/>
          <w:kern w:val="0"/>
          <w:sz w:val="30"/>
          <w:szCs w:val="32"/>
        </w:rPr>
        <w:t>法律变化引起的调整</w:t>
      </w:r>
      <w:r>
        <w:rPr>
          <w:rFonts w:hint="eastAsia" w:eastAsia="仿宋_GB2312"/>
          <w:kern w:val="0"/>
          <w:sz w:val="30"/>
          <w:szCs w:val="32"/>
        </w:rPr>
        <w:t>〕</w:t>
      </w:r>
      <w:r>
        <w:rPr>
          <w:rFonts w:eastAsia="仿宋_GB2312"/>
          <w:kern w:val="0"/>
          <w:sz w:val="30"/>
          <w:szCs w:val="32"/>
        </w:rPr>
        <w:t>约定执行。</w:t>
      </w:r>
    </w:p>
    <w:p w14:paraId="02D34C2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w:t>
      </w:r>
      <w:r>
        <w:rPr>
          <w:rFonts w:hint="eastAsia" w:eastAsia="仿宋_GB2312"/>
          <w:kern w:val="0"/>
          <w:sz w:val="30"/>
          <w:szCs w:val="32"/>
        </w:rPr>
        <w:t>.</w:t>
      </w:r>
      <w:r>
        <w:rPr>
          <w:rFonts w:eastAsia="仿宋_GB2312"/>
          <w:kern w:val="0"/>
          <w:sz w:val="30"/>
          <w:szCs w:val="32"/>
        </w:rPr>
        <w:t>其它价格形式</w:t>
      </w:r>
    </w:p>
    <w:p w14:paraId="37DF8CF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合同当事人可在专用合同条款中约定其他合同价格形式。</w:t>
      </w:r>
    </w:p>
    <w:p w14:paraId="21E70179">
      <w:pPr>
        <w:pStyle w:val="9"/>
        <w:spacing w:before="120" w:after="120" w:line="360" w:lineRule="auto"/>
        <w:ind w:firstLine="600" w:firstLineChars="200"/>
        <w:rPr>
          <w:rFonts w:eastAsia="黑体"/>
          <w:b w:val="0"/>
          <w:i w:val="0"/>
          <w:iCs w:val="0"/>
          <w:sz w:val="30"/>
          <w:szCs w:val="32"/>
        </w:rPr>
      </w:pPr>
      <w:bookmarkStart w:id="475" w:name="_Toc296346598"/>
      <w:bookmarkStart w:id="476" w:name="_Toc296503097"/>
      <w:bookmarkStart w:id="477" w:name="_Toc351203582"/>
      <w:bookmarkStart w:id="478" w:name="_Toc337558801"/>
      <w:r>
        <w:rPr>
          <w:rFonts w:eastAsia="黑体"/>
          <w:b w:val="0"/>
          <w:i w:val="0"/>
          <w:iCs w:val="0"/>
          <w:sz w:val="30"/>
          <w:szCs w:val="32"/>
        </w:rPr>
        <w:t>12.2预</w:t>
      </w:r>
      <w:bookmarkEnd w:id="475"/>
      <w:bookmarkEnd w:id="476"/>
      <w:bookmarkStart w:id="479" w:name="_Toc296346601"/>
      <w:bookmarkStart w:id="480" w:name="_Toc296503100"/>
      <w:r>
        <w:rPr>
          <w:rFonts w:eastAsia="黑体"/>
          <w:b w:val="0"/>
          <w:i w:val="0"/>
          <w:iCs w:val="0"/>
          <w:sz w:val="30"/>
          <w:szCs w:val="32"/>
        </w:rPr>
        <w:t>付款</w:t>
      </w:r>
      <w:bookmarkEnd w:id="477"/>
    </w:p>
    <w:bookmarkEnd w:id="478"/>
    <w:bookmarkEnd w:id="479"/>
    <w:bookmarkEnd w:id="480"/>
    <w:p w14:paraId="3D9AEBA5">
      <w:pPr>
        <w:spacing w:line="360" w:lineRule="auto"/>
        <w:ind w:firstLine="600" w:firstLineChars="200"/>
        <w:jc w:val="left"/>
        <w:rPr>
          <w:rFonts w:eastAsia="仿宋_GB2312"/>
          <w:kern w:val="0"/>
          <w:sz w:val="30"/>
          <w:szCs w:val="32"/>
        </w:rPr>
      </w:pPr>
      <w:r>
        <w:rPr>
          <w:rFonts w:eastAsia="仿宋_GB2312"/>
          <w:sz w:val="30"/>
          <w:szCs w:val="32"/>
        </w:rPr>
        <w:t>12.2.</w:t>
      </w:r>
      <w:r>
        <w:rPr>
          <w:rFonts w:eastAsia="仿宋_GB2312"/>
          <w:kern w:val="0"/>
          <w:sz w:val="30"/>
          <w:szCs w:val="32"/>
        </w:rPr>
        <w:t>1预付款的支付</w:t>
      </w:r>
    </w:p>
    <w:p w14:paraId="164831A2">
      <w:pPr>
        <w:spacing w:line="360" w:lineRule="auto"/>
        <w:ind w:firstLine="600" w:firstLineChars="200"/>
        <w:jc w:val="left"/>
        <w:rPr>
          <w:rFonts w:eastAsia="仿宋_GB2312"/>
          <w:kern w:val="0"/>
          <w:sz w:val="30"/>
          <w:szCs w:val="32"/>
        </w:rPr>
      </w:pPr>
      <w:r>
        <w:rPr>
          <w:rFonts w:eastAsia="仿宋_GB2312"/>
          <w:kern w:val="0"/>
          <w:sz w:val="30"/>
          <w:szCs w:val="32"/>
        </w:rPr>
        <w:t>预付款的支付按照专用合同条款约定执行，但至迟应在开工通知载明的开工日期7天前支付。预付款应当用于材料、工程设备、施工设备的采购及修建临时工程、组织施工队伍进场等。</w:t>
      </w:r>
    </w:p>
    <w:p w14:paraId="57F96C80">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除专用合同条款另有约定外，预付款</w:t>
      </w:r>
      <w:r>
        <w:rPr>
          <w:rFonts w:hint="eastAsia" w:eastAsia="仿宋_GB2312"/>
          <w:kern w:val="0"/>
          <w:sz w:val="30"/>
          <w:szCs w:val="32"/>
        </w:rPr>
        <w:t>不低于签约合同价的10%，</w:t>
      </w:r>
      <w:r>
        <w:rPr>
          <w:rFonts w:eastAsia="仿宋_GB2312"/>
          <w:kern w:val="0"/>
          <w:sz w:val="30"/>
          <w:szCs w:val="32"/>
        </w:rPr>
        <w:t>在进度付款中同比例扣回。</w:t>
      </w:r>
      <w:bookmarkEnd w:id="464"/>
      <w:r>
        <w:rPr>
          <w:rFonts w:eastAsia="仿宋_GB2312"/>
          <w:kern w:val="0"/>
          <w:sz w:val="30"/>
          <w:szCs w:val="32"/>
        </w:rPr>
        <w:t>在颁发工程接收证书前，提前解除合同的，尚未扣完的预付款应与合同价款一并结算。</w:t>
      </w:r>
    </w:p>
    <w:p w14:paraId="6687872B">
      <w:pPr>
        <w:spacing w:line="360" w:lineRule="auto"/>
        <w:ind w:firstLine="600" w:firstLineChars="200"/>
        <w:jc w:val="left"/>
        <w:rPr>
          <w:rFonts w:eastAsia="仿宋_GB2312"/>
          <w:kern w:val="0"/>
          <w:sz w:val="30"/>
          <w:szCs w:val="32"/>
        </w:rPr>
      </w:pPr>
      <w:r>
        <w:rPr>
          <w:rFonts w:eastAsia="仿宋_GB2312"/>
          <w:kern w:val="0"/>
          <w:sz w:val="30"/>
          <w:szCs w:val="32"/>
        </w:rPr>
        <w:t>发包人逾期支付预付款超过7天的，承包人有权向发包人发出要求预付的催告通知，发包人收到通知后7天内仍未支付的，承包人有权暂停施工，并按第16.1.1项</w:t>
      </w:r>
      <w:r>
        <w:rPr>
          <w:rFonts w:hint="eastAsia" w:eastAsia="仿宋_GB2312"/>
          <w:kern w:val="0"/>
          <w:sz w:val="30"/>
          <w:szCs w:val="32"/>
        </w:rPr>
        <w:t>〔</w:t>
      </w:r>
      <w:r>
        <w:rPr>
          <w:rFonts w:eastAsia="仿宋_GB2312"/>
          <w:kern w:val="0"/>
          <w:sz w:val="30"/>
          <w:szCs w:val="32"/>
        </w:rPr>
        <w:t>发包人违约的情形</w:t>
      </w:r>
      <w:r>
        <w:rPr>
          <w:rFonts w:hint="eastAsia" w:eastAsia="仿宋_GB2312"/>
          <w:kern w:val="0"/>
          <w:sz w:val="30"/>
          <w:szCs w:val="32"/>
        </w:rPr>
        <w:t>〕</w:t>
      </w:r>
      <w:r>
        <w:rPr>
          <w:rFonts w:eastAsia="仿宋_GB2312"/>
          <w:kern w:val="0"/>
          <w:sz w:val="30"/>
          <w:szCs w:val="32"/>
        </w:rPr>
        <w:t>执行。</w:t>
      </w:r>
    </w:p>
    <w:p w14:paraId="28A71246">
      <w:pPr>
        <w:spacing w:line="360" w:lineRule="auto"/>
        <w:ind w:firstLine="600" w:firstLineChars="200"/>
        <w:jc w:val="left"/>
        <w:rPr>
          <w:rFonts w:eastAsia="仿宋_GB2312"/>
          <w:sz w:val="30"/>
          <w:szCs w:val="32"/>
        </w:rPr>
      </w:pPr>
      <w:r>
        <w:rPr>
          <w:rFonts w:eastAsia="仿宋_GB2312"/>
          <w:sz w:val="30"/>
          <w:szCs w:val="32"/>
        </w:rPr>
        <w:t>12.2.2预付款担保</w:t>
      </w:r>
    </w:p>
    <w:p w14:paraId="0D244DB7">
      <w:pPr>
        <w:spacing w:line="360" w:lineRule="auto"/>
        <w:ind w:firstLine="600" w:firstLineChars="200"/>
        <w:jc w:val="left"/>
        <w:rPr>
          <w:rFonts w:eastAsia="仿宋_GB2312"/>
          <w:kern w:val="0"/>
          <w:sz w:val="30"/>
          <w:szCs w:val="32"/>
        </w:rPr>
      </w:pPr>
      <w:r>
        <w:rPr>
          <w:rFonts w:hint="eastAsia" w:eastAsia="仿宋_GB2312"/>
          <w:kern w:val="0"/>
          <w:sz w:val="30"/>
          <w:szCs w:val="32"/>
        </w:rPr>
        <w:t>发包人要求承包人提供预付款担保的</w:t>
      </w:r>
      <w:r>
        <w:rPr>
          <w:rFonts w:eastAsia="仿宋_GB2312"/>
          <w:kern w:val="0"/>
          <w:sz w:val="30"/>
          <w:szCs w:val="32"/>
        </w:rPr>
        <w:t>，承包人应在发包人支付预付款7天前提供预付款担保</w:t>
      </w:r>
      <w:r>
        <w:rPr>
          <w:rFonts w:hint="eastAsia" w:eastAsia="仿宋_GB2312"/>
          <w:kern w:val="0"/>
          <w:sz w:val="30"/>
          <w:szCs w:val="32"/>
        </w:rPr>
        <w:t>，</w:t>
      </w:r>
      <w:r>
        <w:rPr>
          <w:rFonts w:eastAsia="仿宋_GB2312"/>
          <w:kern w:val="0"/>
          <w:sz w:val="30"/>
          <w:szCs w:val="32"/>
        </w:rPr>
        <w:t>专用合同条款另有约定</w:t>
      </w:r>
      <w:r>
        <w:rPr>
          <w:rFonts w:hint="eastAsia" w:eastAsia="仿宋_GB2312"/>
          <w:kern w:val="0"/>
          <w:sz w:val="30"/>
          <w:szCs w:val="32"/>
        </w:rPr>
        <w:t>除</w:t>
      </w:r>
      <w:r>
        <w:rPr>
          <w:rFonts w:eastAsia="仿宋_GB2312"/>
          <w:kern w:val="0"/>
          <w:sz w:val="30"/>
          <w:szCs w:val="32"/>
        </w:rPr>
        <w:t>外。预付款担保可采用银行保函、</w:t>
      </w:r>
      <w:r>
        <w:rPr>
          <w:rFonts w:hint="eastAsia" w:eastAsia="仿宋_GB2312"/>
          <w:kern w:val="0"/>
          <w:sz w:val="30"/>
          <w:szCs w:val="32"/>
        </w:rPr>
        <w:t>保险保函、融资性</w:t>
      </w:r>
      <w:r>
        <w:rPr>
          <w:rFonts w:eastAsia="仿宋_GB2312"/>
          <w:kern w:val="0"/>
          <w:sz w:val="30"/>
          <w:szCs w:val="32"/>
        </w:rPr>
        <w:t>担保公司担保等形式，具体由合同当事人在专用合同条款中约定。在预付款完全扣回之前，承包人应保证预付款担保持续有效。</w:t>
      </w:r>
    </w:p>
    <w:p w14:paraId="35C82E85">
      <w:pPr>
        <w:spacing w:line="360" w:lineRule="auto"/>
        <w:ind w:firstLine="600" w:firstLineChars="200"/>
        <w:jc w:val="left"/>
        <w:rPr>
          <w:rFonts w:eastAsia="仿宋_GB2312"/>
          <w:kern w:val="0"/>
          <w:sz w:val="30"/>
          <w:szCs w:val="32"/>
        </w:rPr>
      </w:pPr>
      <w:r>
        <w:rPr>
          <w:rFonts w:eastAsia="仿宋_GB2312"/>
          <w:kern w:val="0"/>
          <w:sz w:val="30"/>
          <w:szCs w:val="32"/>
        </w:rPr>
        <w:t>发包人在工程款中逐期扣回预付款后，预付款担保额度应相应减少，但剩余的预付款担保金额不得低于未被扣回的预付款金额。</w:t>
      </w:r>
    </w:p>
    <w:p w14:paraId="3F05B4B6">
      <w:pPr>
        <w:pStyle w:val="9"/>
        <w:spacing w:before="120" w:after="120" w:line="360" w:lineRule="auto"/>
        <w:ind w:firstLine="600" w:firstLineChars="200"/>
        <w:rPr>
          <w:rFonts w:eastAsia="黑体"/>
          <w:b w:val="0"/>
          <w:i w:val="0"/>
          <w:iCs w:val="0"/>
          <w:sz w:val="30"/>
          <w:szCs w:val="32"/>
        </w:rPr>
      </w:pPr>
      <w:bookmarkStart w:id="481" w:name="_Toc351203583"/>
      <w:bookmarkStart w:id="482" w:name="_Toc337558802"/>
      <w:r>
        <w:rPr>
          <w:rFonts w:eastAsia="黑体"/>
          <w:b w:val="0"/>
          <w:i w:val="0"/>
          <w:iCs w:val="0"/>
          <w:sz w:val="30"/>
          <w:szCs w:val="32"/>
        </w:rPr>
        <w:t>12.3计量</w:t>
      </w:r>
      <w:bookmarkEnd w:id="481"/>
    </w:p>
    <w:bookmarkEnd w:id="482"/>
    <w:p w14:paraId="5AEAE185">
      <w:pPr>
        <w:spacing w:line="360" w:lineRule="auto"/>
        <w:ind w:firstLine="600" w:firstLineChars="200"/>
        <w:jc w:val="left"/>
        <w:rPr>
          <w:rFonts w:eastAsia="仿宋_GB2312"/>
          <w:kern w:val="0"/>
          <w:sz w:val="30"/>
          <w:szCs w:val="32"/>
        </w:rPr>
      </w:pPr>
      <w:r>
        <w:rPr>
          <w:rFonts w:eastAsia="仿宋_GB2312"/>
          <w:kern w:val="0"/>
          <w:sz w:val="30"/>
          <w:szCs w:val="32"/>
        </w:rPr>
        <w:t>12.3.1计量原则</w:t>
      </w:r>
    </w:p>
    <w:p w14:paraId="629AA02E">
      <w:pPr>
        <w:spacing w:line="360" w:lineRule="auto"/>
        <w:ind w:firstLine="600" w:firstLineChars="200"/>
        <w:jc w:val="left"/>
        <w:rPr>
          <w:rFonts w:eastAsia="仿宋_GB2312"/>
          <w:kern w:val="0"/>
          <w:sz w:val="30"/>
          <w:szCs w:val="32"/>
        </w:rPr>
      </w:pPr>
      <w:r>
        <w:rPr>
          <w:rFonts w:eastAsia="仿宋_GB2312"/>
          <w:kern w:val="0"/>
          <w:sz w:val="30"/>
          <w:szCs w:val="32"/>
        </w:rPr>
        <w:t>工程量计量按照合同约定的工程量计算规则、图纸及变更指示</w:t>
      </w:r>
      <w:r>
        <w:rPr>
          <w:rFonts w:hint="eastAsia" w:eastAsia="仿宋_GB2312"/>
          <w:kern w:val="0"/>
          <w:sz w:val="30"/>
          <w:szCs w:val="32"/>
        </w:rPr>
        <w:t>等</w:t>
      </w:r>
      <w:r>
        <w:rPr>
          <w:rFonts w:eastAsia="仿宋_GB2312"/>
          <w:kern w:val="0"/>
          <w:sz w:val="30"/>
          <w:szCs w:val="32"/>
        </w:rPr>
        <w:t>进行计量。工程量计算规则应以相关的国家标准、行业标准</w:t>
      </w:r>
      <w:r>
        <w:rPr>
          <w:rFonts w:hint="eastAsia" w:eastAsia="仿宋_GB2312"/>
          <w:kern w:val="0"/>
          <w:sz w:val="30"/>
          <w:szCs w:val="32"/>
        </w:rPr>
        <w:t>等</w:t>
      </w:r>
      <w:r>
        <w:rPr>
          <w:rFonts w:eastAsia="仿宋_GB2312"/>
          <w:kern w:val="0"/>
          <w:sz w:val="30"/>
          <w:szCs w:val="32"/>
        </w:rPr>
        <w:t>为依据，由合同当事人在专用合同条款中约定。</w:t>
      </w:r>
    </w:p>
    <w:p w14:paraId="7037C707">
      <w:pPr>
        <w:spacing w:line="360" w:lineRule="auto"/>
        <w:ind w:firstLine="600" w:firstLineChars="200"/>
        <w:jc w:val="left"/>
        <w:rPr>
          <w:rFonts w:eastAsia="仿宋_GB2312"/>
          <w:kern w:val="0"/>
          <w:sz w:val="30"/>
          <w:szCs w:val="32"/>
        </w:rPr>
      </w:pPr>
      <w:r>
        <w:rPr>
          <w:rFonts w:eastAsia="仿宋_GB2312"/>
          <w:kern w:val="0"/>
          <w:sz w:val="30"/>
          <w:szCs w:val="32"/>
        </w:rPr>
        <w:t>12.3.2计量周期</w:t>
      </w:r>
    </w:p>
    <w:p w14:paraId="08C2F9F8">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除专用合同条款另有约定外，工程量的计量按月进行。</w:t>
      </w:r>
    </w:p>
    <w:p w14:paraId="1F666059">
      <w:pPr>
        <w:spacing w:line="360" w:lineRule="auto"/>
        <w:ind w:firstLine="600" w:firstLineChars="200"/>
        <w:jc w:val="left"/>
        <w:rPr>
          <w:rFonts w:eastAsia="仿宋_GB2312"/>
          <w:kern w:val="0"/>
          <w:sz w:val="30"/>
          <w:szCs w:val="32"/>
        </w:rPr>
      </w:pPr>
      <w:r>
        <w:rPr>
          <w:rFonts w:eastAsia="仿宋_GB2312"/>
          <w:kern w:val="0"/>
          <w:sz w:val="30"/>
          <w:szCs w:val="32"/>
        </w:rPr>
        <w:t>12.3.3单价合同的计量</w:t>
      </w:r>
    </w:p>
    <w:p w14:paraId="4B9C79BE">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除专用合同条款另有约定外，单价合同的计量按照本项约定执行：</w:t>
      </w:r>
    </w:p>
    <w:p w14:paraId="26B29795">
      <w:pPr>
        <w:spacing w:line="360" w:lineRule="auto"/>
        <w:ind w:firstLine="600" w:firstLineChars="200"/>
        <w:jc w:val="left"/>
        <w:rPr>
          <w:rFonts w:eastAsia="仿宋_GB2312"/>
          <w:kern w:val="0"/>
          <w:sz w:val="30"/>
          <w:szCs w:val="32"/>
        </w:rPr>
      </w:pPr>
      <w:r>
        <w:rPr>
          <w:rFonts w:eastAsia="仿宋_GB2312"/>
          <w:kern w:val="0"/>
          <w:sz w:val="30"/>
          <w:szCs w:val="32"/>
        </w:rPr>
        <w:t>（1）承包人应于每月25日向监理人报送上月20日至当月19日已完成的工程量报告，并附具进度付款申请单、已完成工程量报表和有关资料。</w:t>
      </w:r>
    </w:p>
    <w:p w14:paraId="3B8C16CB">
      <w:pPr>
        <w:spacing w:line="360" w:lineRule="auto"/>
        <w:ind w:firstLine="600" w:firstLineChars="200"/>
        <w:jc w:val="left"/>
        <w:rPr>
          <w:rFonts w:eastAsia="仿宋_GB2312"/>
          <w:kern w:val="0"/>
          <w:sz w:val="30"/>
          <w:szCs w:val="32"/>
        </w:rPr>
      </w:pPr>
      <w:r>
        <w:rPr>
          <w:rFonts w:eastAsia="仿宋_GB2312"/>
          <w:kern w:val="0"/>
          <w:sz w:val="30"/>
          <w:szCs w:val="32"/>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复核或修正的工程量视为承包人实际完成的工程量。</w:t>
      </w:r>
    </w:p>
    <w:p w14:paraId="1F1B0A95">
      <w:pPr>
        <w:spacing w:line="360" w:lineRule="auto"/>
        <w:ind w:firstLine="600" w:firstLineChars="200"/>
        <w:jc w:val="left"/>
        <w:rPr>
          <w:rFonts w:eastAsia="仿宋_GB2312"/>
          <w:kern w:val="0"/>
          <w:sz w:val="30"/>
          <w:szCs w:val="32"/>
        </w:rPr>
      </w:pPr>
      <w:r>
        <w:rPr>
          <w:rFonts w:eastAsia="仿宋_GB2312"/>
          <w:kern w:val="0"/>
          <w:sz w:val="30"/>
          <w:szCs w:val="32"/>
        </w:rPr>
        <w:t>（3）监理人未在收到承包人提交的工程量报表后的7天内完成审核的，承包人报送的工程量报告中的工程量视为承包人实际完成的工程量，据此计算工程价款。</w:t>
      </w:r>
    </w:p>
    <w:p w14:paraId="50E6494B">
      <w:pPr>
        <w:spacing w:line="360" w:lineRule="auto"/>
        <w:ind w:firstLine="600" w:firstLineChars="200"/>
        <w:jc w:val="left"/>
        <w:rPr>
          <w:rFonts w:eastAsia="仿宋_GB2312"/>
          <w:kern w:val="0"/>
          <w:sz w:val="30"/>
          <w:szCs w:val="32"/>
        </w:rPr>
      </w:pPr>
      <w:r>
        <w:rPr>
          <w:rFonts w:eastAsia="仿宋_GB2312"/>
          <w:kern w:val="0"/>
          <w:sz w:val="30"/>
          <w:szCs w:val="32"/>
        </w:rPr>
        <w:t>12.3.4总价合同的计量</w:t>
      </w:r>
    </w:p>
    <w:p w14:paraId="7E28C0AD">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除专用合同条款另有约定外，按</w:t>
      </w:r>
      <w:r>
        <w:rPr>
          <w:rFonts w:hint="eastAsia" w:eastAsia="仿宋_GB2312"/>
          <w:kern w:val="0"/>
          <w:sz w:val="30"/>
          <w:szCs w:val="32"/>
        </w:rPr>
        <w:t>月计量支付</w:t>
      </w:r>
      <w:r>
        <w:rPr>
          <w:rFonts w:eastAsia="仿宋_GB2312"/>
          <w:kern w:val="0"/>
          <w:sz w:val="30"/>
          <w:szCs w:val="32"/>
        </w:rPr>
        <w:t>的总价合同，按照本项约定执行：</w:t>
      </w:r>
    </w:p>
    <w:p w14:paraId="23C87D58">
      <w:pPr>
        <w:spacing w:line="360" w:lineRule="auto"/>
        <w:ind w:firstLine="600" w:firstLineChars="200"/>
        <w:jc w:val="left"/>
        <w:rPr>
          <w:rFonts w:eastAsia="仿宋_GB2312"/>
          <w:kern w:val="0"/>
          <w:sz w:val="30"/>
          <w:szCs w:val="32"/>
        </w:rPr>
      </w:pPr>
      <w:r>
        <w:rPr>
          <w:rFonts w:eastAsia="仿宋_GB2312"/>
          <w:kern w:val="0"/>
          <w:sz w:val="30"/>
          <w:szCs w:val="32"/>
        </w:rPr>
        <w:t>（1）承包人应于每月25日向监理人报送上月20日至当月19日已完成的工程量报告，并附具进度付款申请单、已完成工程量报表和有关资料。</w:t>
      </w:r>
    </w:p>
    <w:p w14:paraId="644C073C">
      <w:pPr>
        <w:spacing w:line="360" w:lineRule="auto"/>
        <w:ind w:firstLine="600" w:firstLineChars="200"/>
        <w:jc w:val="left"/>
        <w:rPr>
          <w:rFonts w:eastAsia="仿宋_GB2312"/>
          <w:kern w:val="0"/>
          <w:sz w:val="30"/>
          <w:szCs w:val="32"/>
        </w:rPr>
      </w:pPr>
      <w:r>
        <w:rPr>
          <w:rFonts w:eastAsia="仿宋_GB2312"/>
          <w:kern w:val="0"/>
          <w:sz w:val="30"/>
          <w:szCs w:val="32"/>
        </w:rPr>
        <w:t>（2）监理人应在收到承包人提交的工程量报告后7天内完成对承包人提交的工程量报表的审核并报送发包人，以确定当月实际完成的工程量。监理人对工程量有异议的，有权要求承包人进行共同复核或抽样复测。承包人应协助监理人进行复核或抽样复测，并按监理人要求提供补充计量资料。承包人未按监理人要求参加复核或抽样复测的，监理人审核或修正的工程量视为承包人实际完成的工程量。</w:t>
      </w:r>
    </w:p>
    <w:p w14:paraId="339BC160">
      <w:pPr>
        <w:spacing w:line="360" w:lineRule="auto"/>
        <w:ind w:firstLine="600" w:firstLineChars="200"/>
        <w:jc w:val="left"/>
        <w:rPr>
          <w:rFonts w:eastAsia="仿宋_GB2312"/>
          <w:kern w:val="0"/>
          <w:sz w:val="30"/>
          <w:szCs w:val="32"/>
        </w:rPr>
      </w:pPr>
      <w:r>
        <w:rPr>
          <w:rFonts w:eastAsia="仿宋_GB2312"/>
          <w:kern w:val="0"/>
          <w:sz w:val="30"/>
          <w:szCs w:val="32"/>
        </w:rPr>
        <w:t>（3）监理人未在收到承包人提交的工程量报表后的7天内完成复核的，承包人提交的工程量报告中的工程量视为承包人实际完成的工程量。</w:t>
      </w:r>
    </w:p>
    <w:p w14:paraId="267EF2A6">
      <w:pPr>
        <w:spacing w:line="360" w:lineRule="auto"/>
        <w:ind w:firstLine="600" w:firstLineChars="200"/>
        <w:jc w:val="left"/>
        <w:rPr>
          <w:rFonts w:eastAsia="仿宋_GB2312"/>
          <w:kern w:val="0"/>
          <w:sz w:val="30"/>
          <w:szCs w:val="32"/>
        </w:rPr>
      </w:pPr>
      <w:r>
        <w:rPr>
          <w:rFonts w:eastAsia="仿宋_GB2312"/>
          <w:kern w:val="0"/>
          <w:sz w:val="30"/>
          <w:szCs w:val="32"/>
        </w:rPr>
        <w:t>12.3.5总价合同采用支付分解表计量支付的，可以按照第12.3.4项</w:t>
      </w:r>
      <w:r>
        <w:rPr>
          <w:rFonts w:hint="eastAsia" w:eastAsia="仿宋_GB2312"/>
          <w:kern w:val="0"/>
          <w:sz w:val="30"/>
          <w:szCs w:val="32"/>
        </w:rPr>
        <w:t>〔</w:t>
      </w:r>
      <w:r>
        <w:rPr>
          <w:rFonts w:eastAsia="仿宋_GB2312"/>
          <w:kern w:val="0"/>
          <w:sz w:val="30"/>
          <w:szCs w:val="32"/>
        </w:rPr>
        <w:t>总价合同的计量</w:t>
      </w:r>
      <w:r>
        <w:rPr>
          <w:rFonts w:hint="eastAsia" w:eastAsia="仿宋_GB2312"/>
          <w:kern w:val="0"/>
          <w:sz w:val="30"/>
          <w:szCs w:val="32"/>
        </w:rPr>
        <w:t>〕</w:t>
      </w:r>
      <w:r>
        <w:rPr>
          <w:rFonts w:eastAsia="仿宋_GB2312"/>
          <w:kern w:val="0"/>
          <w:sz w:val="30"/>
          <w:szCs w:val="32"/>
        </w:rPr>
        <w:t>约定进行计量，但合同价款按照支付分解表进行支付。</w:t>
      </w:r>
    </w:p>
    <w:p w14:paraId="61F4631F">
      <w:pPr>
        <w:spacing w:line="360" w:lineRule="auto"/>
        <w:ind w:firstLine="600" w:firstLineChars="200"/>
        <w:jc w:val="left"/>
        <w:rPr>
          <w:rFonts w:eastAsia="仿宋_GB2312"/>
          <w:kern w:val="0"/>
          <w:sz w:val="30"/>
          <w:szCs w:val="32"/>
        </w:rPr>
      </w:pPr>
      <w:r>
        <w:rPr>
          <w:rFonts w:eastAsia="仿宋_GB2312"/>
          <w:kern w:val="0"/>
          <w:sz w:val="30"/>
          <w:szCs w:val="32"/>
        </w:rPr>
        <w:t>12.3.6其他价格形式合同的计量</w:t>
      </w:r>
    </w:p>
    <w:p w14:paraId="23A43A0A">
      <w:pPr>
        <w:spacing w:line="360" w:lineRule="auto"/>
        <w:ind w:firstLine="600" w:firstLineChars="200"/>
        <w:jc w:val="left"/>
        <w:rPr>
          <w:rFonts w:eastAsia="仿宋_GB2312"/>
          <w:kern w:val="0"/>
          <w:sz w:val="30"/>
          <w:szCs w:val="32"/>
        </w:rPr>
      </w:pPr>
      <w:r>
        <w:rPr>
          <w:rFonts w:eastAsia="仿宋_GB2312"/>
          <w:kern w:val="0"/>
          <w:sz w:val="30"/>
          <w:szCs w:val="32"/>
        </w:rPr>
        <w:t>合同当事人可在专用合同条款中约定其他价格形式合同的计量方式和程序。</w:t>
      </w:r>
    </w:p>
    <w:p w14:paraId="41462C51">
      <w:pPr>
        <w:pStyle w:val="9"/>
        <w:spacing w:before="120" w:after="120" w:line="360" w:lineRule="auto"/>
        <w:ind w:firstLine="600" w:firstLineChars="200"/>
        <w:rPr>
          <w:rFonts w:eastAsia="黑体"/>
          <w:b w:val="0"/>
          <w:i w:val="0"/>
          <w:iCs w:val="0"/>
          <w:sz w:val="30"/>
          <w:szCs w:val="32"/>
        </w:rPr>
      </w:pPr>
      <w:bookmarkStart w:id="483" w:name="_Toc296503101"/>
      <w:bookmarkStart w:id="484" w:name="_Toc296346602"/>
      <w:bookmarkStart w:id="485" w:name="_Toc351203584"/>
      <w:bookmarkStart w:id="486" w:name="_Toc337558803"/>
      <w:r>
        <w:rPr>
          <w:rFonts w:eastAsia="黑体"/>
          <w:b w:val="0"/>
          <w:i w:val="0"/>
          <w:iCs w:val="0"/>
          <w:sz w:val="30"/>
          <w:szCs w:val="32"/>
        </w:rPr>
        <w:t>12.4工程进度款支</w:t>
      </w:r>
      <w:bookmarkEnd w:id="483"/>
      <w:bookmarkEnd w:id="484"/>
      <w:r>
        <w:rPr>
          <w:rFonts w:eastAsia="黑体"/>
          <w:b w:val="0"/>
          <w:i w:val="0"/>
          <w:iCs w:val="0"/>
          <w:sz w:val="30"/>
          <w:szCs w:val="32"/>
        </w:rPr>
        <w:t>付</w:t>
      </w:r>
      <w:bookmarkEnd w:id="485"/>
    </w:p>
    <w:bookmarkEnd w:id="486"/>
    <w:p w14:paraId="7E78EA73">
      <w:pPr>
        <w:autoSpaceDE w:val="0"/>
        <w:autoSpaceDN w:val="0"/>
        <w:adjustRightInd w:val="0"/>
        <w:spacing w:line="360" w:lineRule="auto"/>
        <w:ind w:firstLine="600" w:firstLineChars="200"/>
        <w:jc w:val="left"/>
        <w:outlineLvl w:val="0"/>
        <w:rPr>
          <w:rFonts w:eastAsia="仿宋_GB2312"/>
          <w:kern w:val="0"/>
          <w:sz w:val="30"/>
          <w:szCs w:val="32"/>
        </w:rPr>
      </w:pPr>
      <w:bookmarkStart w:id="487" w:name="_Toc23929"/>
      <w:bookmarkStart w:id="488" w:name="_Toc7840"/>
      <w:bookmarkStart w:id="489" w:name="_Toc9411"/>
      <w:bookmarkStart w:id="490" w:name="_Toc1188"/>
      <w:bookmarkStart w:id="491" w:name="_Toc14321"/>
      <w:r>
        <w:rPr>
          <w:rFonts w:eastAsia="仿宋_GB2312"/>
          <w:sz w:val="30"/>
          <w:szCs w:val="32"/>
        </w:rPr>
        <w:t>12.4</w:t>
      </w:r>
      <w:r>
        <w:rPr>
          <w:rFonts w:eastAsia="仿宋_GB2312"/>
          <w:kern w:val="0"/>
          <w:sz w:val="30"/>
          <w:szCs w:val="32"/>
        </w:rPr>
        <w:t>.1付款周期</w:t>
      </w:r>
      <w:bookmarkEnd w:id="487"/>
      <w:bookmarkEnd w:id="488"/>
      <w:bookmarkEnd w:id="489"/>
      <w:bookmarkEnd w:id="490"/>
      <w:bookmarkEnd w:id="491"/>
    </w:p>
    <w:p w14:paraId="0D2C0279">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除专用合同条款另有约定外，付款周期应按照第12.3.2</w:t>
      </w:r>
      <w:r>
        <w:rPr>
          <w:rFonts w:hint="eastAsia" w:eastAsia="仿宋_GB2312"/>
          <w:kern w:val="0"/>
          <w:sz w:val="30"/>
          <w:szCs w:val="32"/>
        </w:rPr>
        <w:t>项〔</w:t>
      </w:r>
      <w:r>
        <w:rPr>
          <w:rFonts w:eastAsia="仿宋_GB2312"/>
          <w:kern w:val="0"/>
          <w:sz w:val="30"/>
          <w:szCs w:val="32"/>
        </w:rPr>
        <w:t>计量周期</w:t>
      </w:r>
      <w:r>
        <w:rPr>
          <w:rFonts w:hint="eastAsia" w:eastAsia="仿宋_GB2312"/>
          <w:kern w:val="0"/>
          <w:sz w:val="30"/>
          <w:szCs w:val="32"/>
        </w:rPr>
        <w:t>〕</w:t>
      </w:r>
      <w:r>
        <w:rPr>
          <w:rFonts w:eastAsia="仿宋_GB2312"/>
          <w:kern w:val="0"/>
          <w:sz w:val="30"/>
          <w:szCs w:val="32"/>
        </w:rPr>
        <w:t>的约定与计量周期保持一致。</w:t>
      </w:r>
    </w:p>
    <w:p w14:paraId="00092713">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12.4</w:t>
      </w:r>
      <w:r>
        <w:rPr>
          <w:rFonts w:eastAsia="仿宋_GB2312"/>
          <w:kern w:val="0"/>
          <w:sz w:val="30"/>
          <w:szCs w:val="32"/>
        </w:rPr>
        <w:t>.2进度付款申请单的编制</w:t>
      </w:r>
    </w:p>
    <w:p w14:paraId="397D77D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除专用合同条款另有约定外，进度付款申请单应包括下列内容：</w:t>
      </w:r>
    </w:p>
    <w:p w14:paraId="6E8DAE1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（1）截至本次付款周期已完成工作对应的金额；</w:t>
      </w:r>
    </w:p>
    <w:p w14:paraId="2030C60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（2）根据第10条</w:t>
      </w:r>
      <w:r>
        <w:rPr>
          <w:rFonts w:hint="eastAsia" w:eastAsia="仿宋_GB2312"/>
          <w:kern w:val="0"/>
          <w:sz w:val="30"/>
          <w:szCs w:val="32"/>
        </w:rPr>
        <w:t>〔</w:t>
      </w:r>
      <w:r>
        <w:rPr>
          <w:rFonts w:eastAsia="仿宋_GB2312"/>
          <w:kern w:val="0"/>
          <w:sz w:val="30"/>
          <w:szCs w:val="32"/>
        </w:rPr>
        <w:t>变更</w:t>
      </w:r>
      <w:r>
        <w:rPr>
          <w:rFonts w:hint="eastAsia" w:eastAsia="仿宋_GB2312"/>
          <w:kern w:val="0"/>
          <w:sz w:val="30"/>
          <w:szCs w:val="32"/>
        </w:rPr>
        <w:t>〕</w:t>
      </w:r>
      <w:r>
        <w:rPr>
          <w:rFonts w:eastAsia="仿宋_GB2312"/>
          <w:kern w:val="0"/>
          <w:sz w:val="30"/>
          <w:szCs w:val="32"/>
        </w:rPr>
        <w:t>应增加和扣减的变更金额；</w:t>
      </w:r>
    </w:p>
    <w:p w14:paraId="25F8DAA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（3）根据第12.2款</w:t>
      </w:r>
      <w:r>
        <w:rPr>
          <w:rFonts w:hint="eastAsia" w:eastAsia="仿宋_GB2312"/>
          <w:kern w:val="0"/>
          <w:sz w:val="30"/>
          <w:szCs w:val="32"/>
        </w:rPr>
        <w:t>〔</w:t>
      </w:r>
      <w:r>
        <w:rPr>
          <w:rFonts w:eastAsia="仿宋_GB2312"/>
          <w:kern w:val="0"/>
          <w:sz w:val="30"/>
          <w:szCs w:val="32"/>
        </w:rPr>
        <w:t>预付款</w:t>
      </w:r>
      <w:r>
        <w:rPr>
          <w:rFonts w:hint="eastAsia" w:eastAsia="仿宋_GB2312"/>
          <w:kern w:val="0"/>
          <w:sz w:val="30"/>
          <w:szCs w:val="32"/>
        </w:rPr>
        <w:t>〕</w:t>
      </w:r>
      <w:r>
        <w:rPr>
          <w:rFonts w:eastAsia="仿宋_GB2312"/>
          <w:kern w:val="0"/>
          <w:sz w:val="30"/>
          <w:szCs w:val="32"/>
        </w:rPr>
        <w:t>约定应支付的预付款和扣减的返还预付款；</w:t>
      </w:r>
    </w:p>
    <w:p w14:paraId="3398885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（4）根据第15.3款</w:t>
      </w:r>
      <w:r>
        <w:rPr>
          <w:rFonts w:hint="eastAsia" w:eastAsia="仿宋_GB2312"/>
          <w:kern w:val="0"/>
          <w:sz w:val="30"/>
          <w:szCs w:val="32"/>
        </w:rPr>
        <w:t>〔</w:t>
      </w:r>
      <w:r>
        <w:rPr>
          <w:rFonts w:eastAsia="仿宋_GB2312"/>
          <w:kern w:val="0"/>
          <w:sz w:val="30"/>
          <w:szCs w:val="32"/>
        </w:rPr>
        <w:t>质量保证金</w:t>
      </w:r>
      <w:r>
        <w:rPr>
          <w:rFonts w:hint="eastAsia" w:eastAsia="仿宋_GB2312"/>
          <w:kern w:val="0"/>
          <w:sz w:val="30"/>
          <w:szCs w:val="32"/>
        </w:rPr>
        <w:t>〕</w:t>
      </w:r>
      <w:r>
        <w:rPr>
          <w:rFonts w:eastAsia="仿宋_GB2312"/>
          <w:kern w:val="0"/>
          <w:sz w:val="30"/>
          <w:szCs w:val="32"/>
        </w:rPr>
        <w:t>约定应扣减的质量保证金；</w:t>
      </w:r>
    </w:p>
    <w:p w14:paraId="6F1DAA0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（5）根据第19条</w:t>
      </w:r>
      <w:r>
        <w:rPr>
          <w:rFonts w:hint="eastAsia" w:eastAsia="仿宋_GB2312"/>
          <w:kern w:val="0"/>
          <w:sz w:val="30"/>
          <w:szCs w:val="32"/>
        </w:rPr>
        <w:t>〔</w:t>
      </w:r>
      <w:r>
        <w:rPr>
          <w:rFonts w:eastAsia="仿宋_GB2312"/>
          <w:kern w:val="0"/>
          <w:sz w:val="30"/>
          <w:szCs w:val="32"/>
        </w:rPr>
        <w:t>索赔</w:t>
      </w:r>
      <w:r>
        <w:rPr>
          <w:rFonts w:hint="eastAsia" w:eastAsia="仿宋_GB2312"/>
          <w:kern w:val="0"/>
          <w:sz w:val="30"/>
          <w:szCs w:val="32"/>
        </w:rPr>
        <w:t>〕</w:t>
      </w:r>
      <w:r>
        <w:rPr>
          <w:rFonts w:eastAsia="仿宋_GB2312"/>
          <w:kern w:val="0"/>
          <w:sz w:val="30"/>
          <w:szCs w:val="32"/>
        </w:rPr>
        <w:t>应增加和扣减的索赔金额；</w:t>
      </w:r>
    </w:p>
    <w:p w14:paraId="2DB7B9B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（6）对已签发的进度款支付证书中出现错误的修正，应在本次进度付款中支付或扣除的金额；</w:t>
      </w:r>
    </w:p>
    <w:p w14:paraId="21ECB0E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（7）根据合同约定应增加和扣减的其他金额。</w:t>
      </w:r>
    </w:p>
    <w:p w14:paraId="42D88123">
      <w:pPr>
        <w:autoSpaceDE w:val="0"/>
        <w:autoSpaceDN w:val="0"/>
        <w:adjustRightInd w:val="0"/>
        <w:spacing w:line="360" w:lineRule="auto"/>
        <w:ind w:firstLine="600" w:firstLineChars="200"/>
        <w:jc w:val="left"/>
        <w:outlineLvl w:val="0"/>
        <w:rPr>
          <w:rFonts w:eastAsia="仿宋_GB2312"/>
          <w:kern w:val="0"/>
          <w:sz w:val="30"/>
          <w:szCs w:val="32"/>
        </w:rPr>
      </w:pPr>
      <w:bookmarkStart w:id="492" w:name="_Toc19936"/>
      <w:bookmarkStart w:id="493" w:name="_Toc15686"/>
      <w:bookmarkStart w:id="494" w:name="_Toc28404"/>
      <w:bookmarkStart w:id="495" w:name="_Toc1160"/>
      <w:bookmarkStart w:id="496" w:name="_Toc29554"/>
      <w:r>
        <w:rPr>
          <w:rFonts w:eastAsia="仿宋_GB2312"/>
          <w:kern w:val="0"/>
          <w:sz w:val="30"/>
          <w:szCs w:val="32"/>
        </w:rPr>
        <w:t>12.4.3进度付款申请单的提交</w:t>
      </w:r>
      <w:bookmarkEnd w:id="492"/>
      <w:bookmarkEnd w:id="493"/>
      <w:bookmarkEnd w:id="494"/>
      <w:bookmarkEnd w:id="495"/>
      <w:bookmarkEnd w:id="496"/>
    </w:p>
    <w:p w14:paraId="62C9739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（1）单价合同进度付款申请单的提交</w:t>
      </w:r>
    </w:p>
    <w:p w14:paraId="4443305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单价合同的进度付款申请单，按照第12.3.3项</w:t>
      </w:r>
      <w:r>
        <w:rPr>
          <w:rFonts w:hint="eastAsia" w:eastAsia="仿宋_GB2312"/>
          <w:kern w:val="0"/>
          <w:sz w:val="30"/>
          <w:szCs w:val="32"/>
        </w:rPr>
        <w:t>〔</w:t>
      </w:r>
      <w:r>
        <w:rPr>
          <w:rFonts w:eastAsia="仿宋_GB2312"/>
          <w:kern w:val="0"/>
          <w:sz w:val="30"/>
          <w:szCs w:val="32"/>
        </w:rPr>
        <w:t>单价合同的计量</w:t>
      </w:r>
      <w:r>
        <w:rPr>
          <w:rFonts w:hint="eastAsia" w:eastAsia="仿宋_GB2312"/>
          <w:kern w:val="0"/>
          <w:sz w:val="30"/>
          <w:szCs w:val="32"/>
        </w:rPr>
        <w:t>〕</w:t>
      </w:r>
      <w:r>
        <w:rPr>
          <w:rFonts w:eastAsia="仿宋_GB2312"/>
          <w:kern w:val="0"/>
          <w:sz w:val="30"/>
          <w:szCs w:val="32"/>
        </w:rPr>
        <w:t>约定的时间按月向监理人提交，并附上已完成工程量报表和有关资料。单价合同中的总价项目按月进行支付分解，并汇总列入当期进度付款申请单。</w:t>
      </w:r>
    </w:p>
    <w:p w14:paraId="2D2209E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（2）总价合同进度付款申请单的提交</w:t>
      </w:r>
    </w:p>
    <w:p w14:paraId="1C8B9C0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总价合同按</w:t>
      </w:r>
      <w:r>
        <w:rPr>
          <w:rFonts w:hint="eastAsia" w:eastAsia="仿宋_GB2312"/>
          <w:kern w:val="0"/>
          <w:sz w:val="30"/>
          <w:szCs w:val="32"/>
        </w:rPr>
        <w:t>月计量支付的</w:t>
      </w:r>
      <w:r>
        <w:rPr>
          <w:rFonts w:eastAsia="仿宋_GB2312"/>
          <w:kern w:val="0"/>
          <w:sz w:val="30"/>
          <w:szCs w:val="32"/>
        </w:rPr>
        <w:t>，承包人按照第12.3.4项</w:t>
      </w:r>
      <w:r>
        <w:rPr>
          <w:rFonts w:hint="eastAsia" w:eastAsia="仿宋_GB2312"/>
          <w:kern w:val="0"/>
          <w:sz w:val="30"/>
          <w:szCs w:val="32"/>
        </w:rPr>
        <w:t>〔</w:t>
      </w:r>
      <w:r>
        <w:rPr>
          <w:rFonts w:eastAsia="仿宋_GB2312"/>
          <w:kern w:val="0"/>
          <w:sz w:val="30"/>
          <w:szCs w:val="32"/>
        </w:rPr>
        <w:t>总价合同的计量</w:t>
      </w:r>
      <w:r>
        <w:rPr>
          <w:rFonts w:hint="eastAsia" w:eastAsia="仿宋_GB2312"/>
          <w:kern w:val="0"/>
          <w:sz w:val="30"/>
          <w:szCs w:val="32"/>
        </w:rPr>
        <w:t>〕</w:t>
      </w:r>
      <w:r>
        <w:rPr>
          <w:rFonts w:eastAsia="仿宋_GB2312"/>
          <w:kern w:val="0"/>
          <w:sz w:val="30"/>
          <w:szCs w:val="32"/>
        </w:rPr>
        <w:t>约定的时间按月向监理人提交进度付款申请单，并附上已完成工程量报表和有关资料。</w:t>
      </w:r>
    </w:p>
    <w:p w14:paraId="39F3C52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总价合同按支付分解表支付的，承包人应按照第12.4.6项</w:t>
      </w:r>
      <w:r>
        <w:rPr>
          <w:rFonts w:hint="eastAsia" w:eastAsia="仿宋_GB2312"/>
          <w:kern w:val="0"/>
          <w:sz w:val="30"/>
          <w:szCs w:val="32"/>
        </w:rPr>
        <w:t>〔</w:t>
      </w:r>
      <w:r>
        <w:rPr>
          <w:rFonts w:eastAsia="仿宋_GB2312"/>
          <w:kern w:val="0"/>
          <w:sz w:val="30"/>
          <w:szCs w:val="32"/>
        </w:rPr>
        <w:t>支付分解表</w:t>
      </w:r>
      <w:r>
        <w:rPr>
          <w:rFonts w:hint="eastAsia" w:eastAsia="仿宋_GB2312"/>
          <w:kern w:val="0"/>
          <w:sz w:val="30"/>
          <w:szCs w:val="32"/>
        </w:rPr>
        <w:t>〕</w:t>
      </w:r>
      <w:r>
        <w:rPr>
          <w:rFonts w:eastAsia="仿宋_GB2312"/>
          <w:kern w:val="0"/>
          <w:sz w:val="30"/>
          <w:szCs w:val="32"/>
        </w:rPr>
        <w:t>及第12.4.2项</w:t>
      </w:r>
      <w:r>
        <w:rPr>
          <w:rFonts w:hint="eastAsia" w:eastAsia="仿宋_GB2312"/>
          <w:kern w:val="0"/>
          <w:sz w:val="30"/>
          <w:szCs w:val="32"/>
        </w:rPr>
        <w:t>〔</w:t>
      </w:r>
      <w:r>
        <w:rPr>
          <w:rFonts w:eastAsia="仿宋_GB2312"/>
          <w:kern w:val="0"/>
          <w:sz w:val="30"/>
          <w:szCs w:val="32"/>
        </w:rPr>
        <w:t>进度付款申请单的编制</w:t>
      </w:r>
      <w:r>
        <w:rPr>
          <w:rFonts w:hint="eastAsia" w:eastAsia="仿宋_GB2312"/>
          <w:kern w:val="0"/>
          <w:sz w:val="30"/>
          <w:szCs w:val="32"/>
        </w:rPr>
        <w:t>〕</w:t>
      </w:r>
      <w:r>
        <w:rPr>
          <w:rFonts w:eastAsia="仿宋_GB2312"/>
          <w:kern w:val="0"/>
          <w:sz w:val="30"/>
          <w:szCs w:val="32"/>
        </w:rPr>
        <w:t>的约定向监理人提交进度付款申请单。</w:t>
      </w:r>
    </w:p>
    <w:p w14:paraId="673087D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（3）其他价格形式合同的进度付款申请单的提交</w:t>
      </w:r>
    </w:p>
    <w:p w14:paraId="6854F11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合同当事人可在专用合同条款中约定其他价格形式合同的进度付款申请单的编制和提交程序。</w:t>
      </w:r>
    </w:p>
    <w:p w14:paraId="210010A2">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12.4</w:t>
      </w:r>
      <w:r>
        <w:rPr>
          <w:rFonts w:eastAsia="仿宋_GB2312"/>
          <w:kern w:val="0"/>
          <w:sz w:val="30"/>
          <w:szCs w:val="32"/>
        </w:rPr>
        <w:t>.4进度款审核和支付</w:t>
      </w:r>
    </w:p>
    <w:p w14:paraId="18F8A84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（1）除专用合同条款另有约定外，监理人应在收到承包人进度付款申请单以及相关资料后7天内完成审查并报送发包人，发包人应在收到后7天内完成审批并签发进度款支付证书。发包人逾期未完成</w:t>
      </w:r>
      <w:r>
        <w:rPr>
          <w:rFonts w:hint="eastAsia" w:eastAsia="仿宋_GB2312"/>
          <w:kern w:val="0"/>
          <w:sz w:val="30"/>
          <w:szCs w:val="32"/>
        </w:rPr>
        <w:t>审批</w:t>
      </w:r>
      <w:r>
        <w:rPr>
          <w:rFonts w:eastAsia="仿宋_GB2312"/>
          <w:kern w:val="0"/>
          <w:sz w:val="30"/>
          <w:szCs w:val="32"/>
        </w:rPr>
        <w:t>且未提出异议的，视为已签发进度款支付证书。</w:t>
      </w:r>
    </w:p>
    <w:p w14:paraId="394A27D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和监理人对承包人的进度付款申请单有异议的，有权要求承包人修正和提供补充资料，承包人应提交修正后的进度付款申请单。监理人应在收到承包人修正后的进度付款申请单及相关资料后7天内完成审查并报送发包人，发包人应在收到监理人报送的进度付款申请单及相关资料后7天内，向承包人签发无异议部分的临时进度款支付证书。存在争议的部分，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的约定处理。</w:t>
      </w:r>
    </w:p>
    <w:p w14:paraId="0E5A154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（2）除专用合同条款另有约定外，发包人应在进度款支付证书或临时进度款支付证书签发后14天内完成支付，发包人逾期支付进度款的，应按照中国人民银行发布的同期同类贷款基准利率支付违约金。</w:t>
      </w:r>
    </w:p>
    <w:p w14:paraId="0002C0C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（3）发包人签发进度款支付证书或临时进度款支付证书，不表明发包人已同意、批准或接受了承包人完成的相应部分的工作。</w:t>
      </w:r>
    </w:p>
    <w:p w14:paraId="23C1C33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12.4.5进度付款的修正</w:t>
      </w:r>
    </w:p>
    <w:p w14:paraId="4F8CE34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在对已签发的进度款支付证书进行阶段汇总和复核中发现错误、遗漏或重复的，发包人和承包人均有权提出修正申请。经发包人和承包人同意的修正，应在下期进度付款中支付或扣除。</w:t>
      </w:r>
    </w:p>
    <w:p w14:paraId="0E10FB6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12.4.6支付分解表</w:t>
      </w:r>
    </w:p>
    <w:p w14:paraId="7F78825F">
      <w:pPr>
        <w:spacing w:line="360" w:lineRule="auto"/>
        <w:ind w:firstLine="600" w:firstLineChars="200"/>
        <w:jc w:val="left"/>
        <w:rPr>
          <w:rFonts w:eastAsia="仿宋_GB2312"/>
          <w:kern w:val="0"/>
          <w:sz w:val="30"/>
          <w:szCs w:val="32"/>
        </w:rPr>
      </w:pPr>
      <w:r>
        <w:rPr>
          <w:rFonts w:eastAsia="仿宋_GB2312"/>
          <w:kern w:val="0"/>
          <w:sz w:val="30"/>
          <w:szCs w:val="32"/>
        </w:rPr>
        <w:t>1</w:t>
      </w:r>
      <w:r>
        <w:rPr>
          <w:rFonts w:hint="eastAsia" w:eastAsia="仿宋_GB2312"/>
          <w:kern w:val="0"/>
          <w:sz w:val="30"/>
          <w:szCs w:val="32"/>
        </w:rPr>
        <w:t>.</w:t>
      </w:r>
      <w:r>
        <w:rPr>
          <w:rFonts w:eastAsia="仿宋_GB2312"/>
          <w:kern w:val="0"/>
          <w:sz w:val="30"/>
          <w:szCs w:val="32"/>
        </w:rPr>
        <w:t>支付分解表的编制要求</w:t>
      </w:r>
    </w:p>
    <w:p w14:paraId="53B31D66">
      <w:pPr>
        <w:spacing w:line="360" w:lineRule="auto"/>
        <w:ind w:firstLine="600" w:firstLineChars="200"/>
        <w:jc w:val="left"/>
        <w:rPr>
          <w:rFonts w:eastAsia="仿宋_GB2312"/>
          <w:kern w:val="0"/>
          <w:sz w:val="30"/>
          <w:szCs w:val="32"/>
        </w:rPr>
      </w:pPr>
      <w:r>
        <w:rPr>
          <w:rFonts w:eastAsia="仿宋_GB2312"/>
          <w:kern w:val="0"/>
          <w:sz w:val="30"/>
          <w:szCs w:val="32"/>
        </w:rPr>
        <w:t>（1）支付分解表中所列的每期付款金额，应为第12.4.2项</w:t>
      </w:r>
      <w:r>
        <w:rPr>
          <w:rFonts w:hint="eastAsia" w:eastAsia="仿宋_GB2312"/>
          <w:kern w:val="0"/>
          <w:sz w:val="30"/>
          <w:szCs w:val="32"/>
        </w:rPr>
        <w:t>〔</w:t>
      </w:r>
      <w:r>
        <w:rPr>
          <w:rFonts w:eastAsia="仿宋_GB2312"/>
          <w:kern w:val="0"/>
          <w:sz w:val="30"/>
          <w:szCs w:val="32"/>
        </w:rPr>
        <w:t>进度付款申请单的编制</w:t>
      </w:r>
      <w:r>
        <w:rPr>
          <w:rFonts w:hint="eastAsia" w:eastAsia="仿宋_GB2312"/>
          <w:kern w:val="0"/>
          <w:sz w:val="30"/>
          <w:szCs w:val="32"/>
        </w:rPr>
        <w:t>〕</w:t>
      </w:r>
      <w:r>
        <w:rPr>
          <w:rFonts w:eastAsia="仿宋_GB2312"/>
          <w:kern w:val="0"/>
          <w:sz w:val="30"/>
          <w:szCs w:val="32"/>
        </w:rPr>
        <w:t>第（1）</w:t>
      </w:r>
      <w:r>
        <w:rPr>
          <w:rFonts w:hint="eastAsia" w:eastAsia="仿宋_GB2312"/>
          <w:kern w:val="0"/>
          <w:sz w:val="30"/>
          <w:szCs w:val="32"/>
        </w:rPr>
        <w:t>目</w:t>
      </w:r>
      <w:r>
        <w:rPr>
          <w:rFonts w:eastAsia="仿宋_GB2312"/>
          <w:kern w:val="0"/>
          <w:sz w:val="30"/>
          <w:szCs w:val="32"/>
        </w:rPr>
        <w:t>的估算金额；</w:t>
      </w:r>
    </w:p>
    <w:p w14:paraId="4F65B263">
      <w:pPr>
        <w:spacing w:line="360" w:lineRule="auto"/>
        <w:ind w:firstLine="600" w:firstLineChars="200"/>
        <w:jc w:val="left"/>
        <w:rPr>
          <w:rFonts w:eastAsia="仿宋_GB2312"/>
          <w:kern w:val="0"/>
          <w:sz w:val="30"/>
          <w:szCs w:val="32"/>
        </w:rPr>
      </w:pPr>
      <w:r>
        <w:rPr>
          <w:rFonts w:eastAsia="仿宋_GB2312"/>
          <w:kern w:val="0"/>
          <w:sz w:val="30"/>
          <w:szCs w:val="32"/>
        </w:rPr>
        <w:t>（2）实际进度与施工进度计划不一致的，合同当事人可按照第4.4款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修改支付分解表；</w:t>
      </w:r>
    </w:p>
    <w:p w14:paraId="0AC4B9A0">
      <w:pPr>
        <w:spacing w:line="360" w:lineRule="auto"/>
        <w:ind w:firstLine="600" w:firstLineChars="200"/>
        <w:jc w:val="left"/>
        <w:rPr>
          <w:rFonts w:eastAsia="仿宋_GB2312"/>
          <w:kern w:val="0"/>
          <w:sz w:val="30"/>
          <w:szCs w:val="32"/>
        </w:rPr>
      </w:pPr>
      <w:r>
        <w:rPr>
          <w:rFonts w:eastAsia="仿宋_GB2312"/>
          <w:kern w:val="0"/>
          <w:sz w:val="30"/>
          <w:szCs w:val="32"/>
        </w:rPr>
        <w:t>（3）不采用支付分解表的，承包人应向发包人和监理人提交按季度编制的支付估算分解表，用于支付参考。</w:t>
      </w:r>
    </w:p>
    <w:p w14:paraId="55715CAD">
      <w:pPr>
        <w:spacing w:line="360" w:lineRule="auto"/>
        <w:ind w:firstLine="600" w:firstLineChars="200"/>
        <w:jc w:val="left"/>
        <w:rPr>
          <w:rFonts w:eastAsia="仿宋_GB2312"/>
          <w:kern w:val="0"/>
          <w:sz w:val="30"/>
          <w:szCs w:val="32"/>
        </w:rPr>
      </w:pPr>
      <w:r>
        <w:rPr>
          <w:rFonts w:eastAsia="仿宋_GB2312"/>
          <w:kern w:val="0"/>
          <w:sz w:val="30"/>
          <w:szCs w:val="32"/>
        </w:rPr>
        <w:t>2</w:t>
      </w:r>
      <w:r>
        <w:rPr>
          <w:rFonts w:hint="eastAsia" w:eastAsia="仿宋_GB2312"/>
          <w:kern w:val="0"/>
          <w:sz w:val="30"/>
          <w:szCs w:val="32"/>
        </w:rPr>
        <w:t>.</w:t>
      </w:r>
      <w:r>
        <w:rPr>
          <w:rFonts w:eastAsia="仿宋_GB2312"/>
          <w:kern w:val="0"/>
          <w:sz w:val="30"/>
          <w:szCs w:val="32"/>
        </w:rPr>
        <w:t>总价合同支付分解表的编制与审批</w:t>
      </w:r>
    </w:p>
    <w:p w14:paraId="3D229E20">
      <w:pPr>
        <w:spacing w:line="360" w:lineRule="auto"/>
        <w:ind w:firstLine="600" w:firstLineChars="200"/>
        <w:jc w:val="left"/>
        <w:rPr>
          <w:rFonts w:eastAsia="仿宋_GB2312"/>
          <w:kern w:val="0"/>
          <w:sz w:val="30"/>
          <w:szCs w:val="32"/>
        </w:rPr>
      </w:pPr>
      <w:r>
        <w:rPr>
          <w:rFonts w:eastAsia="仿宋_GB2312"/>
          <w:kern w:val="0"/>
          <w:sz w:val="30"/>
          <w:szCs w:val="32"/>
        </w:rPr>
        <w:t>（1）除专用合同条款另有约定外，承包人应根据第7.2款</w:t>
      </w:r>
      <w:r>
        <w:rPr>
          <w:rFonts w:hint="eastAsia" w:eastAsia="仿宋_GB2312"/>
          <w:kern w:val="0"/>
          <w:sz w:val="30"/>
          <w:szCs w:val="32"/>
        </w:rPr>
        <w:t>〔</w:t>
      </w:r>
      <w:r>
        <w:rPr>
          <w:rFonts w:eastAsia="仿宋_GB2312"/>
          <w:kern w:val="0"/>
          <w:sz w:val="30"/>
          <w:szCs w:val="32"/>
        </w:rPr>
        <w:t>施工进度计划</w:t>
      </w:r>
      <w:r>
        <w:rPr>
          <w:rFonts w:hint="eastAsia" w:eastAsia="仿宋_GB2312"/>
          <w:kern w:val="0"/>
          <w:sz w:val="30"/>
          <w:szCs w:val="32"/>
        </w:rPr>
        <w:t>〕</w:t>
      </w:r>
      <w:r>
        <w:rPr>
          <w:rFonts w:eastAsia="仿宋_GB2312"/>
          <w:kern w:val="0"/>
          <w:sz w:val="30"/>
          <w:szCs w:val="32"/>
        </w:rPr>
        <w:t>约定的施工进度计划、签约合同价和工程量等因素对总价合同按月进行分解，编制支付分解表。承包人应当在收到监理人和发包人批准的施工进度计划后7天内，将支付分解表及编制支付分解表的支持性资料报送监理人。</w:t>
      </w:r>
    </w:p>
    <w:p w14:paraId="6492F6E9">
      <w:pPr>
        <w:spacing w:line="360" w:lineRule="auto"/>
        <w:ind w:firstLine="600" w:firstLineChars="200"/>
        <w:jc w:val="left"/>
        <w:rPr>
          <w:rFonts w:eastAsia="仿宋_GB2312"/>
          <w:kern w:val="0"/>
          <w:sz w:val="30"/>
          <w:szCs w:val="32"/>
        </w:rPr>
      </w:pPr>
      <w:r>
        <w:rPr>
          <w:rFonts w:eastAsia="仿宋_GB2312"/>
          <w:kern w:val="0"/>
          <w:sz w:val="30"/>
          <w:szCs w:val="32"/>
        </w:rPr>
        <w:t>（2）监理人应在收到支付分解表后7天内完成审核并报送发包人。发包人应在收到经监理人审核的支付分解表后7天内完成审批，经发包人批准的支付分解表为有约束力的支付分解表。</w:t>
      </w:r>
    </w:p>
    <w:p w14:paraId="57C1E77A">
      <w:pPr>
        <w:spacing w:line="360" w:lineRule="auto"/>
        <w:ind w:firstLine="600" w:firstLineChars="200"/>
        <w:jc w:val="left"/>
        <w:rPr>
          <w:rFonts w:eastAsia="仿宋_GB2312"/>
          <w:kern w:val="0"/>
          <w:sz w:val="30"/>
          <w:szCs w:val="32"/>
        </w:rPr>
      </w:pPr>
      <w:r>
        <w:rPr>
          <w:rFonts w:eastAsia="仿宋_GB2312"/>
          <w:kern w:val="0"/>
          <w:sz w:val="30"/>
          <w:szCs w:val="32"/>
        </w:rPr>
        <w:t>（3）发包人逾期未完成支付分解表</w:t>
      </w:r>
      <w:r>
        <w:rPr>
          <w:rFonts w:hint="eastAsia" w:eastAsia="仿宋_GB2312"/>
          <w:kern w:val="0"/>
          <w:sz w:val="30"/>
          <w:szCs w:val="32"/>
        </w:rPr>
        <w:t>审批</w:t>
      </w:r>
      <w:r>
        <w:rPr>
          <w:rFonts w:eastAsia="仿宋_GB2312"/>
          <w:kern w:val="0"/>
          <w:sz w:val="30"/>
          <w:szCs w:val="32"/>
        </w:rPr>
        <w:t>的，也未及时要求承包人进行修正和提供补充资料的，则承包人提交的支付分解表视为已经获得发包人批准。</w:t>
      </w:r>
    </w:p>
    <w:p w14:paraId="6BD4DA47">
      <w:pPr>
        <w:spacing w:line="360" w:lineRule="auto"/>
        <w:ind w:firstLine="600" w:firstLineChars="200"/>
        <w:jc w:val="left"/>
        <w:rPr>
          <w:rFonts w:eastAsia="仿宋_GB2312"/>
          <w:kern w:val="0"/>
          <w:sz w:val="30"/>
          <w:szCs w:val="32"/>
        </w:rPr>
      </w:pPr>
      <w:r>
        <w:rPr>
          <w:rFonts w:eastAsia="仿宋_GB2312"/>
          <w:kern w:val="0"/>
          <w:sz w:val="30"/>
          <w:szCs w:val="32"/>
        </w:rPr>
        <w:t>3</w:t>
      </w:r>
      <w:r>
        <w:rPr>
          <w:rFonts w:hint="eastAsia" w:eastAsia="仿宋_GB2312"/>
          <w:kern w:val="0"/>
          <w:sz w:val="30"/>
          <w:szCs w:val="32"/>
        </w:rPr>
        <w:t>.</w:t>
      </w:r>
      <w:r>
        <w:rPr>
          <w:rFonts w:eastAsia="仿宋_GB2312"/>
          <w:kern w:val="0"/>
          <w:sz w:val="30"/>
          <w:szCs w:val="32"/>
        </w:rPr>
        <w:t>单价合同的总价项目支付分解表的编制与审批</w:t>
      </w:r>
    </w:p>
    <w:p w14:paraId="35EB7104">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单价合同的总价项目，由承包人根据施工进度计划和总价项目的总价构成、费用性质、计划发生时间和相应工程量等因素按月进行分解，形成支付分解表，其编制与审批参照总价合同支付分解表的编制与审批执行。</w:t>
      </w:r>
    </w:p>
    <w:p w14:paraId="55006A82">
      <w:pPr>
        <w:pStyle w:val="9"/>
        <w:spacing w:before="120" w:after="120" w:line="360" w:lineRule="auto"/>
        <w:ind w:firstLine="600" w:firstLineChars="200"/>
        <w:rPr>
          <w:rFonts w:eastAsia="黑体"/>
          <w:b w:val="0"/>
          <w:i w:val="0"/>
          <w:iCs w:val="0"/>
          <w:sz w:val="30"/>
          <w:szCs w:val="32"/>
        </w:rPr>
      </w:pPr>
      <w:bookmarkStart w:id="497" w:name="_Toc351203585"/>
      <w:r>
        <w:rPr>
          <w:rFonts w:eastAsia="黑体"/>
          <w:b w:val="0"/>
          <w:i w:val="0"/>
          <w:iCs w:val="0"/>
          <w:sz w:val="30"/>
          <w:szCs w:val="32"/>
        </w:rPr>
        <w:t>12.5</w:t>
      </w:r>
      <w:r>
        <w:rPr>
          <w:rFonts w:hint="eastAsia" w:eastAsia="黑体"/>
          <w:b w:val="0"/>
          <w:i w:val="0"/>
          <w:iCs w:val="0"/>
          <w:sz w:val="30"/>
          <w:szCs w:val="32"/>
        </w:rPr>
        <w:t>人工费（农民工工资）</w:t>
      </w:r>
    </w:p>
    <w:p w14:paraId="37A86F37">
      <w:pPr>
        <w:spacing w:line="360" w:lineRule="auto"/>
        <w:ind w:firstLine="600" w:firstLineChars="200"/>
        <w:jc w:val="left"/>
        <w:rPr>
          <w:rFonts w:eastAsia="仿宋_GB2312"/>
          <w:kern w:val="0"/>
          <w:sz w:val="30"/>
          <w:szCs w:val="32"/>
        </w:rPr>
      </w:pPr>
      <w:r>
        <w:rPr>
          <w:rFonts w:hint="eastAsia" w:eastAsia="仿宋_GB2312"/>
          <w:kern w:val="0"/>
          <w:sz w:val="30"/>
          <w:szCs w:val="32"/>
        </w:rPr>
        <w:t>12.5.1 工程款分账管理</w:t>
      </w:r>
    </w:p>
    <w:p w14:paraId="4A67B2A5">
      <w:pPr>
        <w:spacing w:line="360" w:lineRule="auto"/>
        <w:ind w:firstLine="600" w:firstLineChars="200"/>
        <w:jc w:val="left"/>
        <w:rPr>
          <w:rFonts w:eastAsia="仿宋_GB2312"/>
          <w:kern w:val="0"/>
          <w:sz w:val="30"/>
          <w:szCs w:val="32"/>
        </w:rPr>
      </w:pPr>
      <w:r>
        <w:rPr>
          <w:rFonts w:hint="eastAsia" w:eastAsia="仿宋_GB2312"/>
          <w:kern w:val="0"/>
          <w:sz w:val="30"/>
          <w:szCs w:val="32"/>
        </w:rPr>
        <w:t>实施人工费与其他工程款分账管理。发包人将工程款中的人工费部分预付至承包人在工程所在地银行自主开设的农民工工资专用账户，在拨付进度款时抵扣。</w:t>
      </w:r>
    </w:p>
    <w:p w14:paraId="5F981847">
      <w:pPr>
        <w:spacing w:line="360" w:lineRule="auto"/>
        <w:ind w:firstLine="600" w:firstLineChars="200"/>
        <w:jc w:val="left"/>
        <w:rPr>
          <w:rFonts w:eastAsia="仿宋_GB2312"/>
          <w:kern w:val="0"/>
          <w:sz w:val="30"/>
          <w:szCs w:val="32"/>
        </w:rPr>
      </w:pPr>
      <w:r>
        <w:rPr>
          <w:rFonts w:hint="eastAsia" w:eastAsia="仿宋_GB2312"/>
          <w:kern w:val="0"/>
          <w:sz w:val="30"/>
          <w:szCs w:val="32"/>
        </w:rPr>
        <w:t>12.5.2人工费支付方式</w:t>
      </w:r>
    </w:p>
    <w:p w14:paraId="251B3183">
      <w:pPr>
        <w:spacing w:line="360" w:lineRule="auto"/>
        <w:ind w:firstLine="600" w:firstLineChars="200"/>
        <w:jc w:val="left"/>
        <w:rPr>
          <w:rFonts w:eastAsia="仿宋_GB2312"/>
          <w:kern w:val="0"/>
          <w:sz w:val="30"/>
          <w:szCs w:val="32"/>
        </w:rPr>
      </w:pPr>
      <w:r>
        <w:rPr>
          <w:rFonts w:hint="eastAsia" w:eastAsia="仿宋_GB2312"/>
          <w:kern w:val="0"/>
          <w:sz w:val="30"/>
          <w:szCs w:val="32"/>
        </w:rPr>
        <w:t>发包人支付承包人人工费不得采用转账结算以外的银行承兑、商业承兑、保理等其他方式。合同当事人可以在专用合同条款中约定选择以下一种方式支付人工费：</w:t>
      </w:r>
    </w:p>
    <w:p w14:paraId="2BDA8075">
      <w:pPr>
        <w:spacing w:line="360" w:lineRule="auto"/>
        <w:ind w:firstLine="600" w:firstLineChars="200"/>
        <w:jc w:val="left"/>
        <w:rPr>
          <w:rFonts w:eastAsia="仿宋_GB2312"/>
          <w:kern w:val="0"/>
          <w:sz w:val="30"/>
          <w:szCs w:val="32"/>
        </w:rPr>
      </w:pPr>
      <w:r>
        <w:rPr>
          <w:rFonts w:hint="eastAsia" w:eastAsia="仿宋_GB2312"/>
          <w:kern w:val="0"/>
          <w:sz w:val="30"/>
          <w:szCs w:val="32"/>
        </w:rPr>
        <w:t>（1）一次性预付。在工程开工通知载明的开工日期前一次性将人工费（不低于签约合同价的20%）全部支付至承包人农民工工资专用账户。</w:t>
      </w:r>
    </w:p>
    <w:p w14:paraId="7ACB122B">
      <w:pPr>
        <w:spacing w:line="360" w:lineRule="auto"/>
        <w:ind w:firstLine="600" w:firstLineChars="200"/>
        <w:jc w:val="left"/>
        <w:rPr>
          <w:rFonts w:eastAsia="仿宋_GB2312"/>
          <w:kern w:val="0"/>
          <w:sz w:val="30"/>
          <w:szCs w:val="32"/>
        </w:rPr>
      </w:pPr>
      <w:r>
        <w:rPr>
          <w:rFonts w:hint="eastAsia" w:eastAsia="仿宋_GB2312"/>
          <w:kern w:val="0"/>
          <w:sz w:val="30"/>
          <w:szCs w:val="32"/>
        </w:rPr>
        <w:t>（2）按月预付。在合同工期内，每月5日前将本月施工所需人工费（不低于该工程全部人工费按合同工期的月平均额）支付至承包人农民工工资专用账户。</w:t>
      </w:r>
    </w:p>
    <w:p w14:paraId="75258798">
      <w:pPr>
        <w:spacing w:line="360" w:lineRule="auto"/>
        <w:ind w:firstLine="600" w:firstLineChars="200"/>
        <w:jc w:val="left"/>
        <w:rPr>
          <w:rFonts w:eastAsia="仿宋_GB2312"/>
          <w:kern w:val="0"/>
          <w:sz w:val="30"/>
          <w:szCs w:val="32"/>
        </w:rPr>
      </w:pPr>
      <w:r>
        <w:rPr>
          <w:rFonts w:hint="eastAsia" w:eastAsia="仿宋_GB2312"/>
          <w:kern w:val="0"/>
          <w:sz w:val="30"/>
          <w:szCs w:val="32"/>
        </w:rPr>
        <w:t>（3）按节点预付。在分部分项工程开始施工前，将该分部分项工程施工所需人工费支付至承包人农民工工资专用账户。</w:t>
      </w:r>
    </w:p>
    <w:p w14:paraId="68C25E55">
      <w:pPr>
        <w:spacing w:line="360" w:lineRule="auto"/>
        <w:ind w:firstLine="600" w:firstLineChars="200"/>
        <w:jc w:val="left"/>
        <w:rPr>
          <w:rFonts w:eastAsia="仿宋_GB2312"/>
          <w:kern w:val="0"/>
          <w:sz w:val="30"/>
          <w:szCs w:val="32"/>
        </w:rPr>
      </w:pPr>
      <w:r>
        <w:rPr>
          <w:rFonts w:hint="eastAsia" w:eastAsia="仿宋_GB2312"/>
          <w:kern w:val="0"/>
          <w:sz w:val="30"/>
          <w:szCs w:val="32"/>
        </w:rPr>
        <w:t>（4）按月支付。发包人根据承包人每月提报的已完成施工产值中的人工费清单，按月将人工费支付至承包人农民工工资专用账户。</w:t>
      </w:r>
    </w:p>
    <w:p w14:paraId="0EF42EBB">
      <w:pPr>
        <w:spacing w:line="360" w:lineRule="auto"/>
        <w:ind w:firstLine="600" w:firstLineChars="200"/>
        <w:jc w:val="left"/>
        <w:rPr>
          <w:rFonts w:eastAsia="仿宋_GB2312"/>
          <w:kern w:val="0"/>
          <w:sz w:val="30"/>
          <w:szCs w:val="32"/>
        </w:rPr>
      </w:pPr>
      <w:r>
        <w:rPr>
          <w:rFonts w:hint="eastAsia" w:eastAsia="仿宋_GB2312"/>
          <w:kern w:val="0"/>
          <w:sz w:val="30"/>
          <w:szCs w:val="32"/>
        </w:rPr>
        <w:t>12.5.3人工费（农民工工资）支付责任</w:t>
      </w:r>
    </w:p>
    <w:p w14:paraId="3AB93C7F">
      <w:pPr>
        <w:spacing w:line="360" w:lineRule="auto"/>
        <w:ind w:firstLine="600" w:firstLineChars="200"/>
        <w:jc w:val="left"/>
        <w:rPr>
          <w:rFonts w:eastAsia="仿宋_GB2312"/>
          <w:kern w:val="0"/>
          <w:sz w:val="30"/>
          <w:szCs w:val="32"/>
        </w:rPr>
      </w:pPr>
      <w:r>
        <w:rPr>
          <w:rFonts w:hint="eastAsia" w:eastAsia="仿宋_GB2312"/>
          <w:kern w:val="0"/>
          <w:sz w:val="30"/>
          <w:szCs w:val="32"/>
        </w:rPr>
        <w:t>（1）发包人逾期支付人工费超过7天的，承包人有权向发包人发出要求支付的催告通知，发包人收到通知后7天内仍未支付的，承包人有权暂停施工，并按第16.1.1项〔发包人违约的情形〕执行。</w:t>
      </w:r>
    </w:p>
    <w:p w14:paraId="11F970B4">
      <w:pPr>
        <w:spacing w:line="360" w:lineRule="auto"/>
        <w:ind w:firstLine="600" w:firstLineChars="200"/>
        <w:jc w:val="left"/>
        <w:rPr>
          <w:rFonts w:eastAsia="仿宋_GB2312"/>
          <w:kern w:val="0"/>
          <w:sz w:val="30"/>
          <w:szCs w:val="32"/>
        </w:rPr>
      </w:pPr>
      <w:r>
        <w:rPr>
          <w:rFonts w:hint="eastAsia" w:eastAsia="仿宋_GB2312"/>
          <w:kern w:val="0"/>
          <w:sz w:val="30"/>
          <w:szCs w:val="32"/>
        </w:rPr>
        <w:t>（2）因发包人原因受到政府行政管理部门处理处罚的，由此增加的费用和（或）延误的工期由发包人承担。因承包人原因受到政府行政管理部门处理处罚的，由此增加的费用和（或）延误的工期由承包人承担。</w:t>
      </w:r>
    </w:p>
    <w:p w14:paraId="501F3417">
      <w:pPr>
        <w:spacing w:line="360" w:lineRule="auto"/>
        <w:ind w:firstLine="600" w:firstLineChars="200"/>
        <w:jc w:val="left"/>
        <w:rPr>
          <w:rFonts w:eastAsia="仿宋_GB2312"/>
          <w:kern w:val="0"/>
          <w:sz w:val="30"/>
          <w:szCs w:val="32"/>
        </w:rPr>
      </w:pPr>
      <w:r>
        <w:rPr>
          <w:rFonts w:hint="eastAsia" w:eastAsia="仿宋_GB2312"/>
          <w:kern w:val="0"/>
          <w:sz w:val="30"/>
          <w:szCs w:val="32"/>
        </w:rPr>
        <w:t>（3）承包人违反规定，将工程分包给不具备用工主体资格的组织或个人，致使农民工工资被拖欠的，承担欠薪清偿责任；发包人发包行为不规范或不按施工合同约定拨付人工费的，对拖欠农民工工资负连带责任。</w:t>
      </w:r>
    </w:p>
    <w:p w14:paraId="3FB19868">
      <w:pPr>
        <w:pStyle w:val="9"/>
        <w:spacing w:before="120" w:after="120" w:line="360" w:lineRule="auto"/>
        <w:ind w:firstLine="600" w:firstLineChars="200"/>
        <w:rPr>
          <w:rFonts w:eastAsia="仿宋_GB2312"/>
          <w:i w:val="0"/>
          <w:iCs w:val="0"/>
          <w:kern w:val="0"/>
          <w:sz w:val="30"/>
          <w:szCs w:val="32"/>
        </w:rPr>
      </w:pPr>
      <w:r>
        <w:rPr>
          <w:rFonts w:eastAsia="黑体"/>
          <w:b w:val="0"/>
          <w:i w:val="0"/>
          <w:iCs w:val="0"/>
          <w:sz w:val="30"/>
          <w:szCs w:val="32"/>
        </w:rPr>
        <w:t>12.6</w:t>
      </w:r>
      <w:r>
        <w:rPr>
          <w:rFonts w:hint="eastAsia" w:ascii="黑体" w:hAnsi="黑体" w:eastAsia="黑体"/>
          <w:b w:val="0"/>
          <w:i w:val="0"/>
          <w:iCs w:val="0"/>
          <w:kern w:val="0"/>
          <w:sz w:val="30"/>
          <w:szCs w:val="32"/>
        </w:rPr>
        <w:t>转账结算外的支付方式</w:t>
      </w:r>
    </w:p>
    <w:p w14:paraId="4C8451F8">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发包人支付承包人工程款采用转账结算以外的银行承兑、商业承兑、保理等其他方式的，应按照当前市场贴现所需的实际贴现系数以财务费用补贴形式补贴承包人。</w:t>
      </w:r>
    </w:p>
    <w:p w14:paraId="0309155E">
      <w:pPr>
        <w:pStyle w:val="9"/>
        <w:spacing w:before="120" w:after="120" w:line="360" w:lineRule="auto"/>
        <w:ind w:firstLine="600" w:firstLineChars="200"/>
        <w:rPr>
          <w:rFonts w:eastAsia="黑体"/>
          <w:b w:val="0"/>
          <w:i w:val="0"/>
          <w:iCs w:val="0"/>
          <w:sz w:val="30"/>
          <w:szCs w:val="32"/>
        </w:rPr>
      </w:pPr>
      <w:r>
        <w:rPr>
          <w:rFonts w:eastAsia="黑体"/>
          <w:b w:val="0"/>
          <w:i w:val="0"/>
          <w:iCs w:val="0"/>
          <w:sz w:val="30"/>
          <w:szCs w:val="32"/>
        </w:rPr>
        <w:t>12.7支付账户</w:t>
      </w:r>
      <w:bookmarkEnd w:id="497"/>
    </w:p>
    <w:p w14:paraId="4AD458CA">
      <w:pPr>
        <w:spacing w:line="360" w:lineRule="auto"/>
        <w:ind w:firstLine="600" w:firstLineChars="200"/>
        <w:jc w:val="left"/>
        <w:rPr>
          <w:rFonts w:eastAsia="仿宋_GB2312"/>
          <w:kern w:val="0"/>
          <w:sz w:val="30"/>
          <w:szCs w:val="32"/>
        </w:rPr>
      </w:pPr>
      <w:r>
        <w:rPr>
          <w:rFonts w:eastAsia="仿宋_GB2312"/>
          <w:kern w:val="0"/>
          <w:sz w:val="30"/>
          <w:szCs w:val="32"/>
        </w:rPr>
        <w:t>12.7</w:t>
      </w:r>
      <w:r>
        <w:rPr>
          <w:rFonts w:hint="eastAsia" w:eastAsia="仿宋_GB2312"/>
          <w:kern w:val="0"/>
          <w:sz w:val="30"/>
          <w:szCs w:val="32"/>
        </w:rPr>
        <w:t>.1</w:t>
      </w:r>
      <w:r>
        <w:rPr>
          <w:rFonts w:eastAsia="仿宋_GB2312"/>
          <w:kern w:val="0"/>
          <w:sz w:val="30"/>
          <w:szCs w:val="32"/>
        </w:rPr>
        <w:t>发包人应将合同价款</w:t>
      </w:r>
      <w:r>
        <w:rPr>
          <w:rFonts w:hint="eastAsia" w:eastAsia="仿宋_GB2312"/>
          <w:kern w:val="0"/>
          <w:sz w:val="30"/>
          <w:szCs w:val="32"/>
        </w:rPr>
        <w:t>（人工费除外部分）</w:t>
      </w:r>
      <w:r>
        <w:rPr>
          <w:rFonts w:eastAsia="仿宋_GB2312"/>
          <w:kern w:val="0"/>
          <w:sz w:val="30"/>
          <w:szCs w:val="32"/>
        </w:rPr>
        <w:t>支付至合同协议书中约定的承包人账户。</w:t>
      </w:r>
    </w:p>
    <w:p w14:paraId="240C5064">
      <w:pPr>
        <w:spacing w:line="360" w:lineRule="auto"/>
        <w:ind w:firstLine="600" w:firstLineChars="200"/>
        <w:jc w:val="left"/>
        <w:rPr>
          <w:rFonts w:eastAsia="仿宋_GB2312"/>
          <w:kern w:val="0"/>
          <w:sz w:val="30"/>
          <w:szCs w:val="32"/>
        </w:rPr>
      </w:pPr>
      <w:r>
        <w:rPr>
          <w:rFonts w:eastAsia="仿宋_GB2312"/>
          <w:kern w:val="0"/>
          <w:sz w:val="30"/>
          <w:szCs w:val="32"/>
        </w:rPr>
        <w:t>12.7.</w:t>
      </w:r>
      <w:r>
        <w:rPr>
          <w:rFonts w:hint="eastAsia" w:eastAsia="仿宋_GB2312"/>
          <w:kern w:val="0"/>
          <w:sz w:val="30"/>
          <w:szCs w:val="32"/>
        </w:rPr>
        <w:t>2</w:t>
      </w:r>
      <w:r>
        <w:rPr>
          <w:rFonts w:eastAsia="仿宋_GB2312"/>
          <w:kern w:val="0"/>
          <w:sz w:val="30"/>
          <w:szCs w:val="32"/>
        </w:rPr>
        <w:t>发包人应将</w:t>
      </w:r>
      <w:r>
        <w:rPr>
          <w:rFonts w:hint="eastAsia" w:eastAsia="仿宋_GB2312"/>
          <w:kern w:val="0"/>
          <w:sz w:val="30"/>
          <w:szCs w:val="32"/>
        </w:rPr>
        <w:t>人工费及时足额支付</w:t>
      </w:r>
      <w:r>
        <w:rPr>
          <w:rFonts w:eastAsia="仿宋_GB2312"/>
          <w:kern w:val="0"/>
          <w:sz w:val="30"/>
          <w:szCs w:val="32"/>
        </w:rPr>
        <w:t>至</w:t>
      </w:r>
      <w:r>
        <w:rPr>
          <w:rFonts w:hint="eastAsia" w:eastAsia="仿宋_GB2312"/>
          <w:kern w:val="0"/>
          <w:sz w:val="30"/>
          <w:szCs w:val="32"/>
        </w:rPr>
        <w:t>农民工工资专用</w:t>
      </w:r>
      <w:r>
        <w:rPr>
          <w:rFonts w:eastAsia="仿宋_GB2312"/>
          <w:kern w:val="0"/>
          <w:sz w:val="30"/>
          <w:szCs w:val="32"/>
        </w:rPr>
        <w:t>账户。</w:t>
      </w:r>
    </w:p>
    <w:p w14:paraId="32FEA768">
      <w:pPr>
        <w:pStyle w:val="8"/>
        <w:spacing w:before="120" w:after="120" w:line="360" w:lineRule="auto"/>
        <w:rPr>
          <w:rFonts w:ascii="Times New Roman" w:hAnsi="Times New Roman" w:eastAsia="黑体"/>
          <w:b w:val="0"/>
          <w:sz w:val="32"/>
          <w:szCs w:val="32"/>
        </w:rPr>
      </w:pPr>
      <w:bookmarkStart w:id="498" w:name="_Toc351203586"/>
      <w:bookmarkStart w:id="499" w:name="_Toc296503106"/>
      <w:bookmarkStart w:id="500" w:name="_Toc296346607"/>
      <w:bookmarkStart w:id="501" w:name="_Toc322522574"/>
      <w:bookmarkStart w:id="502" w:name="_Toc337558804"/>
      <w:r>
        <w:rPr>
          <w:rFonts w:ascii="Times New Roman" w:hAnsi="Times New Roman" w:eastAsia="黑体"/>
          <w:b w:val="0"/>
          <w:sz w:val="32"/>
          <w:szCs w:val="32"/>
        </w:rPr>
        <w:t>13.验收和工程试车</w:t>
      </w:r>
      <w:bookmarkEnd w:id="498"/>
    </w:p>
    <w:bookmarkEnd w:id="499"/>
    <w:bookmarkEnd w:id="500"/>
    <w:bookmarkEnd w:id="501"/>
    <w:bookmarkEnd w:id="502"/>
    <w:p w14:paraId="7ADCFE51">
      <w:pPr>
        <w:pStyle w:val="9"/>
        <w:spacing w:before="120" w:after="120" w:line="360" w:lineRule="auto"/>
        <w:ind w:firstLine="600" w:firstLineChars="200"/>
        <w:rPr>
          <w:rFonts w:eastAsia="黑体"/>
          <w:b w:val="0"/>
          <w:i w:val="0"/>
          <w:iCs w:val="0"/>
          <w:sz w:val="30"/>
          <w:szCs w:val="32"/>
        </w:rPr>
      </w:pPr>
      <w:bookmarkStart w:id="503" w:name="_Toc351203587"/>
      <w:bookmarkStart w:id="504" w:name="_Toc337558805"/>
      <w:bookmarkStart w:id="505" w:name="_Toc296346611"/>
      <w:bookmarkStart w:id="506" w:name="_Toc296503110"/>
      <w:r>
        <w:rPr>
          <w:rFonts w:eastAsia="黑体"/>
          <w:b w:val="0"/>
          <w:i w:val="0"/>
          <w:iCs w:val="0"/>
          <w:sz w:val="30"/>
          <w:szCs w:val="32"/>
        </w:rPr>
        <w:t>13.1分部分项工程验收</w:t>
      </w:r>
      <w:bookmarkEnd w:id="503"/>
    </w:p>
    <w:bookmarkEnd w:id="504"/>
    <w:p w14:paraId="05CEDAE8">
      <w:pPr>
        <w:spacing w:line="360" w:lineRule="auto"/>
        <w:ind w:firstLine="600" w:firstLineChars="200"/>
        <w:rPr>
          <w:rFonts w:eastAsia="仿宋_GB2312"/>
          <w:sz w:val="30"/>
          <w:szCs w:val="32"/>
        </w:rPr>
      </w:pPr>
      <w:r>
        <w:rPr>
          <w:rFonts w:eastAsia="仿宋_GB2312"/>
          <w:sz w:val="30"/>
          <w:szCs w:val="32"/>
        </w:rPr>
        <w:t>13.1.1分部分项工程质量应符合国家有关工程施工验收规范、标准及合同约定，承包人应按照施工组织设计的要求完成分部分项工程施工。</w:t>
      </w:r>
    </w:p>
    <w:p w14:paraId="75C2E044">
      <w:pPr>
        <w:spacing w:line="360" w:lineRule="auto"/>
        <w:ind w:firstLine="600" w:firstLineChars="200"/>
        <w:rPr>
          <w:rFonts w:eastAsia="仿宋_GB2312"/>
          <w:sz w:val="30"/>
          <w:szCs w:val="32"/>
        </w:rPr>
      </w:pPr>
      <w:r>
        <w:rPr>
          <w:rFonts w:eastAsia="仿宋_GB2312"/>
          <w:sz w:val="30"/>
          <w:szCs w:val="32"/>
        </w:rPr>
        <w:t>13.1.2除专用合同条款另有约定外，分部分项工程经承包人自检合格并具备验收条件的，承包人应提前48小时通知监理人进行验收。</w:t>
      </w:r>
      <w:r>
        <w:rPr>
          <w:rFonts w:eastAsia="仿宋_GB2312"/>
          <w:kern w:val="0"/>
          <w:sz w:val="30"/>
          <w:szCs w:val="32"/>
        </w:rPr>
        <w:t>监理人不能按时进行验收的，应在验收前24小时向承包人提交书面延期要求，但延期不能超过48小时。监理人未按时进行验收，也未提出延期要求的，承包人有权自行验收，监理人应认可验收结果。</w:t>
      </w:r>
      <w:r>
        <w:rPr>
          <w:rFonts w:eastAsia="仿宋_GB2312"/>
          <w:sz w:val="30"/>
          <w:szCs w:val="32"/>
        </w:rPr>
        <w:t>分部分项工程未经验收的，不得进入下一道工序施工。</w:t>
      </w:r>
    </w:p>
    <w:p w14:paraId="37C80623">
      <w:pPr>
        <w:spacing w:line="360" w:lineRule="auto"/>
        <w:ind w:firstLine="600" w:firstLineChars="200"/>
        <w:rPr>
          <w:rFonts w:eastAsia="仿宋_GB2312"/>
          <w:sz w:val="30"/>
          <w:szCs w:val="32"/>
        </w:rPr>
      </w:pPr>
      <w:r>
        <w:rPr>
          <w:rFonts w:eastAsia="仿宋_GB2312"/>
          <w:sz w:val="30"/>
          <w:szCs w:val="32"/>
        </w:rPr>
        <w:t>分部分项工程的验收资料应当作为竣工资料的组成部分。</w:t>
      </w:r>
    </w:p>
    <w:p w14:paraId="16773D0F">
      <w:pPr>
        <w:pStyle w:val="9"/>
        <w:spacing w:before="120" w:after="120" w:line="360" w:lineRule="auto"/>
        <w:ind w:firstLine="600" w:firstLineChars="200"/>
        <w:rPr>
          <w:rFonts w:eastAsia="黑体"/>
          <w:b w:val="0"/>
          <w:i w:val="0"/>
          <w:iCs w:val="0"/>
          <w:sz w:val="30"/>
          <w:szCs w:val="32"/>
        </w:rPr>
      </w:pPr>
      <w:bookmarkStart w:id="507" w:name="_Toc351203588"/>
      <w:bookmarkStart w:id="508" w:name="_Toc337558806"/>
      <w:r>
        <w:rPr>
          <w:rFonts w:eastAsia="黑体"/>
          <w:b w:val="0"/>
          <w:i w:val="0"/>
          <w:iCs w:val="0"/>
          <w:sz w:val="30"/>
          <w:szCs w:val="32"/>
        </w:rPr>
        <w:t>13.2竣工验收</w:t>
      </w:r>
      <w:bookmarkEnd w:id="507"/>
    </w:p>
    <w:bookmarkEnd w:id="505"/>
    <w:bookmarkEnd w:id="506"/>
    <w:bookmarkEnd w:id="508"/>
    <w:p w14:paraId="16AAFBDF">
      <w:pPr>
        <w:spacing w:line="360" w:lineRule="auto"/>
        <w:ind w:firstLine="600" w:firstLineChars="200"/>
        <w:jc w:val="left"/>
        <w:rPr>
          <w:rFonts w:eastAsia="仿宋_GB2312"/>
          <w:kern w:val="0"/>
          <w:sz w:val="30"/>
          <w:szCs w:val="32"/>
        </w:rPr>
      </w:pPr>
      <w:r>
        <w:rPr>
          <w:rFonts w:eastAsia="仿宋_GB2312"/>
          <w:kern w:val="0"/>
          <w:sz w:val="30"/>
          <w:szCs w:val="32"/>
        </w:rPr>
        <w:t>13.2.1竣工验收条件</w:t>
      </w:r>
    </w:p>
    <w:p w14:paraId="087D3402">
      <w:pPr>
        <w:spacing w:line="360" w:lineRule="auto"/>
        <w:ind w:firstLine="600" w:firstLineChars="200"/>
        <w:jc w:val="left"/>
        <w:rPr>
          <w:rFonts w:eastAsia="仿宋_GB2312"/>
          <w:kern w:val="0"/>
          <w:sz w:val="30"/>
          <w:szCs w:val="32"/>
        </w:rPr>
      </w:pPr>
      <w:r>
        <w:rPr>
          <w:rFonts w:eastAsia="仿宋_GB2312"/>
          <w:kern w:val="0"/>
          <w:sz w:val="30"/>
          <w:szCs w:val="32"/>
        </w:rPr>
        <w:t>工程具备以下条件的，承包人可以申请竣工验收：</w:t>
      </w:r>
    </w:p>
    <w:p w14:paraId="2E68AE01">
      <w:pPr>
        <w:spacing w:line="360" w:lineRule="auto"/>
        <w:ind w:firstLine="600" w:firstLineChars="200"/>
        <w:jc w:val="left"/>
        <w:rPr>
          <w:rFonts w:eastAsia="仿宋_GB2312"/>
          <w:kern w:val="0"/>
          <w:sz w:val="30"/>
          <w:szCs w:val="32"/>
        </w:rPr>
      </w:pPr>
      <w:r>
        <w:rPr>
          <w:rFonts w:eastAsia="仿宋_GB2312"/>
          <w:kern w:val="0"/>
          <w:sz w:val="30"/>
          <w:szCs w:val="32"/>
        </w:rPr>
        <w:t>（1）除发包人同意的甩项</w:t>
      </w:r>
      <w:r>
        <w:rPr>
          <w:rFonts w:hint="eastAsia" w:eastAsia="仿宋_GB2312"/>
          <w:kern w:val="0"/>
          <w:sz w:val="30"/>
          <w:szCs w:val="32"/>
        </w:rPr>
        <w:t>工作</w:t>
      </w:r>
      <w:r>
        <w:rPr>
          <w:rFonts w:eastAsia="仿宋_GB2312"/>
          <w:kern w:val="0"/>
          <w:sz w:val="30"/>
          <w:szCs w:val="32"/>
        </w:rPr>
        <w:t>和缺陷修补工作外，合同范围内的全部工程以及有关工作，包括合同要求的试验、试运行以及检验均已完成，并符合合同要求；</w:t>
      </w:r>
    </w:p>
    <w:p w14:paraId="0E4B6EB8">
      <w:pPr>
        <w:spacing w:line="360" w:lineRule="auto"/>
        <w:ind w:firstLine="600" w:firstLineChars="200"/>
        <w:jc w:val="left"/>
        <w:rPr>
          <w:rFonts w:eastAsia="仿宋_GB2312"/>
          <w:kern w:val="0"/>
          <w:sz w:val="30"/>
          <w:szCs w:val="32"/>
        </w:rPr>
      </w:pPr>
      <w:r>
        <w:rPr>
          <w:rFonts w:eastAsia="仿宋_GB2312"/>
          <w:kern w:val="0"/>
          <w:sz w:val="30"/>
          <w:szCs w:val="32"/>
        </w:rPr>
        <w:t>（2）已按合同约定编制了甩项</w:t>
      </w:r>
      <w:r>
        <w:rPr>
          <w:rFonts w:hint="eastAsia" w:eastAsia="仿宋_GB2312"/>
          <w:kern w:val="0"/>
          <w:sz w:val="30"/>
          <w:szCs w:val="32"/>
        </w:rPr>
        <w:t>工作</w:t>
      </w:r>
      <w:r>
        <w:rPr>
          <w:rFonts w:eastAsia="仿宋_GB2312"/>
          <w:kern w:val="0"/>
          <w:sz w:val="30"/>
          <w:szCs w:val="32"/>
        </w:rPr>
        <w:t>和缺陷修补工作清单以及相应的施工计划；</w:t>
      </w:r>
    </w:p>
    <w:p w14:paraId="0CCDAD6D">
      <w:pPr>
        <w:spacing w:line="360" w:lineRule="auto"/>
        <w:ind w:firstLine="600" w:firstLineChars="200"/>
        <w:jc w:val="left"/>
        <w:rPr>
          <w:rFonts w:eastAsia="仿宋_GB2312"/>
          <w:kern w:val="0"/>
          <w:sz w:val="30"/>
          <w:szCs w:val="32"/>
        </w:rPr>
      </w:pPr>
      <w:r>
        <w:rPr>
          <w:rFonts w:eastAsia="仿宋_GB2312"/>
          <w:kern w:val="0"/>
          <w:sz w:val="30"/>
          <w:szCs w:val="32"/>
        </w:rPr>
        <w:t>（3）已按合同约定的内容和份数备齐竣工资料。</w:t>
      </w:r>
    </w:p>
    <w:p w14:paraId="653743C3">
      <w:pPr>
        <w:spacing w:line="360" w:lineRule="auto"/>
        <w:ind w:firstLine="600" w:firstLineChars="200"/>
        <w:jc w:val="left"/>
        <w:rPr>
          <w:rFonts w:eastAsia="仿宋_GB2312"/>
          <w:kern w:val="0"/>
          <w:sz w:val="30"/>
          <w:szCs w:val="32"/>
        </w:rPr>
      </w:pPr>
      <w:r>
        <w:rPr>
          <w:rFonts w:eastAsia="仿宋_GB2312"/>
          <w:kern w:val="0"/>
          <w:sz w:val="30"/>
          <w:szCs w:val="32"/>
        </w:rPr>
        <w:t>13.2.2竣工验收程序</w:t>
      </w:r>
    </w:p>
    <w:p w14:paraId="3235B3FF">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除专用合同条款另有约定外，承包人申请竣工验收的，应当按照以下程序进行：</w:t>
      </w:r>
    </w:p>
    <w:p w14:paraId="4AF26B17">
      <w:pPr>
        <w:spacing w:line="360" w:lineRule="auto"/>
        <w:ind w:firstLine="600" w:firstLineChars="200"/>
        <w:jc w:val="left"/>
        <w:rPr>
          <w:rFonts w:eastAsia="仿宋_GB2312"/>
          <w:kern w:val="0"/>
          <w:sz w:val="30"/>
          <w:szCs w:val="32"/>
        </w:rPr>
      </w:pPr>
      <w:r>
        <w:rPr>
          <w:rFonts w:eastAsia="仿宋_GB2312"/>
          <w:kern w:val="0"/>
          <w:sz w:val="30"/>
          <w:szCs w:val="32"/>
        </w:rPr>
        <w:t>（1）承包人向监理人报送竣工验收申请报告，监理人应在收到竣工验收申请报告后14天内完成审查并报送发包人。监理人审查后认为尚不具备验收条件的，应通知承包人在竣工验收前承包人还需完成的工作内容，承包人应在完成监理人通知的全部工作内容后，再次提交竣工验收申请报告。</w:t>
      </w:r>
    </w:p>
    <w:p w14:paraId="070DD113">
      <w:pPr>
        <w:spacing w:line="360" w:lineRule="auto"/>
        <w:ind w:firstLine="600" w:firstLineChars="200"/>
        <w:jc w:val="left"/>
        <w:rPr>
          <w:rFonts w:eastAsia="仿宋_GB2312"/>
          <w:kern w:val="0"/>
          <w:sz w:val="30"/>
          <w:szCs w:val="32"/>
        </w:rPr>
      </w:pPr>
      <w:r>
        <w:rPr>
          <w:rFonts w:eastAsia="仿宋_GB2312"/>
          <w:kern w:val="0"/>
          <w:sz w:val="30"/>
          <w:szCs w:val="32"/>
        </w:rPr>
        <w:t>（2）监理人审查后认为已具备竣工验收条件的，应将竣工验收申请报告提交发包人，发包人应在收到</w:t>
      </w:r>
      <w:r>
        <w:rPr>
          <w:rFonts w:hint="eastAsia" w:eastAsia="仿宋_GB2312"/>
          <w:kern w:val="0"/>
          <w:sz w:val="30"/>
          <w:szCs w:val="32"/>
        </w:rPr>
        <w:t>经</w:t>
      </w:r>
      <w:r>
        <w:rPr>
          <w:rFonts w:eastAsia="仿宋_GB2312"/>
          <w:kern w:val="0"/>
          <w:sz w:val="30"/>
          <w:szCs w:val="32"/>
        </w:rPr>
        <w:t>监理人审核的竣工验收申请报告后28天内</w:t>
      </w:r>
      <w:r>
        <w:rPr>
          <w:rFonts w:hint="eastAsia" w:eastAsia="仿宋_GB2312"/>
          <w:kern w:val="0"/>
          <w:sz w:val="30"/>
          <w:szCs w:val="32"/>
        </w:rPr>
        <w:t>审批</w:t>
      </w:r>
      <w:r>
        <w:rPr>
          <w:rFonts w:eastAsia="仿宋_GB2312"/>
          <w:kern w:val="0"/>
          <w:sz w:val="30"/>
          <w:szCs w:val="32"/>
        </w:rPr>
        <w:t>完毕并组织监理人、承包人、设计人等相关单位完成竣工验收。</w:t>
      </w:r>
    </w:p>
    <w:p w14:paraId="0ED6B2F8">
      <w:pPr>
        <w:spacing w:line="360" w:lineRule="auto"/>
        <w:ind w:firstLine="600" w:firstLineChars="200"/>
        <w:jc w:val="left"/>
        <w:rPr>
          <w:rFonts w:eastAsia="仿宋_GB2312"/>
          <w:kern w:val="0"/>
          <w:sz w:val="30"/>
          <w:szCs w:val="32"/>
        </w:rPr>
      </w:pPr>
      <w:r>
        <w:rPr>
          <w:rFonts w:eastAsia="仿宋_GB2312"/>
          <w:kern w:val="0"/>
          <w:sz w:val="30"/>
          <w:szCs w:val="32"/>
        </w:rPr>
        <w:t>（3）竣工验收合格的，发包人应在验收合格后14天内向承包人签发工程接收证书。发包人无正当理由逾期不颁发工程接收证书的，自验收合格后第15天起视为已颁发工程接收证书。</w:t>
      </w:r>
    </w:p>
    <w:p w14:paraId="4BC19077">
      <w:pPr>
        <w:spacing w:line="360" w:lineRule="auto"/>
        <w:ind w:firstLine="600" w:firstLineChars="200"/>
        <w:jc w:val="left"/>
        <w:rPr>
          <w:rFonts w:eastAsia="仿宋_GB2312"/>
          <w:kern w:val="0"/>
          <w:sz w:val="30"/>
          <w:szCs w:val="32"/>
        </w:rPr>
      </w:pPr>
      <w:r>
        <w:rPr>
          <w:rFonts w:eastAsia="仿宋_GB2312"/>
          <w:kern w:val="0"/>
          <w:sz w:val="30"/>
          <w:szCs w:val="32"/>
        </w:rPr>
        <w:t>（4）竣工验收不合格的，监理人应按照验收意见发出指示，要求承包人对不合格工程返工、修复或采取其他补救措施，由此增加的费用和（或）延误的工期由承包人承担。承包人在完成不合格工程的返工、修复或采取其他补救措施后，应重新提交竣工验收申请报告，并按本项约定的程序重新进行验收。</w:t>
      </w:r>
    </w:p>
    <w:p w14:paraId="0C1A6F12">
      <w:pPr>
        <w:spacing w:line="360" w:lineRule="auto"/>
        <w:ind w:firstLine="600" w:firstLineChars="200"/>
        <w:jc w:val="left"/>
        <w:rPr>
          <w:rFonts w:eastAsia="仿宋_GB2312"/>
          <w:kern w:val="0"/>
          <w:sz w:val="30"/>
          <w:szCs w:val="32"/>
        </w:rPr>
      </w:pPr>
      <w:r>
        <w:rPr>
          <w:rFonts w:eastAsia="仿宋_GB2312"/>
          <w:kern w:val="0"/>
          <w:sz w:val="30"/>
          <w:szCs w:val="32"/>
        </w:rPr>
        <w:t>（5）工程未经验收或验收不合格，发包人擅自使用的，应在转移占有工程后7天内向承包人颁发工程接收证书；发包人无正当理由逾期不颁发工程接收证书的，自转移占有后第15天起视为已颁发工程接收证书。</w:t>
      </w:r>
    </w:p>
    <w:p w14:paraId="48F0C189">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除专用合同条款另有约定外，发包人不按照本项约定组织竣工验收、颁发工程接收证书的，每逾期一天，应以签约合同价为基数，按照中国人民银行发布的同期同类贷款基准利率支付违约金。</w:t>
      </w:r>
    </w:p>
    <w:p w14:paraId="73B4B374">
      <w:pPr>
        <w:spacing w:line="360" w:lineRule="auto"/>
        <w:ind w:firstLine="600" w:firstLineChars="200"/>
        <w:jc w:val="left"/>
        <w:rPr>
          <w:rFonts w:eastAsia="仿宋_GB2312"/>
          <w:kern w:val="0"/>
          <w:sz w:val="30"/>
          <w:szCs w:val="32"/>
        </w:rPr>
      </w:pPr>
      <w:r>
        <w:rPr>
          <w:rFonts w:eastAsia="仿宋_GB2312"/>
          <w:kern w:val="0"/>
          <w:sz w:val="30"/>
          <w:szCs w:val="32"/>
        </w:rPr>
        <w:t>13.2.3竣工日期</w:t>
      </w:r>
    </w:p>
    <w:p w14:paraId="709D519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工程经竣工验收合格的，以承包人提交竣工验收申请报告之日为实际竣工日期，并在工程接收证书中载明；因发包人原因，未在监理人收到承包人提交的竣工验收申请报告42天内完成</w:t>
      </w:r>
      <w:r>
        <w:rPr>
          <w:rFonts w:hint="eastAsia" w:eastAsia="仿宋_GB2312"/>
          <w:kern w:val="0"/>
          <w:sz w:val="30"/>
          <w:szCs w:val="32"/>
        </w:rPr>
        <w:t>竣工</w:t>
      </w:r>
      <w:r>
        <w:rPr>
          <w:rFonts w:eastAsia="仿宋_GB2312"/>
          <w:kern w:val="0"/>
          <w:sz w:val="30"/>
          <w:szCs w:val="32"/>
        </w:rPr>
        <w:t>验收</w:t>
      </w:r>
      <w:r>
        <w:rPr>
          <w:rFonts w:hint="eastAsia" w:eastAsia="仿宋_GB2312"/>
          <w:kern w:val="0"/>
          <w:sz w:val="30"/>
          <w:szCs w:val="32"/>
        </w:rPr>
        <w:t>，或完成竣工验收不予签发工程接收证书</w:t>
      </w:r>
      <w:r>
        <w:rPr>
          <w:rFonts w:eastAsia="仿宋_GB2312"/>
          <w:kern w:val="0"/>
          <w:sz w:val="30"/>
          <w:szCs w:val="32"/>
        </w:rPr>
        <w:t>的，以提交竣工验</w:t>
      </w:r>
      <w:bookmarkStart w:id="509" w:name="#go14"/>
      <w:bookmarkEnd w:id="509"/>
      <w:r>
        <w:rPr>
          <w:rFonts w:eastAsia="仿宋_GB2312"/>
          <w:kern w:val="0"/>
          <w:sz w:val="30"/>
          <w:szCs w:val="32"/>
        </w:rPr>
        <w:t>收申请报告的日期为实际竣工日期；工程未经竣工验收，发包人擅自使用的，以转移占有工程之日为实际竣工日期。</w:t>
      </w:r>
    </w:p>
    <w:p w14:paraId="4415D3FF">
      <w:pPr>
        <w:spacing w:line="360" w:lineRule="auto"/>
        <w:ind w:firstLine="600" w:firstLineChars="200"/>
        <w:jc w:val="left"/>
        <w:outlineLvl w:val="0"/>
        <w:rPr>
          <w:rFonts w:eastAsia="仿宋_GB2312"/>
          <w:kern w:val="0"/>
          <w:sz w:val="30"/>
          <w:szCs w:val="32"/>
        </w:rPr>
      </w:pPr>
      <w:bookmarkStart w:id="510" w:name="_Toc7606"/>
      <w:bookmarkStart w:id="511" w:name="_Toc27109"/>
      <w:bookmarkStart w:id="512" w:name="_Toc21990"/>
      <w:bookmarkStart w:id="513" w:name="_Toc3416"/>
      <w:bookmarkStart w:id="514" w:name="_Toc27448"/>
      <w:r>
        <w:rPr>
          <w:rFonts w:eastAsia="仿宋_GB2312"/>
          <w:kern w:val="0"/>
          <w:sz w:val="30"/>
          <w:szCs w:val="32"/>
        </w:rPr>
        <w:t>13.2.4拒绝接收全部或部分工程</w:t>
      </w:r>
      <w:bookmarkEnd w:id="510"/>
      <w:bookmarkEnd w:id="511"/>
      <w:bookmarkEnd w:id="512"/>
      <w:bookmarkEnd w:id="513"/>
      <w:bookmarkEnd w:id="514"/>
    </w:p>
    <w:p w14:paraId="384E9CE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对于竣工验收不合格的工程，承包人完成整改后，</w:t>
      </w:r>
      <w:r>
        <w:rPr>
          <w:rFonts w:hint="eastAsia" w:eastAsia="仿宋_GB2312"/>
          <w:kern w:val="0"/>
          <w:sz w:val="30"/>
          <w:szCs w:val="32"/>
        </w:rPr>
        <w:t>应当</w:t>
      </w:r>
      <w:r>
        <w:rPr>
          <w:rFonts w:eastAsia="仿宋_GB2312"/>
          <w:kern w:val="0"/>
          <w:sz w:val="30"/>
          <w:szCs w:val="32"/>
        </w:rPr>
        <w:t>重新进行竣工验收，经重新组织验收仍不合格的且无法采取措施补救的，则发包人可以拒绝接收不合格工程，因不合格工程导致其他工程不能正常使用的，承包人应采取措施确保相关工程的正常使用，由此增加的费用和（或）延误的工期由承包人承担。</w:t>
      </w:r>
    </w:p>
    <w:p w14:paraId="31938D9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13.2.5移交、接收全部与部分工程</w:t>
      </w:r>
    </w:p>
    <w:p w14:paraId="60DE1210">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除专用合同条款另有约定外，</w:t>
      </w:r>
      <w:r>
        <w:rPr>
          <w:rFonts w:eastAsia="仿宋_GB2312"/>
          <w:kern w:val="0"/>
          <w:sz w:val="30"/>
          <w:szCs w:val="32"/>
        </w:rPr>
        <w:t>合同当事人应当在颁发工程接收证书</w:t>
      </w:r>
      <w:r>
        <w:rPr>
          <w:rFonts w:hint="eastAsia" w:eastAsia="仿宋_GB2312"/>
          <w:kern w:val="0"/>
          <w:sz w:val="30"/>
          <w:szCs w:val="32"/>
        </w:rPr>
        <w:t>后7天内</w:t>
      </w:r>
      <w:r>
        <w:rPr>
          <w:rFonts w:eastAsia="仿宋_GB2312"/>
          <w:kern w:val="0"/>
          <w:sz w:val="30"/>
          <w:szCs w:val="32"/>
        </w:rPr>
        <w:t>完成工程的移交。</w:t>
      </w:r>
    </w:p>
    <w:p w14:paraId="1956361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发包人无正当理由不接收工程的，发包人自</w:t>
      </w:r>
      <w:r>
        <w:rPr>
          <w:rFonts w:hint="eastAsia" w:eastAsia="仿宋_GB2312"/>
          <w:kern w:val="0"/>
          <w:sz w:val="30"/>
          <w:szCs w:val="32"/>
        </w:rPr>
        <w:t>应当接收工程</w:t>
      </w:r>
      <w:r>
        <w:rPr>
          <w:rFonts w:eastAsia="仿宋_GB2312"/>
          <w:kern w:val="0"/>
          <w:sz w:val="30"/>
          <w:szCs w:val="32"/>
        </w:rPr>
        <w:t>之日起，承担工程照管、成品保护、保管等与工程有关的各项费用</w:t>
      </w:r>
      <w:r>
        <w:rPr>
          <w:rFonts w:hint="eastAsia" w:eastAsia="仿宋_GB2312"/>
          <w:kern w:val="0"/>
          <w:sz w:val="30"/>
          <w:szCs w:val="32"/>
        </w:rPr>
        <w:t>，合同当事人可以在专用合同条款中另行约定发包人逾期接收工程的违约责任</w:t>
      </w:r>
      <w:r>
        <w:rPr>
          <w:rFonts w:eastAsia="仿宋_GB2312"/>
          <w:kern w:val="0"/>
          <w:sz w:val="30"/>
          <w:szCs w:val="32"/>
        </w:rPr>
        <w:t>。</w:t>
      </w:r>
    </w:p>
    <w:p w14:paraId="4924250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承包人无正当理由不移交工程的，</w:t>
      </w:r>
      <w:r>
        <w:rPr>
          <w:rFonts w:hint="eastAsia" w:eastAsia="仿宋_GB2312"/>
          <w:kern w:val="0"/>
          <w:sz w:val="30"/>
          <w:szCs w:val="32"/>
        </w:rPr>
        <w:t>承包人应承担</w:t>
      </w:r>
      <w:r>
        <w:rPr>
          <w:rFonts w:eastAsia="仿宋_GB2312"/>
          <w:kern w:val="0"/>
          <w:sz w:val="30"/>
          <w:szCs w:val="32"/>
        </w:rPr>
        <w:t>工程照管、成品保护、保管等与工程有关的各项费用</w:t>
      </w:r>
      <w:r>
        <w:rPr>
          <w:rFonts w:hint="eastAsia" w:eastAsia="仿宋_GB2312"/>
          <w:kern w:val="0"/>
          <w:sz w:val="30"/>
          <w:szCs w:val="32"/>
        </w:rPr>
        <w:t>，合同当事人可以在专用合同条款中另行约定承包人无正当理由不移交工程的违约责任</w:t>
      </w:r>
      <w:r>
        <w:rPr>
          <w:rFonts w:eastAsia="仿宋_GB2312"/>
          <w:kern w:val="0"/>
          <w:sz w:val="30"/>
          <w:szCs w:val="32"/>
        </w:rPr>
        <w:t>。</w:t>
      </w:r>
    </w:p>
    <w:p w14:paraId="19499683">
      <w:pPr>
        <w:pStyle w:val="9"/>
        <w:spacing w:before="120" w:after="120" w:line="360" w:lineRule="auto"/>
        <w:ind w:firstLine="600" w:firstLineChars="200"/>
        <w:rPr>
          <w:rFonts w:eastAsia="黑体"/>
          <w:b w:val="0"/>
          <w:i w:val="0"/>
          <w:iCs w:val="0"/>
          <w:sz w:val="30"/>
          <w:szCs w:val="32"/>
        </w:rPr>
      </w:pPr>
      <w:bookmarkStart w:id="515" w:name="_Toc351203589"/>
      <w:bookmarkStart w:id="516" w:name="_Toc337558807"/>
      <w:bookmarkStart w:id="517" w:name="_Toc296503111"/>
      <w:bookmarkStart w:id="518" w:name="_Toc296346612"/>
      <w:r>
        <w:rPr>
          <w:rFonts w:eastAsia="黑体"/>
          <w:b w:val="0"/>
          <w:i w:val="0"/>
          <w:iCs w:val="0"/>
          <w:sz w:val="30"/>
          <w:szCs w:val="32"/>
        </w:rPr>
        <w:t>13.3工程试车</w:t>
      </w:r>
      <w:bookmarkEnd w:id="515"/>
    </w:p>
    <w:bookmarkEnd w:id="516"/>
    <w:bookmarkEnd w:id="517"/>
    <w:bookmarkEnd w:id="518"/>
    <w:p w14:paraId="1AFAACED">
      <w:pPr>
        <w:spacing w:line="360" w:lineRule="auto"/>
        <w:ind w:firstLine="600" w:firstLineChars="200"/>
        <w:jc w:val="left"/>
        <w:rPr>
          <w:rFonts w:eastAsia="仿宋_GB2312"/>
          <w:kern w:val="0"/>
          <w:sz w:val="30"/>
          <w:szCs w:val="32"/>
        </w:rPr>
      </w:pPr>
      <w:r>
        <w:rPr>
          <w:rFonts w:eastAsia="仿宋_GB2312"/>
          <w:kern w:val="0"/>
          <w:sz w:val="30"/>
          <w:szCs w:val="32"/>
        </w:rPr>
        <w:t>13.3.1试车程序</w:t>
      </w:r>
    </w:p>
    <w:p w14:paraId="2724C728">
      <w:pPr>
        <w:spacing w:line="360" w:lineRule="auto"/>
        <w:ind w:firstLine="600" w:firstLineChars="200"/>
        <w:jc w:val="left"/>
        <w:rPr>
          <w:rFonts w:eastAsia="仿宋_GB2312"/>
          <w:kern w:val="0"/>
          <w:sz w:val="30"/>
          <w:szCs w:val="32"/>
        </w:rPr>
      </w:pPr>
      <w:r>
        <w:rPr>
          <w:rFonts w:eastAsia="仿宋_GB2312"/>
          <w:kern w:val="0"/>
          <w:sz w:val="30"/>
          <w:szCs w:val="32"/>
        </w:rPr>
        <w:t>工程需要试车的，除专用合同条款另有约定外，试车内容应与承包人承包范围相一致，试车费用由承包人承担。工程试车应按如下程序进行：</w:t>
      </w:r>
    </w:p>
    <w:p w14:paraId="42A28BE1">
      <w:pPr>
        <w:spacing w:line="360" w:lineRule="auto"/>
        <w:ind w:firstLine="600" w:firstLineChars="200"/>
        <w:jc w:val="left"/>
        <w:rPr>
          <w:rFonts w:eastAsia="仿宋_GB2312"/>
          <w:kern w:val="0"/>
          <w:sz w:val="30"/>
          <w:szCs w:val="32"/>
        </w:rPr>
      </w:pPr>
      <w:r>
        <w:rPr>
          <w:rFonts w:eastAsia="仿宋_GB2312"/>
          <w:kern w:val="0"/>
          <w:sz w:val="30"/>
          <w:szCs w:val="32"/>
        </w:rPr>
        <w:t>（1）具备单机无负荷试车条件，承包人组织试车，并在试车前48小时书面通知监理人，通知中应载明试车内容、时间、地点。承包人准备试车记录，发包人根据承包人要求为试车提供必要条件。试车合格的，监理人在试车记录上签字。监理人在试车合格后不在试车记录上签字，自试车结束满24小时后视为监理人已经认可试车记录，承包人可继续施工或办理竣工验收手续。</w:t>
      </w:r>
    </w:p>
    <w:p w14:paraId="3C911A81">
      <w:pPr>
        <w:spacing w:line="360" w:lineRule="auto"/>
        <w:ind w:firstLine="600" w:firstLineChars="200"/>
        <w:jc w:val="left"/>
        <w:rPr>
          <w:rFonts w:eastAsia="仿宋_GB2312"/>
          <w:kern w:val="0"/>
          <w:sz w:val="30"/>
          <w:szCs w:val="32"/>
        </w:rPr>
      </w:pPr>
      <w:r>
        <w:rPr>
          <w:rFonts w:eastAsia="仿宋_GB2312"/>
          <w:kern w:val="0"/>
          <w:sz w:val="30"/>
          <w:szCs w:val="32"/>
        </w:rPr>
        <w:t>监理人不能按时参加试车，应在试车前24小时以书面形式向承包人提出延期要求，但延期不能超过48小时，由此导致工期延误的，工期应予以顺延。监理人未能在前述期限内提出延期要求，又不参加试车的，视为认可试车记录。</w:t>
      </w:r>
    </w:p>
    <w:p w14:paraId="3145DDB5">
      <w:pPr>
        <w:spacing w:line="360" w:lineRule="auto"/>
        <w:ind w:firstLine="600" w:firstLineChars="200"/>
        <w:jc w:val="left"/>
        <w:rPr>
          <w:rFonts w:eastAsia="仿宋_GB2312"/>
          <w:kern w:val="0"/>
          <w:sz w:val="30"/>
          <w:szCs w:val="32"/>
        </w:rPr>
      </w:pPr>
      <w:r>
        <w:rPr>
          <w:rFonts w:eastAsia="仿宋_GB2312"/>
          <w:kern w:val="0"/>
          <w:sz w:val="30"/>
          <w:szCs w:val="32"/>
        </w:rPr>
        <w:t>（2）具备无负荷联动试车条件，发包人组织试车，并在试车前48小时以书面形式通知承包人。通知中应载明试车内容、时间、地点和对承包人的要求，承包人按要求做好准备工作。试车合格，合同当事人在试车记录上签字。承包人无正当理由不参加试车的，视为认可试车记录。</w:t>
      </w:r>
    </w:p>
    <w:p w14:paraId="4F41C052">
      <w:pPr>
        <w:spacing w:line="360" w:lineRule="auto"/>
        <w:ind w:firstLine="600" w:firstLineChars="200"/>
        <w:jc w:val="left"/>
        <w:rPr>
          <w:rFonts w:eastAsia="仿宋_GB2312"/>
          <w:kern w:val="0"/>
          <w:sz w:val="30"/>
          <w:szCs w:val="32"/>
        </w:rPr>
      </w:pPr>
      <w:r>
        <w:rPr>
          <w:rFonts w:eastAsia="仿宋_GB2312"/>
          <w:kern w:val="0"/>
          <w:sz w:val="30"/>
          <w:szCs w:val="32"/>
        </w:rPr>
        <w:t>13.3.2试车中的责任</w:t>
      </w:r>
    </w:p>
    <w:p w14:paraId="3E58CC05">
      <w:pPr>
        <w:spacing w:line="360" w:lineRule="auto"/>
        <w:ind w:firstLine="600" w:firstLineChars="200"/>
        <w:jc w:val="left"/>
        <w:rPr>
          <w:rFonts w:eastAsia="仿宋_GB2312"/>
          <w:kern w:val="0"/>
          <w:sz w:val="30"/>
          <w:szCs w:val="32"/>
        </w:rPr>
      </w:pPr>
      <w:r>
        <w:rPr>
          <w:rFonts w:eastAsia="仿宋_GB2312"/>
          <w:kern w:val="0"/>
          <w:sz w:val="30"/>
          <w:szCs w:val="32"/>
        </w:rPr>
        <w:t>因设计原因导致试车达不到验收要求，发包人应要求设计人修改设计，承包人按修改后的设计重新安装。发包人承担修改设计、拆除及重新安装的全部费用，工期相应顺延。因承包人原因导致试车达不到验收要求，承包人按监理人要求重新安装和试车，并承担重新安装和试车的费用，工期不予顺延。</w:t>
      </w:r>
    </w:p>
    <w:p w14:paraId="09FFB58D">
      <w:pPr>
        <w:spacing w:line="360" w:lineRule="auto"/>
        <w:ind w:firstLine="600" w:firstLineChars="200"/>
        <w:jc w:val="left"/>
        <w:rPr>
          <w:rFonts w:eastAsia="仿宋_GB2312"/>
          <w:kern w:val="0"/>
          <w:sz w:val="30"/>
          <w:szCs w:val="32"/>
        </w:rPr>
      </w:pPr>
      <w:r>
        <w:rPr>
          <w:rFonts w:eastAsia="仿宋_GB2312"/>
          <w:kern w:val="0"/>
          <w:sz w:val="30"/>
          <w:szCs w:val="32"/>
        </w:rPr>
        <w:t>因工程设备制造原因导致试车达不到验收要求的，由采购该工程设备的合同当事人负责重新购置或修理，承包人负责拆除和重新安装，由此增加的修理、重新购置、拆除及重新安装的费用及延误的工期由采购该工程设备的合同当事人承担。</w:t>
      </w:r>
    </w:p>
    <w:p w14:paraId="637EE540">
      <w:pPr>
        <w:spacing w:line="360" w:lineRule="auto"/>
        <w:ind w:firstLine="600" w:firstLineChars="200"/>
        <w:jc w:val="left"/>
        <w:rPr>
          <w:rFonts w:eastAsia="仿宋_GB2312"/>
          <w:kern w:val="0"/>
          <w:sz w:val="30"/>
          <w:szCs w:val="32"/>
        </w:rPr>
      </w:pPr>
      <w:r>
        <w:rPr>
          <w:rFonts w:eastAsia="仿宋_GB2312"/>
          <w:kern w:val="0"/>
          <w:sz w:val="30"/>
          <w:szCs w:val="32"/>
        </w:rPr>
        <w:t>13.3.3投料试车</w:t>
      </w:r>
    </w:p>
    <w:p w14:paraId="23D90890">
      <w:pPr>
        <w:spacing w:line="360" w:lineRule="auto"/>
        <w:ind w:firstLine="600" w:firstLineChars="200"/>
        <w:jc w:val="left"/>
        <w:rPr>
          <w:rFonts w:eastAsia="仿宋_GB2312"/>
          <w:kern w:val="0"/>
          <w:sz w:val="30"/>
          <w:szCs w:val="32"/>
        </w:rPr>
      </w:pPr>
      <w:r>
        <w:rPr>
          <w:rFonts w:hint="eastAsia" w:eastAsia="仿宋_GB2312"/>
          <w:kern w:val="0"/>
          <w:sz w:val="30"/>
          <w:szCs w:val="32"/>
        </w:rPr>
        <w:t>如需进行投料试车的，</w:t>
      </w:r>
      <w:r>
        <w:rPr>
          <w:rFonts w:eastAsia="仿宋_GB2312"/>
          <w:kern w:val="0"/>
          <w:sz w:val="30"/>
          <w:szCs w:val="32"/>
        </w:rPr>
        <w:t>发包人</w:t>
      </w:r>
      <w:r>
        <w:rPr>
          <w:rFonts w:hint="eastAsia" w:eastAsia="仿宋_GB2312"/>
          <w:kern w:val="0"/>
          <w:sz w:val="30"/>
          <w:szCs w:val="32"/>
        </w:rPr>
        <w:t>应在</w:t>
      </w:r>
      <w:r>
        <w:rPr>
          <w:rFonts w:eastAsia="仿宋_GB2312"/>
          <w:kern w:val="0"/>
          <w:sz w:val="30"/>
          <w:szCs w:val="32"/>
        </w:rPr>
        <w:t>工程竣工验收后</w:t>
      </w:r>
      <w:r>
        <w:rPr>
          <w:rFonts w:hint="eastAsia" w:eastAsia="仿宋_GB2312"/>
          <w:kern w:val="0"/>
          <w:sz w:val="30"/>
          <w:szCs w:val="32"/>
        </w:rPr>
        <w:t>组织</w:t>
      </w:r>
      <w:r>
        <w:rPr>
          <w:rFonts w:eastAsia="仿宋_GB2312"/>
          <w:kern w:val="0"/>
          <w:sz w:val="30"/>
          <w:szCs w:val="32"/>
        </w:rPr>
        <w:t>投料试车</w:t>
      </w:r>
      <w:r>
        <w:rPr>
          <w:rFonts w:hint="eastAsia" w:eastAsia="仿宋_GB2312"/>
          <w:kern w:val="0"/>
          <w:sz w:val="30"/>
          <w:szCs w:val="32"/>
        </w:rPr>
        <w:t>。</w:t>
      </w:r>
      <w:r>
        <w:rPr>
          <w:rFonts w:eastAsia="仿宋_GB2312"/>
          <w:kern w:val="0"/>
          <w:sz w:val="30"/>
          <w:szCs w:val="32"/>
        </w:rPr>
        <w:t>发包人要求在工程竣工验收前进行或需要承包人配合时，应征得承包人同意</w:t>
      </w:r>
      <w:r>
        <w:rPr>
          <w:rFonts w:hint="eastAsia" w:eastAsia="仿宋_GB2312"/>
          <w:kern w:val="0"/>
          <w:sz w:val="30"/>
          <w:szCs w:val="32"/>
        </w:rPr>
        <w:t>，并在专用合同条款中约定有关事项</w:t>
      </w:r>
      <w:r>
        <w:rPr>
          <w:rFonts w:eastAsia="仿宋_GB2312"/>
          <w:kern w:val="0"/>
          <w:sz w:val="30"/>
          <w:szCs w:val="32"/>
        </w:rPr>
        <w:t>。</w:t>
      </w:r>
    </w:p>
    <w:p w14:paraId="0339CFC9">
      <w:pPr>
        <w:spacing w:line="360" w:lineRule="auto"/>
        <w:ind w:firstLine="600" w:firstLineChars="200"/>
        <w:jc w:val="left"/>
        <w:rPr>
          <w:rFonts w:eastAsia="仿宋_GB2312"/>
          <w:kern w:val="0"/>
          <w:sz w:val="30"/>
          <w:szCs w:val="32"/>
        </w:rPr>
      </w:pPr>
      <w:r>
        <w:rPr>
          <w:rFonts w:eastAsia="仿宋_GB2312"/>
          <w:kern w:val="0"/>
          <w:sz w:val="30"/>
          <w:szCs w:val="32"/>
        </w:rPr>
        <w:t>投料试车合格的，费用由发包人承担；因承包人原因造成投料试车不合格的，承包人应按照发包人要求进行整改，由此产生的整改费用由承包人承担；非因承包人原因导致投料试车不合格的，</w:t>
      </w:r>
      <w:r>
        <w:rPr>
          <w:rFonts w:hint="eastAsia" w:eastAsia="仿宋_GB2312"/>
          <w:kern w:val="0"/>
          <w:sz w:val="30"/>
          <w:szCs w:val="32"/>
        </w:rPr>
        <w:t>如</w:t>
      </w:r>
      <w:r>
        <w:rPr>
          <w:rFonts w:eastAsia="仿宋_GB2312"/>
          <w:kern w:val="0"/>
          <w:sz w:val="30"/>
          <w:szCs w:val="32"/>
        </w:rPr>
        <w:t>发包人要求承包人进行整改</w:t>
      </w:r>
      <w:r>
        <w:rPr>
          <w:rFonts w:hint="eastAsia" w:eastAsia="仿宋_GB2312"/>
          <w:kern w:val="0"/>
          <w:sz w:val="30"/>
          <w:szCs w:val="32"/>
        </w:rPr>
        <w:t>的</w:t>
      </w:r>
      <w:r>
        <w:rPr>
          <w:rFonts w:eastAsia="仿宋_GB2312"/>
          <w:kern w:val="0"/>
          <w:sz w:val="30"/>
          <w:szCs w:val="32"/>
        </w:rPr>
        <w:t>，由此产生的费用由发包人承担。</w:t>
      </w:r>
    </w:p>
    <w:p w14:paraId="3E56D093">
      <w:pPr>
        <w:pStyle w:val="9"/>
        <w:spacing w:before="120" w:after="120" w:line="360" w:lineRule="auto"/>
        <w:ind w:firstLine="600" w:firstLineChars="200"/>
        <w:rPr>
          <w:rFonts w:eastAsia="黑体"/>
          <w:b w:val="0"/>
          <w:bCs w:val="0"/>
          <w:i w:val="0"/>
          <w:iCs w:val="0"/>
          <w:sz w:val="30"/>
          <w:szCs w:val="32"/>
        </w:rPr>
      </w:pPr>
      <w:bookmarkStart w:id="519" w:name="_Toc351203590"/>
      <w:bookmarkStart w:id="520" w:name="_Toc337558808"/>
      <w:r>
        <w:rPr>
          <w:rFonts w:eastAsia="黑体"/>
          <w:b w:val="0"/>
          <w:bCs w:val="0"/>
          <w:i w:val="0"/>
          <w:iCs w:val="0"/>
          <w:sz w:val="30"/>
          <w:szCs w:val="32"/>
        </w:rPr>
        <w:t>13.4提前交付单位工程的验收</w:t>
      </w:r>
      <w:bookmarkEnd w:id="519"/>
    </w:p>
    <w:bookmarkEnd w:id="520"/>
    <w:p w14:paraId="7A9F2F5F">
      <w:pPr>
        <w:spacing w:line="360" w:lineRule="auto"/>
        <w:ind w:firstLine="600" w:firstLineChars="200"/>
        <w:jc w:val="left"/>
        <w:rPr>
          <w:rFonts w:eastAsia="仿宋_GB2312"/>
          <w:kern w:val="0"/>
          <w:sz w:val="30"/>
          <w:szCs w:val="32"/>
        </w:rPr>
      </w:pPr>
      <w:r>
        <w:rPr>
          <w:rFonts w:eastAsia="仿宋_GB2312"/>
          <w:kern w:val="0"/>
          <w:sz w:val="30"/>
          <w:szCs w:val="32"/>
        </w:rPr>
        <w:t>13.4.1发包人需要在工程竣工前使用单位工程的，或承包人提出提前交付已经竣工的单位工程且经发包人同意的，可进行单位工程验收，验收的程序按照第13.2款</w:t>
      </w:r>
      <w:r>
        <w:rPr>
          <w:rFonts w:hint="eastAsia" w:eastAsia="仿宋_GB2312"/>
          <w:kern w:val="0"/>
          <w:sz w:val="30"/>
          <w:szCs w:val="32"/>
        </w:rPr>
        <w:t>〔</w:t>
      </w:r>
      <w:r>
        <w:rPr>
          <w:rFonts w:eastAsia="仿宋_GB2312"/>
          <w:kern w:val="0"/>
          <w:sz w:val="30"/>
          <w:szCs w:val="32"/>
        </w:rPr>
        <w:t>竣工验收</w:t>
      </w:r>
      <w:r>
        <w:rPr>
          <w:rFonts w:hint="eastAsia" w:eastAsia="仿宋_GB2312"/>
          <w:kern w:val="0"/>
          <w:sz w:val="30"/>
          <w:szCs w:val="32"/>
        </w:rPr>
        <w:t>〕</w:t>
      </w:r>
      <w:r>
        <w:rPr>
          <w:rFonts w:eastAsia="仿宋_GB2312"/>
          <w:kern w:val="0"/>
          <w:sz w:val="30"/>
          <w:szCs w:val="32"/>
        </w:rPr>
        <w:t>的约定进行。</w:t>
      </w:r>
    </w:p>
    <w:p w14:paraId="5CF1CE9F">
      <w:pPr>
        <w:spacing w:line="360" w:lineRule="auto"/>
        <w:ind w:firstLine="600" w:firstLineChars="200"/>
        <w:jc w:val="left"/>
        <w:rPr>
          <w:rFonts w:eastAsia="仿宋_GB2312"/>
          <w:kern w:val="0"/>
          <w:sz w:val="30"/>
          <w:szCs w:val="32"/>
        </w:rPr>
      </w:pPr>
      <w:r>
        <w:rPr>
          <w:rFonts w:eastAsia="仿宋_GB2312"/>
          <w:kern w:val="0"/>
          <w:sz w:val="30"/>
          <w:szCs w:val="32"/>
        </w:rPr>
        <w:t>验收合格后，由监理人向承包人出具经发包人签认的单位工程接收证书。已签发单位工程接收证书的单位工程由发包人负责照管。单位工程的验收成果和结论作为整体工程竣工验收申请报告的附件。</w:t>
      </w:r>
    </w:p>
    <w:p w14:paraId="7158FD8D">
      <w:pPr>
        <w:spacing w:line="360" w:lineRule="auto"/>
        <w:ind w:firstLine="600" w:firstLineChars="200"/>
        <w:jc w:val="left"/>
        <w:rPr>
          <w:rFonts w:eastAsia="仿宋_GB2312"/>
          <w:kern w:val="0"/>
          <w:sz w:val="30"/>
          <w:szCs w:val="32"/>
        </w:rPr>
      </w:pPr>
      <w:r>
        <w:rPr>
          <w:rFonts w:eastAsia="仿宋_GB2312"/>
          <w:kern w:val="0"/>
          <w:sz w:val="30"/>
          <w:szCs w:val="32"/>
        </w:rPr>
        <w:t>13.4.2发包人要求在工程竣工前交付单位工程，由此导致承包人费用增加和（或）工期延误的，由发包人承担由此增加的费用和（或）延误的工期，并支付承包人合理的利润。</w:t>
      </w:r>
    </w:p>
    <w:p w14:paraId="32136EED">
      <w:pPr>
        <w:pStyle w:val="9"/>
        <w:spacing w:before="120" w:after="120" w:line="360" w:lineRule="auto"/>
        <w:ind w:firstLine="600" w:firstLineChars="200"/>
        <w:rPr>
          <w:rFonts w:eastAsia="黑体"/>
          <w:b w:val="0"/>
          <w:i w:val="0"/>
          <w:iCs w:val="0"/>
          <w:sz w:val="30"/>
          <w:szCs w:val="32"/>
        </w:rPr>
      </w:pPr>
      <w:bookmarkStart w:id="521" w:name="_Toc351203591"/>
      <w:r>
        <w:rPr>
          <w:rFonts w:eastAsia="黑体"/>
          <w:b w:val="0"/>
          <w:i w:val="0"/>
          <w:iCs w:val="0"/>
          <w:sz w:val="30"/>
          <w:szCs w:val="32"/>
        </w:rPr>
        <w:t>13.5施工期运行</w:t>
      </w:r>
      <w:bookmarkEnd w:id="521"/>
    </w:p>
    <w:p w14:paraId="04838E8A">
      <w:pPr>
        <w:spacing w:line="360" w:lineRule="auto"/>
        <w:ind w:firstLine="600" w:firstLineChars="200"/>
        <w:jc w:val="left"/>
        <w:rPr>
          <w:rFonts w:eastAsia="仿宋_GB2312"/>
          <w:kern w:val="0"/>
          <w:sz w:val="30"/>
          <w:szCs w:val="32"/>
        </w:rPr>
      </w:pPr>
      <w:r>
        <w:rPr>
          <w:rFonts w:eastAsia="仿宋_GB2312"/>
          <w:kern w:val="0"/>
          <w:sz w:val="30"/>
          <w:szCs w:val="32"/>
        </w:rPr>
        <w:t>13.5.1施工期运行是指合同工程尚未全部竣工，其中某项或某几项单位工程或工程设备安装已竣工，根据专用合同条款约定，需要投入施工期运行的，经发包人按第13.4款</w:t>
      </w:r>
      <w:r>
        <w:rPr>
          <w:rFonts w:hint="eastAsia" w:eastAsia="仿宋_GB2312"/>
          <w:kern w:val="0"/>
          <w:sz w:val="30"/>
          <w:szCs w:val="32"/>
        </w:rPr>
        <w:t>〔</w:t>
      </w:r>
      <w:r>
        <w:rPr>
          <w:rFonts w:eastAsia="仿宋_GB2312"/>
          <w:kern w:val="0"/>
          <w:sz w:val="30"/>
          <w:szCs w:val="32"/>
        </w:rPr>
        <w:t>提前交付单位工程的验收</w:t>
      </w:r>
      <w:r>
        <w:rPr>
          <w:rFonts w:hint="eastAsia" w:eastAsia="仿宋_GB2312"/>
          <w:kern w:val="0"/>
          <w:sz w:val="30"/>
          <w:szCs w:val="32"/>
        </w:rPr>
        <w:t>〕</w:t>
      </w:r>
      <w:r>
        <w:rPr>
          <w:rFonts w:eastAsia="仿宋_GB2312"/>
          <w:kern w:val="0"/>
          <w:sz w:val="30"/>
          <w:szCs w:val="32"/>
        </w:rPr>
        <w:t>的约定验收合格，证明能确保安全后，才能在施工期投入运行。</w:t>
      </w:r>
    </w:p>
    <w:p w14:paraId="0D13D9D5">
      <w:pPr>
        <w:spacing w:line="360" w:lineRule="auto"/>
        <w:ind w:firstLine="600" w:firstLineChars="200"/>
        <w:jc w:val="left"/>
        <w:rPr>
          <w:rFonts w:eastAsia="仿宋_GB2312"/>
          <w:kern w:val="0"/>
          <w:sz w:val="30"/>
          <w:szCs w:val="32"/>
        </w:rPr>
      </w:pPr>
      <w:r>
        <w:rPr>
          <w:rFonts w:eastAsia="仿宋_GB2312"/>
          <w:kern w:val="0"/>
          <w:sz w:val="30"/>
          <w:szCs w:val="32"/>
        </w:rPr>
        <w:t>13.5.2在施工期运行中发现工程或工程设备损坏或存在缺陷的，由承包人按第15.2款</w:t>
      </w:r>
      <w:r>
        <w:rPr>
          <w:rFonts w:hint="eastAsia" w:eastAsia="仿宋_GB2312"/>
          <w:kern w:val="0"/>
          <w:sz w:val="30"/>
          <w:szCs w:val="32"/>
        </w:rPr>
        <w:t>〔</w:t>
      </w:r>
      <w:r>
        <w:rPr>
          <w:rFonts w:eastAsia="仿宋_GB2312"/>
          <w:kern w:val="0"/>
          <w:sz w:val="30"/>
          <w:szCs w:val="32"/>
        </w:rPr>
        <w:t>缺陷责任期</w:t>
      </w:r>
      <w:r>
        <w:rPr>
          <w:rFonts w:hint="eastAsia" w:eastAsia="仿宋_GB2312"/>
          <w:kern w:val="0"/>
          <w:sz w:val="30"/>
          <w:szCs w:val="32"/>
        </w:rPr>
        <w:t>〕</w:t>
      </w:r>
      <w:r>
        <w:rPr>
          <w:rFonts w:eastAsia="仿宋_GB2312"/>
          <w:kern w:val="0"/>
          <w:sz w:val="30"/>
          <w:szCs w:val="32"/>
        </w:rPr>
        <w:t>约定进行修复。</w:t>
      </w:r>
    </w:p>
    <w:p w14:paraId="0A6F382B">
      <w:pPr>
        <w:pStyle w:val="9"/>
        <w:spacing w:before="120" w:after="120" w:line="360" w:lineRule="auto"/>
        <w:ind w:firstLine="600" w:firstLineChars="200"/>
        <w:rPr>
          <w:rFonts w:eastAsia="黑体"/>
          <w:b w:val="0"/>
          <w:i w:val="0"/>
          <w:iCs w:val="0"/>
          <w:sz w:val="30"/>
          <w:szCs w:val="32"/>
        </w:rPr>
      </w:pPr>
      <w:bookmarkStart w:id="522" w:name="_Toc296503112"/>
      <w:bookmarkStart w:id="523" w:name="_Toc296346613"/>
      <w:bookmarkStart w:id="524" w:name="_Toc351203592"/>
      <w:bookmarkStart w:id="525" w:name="_Toc337558809"/>
      <w:r>
        <w:rPr>
          <w:rFonts w:eastAsia="黑体"/>
          <w:b w:val="0"/>
          <w:i w:val="0"/>
          <w:iCs w:val="0"/>
          <w:sz w:val="30"/>
          <w:szCs w:val="32"/>
        </w:rPr>
        <w:t>13.6竣工退</w:t>
      </w:r>
      <w:bookmarkEnd w:id="522"/>
      <w:bookmarkEnd w:id="523"/>
      <w:r>
        <w:rPr>
          <w:rFonts w:eastAsia="黑体"/>
          <w:b w:val="0"/>
          <w:i w:val="0"/>
          <w:iCs w:val="0"/>
          <w:sz w:val="30"/>
          <w:szCs w:val="32"/>
        </w:rPr>
        <w:t>场</w:t>
      </w:r>
      <w:bookmarkEnd w:id="524"/>
    </w:p>
    <w:bookmarkEnd w:id="525"/>
    <w:p w14:paraId="6FF501E3">
      <w:pPr>
        <w:spacing w:line="360" w:lineRule="auto"/>
        <w:ind w:firstLine="600" w:firstLineChars="200"/>
        <w:jc w:val="left"/>
        <w:rPr>
          <w:rFonts w:eastAsia="仿宋_GB2312"/>
          <w:kern w:val="0"/>
          <w:sz w:val="30"/>
          <w:szCs w:val="32"/>
        </w:rPr>
      </w:pPr>
      <w:r>
        <w:rPr>
          <w:rFonts w:eastAsia="仿宋_GB2312"/>
          <w:kern w:val="0"/>
          <w:sz w:val="30"/>
          <w:szCs w:val="32"/>
        </w:rPr>
        <w:t>13.6.1竣工退场</w:t>
      </w:r>
    </w:p>
    <w:p w14:paraId="5BF937A7">
      <w:pPr>
        <w:spacing w:line="360" w:lineRule="auto"/>
        <w:ind w:firstLine="600" w:firstLineChars="200"/>
        <w:jc w:val="left"/>
        <w:rPr>
          <w:rFonts w:eastAsia="仿宋_GB2312"/>
          <w:kern w:val="0"/>
          <w:sz w:val="30"/>
          <w:szCs w:val="32"/>
        </w:rPr>
      </w:pPr>
      <w:r>
        <w:rPr>
          <w:rFonts w:eastAsia="仿宋_GB2312"/>
          <w:kern w:val="0"/>
          <w:sz w:val="30"/>
          <w:szCs w:val="32"/>
        </w:rPr>
        <w:t>颁发工程接收证书后，承包人应按以下要求对施工现场进行清理：</w:t>
      </w:r>
    </w:p>
    <w:p w14:paraId="1F4B1C38">
      <w:pPr>
        <w:spacing w:line="360" w:lineRule="auto"/>
        <w:ind w:firstLine="600" w:firstLineChars="200"/>
        <w:jc w:val="left"/>
        <w:rPr>
          <w:rFonts w:eastAsia="仿宋_GB2312"/>
          <w:kern w:val="0"/>
          <w:sz w:val="30"/>
          <w:szCs w:val="32"/>
        </w:rPr>
      </w:pPr>
      <w:r>
        <w:rPr>
          <w:rFonts w:eastAsia="仿宋_GB2312"/>
          <w:kern w:val="0"/>
          <w:sz w:val="30"/>
          <w:szCs w:val="32"/>
        </w:rPr>
        <w:t>（1）施工现场内残留的垃圾已全部清除出场；</w:t>
      </w:r>
    </w:p>
    <w:p w14:paraId="4C9224EA">
      <w:pPr>
        <w:spacing w:line="360" w:lineRule="auto"/>
        <w:ind w:firstLine="600" w:firstLineChars="200"/>
        <w:jc w:val="left"/>
        <w:rPr>
          <w:rFonts w:eastAsia="仿宋_GB2312"/>
          <w:kern w:val="0"/>
          <w:sz w:val="30"/>
          <w:szCs w:val="32"/>
        </w:rPr>
      </w:pPr>
      <w:r>
        <w:rPr>
          <w:rFonts w:eastAsia="仿宋_GB2312"/>
          <w:kern w:val="0"/>
          <w:sz w:val="30"/>
          <w:szCs w:val="32"/>
        </w:rPr>
        <w:t>（2）临时工程已拆除，场地已进行清理、平整或复原；</w:t>
      </w:r>
    </w:p>
    <w:p w14:paraId="40295764">
      <w:pPr>
        <w:spacing w:line="360" w:lineRule="auto"/>
        <w:ind w:firstLine="600" w:firstLineChars="200"/>
        <w:jc w:val="left"/>
        <w:rPr>
          <w:rFonts w:eastAsia="仿宋_GB2312"/>
          <w:kern w:val="0"/>
          <w:sz w:val="30"/>
          <w:szCs w:val="32"/>
        </w:rPr>
      </w:pPr>
      <w:r>
        <w:rPr>
          <w:rFonts w:eastAsia="仿宋_GB2312"/>
          <w:kern w:val="0"/>
          <w:sz w:val="30"/>
          <w:szCs w:val="32"/>
        </w:rPr>
        <w:t>（3）按合同约定应撤离的人员、承包人施工设备和剩余的材料，包括废弃的施工设备和材料，已按计划撤离施工现场；</w:t>
      </w:r>
    </w:p>
    <w:p w14:paraId="5A25DE84">
      <w:pPr>
        <w:spacing w:line="360" w:lineRule="auto"/>
        <w:ind w:firstLine="600" w:firstLineChars="200"/>
        <w:jc w:val="left"/>
        <w:rPr>
          <w:rFonts w:eastAsia="仿宋_GB2312"/>
          <w:kern w:val="0"/>
          <w:sz w:val="30"/>
          <w:szCs w:val="32"/>
        </w:rPr>
      </w:pPr>
      <w:r>
        <w:rPr>
          <w:rFonts w:eastAsia="仿宋_GB2312"/>
          <w:kern w:val="0"/>
          <w:sz w:val="30"/>
          <w:szCs w:val="32"/>
        </w:rPr>
        <w:t>（4）施工现场周边及其附近道路、河道的施工堆积物，已全部清理；</w:t>
      </w:r>
    </w:p>
    <w:p w14:paraId="318062DD">
      <w:pPr>
        <w:spacing w:line="360" w:lineRule="auto"/>
        <w:ind w:firstLine="600" w:firstLineChars="200"/>
        <w:jc w:val="left"/>
        <w:rPr>
          <w:rFonts w:eastAsia="仿宋_GB2312"/>
          <w:kern w:val="0"/>
          <w:sz w:val="30"/>
          <w:szCs w:val="32"/>
        </w:rPr>
      </w:pPr>
      <w:r>
        <w:rPr>
          <w:rFonts w:eastAsia="仿宋_GB2312"/>
          <w:kern w:val="0"/>
          <w:sz w:val="30"/>
          <w:szCs w:val="32"/>
        </w:rPr>
        <w:t>（5）施工现场其他场地清理工作已全部完成。</w:t>
      </w:r>
    </w:p>
    <w:p w14:paraId="2F2055C7">
      <w:pPr>
        <w:spacing w:line="360" w:lineRule="auto"/>
        <w:ind w:firstLine="600" w:firstLineChars="200"/>
        <w:jc w:val="left"/>
        <w:rPr>
          <w:rFonts w:eastAsia="仿宋_GB2312"/>
          <w:kern w:val="0"/>
          <w:sz w:val="30"/>
          <w:szCs w:val="32"/>
        </w:rPr>
      </w:pPr>
      <w:r>
        <w:rPr>
          <w:rFonts w:eastAsia="仿宋_GB2312"/>
          <w:kern w:val="0"/>
          <w:sz w:val="30"/>
          <w:szCs w:val="32"/>
        </w:rPr>
        <w:t>施工现场的竣工退场费用由承包人承担。承包人应在专用合同条款约定的期限内完成竣工退场，逾期未完成的，发包人有权出售或另行处理承包人遗留的物品，由此支出的费用由承包人承担，发包人出售承包人遗留物品所得款项在扣除必要费用后应返还承包人。</w:t>
      </w:r>
    </w:p>
    <w:p w14:paraId="762A4645">
      <w:pPr>
        <w:spacing w:line="360" w:lineRule="auto"/>
        <w:ind w:firstLine="600" w:firstLineChars="200"/>
        <w:jc w:val="left"/>
        <w:rPr>
          <w:rFonts w:eastAsia="仿宋_GB2312"/>
          <w:kern w:val="0"/>
          <w:sz w:val="30"/>
          <w:szCs w:val="32"/>
        </w:rPr>
      </w:pPr>
      <w:r>
        <w:rPr>
          <w:rFonts w:eastAsia="仿宋_GB2312"/>
          <w:kern w:val="0"/>
          <w:sz w:val="30"/>
          <w:szCs w:val="32"/>
        </w:rPr>
        <w:t>13.6.2地表还原</w:t>
      </w:r>
    </w:p>
    <w:p w14:paraId="6D1702BE">
      <w:pPr>
        <w:spacing w:line="360" w:lineRule="auto"/>
        <w:ind w:firstLine="600" w:firstLineChars="200"/>
        <w:jc w:val="left"/>
        <w:rPr>
          <w:rFonts w:eastAsia="仿宋_GB2312"/>
          <w:kern w:val="0"/>
          <w:sz w:val="30"/>
          <w:szCs w:val="32"/>
        </w:rPr>
      </w:pPr>
      <w:r>
        <w:rPr>
          <w:rFonts w:eastAsia="仿宋_GB2312"/>
          <w:kern w:val="0"/>
          <w:sz w:val="30"/>
          <w:szCs w:val="32"/>
        </w:rPr>
        <w:t>承包人应按发包人要求恢复临时占地及清理场地，承包人未按发包人的要求恢复临时占地，或者场地清理未达到合同约定要求的，发包人有权委托其他人恢复或清理，所发生的费用由承包人承担。</w:t>
      </w:r>
    </w:p>
    <w:p w14:paraId="113F8EE5">
      <w:pPr>
        <w:pStyle w:val="8"/>
        <w:spacing w:before="120" w:after="120" w:line="360" w:lineRule="auto"/>
        <w:rPr>
          <w:rFonts w:ascii="Times New Roman" w:hAnsi="Times New Roman" w:eastAsia="黑体"/>
          <w:b w:val="0"/>
          <w:sz w:val="32"/>
          <w:szCs w:val="32"/>
        </w:rPr>
      </w:pPr>
      <w:bookmarkStart w:id="526" w:name="_Toc351203593"/>
      <w:bookmarkStart w:id="527" w:name="_Toc337558810"/>
      <w:bookmarkStart w:id="528" w:name="_Toc296346614"/>
      <w:bookmarkStart w:id="529" w:name="_Toc296503113"/>
      <w:r>
        <w:rPr>
          <w:rFonts w:ascii="Times New Roman" w:hAnsi="Times New Roman" w:eastAsia="黑体"/>
          <w:b w:val="0"/>
          <w:sz w:val="32"/>
          <w:szCs w:val="32"/>
        </w:rPr>
        <w:t>14.竣工结算</w:t>
      </w:r>
      <w:bookmarkEnd w:id="526"/>
    </w:p>
    <w:bookmarkEnd w:id="527"/>
    <w:p w14:paraId="688FDB24">
      <w:pPr>
        <w:pStyle w:val="9"/>
        <w:spacing w:before="120" w:after="120" w:line="360" w:lineRule="auto"/>
        <w:ind w:firstLine="600" w:firstLineChars="200"/>
        <w:rPr>
          <w:rFonts w:eastAsia="黑体"/>
          <w:b w:val="0"/>
          <w:i w:val="0"/>
          <w:iCs w:val="0"/>
          <w:sz w:val="30"/>
          <w:szCs w:val="32"/>
        </w:rPr>
      </w:pPr>
      <w:bookmarkStart w:id="530" w:name="_Toc351203594"/>
      <w:bookmarkStart w:id="531" w:name="_Toc337558811"/>
      <w:r>
        <w:rPr>
          <w:rFonts w:eastAsia="黑体"/>
          <w:b w:val="0"/>
          <w:i w:val="0"/>
          <w:iCs w:val="0"/>
          <w:sz w:val="30"/>
          <w:szCs w:val="32"/>
        </w:rPr>
        <w:t>14.1竣工结算申请</w:t>
      </w:r>
      <w:bookmarkEnd w:id="530"/>
    </w:p>
    <w:bookmarkEnd w:id="531"/>
    <w:p w14:paraId="56470EE0">
      <w:pPr>
        <w:autoSpaceDE w:val="0"/>
        <w:autoSpaceDN w:val="0"/>
        <w:adjustRightInd w:val="0"/>
        <w:spacing w:line="360" w:lineRule="auto"/>
        <w:ind w:firstLine="600" w:firstLineChars="200"/>
        <w:jc w:val="left"/>
        <w:rPr>
          <w:rFonts w:eastAsia="仿宋_GB2312"/>
          <w:sz w:val="30"/>
          <w:szCs w:val="32"/>
        </w:rPr>
      </w:pPr>
      <w:r>
        <w:rPr>
          <w:rFonts w:eastAsia="仿宋_GB2312"/>
          <w:kern w:val="0"/>
          <w:sz w:val="30"/>
          <w:szCs w:val="32"/>
        </w:rPr>
        <w:t>除专用合同条款另有约定外，</w:t>
      </w:r>
      <w:r>
        <w:rPr>
          <w:rFonts w:eastAsia="仿宋_GB2312"/>
          <w:sz w:val="30"/>
          <w:szCs w:val="32"/>
        </w:rPr>
        <w:t>承包人应在工程竣工验收合格后28天内向发包人和监理人提交竣工结算申请单，并提交完整的结算资料，</w:t>
      </w:r>
      <w:r>
        <w:rPr>
          <w:rFonts w:hint="eastAsia" w:eastAsia="仿宋_GB2312"/>
          <w:sz w:val="30"/>
          <w:szCs w:val="32"/>
        </w:rPr>
        <w:t>有关</w:t>
      </w:r>
      <w:r>
        <w:rPr>
          <w:rFonts w:eastAsia="仿宋_GB2312"/>
          <w:sz w:val="30"/>
          <w:szCs w:val="32"/>
        </w:rPr>
        <w:t>竣工结算申请单</w:t>
      </w:r>
      <w:r>
        <w:rPr>
          <w:rFonts w:hint="eastAsia" w:eastAsia="仿宋_GB2312"/>
          <w:sz w:val="30"/>
          <w:szCs w:val="32"/>
        </w:rPr>
        <w:t>的资料清单和</w:t>
      </w:r>
      <w:r>
        <w:rPr>
          <w:rFonts w:eastAsia="仿宋_GB2312"/>
          <w:sz w:val="30"/>
          <w:szCs w:val="32"/>
        </w:rPr>
        <w:t>份数</w:t>
      </w:r>
      <w:r>
        <w:rPr>
          <w:rFonts w:hint="eastAsia" w:eastAsia="仿宋_GB2312"/>
          <w:sz w:val="30"/>
          <w:szCs w:val="32"/>
        </w:rPr>
        <w:t>等要求</w:t>
      </w:r>
      <w:r>
        <w:rPr>
          <w:rFonts w:eastAsia="仿宋_GB2312"/>
          <w:sz w:val="30"/>
          <w:szCs w:val="32"/>
        </w:rPr>
        <w:t>由合同当事人在专用合同条款中约定。</w:t>
      </w:r>
    </w:p>
    <w:p w14:paraId="69FFF74F">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除专用合同条款另有约定外，竣工结算申请单应包括以下内容：</w:t>
      </w:r>
    </w:p>
    <w:p w14:paraId="17181632">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（1）竣工结算合同价格；</w:t>
      </w:r>
    </w:p>
    <w:p w14:paraId="049FF0E8">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（2）发包人已支付承包人的款项；</w:t>
      </w:r>
    </w:p>
    <w:p w14:paraId="17CE04A9">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（3）应扣留的质量保证金</w:t>
      </w:r>
      <w:r>
        <w:rPr>
          <w:rFonts w:hint="eastAsia" w:eastAsia="仿宋_GB2312"/>
          <w:sz w:val="30"/>
          <w:szCs w:val="32"/>
        </w:rPr>
        <w:t>。已缴纳履约保证金的或提供其他工程质量担保方式的除外</w:t>
      </w:r>
      <w:r>
        <w:rPr>
          <w:rFonts w:eastAsia="仿宋_GB2312"/>
          <w:sz w:val="30"/>
          <w:szCs w:val="32"/>
        </w:rPr>
        <w:t>；</w:t>
      </w:r>
    </w:p>
    <w:p w14:paraId="7A11052D">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（4）发包人应支付承包人的合同价款。</w:t>
      </w:r>
    </w:p>
    <w:p w14:paraId="724C7365">
      <w:pPr>
        <w:pStyle w:val="9"/>
        <w:spacing w:before="120" w:after="120" w:line="360" w:lineRule="auto"/>
        <w:ind w:firstLine="600" w:firstLineChars="200"/>
        <w:rPr>
          <w:rFonts w:eastAsia="黑体"/>
          <w:b w:val="0"/>
          <w:i w:val="0"/>
          <w:iCs w:val="0"/>
          <w:sz w:val="30"/>
          <w:szCs w:val="32"/>
        </w:rPr>
      </w:pPr>
      <w:bookmarkStart w:id="532" w:name="_Toc351203595"/>
      <w:bookmarkStart w:id="533" w:name="_Toc337558812"/>
      <w:r>
        <w:rPr>
          <w:rFonts w:eastAsia="黑体"/>
          <w:b w:val="0"/>
          <w:i w:val="0"/>
          <w:iCs w:val="0"/>
          <w:sz w:val="30"/>
          <w:szCs w:val="32"/>
        </w:rPr>
        <w:t>14.2竣工结算审核</w:t>
      </w:r>
      <w:bookmarkEnd w:id="532"/>
    </w:p>
    <w:bookmarkEnd w:id="533"/>
    <w:p w14:paraId="2F40F48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（1）除专用合同条款另有约定外，监理人应在收到竣工结算申请单后14天内完成核查并报送发包人。发包人应在收到监理人提交的经审核的竣工结算申请单后14天内完成</w:t>
      </w:r>
      <w:r>
        <w:rPr>
          <w:rFonts w:hint="eastAsia" w:eastAsia="仿宋_GB2312"/>
          <w:kern w:val="0"/>
          <w:sz w:val="30"/>
          <w:szCs w:val="32"/>
        </w:rPr>
        <w:t>审批</w:t>
      </w:r>
      <w:r>
        <w:rPr>
          <w:rFonts w:eastAsia="仿宋_GB2312"/>
          <w:kern w:val="0"/>
          <w:sz w:val="30"/>
          <w:szCs w:val="32"/>
        </w:rPr>
        <w:t>，并由监理人向承包人签发经发包人签认的竣工付款证书。监理人或</w:t>
      </w:r>
      <w:r>
        <w:rPr>
          <w:rFonts w:eastAsia="仿宋_GB2312"/>
          <w:sz w:val="30"/>
          <w:szCs w:val="32"/>
        </w:rPr>
        <w:t>发包人对竣工</w:t>
      </w:r>
      <w:r>
        <w:rPr>
          <w:rFonts w:eastAsia="仿宋_GB2312"/>
          <w:kern w:val="0"/>
          <w:sz w:val="30"/>
          <w:szCs w:val="32"/>
        </w:rPr>
        <w:t>结算</w:t>
      </w:r>
      <w:r>
        <w:rPr>
          <w:rFonts w:eastAsia="仿宋_GB2312"/>
          <w:sz w:val="30"/>
          <w:szCs w:val="32"/>
        </w:rPr>
        <w:t>申请单有异议的，有权要求承包人进行修正和提供补充资料，承包人应提交修正后的竣工</w:t>
      </w:r>
      <w:r>
        <w:rPr>
          <w:rFonts w:eastAsia="仿宋_GB2312"/>
          <w:kern w:val="0"/>
          <w:sz w:val="30"/>
          <w:szCs w:val="32"/>
        </w:rPr>
        <w:t>结算</w:t>
      </w:r>
      <w:r>
        <w:rPr>
          <w:rFonts w:eastAsia="仿宋_GB2312"/>
          <w:sz w:val="30"/>
          <w:szCs w:val="32"/>
        </w:rPr>
        <w:t>申请单。</w:t>
      </w:r>
    </w:p>
    <w:p w14:paraId="08EAA1C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发包人在收到承包人提交竣工结算申请书后28天</w:t>
      </w:r>
      <w:r>
        <w:rPr>
          <w:rFonts w:hint="eastAsia" w:eastAsia="仿宋_GB2312"/>
          <w:kern w:val="0"/>
          <w:sz w:val="30"/>
          <w:szCs w:val="32"/>
        </w:rPr>
        <w:t>内</w:t>
      </w:r>
      <w:r>
        <w:rPr>
          <w:rFonts w:eastAsia="仿宋_GB2312"/>
          <w:kern w:val="0"/>
          <w:sz w:val="30"/>
          <w:szCs w:val="32"/>
        </w:rPr>
        <w:t>未完成</w:t>
      </w:r>
      <w:r>
        <w:rPr>
          <w:rFonts w:hint="eastAsia" w:eastAsia="仿宋_GB2312"/>
          <w:kern w:val="0"/>
          <w:sz w:val="30"/>
          <w:szCs w:val="32"/>
        </w:rPr>
        <w:t>审批</w:t>
      </w:r>
      <w:r>
        <w:rPr>
          <w:rFonts w:eastAsia="仿宋_GB2312"/>
          <w:kern w:val="0"/>
          <w:sz w:val="30"/>
          <w:szCs w:val="32"/>
        </w:rPr>
        <w:t>且未提出异议的，视为发包人认可承包人提交的竣工结算申请单，并自发包人收到承包人提交的竣工结算申请单后第29天起视为已签发竣工付款证书。</w:t>
      </w:r>
    </w:p>
    <w:p w14:paraId="525997F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除专用合同条款另有约定外，发包人应在签发竣工付款证书后的14天内，完成对承包人的竣工付款。发包人逾期支付的，按照中国人民银行发布的同期同类贷款基准利率支付违约金；逾期支付超过56天的，按照中国人民银行发布的同期同类贷款基准利率的两倍支付违约金。</w:t>
      </w:r>
    </w:p>
    <w:p w14:paraId="7472136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（3）承包人对发包人签认的竣工付款证书有异议的，对于有异议部分应在收到发包人签认的竣工付款证书后7天内提出异议，并由合同当事人按照专用合同条款约定</w:t>
      </w:r>
      <w:r>
        <w:rPr>
          <w:rFonts w:hint="eastAsia" w:eastAsia="仿宋_GB2312"/>
          <w:kern w:val="0"/>
          <w:sz w:val="30"/>
          <w:szCs w:val="32"/>
        </w:rPr>
        <w:t>的方式和程序</w:t>
      </w:r>
      <w:r>
        <w:rPr>
          <w:rFonts w:eastAsia="仿宋_GB2312"/>
          <w:kern w:val="0"/>
          <w:sz w:val="30"/>
          <w:szCs w:val="32"/>
        </w:rPr>
        <w:t>进行复核，或按照第20条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约定处理。对于无异议部分，发包人应签发临时竣工付款证书，并按本款第（2）项完成付款</w:t>
      </w:r>
      <w:r>
        <w:rPr>
          <w:rFonts w:hint="eastAsia" w:eastAsia="仿宋_GB2312"/>
          <w:kern w:val="0"/>
          <w:sz w:val="30"/>
          <w:szCs w:val="32"/>
        </w:rPr>
        <w:t>。</w:t>
      </w:r>
      <w:r>
        <w:rPr>
          <w:rFonts w:eastAsia="仿宋_GB2312"/>
          <w:kern w:val="0"/>
          <w:sz w:val="30"/>
          <w:szCs w:val="32"/>
        </w:rPr>
        <w:t>承包人逾期未提出异议的，视为认可发包人的</w:t>
      </w:r>
      <w:r>
        <w:rPr>
          <w:rFonts w:hint="eastAsia" w:eastAsia="仿宋_GB2312"/>
          <w:kern w:val="0"/>
          <w:sz w:val="30"/>
          <w:szCs w:val="32"/>
        </w:rPr>
        <w:t>审批</w:t>
      </w:r>
      <w:r>
        <w:rPr>
          <w:rFonts w:eastAsia="仿宋_GB2312"/>
          <w:kern w:val="0"/>
          <w:sz w:val="30"/>
          <w:szCs w:val="32"/>
        </w:rPr>
        <w:t>结果。</w:t>
      </w:r>
    </w:p>
    <w:p w14:paraId="49CD1615">
      <w:pPr>
        <w:pStyle w:val="9"/>
        <w:spacing w:before="120" w:after="120" w:line="360" w:lineRule="auto"/>
        <w:ind w:firstLine="600" w:firstLineChars="200"/>
        <w:rPr>
          <w:rFonts w:eastAsia="黑体"/>
          <w:b w:val="0"/>
          <w:i w:val="0"/>
          <w:iCs w:val="0"/>
          <w:sz w:val="30"/>
          <w:szCs w:val="32"/>
        </w:rPr>
      </w:pPr>
      <w:bookmarkStart w:id="534" w:name="_Toc351203596"/>
      <w:bookmarkStart w:id="535" w:name="_Toc337558813"/>
      <w:r>
        <w:rPr>
          <w:rFonts w:eastAsia="黑体"/>
          <w:b w:val="0"/>
          <w:i w:val="0"/>
          <w:iCs w:val="0"/>
          <w:sz w:val="30"/>
          <w:szCs w:val="32"/>
        </w:rPr>
        <w:t>14.3甩项竣工协议</w:t>
      </w:r>
      <w:bookmarkEnd w:id="534"/>
    </w:p>
    <w:bookmarkEnd w:id="535"/>
    <w:p w14:paraId="252D5D0D">
      <w:pPr>
        <w:autoSpaceDE w:val="0"/>
        <w:autoSpaceDN w:val="0"/>
        <w:adjustRightInd w:val="0"/>
        <w:spacing w:line="360" w:lineRule="auto"/>
        <w:ind w:firstLine="588" w:firstLineChars="196"/>
        <w:jc w:val="left"/>
        <w:rPr>
          <w:rFonts w:eastAsia="仿宋_GB2312"/>
          <w:sz w:val="30"/>
          <w:szCs w:val="32"/>
        </w:rPr>
      </w:pPr>
      <w:r>
        <w:rPr>
          <w:rFonts w:eastAsia="仿宋_GB2312"/>
          <w:sz w:val="30"/>
          <w:szCs w:val="32"/>
        </w:rPr>
        <w:t>发包人要求甩项竣工的，合同当事人应签订甩项竣工协议。在甩项竣工协议中应明确，合同当事人按照第14.1款</w:t>
      </w:r>
      <w:r>
        <w:rPr>
          <w:rFonts w:hint="eastAsia" w:eastAsia="仿宋_GB2312"/>
          <w:sz w:val="30"/>
          <w:szCs w:val="32"/>
        </w:rPr>
        <w:t>〔</w:t>
      </w:r>
      <w:r>
        <w:rPr>
          <w:rFonts w:eastAsia="仿宋_GB2312"/>
          <w:sz w:val="30"/>
          <w:szCs w:val="32"/>
        </w:rPr>
        <w:t>竣工</w:t>
      </w:r>
      <w:r>
        <w:rPr>
          <w:rFonts w:hint="eastAsia" w:eastAsia="仿宋_GB2312"/>
          <w:sz w:val="30"/>
          <w:szCs w:val="32"/>
        </w:rPr>
        <w:t>结算</w:t>
      </w:r>
      <w:r>
        <w:rPr>
          <w:rFonts w:eastAsia="仿宋_GB2312"/>
          <w:sz w:val="30"/>
          <w:szCs w:val="32"/>
        </w:rPr>
        <w:t>申请</w:t>
      </w:r>
      <w:r>
        <w:rPr>
          <w:rFonts w:hint="eastAsia" w:eastAsia="仿宋_GB2312"/>
          <w:sz w:val="30"/>
          <w:szCs w:val="32"/>
        </w:rPr>
        <w:t>〕</w:t>
      </w:r>
      <w:r>
        <w:rPr>
          <w:rFonts w:eastAsia="仿宋_GB2312"/>
          <w:sz w:val="30"/>
          <w:szCs w:val="32"/>
        </w:rPr>
        <w:t>及14.2款</w:t>
      </w:r>
      <w:r>
        <w:rPr>
          <w:rFonts w:hint="eastAsia" w:eastAsia="仿宋_GB2312"/>
          <w:sz w:val="30"/>
          <w:szCs w:val="32"/>
        </w:rPr>
        <w:t>〔</w:t>
      </w:r>
      <w:r>
        <w:rPr>
          <w:rFonts w:eastAsia="仿宋_GB2312"/>
          <w:sz w:val="30"/>
          <w:szCs w:val="32"/>
        </w:rPr>
        <w:t>竣工结算审核</w:t>
      </w:r>
      <w:r>
        <w:rPr>
          <w:rFonts w:hint="eastAsia" w:eastAsia="仿宋_GB2312"/>
          <w:sz w:val="30"/>
          <w:szCs w:val="32"/>
        </w:rPr>
        <w:t>〕</w:t>
      </w:r>
      <w:r>
        <w:rPr>
          <w:rFonts w:eastAsia="仿宋_GB2312"/>
          <w:sz w:val="30"/>
          <w:szCs w:val="32"/>
        </w:rPr>
        <w:t>的约定，</w:t>
      </w:r>
      <w:r>
        <w:rPr>
          <w:rFonts w:hint="eastAsia" w:eastAsia="仿宋_GB2312"/>
          <w:sz w:val="30"/>
          <w:szCs w:val="32"/>
        </w:rPr>
        <w:t>对已</w:t>
      </w:r>
      <w:r>
        <w:rPr>
          <w:rFonts w:eastAsia="仿宋_GB2312"/>
          <w:sz w:val="30"/>
          <w:szCs w:val="32"/>
        </w:rPr>
        <w:t>完合格工程</w:t>
      </w:r>
      <w:r>
        <w:rPr>
          <w:rFonts w:hint="eastAsia" w:eastAsia="仿宋_GB2312"/>
          <w:sz w:val="30"/>
          <w:szCs w:val="32"/>
        </w:rPr>
        <w:t>进行</w:t>
      </w:r>
      <w:r>
        <w:rPr>
          <w:rFonts w:eastAsia="仿宋_GB2312"/>
          <w:sz w:val="30"/>
          <w:szCs w:val="32"/>
        </w:rPr>
        <w:t>结算，并支付相应</w:t>
      </w:r>
      <w:r>
        <w:rPr>
          <w:rFonts w:hint="eastAsia" w:eastAsia="仿宋_GB2312"/>
          <w:sz w:val="30"/>
          <w:szCs w:val="32"/>
        </w:rPr>
        <w:t>合同</w:t>
      </w:r>
      <w:r>
        <w:rPr>
          <w:rFonts w:eastAsia="仿宋_GB2312"/>
          <w:sz w:val="30"/>
          <w:szCs w:val="32"/>
        </w:rPr>
        <w:t>价款。</w:t>
      </w:r>
    </w:p>
    <w:p w14:paraId="7DBB1D59">
      <w:pPr>
        <w:pStyle w:val="9"/>
        <w:spacing w:before="120" w:after="120" w:line="360" w:lineRule="auto"/>
        <w:ind w:firstLine="600" w:firstLineChars="200"/>
        <w:rPr>
          <w:rFonts w:eastAsia="黑体"/>
          <w:b w:val="0"/>
          <w:i w:val="0"/>
          <w:iCs w:val="0"/>
          <w:sz w:val="30"/>
          <w:szCs w:val="32"/>
        </w:rPr>
      </w:pPr>
      <w:r>
        <w:rPr>
          <w:rFonts w:eastAsia="黑体"/>
          <w:b w:val="0"/>
          <w:i w:val="0"/>
          <w:iCs w:val="0"/>
          <w:sz w:val="30"/>
          <w:szCs w:val="32"/>
        </w:rPr>
        <w:t>14.</w:t>
      </w:r>
      <w:r>
        <w:rPr>
          <w:rFonts w:hint="eastAsia" w:eastAsia="黑体"/>
          <w:b w:val="0"/>
          <w:i w:val="0"/>
          <w:iCs w:val="0"/>
          <w:sz w:val="30"/>
          <w:szCs w:val="32"/>
        </w:rPr>
        <w:t>4农民工工资专用账户注销</w:t>
      </w:r>
    </w:p>
    <w:p w14:paraId="72C3E92A">
      <w:pPr>
        <w:autoSpaceDE w:val="0"/>
        <w:autoSpaceDN w:val="0"/>
        <w:adjustRightInd w:val="0"/>
        <w:spacing w:line="360" w:lineRule="auto"/>
        <w:ind w:firstLine="588" w:firstLineChars="196"/>
        <w:jc w:val="left"/>
        <w:rPr>
          <w:rFonts w:eastAsia="仿宋_GB2312"/>
          <w:sz w:val="30"/>
          <w:szCs w:val="32"/>
        </w:rPr>
      </w:pPr>
      <w:r>
        <w:rPr>
          <w:rFonts w:hint="eastAsia" w:eastAsia="仿宋_GB2312"/>
          <w:kern w:val="0"/>
          <w:sz w:val="30"/>
          <w:szCs w:val="32"/>
        </w:rPr>
        <w:t>工程竣工验收并已足额支付农民工工资后，承包人向发包人提出专用账户撤销申请（包括工资结算情况和无拖欠农民工工资承诺等），凭发包人出具的同意注销证明，到开户银行申请销户。专用账户注销后，账户余额划至合同约定的承包企业账户。</w:t>
      </w:r>
    </w:p>
    <w:p w14:paraId="2F90FA97">
      <w:pPr>
        <w:pStyle w:val="9"/>
        <w:spacing w:before="120" w:after="120" w:line="360" w:lineRule="auto"/>
        <w:ind w:firstLine="600" w:firstLineChars="200"/>
        <w:rPr>
          <w:rFonts w:eastAsia="黑体"/>
          <w:b w:val="0"/>
          <w:i w:val="0"/>
          <w:iCs w:val="0"/>
          <w:sz w:val="30"/>
          <w:szCs w:val="32"/>
        </w:rPr>
      </w:pPr>
      <w:bookmarkStart w:id="536" w:name="_Toc351203597"/>
      <w:bookmarkStart w:id="537" w:name="_Toc337558814"/>
      <w:r>
        <w:rPr>
          <w:rFonts w:eastAsia="黑体"/>
          <w:b w:val="0"/>
          <w:i w:val="0"/>
          <w:iCs w:val="0"/>
          <w:sz w:val="30"/>
          <w:szCs w:val="32"/>
        </w:rPr>
        <w:t>14.</w:t>
      </w:r>
      <w:r>
        <w:rPr>
          <w:rFonts w:hint="eastAsia" w:eastAsia="黑体"/>
          <w:b w:val="0"/>
          <w:i w:val="0"/>
          <w:iCs w:val="0"/>
          <w:sz w:val="30"/>
          <w:szCs w:val="32"/>
        </w:rPr>
        <w:t>5</w:t>
      </w:r>
      <w:r>
        <w:rPr>
          <w:rFonts w:eastAsia="黑体"/>
          <w:b w:val="0"/>
          <w:i w:val="0"/>
          <w:iCs w:val="0"/>
          <w:sz w:val="30"/>
          <w:szCs w:val="32"/>
        </w:rPr>
        <w:t>最终结清</w:t>
      </w:r>
      <w:bookmarkEnd w:id="536"/>
    </w:p>
    <w:bookmarkEnd w:id="537"/>
    <w:p w14:paraId="1FF3202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14.</w:t>
      </w:r>
      <w:r>
        <w:rPr>
          <w:rFonts w:hint="eastAsia" w:eastAsia="仿宋_GB2312"/>
          <w:kern w:val="0"/>
          <w:sz w:val="30"/>
          <w:szCs w:val="32"/>
        </w:rPr>
        <w:t>5</w:t>
      </w:r>
      <w:r>
        <w:rPr>
          <w:rFonts w:eastAsia="仿宋_GB2312"/>
          <w:kern w:val="0"/>
          <w:sz w:val="30"/>
          <w:szCs w:val="32"/>
        </w:rPr>
        <w:t>.1最终结清申请单</w:t>
      </w:r>
    </w:p>
    <w:p w14:paraId="2F10731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（1）除专用合同条款另有约定外，承包人应在缺陷责任期终止证书颁发后7天内，按专用合同条款约定的份数向发包人提交最终结清申请单，并提供相关证明材料。</w:t>
      </w:r>
    </w:p>
    <w:p w14:paraId="0E60AAED">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除专用合同条款另有约定外，</w:t>
      </w:r>
      <w:r>
        <w:rPr>
          <w:rFonts w:eastAsia="仿宋_GB2312"/>
          <w:kern w:val="0"/>
          <w:sz w:val="30"/>
          <w:szCs w:val="32"/>
        </w:rPr>
        <w:t>最终结清申请单</w:t>
      </w:r>
      <w:r>
        <w:rPr>
          <w:rFonts w:eastAsia="仿宋_GB2312"/>
          <w:sz w:val="30"/>
          <w:szCs w:val="32"/>
        </w:rPr>
        <w:t>应列明质量保证金、应扣除的质量保证金、缺陷责任期内发生的增减费用</w:t>
      </w:r>
      <w:r>
        <w:rPr>
          <w:rFonts w:hint="eastAsia" w:eastAsia="仿宋_GB2312"/>
          <w:sz w:val="30"/>
          <w:szCs w:val="32"/>
        </w:rPr>
        <w:t>，以及工程质量安全优质优价</w:t>
      </w:r>
      <w:r>
        <w:rPr>
          <w:rFonts w:hint="eastAsia" w:eastAsia="仿宋_GB2312"/>
          <w:kern w:val="0"/>
          <w:sz w:val="30"/>
          <w:szCs w:val="32"/>
        </w:rPr>
        <w:t>及其他奖惩费用。</w:t>
      </w:r>
    </w:p>
    <w:p w14:paraId="459C415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（2）发包人对最终结清申请单内容有异议的，有权要求承包人进行修正和提供补充资料，承包人应向发包人提交修正后的最终结清申请单。</w:t>
      </w:r>
    </w:p>
    <w:p w14:paraId="191530E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14.</w:t>
      </w:r>
      <w:r>
        <w:rPr>
          <w:rFonts w:hint="eastAsia" w:eastAsia="仿宋_GB2312"/>
          <w:kern w:val="0"/>
          <w:sz w:val="30"/>
          <w:szCs w:val="32"/>
        </w:rPr>
        <w:t>5</w:t>
      </w:r>
      <w:r>
        <w:rPr>
          <w:rFonts w:eastAsia="仿宋_GB2312"/>
          <w:kern w:val="0"/>
          <w:sz w:val="30"/>
          <w:szCs w:val="32"/>
        </w:rPr>
        <w:t>.2最终结清证书和支付</w:t>
      </w:r>
    </w:p>
    <w:p w14:paraId="0C4F1E3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（1）除专用合同条款另有约定外，发包人应在收到承包人提交的最终结清申请单后14天内完成审批并向承包人颁发最终结清证书。发包人逾期未完成</w:t>
      </w:r>
      <w:r>
        <w:rPr>
          <w:rFonts w:hint="eastAsia" w:eastAsia="仿宋_GB2312"/>
          <w:kern w:val="0"/>
          <w:sz w:val="30"/>
          <w:szCs w:val="32"/>
        </w:rPr>
        <w:t>审批</w:t>
      </w:r>
      <w:r>
        <w:rPr>
          <w:rFonts w:eastAsia="仿宋_GB2312"/>
          <w:kern w:val="0"/>
          <w:sz w:val="30"/>
          <w:szCs w:val="32"/>
        </w:rPr>
        <w:t>，又未提出修改意见的，视为发包人同意承包人提交的最终结清申请单，且自发包人收到承包人提交的最终结清申请单后15天起视为已颁发最终结清证书。</w:t>
      </w:r>
    </w:p>
    <w:p w14:paraId="68823D0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除专用合同条款另有约定外，发包人应在颁发最终结清证书后7天内完成支付。发包人逾期支付的，按照中国人民银行发布的同期同类贷款基准利率支付违约金；逾期支付超过56天的，按照中国人民银行发布的同期同类贷款基准利率的两倍支付违约金。</w:t>
      </w:r>
    </w:p>
    <w:p w14:paraId="33149B5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（3）承包人对发包人颁发的最终结清证书有异议的，按第20条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的约定办理。</w:t>
      </w:r>
    </w:p>
    <w:p w14:paraId="0C752D8E">
      <w:pPr>
        <w:pStyle w:val="8"/>
        <w:spacing w:before="120" w:after="120" w:line="360" w:lineRule="auto"/>
        <w:rPr>
          <w:rFonts w:ascii="Times New Roman" w:hAnsi="Times New Roman" w:eastAsia="黑体"/>
          <w:b w:val="0"/>
          <w:sz w:val="32"/>
          <w:szCs w:val="32"/>
        </w:rPr>
      </w:pPr>
      <w:bookmarkStart w:id="538" w:name="_Toc351203598"/>
      <w:bookmarkStart w:id="539" w:name="_Toc337558815"/>
      <w:r>
        <w:rPr>
          <w:rFonts w:ascii="Times New Roman" w:hAnsi="Times New Roman" w:eastAsia="黑体"/>
          <w:b w:val="0"/>
          <w:sz w:val="32"/>
          <w:szCs w:val="32"/>
        </w:rPr>
        <w:t>15.缺陷责任与保修</w:t>
      </w:r>
      <w:bookmarkEnd w:id="538"/>
    </w:p>
    <w:bookmarkEnd w:id="528"/>
    <w:bookmarkEnd w:id="529"/>
    <w:bookmarkEnd w:id="539"/>
    <w:p w14:paraId="4A783519">
      <w:pPr>
        <w:pStyle w:val="9"/>
        <w:spacing w:before="120" w:after="120" w:line="360" w:lineRule="auto"/>
        <w:ind w:firstLine="600" w:firstLineChars="200"/>
        <w:rPr>
          <w:rFonts w:eastAsia="黑体"/>
          <w:b w:val="0"/>
          <w:i w:val="0"/>
          <w:iCs w:val="0"/>
          <w:sz w:val="30"/>
          <w:szCs w:val="32"/>
        </w:rPr>
      </w:pPr>
      <w:bookmarkStart w:id="540" w:name="_Toc351203599"/>
      <w:bookmarkStart w:id="541" w:name="_Toc337558816"/>
      <w:bookmarkStart w:id="542" w:name="_Toc296503114"/>
      <w:bookmarkStart w:id="543" w:name="_Toc296346615"/>
      <w:r>
        <w:rPr>
          <w:rFonts w:eastAsia="黑体"/>
          <w:b w:val="0"/>
          <w:i w:val="0"/>
          <w:iCs w:val="0"/>
          <w:sz w:val="30"/>
          <w:szCs w:val="32"/>
        </w:rPr>
        <w:t>15.1工程保修的原则</w:t>
      </w:r>
      <w:bookmarkEnd w:id="540"/>
    </w:p>
    <w:bookmarkEnd w:id="541"/>
    <w:p w14:paraId="0A1AC2B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在工程移交发包人后，因承包人原因产生的质量缺陷，承包人应承担质量缺陷责任和保修义务。缺陷责任期届满，承包人仍应按合同约定的工程各部位保修年限承担保修义务。</w:t>
      </w:r>
    </w:p>
    <w:p w14:paraId="2D8353EA">
      <w:pPr>
        <w:pStyle w:val="9"/>
        <w:spacing w:before="120" w:after="120" w:line="360" w:lineRule="auto"/>
        <w:ind w:firstLine="600" w:firstLineChars="200"/>
        <w:rPr>
          <w:rFonts w:eastAsia="黑体"/>
          <w:b w:val="0"/>
          <w:i w:val="0"/>
          <w:iCs w:val="0"/>
          <w:sz w:val="30"/>
          <w:szCs w:val="32"/>
        </w:rPr>
      </w:pPr>
      <w:bookmarkStart w:id="544" w:name="_Toc351203600"/>
      <w:bookmarkStart w:id="545" w:name="_Toc337558817"/>
      <w:r>
        <w:rPr>
          <w:rFonts w:eastAsia="黑体"/>
          <w:b w:val="0"/>
          <w:i w:val="0"/>
          <w:iCs w:val="0"/>
          <w:sz w:val="30"/>
          <w:szCs w:val="32"/>
        </w:rPr>
        <w:t>15.2缺陷责任期</w:t>
      </w:r>
      <w:bookmarkEnd w:id="542"/>
      <w:bookmarkEnd w:id="543"/>
      <w:bookmarkEnd w:id="544"/>
    </w:p>
    <w:bookmarkEnd w:id="545"/>
    <w:p w14:paraId="03C8EF8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15.2.1缺陷责任期</w:t>
      </w:r>
      <w:r>
        <w:rPr>
          <w:rFonts w:hint="eastAsia" w:eastAsia="仿宋_GB2312"/>
          <w:kern w:val="0"/>
          <w:sz w:val="30"/>
          <w:szCs w:val="32"/>
        </w:rPr>
        <w:t>从工程通过竣工验收之日</w:t>
      </w:r>
      <w:r>
        <w:rPr>
          <w:rFonts w:eastAsia="仿宋_GB2312"/>
          <w:kern w:val="0"/>
          <w:sz w:val="30"/>
          <w:szCs w:val="32"/>
        </w:rPr>
        <w:t>起计算，合同当事人应在专用合同条款约定缺陷责任期的具体期限，但该期限最长不超过24个月。</w:t>
      </w:r>
    </w:p>
    <w:p w14:paraId="215F369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单位工程先于全部工程进行验收，经验收合格并交付使用的，该单位工程缺陷责任期自单位工程验收合格之日起算。</w:t>
      </w:r>
      <w:r>
        <w:rPr>
          <w:rFonts w:hint="eastAsia" w:eastAsia="仿宋_GB2312"/>
          <w:kern w:val="0"/>
          <w:sz w:val="30"/>
          <w:szCs w:val="32"/>
        </w:rPr>
        <w:t>因承包人原因导致工程无法按合同约定期限进行竣工验收的，缺陷责任期从实际通过竣工验收之日起计算。</w:t>
      </w:r>
      <w:r>
        <w:rPr>
          <w:rFonts w:eastAsia="仿宋_GB2312"/>
          <w:kern w:val="0"/>
          <w:sz w:val="30"/>
          <w:szCs w:val="32"/>
        </w:rPr>
        <w:t>因发包人原因导致工程无法按合同约定期限进行竣工验收的，</w:t>
      </w:r>
      <w:r>
        <w:rPr>
          <w:rFonts w:hint="eastAsia" w:eastAsia="仿宋_GB2312"/>
          <w:kern w:val="0"/>
          <w:sz w:val="30"/>
          <w:szCs w:val="32"/>
        </w:rPr>
        <w:t>在承包人提交竣工验收报告90天后，工程自动进入缺陷责任期</w:t>
      </w:r>
      <w:r>
        <w:rPr>
          <w:rFonts w:eastAsia="仿宋_GB2312"/>
          <w:kern w:val="0"/>
          <w:sz w:val="30"/>
          <w:szCs w:val="32"/>
        </w:rPr>
        <w:t>；发包人未经竣工验收擅自使用工程的，缺陷责任期自工程转移占有之日起开始计算。</w:t>
      </w:r>
    </w:p>
    <w:p w14:paraId="1D970AB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15.2.2</w:t>
      </w:r>
      <w:r>
        <w:rPr>
          <w:rFonts w:hint="eastAsia" w:eastAsia="仿宋_GB2312"/>
          <w:kern w:val="0"/>
          <w:sz w:val="30"/>
          <w:szCs w:val="32"/>
        </w:rPr>
        <w:t>缺陷责任期内，由承包人原因造成的缺陷，承包人应负责维修，并承担鉴定及维修费用。如承包人不维修也不承担费用，发包人可按合同约定从保证金或银行保函中扣除，费用超出保证金额的，发包人可按合同约定向承包人进行索赔。承包人维修并承担相应费用后，不免除对工程的损失赔偿责任。</w:t>
      </w:r>
      <w:r>
        <w:rPr>
          <w:rFonts w:eastAsia="仿宋_GB2312"/>
          <w:kern w:val="0"/>
          <w:sz w:val="30"/>
          <w:szCs w:val="32"/>
        </w:rPr>
        <w:t>发包人有权要求承</w:t>
      </w:r>
      <w:r>
        <w:rPr>
          <w:rFonts w:eastAsia="仿宋_GB2312"/>
          <w:bCs/>
          <w:sz w:val="30"/>
          <w:szCs w:val="32"/>
        </w:rPr>
        <w:t>包人延长缺陷责任期，</w:t>
      </w:r>
      <w:r>
        <w:rPr>
          <w:rFonts w:eastAsia="仿宋_GB2312"/>
          <w:kern w:val="0"/>
          <w:sz w:val="30"/>
          <w:szCs w:val="32"/>
        </w:rPr>
        <w:t>并应在原缺陷责任期届满前发出延长通知</w:t>
      </w:r>
      <w:r>
        <w:rPr>
          <w:rFonts w:hint="eastAsia" w:eastAsia="仿宋_GB2312"/>
          <w:kern w:val="0"/>
          <w:sz w:val="30"/>
          <w:szCs w:val="32"/>
        </w:rPr>
        <w:t>。</w:t>
      </w:r>
      <w:r>
        <w:rPr>
          <w:rFonts w:eastAsia="仿宋_GB2312"/>
          <w:bCs/>
          <w:sz w:val="30"/>
          <w:szCs w:val="32"/>
        </w:rPr>
        <w:t>但缺陷责任期</w:t>
      </w:r>
      <w:r>
        <w:rPr>
          <w:rFonts w:hint="eastAsia" w:eastAsia="仿宋_GB2312"/>
          <w:bCs/>
          <w:sz w:val="30"/>
          <w:szCs w:val="32"/>
        </w:rPr>
        <w:t>（含延长部分）</w:t>
      </w:r>
      <w:r>
        <w:rPr>
          <w:rFonts w:eastAsia="仿宋_GB2312"/>
          <w:bCs/>
          <w:sz w:val="30"/>
          <w:szCs w:val="32"/>
        </w:rPr>
        <w:t>最长</w:t>
      </w:r>
      <w:r>
        <w:rPr>
          <w:rFonts w:eastAsia="仿宋_GB2312"/>
          <w:kern w:val="0"/>
          <w:sz w:val="30"/>
          <w:szCs w:val="32"/>
        </w:rPr>
        <w:t>不能超过24个月。</w:t>
      </w:r>
    </w:p>
    <w:p w14:paraId="1D1D0E47">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由他人原因造成的缺陷，发包人负责组织维修，承包人不承担费用，且发包人不得从保证金中扣除费用。</w:t>
      </w:r>
    </w:p>
    <w:p w14:paraId="45F33F6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15.2.3任何一项缺陷或损坏修复后，经检查证明其影响了工程或工程设备的使用性能，承包人应重新进行合同约定的试验和试运行，试验和试运行的全部费用应由责任方承担。</w:t>
      </w:r>
    </w:p>
    <w:p w14:paraId="29D6915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15.2.4除专用合同条款另有约定外，承包人应于缺陷责任期届满后7天内向发包人发出缺陷责任期</w:t>
      </w:r>
      <w:r>
        <w:rPr>
          <w:rFonts w:hint="eastAsia" w:eastAsia="仿宋_GB2312"/>
          <w:kern w:val="0"/>
          <w:sz w:val="30"/>
          <w:szCs w:val="32"/>
        </w:rPr>
        <w:t>届</w:t>
      </w:r>
      <w:r>
        <w:rPr>
          <w:rFonts w:eastAsia="仿宋_GB2312"/>
          <w:kern w:val="0"/>
          <w:sz w:val="30"/>
          <w:szCs w:val="32"/>
        </w:rPr>
        <w:t>满通知，发包人应在</w:t>
      </w:r>
      <w:r>
        <w:rPr>
          <w:rFonts w:hint="eastAsia" w:eastAsia="仿宋_GB2312"/>
          <w:kern w:val="0"/>
          <w:sz w:val="30"/>
          <w:szCs w:val="32"/>
        </w:rPr>
        <w:t>收</w:t>
      </w:r>
      <w:r>
        <w:rPr>
          <w:rFonts w:eastAsia="仿宋_GB2312"/>
          <w:kern w:val="0"/>
          <w:sz w:val="30"/>
          <w:szCs w:val="32"/>
        </w:rPr>
        <w:t>到缺陷责任期满通知后14天内核实承包人是否履行缺陷</w:t>
      </w:r>
      <w:r>
        <w:rPr>
          <w:rFonts w:hint="eastAsia" w:eastAsia="仿宋_GB2312"/>
          <w:kern w:val="0"/>
          <w:sz w:val="30"/>
          <w:szCs w:val="32"/>
        </w:rPr>
        <w:t>修复</w:t>
      </w:r>
      <w:r>
        <w:rPr>
          <w:rFonts w:eastAsia="仿宋_GB2312"/>
          <w:kern w:val="0"/>
          <w:sz w:val="30"/>
          <w:szCs w:val="32"/>
        </w:rPr>
        <w:t>义务，承包人未能履行缺陷</w:t>
      </w:r>
      <w:r>
        <w:rPr>
          <w:rFonts w:hint="eastAsia" w:eastAsia="仿宋_GB2312"/>
          <w:kern w:val="0"/>
          <w:sz w:val="30"/>
          <w:szCs w:val="32"/>
        </w:rPr>
        <w:t>修复</w:t>
      </w:r>
      <w:r>
        <w:rPr>
          <w:rFonts w:eastAsia="仿宋_GB2312"/>
          <w:kern w:val="0"/>
          <w:sz w:val="30"/>
          <w:szCs w:val="32"/>
        </w:rPr>
        <w:t>义务的，发包人有权扣除相应金额的维修费用。发包人应在</w:t>
      </w:r>
      <w:r>
        <w:rPr>
          <w:rFonts w:hint="eastAsia" w:eastAsia="仿宋_GB2312"/>
          <w:kern w:val="0"/>
          <w:sz w:val="30"/>
          <w:szCs w:val="32"/>
        </w:rPr>
        <w:t>收到</w:t>
      </w:r>
      <w:r>
        <w:rPr>
          <w:rFonts w:eastAsia="仿宋_GB2312"/>
          <w:kern w:val="0"/>
          <w:sz w:val="30"/>
          <w:szCs w:val="32"/>
        </w:rPr>
        <w:t>缺陷责任期</w:t>
      </w:r>
      <w:r>
        <w:rPr>
          <w:rFonts w:hint="eastAsia" w:eastAsia="仿宋_GB2312"/>
          <w:kern w:val="0"/>
          <w:sz w:val="30"/>
          <w:szCs w:val="32"/>
        </w:rPr>
        <w:t>届</w:t>
      </w:r>
      <w:r>
        <w:rPr>
          <w:rFonts w:eastAsia="仿宋_GB2312"/>
          <w:kern w:val="0"/>
          <w:sz w:val="30"/>
          <w:szCs w:val="32"/>
        </w:rPr>
        <w:t>满</w:t>
      </w:r>
      <w:r>
        <w:rPr>
          <w:rFonts w:hint="eastAsia" w:eastAsia="仿宋_GB2312"/>
          <w:kern w:val="0"/>
          <w:sz w:val="30"/>
          <w:szCs w:val="32"/>
        </w:rPr>
        <w:t>通知后</w:t>
      </w:r>
      <w:r>
        <w:rPr>
          <w:rFonts w:eastAsia="仿宋_GB2312"/>
          <w:kern w:val="0"/>
          <w:sz w:val="30"/>
          <w:szCs w:val="32"/>
        </w:rPr>
        <w:t>14天内，向承包人颁发缺陷责任期终止证</w:t>
      </w:r>
      <w:r>
        <w:rPr>
          <w:rFonts w:hint="eastAsia" w:eastAsia="仿宋_GB2312"/>
          <w:kern w:val="0"/>
          <w:sz w:val="30"/>
          <w:szCs w:val="32"/>
        </w:rPr>
        <w:t>书</w:t>
      </w:r>
      <w:r>
        <w:rPr>
          <w:rFonts w:eastAsia="仿宋_GB2312"/>
          <w:kern w:val="0"/>
          <w:sz w:val="30"/>
          <w:szCs w:val="32"/>
        </w:rPr>
        <w:t>。</w:t>
      </w:r>
    </w:p>
    <w:p w14:paraId="0DEA89CF">
      <w:pPr>
        <w:pStyle w:val="9"/>
        <w:spacing w:before="120" w:after="120" w:line="360" w:lineRule="auto"/>
        <w:ind w:firstLine="600" w:firstLineChars="200"/>
        <w:rPr>
          <w:rFonts w:eastAsia="黑体"/>
          <w:b w:val="0"/>
          <w:i w:val="0"/>
          <w:iCs w:val="0"/>
          <w:sz w:val="30"/>
          <w:szCs w:val="32"/>
        </w:rPr>
      </w:pPr>
      <w:bookmarkStart w:id="546" w:name="_Toc351203601"/>
      <w:bookmarkStart w:id="547" w:name="_Toc337558818"/>
      <w:bookmarkStart w:id="548" w:name="_Toc296346616"/>
      <w:bookmarkStart w:id="549" w:name="_Toc296503115"/>
      <w:r>
        <w:rPr>
          <w:rFonts w:eastAsia="黑体"/>
          <w:b w:val="0"/>
          <w:i w:val="0"/>
          <w:iCs w:val="0"/>
          <w:sz w:val="30"/>
          <w:szCs w:val="32"/>
        </w:rPr>
        <w:t>15.3质量保证金</w:t>
      </w:r>
      <w:bookmarkEnd w:id="546"/>
    </w:p>
    <w:bookmarkEnd w:id="547"/>
    <w:p w14:paraId="17EFA4F8">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经合同当事人协商一致扣留质量保证金的，应在专用合同条款中予以明确。</w:t>
      </w:r>
    </w:p>
    <w:p w14:paraId="1105C476">
      <w:pPr>
        <w:spacing w:line="360" w:lineRule="auto"/>
        <w:ind w:firstLine="600" w:firstLineChars="200"/>
        <w:jc w:val="left"/>
        <w:rPr>
          <w:rFonts w:eastAsia="仿宋_GB2312"/>
          <w:sz w:val="30"/>
          <w:szCs w:val="32"/>
        </w:rPr>
      </w:pPr>
      <w:r>
        <w:rPr>
          <w:rFonts w:hint="eastAsia" w:eastAsia="仿宋_GB2312"/>
          <w:sz w:val="30"/>
          <w:szCs w:val="32"/>
        </w:rPr>
        <w:t>在工程项目竣工前，承包人已经提供履约担保的，发包人不得同时预留工程质量保证金。</w:t>
      </w:r>
    </w:p>
    <w:p w14:paraId="1CC8634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15.3.1</w:t>
      </w:r>
      <w:r>
        <w:rPr>
          <w:rFonts w:hint="eastAsia" w:eastAsia="仿宋_GB2312"/>
          <w:kern w:val="0"/>
          <w:sz w:val="30"/>
          <w:szCs w:val="32"/>
        </w:rPr>
        <w:t>承包人提供</w:t>
      </w:r>
      <w:r>
        <w:rPr>
          <w:rFonts w:eastAsia="仿宋_GB2312"/>
          <w:kern w:val="0"/>
          <w:sz w:val="30"/>
          <w:szCs w:val="32"/>
        </w:rPr>
        <w:t>质量保证金的</w:t>
      </w:r>
      <w:r>
        <w:rPr>
          <w:rFonts w:hint="eastAsia" w:eastAsia="仿宋_GB2312"/>
          <w:kern w:val="0"/>
          <w:sz w:val="30"/>
          <w:szCs w:val="32"/>
        </w:rPr>
        <w:t>方</w:t>
      </w:r>
      <w:r>
        <w:rPr>
          <w:rFonts w:eastAsia="仿宋_GB2312"/>
          <w:kern w:val="0"/>
          <w:sz w:val="30"/>
          <w:szCs w:val="32"/>
        </w:rPr>
        <w:t>式</w:t>
      </w:r>
    </w:p>
    <w:p w14:paraId="31CB9498">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承包人提供</w:t>
      </w:r>
      <w:r>
        <w:rPr>
          <w:rFonts w:eastAsia="仿宋_GB2312"/>
          <w:kern w:val="0"/>
          <w:sz w:val="30"/>
          <w:szCs w:val="32"/>
        </w:rPr>
        <w:t>质量保证金</w:t>
      </w:r>
      <w:r>
        <w:rPr>
          <w:rFonts w:hint="eastAsia" w:eastAsia="仿宋_GB2312"/>
          <w:kern w:val="0"/>
          <w:sz w:val="30"/>
          <w:szCs w:val="32"/>
        </w:rPr>
        <w:t>有</w:t>
      </w:r>
      <w:r>
        <w:rPr>
          <w:rFonts w:eastAsia="仿宋_GB2312"/>
          <w:kern w:val="0"/>
          <w:sz w:val="30"/>
          <w:szCs w:val="32"/>
        </w:rPr>
        <w:t>以下</w:t>
      </w:r>
      <w:r>
        <w:rPr>
          <w:rFonts w:hint="eastAsia" w:eastAsia="仿宋_GB2312"/>
          <w:kern w:val="0"/>
          <w:sz w:val="30"/>
          <w:szCs w:val="32"/>
        </w:rPr>
        <w:t>三种方</w:t>
      </w:r>
      <w:r>
        <w:rPr>
          <w:rFonts w:eastAsia="仿宋_GB2312"/>
          <w:kern w:val="0"/>
          <w:sz w:val="30"/>
          <w:szCs w:val="32"/>
        </w:rPr>
        <w:t>式：</w:t>
      </w:r>
    </w:p>
    <w:p w14:paraId="712E3D9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（1）质量保证金保函</w:t>
      </w:r>
      <w:r>
        <w:rPr>
          <w:rFonts w:hint="eastAsia" w:eastAsia="仿宋_GB2312"/>
          <w:kern w:val="0"/>
          <w:sz w:val="30"/>
          <w:szCs w:val="32"/>
        </w:rPr>
        <w:t>（含银行保函、保险保函、融资性担保公司担保等任一形式）</w:t>
      </w:r>
      <w:r>
        <w:rPr>
          <w:rFonts w:eastAsia="仿宋_GB2312"/>
          <w:kern w:val="0"/>
          <w:sz w:val="30"/>
          <w:szCs w:val="32"/>
        </w:rPr>
        <w:t>；</w:t>
      </w:r>
    </w:p>
    <w:p w14:paraId="32003816">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w:t>
      </w:r>
      <w:r>
        <w:rPr>
          <w:rFonts w:eastAsia="仿宋_GB2312"/>
          <w:kern w:val="0"/>
          <w:sz w:val="30"/>
          <w:szCs w:val="32"/>
        </w:rPr>
        <w:t>2）相应比例的工程款；</w:t>
      </w:r>
    </w:p>
    <w:p w14:paraId="67E6531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（3）双方约定的其他</w:t>
      </w:r>
      <w:r>
        <w:rPr>
          <w:rFonts w:hint="eastAsia" w:eastAsia="仿宋_GB2312"/>
          <w:kern w:val="0"/>
          <w:sz w:val="30"/>
          <w:szCs w:val="32"/>
        </w:rPr>
        <w:t>方</w:t>
      </w:r>
      <w:r>
        <w:rPr>
          <w:rFonts w:eastAsia="仿宋_GB2312"/>
          <w:kern w:val="0"/>
          <w:sz w:val="30"/>
          <w:szCs w:val="32"/>
        </w:rPr>
        <w:t>式。</w:t>
      </w:r>
    </w:p>
    <w:p w14:paraId="1380D60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除专用合同条款另有约定外，质量保证金</w:t>
      </w:r>
      <w:r>
        <w:rPr>
          <w:rFonts w:hint="eastAsia" w:eastAsia="仿宋_GB2312"/>
          <w:kern w:val="0"/>
          <w:sz w:val="30"/>
          <w:szCs w:val="32"/>
        </w:rPr>
        <w:t>原则上</w:t>
      </w:r>
      <w:r>
        <w:rPr>
          <w:rFonts w:eastAsia="仿宋_GB2312"/>
          <w:kern w:val="0"/>
          <w:sz w:val="30"/>
          <w:szCs w:val="32"/>
        </w:rPr>
        <w:t>采</w:t>
      </w:r>
      <w:r>
        <w:rPr>
          <w:rFonts w:hint="eastAsia" w:eastAsia="仿宋_GB2312"/>
          <w:kern w:val="0"/>
          <w:sz w:val="30"/>
          <w:szCs w:val="32"/>
        </w:rPr>
        <w:t>用上述</w:t>
      </w:r>
      <w:r>
        <w:rPr>
          <w:rFonts w:eastAsia="仿宋_GB2312"/>
          <w:kern w:val="0"/>
          <w:sz w:val="30"/>
          <w:szCs w:val="32"/>
        </w:rPr>
        <w:t>第（1）种</w:t>
      </w:r>
      <w:r>
        <w:rPr>
          <w:rFonts w:hint="eastAsia" w:eastAsia="仿宋_GB2312"/>
          <w:kern w:val="0"/>
          <w:sz w:val="30"/>
          <w:szCs w:val="32"/>
        </w:rPr>
        <w:t>方式。</w:t>
      </w:r>
    </w:p>
    <w:p w14:paraId="0BAA15A2">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承包人选择以质量保证金保函（含银行保函、保险保函、担保公司担保等任一形式）代替质量保证金的，发包人不得以任何理由拒绝或限制使用。</w:t>
      </w:r>
    </w:p>
    <w:p w14:paraId="787D88D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15.3.2质量保证金的扣留</w:t>
      </w:r>
    </w:p>
    <w:p w14:paraId="7AD4BD8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质量保证金</w:t>
      </w:r>
      <w:r>
        <w:rPr>
          <w:rFonts w:hint="eastAsia" w:eastAsia="仿宋_GB2312"/>
          <w:kern w:val="0"/>
          <w:sz w:val="30"/>
          <w:szCs w:val="32"/>
        </w:rPr>
        <w:t>的</w:t>
      </w:r>
      <w:r>
        <w:rPr>
          <w:rFonts w:eastAsia="仿宋_GB2312"/>
          <w:kern w:val="0"/>
          <w:sz w:val="30"/>
          <w:szCs w:val="32"/>
        </w:rPr>
        <w:t>扣留</w:t>
      </w:r>
      <w:r>
        <w:rPr>
          <w:rFonts w:hint="eastAsia" w:eastAsia="仿宋_GB2312"/>
          <w:kern w:val="0"/>
          <w:sz w:val="30"/>
          <w:szCs w:val="32"/>
        </w:rPr>
        <w:t>有</w:t>
      </w:r>
      <w:r>
        <w:rPr>
          <w:rFonts w:eastAsia="仿宋_GB2312"/>
          <w:kern w:val="0"/>
          <w:sz w:val="30"/>
          <w:szCs w:val="32"/>
        </w:rPr>
        <w:t>以下</w:t>
      </w:r>
      <w:r>
        <w:rPr>
          <w:rFonts w:hint="eastAsia" w:eastAsia="仿宋_GB2312"/>
          <w:kern w:val="0"/>
          <w:sz w:val="30"/>
          <w:szCs w:val="32"/>
        </w:rPr>
        <w:t>三</w:t>
      </w:r>
      <w:r>
        <w:rPr>
          <w:rFonts w:eastAsia="仿宋_GB2312"/>
          <w:kern w:val="0"/>
          <w:sz w:val="30"/>
          <w:szCs w:val="32"/>
        </w:rPr>
        <w:t>种</w:t>
      </w:r>
      <w:r>
        <w:rPr>
          <w:rFonts w:hint="eastAsia" w:eastAsia="仿宋_GB2312"/>
          <w:kern w:val="0"/>
          <w:sz w:val="30"/>
          <w:szCs w:val="32"/>
        </w:rPr>
        <w:t>方式</w:t>
      </w:r>
      <w:r>
        <w:rPr>
          <w:rFonts w:eastAsia="仿宋_GB2312"/>
          <w:kern w:val="0"/>
          <w:sz w:val="30"/>
          <w:szCs w:val="32"/>
        </w:rPr>
        <w:t>：</w:t>
      </w:r>
    </w:p>
    <w:p w14:paraId="382BC91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（1）在支付工程进度款时逐次扣留，在此情形下，质量保证金的计算基数不包括预付款的支付、扣回以及价格调整的金额；</w:t>
      </w:r>
    </w:p>
    <w:p w14:paraId="1402952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（2）工</w:t>
      </w:r>
      <w:bookmarkStart w:id="550" w:name="#go6"/>
      <w:bookmarkEnd w:id="550"/>
      <w:r>
        <w:rPr>
          <w:rFonts w:eastAsia="仿宋_GB2312"/>
          <w:kern w:val="0"/>
          <w:sz w:val="30"/>
          <w:szCs w:val="32"/>
        </w:rPr>
        <w:t>程竣工结算时一次性扣留质量保证金；</w:t>
      </w:r>
    </w:p>
    <w:p w14:paraId="66BAF81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（3）双方约定的其他扣留方式。</w:t>
      </w:r>
    </w:p>
    <w:p w14:paraId="54A657E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除专用合同条款另有约定外，质量保证金</w:t>
      </w:r>
      <w:r>
        <w:rPr>
          <w:rFonts w:hint="eastAsia" w:eastAsia="仿宋_GB2312"/>
          <w:kern w:val="0"/>
          <w:sz w:val="30"/>
          <w:szCs w:val="32"/>
        </w:rPr>
        <w:t>的</w:t>
      </w:r>
      <w:r>
        <w:rPr>
          <w:rFonts w:eastAsia="仿宋_GB2312"/>
          <w:kern w:val="0"/>
          <w:sz w:val="30"/>
          <w:szCs w:val="32"/>
        </w:rPr>
        <w:t>扣留</w:t>
      </w:r>
      <w:r>
        <w:rPr>
          <w:rFonts w:hint="eastAsia" w:eastAsia="仿宋_GB2312"/>
          <w:kern w:val="0"/>
          <w:sz w:val="30"/>
          <w:szCs w:val="32"/>
        </w:rPr>
        <w:t>原则上</w:t>
      </w:r>
      <w:r>
        <w:rPr>
          <w:rFonts w:eastAsia="仿宋_GB2312"/>
          <w:kern w:val="0"/>
          <w:sz w:val="30"/>
          <w:szCs w:val="32"/>
        </w:rPr>
        <w:t>采</w:t>
      </w:r>
      <w:r>
        <w:rPr>
          <w:rFonts w:hint="eastAsia" w:eastAsia="仿宋_GB2312"/>
          <w:kern w:val="0"/>
          <w:sz w:val="30"/>
          <w:szCs w:val="32"/>
        </w:rPr>
        <w:t>用上述</w:t>
      </w:r>
      <w:r>
        <w:rPr>
          <w:rFonts w:eastAsia="仿宋_GB2312"/>
          <w:kern w:val="0"/>
          <w:sz w:val="30"/>
          <w:szCs w:val="32"/>
        </w:rPr>
        <w:t>第（1）种方式</w:t>
      </w:r>
      <w:r>
        <w:rPr>
          <w:rFonts w:hint="eastAsia" w:eastAsia="仿宋_GB2312"/>
          <w:kern w:val="0"/>
          <w:sz w:val="30"/>
          <w:szCs w:val="32"/>
        </w:rPr>
        <w:t>。</w:t>
      </w:r>
    </w:p>
    <w:p w14:paraId="49E3EE6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w:t>
      </w:r>
      <w:bookmarkStart w:id="551" w:name="#go4"/>
      <w:bookmarkEnd w:id="551"/>
      <w:r>
        <w:rPr>
          <w:rFonts w:eastAsia="仿宋_GB2312"/>
          <w:kern w:val="0"/>
          <w:sz w:val="30"/>
          <w:szCs w:val="32"/>
        </w:rPr>
        <w:t>包人累计扣留的质量保证金不得超过</w:t>
      </w:r>
      <w:r>
        <w:rPr>
          <w:rFonts w:hint="eastAsia" w:eastAsia="仿宋_GB2312"/>
          <w:kern w:val="0"/>
          <w:sz w:val="30"/>
          <w:szCs w:val="32"/>
        </w:rPr>
        <w:t>工程价款结算总额</w:t>
      </w:r>
      <w:r>
        <w:rPr>
          <w:rFonts w:eastAsia="仿宋_GB2312"/>
          <w:kern w:val="0"/>
          <w:sz w:val="30"/>
          <w:szCs w:val="32"/>
        </w:rPr>
        <w:t>的3%</w:t>
      </w:r>
      <w:r>
        <w:rPr>
          <w:rFonts w:hint="eastAsia" w:eastAsia="仿宋_GB2312"/>
          <w:kern w:val="0"/>
          <w:sz w:val="30"/>
          <w:szCs w:val="32"/>
        </w:rPr>
        <w:t>。如</w:t>
      </w:r>
      <w:r>
        <w:rPr>
          <w:rFonts w:eastAsia="仿宋_GB2312"/>
          <w:kern w:val="0"/>
          <w:sz w:val="30"/>
          <w:szCs w:val="32"/>
        </w:rPr>
        <w:t>承包人在发包人签发竣工付款证书后28天内提交质量保证金保函，发包人应同时退还扣留的作为质量保证金的工程价款</w:t>
      </w:r>
      <w:r>
        <w:rPr>
          <w:rFonts w:hint="eastAsia" w:eastAsia="仿宋_GB2312"/>
          <w:kern w:val="0"/>
          <w:sz w:val="30"/>
          <w:szCs w:val="32"/>
        </w:rPr>
        <w:t>；保函金额不得超过工程价款结算总额的3%</w:t>
      </w:r>
      <w:r>
        <w:rPr>
          <w:rFonts w:eastAsia="仿宋_GB2312"/>
          <w:kern w:val="0"/>
          <w:sz w:val="30"/>
          <w:szCs w:val="32"/>
        </w:rPr>
        <w:t>。</w:t>
      </w:r>
    </w:p>
    <w:p w14:paraId="1CC06C89">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发包人在退还质量保证金的同时</w:t>
      </w:r>
      <w:r>
        <w:rPr>
          <w:rFonts w:eastAsia="仿宋_GB2312"/>
          <w:kern w:val="0"/>
          <w:sz w:val="30"/>
          <w:szCs w:val="32"/>
        </w:rPr>
        <w:t>按照中国人民银行发布的同期同类贷款基准利率支付</w:t>
      </w:r>
      <w:r>
        <w:rPr>
          <w:rFonts w:hint="eastAsia" w:eastAsia="仿宋_GB2312"/>
          <w:kern w:val="0"/>
          <w:sz w:val="30"/>
          <w:szCs w:val="32"/>
        </w:rPr>
        <w:t>利息。</w:t>
      </w:r>
    </w:p>
    <w:p w14:paraId="61FF789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15.3.3</w:t>
      </w:r>
      <w:r>
        <w:rPr>
          <w:rFonts w:eastAsia="仿宋_GB2312"/>
          <w:sz w:val="30"/>
          <w:szCs w:val="32"/>
        </w:rPr>
        <w:t>质量保证金</w:t>
      </w:r>
      <w:r>
        <w:rPr>
          <w:rFonts w:eastAsia="仿宋_GB2312"/>
          <w:kern w:val="0"/>
          <w:sz w:val="30"/>
          <w:szCs w:val="32"/>
        </w:rPr>
        <w:t>的退还</w:t>
      </w:r>
    </w:p>
    <w:p w14:paraId="23EA8B89">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缺陷责任期内，承包人认真履行合同约定的责任，到期后，承包人可向发包人申请返还保证金。</w:t>
      </w:r>
    </w:p>
    <w:p w14:paraId="5763BED1">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发包人在接到承包人返还保证金申请后，应于14天内会同承包人按照合同约定的内容进行核实。如无异议，发包人应当按照约定将保证金返还给承包人。对返还期限没有约定或者约定不明确的，发包人应当在核实后14天内将保证金返还承包人，逾期未返还的，依法承担违约责任。发包人在接到承包人返还保证金申请后14天内不予答复，经催告后14天内仍不予答复，视同认可承包人的返还保证金申请。</w:t>
      </w:r>
    </w:p>
    <w:p w14:paraId="14FD2A47">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发包人和承包人对保证金预留、返还以及工程维修质量、费用有争议的，按本合同第20条约定的争议和纠纷解决程序处理</w:t>
      </w:r>
      <w:r>
        <w:rPr>
          <w:rFonts w:eastAsia="仿宋_GB2312"/>
          <w:kern w:val="0"/>
          <w:sz w:val="30"/>
          <w:szCs w:val="32"/>
        </w:rPr>
        <w:t>。</w:t>
      </w:r>
    </w:p>
    <w:p w14:paraId="08E0C998">
      <w:pPr>
        <w:pStyle w:val="9"/>
        <w:spacing w:before="120" w:after="120" w:line="360" w:lineRule="auto"/>
        <w:ind w:firstLine="600" w:firstLineChars="200"/>
        <w:rPr>
          <w:rFonts w:eastAsia="黑体"/>
          <w:b w:val="0"/>
          <w:i w:val="0"/>
          <w:iCs w:val="0"/>
          <w:sz w:val="30"/>
          <w:szCs w:val="32"/>
        </w:rPr>
      </w:pPr>
      <w:bookmarkStart w:id="552" w:name="_Toc351203602"/>
      <w:bookmarkStart w:id="553" w:name="_Toc337558819"/>
      <w:r>
        <w:rPr>
          <w:rFonts w:eastAsia="黑体"/>
          <w:b w:val="0"/>
          <w:i w:val="0"/>
          <w:iCs w:val="0"/>
          <w:sz w:val="30"/>
          <w:szCs w:val="32"/>
        </w:rPr>
        <w:t>15.4保修</w:t>
      </w:r>
      <w:bookmarkEnd w:id="552"/>
    </w:p>
    <w:bookmarkEnd w:id="548"/>
    <w:bookmarkEnd w:id="549"/>
    <w:bookmarkEnd w:id="553"/>
    <w:p w14:paraId="031AA754">
      <w:pPr>
        <w:spacing w:line="360" w:lineRule="auto"/>
        <w:ind w:firstLine="600" w:firstLineChars="200"/>
        <w:jc w:val="left"/>
        <w:rPr>
          <w:rFonts w:eastAsia="仿宋_GB2312"/>
          <w:kern w:val="0"/>
          <w:sz w:val="30"/>
          <w:szCs w:val="32"/>
        </w:rPr>
      </w:pPr>
      <w:r>
        <w:rPr>
          <w:rFonts w:eastAsia="仿宋_GB2312"/>
          <w:kern w:val="0"/>
          <w:sz w:val="30"/>
          <w:szCs w:val="32"/>
        </w:rPr>
        <w:t>15.4.1保修责任</w:t>
      </w:r>
    </w:p>
    <w:p w14:paraId="4678BA4A">
      <w:pPr>
        <w:spacing w:line="360" w:lineRule="auto"/>
        <w:ind w:firstLine="600" w:firstLineChars="200"/>
        <w:jc w:val="left"/>
        <w:rPr>
          <w:rFonts w:eastAsia="仿宋_GB2312"/>
          <w:kern w:val="0"/>
          <w:sz w:val="30"/>
          <w:szCs w:val="32"/>
        </w:rPr>
      </w:pPr>
      <w:r>
        <w:rPr>
          <w:rFonts w:eastAsia="仿宋_GB2312"/>
          <w:kern w:val="0"/>
          <w:sz w:val="30"/>
          <w:szCs w:val="32"/>
        </w:rPr>
        <w:t>工程保修期从工程竣工验收合格之日起算，具体分部分项工程的保修期由合同当事人在专用合同条款中约定，但不得低于法定最低保修年限。在工程保修期内，承包人应当根据有关法律规定以及合同约定承担保修责任。</w:t>
      </w:r>
    </w:p>
    <w:p w14:paraId="02B385C7">
      <w:pPr>
        <w:spacing w:line="360" w:lineRule="auto"/>
        <w:ind w:firstLine="600" w:firstLineChars="200"/>
        <w:jc w:val="left"/>
        <w:rPr>
          <w:rFonts w:eastAsia="仿宋_GB2312"/>
          <w:sz w:val="30"/>
          <w:szCs w:val="32"/>
        </w:rPr>
      </w:pPr>
      <w:r>
        <w:rPr>
          <w:rFonts w:eastAsia="仿宋_GB2312"/>
          <w:sz w:val="30"/>
          <w:szCs w:val="32"/>
        </w:rPr>
        <w:t>发包人未经竣工验收擅自使用工程的，保修期自</w:t>
      </w:r>
      <w:r>
        <w:rPr>
          <w:rFonts w:eastAsia="仿宋_GB2312"/>
          <w:kern w:val="0"/>
          <w:sz w:val="30"/>
          <w:szCs w:val="32"/>
        </w:rPr>
        <w:t>转移占有之日起算</w:t>
      </w:r>
      <w:r>
        <w:rPr>
          <w:rFonts w:eastAsia="仿宋_GB2312"/>
          <w:sz w:val="30"/>
          <w:szCs w:val="32"/>
        </w:rPr>
        <w:t>。</w:t>
      </w:r>
    </w:p>
    <w:p w14:paraId="0D3E4D8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15.4.2修复费用</w:t>
      </w:r>
    </w:p>
    <w:p w14:paraId="1E8A7BE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保修期内，修复的费用按照以下约定处理：</w:t>
      </w:r>
    </w:p>
    <w:p w14:paraId="1A30EB7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（1）保修期内，因承包人原因造成工程的缺陷、损坏，承包人应负责修复，并承担修复的费用以及因工程的缺陷、损坏造成的人身伤害和财产损失；</w:t>
      </w:r>
    </w:p>
    <w:p w14:paraId="5D67795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（2）保修期内，因发包人使用不当造成工程的缺陷、损坏，可以委托承包人修复，但发包人应承担修复的费用，并支付承包人合理利润；</w:t>
      </w:r>
    </w:p>
    <w:p w14:paraId="5AE6E4A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（3）因其他原因造成工程的缺陷、损坏，可以委托承包人修复，发包人应承担修复的费用，并支付承包人合理的利润，因工程的缺陷、损坏造成的人身伤害和财产损失由责任方承担。</w:t>
      </w:r>
    </w:p>
    <w:p w14:paraId="2E133C88">
      <w:pPr>
        <w:spacing w:line="360" w:lineRule="auto"/>
        <w:ind w:firstLine="600" w:firstLineChars="200"/>
        <w:jc w:val="left"/>
        <w:rPr>
          <w:rFonts w:eastAsia="仿宋_GB2312"/>
          <w:kern w:val="0"/>
          <w:sz w:val="30"/>
          <w:szCs w:val="32"/>
        </w:rPr>
      </w:pPr>
      <w:r>
        <w:rPr>
          <w:rFonts w:eastAsia="仿宋_GB2312"/>
          <w:kern w:val="0"/>
          <w:sz w:val="30"/>
          <w:szCs w:val="32"/>
        </w:rPr>
        <w:t>15.4.3修复通知</w:t>
      </w:r>
    </w:p>
    <w:p w14:paraId="349A779F">
      <w:pPr>
        <w:spacing w:line="360" w:lineRule="auto"/>
        <w:ind w:firstLine="600" w:firstLineChars="200"/>
        <w:jc w:val="left"/>
        <w:rPr>
          <w:rFonts w:eastAsia="仿宋_GB2312"/>
          <w:kern w:val="0"/>
          <w:sz w:val="30"/>
          <w:szCs w:val="32"/>
        </w:rPr>
      </w:pPr>
      <w:r>
        <w:rPr>
          <w:rFonts w:eastAsia="仿宋_GB2312"/>
          <w:kern w:val="0"/>
          <w:sz w:val="30"/>
          <w:szCs w:val="32"/>
        </w:rPr>
        <w:t>在保修期内，发包人在使用过程中，发现已接收的工程存在缺陷或损坏的，应书面通知承包人予以修复，但情况紧急必须立即修复缺陷或损坏的，发包人可以口头通知承包人并在口头通知后48小时内书面确认，承包人应在专用合同条款约定的合理期限内到达工程现场并修复缺陷或损坏。</w:t>
      </w:r>
    </w:p>
    <w:p w14:paraId="2419121F">
      <w:pPr>
        <w:spacing w:line="360" w:lineRule="auto"/>
        <w:ind w:firstLine="600" w:firstLineChars="200"/>
        <w:jc w:val="left"/>
        <w:rPr>
          <w:rFonts w:eastAsia="仿宋_GB2312"/>
          <w:kern w:val="0"/>
          <w:sz w:val="30"/>
          <w:szCs w:val="32"/>
        </w:rPr>
      </w:pPr>
      <w:r>
        <w:rPr>
          <w:rFonts w:eastAsia="仿宋_GB2312"/>
          <w:kern w:val="0"/>
          <w:sz w:val="30"/>
          <w:szCs w:val="32"/>
        </w:rPr>
        <w:t>15.4.4未能修复</w:t>
      </w:r>
    </w:p>
    <w:p w14:paraId="06EE10B6">
      <w:pPr>
        <w:spacing w:line="360" w:lineRule="auto"/>
        <w:ind w:firstLine="600" w:firstLineChars="200"/>
        <w:jc w:val="left"/>
        <w:rPr>
          <w:rFonts w:eastAsia="仿宋_GB2312"/>
          <w:kern w:val="0"/>
          <w:sz w:val="30"/>
          <w:szCs w:val="32"/>
        </w:rPr>
      </w:pPr>
      <w:r>
        <w:rPr>
          <w:rFonts w:eastAsia="仿宋_GB2312"/>
          <w:kern w:val="0"/>
          <w:sz w:val="30"/>
          <w:szCs w:val="32"/>
        </w:rPr>
        <w:t>因承包人原因造成工程的缺陷或损坏，承包人拒绝维修或未能在合理期限内修复缺陷或损坏，且经发包人书面催告后仍未修复的，发包人有权自行修复或委托第三方修复，所需费用由承包人承担。</w:t>
      </w:r>
      <w:r>
        <w:rPr>
          <w:rFonts w:hint="eastAsia" w:eastAsia="仿宋_GB2312"/>
          <w:kern w:val="0"/>
          <w:sz w:val="30"/>
          <w:szCs w:val="32"/>
        </w:rPr>
        <w:t>但修复范围超出缺陷或损坏范围的，超出范围部分的修复费用由发包人承担。</w:t>
      </w:r>
    </w:p>
    <w:p w14:paraId="20F00486">
      <w:pPr>
        <w:spacing w:line="360" w:lineRule="auto"/>
        <w:ind w:firstLine="600" w:firstLineChars="200"/>
        <w:jc w:val="left"/>
        <w:rPr>
          <w:rFonts w:eastAsia="仿宋_GB2312"/>
          <w:kern w:val="0"/>
          <w:sz w:val="30"/>
          <w:szCs w:val="32"/>
        </w:rPr>
      </w:pPr>
      <w:r>
        <w:rPr>
          <w:rFonts w:eastAsia="仿宋_GB2312"/>
          <w:kern w:val="0"/>
          <w:sz w:val="30"/>
          <w:szCs w:val="32"/>
        </w:rPr>
        <w:t>15.4.5承包人出入权</w:t>
      </w:r>
    </w:p>
    <w:p w14:paraId="4CE3FDD4">
      <w:pPr>
        <w:spacing w:line="360" w:lineRule="auto"/>
        <w:ind w:firstLine="600" w:firstLineChars="200"/>
        <w:jc w:val="left"/>
        <w:rPr>
          <w:rFonts w:eastAsia="仿宋_GB2312"/>
          <w:kern w:val="0"/>
          <w:sz w:val="30"/>
          <w:szCs w:val="32"/>
        </w:rPr>
      </w:pPr>
      <w:r>
        <w:rPr>
          <w:rFonts w:eastAsia="仿宋_GB2312"/>
          <w:kern w:val="0"/>
          <w:sz w:val="30"/>
          <w:szCs w:val="32"/>
        </w:rPr>
        <w:t>在保修期内，为了修复缺陷或损坏，承包人有权出入工程现场，除情况紧急必须立即修复缺陷或损坏外，承包人应提前24小时通知发包人进场修复的时间。承包人进入工程现场前应获得发包人同意，且不应影响发包人正常的生产经营，并应遵守发包人有关保安和保密等规定。</w:t>
      </w:r>
    </w:p>
    <w:p w14:paraId="2A81024B">
      <w:pPr>
        <w:pStyle w:val="8"/>
        <w:spacing w:before="120" w:after="120" w:line="360" w:lineRule="auto"/>
        <w:rPr>
          <w:rFonts w:ascii="Times New Roman" w:hAnsi="Times New Roman" w:eastAsia="黑体"/>
          <w:b w:val="0"/>
          <w:sz w:val="32"/>
          <w:szCs w:val="32"/>
        </w:rPr>
      </w:pPr>
      <w:bookmarkStart w:id="554" w:name="_Toc351203603"/>
      <w:bookmarkStart w:id="555" w:name="_Toc337558820"/>
      <w:r>
        <w:rPr>
          <w:rFonts w:ascii="Times New Roman" w:hAnsi="Times New Roman" w:eastAsia="黑体"/>
          <w:b w:val="0"/>
          <w:sz w:val="32"/>
          <w:szCs w:val="32"/>
        </w:rPr>
        <w:t>16.违约</w:t>
      </w:r>
      <w:bookmarkEnd w:id="554"/>
    </w:p>
    <w:bookmarkEnd w:id="555"/>
    <w:p w14:paraId="4291FD7D">
      <w:pPr>
        <w:pStyle w:val="9"/>
        <w:spacing w:before="120" w:after="120" w:line="360" w:lineRule="auto"/>
        <w:ind w:firstLine="600" w:firstLineChars="200"/>
        <w:rPr>
          <w:rFonts w:eastAsia="黑体"/>
          <w:b w:val="0"/>
          <w:i w:val="0"/>
          <w:iCs w:val="0"/>
          <w:sz w:val="30"/>
          <w:szCs w:val="32"/>
        </w:rPr>
      </w:pPr>
      <w:bookmarkStart w:id="556" w:name="_Toc296503129"/>
      <w:bookmarkStart w:id="557" w:name="_Toc296346630"/>
      <w:bookmarkStart w:id="558" w:name="_Toc351203604"/>
      <w:bookmarkStart w:id="559" w:name="_Toc337558821"/>
      <w:r>
        <w:rPr>
          <w:rFonts w:eastAsia="黑体"/>
          <w:b w:val="0"/>
          <w:i w:val="0"/>
          <w:iCs w:val="0"/>
          <w:sz w:val="30"/>
          <w:szCs w:val="32"/>
        </w:rPr>
        <w:t>16.1发</w:t>
      </w:r>
      <w:bookmarkEnd w:id="556"/>
      <w:bookmarkEnd w:id="557"/>
      <w:r>
        <w:rPr>
          <w:rFonts w:eastAsia="黑体"/>
          <w:b w:val="0"/>
          <w:i w:val="0"/>
          <w:iCs w:val="0"/>
          <w:sz w:val="30"/>
          <w:szCs w:val="32"/>
        </w:rPr>
        <w:t>包人违约</w:t>
      </w:r>
      <w:bookmarkEnd w:id="558"/>
    </w:p>
    <w:bookmarkEnd w:id="559"/>
    <w:p w14:paraId="6B4EA27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16.1.1发包人违约的情形</w:t>
      </w:r>
    </w:p>
    <w:p w14:paraId="494A6CE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在合同履行过程中发生的下列情形，属于发包人违约：</w:t>
      </w:r>
    </w:p>
    <w:p w14:paraId="553B4FA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（1）因发包人原因未能在计划开工日期前7天内下达开工通知的；</w:t>
      </w:r>
    </w:p>
    <w:p w14:paraId="43EFE82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（2）因发包人原因未能按合同约定支付合同价款的；</w:t>
      </w:r>
    </w:p>
    <w:p w14:paraId="013DE28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（3）发包人违反第10.1款</w:t>
      </w:r>
      <w:r>
        <w:rPr>
          <w:rFonts w:hint="eastAsia" w:eastAsia="仿宋_GB2312"/>
          <w:kern w:val="0"/>
          <w:sz w:val="30"/>
          <w:szCs w:val="32"/>
        </w:rPr>
        <w:t>〔</w:t>
      </w:r>
      <w:r>
        <w:rPr>
          <w:rFonts w:eastAsia="仿宋_GB2312"/>
          <w:kern w:val="0"/>
          <w:sz w:val="30"/>
          <w:szCs w:val="32"/>
        </w:rPr>
        <w:t>变更的范围</w:t>
      </w:r>
      <w:r>
        <w:rPr>
          <w:rFonts w:hint="eastAsia" w:eastAsia="仿宋_GB2312"/>
          <w:kern w:val="0"/>
          <w:sz w:val="30"/>
          <w:szCs w:val="32"/>
        </w:rPr>
        <w:t>〕</w:t>
      </w:r>
      <w:r>
        <w:rPr>
          <w:rFonts w:eastAsia="仿宋_GB2312"/>
          <w:kern w:val="0"/>
          <w:sz w:val="30"/>
          <w:szCs w:val="32"/>
        </w:rPr>
        <w:t>第（2）项约定，自行实施被取消的工作或转由他人实施的；</w:t>
      </w:r>
    </w:p>
    <w:p w14:paraId="02F58A8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（4）发包人提供的材料、工程设备的规格、数量或质量不符合合同约定，或因发包人原因导致交货日期延误或交货地点变更等情况的；</w:t>
      </w:r>
    </w:p>
    <w:p w14:paraId="3625970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（5）因发包人违反合同约定造成暂停施工的；</w:t>
      </w:r>
    </w:p>
    <w:p w14:paraId="583B68C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（6）发包人无正当理由没有在约定期限内发出复工指示，导致承包人无法复工的；</w:t>
      </w:r>
    </w:p>
    <w:p w14:paraId="6A77E36B">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（7）发包人未执行政府行政管理部门关于农民工工资支付的各项制度或未能按合同约定支付人工费的；</w:t>
      </w:r>
    </w:p>
    <w:p w14:paraId="44928A28">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（8）</w:t>
      </w:r>
      <w:r>
        <w:rPr>
          <w:rFonts w:eastAsia="仿宋_GB2312"/>
          <w:kern w:val="0"/>
          <w:sz w:val="30"/>
          <w:szCs w:val="32"/>
        </w:rPr>
        <w:t>发包人明确表示或者以其行为表明不履行合同主要义务的；</w:t>
      </w:r>
    </w:p>
    <w:p w14:paraId="6C27158E">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（9）</w:t>
      </w:r>
      <w:r>
        <w:rPr>
          <w:rFonts w:eastAsia="仿宋_GB2312"/>
          <w:kern w:val="0"/>
          <w:sz w:val="30"/>
          <w:szCs w:val="32"/>
        </w:rPr>
        <w:t>发包人未能按照合同约定履行其他义务的。</w:t>
      </w:r>
    </w:p>
    <w:p w14:paraId="768FCE9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发包人发生除本项第（</w:t>
      </w:r>
      <w:r>
        <w:rPr>
          <w:rFonts w:hint="eastAsia" w:eastAsia="仿宋_GB2312"/>
          <w:kern w:val="0"/>
          <w:sz w:val="30"/>
          <w:szCs w:val="32"/>
        </w:rPr>
        <w:t>8</w:t>
      </w:r>
      <w:r>
        <w:rPr>
          <w:rFonts w:eastAsia="仿宋_GB2312"/>
          <w:kern w:val="0"/>
          <w:sz w:val="30"/>
          <w:szCs w:val="32"/>
        </w:rPr>
        <w:t>）目以外的违约情况时，承包人可向发包人发出通知，要求发包人采取有效措施纠正违约行为。发包人收到承包人通知后28天内仍不纠正违约行为的，承包人有权暂停相应部位工程施工，并通知监理人。</w:t>
      </w:r>
    </w:p>
    <w:p w14:paraId="0C7CA0C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16.1.2发包人违约的责任</w:t>
      </w:r>
    </w:p>
    <w:p w14:paraId="37B2AD8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发包人应承担因其违约给承包人增加的费用和（或）延误的工期，并支付承包人合理的利润。此外，合同当事人可在专用合同条款中另行约定发包人违约责任的承担方式和计算方法。</w:t>
      </w:r>
    </w:p>
    <w:p w14:paraId="76F0C0F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16.1.3因发包人违约解除合同</w:t>
      </w:r>
    </w:p>
    <w:p w14:paraId="0C30718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除专用合同条款另有约定外，承包人按第16.1.1项</w:t>
      </w:r>
      <w:r>
        <w:rPr>
          <w:rFonts w:hint="eastAsia" w:eastAsia="仿宋_GB2312"/>
          <w:kern w:val="0"/>
          <w:sz w:val="30"/>
          <w:szCs w:val="32"/>
        </w:rPr>
        <w:t>〔</w:t>
      </w:r>
      <w:r>
        <w:rPr>
          <w:rFonts w:eastAsia="仿宋_GB2312"/>
          <w:kern w:val="0"/>
          <w:sz w:val="30"/>
          <w:szCs w:val="32"/>
        </w:rPr>
        <w:t>发包人违约的情形</w:t>
      </w:r>
      <w:r>
        <w:rPr>
          <w:rFonts w:hint="eastAsia" w:eastAsia="仿宋_GB2312"/>
          <w:kern w:val="0"/>
          <w:sz w:val="30"/>
          <w:szCs w:val="32"/>
        </w:rPr>
        <w:t>〕</w:t>
      </w:r>
      <w:r>
        <w:rPr>
          <w:rFonts w:eastAsia="仿宋_GB2312"/>
          <w:kern w:val="0"/>
          <w:sz w:val="30"/>
          <w:szCs w:val="32"/>
        </w:rPr>
        <w:t>约定暂停施工满28天后</w:t>
      </w:r>
      <w:r>
        <w:rPr>
          <w:rFonts w:hint="eastAsia" w:eastAsia="仿宋_GB2312"/>
          <w:kern w:val="0"/>
          <w:sz w:val="30"/>
          <w:szCs w:val="32"/>
        </w:rPr>
        <w:t>，</w:t>
      </w:r>
      <w:r>
        <w:rPr>
          <w:rFonts w:eastAsia="仿宋_GB2312"/>
          <w:kern w:val="0"/>
          <w:sz w:val="30"/>
          <w:szCs w:val="32"/>
        </w:rPr>
        <w:t>发包人仍不纠正其违约行为并致使合同目的不能实现的，</w:t>
      </w:r>
      <w:r>
        <w:rPr>
          <w:rFonts w:hint="eastAsia" w:eastAsia="仿宋_GB2312"/>
          <w:kern w:val="0"/>
          <w:sz w:val="30"/>
          <w:szCs w:val="32"/>
        </w:rPr>
        <w:t>或</w:t>
      </w:r>
      <w:r>
        <w:rPr>
          <w:rFonts w:eastAsia="仿宋_GB2312"/>
          <w:kern w:val="0"/>
          <w:sz w:val="30"/>
          <w:szCs w:val="32"/>
        </w:rPr>
        <w:t>出现第16.1.1项</w:t>
      </w:r>
      <w:r>
        <w:rPr>
          <w:rFonts w:hint="eastAsia" w:eastAsia="仿宋_GB2312"/>
          <w:kern w:val="0"/>
          <w:sz w:val="30"/>
          <w:szCs w:val="32"/>
        </w:rPr>
        <w:t>〔</w:t>
      </w:r>
      <w:r>
        <w:rPr>
          <w:rFonts w:eastAsia="仿宋_GB2312"/>
          <w:kern w:val="0"/>
          <w:sz w:val="30"/>
          <w:szCs w:val="32"/>
        </w:rPr>
        <w:t>发包人违约的情形</w:t>
      </w:r>
      <w:r>
        <w:rPr>
          <w:rFonts w:hint="eastAsia" w:eastAsia="仿宋_GB2312"/>
          <w:kern w:val="0"/>
          <w:sz w:val="30"/>
          <w:szCs w:val="32"/>
        </w:rPr>
        <w:t>〕</w:t>
      </w:r>
      <w:r>
        <w:rPr>
          <w:rFonts w:eastAsia="仿宋_GB2312"/>
          <w:kern w:val="0"/>
          <w:sz w:val="30"/>
          <w:szCs w:val="32"/>
        </w:rPr>
        <w:t>第（</w:t>
      </w:r>
      <w:r>
        <w:rPr>
          <w:rFonts w:hint="eastAsia" w:eastAsia="仿宋_GB2312"/>
          <w:kern w:val="0"/>
          <w:sz w:val="30"/>
          <w:szCs w:val="32"/>
        </w:rPr>
        <w:t>8</w:t>
      </w:r>
      <w:r>
        <w:rPr>
          <w:rFonts w:eastAsia="仿宋_GB2312"/>
          <w:kern w:val="0"/>
          <w:sz w:val="30"/>
          <w:szCs w:val="32"/>
        </w:rPr>
        <w:t>）目约定的违约情况，承包人有权解除合同，发包人应承担由此增加的费用，并支付承包人合理的利润。</w:t>
      </w:r>
    </w:p>
    <w:p w14:paraId="7E22D724">
      <w:pPr>
        <w:autoSpaceDE w:val="0"/>
        <w:autoSpaceDN w:val="0"/>
        <w:adjustRightInd w:val="0"/>
        <w:spacing w:line="360" w:lineRule="auto"/>
        <w:ind w:firstLine="600" w:firstLineChars="200"/>
        <w:jc w:val="left"/>
        <w:rPr>
          <w:rFonts w:eastAsia="仿宋_GB2312"/>
          <w:sz w:val="30"/>
          <w:szCs w:val="32"/>
        </w:rPr>
      </w:pPr>
      <w:r>
        <w:rPr>
          <w:rFonts w:eastAsia="仿宋_GB2312"/>
          <w:kern w:val="0"/>
          <w:sz w:val="30"/>
          <w:szCs w:val="32"/>
        </w:rPr>
        <w:t>16.1.4因发包人违约解除合同后的付款</w:t>
      </w:r>
    </w:p>
    <w:p w14:paraId="5D308210">
      <w:pPr>
        <w:spacing w:line="360" w:lineRule="auto"/>
        <w:ind w:firstLine="600" w:firstLineChars="200"/>
        <w:jc w:val="left"/>
        <w:rPr>
          <w:rFonts w:eastAsia="仿宋_GB2312"/>
          <w:kern w:val="0"/>
          <w:sz w:val="30"/>
          <w:szCs w:val="32"/>
        </w:rPr>
      </w:pPr>
      <w:r>
        <w:rPr>
          <w:rFonts w:eastAsia="仿宋_GB2312"/>
          <w:kern w:val="0"/>
          <w:sz w:val="30"/>
          <w:szCs w:val="32"/>
        </w:rPr>
        <w:t>承包人按照本款约定解除合同的，发包人应在解除合同后28天内支付下列款项，并解除履约担保：</w:t>
      </w:r>
    </w:p>
    <w:p w14:paraId="5D3AFF9A">
      <w:pPr>
        <w:spacing w:line="360" w:lineRule="auto"/>
        <w:ind w:firstLine="600" w:firstLineChars="200"/>
        <w:jc w:val="left"/>
        <w:rPr>
          <w:rFonts w:eastAsia="仿宋_GB2312"/>
          <w:kern w:val="0"/>
          <w:sz w:val="30"/>
          <w:szCs w:val="32"/>
        </w:rPr>
      </w:pPr>
      <w:r>
        <w:rPr>
          <w:rFonts w:eastAsia="仿宋_GB2312"/>
          <w:kern w:val="0"/>
          <w:sz w:val="30"/>
          <w:szCs w:val="32"/>
        </w:rPr>
        <w:t>（1）合同解除前所完成工作的价款；</w:t>
      </w:r>
    </w:p>
    <w:p w14:paraId="3ABDBDAC">
      <w:pPr>
        <w:spacing w:line="360" w:lineRule="auto"/>
        <w:ind w:firstLine="600" w:firstLineChars="200"/>
        <w:jc w:val="left"/>
        <w:rPr>
          <w:rFonts w:eastAsia="仿宋_GB2312"/>
          <w:kern w:val="0"/>
          <w:sz w:val="30"/>
          <w:szCs w:val="32"/>
        </w:rPr>
      </w:pPr>
      <w:r>
        <w:rPr>
          <w:rFonts w:eastAsia="仿宋_GB2312"/>
          <w:kern w:val="0"/>
          <w:sz w:val="30"/>
          <w:szCs w:val="32"/>
        </w:rPr>
        <w:t>（2）承包人为工程施工订购并已付款的材料、工程设备和其他物品的价款；</w:t>
      </w:r>
    </w:p>
    <w:p w14:paraId="3988DABF">
      <w:pPr>
        <w:spacing w:line="360" w:lineRule="auto"/>
        <w:ind w:firstLine="600" w:firstLineChars="200"/>
        <w:jc w:val="left"/>
        <w:rPr>
          <w:rFonts w:eastAsia="仿宋_GB2312"/>
          <w:kern w:val="0"/>
          <w:sz w:val="30"/>
          <w:szCs w:val="32"/>
        </w:rPr>
      </w:pPr>
      <w:r>
        <w:rPr>
          <w:rFonts w:eastAsia="仿宋_GB2312"/>
          <w:kern w:val="0"/>
          <w:sz w:val="30"/>
          <w:szCs w:val="32"/>
        </w:rPr>
        <w:t>（3）承包人撤离施工现场以及遣散承包人人员的款项；</w:t>
      </w:r>
    </w:p>
    <w:p w14:paraId="103B0FB8">
      <w:pPr>
        <w:spacing w:line="360" w:lineRule="auto"/>
        <w:ind w:firstLine="600" w:firstLineChars="200"/>
        <w:jc w:val="left"/>
        <w:rPr>
          <w:rFonts w:eastAsia="仿宋_GB2312"/>
          <w:kern w:val="0"/>
          <w:sz w:val="30"/>
          <w:szCs w:val="32"/>
        </w:rPr>
      </w:pPr>
      <w:r>
        <w:rPr>
          <w:rFonts w:eastAsia="仿宋_GB2312"/>
          <w:kern w:val="0"/>
          <w:sz w:val="30"/>
          <w:szCs w:val="32"/>
        </w:rPr>
        <w:t>（4）按照合同约定在合同解除前应支付的违约金；</w:t>
      </w:r>
    </w:p>
    <w:p w14:paraId="5300C671">
      <w:pPr>
        <w:spacing w:line="360" w:lineRule="auto"/>
        <w:ind w:firstLine="600" w:firstLineChars="200"/>
        <w:jc w:val="left"/>
        <w:rPr>
          <w:rFonts w:eastAsia="仿宋_GB2312"/>
          <w:kern w:val="0"/>
          <w:sz w:val="30"/>
          <w:szCs w:val="32"/>
        </w:rPr>
      </w:pPr>
      <w:r>
        <w:rPr>
          <w:rFonts w:eastAsia="仿宋_GB2312"/>
          <w:kern w:val="0"/>
          <w:sz w:val="30"/>
          <w:szCs w:val="32"/>
        </w:rPr>
        <w:t>（5）按照合同约定应当支付给承包人的其他款项；</w:t>
      </w:r>
    </w:p>
    <w:p w14:paraId="088C3278">
      <w:pPr>
        <w:spacing w:line="360" w:lineRule="auto"/>
        <w:ind w:firstLine="600" w:firstLineChars="200"/>
        <w:jc w:val="left"/>
        <w:rPr>
          <w:rFonts w:eastAsia="仿宋_GB2312"/>
          <w:kern w:val="0"/>
          <w:sz w:val="30"/>
          <w:szCs w:val="32"/>
        </w:rPr>
      </w:pPr>
      <w:r>
        <w:rPr>
          <w:rFonts w:eastAsia="仿宋_GB2312"/>
          <w:kern w:val="0"/>
          <w:sz w:val="30"/>
          <w:szCs w:val="32"/>
        </w:rPr>
        <w:t>（6）按照合同约定应退还的质量保证金；</w:t>
      </w:r>
    </w:p>
    <w:p w14:paraId="1E1E7288">
      <w:pPr>
        <w:spacing w:line="360" w:lineRule="auto"/>
        <w:ind w:firstLine="600" w:firstLineChars="200"/>
        <w:jc w:val="left"/>
        <w:rPr>
          <w:rFonts w:eastAsia="仿宋_GB2312"/>
          <w:kern w:val="0"/>
          <w:sz w:val="30"/>
          <w:szCs w:val="32"/>
        </w:rPr>
      </w:pPr>
      <w:r>
        <w:rPr>
          <w:rFonts w:eastAsia="仿宋_GB2312"/>
          <w:kern w:val="0"/>
          <w:sz w:val="30"/>
          <w:szCs w:val="32"/>
        </w:rPr>
        <w:t>（7）因解除合同给承包人造成的损失。</w:t>
      </w:r>
    </w:p>
    <w:p w14:paraId="6C53C136">
      <w:pPr>
        <w:spacing w:line="360" w:lineRule="auto"/>
        <w:ind w:firstLine="600" w:firstLineChars="200"/>
        <w:jc w:val="left"/>
        <w:rPr>
          <w:rFonts w:eastAsia="仿宋_GB2312"/>
          <w:kern w:val="0"/>
          <w:sz w:val="30"/>
          <w:szCs w:val="32"/>
        </w:rPr>
      </w:pPr>
      <w:r>
        <w:rPr>
          <w:rFonts w:eastAsia="仿宋_GB2312"/>
          <w:kern w:val="0"/>
          <w:sz w:val="30"/>
          <w:szCs w:val="32"/>
        </w:rPr>
        <w:t>合同当事人未能就解除合同后的结清达成一致的，按照第20条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的约定处理。</w:t>
      </w:r>
    </w:p>
    <w:p w14:paraId="07267585">
      <w:pPr>
        <w:spacing w:line="360" w:lineRule="auto"/>
        <w:ind w:firstLine="600" w:firstLineChars="200"/>
        <w:jc w:val="left"/>
        <w:rPr>
          <w:rFonts w:eastAsia="仿宋_GB2312"/>
          <w:kern w:val="0"/>
          <w:sz w:val="30"/>
          <w:szCs w:val="32"/>
        </w:rPr>
      </w:pPr>
      <w:r>
        <w:rPr>
          <w:rFonts w:eastAsia="仿宋_GB2312"/>
          <w:kern w:val="0"/>
          <w:sz w:val="30"/>
          <w:szCs w:val="32"/>
        </w:rPr>
        <w:t>承包人应妥善做好已完工程和与工程有关的已购材料、工程设备的保护和移交工作，并将施工设备和人员撤出施工现场，发包人应为承包人撤出提供必要条件。</w:t>
      </w:r>
    </w:p>
    <w:p w14:paraId="0A198E57">
      <w:pPr>
        <w:pStyle w:val="9"/>
        <w:spacing w:before="120" w:after="120" w:line="360" w:lineRule="auto"/>
        <w:ind w:firstLine="600" w:firstLineChars="200"/>
        <w:rPr>
          <w:rFonts w:eastAsia="黑体"/>
          <w:b w:val="0"/>
          <w:i w:val="0"/>
          <w:iCs w:val="0"/>
          <w:sz w:val="30"/>
          <w:szCs w:val="32"/>
        </w:rPr>
      </w:pPr>
      <w:bookmarkStart w:id="560" w:name="_Toc351203605"/>
      <w:bookmarkStart w:id="561" w:name="_Toc296503131"/>
      <w:bookmarkStart w:id="562" w:name="_Toc296346632"/>
      <w:bookmarkStart w:id="563" w:name="_Toc337558822"/>
      <w:r>
        <w:rPr>
          <w:rFonts w:eastAsia="黑体"/>
          <w:b w:val="0"/>
          <w:i w:val="0"/>
          <w:iCs w:val="0"/>
          <w:sz w:val="30"/>
          <w:szCs w:val="32"/>
        </w:rPr>
        <w:t>16.2承包人违约</w:t>
      </w:r>
      <w:bookmarkEnd w:id="560"/>
    </w:p>
    <w:bookmarkEnd w:id="561"/>
    <w:bookmarkEnd w:id="562"/>
    <w:bookmarkEnd w:id="563"/>
    <w:p w14:paraId="73A8F74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16.2.1承包人违约的情形</w:t>
      </w:r>
    </w:p>
    <w:p w14:paraId="53A2E60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在合同履行过程中发生的下列情形，属于承包人违约：</w:t>
      </w:r>
    </w:p>
    <w:p w14:paraId="59AE3B7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（1）承包人违反合同约定进行转包或违法分包的；</w:t>
      </w:r>
    </w:p>
    <w:p w14:paraId="311B934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（2）承包人违反合同约定采购和使用不合格的材料和工程设备的；</w:t>
      </w:r>
    </w:p>
    <w:p w14:paraId="62EE2B2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（3）因承包人原因导致工程质量不符合合同要求的；</w:t>
      </w:r>
    </w:p>
    <w:p w14:paraId="78DF9F6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（4）承包人违反第8.9款</w:t>
      </w:r>
      <w:r>
        <w:rPr>
          <w:rFonts w:hint="eastAsia" w:eastAsia="仿宋_GB2312"/>
          <w:kern w:val="0"/>
          <w:sz w:val="30"/>
          <w:szCs w:val="32"/>
        </w:rPr>
        <w:t>〔</w:t>
      </w:r>
      <w:r>
        <w:rPr>
          <w:rFonts w:eastAsia="仿宋_GB2312"/>
          <w:kern w:val="0"/>
          <w:sz w:val="30"/>
          <w:szCs w:val="32"/>
        </w:rPr>
        <w:t>材料与设备专用</w:t>
      </w:r>
      <w:r>
        <w:rPr>
          <w:rFonts w:hint="eastAsia" w:eastAsia="仿宋_GB2312"/>
          <w:kern w:val="0"/>
          <w:sz w:val="30"/>
          <w:szCs w:val="32"/>
        </w:rPr>
        <w:t>要求〕</w:t>
      </w:r>
      <w:r>
        <w:rPr>
          <w:rFonts w:eastAsia="仿宋_GB2312"/>
          <w:kern w:val="0"/>
          <w:sz w:val="30"/>
          <w:szCs w:val="32"/>
        </w:rPr>
        <w:t>的约定，未经批准，私自将已按照合同约定进入施工现场的材料或设备撤离施工现场的；</w:t>
      </w:r>
    </w:p>
    <w:p w14:paraId="5919F15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（5）承包人未能按施工进度计划及时完成合同约定的工作，造成工期延误的；</w:t>
      </w:r>
    </w:p>
    <w:p w14:paraId="784380D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（6）承包人在缺陷责任期及保修期内，未能在合理期限对工程缺陷进行修复，或拒绝按发包人要求进行修复的；</w:t>
      </w:r>
    </w:p>
    <w:p w14:paraId="1B0D1259">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（7）承包人未执行政府行政管理部门关于农民工工资支付的各项制度或拖欠农民工工资的；</w:t>
      </w:r>
    </w:p>
    <w:p w14:paraId="0524D4A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w:t>
      </w:r>
      <w:r>
        <w:rPr>
          <w:rFonts w:hint="eastAsia" w:eastAsia="仿宋_GB2312"/>
          <w:kern w:val="0"/>
          <w:sz w:val="30"/>
          <w:szCs w:val="32"/>
        </w:rPr>
        <w:t>8</w:t>
      </w:r>
      <w:r>
        <w:rPr>
          <w:rFonts w:eastAsia="仿宋_GB2312"/>
          <w:kern w:val="0"/>
          <w:sz w:val="30"/>
          <w:szCs w:val="32"/>
        </w:rPr>
        <w:t>）承包人明确表示或者以其行为表明不履行合同主要义务的；</w:t>
      </w:r>
    </w:p>
    <w:p w14:paraId="31066F7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w:t>
      </w:r>
      <w:r>
        <w:rPr>
          <w:rFonts w:hint="eastAsia" w:eastAsia="仿宋_GB2312"/>
          <w:kern w:val="0"/>
          <w:sz w:val="30"/>
          <w:szCs w:val="32"/>
        </w:rPr>
        <w:t>9</w:t>
      </w:r>
      <w:r>
        <w:rPr>
          <w:rFonts w:eastAsia="仿宋_GB2312"/>
          <w:kern w:val="0"/>
          <w:sz w:val="30"/>
          <w:szCs w:val="32"/>
        </w:rPr>
        <w:t>）承包人未能按照合同约定履行其他义务的。</w:t>
      </w:r>
    </w:p>
    <w:p w14:paraId="6FD0DF0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承包人发生除本项第（</w:t>
      </w:r>
      <w:r>
        <w:rPr>
          <w:rFonts w:hint="eastAsia" w:eastAsia="仿宋_GB2312"/>
          <w:kern w:val="0"/>
          <w:sz w:val="30"/>
          <w:szCs w:val="32"/>
        </w:rPr>
        <w:t>8</w:t>
      </w:r>
      <w:r>
        <w:rPr>
          <w:rFonts w:eastAsia="仿宋_GB2312"/>
          <w:kern w:val="0"/>
          <w:sz w:val="30"/>
          <w:szCs w:val="32"/>
        </w:rPr>
        <w:t>）目约定以外的其他违约情况时，监理人可向承包人发出整改通知，要求其在指定的期限内改正。</w:t>
      </w:r>
    </w:p>
    <w:p w14:paraId="6461214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16.2.2承包人违约的责任</w:t>
      </w:r>
    </w:p>
    <w:p w14:paraId="4B4727E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承包人应承担因其违约行为而增加的费用</w:t>
      </w:r>
      <w:r>
        <w:rPr>
          <w:rFonts w:hint="eastAsia" w:eastAsia="仿宋_GB2312"/>
          <w:kern w:val="0"/>
          <w:sz w:val="30"/>
          <w:szCs w:val="32"/>
        </w:rPr>
        <w:t>和（或）延误的</w:t>
      </w:r>
      <w:r>
        <w:rPr>
          <w:rFonts w:eastAsia="仿宋_GB2312"/>
          <w:kern w:val="0"/>
          <w:sz w:val="30"/>
          <w:szCs w:val="32"/>
        </w:rPr>
        <w:t>工期。此外，合同当事人可在专用合同条款中另行约定承包人违约责任的承担方式和计算方法。</w:t>
      </w:r>
    </w:p>
    <w:p w14:paraId="222D022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16.2.3因承包人违约解除合同</w:t>
      </w:r>
    </w:p>
    <w:p w14:paraId="40F446B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除专用合同条款另有约定外，出现第16.2.1项</w:t>
      </w:r>
      <w:r>
        <w:rPr>
          <w:rFonts w:hint="eastAsia" w:eastAsia="仿宋_GB2312"/>
          <w:kern w:val="0"/>
          <w:sz w:val="30"/>
          <w:szCs w:val="32"/>
        </w:rPr>
        <w:t>〔</w:t>
      </w:r>
      <w:r>
        <w:rPr>
          <w:rFonts w:eastAsia="仿宋_GB2312"/>
          <w:kern w:val="0"/>
          <w:sz w:val="30"/>
          <w:szCs w:val="32"/>
        </w:rPr>
        <w:t>承包人违约的情形</w:t>
      </w:r>
      <w:r>
        <w:rPr>
          <w:rFonts w:hint="eastAsia" w:eastAsia="仿宋_GB2312"/>
          <w:kern w:val="0"/>
          <w:sz w:val="30"/>
          <w:szCs w:val="32"/>
        </w:rPr>
        <w:t>〕</w:t>
      </w:r>
      <w:r>
        <w:rPr>
          <w:rFonts w:eastAsia="仿宋_GB2312"/>
          <w:kern w:val="0"/>
          <w:sz w:val="30"/>
          <w:szCs w:val="32"/>
        </w:rPr>
        <w:t>第（</w:t>
      </w:r>
      <w:r>
        <w:rPr>
          <w:rFonts w:hint="eastAsia" w:eastAsia="仿宋_GB2312"/>
          <w:kern w:val="0"/>
          <w:sz w:val="30"/>
          <w:szCs w:val="32"/>
        </w:rPr>
        <w:t>8</w:t>
      </w:r>
      <w:r>
        <w:rPr>
          <w:rFonts w:eastAsia="仿宋_GB2312"/>
          <w:kern w:val="0"/>
          <w:sz w:val="30"/>
          <w:szCs w:val="32"/>
        </w:rPr>
        <w:t>）目约定的违约情况时，或监理人发出整改通知后，承包人在指定的合理期限内仍不纠正违约行为并致使合同目的不能实现的，发包人有权解除合同。合同解除后，因继续完成工程的需要，发包人有权使用承包人在施工现场的材料、设备、临时工程、承包人文件和由承包人或以其名义编制的其他文件，</w:t>
      </w:r>
      <w:r>
        <w:rPr>
          <w:rFonts w:hint="eastAsia" w:eastAsia="仿宋_GB2312"/>
          <w:kern w:val="0"/>
          <w:sz w:val="30"/>
          <w:szCs w:val="32"/>
        </w:rPr>
        <w:t>合同当事人应在专用合同条款约定相应费用的承担方式。</w:t>
      </w:r>
      <w:r>
        <w:rPr>
          <w:rFonts w:eastAsia="仿宋_GB2312"/>
          <w:kern w:val="0"/>
          <w:sz w:val="30"/>
          <w:szCs w:val="32"/>
        </w:rPr>
        <w:t>发包人</w:t>
      </w:r>
      <w:r>
        <w:rPr>
          <w:rFonts w:hint="eastAsia" w:eastAsia="仿宋_GB2312"/>
          <w:kern w:val="0"/>
          <w:sz w:val="30"/>
          <w:szCs w:val="32"/>
        </w:rPr>
        <w:t>继续使用的</w:t>
      </w:r>
      <w:r>
        <w:rPr>
          <w:rFonts w:eastAsia="仿宋_GB2312"/>
          <w:kern w:val="0"/>
          <w:sz w:val="30"/>
          <w:szCs w:val="32"/>
        </w:rPr>
        <w:t>行为不免除或减轻承包人应承担的违约责任。</w:t>
      </w:r>
    </w:p>
    <w:p w14:paraId="6559DC16">
      <w:pPr>
        <w:spacing w:line="360" w:lineRule="auto"/>
        <w:ind w:firstLine="600" w:firstLineChars="200"/>
        <w:jc w:val="left"/>
        <w:rPr>
          <w:rFonts w:eastAsia="仿宋_GB2312"/>
          <w:kern w:val="0"/>
          <w:sz w:val="30"/>
          <w:szCs w:val="32"/>
        </w:rPr>
      </w:pPr>
      <w:r>
        <w:rPr>
          <w:rFonts w:eastAsia="仿宋_GB2312"/>
          <w:kern w:val="0"/>
          <w:sz w:val="30"/>
          <w:szCs w:val="32"/>
        </w:rPr>
        <w:t>16.2.4因承包人违约解除合同后的处理</w:t>
      </w:r>
    </w:p>
    <w:p w14:paraId="28279E3A">
      <w:pPr>
        <w:spacing w:line="360" w:lineRule="auto"/>
        <w:ind w:firstLine="600" w:firstLineChars="200"/>
        <w:jc w:val="left"/>
        <w:rPr>
          <w:rFonts w:eastAsia="仿宋_GB2312"/>
          <w:kern w:val="0"/>
          <w:sz w:val="30"/>
          <w:szCs w:val="32"/>
        </w:rPr>
      </w:pPr>
      <w:r>
        <w:rPr>
          <w:rFonts w:eastAsia="仿宋_GB2312"/>
          <w:kern w:val="0"/>
          <w:sz w:val="30"/>
          <w:szCs w:val="32"/>
        </w:rPr>
        <w:t>因承包人原因导致合同解除的，则合同当事人应在合同解除后28天内完成估价、付款和清算，并按以下约定执行：</w:t>
      </w:r>
    </w:p>
    <w:p w14:paraId="1BBCA95F">
      <w:pPr>
        <w:spacing w:line="360" w:lineRule="auto"/>
        <w:ind w:firstLine="600" w:firstLineChars="200"/>
        <w:jc w:val="left"/>
        <w:rPr>
          <w:rFonts w:eastAsia="仿宋_GB2312"/>
          <w:kern w:val="0"/>
          <w:sz w:val="30"/>
          <w:szCs w:val="32"/>
        </w:rPr>
      </w:pPr>
      <w:r>
        <w:rPr>
          <w:rFonts w:eastAsia="仿宋_GB2312"/>
          <w:kern w:val="0"/>
          <w:sz w:val="30"/>
          <w:szCs w:val="32"/>
        </w:rPr>
        <w:t>（1）合同解除后，按第4.4款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商定或确定承包人实际完成工作对应的合同价款，以及承包人已提供的材料、工程设备、施工设备和临时工程等的价值；</w:t>
      </w:r>
    </w:p>
    <w:p w14:paraId="7417EA24">
      <w:pPr>
        <w:spacing w:line="360" w:lineRule="auto"/>
        <w:ind w:firstLine="600" w:firstLineChars="200"/>
        <w:jc w:val="left"/>
        <w:rPr>
          <w:rFonts w:eastAsia="仿宋_GB2312"/>
          <w:kern w:val="0"/>
          <w:sz w:val="30"/>
          <w:szCs w:val="32"/>
        </w:rPr>
      </w:pPr>
      <w:r>
        <w:rPr>
          <w:rFonts w:eastAsia="仿宋_GB2312"/>
          <w:kern w:val="0"/>
          <w:sz w:val="30"/>
          <w:szCs w:val="32"/>
        </w:rPr>
        <w:t>（2）合同解除后，承包人应支付的违约金；</w:t>
      </w:r>
    </w:p>
    <w:p w14:paraId="2A10E60B">
      <w:pPr>
        <w:spacing w:line="360" w:lineRule="auto"/>
        <w:ind w:firstLine="600" w:firstLineChars="200"/>
        <w:jc w:val="left"/>
        <w:rPr>
          <w:rFonts w:eastAsia="仿宋_GB2312"/>
          <w:kern w:val="0"/>
          <w:sz w:val="30"/>
          <w:szCs w:val="32"/>
        </w:rPr>
      </w:pPr>
      <w:r>
        <w:rPr>
          <w:rFonts w:eastAsia="仿宋_GB2312"/>
          <w:kern w:val="0"/>
          <w:sz w:val="30"/>
          <w:szCs w:val="32"/>
        </w:rPr>
        <w:t>（3）合同解除后，因解除合同给发包人造成的损失；</w:t>
      </w:r>
    </w:p>
    <w:p w14:paraId="72F5149C">
      <w:pPr>
        <w:spacing w:line="360" w:lineRule="auto"/>
        <w:ind w:firstLine="600" w:firstLineChars="200"/>
        <w:jc w:val="left"/>
        <w:rPr>
          <w:rFonts w:eastAsia="仿宋_GB2312"/>
          <w:kern w:val="0"/>
          <w:sz w:val="30"/>
          <w:szCs w:val="32"/>
        </w:rPr>
      </w:pPr>
      <w:r>
        <w:rPr>
          <w:rFonts w:eastAsia="仿宋_GB2312"/>
          <w:kern w:val="0"/>
          <w:sz w:val="30"/>
          <w:szCs w:val="32"/>
        </w:rPr>
        <w:t>（4）合同解除后，承包人应按照发包人要求和监理人的指示完成现场的清理和撤离；</w:t>
      </w:r>
    </w:p>
    <w:p w14:paraId="3AB88710">
      <w:pPr>
        <w:spacing w:line="360" w:lineRule="auto"/>
        <w:ind w:firstLine="600" w:firstLineChars="200"/>
        <w:jc w:val="left"/>
        <w:rPr>
          <w:rFonts w:eastAsia="仿宋_GB2312"/>
          <w:kern w:val="0"/>
          <w:sz w:val="30"/>
          <w:szCs w:val="32"/>
        </w:rPr>
      </w:pPr>
      <w:r>
        <w:rPr>
          <w:rFonts w:eastAsia="仿宋_GB2312"/>
          <w:kern w:val="0"/>
          <w:sz w:val="30"/>
          <w:szCs w:val="32"/>
        </w:rPr>
        <w:t>（5）发包人和承包人应在合同解除后进行清算，出具最终结清付款证书，结清全部款项。</w:t>
      </w:r>
    </w:p>
    <w:p w14:paraId="471E9D56">
      <w:pPr>
        <w:spacing w:line="360" w:lineRule="auto"/>
        <w:ind w:firstLine="600" w:firstLineChars="200"/>
        <w:jc w:val="left"/>
        <w:rPr>
          <w:rFonts w:eastAsia="仿宋_GB2312"/>
          <w:kern w:val="0"/>
          <w:sz w:val="30"/>
          <w:szCs w:val="32"/>
        </w:rPr>
      </w:pPr>
      <w:r>
        <w:rPr>
          <w:rFonts w:hint="eastAsia" w:eastAsia="仿宋_GB2312"/>
          <w:kern w:val="0"/>
          <w:sz w:val="30"/>
          <w:szCs w:val="32"/>
        </w:rPr>
        <w:t>因承包人违约解除合同的，</w:t>
      </w:r>
      <w:r>
        <w:rPr>
          <w:rFonts w:eastAsia="仿宋_GB2312"/>
          <w:kern w:val="0"/>
          <w:sz w:val="30"/>
          <w:szCs w:val="32"/>
        </w:rPr>
        <w:t>发包人有权暂停对承包人的付款，查清各项付款和已扣款项。发包人和承包人未能就合同解除后的清算和款项支付达成一致的，按照第20条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的约定处理。</w:t>
      </w:r>
    </w:p>
    <w:p w14:paraId="59F0BD5F">
      <w:pPr>
        <w:spacing w:line="360" w:lineRule="auto"/>
        <w:ind w:firstLine="600" w:firstLineChars="200"/>
        <w:jc w:val="left"/>
        <w:rPr>
          <w:rFonts w:eastAsia="仿宋_GB2312"/>
          <w:kern w:val="0"/>
          <w:sz w:val="30"/>
          <w:szCs w:val="32"/>
        </w:rPr>
      </w:pPr>
      <w:r>
        <w:rPr>
          <w:rFonts w:eastAsia="仿宋_GB2312"/>
          <w:kern w:val="0"/>
          <w:sz w:val="30"/>
          <w:szCs w:val="32"/>
        </w:rPr>
        <w:t>16.2.5采购合同权益转让</w:t>
      </w:r>
    </w:p>
    <w:p w14:paraId="41A14678">
      <w:pPr>
        <w:spacing w:line="360" w:lineRule="auto"/>
        <w:ind w:firstLine="600" w:firstLineChars="200"/>
        <w:jc w:val="left"/>
        <w:rPr>
          <w:rFonts w:eastAsia="仿宋_GB2312"/>
          <w:kern w:val="0"/>
          <w:sz w:val="30"/>
          <w:szCs w:val="32"/>
        </w:rPr>
      </w:pPr>
      <w:r>
        <w:rPr>
          <w:rFonts w:eastAsia="仿宋_GB2312"/>
          <w:kern w:val="0"/>
          <w:sz w:val="30"/>
          <w:szCs w:val="32"/>
        </w:rPr>
        <w:t>因承包人违约解除合同的，发包人有权要求承包人将其为实施合同而签订的材料和设备的采购合同的权益转让给发包人，承包人应在收到解除合同通知后14天内，协助发包人与采购合同的供应商达成相关的转让协议。</w:t>
      </w:r>
    </w:p>
    <w:p w14:paraId="5AC44189">
      <w:pPr>
        <w:pStyle w:val="9"/>
        <w:spacing w:before="120" w:after="120" w:line="360" w:lineRule="auto"/>
        <w:ind w:firstLine="600" w:firstLineChars="200"/>
        <w:rPr>
          <w:rFonts w:eastAsia="黑体"/>
          <w:b w:val="0"/>
          <w:i w:val="0"/>
          <w:iCs w:val="0"/>
          <w:sz w:val="30"/>
          <w:szCs w:val="32"/>
        </w:rPr>
      </w:pPr>
      <w:bookmarkStart w:id="564" w:name="_Toc351203606"/>
      <w:r>
        <w:rPr>
          <w:rFonts w:eastAsia="黑体"/>
          <w:b w:val="0"/>
          <w:i w:val="0"/>
          <w:iCs w:val="0"/>
          <w:sz w:val="30"/>
          <w:szCs w:val="32"/>
        </w:rPr>
        <w:t>16.3第三人造成的违约</w:t>
      </w:r>
      <w:bookmarkEnd w:id="564"/>
    </w:p>
    <w:p w14:paraId="28500C44">
      <w:pPr>
        <w:spacing w:line="360" w:lineRule="auto"/>
        <w:ind w:firstLine="600" w:firstLineChars="200"/>
        <w:jc w:val="left"/>
        <w:rPr>
          <w:rFonts w:eastAsia="仿宋_GB2312"/>
          <w:kern w:val="0"/>
          <w:sz w:val="30"/>
          <w:szCs w:val="32"/>
        </w:rPr>
      </w:pPr>
      <w:r>
        <w:rPr>
          <w:rFonts w:eastAsia="仿宋_GB2312"/>
          <w:kern w:val="0"/>
          <w:sz w:val="30"/>
          <w:szCs w:val="32"/>
        </w:rPr>
        <w:t>在履行合同过程中，一方当事人因第三人的原因造成违约的，应当向对方当事人承担违约责任。一方当事人和第三人之间的纠纷，依照法律规定或者按照约定解决。</w:t>
      </w:r>
    </w:p>
    <w:p w14:paraId="2D964470">
      <w:pPr>
        <w:pStyle w:val="8"/>
        <w:spacing w:before="120" w:after="120" w:line="360" w:lineRule="auto"/>
        <w:rPr>
          <w:rFonts w:ascii="Times New Roman" w:hAnsi="Times New Roman" w:eastAsia="黑体"/>
          <w:b w:val="0"/>
          <w:sz w:val="32"/>
          <w:szCs w:val="32"/>
        </w:rPr>
      </w:pPr>
      <w:bookmarkStart w:id="565" w:name="_Toc351203607"/>
      <w:bookmarkStart w:id="566" w:name="_Toc296503116"/>
      <w:bookmarkStart w:id="567" w:name="_Toc296346617"/>
      <w:bookmarkStart w:id="568" w:name="_Toc337558823"/>
      <w:r>
        <w:rPr>
          <w:rFonts w:ascii="Times New Roman" w:hAnsi="Times New Roman" w:eastAsia="黑体"/>
          <w:b w:val="0"/>
          <w:sz w:val="32"/>
          <w:szCs w:val="32"/>
        </w:rPr>
        <w:t>17.不可抗力</w:t>
      </w:r>
      <w:bookmarkEnd w:id="565"/>
      <w:r>
        <w:rPr>
          <w:rFonts w:ascii="Times New Roman" w:hAnsi="Times New Roman" w:eastAsia="黑体"/>
          <w:b w:val="0"/>
          <w:sz w:val="32"/>
          <w:szCs w:val="32"/>
        </w:rPr>
        <w:t xml:space="preserve"> </w:t>
      </w:r>
      <w:bookmarkEnd w:id="566"/>
      <w:bookmarkEnd w:id="567"/>
      <w:bookmarkEnd w:id="568"/>
    </w:p>
    <w:p w14:paraId="08D98649">
      <w:pPr>
        <w:pStyle w:val="9"/>
        <w:spacing w:before="120" w:after="120" w:line="360" w:lineRule="auto"/>
        <w:ind w:firstLine="600" w:firstLineChars="200"/>
        <w:rPr>
          <w:rFonts w:eastAsia="黑体"/>
          <w:b w:val="0"/>
          <w:i w:val="0"/>
          <w:iCs w:val="0"/>
          <w:sz w:val="30"/>
          <w:szCs w:val="32"/>
        </w:rPr>
      </w:pPr>
      <w:bookmarkStart w:id="569" w:name="_Toc351203608"/>
      <w:bookmarkStart w:id="570" w:name="_Toc296503117"/>
      <w:bookmarkStart w:id="571" w:name="_Toc296346618"/>
      <w:bookmarkStart w:id="572" w:name="_Toc337558824"/>
      <w:r>
        <w:rPr>
          <w:rFonts w:eastAsia="黑体"/>
          <w:b w:val="0"/>
          <w:i w:val="0"/>
          <w:iCs w:val="0"/>
          <w:sz w:val="30"/>
          <w:szCs w:val="32"/>
        </w:rPr>
        <w:t>17.1不可抗力的确认</w:t>
      </w:r>
      <w:bookmarkEnd w:id="569"/>
    </w:p>
    <w:bookmarkEnd w:id="570"/>
    <w:bookmarkEnd w:id="571"/>
    <w:bookmarkEnd w:id="572"/>
    <w:p w14:paraId="739F630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不可抗力是指合同当事人在签订合同时不可预见，在合同履行过程中不可避免且不能克服的自然灾害和社会性突发事件，如地震、海啸、瘟疫、骚乱、戒严、暴动、战争</w:t>
      </w:r>
      <w:r>
        <w:rPr>
          <w:rFonts w:hint="eastAsia" w:eastAsia="仿宋_GB2312"/>
          <w:kern w:val="0"/>
          <w:sz w:val="30"/>
          <w:szCs w:val="32"/>
        </w:rPr>
        <w:t>和</w:t>
      </w:r>
      <w:r>
        <w:rPr>
          <w:rFonts w:eastAsia="仿宋_GB2312"/>
          <w:kern w:val="0"/>
          <w:sz w:val="30"/>
          <w:szCs w:val="32"/>
        </w:rPr>
        <w:t>因</w:t>
      </w:r>
      <w:r>
        <w:rPr>
          <w:rFonts w:hint="eastAsia" w:eastAsia="仿宋_GB2312"/>
          <w:kern w:val="0"/>
          <w:sz w:val="30"/>
          <w:szCs w:val="32"/>
        </w:rPr>
        <w:t>政府重大活动或重污染天气通知暂停施工，以及</w:t>
      </w:r>
      <w:r>
        <w:rPr>
          <w:rFonts w:eastAsia="仿宋_GB2312"/>
          <w:kern w:val="0"/>
          <w:sz w:val="30"/>
          <w:szCs w:val="32"/>
        </w:rPr>
        <w:t>专用合同条款中约定的其他情形。</w:t>
      </w:r>
    </w:p>
    <w:p w14:paraId="50EA173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不可抗力发生后，发包人和承包人应收集证明不可抗力发生及不可抗力造成损失的证据，并及时认真统计所造成的损失。合同当事人对是否属于不可抗力或其损失的意见不一致的，由监理人按第4.4款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的约定处理。发生争议时，按第20条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的约定处理。</w:t>
      </w:r>
    </w:p>
    <w:p w14:paraId="1E20BFD5">
      <w:pPr>
        <w:pStyle w:val="9"/>
        <w:spacing w:before="120" w:after="120" w:line="360" w:lineRule="auto"/>
        <w:ind w:firstLine="600" w:firstLineChars="200"/>
        <w:rPr>
          <w:rFonts w:eastAsia="黑体"/>
          <w:b w:val="0"/>
          <w:i w:val="0"/>
          <w:iCs w:val="0"/>
          <w:sz w:val="30"/>
          <w:szCs w:val="32"/>
        </w:rPr>
      </w:pPr>
      <w:bookmarkStart w:id="573" w:name="_Toc351203609"/>
      <w:bookmarkStart w:id="574" w:name="_Toc296503118"/>
      <w:bookmarkStart w:id="575" w:name="_Toc337558825"/>
      <w:bookmarkStart w:id="576" w:name="_Toc296346619"/>
      <w:r>
        <w:rPr>
          <w:rFonts w:eastAsia="黑体"/>
          <w:b w:val="0"/>
          <w:i w:val="0"/>
          <w:iCs w:val="0"/>
          <w:sz w:val="30"/>
          <w:szCs w:val="32"/>
        </w:rPr>
        <w:t>17.2不可抗力的通知</w:t>
      </w:r>
      <w:bookmarkEnd w:id="573"/>
    </w:p>
    <w:bookmarkEnd w:id="574"/>
    <w:bookmarkEnd w:id="575"/>
    <w:bookmarkEnd w:id="576"/>
    <w:p w14:paraId="37CB2DDF">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合同</w:t>
      </w:r>
      <w:r>
        <w:rPr>
          <w:rFonts w:eastAsia="仿宋_GB2312"/>
          <w:kern w:val="0"/>
          <w:sz w:val="30"/>
          <w:szCs w:val="32"/>
        </w:rPr>
        <w:t>一方当事人遇到不可抗力事件，使其履行合同义务受到阻碍时，应立即通知合同另一方当事人和监理人，书面说明不可抗力和受阻碍的详细情况，并提供必要的证明。</w:t>
      </w:r>
    </w:p>
    <w:p w14:paraId="0BF442E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不可抗力持续发生的，合同一方当事人应及时向合同另一方当事人和监理人提交中间报告，说明不可抗力和履行合同受阻的情况，并于不可抗力事件结束后28天内提交最终报告及有关资料。</w:t>
      </w:r>
    </w:p>
    <w:p w14:paraId="47C406F8">
      <w:pPr>
        <w:pStyle w:val="9"/>
        <w:spacing w:before="120" w:after="120" w:line="360" w:lineRule="auto"/>
        <w:ind w:firstLine="600" w:firstLineChars="200"/>
        <w:rPr>
          <w:rFonts w:eastAsia="黑体"/>
          <w:b w:val="0"/>
          <w:i w:val="0"/>
          <w:iCs w:val="0"/>
          <w:sz w:val="30"/>
          <w:szCs w:val="32"/>
        </w:rPr>
      </w:pPr>
      <w:bookmarkStart w:id="577" w:name="_Toc351203610"/>
      <w:bookmarkStart w:id="578" w:name="_Toc337558826"/>
      <w:bookmarkStart w:id="579" w:name="_Toc296503119"/>
      <w:bookmarkStart w:id="580" w:name="_Toc296346620"/>
      <w:r>
        <w:rPr>
          <w:rFonts w:eastAsia="黑体"/>
          <w:b w:val="0"/>
          <w:i w:val="0"/>
          <w:iCs w:val="0"/>
          <w:sz w:val="30"/>
          <w:szCs w:val="32"/>
        </w:rPr>
        <w:t>17.3不可抗力后果的承担</w:t>
      </w:r>
      <w:bookmarkEnd w:id="577"/>
    </w:p>
    <w:bookmarkEnd w:id="578"/>
    <w:bookmarkEnd w:id="579"/>
    <w:bookmarkEnd w:id="580"/>
    <w:p w14:paraId="4B12158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17.3.1</w:t>
      </w:r>
      <w:r>
        <w:rPr>
          <w:rFonts w:hint="eastAsia" w:eastAsia="仿宋_GB2312"/>
          <w:kern w:val="0"/>
          <w:sz w:val="30"/>
          <w:szCs w:val="32"/>
        </w:rPr>
        <w:t>不可抗力引起的后果及造成的损失由合同当事人按照法律规定及合同约定各自承担。</w:t>
      </w:r>
      <w:r>
        <w:rPr>
          <w:rFonts w:eastAsia="仿宋_GB2312"/>
          <w:kern w:val="0"/>
          <w:sz w:val="30"/>
          <w:szCs w:val="32"/>
        </w:rPr>
        <w:t>不可抗力发生前已完</w:t>
      </w:r>
      <w:r>
        <w:rPr>
          <w:rFonts w:hint="eastAsia" w:eastAsia="仿宋_GB2312"/>
          <w:kern w:val="0"/>
          <w:sz w:val="30"/>
          <w:szCs w:val="32"/>
        </w:rPr>
        <w:t>成的</w:t>
      </w:r>
      <w:r>
        <w:rPr>
          <w:rFonts w:eastAsia="仿宋_GB2312"/>
          <w:kern w:val="0"/>
          <w:sz w:val="30"/>
          <w:szCs w:val="32"/>
        </w:rPr>
        <w:t>工程应当按照合同约定进行计量</w:t>
      </w:r>
      <w:r>
        <w:rPr>
          <w:rFonts w:hint="eastAsia" w:eastAsia="仿宋_GB2312"/>
          <w:kern w:val="0"/>
          <w:sz w:val="30"/>
          <w:szCs w:val="32"/>
        </w:rPr>
        <w:t>支付</w:t>
      </w:r>
      <w:r>
        <w:rPr>
          <w:rFonts w:eastAsia="仿宋_GB2312"/>
          <w:kern w:val="0"/>
          <w:sz w:val="30"/>
          <w:szCs w:val="32"/>
        </w:rPr>
        <w:t>。</w:t>
      </w:r>
    </w:p>
    <w:p w14:paraId="1C4881B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17.3.2不可抗力导致的人员伤亡、财产损失、费用增加和（或）工期延误等后果，由合同当事人按以下原则承担：</w:t>
      </w:r>
    </w:p>
    <w:p w14:paraId="107706F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（1）永久工程、已运至施工现场的材料和工程设备的损坏，以及因工程损坏造成的第三人人员伤亡和财产损失由发包人承担；</w:t>
      </w:r>
    </w:p>
    <w:p w14:paraId="59A5286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（2）承包人施工设备的损坏由承包人承担；</w:t>
      </w:r>
    </w:p>
    <w:p w14:paraId="4B93B80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（3）发包人和承包人承担各自人员伤亡和财产的损失；</w:t>
      </w:r>
    </w:p>
    <w:p w14:paraId="7738EAF9">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（4）因不可抗力影响承包人履行合同约定的义务，已经引起或将引起工期延误的，应当顺延工期，由此导致承包人停工的费用损失由发包人和承包人合理分担，停工期间必须支付的工人工资由发包人承担；</w:t>
      </w:r>
    </w:p>
    <w:p w14:paraId="03767A0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（5）因不可抗力引起或将引起工期延误，发包人要求赶工的，由此增加的赶工费用由发包人承担；</w:t>
      </w:r>
    </w:p>
    <w:p w14:paraId="78F2D055">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（6）承包人在停工期间按照发包人要求照管、清理和修复工程的费用由发包人承担。</w:t>
      </w:r>
    </w:p>
    <w:p w14:paraId="62A3044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不可抗力发生后，合同当事人均应采取措施尽量避免和减少损失的扩大，任何一方当事人没有采取有效措施导致损失扩大的，应对扩大的损失承担责任。</w:t>
      </w:r>
    </w:p>
    <w:p w14:paraId="7201E0A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因合同一方迟延履行合同义务，在迟延履行期间遭遇不可抗力的，不免除其违约责任。</w:t>
      </w:r>
    </w:p>
    <w:p w14:paraId="7FFCDD99">
      <w:pPr>
        <w:pStyle w:val="9"/>
        <w:spacing w:before="120" w:after="120" w:line="360" w:lineRule="auto"/>
        <w:ind w:firstLine="600" w:firstLineChars="200"/>
        <w:rPr>
          <w:rFonts w:eastAsia="黑体"/>
          <w:b w:val="0"/>
          <w:i w:val="0"/>
          <w:iCs w:val="0"/>
          <w:sz w:val="30"/>
          <w:szCs w:val="32"/>
        </w:rPr>
      </w:pPr>
      <w:bookmarkStart w:id="581" w:name="_Toc351203611"/>
      <w:bookmarkStart w:id="582" w:name="_Toc337558827"/>
      <w:r>
        <w:rPr>
          <w:rFonts w:eastAsia="黑体"/>
          <w:b w:val="0"/>
          <w:i w:val="0"/>
          <w:iCs w:val="0"/>
          <w:sz w:val="30"/>
          <w:szCs w:val="32"/>
        </w:rPr>
        <w:t>17.4因不可抗力解除合同</w:t>
      </w:r>
      <w:bookmarkEnd w:id="581"/>
    </w:p>
    <w:bookmarkEnd w:id="582"/>
    <w:p w14:paraId="3C34ED47">
      <w:pPr>
        <w:spacing w:line="360" w:lineRule="auto"/>
        <w:ind w:firstLine="600" w:firstLineChars="200"/>
        <w:jc w:val="left"/>
        <w:rPr>
          <w:rFonts w:eastAsia="仿宋_GB2312"/>
          <w:kern w:val="0"/>
          <w:sz w:val="30"/>
          <w:szCs w:val="32"/>
        </w:rPr>
      </w:pPr>
      <w:r>
        <w:rPr>
          <w:rFonts w:eastAsia="仿宋_GB2312"/>
          <w:kern w:val="0"/>
          <w:sz w:val="30"/>
          <w:szCs w:val="32"/>
        </w:rPr>
        <w:t>因不可抗力导致合同无法履行连续超过84天或累计超过140天的，发包人和承包人均有权解除合同。合同解除后，由双方当事人按照第4.4款</w:t>
      </w:r>
      <w:r>
        <w:rPr>
          <w:rFonts w:hint="eastAsia" w:eastAsia="仿宋_GB2312"/>
          <w:kern w:val="0"/>
          <w:sz w:val="30"/>
          <w:szCs w:val="32"/>
        </w:rPr>
        <w:t>〔</w:t>
      </w:r>
      <w:r>
        <w:rPr>
          <w:rFonts w:eastAsia="仿宋_GB2312"/>
          <w:kern w:val="0"/>
          <w:sz w:val="30"/>
          <w:szCs w:val="32"/>
        </w:rPr>
        <w:t>商定或确定</w:t>
      </w:r>
      <w:r>
        <w:rPr>
          <w:rFonts w:hint="eastAsia" w:eastAsia="仿宋_GB2312"/>
          <w:kern w:val="0"/>
          <w:sz w:val="30"/>
          <w:szCs w:val="32"/>
        </w:rPr>
        <w:t>〕</w:t>
      </w:r>
      <w:r>
        <w:rPr>
          <w:rFonts w:eastAsia="仿宋_GB2312"/>
          <w:kern w:val="0"/>
          <w:sz w:val="30"/>
          <w:szCs w:val="32"/>
        </w:rPr>
        <w:t>商定或确定发包人应支付的款项，该款项包括：</w:t>
      </w:r>
    </w:p>
    <w:p w14:paraId="4A0BF25A">
      <w:pPr>
        <w:spacing w:line="360" w:lineRule="auto"/>
        <w:ind w:firstLine="600" w:firstLineChars="200"/>
        <w:jc w:val="left"/>
        <w:rPr>
          <w:rFonts w:eastAsia="仿宋_GB2312"/>
          <w:kern w:val="0"/>
          <w:sz w:val="30"/>
          <w:szCs w:val="32"/>
        </w:rPr>
      </w:pPr>
      <w:r>
        <w:rPr>
          <w:rFonts w:eastAsia="仿宋_GB2312"/>
          <w:kern w:val="0"/>
          <w:sz w:val="30"/>
          <w:szCs w:val="32"/>
        </w:rPr>
        <w:t>（1）合同解除前承包人已完成工作的价款；</w:t>
      </w:r>
    </w:p>
    <w:p w14:paraId="4A35DB88">
      <w:pPr>
        <w:spacing w:line="360" w:lineRule="auto"/>
        <w:ind w:firstLine="600" w:firstLineChars="200"/>
        <w:jc w:val="left"/>
        <w:rPr>
          <w:rFonts w:eastAsia="仿宋_GB2312"/>
          <w:kern w:val="0"/>
          <w:sz w:val="30"/>
          <w:szCs w:val="32"/>
        </w:rPr>
      </w:pPr>
      <w:r>
        <w:rPr>
          <w:rFonts w:eastAsia="仿宋_GB2312"/>
          <w:kern w:val="0"/>
          <w:sz w:val="30"/>
          <w:szCs w:val="32"/>
        </w:rPr>
        <w:t>（2）承包人为工程订购的并已交付给承包人，或承包人有责任接受交付的材料、工程设备和其他物品的价款；</w:t>
      </w:r>
    </w:p>
    <w:p w14:paraId="24865E0A">
      <w:pPr>
        <w:spacing w:line="360" w:lineRule="auto"/>
        <w:ind w:firstLine="600" w:firstLineChars="200"/>
        <w:jc w:val="left"/>
        <w:rPr>
          <w:rFonts w:eastAsia="仿宋_GB2312"/>
          <w:kern w:val="0"/>
          <w:sz w:val="30"/>
          <w:szCs w:val="32"/>
        </w:rPr>
      </w:pPr>
      <w:r>
        <w:rPr>
          <w:rFonts w:eastAsia="仿宋_GB2312"/>
          <w:kern w:val="0"/>
          <w:sz w:val="30"/>
          <w:szCs w:val="32"/>
        </w:rPr>
        <w:t>（3）发包人要求承包人退货或解除订货合同而产生的费用，或因不能退货或解除合同而产生的损失；</w:t>
      </w:r>
    </w:p>
    <w:p w14:paraId="3EB04F82">
      <w:pPr>
        <w:spacing w:line="360" w:lineRule="auto"/>
        <w:ind w:firstLine="600" w:firstLineChars="200"/>
        <w:jc w:val="left"/>
        <w:rPr>
          <w:rFonts w:eastAsia="仿宋_GB2312"/>
          <w:kern w:val="0"/>
          <w:sz w:val="30"/>
          <w:szCs w:val="32"/>
        </w:rPr>
      </w:pPr>
      <w:r>
        <w:rPr>
          <w:rFonts w:eastAsia="仿宋_GB2312"/>
          <w:kern w:val="0"/>
          <w:sz w:val="30"/>
          <w:szCs w:val="32"/>
        </w:rPr>
        <w:t>（4）承包人撤离施工现场以及遣散承包人人员的费用；</w:t>
      </w:r>
    </w:p>
    <w:p w14:paraId="7938F093">
      <w:pPr>
        <w:spacing w:line="360" w:lineRule="auto"/>
        <w:ind w:firstLine="600" w:firstLineChars="200"/>
        <w:jc w:val="left"/>
        <w:rPr>
          <w:rFonts w:eastAsia="仿宋_GB2312"/>
          <w:kern w:val="0"/>
          <w:sz w:val="30"/>
          <w:szCs w:val="32"/>
        </w:rPr>
      </w:pPr>
      <w:r>
        <w:rPr>
          <w:rFonts w:eastAsia="仿宋_GB2312"/>
          <w:kern w:val="0"/>
          <w:sz w:val="30"/>
          <w:szCs w:val="32"/>
        </w:rPr>
        <w:t>（5）按照合同约定在合同解除前应支付给承包人的其他款项；</w:t>
      </w:r>
    </w:p>
    <w:p w14:paraId="0D7ED9BC">
      <w:pPr>
        <w:spacing w:line="360" w:lineRule="auto"/>
        <w:ind w:firstLine="600" w:firstLineChars="200"/>
        <w:jc w:val="left"/>
        <w:rPr>
          <w:rFonts w:eastAsia="仿宋_GB2312"/>
          <w:kern w:val="0"/>
          <w:sz w:val="30"/>
          <w:szCs w:val="32"/>
        </w:rPr>
      </w:pPr>
      <w:r>
        <w:rPr>
          <w:rFonts w:eastAsia="仿宋_GB2312"/>
          <w:kern w:val="0"/>
          <w:sz w:val="30"/>
          <w:szCs w:val="32"/>
        </w:rPr>
        <w:t>（6）扣减承包人按照合同约定应向发包人支付的款项；</w:t>
      </w:r>
    </w:p>
    <w:p w14:paraId="355D2F06">
      <w:pPr>
        <w:spacing w:line="360" w:lineRule="auto"/>
        <w:ind w:firstLine="600" w:firstLineChars="200"/>
        <w:jc w:val="left"/>
        <w:rPr>
          <w:rFonts w:eastAsia="仿宋_GB2312"/>
          <w:kern w:val="0"/>
          <w:sz w:val="30"/>
          <w:szCs w:val="32"/>
        </w:rPr>
      </w:pPr>
      <w:r>
        <w:rPr>
          <w:rFonts w:eastAsia="仿宋_GB2312"/>
          <w:kern w:val="0"/>
          <w:sz w:val="30"/>
          <w:szCs w:val="32"/>
        </w:rPr>
        <w:t>（7）双方商定或确定的其他款项。</w:t>
      </w:r>
    </w:p>
    <w:p w14:paraId="6C668764">
      <w:pPr>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除专用合同条款另有约定外，合同解除后，发包人应在商定或确定上述款项后28天内完成上述款项的支付。</w:t>
      </w:r>
    </w:p>
    <w:p w14:paraId="052A4124">
      <w:pPr>
        <w:pStyle w:val="8"/>
        <w:spacing w:before="120" w:after="120" w:line="360" w:lineRule="auto"/>
        <w:rPr>
          <w:rFonts w:ascii="Times New Roman" w:hAnsi="Times New Roman" w:eastAsia="黑体"/>
          <w:b w:val="0"/>
          <w:sz w:val="32"/>
          <w:szCs w:val="32"/>
        </w:rPr>
      </w:pPr>
      <w:bookmarkStart w:id="583" w:name="_Toc351203612"/>
      <w:bookmarkStart w:id="584" w:name="_Toc337558828"/>
      <w:bookmarkStart w:id="585" w:name="_Toc296346621"/>
      <w:bookmarkStart w:id="586" w:name="_Toc296503120"/>
      <w:r>
        <w:rPr>
          <w:rFonts w:ascii="Times New Roman" w:hAnsi="Times New Roman" w:eastAsia="黑体"/>
          <w:b w:val="0"/>
          <w:sz w:val="32"/>
          <w:szCs w:val="32"/>
        </w:rPr>
        <w:t>18.保险</w:t>
      </w:r>
      <w:bookmarkEnd w:id="583"/>
    </w:p>
    <w:bookmarkEnd w:id="584"/>
    <w:bookmarkEnd w:id="585"/>
    <w:bookmarkEnd w:id="586"/>
    <w:p w14:paraId="4743B23C">
      <w:pPr>
        <w:pStyle w:val="9"/>
        <w:spacing w:before="120" w:after="120" w:line="360" w:lineRule="auto"/>
        <w:ind w:firstLine="600" w:firstLineChars="200"/>
        <w:rPr>
          <w:rFonts w:eastAsia="黑体"/>
          <w:b w:val="0"/>
          <w:i w:val="0"/>
          <w:iCs w:val="0"/>
          <w:sz w:val="30"/>
          <w:szCs w:val="32"/>
        </w:rPr>
      </w:pPr>
      <w:bookmarkStart w:id="587" w:name="_Toc351203613"/>
      <w:bookmarkStart w:id="588" w:name="_Toc337558829"/>
      <w:bookmarkStart w:id="589" w:name="_Toc296503121"/>
      <w:bookmarkStart w:id="590" w:name="_Toc296346622"/>
      <w:r>
        <w:rPr>
          <w:rFonts w:eastAsia="黑体"/>
          <w:b w:val="0"/>
          <w:i w:val="0"/>
          <w:iCs w:val="0"/>
          <w:sz w:val="30"/>
          <w:szCs w:val="32"/>
        </w:rPr>
        <w:t>18.1工程保险</w:t>
      </w:r>
      <w:bookmarkEnd w:id="587"/>
    </w:p>
    <w:bookmarkEnd w:id="588"/>
    <w:bookmarkEnd w:id="589"/>
    <w:bookmarkEnd w:id="590"/>
    <w:p w14:paraId="6680AFD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除专用合同条款另有约定外，发包人应投保建筑工程一切险或安装工程一切险；发包人委托承包人投保的，因投保产生的保险费和其他相关费用由发包人承担。</w:t>
      </w:r>
    </w:p>
    <w:p w14:paraId="777DC3B4">
      <w:pPr>
        <w:pStyle w:val="9"/>
        <w:spacing w:before="120" w:after="120" w:line="360" w:lineRule="auto"/>
        <w:ind w:firstLine="600" w:firstLineChars="200"/>
        <w:rPr>
          <w:rFonts w:eastAsia="黑体"/>
          <w:b w:val="0"/>
          <w:i w:val="0"/>
          <w:iCs w:val="0"/>
          <w:sz w:val="30"/>
          <w:szCs w:val="32"/>
        </w:rPr>
      </w:pPr>
      <w:bookmarkStart w:id="591" w:name="_Toc351203614"/>
      <w:bookmarkStart w:id="592" w:name="_Toc296346623"/>
      <w:bookmarkStart w:id="593" w:name="_Toc296503122"/>
      <w:bookmarkStart w:id="594" w:name="_Toc337558830"/>
      <w:r>
        <w:rPr>
          <w:rFonts w:eastAsia="黑体"/>
          <w:b w:val="0"/>
          <w:i w:val="0"/>
          <w:iCs w:val="0"/>
          <w:sz w:val="30"/>
          <w:szCs w:val="32"/>
        </w:rPr>
        <w:t>18.2工伤保险</w:t>
      </w:r>
      <w:bookmarkEnd w:id="591"/>
    </w:p>
    <w:bookmarkEnd w:id="592"/>
    <w:bookmarkEnd w:id="593"/>
    <w:bookmarkEnd w:id="594"/>
    <w:p w14:paraId="2217540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18.2.1发包人应依照法律规定参加工伤保险，并为在施工现场的全部员工办理工伤保险，缴纳工伤保险费，并要求监理人及由发包人为履行合同聘请的第三方依法参加工伤保险。</w:t>
      </w:r>
    </w:p>
    <w:p w14:paraId="61D180F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18.2.2承包人应依照法律规定参加工伤保险，并为其履行合同的全部员工办理工伤保险，缴纳工伤保险费，并要求分包人及由承包人为履行合同聘请的第三方依法参加工伤保险。</w:t>
      </w:r>
    </w:p>
    <w:p w14:paraId="0226DA35">
      <w:pPr>
        <w:pStyle w:val="9"/>
        <w:spacing w:before="120" w:after="120" w:line="360" w:lineRule="auto"/>
        <w:ind w:firstLine="600" w:firstLineChars="200"/>
        <w:rPr>
          <w:rFonts w:eastAsia="黑体"/>
          <w:b w:val="0"/>
          <w:i w:val="0"/>
          <w:iCs w:val="0"/>
          <w:sz w:val="30"/>
          <w:szCs w:val="32"/>
        </w:rPr>
      </w:pPr>
      <w:bookmarkStart w:id="595" w:name="_Toc351203615"/>
      <w:bookmarkStart w:id="596" w:name="_Toc296503125"/>
      <w:bookmarkStart w:id="597" w:name="_Toc337558831"/>
      <w:bookmarkStart w:id="598" w:name="_Toc296346626"/>
      <w:r>
        <w:rPr>
          <w:rFonts w:eastAsia="黑体"/>
          <w:b w:val="0"/>
          <w:i w:val="0"/>
          <w:iCs w:val="0"/>
          <w:sz w:val="30"/>
          <w:szCs w:val="32"/>
        </w:rPr>
        <w:t>18.3其他保险</w:t>
      </w:r>
      <w:bookmarkEnd w:id="595"/>
    </w:p>
    <w:bookmarkEnd w:id="596"/>
    <w:bookmarkEnd w:id="597"/>
    <w:bookmarkEnd w:id="598"/>
    <w:p w14:paraId="2D4710ED">
      <w:pPr>
        <w:spacing w:line="360" w:lineRule="auto"/>
        <w:ind w:firstLine="600" w:firstLineChars="200"/>
        <w:jc w:val="left"/>
        <w:rPr>
          <w:rFonts w:eastAsia="仿宋_GB2312"/>
          <w:sz w:val="30"/>
          <w:szCs w:val="32"/>
        </w:rPr>
      </w:pPr>
      <w:r>
        <w:rPr>
          <w:rFonts w:eastAsia="仿宋_GB2312"/>
          <w:sz w:val="30"/>
          <w:szCs w:val="32"/>
        </w:rPr>
        <w:t>发包人和承包人可以为其施工现场的全部人员办理意外伤害保险并支付保险费，包括其员工及为履行合同聘请的第三方的人员，具体事项由合同当事人在专用合同条款约定。</w:t>
      </w:r>
    </w:p>
    <w:p w14:paraId="68B569D5">
      <w:pPr>
        <w:spacing w:line="360" w:lineRule="auto"/>
        <w:ind w:firstLine="600" w:firstLineChars="200"/>
        <w:jc w:val="left"/>
        <w:rPr>
          <w:rFonts w:eastAsia="仿宋_GB2312"/>
          <w:sz w:val="30"/>
          <w:szCs w:val="32"/>
        </w:rPr>
      </w:pPr>
      <w:r>
        <w:rPr>
          <w:rFonts w:eastAsia="仿宋_GB2312"/>
          <w:sz w:val="30"/>
          <w:szCs w:val="32"/>
        </w:rPr>
        <w:t>除专用合同条款另有约定外，承包人应为其施工设备等办理财产保险。</w:t>
      </w:r>
    </w:p>
    <w:p w14:paraId="171B21E1">
      <w:pPr>
        <w:pStyle w:val="9"/>
        <w:spacing w:before="120" w:after="120" w:line="360" w:lineRule="auto"/>
        <w:ind w:firstLine="600" w:firstLineChars="200"/>
        <w:rPr>
          <w:rFonts w:eastAsia="黑体"/>
          <w:b w:val="0"/>
          <w:i w:val="0"/>
          <w:iCs w:val="0"/>
          <w:sz w:val="30"/>
          <w:szCs w:val="32"/>
        </w:rPr>
      </w:pPr>
      <w:bookmarkStart w:id="599" w:name="_Toc351203616"/>
      <w:r>
        <w:rPr>
          <w:rFonts w:eastAsia="黑体"/>
          <w:b w:val="0"/>
          <w:i w:val="0"/>
          <w:iCs w:val="0"/>
          <w:sz w:val="30"/>
          <w:szCs w:val="32"/>
        </w:rPr>
        <w:t>18.4持续保险</w:t>
      </w:r>
      <w:bookmarkEnd w:id="599"/>
    </w:p>
    <w:p w14:paraId="2F57D653">
      <w:pPr>
        <w:spacing w:line="360" w:lineRule="auto"/>
        <w:ind w:firstLine="600" w:firstLineChars="200"/>
        <w:jc w:val="left"/>
        <w:rPr>
          <w:rFonts w:eastAsia="仿宋_GB2312"/>
          <w:sz w:val="30"/>
          <w:szCs w:val="32"/>
        </w:rPr>
      </w:pPr>
      <w:r>
        <w:rPr>
          <w:rFonts w:eastAsia="仿宋_GB2312"/>
          <w:sz w:val="30"/>
          <w:szCs w:val="32"/>
        </w:rPr>
        <w:t>合同当事人应与保险人保持联系，使保险人能够随时了解工程实施中的变动，并确保按保险合同条款要求持续保险。</w:t>
      </w:r>
    </w:p>
    <w:p w14:paraId="15E1CC62">
      <w:pPr>
        <w:pStyle w:val="9"/>
        <w:spacing w:before="120" w:after="120" w:line="360" w:lineRule="auto"/>
        <w:ind w:firstLine="600" w:firstLineChars="200"/>
        <w:rPr>
          <w:rFonts w:eastAsia="黑体"/>
          <w:b w:val="0"/>
          <w:i w:val="0"/>
          <w:iCs w:val="0"/>
          <w:sz w:val="30"/>
          <w:szCs w:val="32"/>
        </w:rPr>
      </w:pPr>
      <w:bookmarkStart w:id="600" w:name="_Toc351203617"/>
      <w:bookmarkStart w:id="601" w:name="_Toc296346627"/>
      <w:bookmarkStart w:id="602" w:name="_Toc337558832"/>
      <w:bookmarkStart w:id="603" w:name="_Toc296503126"/>
      <w:r>
        <w:rPr>
          <w:rFonts w:eastAsia="黑体"/>
          <w:b w:val="0"/>
          <w:i w:val="0"/>
          <w:iCs w:val="0"/>
          <w:sz w:val="30"/>
          <w:szCs w:val="32"/>
        </w:rPr>
        <w:t>18.5保险凭证</w:t>
      </w:r>
      <w:bookmarkEnd w:id="600"/>
    </w:p>
    <w:bookmarkEnd w:id="601"/>
    <w:bookmarkEnd w:id="602"/>
    <w:bookmarkEnd w:id="603"/>
    <w:p w14:paraId="7D348FDF">
      <w:pPr>
        <w:spacing w:line="360" w:lineRule="auto"/>
        <w:ind w:firstLine="600" w:firstLineChars="200"/>
        <w:jc w:val="left"/>
        <w:rPr>
          <w:rFonts w:eastAsia="仿宋_GB2312"/>
          <w:sz w:val="30"/>
          <w:szCs w:val="32"/>
        </w:rPr>
      </w:pPr>
      <w:r>
        <w:rPr>
          <w:rFonts w:eastAsia="仿宋_GB2312"/>
          <w:sz w:val="30"/>
          <w:szCs w:val="32"/>
        </w:rPr>
        <w:t>合同当事人应及时向另一方当事人提交其已投保的各项保险的凭证和保险单复印件。</w:t>
      </w:r>
    </w:p>
    <w:p w14:paraId="20AEF951">
      <w:pPr>
        <w:pStyle w:val="9"/>
        <w:spacing w:before="120" w:after="120" w:line="360" w:lineRule="auto"/>
        <w:ind w:firstLine="600" w:firstLineChars="200"/>
        <w:rPr>
          <w:rFonts w:eastAsia="黑体"/>
          <w:b w:val="0"/>
          <w:i w:val="0"/>
          <w:iCs w:val="0"/>
          <w:sz w:val="30"/>
          <w:szCs w:val="32"/>
        </w:rPr>
      </w:pPr>
      <w:bookmarkStart w:id="604" w:name="_Toc351203618"/>
      <w:bookmarkStart w:id="605" w:name="_Toc337558833"/>
      <w:bookmarkStart w:id="606" w:name="_Toc296503127"/>
      <w:bookmarkStart w:id="607" w:name="_Toc296346628"/>
      <w:r>
        <w:rPr>
          <w:rFonts w:eastAsia="黑体"/>
          <w:b w:val="0"/>
          <w:i w:val="0"/>
          <w:iCs w:val="0"/>
          <w:sz w:val="30"/>
          <w:szCs w:val="32"/>
        </w:rPr>
        <w:t>18.6未按约定投保的补救</w:t>
      </w:r>
      <w:bookmarkEnd w:id="604"/>
    </w:p>
    <w:bookmarkEnd w:id="605"/>
    <w:bookmarkEnd w:id="606"/>
    <w:bookmarkEnd w:id="607"/>
    <w:p w14:paraId="7C75CC5D">
      <w:pPr>
        <w:spacing w:line="360" w:lineRule="auto"/>
        <w:ind w:firstLine="600" w:firstLineChars="200"/>
        <w:jc w:val="left"/>
        <w:rPr>
          <w:rFonts w:eastAsia="仿宋_GB2312"/>
          <w:sz w:val="30"/>
          <w:szCs w:val="32"/>
        </w:rPr>
      </w:pPr>
      <w:r>
        <w:rPr>
          <w:rFonts w:eastAsia="仿宋_GB2312"/>
          <w:sz w:val="30"/>
          <w:szCs w:val="32"/>
        </w:rPr>
        <w:t>18.6.1发包人未按合同约定办理保险，或未能使保险持续有效的，则承包人可代为办理，所需费用由发包人承担。发包人未按合同约定办理保险，导致未能得到足额赔偿的，由发包人负责补足。</w:t>
      </w:r>
    </w:p>
    <w:p w14:paraId="7C5017F4">
      <w:pPr>
        <w:spacing w:line="360" w:lineRule="auto"/>
        <w:ind w:firstLine="600" w:firstLineChars="200"/>
        <w:jc w:val="left"/>
        <w:rPr>
          <w:rFonts w:eastAsia="仿宋_GB2312"/>
          <w:sz w:val="30"/>
          <w:szCs w:val="32"/>
        </w:rPr>
      </w:pPr>
      <w:r>
        <w:rPr>
          <w:rFonts w:eastAsia="仿宋_GB2312"/>
          <w:sz w:val="30"/>
          <w:szCs w:val="32"/>
        </w:rPr>
        <w:t>18.6.2承包人未按合同约定办理保险，或未能使保险持续有效的，则发包人可代为办理，所需费用由承包人承担。承包人未按合同约定办理保险，导致未能得到足额赔偿的，由承包人负责补足。</w:t>
      </w:r>
    </w:p>
    <w:p w14:paraId="18D74D26">
      <w:pPr>
        <w:pStyle w:val="9"/>
        <w:spacing w:before="120" w:after="120" w:line="360" w:lineRule="auto"/>
        <w:ind w:firstLine="600" w:firstLineChars="200"/>
        <w:rPr>
          <w:rFonts w:eastAsia="黑体"/>
          <w:b w:val="0"/>
          <w:i w:val="0"/>
          <w:iCs w:val="0"/>
          <w:sz w:val="30"/>
          <w:szCs w:val="32"/>
        </w:rPr>
      </w:pPr>
      <w:bookmarkStart w:id="608" w:name="_Toc351203619"/>
      <w:bookmarkStart w:id="609" w:name="_Toc337558834"/>
      <w:r>
        <w:rPr>
          <w:rFonts w:eastAsia="黑体"/>
          <w:b w:val="0"/>
          <w:i w:val="0"/>
          <w:iCs w:val="0"/>
          <w:sz w:val="30"/>
          <w:szCs w:val="32"/>
        </w:rPr>
        <w:t>18.7通知义务</w:t>
      </w:r>
      <w:bookmarkEnd w:id="608"/>
    </w:p>
    <w:bookmarkEnd w:id="609"/>
    <w:p w14:paraId="3B6FCF9C">
      <w:pPr>
        <w:spacing w:line="360" w:lineRule="auto"/>
        <w:ind w:firstLine="600" w:firstLineChars="200"/>
        <w:jc w:val="left"/>
        <w:rPr>
          <w:rFonts w:eastAsia="仿宋_GB2312"/>
          <w:sz w:val="30"/>
          <w:szCs w:val="32"/>
        </w:rPr>
      </w:pPr>
      <w:r>
        <w:rPr>
          <w:rFonts w:eastAsia="仿宋_GB2312"/>
          <w:sz w:val="30"/>
          <w:szCs w:val="32"/>
        </w:rPr>
        <w:t>除专用合同条款另有约定外，发包人变更除工伤保险之外的保险合同时，应事先征得承包人同意，并通知监理人；承包人变更除工伤保险之外的保险合同时，应事先征得发包人同意，并通知监理人。</w:t>
      </w:r>
    </w:p>
    <w:p w14:paraId="617F8BED">
      <w:pPr>
        <w:spacing w:line="360" w:lineRule="auto"/>
        <w:ind w:firstLine="600" w:firstLineChars="200"/>
        <w:jc w:val="left"/>
        <w:rPr>
          <w:rFonts w:eastAsia="仿宋_GB2312"/>
          <w:sz w:val="30"/>
          <w:szCs w:val="32"/>
        </w:rPr>
      </w:pPr>
      <w:r>
        <w:rPr>
          <w:rFonts w:eastAsia="仿宋_GB2312"/>
          <w:sz w:val="30"/>
          <w:szCs w:val="32"/>
        </w:rPr>
        <w:t>保险事故发生时，投保人应按照保险合同规定的条件和期限及时向保险人报告。发包人和承包人应当在知道保险事故发生后及时通知对方。</w:t>
      </w:r>
    </w:p>
    <w:p w14:paraId="5AF91125">
      <w:pPr>
        <w:pStyle w:val="8"/>
        <w:spacing w:before="120" w:after="120" w:line="360" w:lineRule="auto"/>
        <w:rPr>
          <w:rFonts w:ascii="Times New Roman" w:hAnsi="Times New Roman" w:eastAsia="黑体"/>
          <w:b w:val="0"/>
          <w:sz w:val="32"/>
          <w:szCs w:val="32"/>
        </w:rPr>
      </w:pPr>
      <w:bookmarkStart w:id="610" w:name="_Toc351203620"/>
      <w:bookmarkStart w:id="611" w:name="_Toc296346641"/>
      <w:bookmarkStart w:id="612" w:name="_Toc296503140"/>
      <w:bookmarkStart w:id="613" w:name="_Toc337558835"/>
      <w:r>
        <w:rPr>
          <w:rFonts w:ascii="Times New Roman" w:hAnsi="Times New Roman" w:eastAsia="黑体"/>
          <w:b w:val="0"/>
          <w:sz w:val="32"/>
          <w:szCs w:val="32"/>
        </w:rPr>
        <w:t>19.索赔</w:t>
      </w:r>
      <w:bookmarkEnd w:id="610"/>
    </w:p>
    <w:bookmarkEnd w:id="611"/>
    <w:bookmarkEnd w:id="612"/>
    <w:bookmarkEnd w:id="613"/>
    <w:p w14:paraId="5DF94001">
      <w:pPr>
        <w:pStyle w:val="9"/>
        <w:spacing w:before="120" w:after="120" w:line="360" w:lineRule="auto"/>
        <w:ind w:firstLine="600" w:firstLineChars="200"/>
        <w:rPr>
          <w:rFonts w:eastAsia="黑体"/>
          <w:b w:val="0"/>
          <w:i w:val="0"/>
          <w:iCs w:val="0"/>
          <w:sz w:val="30"/>
          <w:szCs w:val="32"/>
        </w:rPr>
      </w:pPr>
      <w:bookmarkStart w:id="614" w:name="_Toc351203621"/>
      <w:bookmarkStart w:id="615" w:name="_Toc296503141"/>
      <w:bookmarkStart w:id="616" w:name="_Toc296346642"/>
      <w:bookmarkStart w:id="617" w:name="_Toc337558836"/>
      <w:r>
        <w:rPr>
          <w:rFonts w:eastAsia="黑体"/>
          <w:b w:val="0"/>
          <w:i w:val="0"/>
          <w:iCs w:val="0"/>
          <w:sz w:val="30"/>
          <w:szCs w:val="32"/>
        </w:rPr>
        <w:t>19.1承包人的索赔</w:t>
      </w:r>
      <w:bookmarkEnd w:id="614"/>
    </w:p>
    <w:bookmarkEnd w:id="615"/>
    <w:bookmarkEnd w:id="616"/>
    <w:bookmarkEnd w:id="617"/>
    <w:p w14:paraId="0AA89DB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根据合同约定，承包人认为有权得到追加付款和（或）延长工期的，应按以下程序向</w:t>
      </w:r>
      <w:r>
        <w:rPr>
          <w:rFonts w:hint="eastAsia" w:eastAsia="仿宋_GB2312"/>
          <w:kern w:val="0"/>
          <w:sz w:val="30"/>
          <w:szCs w:val="32"/>
        </w:rPr>
        <w:t>发包</w:t>
      </w:r>
      <w:r>
        <w:rPr>
          <w:rFonts w:eastAsia="仿宋_GB2312"/>
          <w:kern w:val="0"/>
          <w:sz w:val="30"/>
          <w:szCs w:val="32"/>
        </w:rPr>
        <w:t>人提出索赔：</w:t>
      </w:r>
    </w:p>
    <w:p w14:paraId="36F1581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（1）承包人应在知道或应当知道索赔事件发生后28天内，向监理人递交索赔意向通知书，并说明发生索赔事件的事由；承包人未在前述28天内发出索赔意向通知书的，丧失要求追加付款和（或）延长工期的权利；</w:t>
      </w:r>
    </w:p>
    <w:p w14:paraId="779B157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（2）承包人应在发出索赔意向通知书后28天内，向监理人正式递交索赔报告；索赔报告应详细说明索赔理由以及要求追加的付款金额和（或）延长的工期，并附必要的记录和证明材料；</w:t>
      </w:r>
    </w:p>
    <w:p w14:paraId="41A89D9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（3）索赔事件具有持续影响的，承包人应按合理时间间隔继续递交延续索赔通知，说明持续影响的实际情况和记录，列出累计的追加付款金额和（或）工期延长天数；</w:t>
      </w:r>
    </w:p>
    <w:p w14:paraId="2499A13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（4）在索赔事件影响结束后28天内，承包人应向监理人递交最终索赔报告，说明最终要求索赔的追加付款金额和（或）延长的工期，并附必要的记录和证明材料。</w:t>
      </w:r>
    </w:p>
    <w:p w14:paraId="5607A5C3">
      <w:pPr>
        <w:pStyle w:val="9"/>
        <w:spacing w:before="120" w:after="120" w:line="360" w:lineRule="auto"/>
        <w:ind w:firstLine="600" w:firstLineChars="200"/>
        <w:rPr>
          <w:rFonts w:eastAsia="黑体"/>
          <w:b w:val="0"/>
          <w:i w:val="0"/>
          <w:iCs w:val="0"/>
          <w:sz w:val="30"/>
          <w:szCs w:val="32"/>
        </w:rPr>
      </w:pPr>
      <w:bookmarkStart w:id="618" w:name="_Toc351203622"/>
      <w:bookmarkStart w:id="619" w:name="_Toc296346643"/>
      <w:bookmarkStart w:id="620" w:name="_Toc296503142"/>
      <w:bookmarkStart w:id="621" w:name="_Toc337558837"/>
      <w:r>
        <w:rPr>
          <w:rFonts w:eastAsia="黑体"/>
          <w:b w:val="0"/>
          <w:i w:val="0"/>
          <w:iCs w:val="0"/>
          <w:sz w:val="30"/>
          <w:szCs w:val="32"/>
        </w:rPr>
        <w:t>19.2对承包人索赔的处理</w:t>
      </w:r>
      <w:bookmarkEnd w:id="618"/>
    </w:p>
    <w:bookmarkEnd w:id="619"/>
    <w:bookmarkEnd w:id="620"/>
    <w:bookmarkEnd w:id="621"/>
    <w:p w14:paraId="0C46753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对承包人索赔的处理如下：</w:t>
      </w:r>
    </w:p>
    <w:p w14:paraId="78E2CB3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（1）监理人应在收到索赔报告后14天内完成审查并报送发包人。监理人对索赔报告存在异议的，有权要求承包人提交全部原始记录副本；</w:t>
      </w:r>
    </w:p>
    <w:p w14:paraId="47810513">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（2）发包人应在监理人收到索赔报告或有关索赔的进一步证明材料后的28天内，由监理人向承包人出具经发包人签认的索赔处理结果。发包人逾期答复的，则视为认可承包人的索赔要求；</w:t>
      </w:r>
    </w:p>
    <w:p w14:paraId="57BDB06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（3）承包人接受索赔处理结果的，索赔款项在当期进度款中进行支付；承包人不接受索赔处理结果的，按照第20条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约定处理。</w:t>
      </w:r>
    </w:p>
    <w:p w14:paraId="70085D3C">
      <w:pPr>
        <w:pStyle w:val="9"/>
        <w:spacing w:before="120" w:after="120" w:line="360" w:lineRule="auto"/>
        <w:ind w:firstLine="600" w:firstLineChars="200"/>
        <w:rPr>
          <w:rFonts w:eastAsia="黑体"/>
          <w:b w:val="0"/>
          <w:i w:val="0"/>
          <w:iCs w:val="0"/>
          <w:sz w:val="30"/>
          <w:szCs w:val="32"/>
        </w:rPr>
      </w:pPr>
      <w:bookmarkStart w:id="622" w:name="_Toc351203623"/>
      <w:bookmarkStart w:id="623" w:name="_Toc337558838"/>
      <w:bookmarkStart w:id="624" w:name="_Toc296503143"/>
      <w:bookmarkStart w:id="625" w:name="_Toc296346644"/>
      <w:r>
        <w:rPr>
          <w:rFonts w:eastAsia="黑体"/>
          <w:b w:val="0"/>
          <w:i w:val="0"/>
          <w:iCs w:val="0"/>
          <w:sz w:val="30"/>
          <w:szCs w:val="32"/>
        </w:rPr>
        <w:t>19.3发包人的索赔</w:t>
      </w:r>
      <w:bookmarkEnd w:id="622"/>
    </w:p>
    <w:bookmarkEnd w:id="623"/>
    <w:bookmarkEnd w:id="624"/>
    <w:bookmarkEnd w:id="625"/>
    <w:p w14:paraId="6724E7E0">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根据合同约定，发包人认为有权得到赔付金额和（或）延长缺陷责任期的，监理人应向承包人发出通知并附有详细的证明。</w:t>
      </w:r>
    </w:p>
    <w:p w14:paraId="03E108B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发包人应在知道或应当知道索赔事件发生后28天内通过监理人向承包人提出索赔意向通知书，发包人未在前述28天内发出索赔意向通知书的，丧失要求赔付金额和（或）延长缺陷责任期的权利。发包人应在发出索赔意向通知书后28天内，通过监理人向承包人正式递交索赔报告。</w:t>
      </w:r>
    </w:p>
    <w:p w14:paraId="58DD3E5E">
      <w:pPr>
        <w:pStyle w:val="9"/>
        <w:spacing w:before="120" w:after="120" w:line="360" w:lineRule="auto"/>
        <w:ind w:firstLine="600" w:firstLineChars="200"/>
        <w:rPr>
          <w:rFonts w:eastAsia="黑体"/>
          <w:b w:val="0"/>
          <w:i w:val="0"/>
          <w:iCs w:val="0"/>
          <w:sz w:val="30"/>
          <w:szCs w:val="32"/>
        </w:rPr>
      </w:pPr>
      <w:bookmarkStart w:id="626" w:name="_Toc351203624"/>
      <w:bookmarkStart w:id="627" w:name="_Toc296503144"/>
      <w:bookmarkStart w:id="628" w:name="_Toc337558839"/>
      <w:bookmarkStart w:id="629" w:name="_Toc296346645"/>
      <w:r>
        <w:rPr>
          <w:rFonts w:eastAsia="黑体"/>
          <w:b w:val="0"/>
          <w:i w:val="0"/>
          <w:iCs w:val="0"/>
          <w:sz w:val="30"/>
          <w:szCs w:val="32"/>
        </w:rPr>
        <w:t>19.4对发包人索赔的处理</w:t>
      </w:r>
      <w:bookmarkEnd w:id="626"/>
    </w:p>
    <w:bookmarkEnd w:id="627"/>
    <w:bookmarkEnd w:id="628"/>
    <w:bookmarkEnd w:id="629"/>
    <w:p w14:paraId="468927D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对发包人索赔的处理如下：</w:t>
      </w:r>
    </w:p>
    <w:p w14:paraId="0841251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（1）承包人收到发包人提交的索赔报告后，应及时审查索赔报告的内容、查验发包人证明材料；</w:t>
      </w:r>
    </w:p>
    <w:p w14:paraId="0140C27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（2）承包人应在收到索赔报告或有关索赔的进一步证明材料后28天内，将索赔处理结果答复发包人。如果承包人未在上述期限内作出答复的，则视为对发包人索赔要求的认可；</w:t>
      </w:r>
    </w:p>
    <w:p w14:paraId="6A921438">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（3）承包人接受索赔处理结果的，发包人可从应支付给承包人的合同价款中扣除赔付的金额或延长缺陷责任期；发包人不接受索赔处理结果的，按第20条</w:t>
      </w:r>
      <w:r>
        <w:rPr>
          <w:rFonts w:hint="eastAsia" w:eastAsia="仿宋_GB2312"/>
          <w:kern w:val="0"/>
          <w:sz w:val="30"/>
          <w:szCs w:val="32"/>
        </w:rPr>
        <w:t>〔</w:t>
      </w:r>
      <w:r>
        <w:rPr>
          <w:rFonts w:eastAsia="仿宋_GB2312"/>
          <w:kern w:val="0"/>
          <w:sz w:val="30"/>
          <w:szCs w:val="32"/>
        </w:rPr>
        <w:t>争议解决</w:t>
      </w:r>
      <w:r>
        <w:rPr>
          <w:rFonts w:hint="eastAsia" w:eastAsia="仿宋_GB2312"/>
          <w:kern w:val="0"/>
          <w:sz w:val="30"/>
          <w:szCs w:val="32"/>
        </w:rPr>
        <w:t>〕</w:t>
      </w:r>
      <w:r>
        <w:rPr>
          <w:rFonts w:eastAsia="仿宋_GB2312"/>
          <w:kern w:val="0"/>
          <w:sz w:val="30"/>
          <w:szCs w:val="32"/>
        </w:rPr>
        <w:t>约定处理。</w:t>
      </w:r>
    </w:p>
    <w:p w14:paraId="3E682449">
      <w:pPr>
        <w:pStyle w:val="9"/>
        <w:spacing w:before="120" w:after="120" w:line="360" w:lineRule="auto"/>
        <w:ind w:firstLine="600" w:firstLineChars="200"/>
        <w:rPr>
          <w:rFonts w:eastAsia="黑体"/>
          <w:b w:val="0"/>
          <w:i w:val="0"/>
          <w:iCs w:val="0"/>
          <w:sz w:val="30"/>
          <w:szCs w:val="32"/>
        </w:rPr>
      </w:pPr>
      <w:bookmarkStart w:id="630" w:name="_Toc351203625"/>
      <w:r>
        <w:rPr>
          <w:rFonts w:eastAsia="黑体"/>
          <w:b w:val="0"/>
          <w:i w:val="0"/>
          <w:iCs w:val="0"/>
          <w:sz w:val="30"/>
          <w:szCs w:val="32"/>
        </w:rPr>
        <w:t>19.5提出索赔的期限</w:t>
      </w:r>
      <w:bookmarkEnd w:id="630"/>
    </w:p>
    <w:p w14:paraId="724BF644">
      <w:pPr>
        <w:spacing w:line="360" w:lineRule="auto"/>
        <w:ind w:firstLine="600" w:firstLineChars="200"/>
        <w:rPr>
          <w:rFonts w:eastAsia="仿宋_GB2312"/>
          <w:kern w:val="0"/>
          <w:sz w:val="30"/>
          <w:szCs w:val="32"/>
        </w:rPr>
      </w:pPr>
      <w:r>
        <w:rPr>
          <w:rFonts w:eastAsia="仿宋_GB2312"/>
          <w:kern w:val="0"/>
          <w:sz w:val="30"/>
          <w:szCs w:val="32"/>
        </w:rPr>
        <w:t>（1）承包人按第14.2款</w:t>
      </w:r>
      <w:r>
        <w:rPr>
          <w:rFonts w:hint="eastAsia" w:eastAsia="仿宋_GB2312"/>
          <w:kern w:val="0"/>
          <w:sz w:val="30"/>
          <w:szCs w:val="32"/>
        </w:rPr>
        <w:t>〔</w:t>
      </w:r>
      <w:r>
        <w:rPr>
          <w:rFonts w:eastAsia="仿宋_GB2312"/>
          <w:kern w:val="0"/>
          <w:sz w:val="30"/>
          <w:szCs w:val="32"/>
        </w:rPr>
        <w:t>竣工结算审核</w:t>
      </w:r>
      <w:r>
        <w:rPr>
          <w:rFonts w:hint="eastAsia" w:eastAsia="仿宋_GB2312"/>
          <w:kern w:val="0"/>
          <w:sz w:val="30"/>
          <w:szCs w:val="32"/>
        </w:rPr>
        <w:t>〕</w:t>
      </w:r>
      <w:r>
        <w:rPr>
          <w:rFonts w:eastAsia="仿宋_GB2312"/>
          <w:kern w:val="0"/>
          <w:sz w:val="30"/>
          <w:szCs w:val="32"/>
        </w:rPr>
        <w:t>约定接收竣工付款证书后，应被视为已无权再提出在工程接收证书颁发前所发生的任何索赔。</w:t>
      </w:r>
    </w:p>
    <w:p w14:paraId="2678C3E1">
      <w:pPr>
        <w:spacing w:line="360" w:lineRule="auto"/>
        <w:ind w:firstLine="600" w:firstLineChars="200"/>
        <w:rPr>
          <w:rFonts w:eastAsia="仿宋_GB2312"/>
          <w:kern w:val="0"/>
          <w:sz w:val="30"/>
          <w:szCs w:val="32"/>
        </w:rPr>
      </w:pPr>
      <w:r>
        <w:rPr>
          <w:rFonts w:eastAsia="仿宋_GB2312"/>
          <w:kern w:val="0"/>
          <w:sz w:val="30"/>
          <w:szCs w:val="32"/>
        </w:rPr>
        <w:t>（2）承包人按第14.4款</w:t>
      </w:r>
      <w:r>
        <w:rPr>
          <w:rFonts w:hint="eastAsia" w:eastAsia="仿宋_GB2312"/>
          <w:kern w:val="0"/>
          <w:sz w:val="30"/>
          <w:szCs w:val="32"/>
        </w:rPr>
        <w:t>〔</w:t>
      </w:r>
      <w:r>
        <w:rPr>
          <w:rFonts w:eastAsia="仿宋_GB2312"/>
          <w:kern w:val="0"/>
          <w:sz w:val="30"/>
          <w:szCs w:val="32"/>
        </w:rPr>
        <w:t>最终结清</w:t>
      </w:r>
      <w:r>
        <w:rPr>
          <w:rFonts w:hint="eastAsia" w:eastAsia="仿宋_GB2312"/>
          <w:kern w:val="0"/>
          <w:sz w:val="30"/>
          <w:szCs w:val="32"/>
        </w:rPr>
        <w:t>〕</w:t>
      </w:r>
      <w:r>
        <w:rPr>
          <w:rFonts w:eastAsia="仿宋_GB2312"/>
          <w:kern w:val="0"/>
          <w:sz w:val="30"/>
          <w:szCs w:val="32"/>
        </w:rPr>
        <w:t>提交的最终结清申请单中，只限于提出工程接收证书颁发后发生的索赔。提出索赔的期限自接受最终结清证书时终止。</w:t>
      </w:r>
    </w:p>
    <w:p w14:paraId="689ADD63">
      <w:pPr>
        <w:pStyle w:val="8"/>
        <w:spacing w:before="120" w:after="120" w:line="360" w:lineRule="auto"/>
        <w:rPr>
          <w:rFonts w:ascii="Times New Roman" w:hAnsi="Times New Roman" w:eastAsia="黑体"/>
          <w:b w:val="0"/>
          <w:sz w:val="32"/>
          <w:szCs w:val="32"/>
        </w:rPr>
      </w:pPr>
      <w:bookmarkStart w:id="631" w:name="_Toc351203626"/>
      <w:r>
        <w:rPr>
          <w:rFonts w:ascii="Times New Roman" w:hAnsi="Times New Roman" w:eastAsia="黑体"/>
          <w:b w:val="0"/>
          <w:sz w:val="32"/>
          <w:szCs w:val="32"/>
        </w:rPr>
        <w:t>20</w:t>
      </w:r>
      <w:bookmarkStart w:id="632" w:name="_Toc296503146"/>
      <w:bookmarkStart w:id="633" w:name="_Toc296346647"/>
      <w:bookmarkStart w:id="634" w:name="_Toc337558840"/>
      <w:r>
        <w:rPr>
          <w:rFonts w:ascii="Times New Roman" w:hAnsi="Times New Roman" w:eastAsia="黑体"/>
          <w:b w:val="0"/>
          <w:sz w:val="32"/>
          <w:szCs w:val="32"/>
        </w:rPr>
        <w:t>.争议解决</w:t>
      </w:r>
      <w:bookmarkEnd w:id="631"/>
    </w:p>
    <w:bookmarkEnd w:id="632"/>
    <w:bookmarkEnd w:id="633"/>
    <w:bookmarkEnd w:id="634"/>
    <w:p w14:paraId="043CB437">
      <w:pPr>
        <w:pStyle w:val="9"/>
        <w:spacing w:before="120" w:after="120" w:line="360" w:lineRule="auto"/>
        <w:ind w:firstLine="600" w:firstLineChars="200"/>
        <w:rPr>
          <w:rFonts w:eastAsia="黑体"/>
          <w:b w:val="0"/>
          <w:i w:val="0"/>
          <w:iCs w:val="0"/>
          <w:sz w:val="30"/>
          <w:szCs w:val="32"/>
        </w:rPr>
      </w:pPr>
      <w:bookmarkStart w:id="635" w:name="_Toc351203627"/>
      <w:bookmarkStart w:id="636" w:name="_Toc296346648"/>
      <w:bookmarkStart w:id="637" w:name="_Toc337558841"/>
      <w:bookmarkStart w:id="638" w:name="_Toc296503147"/>
      <w:r>
        <w:rPr>
          <w:rFonts w:eastAsia="黑体"/>
          <w:b w:val="0"/>
          <w:i w:val="0"/>
          <w:iCs w:val="0"/>
          <w:sz w:val="30"/>
          <w:szCs w:val="32"/>
        </w:rPr>
        <w:t>20.1和解</w:t>
      </w:r>
      <w:bookmarkEnd w:id="635"/>
    </w:p>
    <w:bookmarkEnd w:id="636"/>
    <w:bookmarkEnd w:id="637"/>
    <w:bookmarkEnd w:id="638"/>
    <w:p w14:paraId="31564AC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合同当事人可以就争议自行和解，自行和解达成协议的经双方签字并盖章后作为合同补充文件，双方均应遵照执行。</w:t>
      </w:r>
    </w:p>
    <w:p w14:paraId="687737AB">
      <w:pPr>
        <w:pStyle w:val="9"/>
        <w:spacing w:before="120" w:after="120" w:line="360" w:lineRule="auto"/>
        <w:ind w:firstLine="600" w:firstLineChars="200"/>
        <w:rPr>
          <w:rFonts w:eastAsia="黑体"/>
          <w:b w:val="0"/>
          <w:i w:val="0"/>
          <w:iCs w:val="0"/>
          <w:sz w:val="30"/>
          <w:szCs w:val="32"/>
        </w:rPr>
      </w:pPr>
      <w:bookmarkStart w:id="639" w:name="_Toc351203628"/>
      <w:r>
        <w:rPr>
          <w:rFonts w:eastAsia="黑体"/>
          <w:b w:val="0"/>
          <w:i w:val="0"/>
          <w:iCs w:val="0"/>
          <w:sz w:val="30"/>
          <w:szCs w:val="32"/>
        </w:rPr>
        <w:t>20</w:t>
      </w:r>
      <w:bookmarkStart w:id="640" w:name="_Toc296503148"/>
      <w:bookmarkStart w:id="641" w:name="_Toc337558842"/>
      <w:bookmarkStart w:id="642" w:name="_Toc296346649"/>
      <w:r>
        <w:rPr>
          <w:rFonts w:eastAsia="黑体"/>
          <w:b w:val="0"/>
          <w:i w:val="0"/>
          <w:iCs w:val="0"/>
          <w:sz w:val="30"/>
          <w:szCs w:val="32"/>
        </w:rPr>
        <w:t>.2调解</w:t>
      </w:r>
      <w:bookmarkEnd w:id="639"/>
    </w:p>
    <w:bookmarkEnd w:id="640"/>
    <w:bookmarkEnd w:id="641"/>
    <w:bookmarkEnd w:id="642"/>
    <w:p w14:paraId="3A47AEA4">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合同当事人可以就争议请求建设行政主管部门</w:t>
      </w:r>
      <w:r>
        <w:rPr>
          <w:rFonts w:hint="eastAsia" w:eastAsia="仿宋_GB2312"/>
          <w:kern w:val="0"/>
          <w:sz w:val="30"/>
          <w:szCs w:val="32"/>
        </w:rPr>
        <w:t>、行业协会</w:t>
      </w:r>
      <w:r>
        <w:rPr>
          <w:rFonts w:eastAsia="仿宋_GB2312"/>
          <w:kern w:val="0"/>
          <w:sz w:val="30"/>
          <w:szCs w:val="32"/>
        </w:rPr>
        <w:t>或</w:t>
      </w:r>
      <w:r>
        <w:rPr>
          <w:rFonts w:hint="eastAsia" w:eastAsia="仿宋_GB2312"/>
          <w:kern w:val="0"/>
          <w:sz w:val="30"/>
          <w:szCs w:val="32"/>
        </w:rPr>
        <w:t>其他</w:t>
      </w:r>
      <w:r>
        <w:rPr>
          <w:rFonts w:eastAsia="仿宋_GB2312"/>
          <w:kern w:val="0"/>
          <w:sz w:val="30"/>
          <w:szCs w:val="32"/>
        </w:rPr>
        <w:t>第三方进行调解，调解达成协议的，经双方签字并盖章后作为合同补充文件，双方均应遵照执行。</w:t>
      </w:r>
    </w:p>
    <w:p w14:paraId="18243AA2">
      <w:pPr>
        <w:pStyle w:val="9"/>
        <w:spacing w:before="120" w:after="120" w:line="360" w:lineRule="auto"/>
        <w:ind w:firstLine="600" w:firstLineChars="200"/>
        <w:rPr>
          <w:rFonts w:eastAsia="黑体"/>
          <w:b w:val="0"/>
          <w:i w:val="0"/>
          <w:iCs w:val="0"/>
          <w:sz w:val="30"/>
          <w:szCs w:val="32"/>
        </w:rPr>
      </w:pPr>
      <w:bookmarkStart w:id="643" w:name="_Toc351203629"/>
      <w:bookmarkStart w:id="644" w:name="_Toc296346650"/>
      <w:bookmarkStart w:id="645" w:name="_Toc337558843"/>
      <w:bookmarkStart w:id="646" w:name="_Toc296503149"/>
      <w:r>
        <w:rPr>
          <w:rFonts w:eastAsia="黑体"/>
          <w:b w:val="0"/>
          <w:i w:val="0"/>
          <w:iCs w:val="0"/>
          <w:sz w:val="30"/>
          <w:szCs w:val="32"/>
        </w:rPr>
        <w:t>20.3争议评审</w:t>
      </w:r>
      <w:bookmarkEnd w:id="643"/>
    </w:p>
    <w:bookmarkEnd w:id="644"/>
    <w:bookmarkEnd w:id="645"/>
    <w:bookmarkEnd w:id="646"/>
    <w:p w14:paraId="7330529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合同当事人在专用合同条款中约定采取争议评审方式解决争议</w:t>
      </w:r>
      <w:r>
        <w:rPr>
          <w:rFonts w:hint="eastAsia" w:eastAsia="仿宋_GB2312"/>
          <w:kern w:val="0"/>
          <w:sz w:val="30"/>
          <w:szCs w:val="32"/>
        </w:rPr>
        <w:t>以及评审规则，并</w:t>
      </w:r>
      <w:r>
        <w:rPr>
          <w:rFonts w:eastAsia="仿宋_GB2312"/>
          <w:kern w:val="0"/>
          <w:sz w:val="30"/>
          <w:szCs w:val="32"/>
        </w:rPr>
        <w:t xml:space="preserve">按下列约定执行： </w:t>
      </w:r>
    </w:p>
    <w:p w14:paraId="66204B6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20.3.1争议评审小组的确定</w:t>
      </w:r>
    </w:p>
    <w:p w14:paraId="4FC7A28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合同当事人可以共同选择一名或三名争议评审员，组成争议评审小组。除专用合同条款另有约定外，合同当事人应当自合同签订后28天内，或者争议发生后14天内，选定争议评审员。</w:t>
      </w:r>
    </w:p>
    <w:p w14:paraId="0F92A14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选择一名争议评审员的，由合同当事人共同确定；选择三名争议评审员的，各自选定一名，第三名成员为首席争议评审员，由合同当事人共同确定或由合同当事人委托已选定的争议评审员共同确定，或由专用合同条款约定的</w:t>
      </w:r>
      <w:r>
        <w:rPr>
          <w:rFonts w:hint="eastAsia" w:eastAsia="仿宋_GB2312"/>
          <w:kern w:val="0"/>
          <w:sz w:val="30"/>
          <w:szCs w:val="32"/>
        </w:rPr>
        <w:t>评审</w:t>
      </w:r>
      <w:r>
        <w:rPr>
          <w:rFonts w:eastAsia="仿宋_GB2312"/>
          <w:kern w:val="0"/>
          <w:sz w:val="30"/>
          <w:szCs w:val="32"/>
        </w:rPr>
        <w:t xml:space="preserve">机构指定第三名首席争议评审员。 </w:t>
      </w:r>
    </w:p>
    <w:p w14:paraId="0496F03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除专用合同条款另有约定外，评审员报酬由发包人和承包人各承担一半。</w:t>
      </w:r>
    </w:p>
    <w:p w14:paraId="3A187CA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20.3.2争议评审小组的决定</w:t>
      </w:r>
    </w:p>
    <w:p w14:paraId="2617D152">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合同当事人可在任何时间将与合同有关的任何争议共同提请争议评审小组进行评审。争议评审小组应秉持客观、公正原则，充分听取合同当事人的意见，依据相关法律、规范、标准、案例经验及商业惯例等，自收到争议评审申请报告后14天内作出书面决定，并说明理由。合同当事人可以在专用合同条款中对本项事项另行约定。</w:t>
      </w:r>
    </w:p>
    <w:p w14:paraId="33DFF3A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20.3.3争议评审小组决定的效力</w:t>
      </w:r>
    </w:p>
    <w:p w14:paraId="522006C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争议评审小组作出的书面决定经合同当事人签字确认后，对双方具有约束力，双方应遵照执行。</w:t>
      </w:r>
    </w:p>
    <w:p w14:paraId="4858D467">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任何一方当事人不接受争议评审小组决定</w:t>
      </w:r>
      <w:r>
        <w:rPr>
          <w:rFonts w:hint="eastAsia" w:eastAsia="仿宋_GB2312"/>
          <w:kern w:val="0"/>
          <w:sz w:val="30"/>
          <w:szCs w:val="32"/>
        </w:rPr>
        <w:t>或不履行争议评审小组决定的</w:t>
      </w:r>
      <w:r>
        <w:rPr>
          <w:rFonts w:eastAsia="仿宋_GB2312"/>
          <w:kern w:val="0"/>
          <w:sz w:val="30"/>
          <w:szCs w:val="32"/>
        </w:rPr>
        <w:t>，双方可选择采用其他争议解决方式。</w:t>
      </w:r>
    </w:p>
    <w:p w14:paraId="3DF5BAAD">
      <w:pPr>
        <w:pStyle w:val="9"/>
        <w:spacing w:before="120" w:after="120" w:line="360" w:lineRule="auto"/>
        <w:ind w:firstLine="600" w:firstLineChars="200"/>
        <w:rPr>
          <w:rFonts w:eastAsia="黑体"/>
          <w:b w:val="0"/>
          <w:i w:val="0"/>
          <w:iCs w:val="0"/>
          <w:sz w:val="30"/>
          <w:szCs w:val="32"/>
        </w:rPr>
      </w:pPr>
      <w:bookmarkStart w:id="647" w:name="_Toc351203630"/>
      <w:bookmarkStart w:id="648" w:name="_Toc296346651"/>
      <w:bookmarkStart w:id="649" w:name="_Toc337558844"/>
      <w:bookmarkStart w:id="650" w:name="_Toc296503150"/>
      <w:r>
        <w:rPr>
          <w:rFonts w:eastAsia="黑体"/>
          <w:b w:val="0"/>
          <w:i w:val="0"/>
          <w:iCs w:val="0"/>
          <w:sz w:val="30"/>
          <w:szCs w:val="32"/>
        </w:rPr>
        <w:t>20.4仲裁或诉讼</w:t>
      </w:r>
      <w:bookmarkEnd w:id="647"/>
    </w:p>
    <w:bookmarkEnd w:id="648"/>
    <w:bookmarkEnd w:id="649"/>
    <w:bookmarkEnd w:id="650"/>
    <w:p w14:paraId="7D00CF6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因合同及合同有关事项产生的争议，合同当事人可以在专用合同条款中约定以下一种方式解决争议：</w:t>
      </w:r>
    </w:p>
    <w:p w14:paraId="4BEDD56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（1）向约定的仲裁委员会申请仲裁；</w:t>
      </w:r>
    </w:p>
    <w:p w14:paraId="7B0A739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（2）向有管辖权的人民法院起诉。</w:t>
      </w:r>
    </w:p>
    <w:p w14:paraId="5E43FFA3">
      <w:pPr>
        <w:pStyle w:val="9"/>
        <w:spacing w:before="120" w:after="120" w:line="360" w:lineRule="auto"/>
        <w:ind w:firstLine="600" w:firstLineChars="200"/>
        <w:rPr>
          <w:rFonts w:eastAsia="黑体"/>
          <w:b w:val="0"/>
          <w:i w:val="0"/>
          <w:iCs w:val="0"/>
          <w:sz w:val="30"/>
          <w:szCs w:val="32"/>
        </w:rPr>
      </w:pPr>
      <w:bookmarkStart w:id="651" w:name="_Toc351203631"/>
      <w:bookmarkStart w:id="652" w:name="_Toc296346653"/>
      <w:bookmarkStart w:id="653" w:name="_Toc337558845"/>
      <w:bookmarkStart w:id="654" w:name="_Toc296503152"/>
      <w:r>
        <w:rPr>
          <w:rFonts w:eastAsia="黑体"/>
          <w:b w:val="0"/>
          <w:i w:val="0"/>
          <w:iCs w:val="0"/>
          <w:sz w:val="30"/>
          <w:szCs w:val="32"/>
        </w:rPr>
        <w:t>20.5争议解决条款效力</w:t>
      </w:r>
      <w:bookmarkEnd w:id="651"/>
    </w:p>
    <w:bookmarkEnd w:id="652"/>
    <w:bookmarkEnd w:id="653"/>
    <w:bookmarkEnd w:id="654"/>
    <w:p w14:paraId="72D6AD8A">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 xml:space="preserve">合同有关争议解决的条款独立存在，合同的变更、解除、终止、无效或者被撤销均不影响其效力。 </w:t>
      </w:r>
    </w:p>
    <w:p w14:paraId="126AB0EE">
      <w:pPr>
        <w:pStyle w:val="7"/>
        <w:jc w:val="center"/>
        <w:rPr>
          <w:rFonts w:hint="eastAsia" w:ascii="华文中宋" w:hAnsi="华文中宋" w:eastAsia="华文中宋"/>
          <w:sz w:val="44"/>
          <w:szCs w:val="44"/>
        </w:rPr>
      </w:pPr>
    </w:p>
    <w:p w14:paraId="0956DB01">
      <w:pPr>
        <w:pStyle w:val="7"/>
        <w:jc w:val="center"/>
        <w:rPr>
          <w:rFonts w:hint="eastAsia" w:ascii="华文中宋" w:hAnsi="华文中宋" w:eastAsia="华文中宋"/>
          <w:sz w:val="44"/>
          <w:szCs w:val="44"/>
        </w:rPr>
      </w:pPr>
      <w:bookmarkStart w:id="655" w:name="_Toc17126"/>
      <w:bookmarkStart w:id="656" w:name="_Toc1147"/>
      <w:bookmarkStart w:id="657" w:name="_Toc19228"/>
      <w:bookmarkStart w:id="658" w:name="_Toc10600"/>
      <w:bookmarkStart w:id="659" w:name="_Toc23027"/>
      <w:r>
        <w:rPr>
          <w:rFonts w:ascii="华文中宋" w:hAnsi="华文中宋" w:eastAsia="华文中宋"/>
          <w:sz w:val="44"/>
          <w:szCs w:val="44"/>
        </w:rPr>
        <w:t xml:space="preserve">第三部分 </w:t>
      </w:r>
      <w:r>
        <w:rPr>
          <w:rFonts w:hint="eastAsia" w:ascii="华文中宋" w:hAnsi="华文中宋" w:eastAsia="华文中宋"/>
          <w:sz w:val="44"/>
          <w:szCs w:val="44"/>
        </w:rPr>
        <w:t>专用合同条款</w:t>
      </w:r>
      <w:bookmarkEnd w:id="655"/>
      <w:bookmarkEnd w:id="656"/>
      <w:bookmarkEnd w:id="657"/>
      <w:bookmarkEnd w:id="658"/>
      <w:bookmarkEnd w:id="659"/>
    </w:p>
    <w:p w14:paraId="445340E9">
      <w:pPr>
        <w:pStyle w:val="8"/>
        <w:spacing w:before="120" w:after="120" w:line="360" w:lineRule="auto"/>
        <w:rPr>
          <w:rFonts w:ascii="Times New Roman" w:hAnsi="Times New Roman" w:eastAsia="黑体"/>
          <w:b w:val="0"/>
          <w:sz w:val="32"/>
          <w:szCs w:val="32"/>
        </w:rPr>
      </w:pPr>
      <w:bookmarkStart w:id="660" w:name="_Toc351203633"/>
      <w:r>
        <w:rPr>
          <w:rFonts w:ascii="Times New Roman" w:hAnsi="Times New Roman" w:eastAsia="黑体"/>
          <w:b w:val="0"/>
          <w:sz w:val="32"/>
          <w:szCs w:val="32"/>
        </w:rPr>
        <w:t>1</w:t>
      </w:r>
      <w:bookmarkStart w:id="661" w:name="_Toc297120456"/>
      <w:bookmarkStart w:id="662" w:name="_Toc296891196"/>
      <w:bookmarkStart w:id="663" w:name="_Toc292559866"/>
      <w:bookmarkStart w:id="664" w:name="_Toc296503156"/>
      <w:bookmarkStart w:id="665" w:name="_Toc297048342"/>
      <w:bookmarkStart w:id="666" w:name="_Toc296890984"/>
      <w:bookmarkStart w:id="667" w:name="_Toc296346657"/>
      <w:bookmarkStart w:id="668" w:name="_Toc296944495"/>
      <w:bookmarkStart w:id="669" w:name="_Toc296347155"/>
      <w:bookmarkStart w:id="670" w:name="_Toc292559361"/>
      <w:r>
        <w:rPr>
          <w:rFonts w:ascii="Times New Roman" w:hAnsi="Times New Roman" w:eastAsia="黑体"/>
          <w:b w:val="0"/>
          <w:sz w:val="32"/>
          <w:szCs w:val="32"/>
        </w:rPr>
        <w:t>.一般约定</w:t>
      </w:r>
      <w:bookmarkEnd w:id="660"/>
    </w:p>
    <w:bookmarkEnd w:id="661"/>
    <w:bookmarkEnd w:id="662"/>
    <w:bookmarkEnd w:id="663"/>
    <w:bookmarkEnd w:id="664"/>
    <w:bookmarkEnd w:id="665"/>
    <w:bookmarkEnd w:id="666"/>
    <w:bookmarkEnd w:id="667"/>
    <w:bookmarkEnd w:id="668"/>
    <w:bookmarkEnd w:id="669"/>
    <w:bookmarkEnd w:id="670"/>
    <w:p w14:paraId="7DCFCB4A">
      <w:pPr>
        <w:spacing w:after="120" w:line="360" w:lineRule="auto"/>
        <w:ind w:firstLine="600" w:firstLineChars="200"/>
        <w:outlineLvl w:val="0"/>
        <w:rPr>
          <w:rFonts w:eastAsia="黑体"/>
          <w:sz w:val="30"/>
          <w:szCs w:val="32"/>
        </w:rPr>
      </w:pPr>
      <w:bookmarkStart w:id="671" w:name="_Toc14520"/>
      <w:bookmarkStart w:id="672" w:name="_Toc6375"/>
      <w:bookmarkStart w:id="673" w:name="_Toc24762"/>
      <w:bookmarkStart w:id="674" w:name="_Toc30873"/>
      <w:bookmarkStart w:id="675" w:name="_Toc13317"/>
      <w:r>
        <w:rPr>
          <w:rFonts w:eastAsia="黑体"/>
          <w:sz w:val="30"/>
          <w:szCs w:val="32"/>
        </w:rPr>
        <w:t>1.1词语定义</w:t>
      </w:r>
      <w:bookmarkEnd w:id="671"/>
      <w:bookmarkEnd w:id="672"/>
      <w:bookmarkEnd w:id="673"/>
      <w:bookmarkEnd w:id="674"/>
      <w:bookmarkEnd w:id="675"/>
    </w:p>
    <w:p w14:paraId="100507FF">
      <w:pPr>
        <w:spacing w:line="360" w:lineRule="auto"/>
        <w:ind w:firstLine="600" w:firstLineChars="200"/>
        <w:rPr>
          <w:rFonts w:eastAsia="仿宋_GB2312"/>
          <w:kern w:val="0"/>
          <w:sz w:val="30"/>
          <w:szCs w:val="32"/>
        </w:rPr>
      </w:pPr>
      <w:r>
        <w:rPr>
          <w:rFonts w:eastAsia="仿宋_GB2312"/>
          <w:kern w:val="0"/>
          <w:sz w:val="30"/>
          <w:szCs w:val="32"/>
        </w:rPr>
        <w:t>1.1.1合同</w:t>
      </w:r>
    </w:p>
    <w:p w14:paraId="30182CE7">
      <w:pPr>
        <w:spacing w:line="360" w:lineRule="auto"/>
        <w:ind w:firstLine="600" w:firstLineChars="200"/>
        <w:rPr>
          <w:rFonts w:eastAsia="仿宋_GB2312"/>
          <w:kern w:val="0"/>
          <w:sz w:val="30"/>
          <w:szCs w:val="32"/>
        </w:rPr>
      </w:pPr>
      <w:r>
        <w:rPr>
          <w:rFonts w:eastAsia="仿宋_GB2312"/>
          <w:kern w:val="0"/>
          <w:sz w:val="30"/>
          <w:szCs w:val="32"/>
        </w:rPr>
        <w:t>1.1.1.10其他合同文件包括：</w:t>
      </w:r>
      <w:r>
        <w:rPr>
          <w:rFonts w:eastAsia="仿宋_GB2312"/>
          <w:sz w:val="30"/>
          <w:szCs w:val="32"/>
          <w:u w:val="single"/>
        </w:rPr>
        <w:t></w:t>
      </w:r>
      <w:r>
        <w:rPr>
          <w:rFonts w:hint="eastAsia" w:eastAsia="仿宋_GB2312"/>
          <w:sz w:val="30"/>
          <w:szCs w:val="32"/>
          <w:u w:val="single"/>
        </w:rPr>
        <w:t xml:space="preserve">履行合同过程中形成的对合同内容有实质性影响的会议纪要、联系单、承诺等资料   </w:t>
      </w:r>
      <w:r>
        <w:rPr>
          <w:rFonts w:eastAsia="仿宋_GB2312"/>
          <w:sz w:val="30"/>
          <w:szCs w:val="32"/>
        </w:rPr>
        <w:t>。</w:t>
      </w:r>
    </w:p>
    <w:p w14:paraId="26299553">
      <w:pPr>
        <w:spacing w:line="360" w:lineRule="auto"/>
        <w:ind w:firstLine="600" w:firstLineChars="200"/>
        <w:rPr>
          <w:rFonts w:eastAsia="仿宋_GB2312"/>
          <w:sz w:val="30"/>
          <w:szCs w:val="32"/>
        </w:rPr>
      </w:pPr>
      <w:r>
        <w:rPr>
          <w:rFonts w:eastAsia="仿宋_GB2312"/>
          <w:sz w:val="30"/>
          <w:szCs w:val="32"/>
        </w:rPr>
        <w:t>1.1.2合同当事人及其他相关方</w:t>
      </w:r>
    </w:p>
    <w:p w14:paraId="22463983">
      <w:pPr>
        <w:spacing w:line="360" w:lineRule="auto"/>
        <w:ind w:firstLine="600" w:firstLineChars="200"/>
        <w:rPr>
          <w:rFonts w:eastAsia="仿宋_GB2312"/>
          <w:sz w:val="30"/>
          <w:szCs w:val="32"/>
        </w:rPr>
      </w:pPr>
      <w:r>
        <w:rPr>
          <w:rFonts w:eastAsia="仿宋_GB2312"/>
          <w:sz w:val="30"/>
          <w:szCs w:val="32"/>
        </w:rPr>
        <w:t>1.1.2.4监理人：</w:t>
      </w:r>
    </w:p>
    <w:p w14:paraId="484C0597">
      <w:pPr>
        <w:spacing w:line="360" w:lineRule="auto"/>
        <w:ind w:firstLine="600" w:firstLineChars="200"/>
        <w:rPr>
          <w:rFonts w:eastAsia="仿宋_GB2312"/>
          <w:sz w:val="30"/>
          <w:szCs w:val="32"/>
        </w:rPr>
      </w:pPr>
      <w:r>
        <w:rPr>
          <w:rFonts w:eastAsia="仿宋_GB2312"/>
          <w:sz w:val="30"/>
          <w:szCs w:val="32"/>
        </w:rPr>
        <w:t>名    称：</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xml:space="preserve">    </w:t>
      </w:r>
      <w:r>
        <w:rPr>
          <w:rFonts w:eastAsia="仿宋_GB2312"/>
          <w:sz w:val="30"/>
          <w:szCs w:val="32"/>
        </w:rPr>
        <w:t>；</w:t>
      </w:r>
    </w:p>
    <w:p w14:paraId="517E925A">
      <w:pPr>
        <w:spacing w:line="360" w:lineRule="auto"/>
        <w:ind w:firstLine="600" w:firstLineChars="200"/>
        <w:rPr>
          <w:rFonts w:eastAsia="仿宋_GB2312"/>
          <w:sz w:val="30"/>
          <w:szCs w:val="32"/>
        </w:rPr>
      </w:pPr>
      <w:r>
        <w:rPr>
          <w:rFonts w:eastAsia="仿宋_GB2312"/>
          <w:sz w:val="30"/>
          <w:szCs w:val="32"/>
        </w:rPr>
        <w:t>资质类别和等级：</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45F51513">
      <w:pPr>
        <w:spacing w:line="360" w:lineRule="auto"/>
        <w:ind w:firstLine="600" w:firstLineChars="200"/>
        <w:rPr>
          <w:rFonts w:eastAsia="仿宋_GB2312"/>
          <w:sz w:val="30"/>
          <w:szCs w:val="32"/>
        </w:rPr>
      </w:pPr>
      <w:r>
        <w:rPr>
          <w:rFonts w:eastAsia="仿宋_GB2312"/>
          <w:sz w:val="30"/>
          <w:szCs w:val="32"/>
        </w:rPr>
        <w:t>联系电话：</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eastAsia="仿宋_GB2312"/>
          <w:sz w:val="30"/>
          <w:szCs w:val="32"/>
        </w:rPr>
        <w:t>；</w:t>
      </w:r>
    </w:p>
    <w:p w14:paraId="1E83BE59">
      <w:pPr>
        <w:spacing w:line="360" w:lineRule="auto"/>
        <w:ind w:firstLine="600" w:firstLineChars="200"/>
        <w:rPr>
          <w:rFonts w:eastAsia="仿宋_GB2312"/>
          <w:sz w:val="30"/>
          <w:szCs w:val="32"/>
        </w:rPr>
      </w:pPr>
      <w:r>
        <w:rPr>
          <w:rFonts w:eastAsia="仿宋_GB2312"/>
          <w:sz w:val="30"/>
          <w:szCs w:val="32"/>
        </w:rPr>
        <w:t>电子信箱：</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04ACDCCD">
      <w:pPr>
        <w:spacing w:line="360" w:lineRule="auto"/>
        <w:ind w:firstLine="600" w:firstLineChars="200"/>
        <w:rPr>
          <w:rFonts w:eastAsia="仿宋_GB2312"/>
          <w:sz w:val="30"/>
          <w:szCs w:val="32"/>
        </w:rPr>
      </w:pPr>
      <w:r>
        <w:rPr>
          <w:rFonts w:eastAsia="仿宋_GB2312"/>
          <w:sz w:val="30"/>
          <w:szCs w:val="32"/>
        </w:rPr>
        <w:t>通信地址：</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eastAsia="仿宋_GB2312"/>
          <w:sz w:val="30"/>
          <w:szCs w:val="32"/>
        </w:rPr>
        <w:t>。</w:t>
      </w:r>
    </w:p>
    <w:p w14:paraId="3147B8FF">
      <w:pPr>
        <w:spacing w:line="360" w:lineRule="auto"/>
        <w:ind w:firstLine="600" w:firstLineChars="200"/>
        <w:rPr>
          <w:rFonts w:eastAsia="仿宋_GB2312"/>
          <w:sz w:val="30"/>
          <w:szCs w:val="32"/>
        </w:rPr>
      </w:pPr>
      <w:r>
        <w:rPr>
          <w:rFonts w:eastAsia="仿宋_GB2312"/>
          <w:sz w:val="30"/>
          <w:szCs w:val="32"/>
        </w:rPr>
        <w:t>1.1.2.5设计人：</w:t>
      </w:r>
    </w:p>
    <w:p w14:paraId="508AA5FE">
      <w:pPr>
        <w:spacing w:line="360" w:lineRule="auto"/>
        <w:ind w:firstLine="600" w:firstLineChars="200"/>
        <w:rPr>
          <w:rFonts w:eastAsia="仿宋_GB2312"/>
          <w:sz w:val="30"/>
          <w:szCs w:val="32"/>
        </w:rPr>
      </w:pPr>
      <w:r>
        <w:rPr>
          <w:rFonts w:eastAsia="仿宋_GB2312"/>
          <w:sz w:val="30"/>
          <w:szCs w:val="32"/>
        </w:rPr>
        <w:t>名    称：</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xml:space="preserve">    </w:t>
      </w:r>
      <w:r>
        <w:rPr>
          <w:rFonts w:eastAsia="仿宋_GB2312"/>
          <w:sz w:val="30"/>
          <w:szCs w:val="32"/>
        </w:rPr>
        <w:t>；</w:t>
      </w:r>
    </w:p>
    <w:p w14:paraId="43710867">
      <w:pPr>
        <w:spacing w:line="360" w:lineRule="auto"/>
        <w:ind w:firstLine="600" w:firstLineChars="200"/>
        <w:rPr>
          <w:rFonts w:eastAsia="仿宋_GB2312"/>
          <w:sz w:val="30"/>
          <w:szCs w:val="32"/>
        </w:rPr>
      </w:pPr>
      <w:r>
        <w:rPr>
          <w:rFonts w:eastAsia="仿宋_GB2312"/>
          <w:sz w:val="30"/>
          <w:szCs w:val="32"/>
        </w:rPr>
        <w:t>资质类别和等级：</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eastAsia="仿宋_GB2312"/>
          <w:sz w:val="30"/>
          <w:szCs w:val="32"/>
        </w:rPr>
        <w:t>；</w:t>
      </w:r>
    </w:p>
    <w:p w14:paraId="394DB8F1">
      <w:pPr>
        <w:spacing w:line="360" w:lineRule="auto"/>
        <w:ind w:firstLine="600" w:firstLineChars="200"/>
        <w:rPr>
          <w:rFonts w:eastAsia="仿宋_GB2312"/>
          <w:sz w:val="30"/>
          <w:szCs w:val="32"/>
        </w:rPr>
      </w:pPr>
      <w:r>
        <w:rPr>
          <w:rFonts w:eastAsia="仿宋_GB2312"/>
          <w:sz w:val="30"/>
          <w:szCs w:val="32"/>
        </w:rPr>
        <w:t>联系电话：</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eastAsia="仿宋_GB2312"/>
          <w:sz w:val="30"/>
          <w:szCs w:val="32"/>
        </w:rPr>
        <w:t>；</w:t>
      </w:r>
    </w:p>
    <w:p w14:paraId="35AF3F4E">
      <w:pPr>
        <w:spacing w:line="360" w:lineRule="auto"/>
        <w:ind w:firstLine="600" w:firstLineChars="200"/>
        <w:rPr>
          <w:rFonts w:eastAsia="仿宋_GB2312"/>
          <w:sz w:val="30"/>
          <w:szCs w:val="32"/>
        </w:rPr>
      </w:pPr>
      <w:r>
        <w:rPr>
          <w:rFonts w:eastAsia="仿宋_GB2312"/>
          <w:sz w:val="30"/>
          <w:szCs w:val="32"/>
        </w:rPr>
        <w:t>电子信箱：</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rPr>
        <w:t>；</w:t>
      </w:r>
    </w:p>
    <w:p w14:paraId="2C201F42">
      <w:pPr>
        <w:spacing w:line="360" w:lineRule="auto"/>
        <w:ind w:firstLine="600" w:firstLineChars="200"/>
        <w:rPr>
          <w:rFonts w:eastAsia="仿宋_GB2312"/>
          <w:sz w:val="30"/>
          <w:szCs w:val="32"/>
        </w:rPr>
      </w:pPr>
      <w:r>
        <w:rPr>
          <w:rFonts w:eastAsia="仿宋_GB2312"/>
          <w:sz w:val="30"/>
          <w:szCs w:val="32"/>
        </w:rPr>
        <w:t>通信地址：</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eastAsia="仿宋_GB2312"/>
          <w:sz w:val="30"/>
          <w:szCs w:val="32"/>
        </w:rPr>
        <w:t>。</w:t>
      </w:r>
    </w:p>
    <w:p w14:paraId="692AE531">
      <w:pPr>
        <w:spacing w:line="360" w:lineRule="auto"/>
        <w:ind w:firstLine="600" w:firstLineChars="200"/>
        <w:rPr>
          <w:rFonts w:eastAsia="仿宋_GB2312"/>
          <w:sz w:val="30"/>
          <w:szCs w:val="32"/>
        </w:rPr>
      </w:pPr>
      <w:r>
        <w:rPr>
          <w:rFonts w:eastAsia="仿宋_GB2312"/>
          <w:sz w:val="30"/>
          <w:szCs w:val="32"/>
        </w:rPr>
        <w:t>1.1.3工程和设备</w:t>
      </w:r>
    </w:p>
    <w:p w14:paraId="0FC5A473">
      <w:pPr>
        <w:spacing w:line="360" w:lineRule="auto"/>
        <w:ind w:firstLine="600" w:firstLineChars="200"/>
        <w:rPr>
          <w:rFonts w:eastAsia="仿宋_GB2312"/>
          <w:sz w:val="30"/>
          <w:szCs w:val="32"/>
        </w:rPr>
      </w:pPr>
      <w:r>
        <w:rPr>
          <w:rFonts w:eastAsia="仿宋_GB2312"/>
          <w:sz w:val="30"/>
          <w:szCs w:val="32"/>
        </w:rPr>
        <w:t xml:space="preserve">1.1.3.7 </w:t>
      </w:r>
      <w:r>
        <w:rPr>
          <w:rFonts w:hint="eastAsia" w:eastAsia="仿宋_GB2312"/>
          <w:sz w:val="30"/>
          <w:szCs w:val="32"/>
        </w:rPr>
        <w:t>作为施工现场组成部分的其他场所包括：</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 xml:space="preserve">    </w:t>
      </w:r>
      <w:r>
        <w:rPr>
          <w:rFonts w:hint="eastAsia" w:eastAsia="仿宋_GB2312"/>
          <w:sz w:val="30"/>
          <w:szCs w:val="32"/>
        </w:rPr>
        <w:t>。</w:t>
      </w:r>
    </w:p>
    <w:p w14:paraId="3F9C819D">
      <w:pPr>
        <w:spacing w:line="360" w:lineRule="auto"/>
        <w:ind w:firstLine="600" w:firstLineChars="200"/>
        <w:jc w:val="left"/>
        <w:rPr>
          <w:rFonts w:eastAsia="仿宋_GB2312"/>
          <w:kern w:val="0"/>
          <w:sz w:val="30"/>
          <w:szCs w:val="32"/>
        </w:rPr>
      </w:pPr>
      <w:r>
        <w:rPr>
          <w:rFonts w:eastAsia="仿宋_GB2312"/>
          <w:kern w:val="0"/>
          <w:sz w:val="30"/>
          <w:szCs w:val="32"/>
        </w:rPr>
        <w:t xml:space="preserve">1.1.3.9 </w:t>
      </w:r>
      <w:r>
        <w:rPr>
          <w:rFonts w:hint="eastAsia" w:eastAsia="仿宋_GB2312"/>
          <w:kern w:val="0"/>
          <w:sz w:val="30"/>
          <w:szCs w:val="32"/>
        </w:rPr>
        <w:t>永久占地包括：</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 xml:space="preserve">    </w:t>
      </w:r>
      <w:r>
        <w:rPr>
          <w:rFonts w:hint="eastAsia" w:eastAsia="仿宋_GB2312"/>
          <w:kern w:val="0"/>
          <w:sz w:val="30"/>
          <w:szCs w:val="32"/>
        </w:rPr>
        <w:t>。</w:t>
      </w:r>
    </w:p>
    <w:p w14:paraId="34CEA017">
      <w:pPr>
        <w:spacing w:line="360" w:lineRule="auto"/>
        <w:ind w:firstLine="600" w:firstLineChars="200"/>
        <w:jc w:val="left"/>
        <w:rPr>
          <w:rFonts w:eastAsia="仿宋_GB2312"/>
          <w:sz w:val="30"/>
          <w:szCs w:val="32"/>
        </w:rPr>
      </w:pPr>
      <w:r>
        <w:rPr>
          <w:rFonts w:eastAsia="仿宋_GB2312"/>
          <w:kern w:val="0"/>
          <w:sz w:val="30"/>
          <w:szCs w:val="32"/>
        </w:rPr>
        <w:t xml:space="preserve">1.1.3.10 </w:t>
      </w:r>
      <w:r>
        <w:rPr>
          <w:rFonts w:hint="eastAsia" w:eastAsia="仿宋_GB2312"/>
          <w:kern w:val="0"/>
          <w:sz w:val="30"/>
          <w:szCs w:val="32"/>
        </w:rPr>
        <w:t>临时占地包括：</w:t>
      </w:r>
      <w:r>
        <w:rPr>
          <w:rFonts w:eastAsia="仿宋_GB2312"/>
          <w:sz w:val="30"/>
          <w:szCs w:val="32"/>
          <w:u w:val="single"/>
        </w:rPr>
        <w:t xml:space="preserve"> </w:t>
      </w:r>
      <w:r>
        <w:rPr>
          <w:rFonts w:hint="eastAsia" w:eastAsia="仿宋_GB2312"/>
          <w:sz w:val="30"/>
          <w:szCs w:val="32"/>
          <w:u w:val="single"/>
        </w:rPr>
        <w:t>发包人现场指定的现场办公场地、职工生活区、材料加工场地、临时堆放场地及其他临时场地</w:t>
      </w:r>
      <w:r>
        <w:rPr>
          <w:rFonts w:eastAsia="仿宋_GB2312"/>
          <w:sz w:val="30"/>
          <w:szCs w:val="32"/>
          <w:u w:val="single"/>
        </w:rPr>
        <w:t xml:space="preserve">  </w:t>
      </w:r>
      <w:r>
        <w:rPr>
          <w:rFonts w:hint="eastAsia" w:eastAsia="仿宋_GB2312"/>
          <w:kern w:val="0"/>
          <w:sz w:val="30"/>
          <w:szCs w:val="32"/>
        </w:rPr>
        <w:t>。</w:t>
      </w:r>
    </w:p>
    <w:p w14:paraId="67A4CE61">
      <w:pPr>
        <w:spacing w:after="120" w:line="360" w:lineRule="auto"/>
        <w:ind w:firstLine="600" w:firstLineChars="200"/>
        <w:rPr>
          <w:rFonts w:eastAsia="黑体"/>
          <w:sz w:val="30"/>
          <w:szCs w:val="32"/>
        </w:rPr>
      </w:pPr>
      <w:r>
        <w:rPr>
          <w:rFonts w:eastAsia="黑体"/>
          <w:sz w:val="30"/>
          <w:szCs w:val="32"/>
        </w:rPr>
        <w:t>1.3法律</w:t>
      </w:r>
    </w:p>
    <w:p w14:paraId="7F9AC9D1">
      <w:pPr>
        <w:spacing w:after="120" w:line="360" w:lineRule="auto"/>
        <w:ind w:firstLine="600" w:firstLineChars="200"/>
        <w:rPr>
          <w:rFonts w:eastAsia="仿宋_GB2312"/>
          <w:sz w:val="30"/>
          <w:szCs w:val="32"/>
          <w:u w:val="single"/>
        </w:rPr>
      </w:pPr>
      <w:r>
        <w:rPr>
          <w:rFonts w:hint="eastAsia" w:eastAsia="仿宋_GB2312"/>
          <w:sz w:val="30"/>
          <w:szCs w:val="32"/>
        </w:rPr>
        <w:t>适用于合同的其他规范性文件：</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 xml:space="preserve">    </w:t>
      </w:r>
      <w:r>
        <w:rPr>
          <w:rFonts w:hint="eastAsia" w:eastAsia="仿宋_GB2312"/>
          <w:sz w:val="30"/>
          <w:szCs w:val="32"/>
          <w:u w:val="single"/>
        </w:rPr>
        <w:t>。</w:t>
      </w:r>
    </w:p>
    <w:p w14:paraId="0D4596FC">
      <w:pPr>
        <w:spacing w:after="120" w:line="360" w:lineRule="auto"/>
        <w:ind w:firstLine="600" w:firstLineChars="200"/>
        <w:rPr>
          <w:rFonts w:eastAsia="黑体"/>
          <w:sz w:val="30"/>
          <w:szCs w:val="32"/>
        </w:rPr>
      </w:pPr>
      <w:r>
        <w:rPr>
          <w:rFonts w:eastAsia="黑体"/>
          <w:sz w:val="30"/>
          <w:szCs w:val="32"/>
        </w:rPr>
        <w:t xml:space="preserve">1.4 </w:t>
      </w:r>
      <w:r>
        <w:rPr>
          <w:rFonts w:hint="eastAsia" w:eastAsia="黑体"/>
          <w:sz w:val="30"/>
          <w:szCs w:val="32"/>
        </w:rPr>
        <w:t>标准和规范</w:t>
      </w:r>
    </w:p>
    <w:p w14:paraId="190BFAA2">
      <w:pPr>
        <w:spacing w:line="360" w:lineRule="auto"/>
        <w:ind w:firstLine="600" w:firstLineChars="200"/>
        <w:rPr>
          <w:rFonts w:eastAsia="仿宋_GB2312"/>
          <w:sz w:val="30"/>
          <w:szCs w:val="32"/>
        </w:rPr>
      </w:pPr>
      <w:r>
        <w:rPr>
          <w:rFonts w:eastAsia="仿宋_GB2312"/>
          <w:sz w:val="30"/>
          <w:szCs w:val="32"/>
        </w:rPr>
        <w:t>1.4.1</w:t>
      </w:r>
      <w:r>
        <w:rPr>
          <w:rFonts w:hint="eastAsia" w:eastAsia="仿宋_GB2312"/>
          <w:sz w:val="30"/>
          <w:szCs w:val="32"/>
        </w:rPr>
        <w:t>适用于工程的标准规范包括：</w:t>
      </w:r>
      <w:r>
        <w:rPr>
          <w:rFonts w:hint="eastAsia" w:eastAsia="仿宋_GB2312"/>
          <w:sz w:val="30"/>
          <w:szCs w:val="32"/>
          <w:u w:val="single"/>
        </w:rPr>
        <w:t>同《通用合同条款》</w:t>
      </w:r>
      <w:r>
        <w:rPr>
          <w:rFonts w:eastAsia="仿宋_GB2312"/>
          <w:sz w:val="30"/>
          <w:szCs w:val="32"/>
          <w:u w:val="single"/>
        </w:rPr>
        <w:t>1.4.1</w:t>
      </w:r>
      <w:r>
        <w:rPr>
          <w:rFonts w:hint="eastAsia" w:eastAsia="仿宋_GB2312"/>
          <w:sz w:val="30"/>
          <w:szCs w:val="32"/>
          <w:u w:val="single"/>
        </w:rPr>
        <w:t>，前述标准规范发生变化的，承包人应按照最新的标准规范施工，确保工程通过各项验收。各标准规范要求不一致时，应以要求较高者为准</w:t>
      </w:r>
      <w:r>
        <w:rPr>
          <w:rFonts w:hint="eastAsia" w:eastAsia="仿宋_GB2312"/>
          <w:sz w:val="30"/>
          <w:szCs w:val="32"/>
        </w:rPr>
        <w:t>。</w:t>
      </w:r>
    </w:p>
    <w:p w14:paraId="509C07D0">
      <w:pPr>
        <w:spacing w:line="360" w:lineRule="auto"/>
        <w:ind w:firstLine="600" w:firstLineChars="200"/>
        <w:rPr>
          <w:rFonts w:eastAsia="仿宋_GB2312"/>
          <w:kern w:val="0"/>
          <w:sz w:val="30"/>
          <w:szCs w:val="32"/>
        </w:rPr>
      </w:pPr>
      <w:r>
        <w:rPr>
          <w:rFonts w:eastAsia="仿宋_GB2312"/>
          <w:kern w:val="0"/>
          <w:sz w:val="30"/>
          <w:szCs w:val="32"/>
        </w:rPr>
        <w:t xml:space="preserve">1.4.2 </w:t>
      </w:r>
      <w:r>
        <w:rPr>
          <w:rFonts w:hint="eastAsia" w:eastAsia="仿宋_GB2312"/>
          <w:kern w:val="0"/>
          <w:sz w:val="30"/>
          <w:szCs w:val="32"/>
        </w:rPr>
        <w:t>发包人提供国外标准、规范的名称：</w:t>
      </w:r>
      <w:r>
        <w:rPr>
          <w:rFonts w:eastAsia="仿宋_GB2312"/>
          <w:kern w:val="0"/>
          <w:sz w:val="30"/>
          <w:szCs w:val="32"/>
          <w:u w:val="single"/>
        </w:rPr>
        <w:t xml:space="preserve">     </w:t>
      </w:r>
      <w:r>
        <w:rPr>
          <w:rFonts w:hint="eastAsia" w:eastAsia="仿宋_GB2312"/>
          <w:kern w:val="0"/>
          <w:sz w:val="30"/>
          <w:szCs w:val="32"/>
          <w:u w:val="single"/>
        </w:rPr>
        <w:t>无</w:t>
      </w:r>
      <w:r>
        <w:rPr>
          <w:rFonts w:eastAsia="仿宋_GB2312"/>
          <w:kern w:val="0"/>
          <w:sz w:val="30"/>
          <w:szCs w:val="32"/>
          <w:u w:val="single"/>
        </w:rPr>
        <w:t xml:space="preserve">    </w:t>
      </w:r>
      <w:r>
        <w:rPr>
          <w:rFonts w:hint="eastAsia" w:eastAsia="仿宋_GB2312"/>
          <w:kern w:val="0"/>
          <w:sz w:val="30"/>
          <w:szCs w:val="32"/>
        </w:rPr>
        <w:t>；</w:t>
      </w:r>
    </w:p>
    <w:p w14:paraId="45C205BA">
      <w:pPr>
        <w:spacing w:line="360" w:lineRule="auto"/>
        <w:ind w:firstLine="600" w:firstLineChars="200"/>
        <w:rPr>
          <w:rFonts w:eastAsia="仿宋_GB2312"/>
          <w:kern w:val="0"/>
          <w:sz w:val="30"/>
          <w:szCs w:val="32"/>
        </w:rPr>
      </w:pPr>
      <w:r>
        <w:rPr>
          <w:rFonts w:hint="eastAsia" w:eastAsia="仿宋_GB2312"/>
          <w:kern w:val="0"/>
          <w:sz w:val="30"/>
          <w:szCs w:val="32"/>
        </w:rPr>
        <w:t>发包人提供国外标准、规范的份数：</w:t>
      </w:r>
      <w:r>
        <w:rPr>
          <w:rFonts w:eastAsia="仿宋_GB2312"/>
          <w:kern w:val="0"/>
          <w:sz w:val="30"/>
          <w:szCs w:val="32"/>
          <w:u w:val="single"/>
        </w:rPr>
        <w:t xml:space="preserve">    </w:t>
      </w:r>
      <w:r>
        <w:rPr>
          <w:rFonts w:hint="eastAsia" w:eastAsia="仿宋_GB2312"/>
          <w:kern w:val="0"/>
          <w:sz w:val="30"/>
          <w:szCs w:val="32"/>
          <w:u w:val="single"/>
        </w:rPr>
        <w:t xml:space="preserve">无  </w:t>
      </w:r>
      <w:r>
        <w:rPr>
          <w:rFonts w:hint="eastAsia" w:eastAsia="仿宋_GB2312"/>
          <w:kern w:val="0"/>
          <w:sz w:val="30"/>
          <w:szCs w:val="32"/>
        </w:rPr>
        <w:t>；</w:t>
      </w:r>
    </w:p>
    <w:p w14:paraId="3C096C1E">
      <w:pPr>
        <w:spacing w:line="360" w:lineRule="auto"/>
        <w:ind w:firstLine="600" w:firstLineChars="200"/>
        <w:rPr>
          <w:rFonts w:eastAsia="仿宋_GB2312"/>
          <w:sz w:val="30"/>
          <w:szCs w:val="32"/>
        </w:rPr>
      </w:pPr>
      <w:r>
        <w:rPr>
          <w:rFonts w:hint="eastAsia" w:eastAsia="仿宋_GB2312"/>
          <w:kern w:val="0"/>
          <w:sz w:val="30"/>
          <w:szCs w:val="32"/>
        </w:rPr>
        <w:t>发包人提供国外标准、规范的名称：</w:t>
      </w:r>
      <w:r>
        <w:rPr>
          <w:rFonts w:eastAsia="仿宋_GB2312"/>
          <w:kern w:val="0"/>
          <w:sz w:val="30"/>
          <w:szCs w:val="32"/>
          <w:u w:val="single"/>
        </w:rPr>
        <w:t xml:space="preserve">     </w:t>
      </w:r>
      <w:r>
        <w:rPr>
          <w:rFonts w:hint="eastAsia" w:eastAsia="仿宋_GB2312"/>
          <w:kern w:val="0"/>
          <w:sz w:val="30"/>
          <w:szCs w:val="32"/>
          <w:u w:val="single"/>
        </w:rPr>
        <w:t xml:space="preserve">无  </w:t>
      </w:r>
      <w:r>
        <w:rPr>
          <w:rFonts w:eastAsia="仿宋_GB2312"/>
          <w:kern w:val="0"/>
          <w:sz w:val="30"/>
          <w:szCs w:val="32"/>
          <w:u w:val="single"/>
        </w:rPr>
        <w:t xml:space="preserve"> </w:t>
      </w:r>
      <w:r>
        <w:rPr>
          <w:rFonts w:hint="eastAsia" w:eastAsia="仿宋_GB2312"/>
          <w:kern w:val="0"/>
          <w:sz w:val="30"/>
          <w:szCs w:val="32"/>
        </w:rPr>
        <w:t>。</w:t>
      </w:r>
    </w:p>
    <w:p w14:paraId="70031A42">
      <w:pPr>
        <w:spacing w:line="360" w:lineRule="auto"/>
        <w:ind w:left="596" w:leftChars="284"/>
        <w:rPr>
          <w:rFonts w:eastAsia="仿宋_GB2312"/>
          <w:sz w:val="30"/>
          <w:szCs w:val="32"/>
        </w:rPr>
      </w:pPr>
      <w:r>
        <w:rPr>
          <w:rFonts w:eastAsia="仿宋_GB2312"/>
          <w:sz w:val="30"/>
          <w:szCs w:val="32"/>
        </w:rPr>
        <w:t>1.4.3</w:t>
      </w:r>
      <w:r>
        <w:rPr>
          <w:rFonts w:hint="eastAsia" w:eastAsia="仿宋_GB2312"/>
          <w:sz w:val="30"/>
          <w:szCs w:val="32"/>
        </w:rPr>
        <w:t>发包人对工程的技术标准和功能要求的特殊要求：</w:t>
      </w:r>
      <w:r>
        <w:rPr>
          <w:rFonts w:hint="eastAsia" w:eastAsia="仿宋_GB2312"/>
          <w:sz w:val="30"/>
          <w:szCs w:val="32"/>
          <w:u w:val="single"/>
        </w:rPr>
        <w:t>无。</w:t>
      </w:r>
    </w:p>
    <w:p w14:paraId="2531F139">
      <w:pPr>
        <w:spacing w:after="120" w:line="360" w:lineRule="auto"/>
        <w:ind w:firstLine="600" w:firstLineChars="200"/>
        <w:outlineLvl w:val="0"/>
        <w:rPr>
          <w:rFonts w:eastAsia="黑体"/>
          <w:sz w:val="30"/>
          <w:szCs w:val="32"/>
        </w:rPr>
      </w:pPr>
      <w:bookmarkStart w:id="676" w:name="_Toc6863"/>
      <w:bookmarkStart w:id="677" w:name="_Toc11417"/>
      <w:bookmarkStart w:id="678" w:name="_Toc8443"/>
      <w:bookmarkStart w:id="679" w:name="_Toc6327"/>
      <w:bookmarkStart w:id="680" w:name="_Toc17942"/>
      <w:r>
        <w:rPr>
          <w:rFonts w:eastAsia="黑体"/>
          <w:sz w:val="30"/>
          <w:szCs w:val="32"/>
        </w:rPr>
        <w:t>1.5合同文件的优先顺序</w:t>
      </w:r>
      <w:bookmarkEnd w:id="676"/>
      <w:bookmarkEnd w:id="677"/>
      <w:bookmarkEnd w:id="678"/>
      <w:bookmarkEnd w:id="679"/>
      <w:bookmarkEnd w:id="680"/>
    </w:p>
    <w:p w14:paraId="49B7898A">
      <w:pPr>
        <w:spacing w:line="360" w:lineRule="auto"/>
        <w:ind w:firstLine="600" w:firstLineChars="200"/>
        <w:rPr>
          <w:rFonts w:eastAsia="仿宋_GB2312"/>
          <w:sz w:val="30"/>
          <w:szCs w:val="32"/>
        </w:rPr>
      </w:pPr>
      <w:r>
        <w:rPr>
          <w:rFonts w:eastAsia="仿宋_GB2312"/>
          <w:sz w:val="30"/>
          <w:szCs w:val="32"/>
        </w:rPr>
        <w:t>合同文件组成及优先顺序为：</w:t>
      </w:r>
      <w:r>
        <w:rPr>
          <w:rFonts w:hint="eastAsia" w:eastAsia="仿宋_GB2312"/>
          <w:sz w:val="30"/>
          <w:szCs w:val="32"/>
          <w:u w:val="single"/>
        </w:rPr>
        <w:t>执行协议书第六条合同文件顺序</w:t>
      </w:r>
      <w:r>
        <w:rPr>
          <w:rFonts w:hint="eastAsia" w:eastAsia="仿宋_GB2312"/>
          <w:sz w:val="30"/>
          <w:szCs w:val="32"/>
        </w:rPr>
        <w:t>。</w:t>
      </w:r>
    </w:p>
    <w:p w14:paraId="319EF2FC">
      <w:pPr>
        <w:spacing w:after="120" w:line="360" w:lineRule="auto"/>
        <w:ind w:firstLine="600" w:firstLineChars="200"/>
        <w:outlineLvl w:val="0"/>
        <w:rPr>
          <w:rFonts w:eastAsia="黑体"/>
          <w:sz w:val="30"/>
          <w:szCs w:val="32"/>
        </w:rPr>
      </w:pPr>
      <w:bookmarkStart w:id="681" w:name="_Toc28978"/>
      <w:bookmarkStart w:id="682" w:name="_Toc1217"/>
      <w:bookmarkStart w:id="683" w:name="_Toc28039"/>
      <w:bookmarkStart w:id="684" w:name="_Toc3151"/>
      <w:bookmarkStart w:id="685" w:name="_Toc32036"/>
      <w:r>
        <w:rPr>
          <w:rFonts w:eastAsia="黑体"/>
          <w:sz w:val="30"/>
          <w:szCs w:val="32"/>
        </w:rPr>
        <w:t>1.6图纸和承包人文件</w:t>
      </w:r>
      <w:bookmarkEnd w:id="681"/>
      <w:bookmarkEnd w:id="682"/>
      <w:bookmarkEnd w:id="683"/>
      <w:bookmarkEnd w:id="684"/>
      <w:bookmarkEnd w:id="685"/>
      <w:r>
        <w:rPr>
          <w:rFonts w:eastAsia="黑体"/>
          <w:sz w:val="30"/>
          <w:szCs w:val="32"/>
        </w:rPr>
        <w:tab/>
      </w:r>
    </w:p>
    <w:p w14:paraId="08AF8A16">
      <w:pPr>
        <w:spacing w:line="360" w:lineRule="auto"/>
        <w:ind w:firstLine="600" w:firstLineChars="200"/>
        <w:rPr>
          <w:rFonts w:eastAsia="仿宋_GB2312"/>
          <w:sz w:val="30"/>
          <w:szCs w:val="32"/>
        </w:rPr>
      </w:pPr>
      <w:r>
        <w:rPr>
          <w:rFonts w:eastAsia="仿宋_GB2312"/>
          <w:sz w:val="30"/>
          <w:szCs w:val="32"/>
        </w:rPr>
        <w:t xml:space="preserve">1.6.1 </w:t>
      </w:r>
      <w:r>
        <w:rPr>
          <w:rFonts w:hint="eastAsia" w:eastAsia="仿宋_GB2312"/>
          <w:sz w:val="30"/>
          <w:szCs w:val="32"/>
        </w:rPr>
        <w:t>图纸的提供</w:t>
      </w:r>
    </w:p>
    <w:p w14:paraId="55739BEF">
      <w:pPr>
        <w:spacing w:line="360" w:lineRule="auto"/>
        <w:ind w:firstLine="600" w:firstLineChars="200"/>
        <w:rPr>
          <w:rFonts w:eastAsia="仿宋_GB2312"/>
          <w:sz w:val="30"/>
          <w:szCs w:val="32"/>
        </w:rPr>
      </w:pPr>
      <w:r>
        <w:rPr>
          <w:rFonts w:hint="eastAsia" w:eastAsia="仿宋_GB2312"/>
          <w:sz w:val="30"/>
          <w:szCs w:val="32"/>
        </w:rPr>
        <w:t>发包人向承包人提供图纸的期限：</w:t>
      </w:r>
      <w:r>
        <w:rPr>
          <w:rFonts w:hint="eastAsia" w:ascii="仿宋_GB2312" w:hAnsi="仿宋_GB2312" w:eastAsia="仿宋_GB2312" w:cs="仿宋_GB2312"/>
          <w:sz w:val="32"/>
          <w:szCs w:val="32"/>
          <w:u w:val="single"/>
        </w:rPr>
        <w:t>合同生效后七日内提供</w:t>
      </w:r>
      <w:r>
        <w:rPr>
          <w:rFonts w:hint="eastAsia" w:eastAsia="仿宋_GB2312"/>
          <w:sz w:val="30"/>
          <w:szCs w:val="32"/>
        </w:rPr>
        <w:t>；</w:t>
      </w:r>
    </w:p>
    <w:p w14:paraId="1773F665">
      <w:pPr>
        <w:spacing w:line="360" w:lineRule="auto"/>
        <w:ind w:firstLine="600" w:firstLineChars="200"/>
        <w:rPr>
          <w:rFonts w:eastAsia="仿宋_GB2312"/>
          <w:sz w:val="28"/>
          <w:szCs w:val="28"/>
          <w:u w:val="single"/>
        </w:rPr>
      </w:pPr>
      <w:r>
        <w:rPr>
          <w:rFonts w:hint="eastAsia" w:eastAsia="仿宋_GB2312"/>
          <w:sz w:val="30"/>
          <w:szCs w:val="32"/>
        </w:rPr>
        <w:t>发包人向承包人提供图纸的数量：</w:t>
      </w:r>
      <w:r>
        <w:rPr>
          <w:rFonts w:hint="eastAsia" w:eastAsia="仿宋_GB2312"/>
          <w:sz w:val="30"/>
          <w:szCs w:val="32"/>
          <w:u w:val="single"/>
        </w:rPr>
        <w:t>八套纸质版及电子版。</w:t>
      </w:r>
      <w:r>
        <w:rPr>
          <w:rFonts w:hint="eastAsia" w:ascii="仿宋_GB2312" w:hAnsi="仿宋_GB2312" w:eastAsia="仿宋_GB2312" w:cs="仿宋_GB2312"/>
          <w:sz w:val="32"/>
          <w:szCs w:val="32"/>
          <w:u w:val="single"/>
        </w:rPr>
        <w:t>已包括承包人为制作竣工图所需要的图纸份数，图纸超过专用条款约定数量部分的复制费由承包人承担。</w:t>
      </w:r>
    </w:p>
    <w:p w14:paraId="36C8A8F3">
      <w:pPr>
        <w:spacing w:line="360" w:lineRule="auto"/>
        <w:ind w:firstLine="600" w:firstLineChars="200"/>
        <w:rPr>
          <w:rFonts w:hint="eastAsia" w:ascii="仿宋_GB2312" w:hAnsi="仿宋_GB2312" w:eastAsia="仿宋_GB2312" w:cs="仿宋_GB2312"/>
          <w:sz w:val="30"/>
          <w:szCs w:val="30"/>
          <w:u w:val="single"/>
        </w:rPr>
      </w:pPr>
      <w:r>
        <w:rPr>
          <w:rFonts w:hint="eastAsia" w:eastAsia="仿宋_GB2312"/>
          <w:sz w:val="30"/>
          <w:szCs w:val="30"/>
        </w:rPr>
        <w:t>发包人向承包人提供图纸的内容：</w:t>
      </w:r>
      <w:r>
        <w:rPr>
          <w:rFonts w:ascii="仿宋" w:hAnsi="仿宋" w:eastAsia="仿宋" w:cs="仿宋"/>
          <w:sz w:val="30"/>
          <w:szCs w:val="30"/>
          <w:u w:val="single"/>
        </w:rPr>
        <w:t>承</w:t>
      </w:r>
      <w:r>
        <w:rPr>
          <w:rFonts w:ascii="仿宋_GB2312" w:hAnsi="仿宋_GB2312" w:eastAsia="仿宋_GB2312" w:cs="仿宋_GB2312"/>
          <w:sz w:val="30"/>
          <w:szCs w:val="30"/>
          <w:u w:val="single"/>
        </w:rPr>
        <w:t>包人承包</w:t>
      </w:r>
      <w:r>
        <w:rPr>
          <w:rFonts w:hint="eastAsia" w:ascii="仿宋_GB2312" w:hAnsi="仿宋_GB2312" w:eastAsia="仿宋_GB2312" w:cs="仿宋_GB2312"/>
          <w:sz w:val="30"/>
          <w:szCs w:val="30"/>
          <w:u w:val="single"/>
        </w:rPr>
        <w:t>范围内的所有</w:t>
      </w:r>
      <w:r>
        <w:rPr>
          <w:rFonts w:ascii="仿宋_GB2312" w:hAnsi="仿宋_GB2312" w:eastAsia="仿宋_GB2312" w:cs="仿宋_GB2312"/>
          <w:sz w:val="30"/>
          <w:szCs w:val="30"/>
          <w:u w:val="single"/>
        </w:rPr>
        <w:t>图纸</w:t>
      </w:r>
      <w:r>
        <w:rPr>
          <w:rFonts w:hint="eastAsia" w:ascii="仿宋_GB2312" w:hAnsi="仿宋_GB2312" w:eastAsia="仿宋_GB2312" w:cs="仿宋_GB2312"/>
          <w:sz w:val="30"/>
          <w:szCs w:val="30"/>
          <w:u w:val="single"/>
        </w:rPr>
        <w:t>。</w:t>
      </w:r>
    </w:p>
    <w:p w14:paraId="1BA7A4F0">
      <w:pPr>
        <w:spacing w:line="360" w:lineRule="auto"/>
        <w:ind w:firstLine="600" w:firstLineChars="200"/>
        <w:rPr>
          <w:rFonts w:hint="eastAsia" w:ascii="仿宋_GB2312" w:hAnsi="仿宋_GB2312" w:eastAsia="仿宋_GB2312" w:cs="仿宋_GB2312"/>
          <w:sz w:val="30"/>
          <w:szCs w:val="30"/>
          <w:u w:val="single"/>
        </w:rPr>
      </w:pPr>
      <w:r>
        <w:rPr>
          <w:rFonts w:hint="eastAsia" w:ascii="仿宋_GB2312" w:hAnsi="仿宋_GB2312" w:eastAsia="仿宋_GB2312" w:cs="仿宋_GB2312"/>
          <w:sz w:val="30"/>
          <w:szCs w:val="30"/>
          <w:u w:val="single"/>
        </w:rPr>
        <w:t>发包人有权根据设计和施工进度分批向承包人提供图纸，承包人不得以此为理由要求增加费用或顺延工期。</w:t>
      </w:r>
    </w:p>
    <w:p w14:paraId="4DA1B433">
      <w:pPr>
        <w:spacing w:line="360" w:lineRule="auto"/>
        <w:ind w:firstLine="560" w:firstLineChars="200"/>
        <w:rPr>
          <w:rFonts w:eastAsia="仿宋_GB2312"/>
          <w:kern w:val="0"/>
          <w:sz w:val="30"/>
          <w:szCs w:val="32"/>
        </w:rPr>
      </w:pPr>
      <w:r>
        <w:rPr>
          <w:rFonts w:ascii="仿宋" w:hAnsi="仿宋" w:eastAsia="仿宋" w:cs="仿宋"/>
          <w:sz w:val="28"/>
          <w:szCs w:val="28"/>
          <w:u w:val="single"/>
        </w:rPr>
        <w:t>1.6.3</w:t>
      </w:r>
      <w:r>
        <w:rPr>
          <w:rFonts w:hint="eastAsia" w:eastAsia="仿宋_GB2312"/>
          <w:kern w:val="0"/>
          <w:sz w:val="30"/>
          <w:szCs w:val="32"/>
        </w:rPr>
        <w:t>图纸的修改和补充</w:t>
      </w:r>
    </w:p>
    <w:p w14:paraId="0AB10C07">
      <w:pPr>
        <w:spacing w:line="360" w:lineRule="auto"/>
        <w:ind w:firstLine="600" w:firstLineChars="200"/>
        <w:rPr>
          <w:rFonts w:eastAsia="仿宋_GB2312"/>
          <w:kern w:val="0"/>
          <w:sz w:val="30"/>
          <w:szCs w:val="32"/>
          <w:u w:val="single"/>
        </w:rPr>
      </w:pPr>
      <w:r>
        <w:rPr>
          <w:rFonts w:hint="eastAsia" w:eastAsia="仿宋_GB2312"/>
          <w:kern w:val="0"/>
          <w:sz w:val="30"/>
          <w:szCs w:val="32"/>
          <w:u w:val="single"/>
        </w:rPr>
        <w:t>图纸的修改和补充，必须经发包人的设计变更流程下发并经监理人书面提交给承包人，</w:t>
      </w:r>
      <w:r>
        <w:rPr>
          <w:rFonts w:hint="eastAsia" w:ascii="仿宋" w:hAnsi="仿宋" w:eastAsia="仿宋" w:cs="仿宋"/>
          <w:sz w:val="30"/>
          <w:szCs w:val="32"/>
          <w:u w:val="single"/>
        </w:rPr>
        <w:t>发包人和监理人均需有授权人签字并加盖有关</w:t>
      </w:r>
      <w:r>
        <w:rPr>
          <w:rFonts w:hint="eastAsia" w:eastAsia="仿宋_GB2312"/>
          <w:color w:val="000000"/>
          <w:kern w:val="0"/>
          <w:sz w:val="30"/>
          <w:szCs w:val="32"/>
          <w:u w:val="single"/>
        </w:rPr>
        <w:t>项目章</w:t>
      </w:r>
      <w:r>
        <w:rPr>
          <w:rFonts w:hint="eastAsia" w:ascii="仿宋" w:hAnsi="仿宋" w:eastAsia="仿宋" w:cs="仿宋"/>
          <w:sz w:val="30"/>
          <w:szCs w:val="32"/>
          <w:u w:val="single"/>
        </w:rPr>
        <w:t>后</w:t>
      </w:r>
      <w:r>
        <w:rPr>
          <w:rFonts w:hint="eastAsia" w:eastAsia="仿宋_GB2312"/>
          <w:kern w:val="0"/>
          <w:sz w:val="30"/>
          <w:szCs w:val="32"/>
          <w:u w:val="single"/>
        </w:rPr>
        <w:t>方可有效。</w:t>
      </w:r>
    </w:p>
    <w:p w14:paraId="448B8B84">
      <w:pPr>
        <w:spacing w:line="360" w:lineRule="auto"/>
        <w:ind w:firstLine="600" w:firstLineChars="200"/>
      </w:pPr>
      <w:r>
        <w:rPr>
          <w:rFonts w:hint="eastAsia" w:ascii="仿宋" w:hAnsi="仿宋" w:eastAsia="仿宋" w:cs="仿宋"/>
          <w:sz w:val="30"/>
          <w:szCs w:val="32"/>
          <w:u w:val="single"/>
        </w:rPr>
        <w:t>如果发包人未能向承包人及时提供设计变更、图纸补充，并且承包人认为这种行为将要对施工工期造成影响时，承包人应立即就此以书面形式通知发包人，同时说明所缺图纸的具体细节并解释该图纸的延误对工程施工进度的实际影响以及为避免这种影响该图纸必须提供的最晚期限。如果在该最晚期限届满后，发包人仍然未能向承包人提供所需的图纸且确实影响了关键线路的施工的，则按照第</w:t>
      </w:r>
      <w:r>
        <w:rPr>
          <w:rFonts w:ascii="仿宋" w:hAnsi="仿宋" w:eastAsia="仿宋" w:cs="仿宋"/>
          <w:sz w:val="30"/>
          <w:szCs w:val="32"/>
          <w:u w:val="single"/>
        </w:rPr>
        <w:t xml:space="preserve"> 7.5.1 项〔因发包人原因导致工期延误〕的约定顺延工期。如果承包人未能按本款上述约定通知发包人，承包人无权要求顺延工期。 </w:t>
      </w:r>
    </w:p>
    <w:p w14:paraId="29B4FFFF">
      <w:pPr>
        <w:spacing w:line="360" w:lineRule="auto"/>
        <w:ind w:firstLine="600" w:firstLineChars="200"/>
        <w:rPr>
          <w:rFonts w:eastAsia="仿宋_GB2312"/>
          <w:sz w:val="30"/>
          <w:szCs w:val="32"/>
        </w:rPr>
      </w:pPr>
      <w:r>
        <w:rPr>
          <w:rFonts w:eastAsia="仿宋_GB2312"/>
          <w:sz w:val="30"/>
          <w:szCs w:val="32"/>
        </w:rPr>
        <w:t xml:space="preserve">1.6.4 </w:t>
      </w:r>
      <w:r>
        <w:rPr>
          <w:rFonts w:hint="eastAsia" w:eastAsia="仿宋_GB2312"/>
          <w:sz w:val="30"/>
          <w:szCs w:val="32"/>
        </w:rPr>
        <w:t>承包人文件</w:t>
      </w:r>
    </w:p>
    <w:p w14:paraId="07D4AB48">
      <w:pPr>
        <w:spacing w:line="360" w:lineRule="auto"/>
        <w:ind w:firstLine="600" w:firstLineChars="200"/>
        <w:jc w:val="left"/>
        <w:rPr>
          <w:rFonts w:eastAsia="仿宋_GB2312"/>
          <w:sz w:val="30"/>
          <w:szCs w:val="32"/>
        </w:rPr>
      </w:pPr>
      <w:r>
        <w:rPr>
          <w:rFonts w:hint="eastAsia" w:eastAsia="仿宋_GB2312"/>
          <w:sz w:val="30"/>
          <w:szCs w:val="32"/>
        </w:rPr>
        <w:t>需要由承包人提供的文件，包括：</w:t>
      </w:r>
    </w:p>
    <w:p w14:paraId="3C1F6D15">
      <w:pPr>
        <w:spacing w:line="360" w:lineRule="auto"/>
        <w:ind w:firstLine="600" w:firstLineChars="200"/>
        <w:jc w:val="left"/>
        <w:rPr>
          <w:rFonts w:eastAsia="仿宋_GB2312"/>
          <w:sz w:val="30"/>
          <w:szCs w:val="32"/>
          <w:u w:val="single"/>
        </w:rPr>
      </w:pPr>
      <w:r>
        <w:rPr>
          <w:rFonts w:hint="eastAsia" w:eastAsia="仿宋_GB2312"/>
          <w:sz w:val="30"/>
          <w:szCs w:val="32"/>
        </w:rPr>
        <w:t>（</w:t>
      </w:r>
      <w:r>
        <w:rPr>
          <w:rFonts w:eastAsia="仿宋_GB2312"/>
          <w:sz w:val="30"/>
          <w:szCs w:val="32"/>
          <w:u w:val="single"/>
        </w:rPr>
        <w:t>1</w:t>
      </w:r>
      <w:r>
        <w:rPr>
          <w:rFonts w:hint="eastAsia" w:eastAsia="仿宋_GB2312"/>
          <w:sz w:val="30"/>
          <w:szCs w:val="32"/>
          <w:u w:val="single"/>
        </w:rPr>
        <w:t>）国家、行业、地方现行法规、规范、标准要求的各种文件，（如：施工组织设计、专项施工方案、危险性较大的分部分项方案等）；</w:t>
      </w:r>
    </w:p>
    <w:p w14:paraId="4CF196A0">
      <w:pPr>
        <w:spacing w:line="360" w:lineRule="auto"/>
        <w:ind w:firstLine="600" w:firstLineChars="200"/>
        <w:jc w:val="left"/>
        <w:rPr>
          <w:rFonts w:eastAsia="仿宋_GB2312"/>
          <w:sz w:val="30"/>
          <w:szCs w:val="32"/>
          <w:u w:val="single"/>
        </w:rPr>
      </w:pPr>
      <w:r>
        <w:rPr>
          <w:rFonts w:hint="eastAsia" w:eastAsia="仿宋_GB2312"/>
          <w:sz w:val="30"/>
          <w:szCs w:val="32"/>
          <w:u w:val="single"/>
        </w:rPr>
        <w:t>（</w:t>
      </w:r>
      <w:r>
        <w:rPr>
          <w:rFonts w:eastAsia="仿宋_GB2312"/>
          <w:sz w:val="30"/>
          <w:szCs w:val="32"/>
          <w:u w:val="single"/>
        </w:rPr>
        <w:t>2</w:t>
      </w:r>
      <w:r>
        <w:rPr>
          <w:rFonts w:hint="eastAsia" w:eastAsia="仿宋_GB2312"/>
          <w:sz w:val="30"/>
          <w:szCs w:val="32"/>
          <w:u w:val="single"/>
        </w:rPr>
        <w:t>）发包人要求的文件，（如：各类施工进度计划、排版图等）；</w:t>
      </w:r>
    </w:p>
    <w:p w14:paraId="5BADE58E">
      <w:pPr>
        <w:spacing w:line="360" w:lineRule="auto"/>
        <w:ind w:firstLine="600" w:firstLineChars="200"/>
        <w:jc w:val="left"/>
        <w:rPr>
          <w:rFonts w:eastAsia="仿宋_GB2312"/>
          <w:sz w:val="30"/>
          <w:szCs w:val="32"/>
          <w:u w:val="single"/>
        </w:rPr>
      </w:pPr>
      <w:r>
        <w:rPr>
          <w:rFonts w:hint="eastAsia" w:eastAsia="仿宋_GB2312"/>
          <w:sz w:val="30"/>
          <w:szCs w:val="32"/>
          <w:u w:val="single"/>
        </w:rPr>
        <w:t>（</w:t>
      </w:r>
      <w:r>
        <w:rPr>
          <w:rFonts w:eastAsia="仿宋_GB2312"/>
          <w:sz w:val="30"/>
          <w:szCs w:val="32"/>
          <w:u w:val="single"/>
        </w:rPr>
        <w:t>3</w:t>
      </w:r>
      <w:r>
        <w:rPr>
          <w:rFonts w:hint="eastAsia" w:eastAsia="仿宋_GB2312"/>
          <w:sz w:val="30"/>
          <w:szCs w:val="32"/>
          <w:u w:val="single"/>
        </w:rPr>
        <w:t>）整套竣工资料及配套电子版（含竣工图）</w:t>
      </w:r>
      <w:r>
        <w:rPr>
          <w:rFonts w:hint="eastAsia" w:eastAsia="仿宋_GB2312"/>
          <w:sz w:val="30"/>
          <w:szCs w:val="32"/>
        </w:rPr>
        <w:t>。</w:t>
      </w:r>
    </w:p>
    <w:p w14:paraId="4FF8E1E2">
      <w:pPr>
        <w:spacing w:line="360" w:lineRule="auto"/>
        <w:ind w:firstLine="600" w:firstLineChars="200"/>
        <w:rPr>
          <w:rFonts w:eastAsia="仿宋_GB2312"/>
          <w:sz w:val="30"/>
          <w:szCs w:val="32"/>
        </w:rPr>
      </w:pPr>
      <w:r>
        <w:rPr>
          <w:rFonts w:hint="eastAsia" w:eastAsia="仿宋_GB2312"/>
          <w:sz w:val="30"/>
          <w:szCs w:val="32"/>
        </w:rPr>
        <w:t>承包人提供的文件的期限为：</w:t>
      </w:r>
      <w:r>
        <w:rPr>
          <w:rFonts w:hint="eastAsia" w:eastAsia="仿宋_GB2312"/>
          <w:sz w:val="30"/>
          <w:szCs w:val="32"/>
          <w:u w:val="single"/>
        </w:rPr>
        <w:t>发包人下达指令七日内，其中竣工资料应在竣工验收之前提供；</w:t>
      </w:r>
      <w:r>
        <w:rPr>
          <w:rFonts w:hint="eastAsia" w:eastAsia="仿宋_GB2312"/>
          <w:sz w:val="30"/>
          <w:szCs w:val="32"/>
        </w:rPr>
        <w:t>承包人提供的文件的数量为：</w:t>
      </w:r>
      <w:r>
        <w:rPr>
          <w:rFonts w:hint="eastAsia" w:eastAsia="仿宋_GB2312"/>
          <w:sz w:val="30"/>
          <w:szCs w:val="32"/>
          <w:u w:val="single"/>
        </w:rPr>
        <w:t>满足实际使用要求，其中竣工资料三套</w:t>
      </w:r>
      <w:r>
        <w:rPr>
          <w:rFonts w:hint="eastAsia" w:eastAsia="仿宋_GB2312"/>
          <w:sz w:val="30"/>
          <w:szCs w:val="32"/>
        </w:rPr>
        <w:t>；</w:t>
      </w:r>
    </w:p>
    <w:p w14:paraId="11C02144">
      <w:pPr>
        <w:spacing w:line="360" w:lineRule="auto"/>
        <w:ind w:firstLine="600" w:firstLineChars="200"/>
        <w:rPr>
          <w:rFonts w:eastAsia="仿宋_GB2312"/>
          <w:sz w:val="30"/>
          <w:szCs w:val="32"/>
        </w:rPr>
      </w:pPr>
      <w:r>
        <w:rPr>
          <w:rFonts w:hint="eastAsia" w:eastAsia="仿宋_GB2312"/>
          <w:sz w:val="30"/>
          <w:szCs w:val="32"/>
        </w:rPr>
        <w:t>承包人提供的文件的形式为：</w:t>
      </w:r>
      <w:r>
        <w:rPr>
          <w:rFonts w:hint="eastAsia" w:eastAsia="仿宋_GB2312"/>
          <w:sz w:val="30"/>
          <w:szCs w:val="32"/>
          <w:u w:val="single"/>
        </w:rPr>
        <w:t>书面及电子版，书面资料的格式应符合监理人、发包人、政府有关管理部门的要求</w:t>
      </w:r>
      <w:r>
        <w:rPr>
          <w:rFonts w:eastAsia="仿宋_GB2312"/>
          <w:sz w:val="30"/>
          <w:szCs w:val="32"/>
          <w:u w:val="single"/>
        </w:rPr>
        <w:t xml:space="preserve">      </w:t>
      </w:r>
      <w:r>
        <w:rPr>
          <w:rFonts w:hint="eastAsia" w:eastAsia="仿宋_GB2312"/>
          <w:sz w:val="30"/>
          <w:szCs w:val="32"/>
        </w:rPr>
        <w:t>；</w:t>
      </w:r>
    </w:p>
    <w:p w14:paraId="601E148F">
      <w:pPr>
        <w:spacing w:line="360" w:lineRule="auto"/>
        <w:ind w:firstLine="600" w:firstLineChars="200"/>
        <w:rPr>
          <w:rFonts w:eastAsia="仿宋_GB2312"/>
          <w:sz w:val="32"/>
          <w:szCs w:val="32"/>
        </w:rPr>
      </w:pPr>
      <w:r>
        <w:rPr>
          <w:rFonts w:hint="eastAsia" w:eastAsia="仿宋_GB2312"/>
          <w:sz w:val="30"/>
          <w:szCs w:val="32"/>
        </w:rPr>
        <w:t>发包人审批承包人文件的期限：</w:t>
      </w:r>
      <w:r>
        <w:rPr>
          <w:rFonts w:hint="eastAsia" w:eastAsia="仿宋_GB2312"/>
          <w:sz w:val="30"/>
          <w:szCs w:val="32"/>
          <w:u w:val="single"/>
        </w:rPr>
        <w:t></w:t>
      </w:r>
      <w:r>
        <w:rPr>
          <w:rFonts w:hint="eastAsia" w:eastAsia="仿宋_GB2312"/>
          <w:sz w:val="32"/>
          <w:szCs w:val="32"/>
          <w:u w:val="single"/>
        </w:rPr>
        <w:t>发包人收到承包人文件</w:t>
      </w:r>
      <w:r>
        <w:rPr>
          <w:rFonts w:eastAsia="仿宋_GB2312"/>
          <w:sz w:val="32"/>
          <w:szCs w:val="32"/>
          <w:u w:val="single"/>
        </w:rPr>
        <w:t>7</w:t>
      </w:r>
      <w:r>
        <w:rPr>
          <w:rFonts w:hint="eastAsia" w:eastAsia="仿宋_GB2312"/>
          <w:sz w:val="32"/>
          <w:szCs w:val="32"/>
          <w:u w:val="single"/>
        </w:rPr>
        <w:t>天内提出意见；若有异议承包人应予以修改并重新报送直至取得发包人认可</w:t>
      </w:r>
      <w:r>
        <w:rPr>
          <w:rFonts w:hint="eastAsia" w:eastAsia="仿宋_GB2312"/>
          <w:sz w:val="32"/>
          <w:szCs w:val="32"/>
        </w:rPr>
        <w:t>。</w:t>
      </w:r>
    </w:p>
    <w:p w14:paraId="5C5785B7">
      <w:pPr>
        <w:spacing w:line="360" w:lineRule="auto"/>
        <w:ind w:firstLine="600" w:firstLineChars="200"/>
        <w:rPr>
          <w:rFonts w:eastAsia="仿宋_GB2312"/>
          <w:sz w:val="30"/>
          <w:szCs w:val="32"/>
        </w:rPr>
      </w:pPr>
      <w:r>
        <w:rPr>
          <w:rFonts w:eastAsia="仿宋_GB2312"/>
          <w:sz w:val="30"/>
          <w:szCs w:val="32"/>
        </w:rPr>
        <w:t xml:space="preserve">1.6.5 </w:t>
      </w:r>
      <w:r>
        <w:rPr>
          <w:rFonts w:hint="eastAsia" w:eastAsia="仿宋_GB2312"/>
          <w:sz w:val="30"/>
          <w:szCs w:val="32"/>
        </w:rPr>
        <w:t>现场图纸准备</w:t>
      </w:r>
    </w:p>
    <w:p w14:paraId="069FCA45">
      <w:pPr>
        <w:spacing w:line="360" w:lineRule="auto"/>
        <w:ind w:firstLine="600" w:firstLineChars="200"/>
        <w:rPr>
          <w:rFonts w:eastAsia="仿宋_GB2312"/>
          <w:sz w:val="30"/>
          <w:szCs w:val="32"/>
        </w:rPr>
      </w:pPr>
      <w:r>
        <w:rPr>
          <w:rFonts w:hint="eastAsia" w:eastAsia="仿宋_GB2312"/>
          <w:sz w:val="30"/>
          <w:szCs w:val="32"/>
        </w:rPr>
        <w:t>关于现场图纸准备的约定：</w:t>
      </w:r>
      <w:r>
        <w:rPr>
          <w:rFonts w:hint="eastAsia" w:eastAsia="仿宋_GB2312"/>
          <w:sz w:val="30"/>
          <w:szCs w:val="32"/>
          <w:u w:val="single"/>
        </w:rPr>
        <w:t>现场保存一套盖图纸审查合格章的完整图纸，以供验收时使用。</w:t>
      </w:r>
      <w:r>
        <w:rPr>
          <w:rFonts w:hint="eastAsia" w:eastAsia="仿宋_GB2312"/>
          <w:sz w:val="30"/>
          <w:szCs w:val="32"/>
        </w:rPr>
        <w:t>。</w:t>
      </w:r>
    </w:p>
    <w:p w14:paraId="2D5E570C">
      <w:pPr>
        <w:spacing w:after="120" w:line="360" w:lineRule="auto"/>
        <w:ind w:firstLine="600" w:firstLineChars="200"/>
        <w:rPr>
          <w:rFonts w:eastAsia="黑体"/>
          <w:sz w:val="30"/>
          <w:szCs w:val="32"/>
        </w:rPr>
      </w:pPr>
      <w:r>
        <w:rPr>
          <w:rFonts w:eastAsia="黑体"/>
          <w:sz w:val="30"/>
          <w:szCs w:val="32"/>
        </w:rPr>
        <w:t xml:space="preserve">1.7 </w:t>
      </w:r>
      <w:r>
        <w:rPr>
          <w:rFonts w:hint="eastAsia" w:eastAsia="黑体"/>
          <w:sz w:val="30"/>
          <w:szCs w:val="32"/>
        </w:rPr>
        <w:t>联络</w:t>
      </w:r>
    </w:p>
    <w:p w14:paraId="31706E66">
      <w:pPr>
        <w:spacing w:line="360" w:lineRule="auto"/>
        <w:ind w:firstLine="600" w:firstLineChars="200"/>
        <w:rPr>
          <w:rFonts w:eastAsia="仿宋_GB2312"/>
          <w:kern w:val="0"/>
          <w:sz w:val="30"/>
          <w:szCs w:val="32"/>
        </w:rPr>
      </w:pPr>
      <w:r>
        <w:rPr>
          <w:rFonts w:eastAsia="仿宋_GB2312"/>
          <w:kern w:val="0"/>
          <w:sz w:val="30"/>
          <w:szCs w:val="32"/>
        </w:rPr>
        <w:t>1.7.1</w:t>
      </w:r>
      <w:r>
        <w:rPr>
          <w:rFonts w:hint="eastAsia" w:eastAsia="仿宋_GB2312"/>
          <w:kern w:val="0"/>
          <w:sz w:val="30"/>
          <w:szCs w:val="32"/>
        </w:rPr>
        <w:t>发包人和承包人应当在</w:t>
      </w:r>
      <w:r>
        <w:rPr>
          <w:rFonts w:hint="eastAsia" w:eastAsia="仿宋_GB2312"/>
          <w:sz w:val="30"/>
          <w:szCs w:val="32"/>
          <w:u w:val="single"/>
        </w:rPr>
        <w:t>七</w:t>
      </w:r>
      <w:r>
        <w:rPr>
          <w:rFonts w:eastAsia="仿宋_GB2312"/>
          <w:sz w:val="30"/>
          <w:szCs w:val="32"/>
          <w:u w:val="single"/>
        </w:rPr>
        <w:t xml:space="preserve"> </w:t>
      </w:r>
      <w:r>
        <w:rPr>
          <w:rFonts w:hint="eastAsia" w:eastAsia="仿宋_GB2312"/>
          <w:kern w:val="0"/>
          <w:sz w:val="30"/>
          <w:szCs w:val="32"/>
        </w:rPr>
        <w:t>天内将与合同有关的通知、批准、证明、证书、指示、指令、要求、请求、同意、意见、确定和决定等书面函件送达对方当事人。</w:t>
      </w:r>
    </w:p>
    <w:p w14:paraId="64FD0879">
      <w:pPr>
        <w:spacing w:line="360" w:lineRule="auto"/>
        <w:ind w:firstLine="600" w:firstLineChars="200"/>
        <w:rPr>
          <w:rFonts w:eastAsia="仿宋_GB2312"/>
          <w:color w:val="000000" w:themeColor="text1"/>
          <w:kern w:val="0"/>
          <w:sz w:val="30"/>
          <w:szCs w:val="32"/>
          <w14:textFill>
            <w14:solidFill>
              <w14:schemeClr w14:val="tx1"/>
            </w14:solidFill>
          </w14:textFill>
        </w:rPr>
      </w:pPr>
      <w:r>
        <w:rPr>
          <w:rFonts w:eastAsia="仿宋_GB2312"/>
          <w:kern w:val="0"/>
          <w:sz w:val="30"/>
          <w:szCs w:val="32"/>
        </w:rPr>
        <w:t>1.7.2</w:t>
      </w:r>
      <w:r>
        <w:rPr>
          <w:rFonts w:hint="eastAsia" w:eastAsia="仿宋_GB2312"/>
          <w:color w:val="000000" w:themeColor="text1"/>
          <w:kern w:val="0"/>
          <w:sz w:val="30"/>
          <w:szCs w:val="32"/>
          <w14:textFill>
            <w14:solidFill>
              <w14:schemeClr w14:val="tx1"/>
            </w14:solidFill>
          </w14:textFill>
        </w:rPr>
        <w:t>发包人接收文件的地点：</w:t>
      </w:r>
      <w:r>
        <w:rPr>
          <w:rFonts w:hint="eastAsia" w:eastAsia="仿宋_GB2312"/>
          <w:color w:val="000000" w:themeColor="text1"/>
          <w:sz w:val="30"/>
          <w:szCs w:val="32"/>
          <w:u w:val="single"/>
          <w14:textFill>
            <w14:solidFill>
              <w14:schemeClr w14:val="tx1"/>
            </w14:solidFill>
          </w14:textFill>
        </w:rPr>
        <w:t>发包人项目现场办公室</w:t>
      </w:r>
      <w:r>
        <w:rPr>
          <w:rFonts w:hint="eastAsia" w:eastAsia="仿宋_GB2312"/>
          <w:color w:val="000000" w:themeColor="text1"/>
          <w:kern w:val="0"/>
          <w:sz w:val="30"/>
          <w:szCs w:val="32"/>
          <w14:textFill>
            <w14:solidFill>
              <w14:schemeClr w14:val="tx1"/>
            </w14:solidFill>
          </w14:textFill>
        </w:rPr>
        <w:t>；</w:t>
      </w:r>
    </w:p>
    <w:p w14:paraId="2EB13B98">
      <w:pPr>
        <w:spacing w:line="360" w:lineRule="auto"/>
        <w:ind w:firstLine="600" w:firstLineChars="200"/>
        <w:rPr>
          <w:rFonts w:eastAsia="仿宋_GB2312"/>
          <w:color w:val="000000" w:themeColor="text1"/>
          <w:kern w:val="0"/>
          <w:sz w:val="30"/>
          <w:szCs w:val="32"/>
          <w14:textFill>
            <w14:solidFill>
              <w14:schemeClr w14:val="tx1"/>
            </w14:solidFill>
          </w14:textFill>
        </w:rPr>
      </w:pPr>
      <w:r>
        <w:rPr>
          <w:rFonts w:hint="eastAsia" w:eastAsia="仿宋_GB2312"/>
          <w:color w:val="000000" w:themeColor="text1"/>
          <w:kern w:val="0"/>
          <w:sz w:val="30"/>
          <w:szCs w:val="32"/>
          <w14:textFill>
            <w14:solidFill>
              <w14:schemeClr w14:val="tx1"/>
            </w14:solidFill>
          </w14:textFill>
        </w:rPr>
        <w:t>发包人指定的接收人为：</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eastAsia="仿宋_GB2312"/>
          <w:kern w:val="0"/>
          <w:sz w:val="30"/>
          <w:szCs w:val="32"/>
        </w:rPr>
        <w:t>。</w:t>
      </w:r>
    </w:p>
    <w:p w14:paraId="6ABE8D41">
      <w:pPr>
        <w:spacing w:line="360" w:lineRule="auto"/>
        <w:ind w:firstLine="600" w:firstLineChars="200"/>
        <w:rPr>
          <w:rFonts w:eastAsia="仿宋_GB2312"/>
          <w:color w:val="000000" w:themeColor="text1"/>
          <w:kern w:val="0"/>
          <w:sz w:val="30"/>
          <w:szCs w:val="32"/>
          <w14:textFill>
            <w14:solidFill>
              <w14:schemeClr w14:val="tx1"/>
            </w14:solidFill>
          </w14:textFill>
        </w:rPr>
      </w:pPr>
      <w:r>
        <w:rPr>
          <w:rFonts w:hint="eastAsia" w:eastAsia="仿宋_GB2312"/>
          <w:color w:val="000000" w:themeColor="text1"/>
          <w:kern w:val="0"/>
          <w:sz w:val="30"/>
          <w:szCs w:val="32"/>
          <w14:textFill>
            <w14:solidFill>
              <w14:schemeClr w14:val="tx1"/>
            </w14:solidFill>
          </w14:textFill>
        </w:rPr>
        <w:t>承包人接收文件的地点：</w:t>
      </w:r>
      <w:r>
        <w:rPr>
          <w:rFonts w:hint="eastAsia" w:eastAsia="仿宋_GB2312"/>
          <w:color w:val="000000" w:themeColor="text1"/>
          <w:sz w:val="30"/>
          <w:szCs w:val="32"/>
          <w:u w:val="single"/>
          <w14:textFill>
            <w14:solidFill>
              <w14:schemeClr w14:val="tx1"/>
            </w14:solidFill>
          </w14:textFill>
        </w:rPr>
        <w:t>承包人项目现场办公室</w:t>
      </w:r>
      <w:r>
        <w:rPr>
          <w:rFonts w:hint="eastAsia" w:eastAsia="仿宋_GB2312"/>
          <w:color w:val="000000" w:themeColor="text1"/>
          <w:kern w:val="0"/>
          <w:sz w:val="30"/>
          <w:szCs w:val="32"/>
          <w14:textFill>
            <w14:solidFill>
              <w14:schemeClr w14:val="tx1"/>
            </w14:solidFill>
          </w14:textFill>
        </w:rPr>
        <w:t>；</w:t>
      </w:r>
    </w:p>
    <w:p w14:paraId="0AEE5576">
      <w:pPr>
        <w:spacing w:line="360" w:lineRule="auto"/>
        <w:ind w:firstLine="600" w:firstLineChars="200"/>
        <w:rPr>
          <w:rFonts w:eastAsia="仿宋_GB2312"/>
          <w:color w:val="000000" w:themeColor="text1"/>
          <w:kern w:val="0"/>
          <w:sz w:val="30"/>
          <w:szCs w:val="32"/>
          <w14:textFill>
            <w14:solidFill>
              <w14:schemeClr w14:val="tx1"/>
            </w14:solidFill>
          </w14:textFill>
        </w:rPr>
      </w:pPr>
      <w:r>
        <w:rPr>
          <w:rFonts w:hint="eastAsia" w:eastAsia="仿宋_GB2312"/>
          <w:color w:val="000000" w:themeColor="text1"/>
          <w:kern w:val="0"/>
          <w:sz w:val="30"/>
          <w:szCs w:val="32"/>
          <w14:textFill>
            <w14:solidFill>
              <w14:schemeClr w14:val="tx1"/>
            </w14:solidFill>
          </w14:textFill>
        </w:rPr>
        <w:t>承包人指定的接收人为：</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eastAsia="仿宋_GB2312"/>
          <w:kern w:val="0"/>
          <w:sz w:val="30"/>
          <w:szCs w:val="32"/>
        </w:rPr>
        <w:t>。</w:t>
      </w:r>
    </w:p>
    <w:p w14:paraId="43E91747">
      <w:pPr>
        <w:spacing w:line="360" w:lineRule="auto"/>
        <w:ind w:firstLine="600" w:firstLineChars="200"/>
        <w:rPr>
          <w:rFonts w:eastAsia="仿宋_GB2312"/>
          <w:color w:val="000000" w:themeColor="text1"/>
          <w:kern w:val="0"/>
          <w:sz w:val="30"/>
          <w:szCs w:val="32"/>
          <w14:textFill>
            <w14:solidFill>
              <w14:schemeClr w14:val="tx1"/>
            </w14:solidFill>
          </w14:textFill>
        </w:rPr>
      </w:pPr>
      <w:r>
        <w:rPr>
          <w:rFonts w:hint="eastAsia" w:eastAsia="仿宋_GB2312"/>
          <w:color w:val="000000" w:themeColor="text1"/>
          <w:kern w:val="0"/>
          <w:sz w:val="30"/>
          <w:szCs w:val="32"/>
          <w14:textFill>
            <w14:solidFill>
              <w14:schemeClr w14:val="tx1"/>
            </w14:solidFill>
          </w14:textFill>
        </w:rPr>
        <w:t>监理人接收文件的地点：</w:t>
      </w:r>
      <w:r>
        <w:rPr>
          <w:rFonts w:hint="eastAsia" w:eastAsia="仿宋_GB2312"/>
          <w:color w:val="000000" w:themeColor="text1"/>
          <w:sz w:val="30"/>
          <w:szCs w:val="32"/>
          <w:u w:val="single"/>
          <w14:textFill>
            <w14:solidFill>
              <w14:schemeClr w14:val="tx1"/>
            </w14:solidFill>
          </w14:textFill>
        </w:rPr>
        <w:t>监理人项目现场办公室</w:t>
      </w:r>
      <w:r>
        <w:rPr>
          <w:rFonts w:hint="eastAsia" w:eastAsia="仿宋_GB2312"/>
          <w:color w:val="000000" w:themeColor="text1"/>
          <w:kern w:val="0"/>
          <w:sz w:val="30"/>
          <w:szCs w:val="32"/>
          <w14:textFill>
            <w14:solidFill>
              <w14:schemeClr w14:val="tx1"/>
            </w14:solidFill>
          </w14:textFill>
        </w:rPr>
        <w:t>；</w:t>
      </w:r>
    </w:p>
    <w:p w14:paraId="2C34F935">
      <w:pPr>
        <w:spacing w:line="360" w:lineRule="auto"/>
        <w:ind w:firstLine="600" w:firstLineChars="200"/>
        <w:rPr>
          <w:rFonts w:eastAsia="仿宋_GB2312"/>
          <w:kern w:val="0"/>
          <w:sz w:val="30"/>
          <w:szCs w:val="32"/>
        </w:rPr>
      </w:pPr>
      <w:r>
        <w:rPr>
          <w:rFonts w:hint="eastAsia" w:eastAsia="仿宋_GB2312"/>
          <w:color w:val="000000" w:themeColor="text1"/>
          <w:kern w:val="0"/>
          <w:sz w:val="30"/>
          <w:szCs w:val="32"/>
          <w14:textFill>
            <w14:solidFill>
              <w14:schemeClr w14:val="tx1"/>
            </w14:solidFill>
          </w14:textFill>
        </w:rPr>
        <w:t>监理人指定的接收人为：</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w:t>
      </w:r>
      <w:r>
        <w:rPr>
          <w:rFonts w:eastAsia="仿宋_GB2312"/>
          <w:kern w:val="0"/>
          <w:sz w:val="30"/>
          <w:szCs w:val="32"/>
        </w:rPr>
        <w:t>。</w:t>
      </w:r>
    </w:p>
    <w:p w14:paraId="1934BE10">
      <w:pPr>
        <w:spacing w:after="120" w:line="360" w:lineRule="auto"/>
        <w:ind w:firstLine="600" w:firstLineChars="200"/>
        <w:rPr>
          <w:rFonts w:eastAsia="黑体"/>
          <w:sz w:val="30"/>
          <w:szCs w:val="32"/>
        </w:rPr>
      </w:pPr>
      <w:r>
        <w:rPr>
          <w:rFonts w:eastAsia="黑体"/>
          <w:sz w:val="30"/>
          <w:szCs w:val="32"/>
        </w:rPr>
        <w:t xml:space="preserve">1.10 </w:t>
      </w:r>
      <w:r>
        <w:rPr>
          <w:rFonts w:hint="eastAsia" w:eastAsia="黑体"/>
          <w:sz w:val="30"/>
          <w:szCs w:val="32"/>
        </w:rPr>
        <w:t>交通运输</w:t>
      </w:r>
    </w:p>
    <w:p w14:paraId="63966C24">
      <w:pPr>
        <w:spacing w:line="360" w:lineRule="auto"/>
        <w:ind w:firstLine="600" w:firstLineChars="200"/>
        <w:rPr>
          <w:rFonts w:eastAsia="仿宋_GB2312"/>
          <w:sz w:val="30"/>
          <w:szCs w:val="32"/>
        </w:rPr>
      </w:pPr>
      <w:r>
        <w:rPr>
          <w:rFonts w:eastAsia="仿宋_GB2312"/>
          <w:sz w:val="30"/>
          <w:szCs w:val="32"/>
        </w:rPr>
        <w:t>1</w:t>
      </w:r>
      <w:bookmarkStart w:id="686" w:name="_Toc312677986"/>
      <w:bookmarkStart w:id="687" w:name="_Toc300934943"/>
      <w:bookmarkStart w:id="688" w:name="_Toc304295521"/>
      <w:bookmarkStart w:id="689" w:name="_Toc318581155"/>
      <w:bookmarkStart w:id="690" w:name="_Toc303539100"/>
      <w:r>
        <w:rPr>
          <w:rFonts w:eastAsia="仿宋_GB2312"/>
          <w:sz w:val="30"/>
          <w:szCs w:val="32"/>
        </w:rPr>
        <w:t xml:space="preserve">.10.1 </w:t>
      </w:r>
      <w:r>
        <w:rPr>
          <w:rFonts w:hint="eastAsia" w:eastAsia="仿宋_GB2312"/>
          <w:sz w:val="30"/>
          <w:szCs w:val="32"/>
        </w:rPr>
        <w:t>出入现场的权利</w:t>
      </w:r>
    </w:p>
    <w:p w14:paraId="55C96E73">
      <w:pPr>
        <w:spacing w:line="360" w:lineRule="auto"/>
        <w:ind w:left="596" w:leftChars="284"/>
        <w:rPr>
          <w:rFonts w:eastAsia="仿宋_GB2312"/>
          <w:sz w:val="30"/>
          <w:szCs w:val="32"/>
        </w:rPr>
      </w:pPr>
      <w:r>
        <w:rPr>
          <w:rFonts w:hint="eastAsia" w:eastAsia="仿宋_GB2312"/>
          <w:sz w:val="30"/>
          <w:szCs w:val="32"/>
        </w:rPr>
        <w:t>关于出入现场的权利的约定：</w:t>
      </w:r>
      <w:r>
        <w:rPr>
          <w:rFonts w:hint="eastAsia" w:eastAsia="仿宋_GB2312"/>
          <w:sz w:val="30"/>
          <w:szCs w:val="32"/>
          <w:u w:val="single"/>
        </w:rPr>
        <w:t>无 </w:t>
      </w:r>
      <w:r>
        <w:rPr>
          <w:rFonts w:hint="eastAsia" w:eastAsia="仿宋_GB2312"/>
          <w:sz w:val="30"/>
          <w:szCs w:val="32"/>
        </w:rPr>
        <w:t>。</w:t>
      </w:r>
    </w:p>
    <w:bookmarkEnd w:id="686"/>
    <w:bookmarkEnd w:id="687"/>
    <w:bookmarkEnd w:id="688"/>
    <w:bookmarkEnd w:id="689"/>
    <w:bookmarkEnd w:id="690"/>
    <w:p w14:paraId="412D4CD3">
      <w:pPr>
        <w:spacing w:line="360" w:lineRule="auto"/>
        <w:ind w:firstLine="600" w:firstLineChars="200"/>
        <w:jc w:val="left"/>
        <w:rPr>
          <w:rFonts w:eastAsia="仿宋_GB2312"/>
          <w:sz w:val="30"/>
          <w:szCs w:val="32"/>
        </w:rPr>
      </w:pPr>
      <w:r>
        <w:rPr>
          <w:rFonts w:eastAsia="仿宋_GB2312"/>
          <w:sz w:val="30"/>
          <w:szCs w:val="32"/>
        </w:rPr>
        <w:t>1</w:t>
      </w:r>
      <w:bookmarkStart w:id="691" w:name="_Toc300934944"/>
      <w:bookmarkStart w:id="692" w:name="_Toc303539101"/>
      <w:bookmarkStart w:id="693" w:name="_Toc304295522"/>
      <w:bookmarkStart w:id="694" w:name="_Toc318581156"/>
      <w:bookmarkStart w:id="695" w:name="_Toc312677987"/>
      <w:r>
        <w:rPr>
          <w:rFonts w:eastAsia="仿宋_GB2312"/>
          <w:sz w:val="30"/>
          <w:szCs w:val="32"/>
        </w:rPr>
        <w:t xml:space="preserve">.10.3 </w:t>
      </w:r>
      <w:r>
        <w:rPr>
          <w:rFonts w:hint="eastAsia" w:eastAsia="仿宋_GB2312"/>
          <w:sz w:val="30"/>
          <w:szCs w:val="32"/>
        </w:rPr>
        <w:t>场内交通</w:t>
      </w:r>
    </w:p>
    <w:p w14:paraId="6D6E1565">
      <w:pPr>
        <w:spacing w:line="360" w:lineRule="auto"/>
        <w:ind w:firstLine="600" w:firstLineChars="200"/>
        <w:jc w:val="left"/>
        <w:rPr>
          <w:rFonts w:eastAsia="仿宋_GB2312"/>
          <w:kern w:val="0"/>
          <w:sz w:val="30"/>
          <w:szCs w:val="32"/>
        </w:rPr>
      </w:pPr>
      <w:r>
        <w:rPr>
          <w:rFonts w:hint="eastAsia" w:eastAsia="仿宋_GB2312"/>
          <w:kern w:val="0"/>
          <w:sz w:val="30"/>
          <w:szCs w:val="32"/>
        </w:rPr>
        <w:t>关于场外交通和场内交通的边界的约定：</w:t>
      </w:r>
    </w:p>
    <w:p w14:paraId="2D068A10">
      <w:pPr>
        <w:spacing w:line="360" w:lineRule="auto"/>
        <w:ind w:firstLine="600" w:firstLineChars="200"/>
        <w:jc w:val="left"/>
        <w:rPr>
          <w:rFonts w:eastAsia="仿宋_GB2312"/>
          <w:i/>
          <w:iCs/>
          <w:color w:val="000000" w:themeColor="text1"/>
          <w:kern w:val="0"/>
          <w:sz w:val="30"/>
          <w:szCs w:val="32"/>
          <w:u w:val="single"/>
          <w14:textFill>
            <w14:solidFill>
              <w14:schemeClr w14:val="tx1"/>
            </w14:solidFill>
          </w14:textFill>
        </w:rPr>
      </w:pPr>
      <w:r>
        <w:rPr>
          <w:rFonts w:eastAsia="仿宋_GB2312"/>
          <w:color w:val="000000" w:themeColor="text1"/>
          <w:kern w:val="0"/>
          <w:sz w:val="30"/>
          <w:szCs w:val="32"/>
          <w14:textFill>
            <w14:solidFill>
              <w14:schemeClr w14:val="tx1"/>
            </w14:solidFill>
          </w14:textFill>
        </w:rPr>
        <w:sym w:font="Wingdings 2" w:char="00A3"/>
      </w:r>
      <w:r>
        <w:rPr>
          <w:rFonts w:hint="eastAsia" w:eastAsia="仿宋_GB2312"/>
          <w:color w:val="000000" w:themeColor="text1"/>
          <w:kern w:val="0"/>
          <w:sz w:val="30"/>
          <w:szCs w:val="32"/>
          <w:u w:val="single"/>
          <w14:textFill>
            <w14:solidFill>
              <w14:schemeClr w14:val="tx1"/>
            </w14:solidFill>
          </w14:textFill>
        </w:rPr>
        <w:t>新建厂区项目，以项目用地红线为界，红线以内为场内交通，红线以外为场外交通</w:t>
      </w:r>
    </w:p>
    <w:p w14:paraId="5EB3174A">
      <w:pPr>
        <w:spacing w:line="360" w:lineRule="auto"/>
        <w:ind w:firstLine="600" w:firstLineChars="200"/>
        <w:jc w:val="left"/>
        <w:rPr>
          <w:rFonts w:eastAsia="仿宋_GB2312"/>
          <w:kern w:val="0"/>
          <w:sz w:val="30"/>
          <w:szCs w:val="32"/>
        </w:rPr>
      </w:pPr>
      <w:r>
        <w:rPr>
          <w:rFonts w:eastAsia="仿宋_GB2312"/>
          <w:kern w:val="0"/>
          <w:sz w:val="30"/>
          <w:szCs w:val="32"/>
          <w:u w:val="single"/>
        </w:rPr>
        <w:sym w:font="Wingdings 2" w:char="0052"/>
      </w:r>
      <w:r>
        <w:rPr>
          <w:rFonts w:hint="eastAsia" w:eastAsia="仿宋_GB2312"/>
          <w:kern w:val="0"/>
          <w:sz w:val="30"/>
          <w:szCs w:val="32"/>
          <w:u w:val="single"/>
        </w:rPr>
        <w:t>已有厂区内项目，以监理人</w:t>
      </w:r>
      <w:r>
        <w:rPr>
          <w:rFonts w:eastAsia="仿宋_GB2312"/>
          <w:kern w:val="0"/>
          <w:sz w:val="30"/>
          <w:szCs w:val="32"/>
          <w:u w:val="single"/>
        </w:rPr>
        <w:t>/</w:t>
      </w:r>
      <w:r>
        <w:rPr>
          <w:rFonts w:hint="eastAsia" w:eastAsia="仿宋_GB2312"/>
          <w:kern w:val="0"/>
          <w:sz w:val="30"/>
          <w:szCs w:val="32"/>
          <w:u w:val="single"/>
        </w:rPr>
        <w:t>发包人审核通过的施工组织设计中的施工总平面布置图为依据，以项目施工场地与非施工区域的区域隔离为界，隔离分界以内为场内交通，分界以外为场外交通</w:t>
      </w:r>
      <w:r>
        <w:rPr>
          <w:rFonts w:hint="eastAsia" w:eastAsia="仿宋_GB2312"/>
          <w:sz w:val="30"/>
          <w:szCs w:val="32"/>
        </w:rPr>
        <w:t>。</w:t>
      </w:r>
    </w:p>
    <w:p w14:paraId="771EA602">
      <w:pPr>
        <w:spacing w:line="360" w:lineRule="auto"/>
        <w:ind w:firstLine="600" w:firstLineChars="200"/>
        <w:jc w:val="left"/>
        <w:rPr>
          <w:rFonts w:eastAsia="仿宋_GB2312"/>
          <w:sz w:val="30"/>
          <w:szCs w:val="32"/>
        </w:rPr>
      </w:pPr>
      <w:r>
        <w:rPr>
          <w:rFonts w:hint="eastAsia" w:eastAsia="仿宋_GB2312"/>
          <w:sz w:val="30"/>
          <w:szCs w:val="32"/>
        </w:rPr>
        <w:t>关于发包人向承包人免费提供满足工程施工需要的场内道路和交通设施的约定：</w:t>
      </w:r>
      <w:r>
        <w:rPr>
          <w:rFonts w:hint="eastAsia" w:eastAsia="仿宋_GB2312"/>
          <w:sz w:val="30"/>
          <w:szCs w:val="32"/>
          <w:u w:val="single"/>
        </w:rPr>
        <w:t>场内交通设施及道路由承包人负责修建、维修、养护，其费用已在签约合同价中</w:t>
      </w:r>
      <w:r>
        <w:rPr>
          <w:rFonts w:hint="eastAsia" w:eastAsia="仿宋_GB2312"/>
          <w:sz w:val="30"/>
          <w:szCs w:val="32"/>
        </w:rPr>
        <w:t>。</w:t>
      </w:r>
      <w:bookmarkEnd w:id="691"/>
      <w:bookmarkEnd w:id="692"/>
      <w:bookmarkEnd w:id="693"/>
      <w:bookmarkEnd w:id="694"/>
      <w:bookmarkEnd w:id="695"/>
      <w:r>
        <w:rPr>
          <w:rFonts w:eastAsia="仿宋_GB2312"/>
          <w:sz w:val="30"/>
          <w:szCs w:val="32"/>
        </w:rPr>
        <w:t xml:space="preserve">  </w:t>
      </w:r>
      <w:bookmarkStart w:id="696" w:name="_Toc318581157"/>
    </w:p>
    <w:p w14:paraId="671BBEBF">
      <w:pPr>
        <w:spacing w:line="360" w:lineRule="auto"/>
        <w:ind w:firstLine="600" w:firstLineChars="200"/>
        <w:jc w:val="left"/>
        <w:rPr>
          <w:rFonts w:eastAsia="仿宋_GB2312"/>
          <w:sz w:val="30"/>
          <w:szCs w:val="32"/>
        </w:rPr>
      </w:pPr>
      <w:r>
        <w:rPr>
          <w:rFonts w:eastAsia="仿宋_GB2312"/>
          <w:sz w:val="30"/>
          <w:szCs w:val="32"/>
        </w:rPr>
        <w:t>1.10.4</w:t>
      </w:r>
      <w:r>
        <w:rPr>
          <w:rFonts w:hint="eastAsia" w:eastAsia="仿宋_GB2312"/>
          <w:sz w:val="30"/>
          <w:szCs w:val="32"/>
        </w:rPr>
        <w:t>超大件和超重件的运输</w:t>
      </w:r>
    </w:p>
    <w:p w14:paraId="0AD82297">
      <w:pPr>
        <w:spacing w:line="360" w:lineRule="auto"/>
        <w:ind w:firstLine="600" w:firstLineChars="200"/>
        <w:jc w:val="left"/>
        <w:rPr>
          <w:rFonts w:eastAsia="仿宋_GB2312"/>
          <w:sz w:val="30"/>
          <w:szCs w:val="32"/>
        </w:rPr>
      </w:pPr>
      <w:r>
        <w:rPr>
          <w:rFonts w:hint="eastAsia" w:eastAsia="仿宋_GB2312"/>
          <w:sz w:val="30"/>
          <w:szCs w:val="32"/>
        </w:rPr>
        <w:t>运输超大件或超重件所需的道路和桥梁临时加固改造费用和其他有关费用由</w:t>
      </w:r>
      <w:r>
        <w:rPr>
          <w:rFonts w:eastAsia="仿宋_GB2312"/>
          <w:sz w:val="30"/>
          <w:szCs w:val="32"/>
          <w:u w:val="single"/>
        </w:rPr>
        <w:t xml:space="preserve">  </w:t>
      </w:r>
      <w:r>
        <w:rPr>
          <w:rFonts w:hint="eastAsia" w:eastAsia="仿宋_GB2312"/>
          <w:sz w:val="30"/>
          <w:szCs w:val="32"/>
          <w:u w:val="single"/>
        </w:rPr>
        <w:t>承包人</w:t>
      </w:r>
      <w:r>
        <w:rPr>
          <w:rFonts w:hint="eastAsia" w:eastAsia="仿宋_GB2312"/>
          <w:sz w:val="30"/>
          <w:szCs w:val="32"/>
        </w:rPr>
        <w:t>承担。</w:t>
      </w:r>
    </w:p>
    <w:bookmarkEnd w:id="696"/>
    <w:p w14:paraId="5759B484">
      <w:pPr>
        <w:spacing w:after="120" w:line="360" w:lineRule="auto"/>
        <w:ind w:firstLine="600" w:firstLineChars="200"/>
        <w:rPr>
          <w:rFonts w:eastAsia="黑体"/>
          <w:sz w:val="30"/>
          <w:szCs w:val="32"/>
        </w:rPr>
      </w:pPr>
      <w:r>
        <w:rPr>
          <w:rFonts w:eastAsia="黑体"/>
          <w:sz w:val="30"/>
          <w:szCs w:val="32"/>
        </w:rPr>
        <w:t xml:space="preserve">1.11 </w:t>
      </w:r>
      <w:r>
        <w:rPr>
          <w:rFonts w:hint="eastAsia" w:eastAsia="黑体"/>
          <w:sz w:val="30"/>
          <w:szCs w:val="32"/>
        </w:rPr>
        <w:t>知识产权</w:t>
      </w:r>
    </w:p>
    <w:p w14:paraId="6138656B">
      <w:pPr>
        <w:spacing w:line="360" w:lineRule="auto"/>
        <w:ind w:firstLine="600" w:firstLineChars="200"/>
        <w:rPr>
          <w:rFonts w:eastAsia="仿宋_GB2312"/>
          <w:sz w:val="30"/>
          <w:szCs w:val="32"/>
        </w:rPr>
      </w:pPr>
      <w:r>
        <w:rPr>
          <w:rFonts w:eastAsia="仿宋_GB2312"/>
          <w:sz w:val="30"/>
          <w:szCs w:val="32"/>
        </w:rPr>
        <w:t>1.11.1</w:t>
      </w:r>
      <w:r>
        <w:rPr>
          <w:rFonts w:hint="eastAsia" w:eastAsia="仿宋_GB2312"/>
          <w:sz w:val="30"/>
          <w:szCs w:val="32"/>
        </w:rPr>
        <w:t>关于发包人提供给承包人的图纸、发包人为实施工程自行编制或委托编制的技术规范以及反映发包人关于合同要求或其他类似性质的文件的著作权的归属：</w:t>
      </w:r>
      <w:r>
        <w:rPr>
          <w:rFonts w:hint="eastAsia" w:eastAsia="仿宋_GB2312"/>
          <w:sz w:val="30"/>
          <w:szCs w:val="32"/>
          <w:u w:val="single"/>
        </w:rPr>
        <w:t>执行《通用合同条款》</w:t>
      </w:r>
      <w:r>
        <w:rPr>
          <w:rFonts w:hint="eastAsia" w:eastAsia="仿宋_GB2312"/>
          <w:sz w:val="30"/>
          <w:szCs w:val="32"/>
        </w:rPr>
        <w:t>。</w:t>
      </w:r>
    </w:p>
    <w:p w14:paraId="6E5009C0">
      <w:pPr>
        <w:spacing w:line="360" w:lineRule="auto"/>
        <w:ind w:firstLine="600" w:firstLineChars="200"/>
        <w:rPr>
          <w:rFonts w:eastAsia="仿宋_GB2312"/>
          <w:sz w:val="30"/>
          <w:szCs w:val="32"/>
        </w:rPr>
      </w:pPr>
      <w:r>
        <w:rPr>
          <w:rFonts w:hint="eastAsia" w:eastAsia="仿宋_GB2312"/>
          <w:sz w:val="30"/>
          <w:szCs w:val="32"/>
        </w:rPr>
        <w:t>关于发包人提供的上述文件的使用限制的要求：</w:t>
      </w:r>
      <w:r>
        <w:rPr>
          <w:rFonts w:hint="eastAsia" w:eastAsia="仿宋_GB2312"/>
          <w:sz w:val="30"/>
          <w:szCs w:val="32"/>
          <w:u w:val="single"/>
        </w:rPr>
        <w:t>执行《通用合同条款》</w:t>
      </w:r>
      <w:r>
        <w:rPr>
          <w:rFonts w:hint="eastAsia" w:eastAsia="仿宋_GB2312"/>
          <w:sz w:val="30"/>
          <w:szCs w:val="32"/>
        </w:rPr>
        <w:t>。</w:t>
      </w:r>
    </w:p>
    <w:p w14:paraId="303440DF">
      <w:pPr>
        <w:spacing w:line="360" w:lineRule="auto"/>
        <w:ind w:left="596" w:leftChars="284"/>
        <w:rPr>
          <w:rFonts w:eastAsia="仿宋_GB2312"/>
          <w:sz w:val="30"/>
          <w:szCs w:val="32"/>
        </w:rPr>
      </w:pPr>
      <w:r>
        <w:rPr>
          <w:rFonts w:eastAsia="仿宋_GB2312"/>
          <w:sz w:val="30"/>
          <w:szCs w:val="32"/>
        </w:rPr>
        <w:t xml:space="preserve">1.11.2 </w:t>
      </w:r>
      <w:r>
        <w:rPr>
          <w:rFonts w:hint="eastAsia" w:eastAsia="仿宋_GB2312"/>
          <w:sz w:val="30"/>
          <w:szCs w:val="32"/>
        </w:rPr>
        <w:t>关于承包人为实施工程所编制文件的著作权的归属：</w:t>
      </w:r>
      <w:r>
        <w:rPr>
          <w:rFonts w:eastAsia="仿宋_GB2312"/>
          <w:sz w:val="30"/>
          <w:szCs w:val="32"/>
          <w:u w:val="single"/>
        </w:rPr>
        <w:t xml:space="preserve">    </w:t>
      </w:r>
    </w:p>
    <w:p w14:paraId="4F9B30F3">
      <w:pPr>
        <w:spacing w:line="360" w:lineRule="auto"/>
        <w:rPr>
          <w:rFonts w:eastAsia="仿宋_GB2312"/>
          <w:sz w:val="30"/>
          <w:szCs w:val="32"/>
        </w:rPr>
      </w:pPr>
      <w:r>
        <w:rPr>
          <w:rFonts w:hint="eastAsia" w:eastAsia="仿宋_GB2312"/>
          <w:sz w:val="30"/>
          <w:szCs w:val="32"/>
          <w:u w:val="single"/>
        </w:rPr>
        <w:t>执行《通用合同条款》</w:t>
      </w:r>
      <w:r>
        <w:rPr>
          <w:rFonts w:hint="eastAsia" w:eastAsia="仿宋_GB2312"/>
          <w:sz w:val="30"/>
          <w:szCs w:val="32"/>
        </w:rPr>
        <w:t>。</w:t>
      </w:r>
    </w:p>
    <w:p w14:paraId="21FEA7CD">
      <w:pPr>
        <w:spacing w:line="360" w:lineRule="auto"/>
        <w:rPr>
          <w:rFonts w:eastAsia="仿宋_GB2312"/>
          <w:sz w:val="30"/>
          <w:szCs w:val="32"/>
        </w:rPr>
      </w:pPr>
      <w:r>
        <w:rPr>
          <w:rFonts w:hint="eastAsia" w:eastAsia="仿宋_GB2312"/>
          <w:sz w:val="30"/>
          <w:szCs w:val="32"/>
        </w:rPr>
        <w:t>关于承包人提供的上述文件的使用限制的要求：</w:t>
      </w:r>
      <w:r>
        <w:rPr>
          <w:rFonts w:hint="eastAsia" w:eastAsia="仿宋_GB2312"/>
          <w:sz w:val="30"/>
          <w:szCs w:val="32"/>
          <w:u w:val="single"/>
        </w:rPr>
        <w:t>执行《通用合同条款》</w:t>
      </w:r>
      <w:r>
        <w:rPr>
          <w:rFonts w:hint="eastAsia" w:eastAsia="仿宋_GB2312"/>
          <w:sz w:val="30"/>
          <w:szCs w:val="32"/>
        </w:rPr>
        <w:t>。</w:t>
      </w:r>
    </w:p>
    <w:p w14:paraId="4576F7C9">
      <w:pPr>
        <w:spacing w:line="360" w:lineRule="auto"/>
        <w:ind w:firstLine="600" w:firstLineChars="200"/>
        <w:rPr>
          <w:rFonts w:eastAsia="仿宋_GB2312"/>
          <w:kern w:val="0"/>
          <w:sz w:val="30"/>
          <w:szCs w:val="32"/>
        </w:rPr>
      </w:pPr>
      <w:r>
        <w:rPr>
          <w:rFonts w:eastAsia="仿宋_GB2312"/>
          <w:sz w:val="30"/>
          <w:szCs w:val="32"/>
        </w:rPr>
        <w:t xml:space="preserve">1.11.4 </w:t>
      </w:r>
      <w:r>
        <w:rPr>
          <w:rFonts w:hint="eastAsia" w:eastAsia="仿宋_GB2312"/>
          <w:sz w:val="30"/>
          <w:szCs w:val="32"/>
        </w:rPr>
        <w:t>承包人在施工过程中所采用的专利、专有技术、技术秘密的使用费的承担方式：</w:t>
      </w:r>
      <w:r>
        <w:rPr>
          <w:rFonts w:hint="eastAsia" w:eastAsia="仿宋_GB2312"/>
          <w:sz w:val="30"/>
          <w:szCs w:val="32"/>
          <w:u w:val="single"/>
        </w:rPr>
        <w:t>执行《通用合同条款》</w:t>
      </w:r>
      <w:r>
        <w:rPr>
          <w:rFonts w:hint="eastAsia" w:eastAsia="仿宋_GB2312"/>
          <w:kern w:val="0"/>
          <w:sz w:val="30"/>
          <w:szCs w:val="32"/>
        </w:rPr>
        <w:t>。</w:t>
      </w:r>
    </w:p>
    <w:p w14:paraId="1633DDF1">
      <w:pPr>
        <w:spacing w:after="120" w:line="360" w:lineRule="auto"/>
        <w:ind w:firstLine="600" w:firstLineChars="200"/>
        <w:rPr>
          <w:rFonts w:eastAsia="黑体"/>
          <w:sz w:val="30"/>
          <w:szCs w:val="32"/>
        </w:rPr>
      </w:pPr>
      <w:r>
        <w:rPr>
          <w:rFonts w:eastAsia="黑体"/>
          <w:sz w:val="30"/>
          <w:szCs w:val="32"/>
        </w:rPr>
        <w:t>1.13</w:t>
      </w:r>
      <w:r>
        <w:rPr>
          <w:rFonts w:hint="eastAsia" w:eastAsia="黑体"/>
          <w:sz w:val="30"/>
          <w:szCs w:val="32"/>
        </w:rPr>
        <w:t>工程量清单错误的修正</w:t>
      </w:r>
    </w:p>
    <w:p w14:paraId="26B110E8">
      <w:pPr>
        <w:spacing w:line="360" w:lineRule="auto"/>
        <w:ind w:firstLine="600" w:firstLineChars="200"/>
        <w:rPr>
          <w:rFonts w:eastAsia="仿宋_GB2312"/>
          <w:sz w:val="30"/>
          <w:szCs w:val="32"/>
          <w:u w:val="single"/>
        </w:rPr>
      </w:pPr>
      <w:r>
        <w:rPr>
          <w:rFonts w:hint="eastAsia" w:eastAsia="仿宋_GB2312"/>
          <w:sz w:val="30"/>
          <w:szCs w:val="32"/>
        </w:rPr>
        <w:t>出现工程量清单错误时，是否调整合同价格：</w:t>
      </w:r>
    </w:p>
    <w:p w14:paraId="7D36AD4C">
      <w:pPr>
        <w:spacing w:line="360" w:lineRule="auto"/>
        <w:ind w:firstLine="600" w:firstLineChars="200"/>
        <w:rPr>
          <w:rFonts w:eastAsia="仿宋_GB2312"/>
          <w:sz w:val="30"/>
          <w:szCs w:val="32"/>
        </w:rPr>
      </w:pPr>
      <w:r>
        <w:rPr>
          <w:rFonts w:hint="eastAsia" w:eastAsia="仿宋_GB2312"/>
          <w:sz w:val="30"/>
          <w:szCs w:val="32"/>
          <w:u w:val="single"/>
        </w:rPr>
        <w:t>本合同为单价合同，综合单价不因工程量清单的变化而调整，工程量据实计量，合同价格的调整以最终结算为准</w:t>
      </w:r>
      <w:r>
        <w:rPr>
          <w:rFonts w:eastAsia="仿宋_GB2312"/>
          <w:sz w:val="30"/>
          <w:szCs w:val="32"/>
          <w:u w:val="single"/>
        </w:rPr>
        <w:t xml:space="preserve"> </w:t>
      </w:r>
      <w:r>
        <w:rPr>
          <w:rFonts w:hint="eastAsia" w:eastAsia="仿宋_GB2312"/>
          <w:kern w:val="0"/>
          <w:sz w:val="30"/>
          <w:szCs w:val="32"/>
        </w:rPr>
        <w:t>。</w:t>
      </w:r>
    </w:p>
    <w:p w14:paraId="5FFD5E1F">
      <w:pPr>
        <w:spacing w:line="360" w:lineRule="auto"/>
        <w:ind w:firstLine="600" w:firstLineChars="200"/>
        <w:rPr>
          <w:rFonts w:eastAsia="仿宋_GB2312"/>
          <w:sz w:val="30"/>
          <w:szCs w:val="32"/>
        </w:rPr>
      </w:pPr>
      <w:r>
        <w:rPr>
          <w:rFonts w:hint="eastAsia" w:eastAsia="仿宋_GB2312"/>
          <w:sz w:val="30"/>
          <w:szCs w:val="32"/>
        </w:rPr>
        <w:t>允许调整合同价格的工程量偏差范围：</w:t>
      </w:r>
      <w:r>
        <w:rPr>
          <w:rFonts w:hint="eastAsia"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r>
        <w:rPr>
          <w:rFonts w:hint="eastAsia" w:eastAsia="仿宋_GB2312"/>
          <w:kern w:val="0"/>
          <w:sz w:val="30"/>
          <w:szCs w:val="32"/>
        </w:rPr>
        <w:t>。</w:t>
      </w:r>
    </w:p>
    <w:p w14:paraId="2FA86CF8">
      <w:pPr>
        <w:pStyle w:val="8"/>
        <w:spacing w:before="120" w:after="120" w:line="360" w:lineRule="auto"/>
        <w:rPr>
          <w:rFonts w:ascii="Times New Roman" w:hAnsi="Times New Roman" w:eastAsia="黑体"/>
          <w:b w:val="0"/>
          <w:sz w:val="32"/>
          <w:szCs w:val="32"/>
        </w:rPr>
      </w:pPr>
      <w:bookmarkStart w:id="697" w:name="_Toc351203634"/>
      <w:r>
        <w:rPr>
          <w:rFonts w:ascii="Times New Roman" w:hAnsi="Times New Roman" w:eastAsia="黑体"/>
          <w:b w:val="0"/>
          <w:sz w:val="32"/>
          <w:szCs w:val="32"/>
        </w:rPr>
        <w:t>2</w:t>
      </w:r>
      <w:bookmarkStart w:id="698" w:name="_Toc296503157"/>
      <w:bookmarkStart w:id="699" w:name="_Toc292559867"/>
      <w:bookmarkStart w:id="700" w:name="_Toc297120457"/>
      <w:bookmarkStart w:id="701" w:name="_Toc292559362"/>
      <w:bookmarkStart w:id="702" w:name="_Toc296890985"/>
      <w:bookmarkStart w:id="703" w:name="_Toc297048343"/>
      <w:bookmarkStart w:id="704" w:name="_Toc296891197"/>
      <w:bookmarkStart w:id="705" w:name="_Toc296944496"/>
      <w:bookmarkStart w:id="706" w:name="_Toc296347156"/>
      <w:bookmarkStart w:id="707" w:name="_Toc296346658"/>
      <w:r>
        <w:rPr>
          <w:rFonts w:ascii="Times New Roman" w:hAnsi="Times New Roman" w:eastAsia="黑体"/>
          <w:b w:val="0"/>
          <w:sz w:val="32"/>
          <w:szCs w:val="32"/>
        </w:rPr>
        <w:t xml:space="preserve">. </w:t>
      </w:r>
      <w:r>
        <w:rPr>
          <w:rFonts w:hint="eastAsia" w:ascii="Times New Roman" w:hAnsi="Times New Roman" w:eastAsia="黑体"/>
          <w:b w:val="0"/>
          <w:sz w:val="32"/>
          <w:szCs w:val="32"/>
        </w:rPr>
        <w:t>发包人</w:t>
      </w:r>
      <w:bookmarkEnd w:id="697"/>
    </w:p>
    <w:bookmarkEnd w:id="698"/>
    <w:bookmarkEnd w:id="699"/>
    <w:bookmarkEnd w:id="700"/>
    <w:bookmarkEnd w:id="701"/>
    <w:bookmarkEnd w:id="702"/>
    <w:bookmarkEnd w:id="703"/>
    <w:bookmarkEnd w:id="704"/>
    <w:bookmarkEnd w:id="705"/>
    <w:bookmarkEnd w:id="706"/>
    <w:bookmarkEnd w:id="707"/>
    <w:p w14:paraId="5705BC37">
      <w:pPr>
        <w:spacing w:after="120" w:line="360" w:lineRule="auto"/>
        <w:ind w:firstLine="600" w:firstLineChars="200"/>
        <w:outlineLvl w:val="0"/>
        <w:rPr>
          <w:rFonts w:eastAsia="黑体"/>
          <w:sz w:val="30"/>
          <w:szCs w:val="32"/>
        </w:rPr>
      </w:pPr>
      <w:bookmarkStart w:id="708" w:name="_Toc7418"/>
      <w:bookmarkStart w:id="709" w:name="_Toc9944"/>
      <w:bookmarkStart w:id="710" w:name="_Toc10306"/>
      <w:bookmarkStart w:id="711" w:name="_Toc13318"/>
      <w:bookmarkStart w:id="712" w:name="_Toc14809"/>
      <w:bookmarkStart w:id="713" w:name="_Toc1241"/>
      <w:r>
        <w:rPr>
          <w:rFonts w:eastAsia="黑体"/>
          <w:sz w:val="30"/>
          <w:szCs w:val="32"/>
        </w:rPr>
        <w:t>2.2发包人代表</w:t>
      </w:r>
      <w:bookmarkEnd w:id="708"/>
      <w:bookmarkEnd w:id="709"/>
      <w:bookmarkEnd w:id="710"/>
      <w:bookmarkEnd w:id="711"/>
      <w:bookmarkEnd w:id="712"/>
      <w:bookmarkEnd w:id="713"/>
    </w:p>
    <w:p w14:paraId="75A0E816">
      <w:pPr>
        <w:spacing w:line="360" w:lineRule="auto"/>
        <w:ind w:firstLine="600" w:firstLineChars="200"/>
        <w:rPr>
          <w:rFonts w:eastAsia="仿宋_GB2312"/>
          <w:sz w:val="30"/>
          <w:szCs w:val="32"/>
        </w:rPr>
      </w:pPr>
      <w:r>
        <w:rPr>
          <w:rFonts w:eastAsia="仿宋_GB2312"/>
          <w:sz w:val="30"/>
          <w:szCs w:val="32"/>
        </w:rPr>
        <w:t>发包人代表：</w:t>
      </w:r>
    </w:p>
    <w:p w14:paraId="43F6CB8F">
      <w:pPr>
        <w:spacing w:line="360" w:lineRule="auto"/>
        <w:ind w:firstLine="600" w:firstLineChars="200"/>
        <w:rPr>
          <w:rFonts w:eastAsia="仿宋_GB2312"/>
          <w:sz w:val="30"/>
          <w:szCs w:val="32"/>
        </w:rPr>
      </w:pPr>
      <w:r>
        <w:rPr>
          <w:rFonts w:eastAsia="仿宋_GB2312"/>
          <w:sz w:val="30"/>
          <w:szCs w:val="32"/>
        </w:rPr>
        <w:t>姓    名：</w:t>
      </w:r>
      <w:r>
        <w:rPr>
          <w:rFonts w:eastAsia="仿宋_GB2312"/>
          <w:sz w:val="30"/>
          <w:szCs w:val="32"/>
          <w:u w:val="single"/>
        </w:rPr>
        <w:t xml:space="preserve"> 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5C3B71AE">
      <w:pPr>
        <w:spacing w:line="360" w:lineRule="auto"/>
        <w:ind w:firstLine="600" w:firstLineChars="200"/>
        <w:rPr>
          <w:rFonts w:eastAsia="仿宋_GB2312"/>
          <w:sz w:val="30"/>
          <w:szCs w:val="32"/>
        </w:rPr>
      </w:pPr>
      <w:r>
        <w:rPr>
          <w:rFonts w:eastAsia="仿宋_GB2312"/>
          <w:sz w:val="30"/>
          <w:szCs w:val="32"/>
        </w:rPr>
        <w:t>身份证号：</w:t>
      </w:r>
      <w:r>
        <w:rPr>
          <w:rFonts w:eastAsia="仿宋_GB2312"/>
          <w:sz w:val="30"/>
          <w:szCs w:val="32"/>
          <w:u w:val="single"/>
        </w:rPr>
        <w:t xml:space="preserve">   </w:t>
      </w:r>
      <w:r>
        <w:rPr>
          <w:rFonts w:hint="eastAsia" w:eastAsia="仿宋_GB2312"/>
          <w:sz w:val="30"/>
          <w:szCs w:val="32"/>
          <w:u w:val="single"/>
        </w:rPr>
        <w:t xml:space="preserve"> </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1496C73D">
      <w:pPr>
        <w:spacing w:line="360" w:lineRule="auto"/>
        <w:ind w:firstLine="600" w:firstLineChars="200"/>
        <w:rPr>
          <w:rFonts w:eastAsia="仿宋_GB2312"/>
          <w:sz w:val="30"/>
          <w:szCs w:val="32"/>
        </w:rPr>
      </w:pPr>
      <w:r>
        <w:rPr>
          <w:rFonts w:eastAsia="仿宋_GB2312"/>
          <w:sz w:val="30"/>
          <w:szCs w:val="32"/>
        </w:rPr>
        <w:t>职    务：</w:t>
      </w:r>
      <w:r>
        <w:rPr>
          <w:rFonts w:eastAsia="仿宋_GB2312"/>
          <w:sz w:val="30"/>
          <w:szCs w:val="32"/>
          <w:u w:val="single"/>
        </w:rPr>
        <w:t>    </w:t>
      </w:r>
      <w:r>
        <w:rPr>
          <w:rFonts w:eastAsia="仿宋_GB2312"/>
          <w:sz w:val="30"/>
          <w:szCs w:val="32"/>
        </w:rPr>
        <w:t>；</w:t>
      </w:r>
    </w:p>
    <w:p w14:paraId="138D90BC">
      <w:pPr>
        <w:spacing w:line="360" w:lineRule="auto"/>
        <w:ind w:firstLine="600" w:firstLineChars="200"/>
        <w:rPr>
          <w:rFonts w:eastAsia="仿宋_GB2312"/>
          <w:sz w:val="30"/>
          <w:szCs w:val="32"/>
        </w:rPr>
      </w:pPr>
      <w:r>
        <w:rPr>
          <w:rFonts w:eastAsia="仿宋_GB2312"/>
          <w:sz w:val="30"/>
          <w:szCs w:val="32"/>
        </w:rPr>
        <w:t>联系电话：</w:t>
      </w:r>
      <w:r>
        <w:rPr>
          <w:rFonts w:eastAsia="仿宋_GB2312"/>
          <w:sz w:val="30"/>
          <w:szCs w:val="32"/>
          <w:u w:val="single"/>
        </w:rPr>
        <w:t>  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01D5454C">
      <w:pPr>
        <w:spacing w:line="360" w:lineRule="auto"/>
        <w:ind w:firstLine="600" w:firstLineChars="200"/>
        <w:rPr>
          <w:rFonts w:eastAsia="仿宋_GB2312"/>
          <w:sz w:val="30"/>
          <w:szCs w:val="32"/>
        </w:rPr>
      </w:pPr>
      <w:r>
        <w:rPr>
          <w:rFonts w:eastAsia="仿宋_GB2312"/>
          <w:sz w:val="30"/>
          <w:szCs w:val="32"/>
        </w:rPr>
        <w:t>电子信箱：</w:t>
      </w:r>
      <w:r>
        <w:rPr>
          <w:rFonts w:eastAsia="仿宋_GB2312"/>
          <w:sz w:val="30"/>
          <w:szCs w:val="32"/>
          <w:u w:val="single"/>
        </w:rPr>
        <w:t>  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4FBC0DEC">
      <w:pPr>
        <w:spacing w:line="360" w:lineRule="auto"/>
        <w:ind w:firstLine="600" w:firstLineChars="200"/>
        <w:rPr>
          <w:rFonts w:eastAsia="仿宋_GB2312"/>
          <w:sz w:val="30"/>
          <w:szCs w:val="32"/>
        </w:rPr>
      </w:pPr>
      <w:r>
        <w:rPr>
          <w:rFonts w:eastAsia="仿宋_GB2312"/>
          <w:sz w:val="30"/>
          <w:szCs w:val="32"/>
        </w:rPr>
        <w:t>通信地址：</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xml:space="preserve">  </w:t>
      </w:r>
      <w:r>
        <w:rPr>
          <w:rFonts w:eastAsia="仿宋_GB2312"/>
          <w:sz w:val="30"/>
          <w:szCs w:val="32"/>
        </w:rPr>
        <w:t>。</w:t>
      </w:r>
    </w:p>
    <w:p w14:paraId="14448D60">
      <w:pPr>
        <w:ind w:firstLine="600" w:firstLineChars="200"/>
        <w:rPr>
          <w:rFonts w:eastAsia="仿宋_GB2312"/>
          <w:sz w:val="30"/>
          <w:szCs w:val="32"/>
          <w:u w:val="single"/>
        </w:rPr>
      </w:pPr>
      <w:r>
        <w:rPr>
          <w:rFonts w:hint="eastAsia" w:eastAsia="仿宋_GB2312"/>
          <w:sz w:val="30"/>
          <w:szCs w:val="32"/>
        </w:rPr>
        <w:t>发包人对发包人代表的授权范围如下：</w:t>
      </w:r>
      <w:r>
        <w:rPr>
          <w:rFonts w:hint="eastAsia" w:eastAsia="仿宋_GB2312"/>
          <w:sz w:val="30"/>
          <w:szCs w:val="32"/>
          <w:u w:val="single"/>
        </w:rPr>
        <w:t>负责处理合同履行过程中与发包人有关的事宜：对本工程质量、进度、安全文明施工及材料和设备进场进行监督管理；对涉及工期调整、设计变更和现场工程量签证、工程形象进度报告及工程款审核、竣工结算报告等影响工程造价的相关事项作出处理；办理工程移交、资料移交及工程验收手续；组织竣工结算报审；协调施工现场及外部有关事宜；质量保修期内的组织协调安排。</w:t>
      </w:r>
    </w:p>
    <w:p w14:paraId="6D6CEB3D">
      <w:pPr>
        <w:ind w:firstLine="600" w:firstLineChars="200"/>
      </w:pPr>
      <w:r>
        <w:rPr>
          <w:rFonts w:hint="eastAsia" w:ascii="仿宋" w:hAnsi="仿宋" w:eastAsia="仿宋" w:cs="仿宋"/>
          <w:sz w:val="30"/>
          <w:szCs w:val="32"/>
          <w:u w:val="single"/>
        </w:rPr>
        <w:t>凡涉及工期调整、工程暂停、工程复工、变更洽商、工作联系单、现场签证、工程计量、价格调整、价格确认、工程验收等其他可能影响发包人重要利益的内容必须发包人代表签字并加盖发包人项目章后方可有效。</w:t>
      </w:r>
    </w:p>
    <w:p w14:paraId="1C875D00">
      <w:pPr>
        <w:spacing w:after="120" w:line="360" w:lineRule="auto"/>
        <w:ind w:firstLine="600" w:firstLineChars="200"/>
        <w:rPr>
          <w:rFonts w:eastAsia="黑体"/>
          <w:sz w:val="30"/>
          <w:szCs w:val="32"/>
        </w:rPr>
      </w:pPr>
      <w:r>
        <w:rPr>
          <w:rFonts w:eastAsia="黑体"/>
          <w:sz w:val="30"/>
          <w:szCs w:val="32"/>
        </w:rPr>
        <w:t xml:space="preserve">2.4 </w:t>
      </w:r>
      <w:r>
        <w:rPr>
          <w:rFonts w:hint="eastAsia" w:eastAsia="黑体"/>
          <w:sz w:val="30"/>
          <w:szCs w:val="32"/>
        </w:rPr>
        <w:t>施工现场、施工条件和基础资料的提供</w:t>
      </w:r>
    </w:p>
    <w:p w14:paraId="37A83169">
      <w:pPr>
        <w:spacing w:line="360" w:lineRule="auto"/>
        <w:ind w:firstLine="600" w:firstLineChars="200"/>
        <w:rPr>
          <w:rFonts w:eastAsia="仿宋_GB2312"/>
          <w:sz w:val="30"/>
          <w:szCs w:val="32"/>
        </w:rPr>
      </w:pPr>
      <w:r>
        <w:rPr>
          <w:rFonts w:eastAsia="仿宋_GB2312"/>
          <w:sz w:val="30"/>
          <w:szCs w:val="32"/>
        </w:rPr>
        <w:t xml:space="preserve">2.4.1 </w:t>
      </w:r>
      <w:r>
        <w:rPr>
          <w:rFonts w:hint="eastAsia" w:eastAsia="仿宋_GB2312"/>
          <w:sz w:val="30"/>
          <w:szCs w:val="32"/>
        </w:rPr>
        <w:t>提供施工现场</w:t>
      </w:r>
    </w:p>
    <w:p w14:paraId="7100DA7B">
      <w:pPr>
        <w:spacing w:line="360" w:lineRule="auto"/>
        <w:ind w:firstLine="600" w:firstLineChars="200"/>
        <w:jc w:val="left"/>
        <w:rPr>
          <w:rFonts w:eastAsia="仿宋_GB2312"/>
          <w:sz w:val="30"/>
          <w:szCs w:val="32"/>
        </w:rPr>
      </w:pPr>
      <w:r>
        <w:rPr>
          <w:rFonts w:hint="eastAsia" w:eastAsia="仿宋_GB2312"/>
          <w:sz w:val="30"/>
          <w:szCs w:val="32"/>
        </w:rPr>
        <w:t>关于发包人移交施工现场的期限要求：</w:t>
      </w:r>
      <w:r>
        <w:rPr>
          <w:rFonts w:hint="eastAsia" w:eastAsia="仿宋_GB2312"/>
          <w:sz w:val="30"/>
          <w:szCs w:val="32"/>
          <w:u w:val="single"/>
        </w:rPr>
        <w:t>执行《通用合同条款》</w:t>
      </w:r>
      <w:r>
        <w:rPr>
          <w:rFonts w:hint="eastAsia" w:eastAsia="仿宋_GB2312"/>
          <w:sz w:val="30"/>
          <w:szCs w:val="32"/>
        </w:rPr>
        <w:t>。</w:t>
      </w:r>
    </w:p>
    <w:p w14:paraId="413D3B32">
      <w:pPr>
        <w:spacing w:line="360" w:lineRule="auto"/>
        <w:ind w:firstLine="600" w:firstLineChars="200"/>
        <w:jc w:val="left"/>
        <w:rPr>
          <w:rFonts w:eastAsia="仿宋_GB2312"/>
          <w:sz w:val="30"/>
          <w:szCs w:val="32"/>
        </w:rPr>
      </w:pPr>
      <w:r>
        <w:rPr>
          <w:rFonts w:hint="eastAsia" w:eastAsia="仿宋_GB2312"/>
          <w:sz w:val="30"/>
          <w:szCs w:val="32"/>
          <w:u w:val="single"/>
        </w:rPr>
        <w:t>发包人可以按单位工程或工程标段分阶段提供施工现场。</w:t>
      </w:r>
    </w:p>
    <w:p w14:paraId="65FB923C">
      <w:pPr>
        <w:spacing w:line="360" w:lineRule="auto"/>
        <w:ind w:firstLine="600" w:firstLineChars="200"/>
        <w:rPr>
          <w:rFonts w:eastAsia="仿宋_GB2312"/>
          <w:sz w:val="30"/>
          <w:szCs w:val="32"/>
        </w:rPr>
      </w:pPr>
      <w:r>
        <w:rPr>
          <w:rFonts w:eastAsia="仿宋_GB2312"/>
          <w:sz w:val="30"/>
          <w:szCs w:val="32"/>
        </w:rPr>
        <w:t xml:space="preserve">2.4.2 </w:t>
      </w:r>
      <w:r>
        <w:rPr>
          <w:rFonts w:hint="eastAsia" w:eastAsia="仿宋_GB2312"/>
          <w:sz w:val="30"/>
          <w:szCs w:val="32"/>
        </w:rPr>
        <w:t>提供施工条件</w:t>
      </w:r>
    </w:p>
    <w:p w14:paraId="7695B7C5">
      <w:pPr>
        <w:spacing w:line="360" w:lineRule="auto"/>
        <w:ind w:firstLine="600" w:firstLineChars="200"/>
        <w:rPr>
          <w:rFonts w:eastAsia="仿宋_GB2312"/>
          <w:sz w:val="30"/>
          <w:szCs w:val="32"/>
        </w:rPr>
      </w:pPr>
      <w:r>
        <w:rPr>
          <w:rFonts w:hint="eastAsia" w:eastAsia="仿宋_GB2312"/>
          <w:sz w:val="30"/>
          <w:szCs w:val="32"/>
        </w:rPr>
        <w:t>关于发包人应负责提供施工所需要的条件，包括：</w:t>
      </w:r>
      <w:r>
        <w:rPr>
          <w:rFonts w:hint="eastAsia" w:eastAsia="仿宋_GB2312"/>
          <w:sz w:val="30"/>
          <w:szCs w:val="32"/>
          <w:u w:val="single"/>
        </w:rPr>
        <w:t>执行《通用合同条款》，且发包人向承包人移交水准点与坐标控制点</w:t>
      </w:r>
      <w:r>
        <w:rPr>
          <w:rFonts w:hint="eastAsia" w:ascii="仿宋_GB2312" w:hAnsi="仿宋_GB2312" w:eastAsia="仿宋_GB2312" w:cs="仿宋_GB2312"/>
          <w:sz w:val="32"/>
          <w:szCs w:val="32"/>
          <w:u w:val="single"/>
        </w:rPr>
        <w:t>，以书面形式交给承包人，进行现场交验</w:t>
      </w:r>
      <w:r>
        <w:rPr>
          <w:rFonts w:hint="eastAsia" w:eastAsia="仿宋_GB2312"/>
          <w:sz w:val="30"/>
          <w:szCs w:val="32"/>
          <w:u w:val="single"/>
        </w:rPr>
        <w:t>。</w:t>
      </w:r>
    </w:p>
    <w:p w14:paraId="340A5ED6">
      <w:pPr>
        <w:spacing w:after="120" w:line="360" w:lineRule="auto"/>
        <w:ind w:firstLine="600" w:firstLineChars="200"/>
        <w:rPr>
          <w:rFonts w:eastAsia="黑体"/>
          <w:sz w:val="30"/>
          <w:szCs w:val="32"/>
        </w:rPr>
      </w:pPr>
      <w:r>
        <w:rPr>
          <w:rFonts w:eastAsia="黑体"/>
          <w:sz w:val="30"/>
          <w:szCs w:val="32"/>
        </w:rPr>
        <w:t xml:space="preserve">2.5 </w:t>
      </w:r>
      <w:r>
        <w:rPr>
          <w:rFonts w:hint="eastAsia" w:eastAsia="黑体"/>
          <w:sz w:val="30"/>
          <w:szCs w:val="32"/>
        </w:rPr>
        <w:t>资金来源证明及支付担保</w:t>
      </w:r>
    </w:p>
    <w:p w14:paraId="54181331">
      <w:pPr>
        <w:spacing w:line="360" w:lineRule="auto"/>
        <w:ind w:firstLine="600" w:firstLineChars="200"/>
        <w:rPr>
          <w:rFonts w:eastAsia="仿宋_GB2312"/>
          <w:sz w:val="30"/>
          <w:szCs w:val="32"/>
        </w:rPr>
      </w:pPr>
      <w:r>
        <w:rPr>
          <w:rFonts w:hint="eastAsia" w:eastAsia="仿宋_GB2312"/>
          <w:sz w:val="30"/>
          <w:szCs w:val="32"/>
        </w:rPr>
        <w:t>发包人提供资金来源证明的期限要求：</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rPr>
        <w:t>。</w:t>
      </w:r>
    </w:p>
    <w:p w14:paraId="1DC80531">
      <w:pPr>
        <w:spacing w:line="360" w:lineRule="auto"/>
        <w:ind w:firstLine="600" w:firstLineChars="200"/>
        <w:rPr>
          <w:rFonts w:eastAsia="仿宋_GB2312"/>
          <w:sz w:val="30"/>
          <w:szCs w:val="32"/>
        </w:rPr>
      </w:pPr>
      <w:r>
        <w:rPr>
          <w:rFonts w:hint="eastAsia" w:eastAsia="仿宋_GB2312"/>
          <w:sz w:val="30"/>
          <w:szCs w:val="32"/>
        </w:rPr>
        <w:t>发包人是否提供支付担保：</w:t>
      </w:r>
      <w:r>
        <w:rPr>
          <w:rFonts w:hint="eastAsia" w:eastAsia="仿宋_GB2312"/>
          <w:sz w:val="30"/>
          <w:szCs w:val="32"/>
          <w:u w:val="single"/>
        </w:rPr>
        <w:t>否</w:t>
      </w:r>
      <w:r>
        <w:rPr>
          <w:rFonts w:eastAsia="仿宋_GB2312"/>
          <w:sz w:val="30"/>
          <w:szCs w:val="32"/>
          <w:u w:val="single"/>
        </w:rPr>
        <w:t xml:space="preserve">        </w:t>
      </w:r>
      <w:r>
        <w:rPr>
          <w:rFonts w:hint="eastAsia" w:eastAsia="仿宋_GB2312"/>
          <w:sz w:val="30"/>
          <w:szCs w:val="32"/>
          <w:u w:val="single"/>
        </w:rPr>
        <w:t xml:space="preserve">       </w:t>
      </w:r>
      <w:r>
        <w:rPr>
          <w:rFonts w:hint="eastAsia" w:eastAsia="仿宋_GB2312"/>
          <w:sz w:val="30"/>
          <w:szCs w:val="32"/>
        </w:rPr>
        <w:t>。</w:t>
      </w:r>
    </w:p>
    <w:p w14:paraId="2AAAC339">
      <w:pPr>
        <w:spacing w:line="360" w:lineRule="auto"/>
        <w:ind w:firstLine="600" w:firstLineChars="200"/>
        <w:rPr>
          <w:rFonts w:eastAsia="仿宋_GB2312"/>
          <w:sz w:val="30"/>
          <w:szCs w:val="32"/>
          <w:u w:val="single"/>
        </w:rPr>
      </w:pPr>
      <w:r>
        <w:rPr>
          <w:rFonts w:hint="eastAsia" w:eastAsia="仿宋_GB2312"/>
          <w:sz w:val="30"/>
          <w:szCs w:val="32"/>
        </w:rPr>
        <w:t>发包人提供支付担保的形式：</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hint="eastAsia" w:eastAsia="仿宋_GB2312"/>
          <w:sz w:val="30"/>
          <w:szCs w:val="32"/>
        </w:rPr>
        <w:t>。</w:t>
      </w:r>
    </w:p>
    <w:p w14:paraId="1A851D09">
      <w:pPr>
        <w:pStyle w:val="8"/>
        <w:spacing w:before="120" w:after="120" w:line="360" w:lineRule="auto"/>
        <w:rPr>
          <w:rFonts w:ascii="Times New Roman" w:hAnsi="Times New Roman" w:eastAsia="黑体"/>
          <w:b w:val="0"/>
          <w:sz w:val="32"/>
          <w:szCs w:val="32"/>
        </w:rPr>
      </w:pPr>
      <w:bookmarkStart w:id="714" w:name="_Toc351203635"/>
      <w:r>
        <w:rPr>
          <w:rFonts w:ascii="Times New Roman" w:hAnsi="Times New Roman" w:eastAsia="黑体"/>
          <w:b w:val="0"/>
          <w:sz w:val="32"/>
          <w:szCs w:val="32"/>
        </w:rPr>
        <w:t>3</w:t>
      </w:r>
      <w:bookmarkStart w:id="715" w:name="_Toc296346659"/>
      <w:bookmarkStart w:id="716" w:name="_Toc296890986"/>
      <w:bookmarkStart w:id="717" w:name="_Toc297120458"/>
      <w:bookmarkStart w:id="718" w:name="_Toc292559868"/>
      <w:bookmarkStart w:id="719" w:name="_Toc296891198"/>
      <w:bookmarkStart w:id="720" w:name="_Toc296944497"/>
      <w:bookmarkStart w:id="721" w:name="_Toc296347157"/>
      <w:bookmarkStart w:id="722" w:name="_Toc296503158"/>
      <w:bookmarkStart w:id="723" w:name="_Toc297048344"/>
      <w:bookmarkStart w:id="724" w:name="_Toc292559363"/>
      <w:r>
        <w:rPr>
          <w:rFonts w:ascii="Times New Roman" w:hAnsi="Times New Roman" w:eastAsia="黑体"/>
          <w:b w:val="0"/>
          <w:sz w:val="32"/>
          <w:szCs w:val="32"/>
        </w:rPr>
        <w:t xml:space="preserve">. </w:t>
      </w:r>
      <w:r>
        <w:rPr>
          <w:rFonts w:hint="eastAsia" w:ascii="Times New Roman" w:hAnsi="Times New Roman" w:eastAsia="黑体"/>
          <w:b w:val="0"/>
          <w:sz w:val="32"/>
          <w:szCs w:val="32"/>
        </w:rPr>
        <w:t>承包人</w:t>
      </w:r>
      <w:bookmarkEnd w:id="714"/>
    </w:p>
    <w:bookmarkEnd w:id="715"/>
    <w:bookmarkEnd w:id="716"/>
    <w:bookmarkEnd w:id="717"/>
    <w:bookmarkEnd w:id="718"/>
    <w:bookmarkEnd w:id="719"/>
    <w:bookmarkEnd w:id="720"/>
    <w:bookmarkEnd w:id="721"/>
    <w:bookmarkEnd w:id="722"/>
    <w:bookmarkEnd w:id="723"/>
    <w:bookmarkEnd w:id="724"/>
    <w:p w14:paraId="7A2E3A39">
      <w:pPr>
        <w:spacing w:after="120" w:line="360" w:lineRule="auto"/>
        <w:ind w:firstLine="600" w:firstLineChars="200"/>
        <w:rPr>
          <w:rFonts w:eastAsia="黑体"/>
          <w:sz w:val="30"/>
          <w:szCs w:val="32"/>
        </w:rPr>
      </w:pPr>
      <w:r>
        <w:rPr>
          <w:rFonts w:eastAsia="黑体"/>
          <w:sz w:val="30"/>
          <w:szCs w:val="32"/>
        </w:rPr>
        <w:t xml:space="preserve">3.1 </w:t>
      </w:r>
      <w:r>
        <w:rPr>
          <w:rFonts w:hint="eastAsia" w:eastAsia="黑体"/>
          <w:sz w:val="30"/>
          <w:szCs w:val="32"/>
        </w:rPr>
        <w:t>承包人的一般义务</w:t>
      </w:r>
    </w:p>
    <w:p w14:paraId="1978B4D9">
      <w:pPr>
        <w:spacing w:line="360" w:lineRule="auto"/>
        <w:ind w:firstLine="600" w:firstLineChars="200"/>
        <w:jc w:val="left"/>
        <w:rPr>
          <w:color w:val="000000" w:themeColor="text1"/>
          <w:sz w:val="30"/>
          <w:u w:val="single"/>
          <w14:textFill>
            <w14:solidFill>
              <w14:schemeClr w14:val="tx1"/>
            </w14:solidFill>
          </w14:textFill>
        </w:rPr>
      </w:pPr>
      <w:r>
        <w:rPr>
          <w:rFonts w:hint="eastAsia" w:eastAsia="仿宋_GB2312"/>
          <w:kern w:val="0"/>
          <w:sz w:val="30"/>
          <w:szCs w:val="32"/>
        </w:rPr>
        <w:t>（</w:t>
      </w:r>
      <w:r>
        <w:rPr>
          <w:rFonts w:eastAsia="仿宋_GB2312"/>
          <w:kern w:val="0"/>
          <w:sz w:val="30"/>
          <w:szCs w:val="32"/>
        </w:rPr>
        <w:t>9</w:t>
      </w:r>
      <w:r>
        <w:rPr>
          <w:rFonts w:hint="eastAsia" w:eastAsia="仿宋_GB2312"/>
          <w:kern w:val="0"/>
          <w:sz w:val="30"/>
          <w:szCs w:val="32"/>
        </w:rPr>
        <w:t>）</w:t>
      </w:r>
      <w:r>
        <w:rPr>
          <w:rFonts w:hint="eastAsia" w:eastAsia="仿宋_GB2312"/>
          <w:sz w:val="30"/>
          <w:szCs w:val="32"/>
        </w:rPr>
        <w:t>承包人提交的竣工资料的内容：</w:t>
      </w:r>
      <w:r>
        <w:rPr>
          <w:rFonts w:eastAsia="仿宋_GB2312"/>
          <w:color w:val="000000" w:themeColor="text1"/>
          <w:sz w:val="30"/>
          <w:szCs w:val="32"/>
          <w:u w:val="single"/>
          <w14:textFill>
            <w14:solidFill>
              <w14:schemeClr w14:val="tx1"/>
            </w14:solidFill>
          </w14:textFill>
        </w:rPr>
        <w:sym w:font="Wingdings 2" w:char="00A3"/>
      </w:r>
      <w:r>
        <w:rPr>
          <w:rFonts w:hint="eastAsia" w:eastAsia="仿宋_GB2312"/>
          <w:color w:val="000000" w:themeColor="text1"/>
          <w:sz w:val="30"/>
          <w:szCs w:val="32"/>
          <w:u w:val="single"/>
          <w14:textFill>
            <w14:solidFill>
              <w14:schemeClr w14:val="tx1"/>
            </w14:solidFill>
          </w14:textFill>
        </w:rPr>
        <w:t>以发包人档案管理要求为准；</w:t>
      </w:r>
    </w:p>
    <w:p w14:paraId="0FB3409D">
      <w:pPr>
        <w:spacing w:line="360" w:lineRule="auto"/>
        <w:ind w:firstLine="600" w:firstLineChars="200"/>
        <w:jc w:val="left"/>
        <w:rPr>
          <w:rFonts w:eastAsia="仿宋_GB2312"/>
          <w:color w:val="000000" w:themeColor="text1"/>
          <w:sz w:val="30"/>
          <w:szCs w:val="32"/>
          <w:u w:val="single"/>
          <w14:textFill>
            <w14:solidFill>
              <w14:schemeClr w14:val="tx1"/>
            </w14:solidFill>
          </w14:textFill>
        </w:rPr>
      </w:pPr>
      <w:r>
        <w:rPr>
          <w:rFonts w:eastAsia="仿宋_GB2312"/>
          <w:color w:val="000000" w:themeColor="text1"/>
          <w:sz w:val="30"/>
          <w:szCs w:val="32"/>
          <w:u w:val="single"/>
          <w14:textFill>
            <w14:solidFill>
              <w14:schemeClr w14:val="tx1"/>
            </w14:solidFill>
          </w14:textFill>
        </w:rPr>
        <w:sym w:font="Wingdings 2" w:char="0052"/>
      </w:r>
      <w:r>
        <w:rPr>
          <w:rFonts w:hint="eastAsia" w:eastAsia="仿宋_GB2312"/>
          <w:color w:val="000000" w:themeColor="text1"/>
          <w:sz w:val="30"/>
          <w:szCs w:val="32"/>
          <w:u w:val="single"/>
          <w14:textFill>
            <w14:solidFill>
              <w14:schemeClr w14:val="tx1"/>
            </w14:solidFill>
          </w14:textFill>
        </w:rPr>
        <w:t>以项目所在地城市建设档案管理规定以及城建档案馆的相关要求为准。</w:t>
      </w:r>
    </w:p>
    <w:p w14:paraId="0F072F44">
      <w:pPr>
        <w:spacing w:line="360" w:lineRule="auto"/>
        <w:ind w:firstLine="600" w:firstLineChars="200"/>
        <w:jc w:val="left"/>
        <w:rPr>
          <w:rFonts w:eastAsia="仿宋_GB2312"/>
          <w:sz w:val="30"/>
          <w:szCs w:val="32"/>
        </w:rPr>
      </w:pPr>
      <w:r>
        <w:rPr>
          <w:rFonts w:hint="eastAsia" w:eastAsia="仿宋_GB2312"/>
          <w:sz w:val="30"/>
          <w:szCs w:val="32"/>
        </w:rPr>
        <w:t>承包人需要提交的竣工资料套数：</w:t>
      </w:r>
      <w:r>
        <w:rPr>
          <w:rFonts w:eastAsia="仿宋_GB2312"/>
          <w:sz w:val="30"/>
          <w:szCs w:val="32"/>
          <w:u w:val="single"/>
        </w:rPr>
        <w:t xml:space="preserve">  </w:t>
      </w:r>
      <w:r>
        <w:rPr>
          <w:rFonts w:hint="eastAsia" w:eastAsia="仿宋_GB2312"/>
          <w:sz w:val="30"/>
          <w:szCs w:val="32"/>
          <w:u w:val="single"/>
        </w:rPr>
        <w:t>竣工资料纸质（</w:t>
      </w:r>
      <w:r>
        <w:rPr>
          <w:rFonts w:eastAsia="仿宋_GB2312"/>
          <w:sz w:val="30"/>
          <w:szCs w:val="32"/>
          <w:u w:val="single"/>
        </w:rPr>
        <w:t>3</w:t>
      </w:r>
      <w:r>
        <w:rPr>
          <w:rFonts w:hint="eastAsia" w:eastAsia="仿宋_GB2312"/>
          <w:sz w:val="30"/>
          <w:szCs w:val="32"/>
          <w:u w:val="single"/>
        </w:rPr>
        <w:t>）套，电子扫描文档（刻盘）</w:t>
      </w:r>
      <w:r>
        <w:rPr>
          <w:rFonts w:eastAsia="仿宋_GB2312"/>
          <w:sz w:val="30"/>
          <w:szCs w:val="32"/>
          <w:u w:val="single"/>
        </w:rPr>
        <w:t>1</w:t>
      </w:r>
      <w:r>
        <w:rPr>
          <w:rFonts w:hint="eastAsia" w:eastAsia="仿宋_GB2312"/>
          <w:sz w:val="30"/>
          <w:szCs w:val="32"/>
          <w:u w:val="single"/>
        </w:rPr>
        <w:t>套，其中竣工图四套</w:t>
      </w:r>
      <w:r>
        <w:rPr>
          <w:rFonts w:hint="eastAsia" w:eastAsia="仿宋_GB2312"/>
          <w:sz w:val="30"/>
          <w:szCs w:val="32"/>
        </w:rPr>
        <w:t>。</w:t>
      </w:r>
    </w:p>
    <w:p w14:paraId="5DED4684">
      <w:pPr>
        <w:spacing w:line="360" w:lineRule="auto"/>
        <w:ind w:left="638" w:leftChars="304"/>
        <w:jc w:val="left"/>
        <w:rPr>
          <w:rFonts w:eastAsia="仿宋_GB2312"/>
          <w:sz w:val="30"/>
          <w:szCs w:val="32"/>
        </w:rPr>
      </w:pPr>
      <w:r>
        <w:rPr>
          <w:rFonts w:hint="eastAsia" w:eastAsia="仿宋_GB2312"/>
          <w:sz w:val="30"/>
          <w:szCs w:val="32"/>
        </w:rPr>
        <w:t>承包人提交的竣工资料的费用承担：</w:t>
      </w:r>
      <w:r>
        <w:rPr>
          <w:rFonts w:eastAsia="仿宋_GB2312"/>
          <w:sz w:val="30"/>
          <w:szCs w:val="32"/>
          <w:u w:val="single"/>
        </w:rPr>
        <w:t xml:space="preserve">  </w:t>
      </w:r>
      <w:r>
        <w:rPr>
          <w:rFonts w:hint="eastAsia" w:eastAsia="仿宋_GB2312"/>
          <w:sz w:val="30"/>
          <w:szCs w:val="32"/>
          <w:u w:val="single"/>
        </w:rPr>
        <w:t>由承包人承担</w:t>
      </w:r>
      <w:r>
        <w:rPr>
          <w:rFonts w:eastAsia="仿宋_GB2312"/>
          <w:sz w:val="30"/>
          <w:szCs w:val="32"/>
          <w:u w:val="single"/>
        </w:rPr>
        <w:t xml:space="preserve"> </w:t>
      </w:r>
      <w:r>
        <w:rPr>
          <w:rFonts w:hint="eastAsia" w:eastAsia="仿宋_GB2312"/>
          <w:sz w:val="30"/>
          <w:szCs w:val="32"/>
        </w:rPr>
        <w:t>。</w:t>
      </w:r>
    </w:p>
    <w:p w14:paraId="0254E46E">
      <w:pPr>
        <w:spacing w:line="360" w:lineRule="auto"/>
        <w:ind w:firstLine="600" w:firstLineChars="200"/>
        <w:rPr>
          <w:rFonts w:eastAsia="仿宋_GB2312"/>
          <w:sz w:val="30"/>
          <w:szCs w:val="32"/>
        </w:rPr>
      </w:pPr>
      <w:r>
        <w:rPr>
          <w:rFonts w:hint="eastAsia" w:eastAsia="仿宋_GB2312"/>
          <w:sz w:val="30"/>
          <w:szCs w:val="32"/>
        </w:rPr>
        <w:t>承包人提交的竣工资料移交时间：</w:t>
      </w:r>
      <w:r>
        <w:rPr>
          <w:rFonts w:hint="eastAsia" w:eastAsia="仿宋_GB2312"/>
          <w:sz w:val="30"/>
          <w:szCs w:val="32"/>
          <w:u w:val="single"/>
        </w:rPr>
        <w:t>工程竣工后竣工验收前提供，否则不予组织竣工验收</w:t>
      </w:r>
      <w:r>
        <w:rPr>
          <w:rFonts w:eastAsia="仿宋_GB2312"/>
          <w:sz w:val="30"/>
          <w:szCs w:val="32"/>
          <w:u w:val="single"/>
        </w:rPr>
        <w:t xml:space="preserve"> </w:t>
      </w:r>
      <w:r>
        <w:rPr>
          <w:rFonts w:hint="eastAsia" w:eastAsia="仿宋_GB2312"/>
          <w:sz w:val="30"/>
          <w:szCs w:val="32"/>
        </w:rPr>
        <w:t>。</w:t>
      </w:r>
    </w:p>
    <w:p w14:paraId="26939564">
      <w:pPr>
        <w:spacing w:line="360" w:lineRule="auto"/>
        <w:ind w:firstLine="600" w:firstLineChars="200"/>
        <w:jc w:val="left"/>
        <w:rPr>
          <w:color w:val="000000" w:themeColor="text1"/>
          <w:sz w:val="30"/>
          <w:u w:val="single"/>
          <w14:textFill>
            <w14:solidFill>
              <w14:schemeClr w14:val="tx1"/>
            </w14:solidFill>
          </w14:textFill>
        </w:rPr>
      </w:pPr>
      <w:r>
        <w:rPr>
          <w:rFonts w:hint="eastAsia" w:eastAsia="仿宋_GB2312"/>
          <w:sz w:val="30"/>
          <w:szCs w:val="32"/>
        </w:rPr>
        <w:t>承包人提交的竣工资料形式要求：</w:t>
      </w:r>
      <w:r>
        <w:rPr>
          <w:rFonts w:eastAsia="仿宋_GB2312"/>
          <w:color w:val="000000" w:themeColor="text1"/>
          <w:sz w:val="30"/>
          <w:szCs w:val="32"/>
          <w:u w:val="single"/>
          <w14:textFill>
            <w14:solidFill>
              <w14:schemeClr w14:val="tx1"/>
            </w14:solidFill>
          </w14:textFill>
        </w:rPr>
        <w:sym w:font="Wingdings 2" w:char="0052"/>
      </w:r>
      <w:r>
        <w:rPr>
          <w:rFonts w:hint="eastAsia" w:eastAsia="仿宋_GB2312"/>
          <w:color w:val="000000" w:themeColor="text1"/>
          <w:sz w:val="30"/>
          <w:szCs w:val="32"/>
          <w:u w:val="single"/>
          <w14:textFill>
            <w14:solidFill>
              <w14:schemeClr w14:val="tx1"/>
            </w14:solidFill>
          </w14:textFill>
        </w:rPr>
        <w:t>符合发包人档案室及项目属地城建档案馆的要求，取得档案验收证明。</w:t>
      </w:r>
    </w:p>
    <w:p w14:paraId="4F8D2329">
      <w:pPr>
        <w:spacing w:line="360" w:lineRule="auto"/>
        <w:ind w:firstLine="600" w:firstLineChars="200"/>
        <w:jc w:val="left"/>
        <w:rPr>
          <w:rFonts w:eastAsia="仿宋_GB2312"/>
          <w:sz w:val="30"/>
          <w:szCs w:val="32"/>
        </w:rPr>
      </w:pPr>
      <w:r>
        <w:rPr>
          <w:color w:val="000000" w:themeColor="text1"/>
          <w:sz w:val="30"/>
          <w:u w:val="single"/>
          <w14:textFill>
            <w14:solidFill>
              <w14:schemeClr w14:val="tx1"/>
            </w14:solidFill>
          </w14:textFill>
        </w:rPr>
        <w:sym w:font="Wingdings 2" w:char="00A3"/>
      </w:r>
      <w:r>
        <w:rPr>
          <w:rFonts w:hint="eastAsia" w:eastAsia="仿宋_GB2312"/>
          <w:color w:val="000000" w:themeColor="text1"/>
          <w:sz w:val="30"/>
          <w:szCs w:val="32"/>
          <w:u w:val="single"/>
          <w14:textFill>
            <w14:solidFill>
              <w14:schemeClr w14:val="tx1"/>
            </w14:solidFill>
          </w14:textFill>
        </w:rPr>
        <w:t>符合发包人档案管理要求</w:t>
      </w:r>
      <w:r>
        <w:rPr>
          <w:rFonts w:hint="eastAsia" w:eastAsia="仿宋_GB2312"/>
          <w:color w:val="000000" w:themeColor="text1"/>
          <w:sz w:val="30"/>
          <w:szCs w:val="32"/>
          <w14:textFill>
            <w14:solidFill>
              <w14:schemeClr w14:val="tx1"/>
            </w14:solidFill>
          </w14:textFill>
        </w:rPr>
        <w:t>。</w:t>
      </w:r>
    </w:p>
    <w:p w14:paraId="0D29A41D">
      <w:pPr>
        <w:numPr>
          <w:ilvl w:val="0"/>
          <w:numId w:val="10"/>
        </w:numPr>
        <w:spacing w:line="360" w:lineRule="auto"/>
        <w:ind w:firstLine="600" w:firstLineChars="200"/>
        <w:rPr>
          <w:rFonts w:eastAsia="仿宋_GB2312"/>
          <w:kern w:val="0"/>
          <w:sz w:val="30"/>
          <w:szCs w:val="32"/>
        </w:rPr>
      </w:pPr>
      <w:r>
        <w:rPr>
          <w:rFonts w:hint="eastAsia" w:eastAsia="仿宋_GB2312"/>
          <w:kern w:val="0"/>
          <w:sz w:val="30"/>
          <w:szCs w:val="32"/>
        </w:rPr>
        <w:t>承包人应履行的其他义务：</w:t>
      </w:r>
    </w:p>
    <w:p w14:paraId="08F84829">
      <w:pPr>
        <w:tabs>
          <w:tab w:val="left" w:pos="0"/>
        </w:tabs>
        <w:adjustRightInd w:val="0"/>
        <w:snapToGrid w:val="0"/>
        <w:spacing w:line="360" w:lineRule="auto"/>
        <w:ind w:firstLine="600" w:firstLineChars="200"/>
        <w:jc w:val="left"/>
        <w:rPr>
          <w:rFonts w:eastAsia="仿宋_GB2312"/>
          <w:sz w:val="30"/>
          <w:szCs w:val="32"/>
          <w:u w:val="single"/>
        </w:rPr>
      </w:pPr>
      <w:r>
        <w:rPr>
          <w:rFonts w:hint="eastAsia" w:eastAsia="仿宋_GB2312"/>
          <w:sz w:val="30"/>
          <w:szCs w:val="32"/>
          <w:u w:val="single"/>
        </w:rPr>
        <w:t>3.1.10.1向发包人提供的办公和生活房屋及设施的要求：无。</w:t>
      </w:r>
    </w:p>
    <w:p w14:paraId="63308668">
      <w:pPr>
        <w:tabs>
          <w:tab w:val="left" w:pos="0"/>
        </w:tabs>
        <w:adjustRightInd w:val="0"/>
        <w:snapToGrid w:val="0"/>
        <w:spacing w:line="360" w:lineRule="auto"/>
        <w:ind w:firstLine="600" w:firstLineChars="200"/>
        <w:jc w:val="left"/>
        <w:rPr>
          <w:rFonts w:eastAsia="仿宋_GB2312"/>
          <w:sz w:val="30"/>
          <w:szCs w:val="32"/>
          <w:u w:val="single"/>
        </w:rPr>
      </w:pPr>
      <w:r>
        <w:rPr>
          <w:rFonts w:eastAsia="仿宋_GB2312"/>
          <w:sz w:val="30"/>
          <w:szCs w:val="32"/>
          <w:u w:val="single"/>
        </w:rPr>
        <w:t>3.1.10.2</w:t>
      </w:r>
      <w:r>
        <w:rPr>
          <w:rFonts w:hint="eastAsia" w:eastAsia="仿宋_GB2312"/>
          <w:sz w:val="30"/>
          <w:szCs w:val="32"/>
          <w:u w:val="single"/>
        </w:rPr>
        <w:t>承包人必须对发包人提供的原始基准点、坐标、标高等测</w:t>
      </w:r>
      <w:r>
        <w:rPr>
          <w:rFonts w:eastAsia="仿宋_GB2312"/>
          <w:sz w:val="30"/>
          <w:szCs w:val="32"/>
          <w:u w:val="single"/>
        </w:rPr>
        <w:t xml:space="preserve"> </w:t>
      </w:r>
      <w:r>
        <w:rPr>
          <w:rFonts w:hint="eastAsia" w:eastAsia="仿宋_GB2312"/>
          <w:sz w:val="30"/>
          <w:szCs w:val="32"/>
          <w:u w:val="single"/>
        </w:rPr>
        <w:t>量控制点进行复核，并将复核结果报监理人审核。此后控制点由承包人负责保护，并承担因此发生的费用。由于控制点破坏或失准带来的重新测量、放点费用及由此带来的其他损失，由承包人承担。</w:t>
      </w:r>
    </w:p>
    <w:p w14:paraId="02AC3CAF">
      <w:pPr>
        <w:tabs>
          <w:tab w:val="left" w:pos="840"/>
        </w:tabs>
        <w:spacing w:line="360" w:lineRule="auto"/>
        <w:ind w:left="17" w:leftChars="8" w:firstLine="618" w:firstLineChars="206"/>
        <w:jc w:val="left"/>
        <w:rPr>
          <w:rFonts w:eastAsia="仿宋_GB2312"/>
          <w:sz w:val="30"/>
          <w:szCs w:val="32"/>
          <w:u w:val="single"/>
        </w:rPr>
      </w:pPr>
      <w:r>
        <w:rPr>
          <w:rFonts w:eastAsia="仿宋_GB2312"/>
          <w:sz w:val="30"/>
          <w:szCs w:val="32"/>
          <w:u w:val="single"/>
        </w:rPr>
        <w:t>3.1.10.3</w:t>
      </w:r>
      <w:r>
        <w:rPr>
          <w:rFonts w:hint="eastAsia" w:eastAsia="仿宋_GB2312"/>
          <w:sz w:val="30"/>
          <w:szCs w:val="32"/>
          <w:u w:val="single"/>
        </w:rPr>
        <w:t>已竣工工程未交付发包人之前，承包人负责已完工程的保护工作，保护期间发生损坏，承包人自费予以修复。</w:t>
      </w:r>
    </w:p>
    <w:p w14:paraId="495EB52D">
      <w:pPr>
        <w:tabs>
          <w:tab w:val="left" w:pos="840"/>
        </w:tabs>
        <w:spacing w:line="360" w:lineRule="auto"/>
        <w:ind w:left="17" w:leftChars="8" w:firstLine="618" w:firstLineChars="206"/>
        <w:jc w:val="left"/>
        <w:rPr>
          <w:rFonts w:eastAsia="仿宋_GB2312"/>
          <w:sz w:val="30"/>
          <w:szCs w:val="32"/>
          <w:u w:val="single"/>
        </w:rPr>
      </w:pPr>
      <w:r>
        <w:rPr>
          <w:rFonts w:eastAsia="仿宋_GB2312"/>
          <w:sz w:val="30"/>
          <w:szCs w:val="32"/>
          <w:u w:val="single"/>
        </w:rPr>
        <w:t>3.1.10.4</w:t>
      </w:r>
      <w:r>
        <w:rPr>
          <w:rFonts w:hint="eastAsia" w:eastAsia="仿宋_GB2312"/>
          <w:sz w:val="30"/>
          <w:szCs w:val="32"/>
          <w:u w:val="single"/>
        </w:rPr>
        <w:t>工程竣工后，承包人应按照发包人要求清理所有的临时性工程场地和临时道路，并恢复原状。</w:t>
      </w:r>
    </w:p>
    <w:p w14:paraId="0586FB68">
      <w:pPr>
        <w:spacing w:after="120" w:line="360" w:lineRule="auto"/>
        <w:ind w:firstLine="600" w:firstLineChars="200"/>
        <w:rPr>
          <w:rFonts w:eastAsia="仿宋_GB2312"/>
          <w:sz w:val="30"/>
          <w:szCs w:val="32"/>
          <w:u w:val="single"/>
        </w:rPr>
      </w:pPr>
      <w:r>
        <w:rPr>
          <w:rFonts w:eastAsia="仿宋_GB2312"/>
          <w:sz w:val="30"/>
          <w:szCs w:val="32"/>
          <w:u w:val="single"/>
        </w:rPr>
        <w:t>3.1.10.5</w:t>
      </w:r>
      <w:r>
        <w:rPr>
          <w:rFonts w:hint="eastAsia" w:eastAsia="仿宋_GB2312"/>
          <w:sz w:val="30"/>
          <w:szCs w:val="32"/>
          <w:u w:val="single"/>
        </w:rPr>
        <w:t>承包人负责做好施工现场周围建筑物、构筑物和地下管线、文物及花木的保护，由于承包人原因导致现场周围建筑物、构筑物和地下管线、文物及花木被破坏的，所造成的损失由承包人承担。</w:t>
      </w:r>
    </w:p>
    <w:p w14:paraId="59786CA1">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3.1.10.6承包人需为发包人直接发包的的专业工程分包人或者材料及设备供应商提供总包管理及配合工作。</w:t>
      </w:r>
    </w:p>
    <w:p w14:paraId="42D8169C">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1）承包人须对工程整体进度负责，编制含分包工程在内的进度计划。分包工程实施前，承包人应要求各发包人认可的专业分包人提供专业承包的施工组织设计与进度计划。</w:t>
      </w:r>
    </w:p>
    <w:p w14:paraId="7264CFB8">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2）按进度计划要求移交分包工程所需的工作面，为分包人在使用施工用地、道路和其他公用设施等方面提供方便。</w:t>
      </w:r>
    </w:p>
    <w:p w14:paraId="180F588B">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3）向分包人提供标高、定位点线、施工通道与场地以及提供现有的施工脚手架和垂直运输设施的使用。</w:t>
      </w:r>
    </w:p>
    <w:p w14:paraId="58D9FC30">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4）向分包人提供施工用照明用电、施工用水接口，费用由分包人承担。</w:t>
      </w:r>
    </w:p>
    <w:p w14:paraId="783F3378">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5）承包人所敷设的临时施工水电源及所搭设的工程脚手架和垂直运输设施应考虑专业分包的施工需要。承包人拆除临时施工水电源、工程脚手架和垂直运输设施前须征得监理人和发包人书面批准，如擅自拆除上述设施，则承包人需重新完善满足分包工程施工需要的设施。若承包人具备拆除条件，由于分包人原因造成延迟拆除，费用和工期由双方协商解决。</w:t>
      </w:r>
    </w:p>
    <w:p w14:paraId="59788BFE">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6）审核分包人进场材料必须是经发包人认可并达到相关标准的材料，监督分包人按现行施工及验收规范施工，参加工程施工验收，对分包人的施工质量和工期、安全文明进行管理并承担总包责任。</w:t>
      </w:r>
    </w:p>
    <w:p w14:paraId="06335019">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7）施工现场的安全生产由承包人负总责。 承包人和分包人对分包工程的安全生产</w:t>
      </w:r>
      <w:r>
        <w:fldChar w:fldCharType="begin"/>
      </w:r>
      <w:r>
        <w:instrText xml:space="preserve"> HYPERLINK "https://www.baidu.com/s?wd=%E6%89%BF%E6%8B%85%E8%BF%9E%E5%B8%A6%E8%B4%A3%E4%BB%BB&amp;tn=SE_PcZhidaonwhc_ngpagmjz&amp;rsv_dl=gh_pc_zhidao" \t "https://zhidao.baidu.com/question/_blank" </w:instrText>
      </w:r>
      <w:r>
        <w:fldChar w:fldCharType="separate"/>
      </w:r>
      <w:r>
        <w:rPr>
          <w:rFonts w:hint="eastAsia" w:eastAsia="仿宋_GB2312"/>
          <w:strike/>
          <w:sz w:val="30"/>
          <w:szCs w:val="32"/>
          <w:u w:val="single"/>
        </w:rPr>
        <w:t>承担连带责任</w:t>
      </w:r>
      <w:r>
        <w:rPr>
          <w:rFonts w:hint="eastAsia" w:eastAsia="仿宋_GB2312"/>
          <w:strike/>
          <w:sz w:val="30"/>
          <w:szCs w:val="32"/>
          <w:u w:val="single"/>
        </w:rPr>
        <w:fldChar w:fldCharType="end"/>
      </w:r>
      <w:r>
        <w:rPr>
          <w:rFonts w:hint="eastAsia" w:eastAsia="仿宋_GB2312"/>
          <w:strike/>
          <w:sz w:val="30"/>
          <w:szCs w:val="32"/>
          <w:u w:val="single"/>
        </w:rPr>
        <w:t>。</w:t>
      </w:r>
    </w:p>
    <w:p w14:paraId="1882E541">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8）要求分包人作好分包工程的成品保护，协调交叉工作面的成品保护工作，整体工程的成品保护由承包人负责。</w:t>
      </w:r>
    </w:p>
    <w:p w14:paraId="4F011BC3">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9）其他配合工作，如剔槽打眼、嵌缝补缝、抹面及因工程实际情况而指定承包人预留预埋和配合的施工，以及所有桥架管线综合布线图。</w:t>
      </w:r>
    </w:p>
    <w:p w14:paraId="1664B76A">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10）承包人负责总承包范围和发包人专业工程分包范围内所有桥架管线综合布线图。</w:t>
      </w:r>
    </w:p>
    <w:p w14:paraId="7BFE5EC8">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11）负责承包人在现场指定的垃圾堆放点的统一垃圾清运并承担费用，承包人应在施工总平面布置中考虑统一的垃圾堆放点。分包人应负责将其施工范围内的建筑垃圾运到承包人在现场指定的垃圾堆放点。</w:t>
      </w:r>
    </w:p>
    <w:p w14:paraId="038145CA">
      <w:pPr>
        <w:spacing w:after="120" w:line="360" w:lineRule="auto"/>
        <w:ind w:firstLine="600" w:firstLineChars="200"/>
        <w:rPr>
          <w:rFonts w:eastAsia="仿宋_GB2312"/>
          <w:strike/>
          <w:sz w:val="30"/>
          <w:szCs w:val="32"/>
          <w:u w:val="single"/>
        </w:rPr>
      </w:pPr>
      <w:r>
        <w:rPr>
          <w:rFonts w:hint="eastAsia" w:eastAsia="仿宋_GB2312"/>
          <w:strike/>
          <w:sz w:val="30"/>
          <w:szCs w:val="32"/>
          <w:u w:val="single"/>
        </w:rPr>
        <w:t>12）承包人督促、协助分包人完善各阶段的工程归档资料，并归类整理汇入总承包工程竣工档案。</w:t>
      </w:r>
    </w:p>
    <w:p w14:paraId="5F0DEBC8">
      <w:pPr>
        <w:spacing w:after="120" w:line="360" w:lineRule="auto"/>
        <w:ind w:firstLine="600" w:firstLineChars="200"/>
        <w:rPr>
          <w:rFonts w:eastAsia="仿宋_GB2312"/>
          <w:sz w:val="30"/>
          <w:szCs w:val="32"/>
          <w:u w:val="single"/>
          <w:lang w:bidi="en-US"/>
        </w:rPr>
      </w:pPr>
      <w:r>
        <w:rPr>
          <w:rFonts w:hint="eastAsia" w:eastAsia="仿宋_GB2312"/>
          <w:sz w:val="30"/>
          <w:szCs w:val="32"/>
          <w:u w:val="single"/>
          <w:lang w:bidi="en-US"/>
        </w:rPr>
        <w:t>3.1.10.7压力管道、压力容器、特种设备的安装施工，承包人必须确保其通过国家质量监督部门及行业主管部门的检验验收。</w:t>
      </w:r>
    </w:p>
    <w:p w14:paraId="5537A5BA">
      <w:pPr>
        <w:spacing w:after="120" w:line="360" w:lineRule="auto"/>
        <w:ind w:firstLine="600" w:firstLineChars="200"/>
        <w:rPr>
          <w:rFonts w:eastAsia="仿宋_GB2312"/>
          <w:sz w:val="30"/>
          <w:szCs w:val="32"/>
          <w:u w:val="single"/>
          <w:lang w:bidi="en-US"/>
        </w:rPr>
      </w:pPr>
      <w:r>
        <w:rPr>
          <w:rFonts w:hint="eastAsia" w:eastAsia="仿宋_GB2312"/>
          <w:sz w:val="30"/>
          <w:szCs w:val="32"/>
          <w:u w:val="single"/>
          <w:lang w:bidi="en-US"/>
        </w:rPr>
        <w:t>3.1.10.8承包人应当在危大工程施工前组织编制专项方案，对于超过一定规模的危大工程，承包人应当组织召开专家论证会对专项施工方案进行论证。</w:t>
      </w:r>
    </w:p>
    <w:p w14:paraId="55C6B0D7">
      <w:pPr>
        <w:spacing w:after="120" w:line="360" w:lineRule="auto"/>
        <w:ind w:firstLine="600" w:firstLineChars="200"/>
        <w:rPr>
          <w:rFonts w:eastAsia="仿宋_GB2312"/>
          <w:sz w:val="30"/>
          <w:szCs w:val="32"/>
          <w:u w:val="single"/>
        </w:rPr>
      </w:pPr>
      <w:r>
        <w:rPr>
          <w:rFonts w:hint="eastAsia" w:eastAsia="仿宋_GB2312"/>
          <w:sz w:val="30"/>
          <w:szCs w:val="32"/>
          <w:u w:val="single"/>
        </w:rPr>
        <w:t>3.1.10.9由于后期工程（公建、管网、景观、绿化、道路等）施工造成的临时设施搬迁重建费及材料的二次倒运费已在措施费中包括，结算时不再调整。</w:t>
      </w:r>
    </w:p>
    <w:p w14:paraId="4EBF2AA3">
      <w:pPr>
        <w:spacing w:after="156" w:line="360" w:lineRule="auto"/>
        <w:ind w:firstLine="600" w:firstLineChars="200"/>
        <w:jc w:val="left"/>
        <w:rPr>
          <w:rFonts w:eastAsia="仿宋_GB2312"/>
          <w:color w:val="000000" w:themeColor="text1"/>
          <w:sz w:val="30"/>
          <w:szCs w:val="32"/>
          <w:u w:val="single"/>
          <w14:textFill>
            <w14:solidFill>
              <w14:schemeClr w14:val="tx1"/>
            </w14:solidFill>
          </w14:textFill>
        </w:rPr>
      </w:pPr>
      <w:r>
        <w:rPr>
          <w:rFonts w:hint="eastAsia" w:eastAsia="仿宋_GB2312"/>
          <w:sz w:val="30"/>
          <w:szCs w:val="32"/>
          <w:u w:val="single"/>
        </w:rPr>
        <w:t>3.1.10.10</w:t>
      </w:r>
      <w:r>
        <w:rPr>
          <w:rFonts w:hint="eastAsia" w:eastAsia="仿宋_GB2312"/>
          <w:color w:val="000000" w:themeColor="text1"/>
          <w:sz w:val="30"/>
          <w:szCs w:val="32"/>
          <w:u w:val="single"/>
          <w14:textFill>
            <w14:solidFill>
              <w14:schemeClr w14:val="tx1"/>
            </w14:solidFill>
          </w14:textFill>
        </w:rPr>
        <w:t>承包人应及时缴纳按政府规定由承包人承担的有关费用、税项等，提供相关资料文件及协助发包人办理工程政府建设手续，负责办理质监竣工验收、消防验收、建筑节能验收、</w:t>
      </w:r>
      <w:r>
        <w:rPr>
          <w:rFonts w:hint="eastAsia" w:eastAsia="仿宋_GB2312"/>
          <w:sz w:val="30"/>
          <w:szCs w:val="32"/>
          <w:u w:val="single"/>
        </w:rPr>
        <w:t>海绵城市验收、市政供水供电供气验收、</w:t>
      </w:r>
      <w:r>
        <w:rPr>
          <w:rFonts w:hint="eastAsia" w:eastAsia="仿宋_GB2312"/>
          <w:color w:val="000000" w:themeColor="text1"/>
          <w:sz w:val="30"/>
          <w:szCs w:val="32"/>
          <w:u w:val="single"/>
          <w14:textFill>
            <w14:solidFill>
              <w14:schemeClr w14:val="tx1"/>
            </w14:solidFill>
          </w14:textFill>
        </w:rPr>
        <w:t>城建档案验收</w:t>
      </w:r>
      <w:r>
        <w:rPr>
          <w:rFonts w:hint="eastAsia" w:eastAsia="仿宋_GB2312"/>
          <w:color w:val="000000" w:themeColor="text1"/>
          <w:sz w:val="30"/>
          <w:szCs w:val="32"/>
          <w:u w:val="single"/>
          <w:lang w:bidi="ar"/>
          <w14:textFill>
            <w14:solidFill>
              <w14:schemeClr w14:val="tx1"/>
            </w14:solidFill>
          </w14:textFill>
        </w:rPr>
        <w:t>（发包人资料由发包人负责提供，承包人负责妥善保管、一并归档办理档案验收</w:t>
      </w:r>
      <w:r>
        <w:rPr>
          <w:rFonts w:hint="eastAsia" w:eastAsia="仿宋_GB2312"/>
          <w:color w:val="000000" w:themeColor="text1"/>
          <w:sz w:val="30"/>
          <w:szCs w:val="32"/>
          <w:u w:val="single"/>
          <w14:textFill>
            <w14:solidFill>
              <w14:schemeClr w14:val="tx1"/>
            </w14:solidFill>
          </w14:textFill>
        </w:rPr>
        <w:t>），协助办理规划、环保及工程竣工结算备案、竣工验收备案等工作。</w:t>
      </w:r>
    </w:p>
    <w:p w14:paraId="565A3D1C">
      <w:pPr>
        <w:spacing w:after="120" w:line="360" w:lineRule="auto"/>
        <w:ind w:firstLine="600" w:firstLineChars="200"/>
        <w:rPr>
          <w:rFonts w:eastAsia="黑体"/>
          <w:sz w:val="30"/>
          <w:szCs w:val="32"/>
        </w:rPr>
      </w:pPr>
      <w:r>
        <w:rPr>
          <w:rFonts w:eastAsia="黑体"/>
          <w:sz w:val="30"/>
          <w:szCs w:val="32"/>
        </w:rPr>
        <w:t xml:space="preserve">3.2 </w:t>
      </w:r>
      <w:r>
        <w:rPr>
          <w:rFonts w:hint="eastAsia" w:eastAsia="黑体"/>
          <w:sz w:val="30"/>
          <w:szCs w:val="32"/>
        </w:rPr>
        <w:t>项目经理</w:t>
      </w:r>
    </w:p>
    <w:p w14:paraId="260E7E65">
      <w:pPr>
        <w:spacing w:line="360" w:lineRule="auto"/>
        <w:ind w:firstLine="600" w:firstLineChars="200"/>
        <w:rPr>
          <w:rFonts w:eastAsia="仿宋_GB2312"/>
          <w:sz w:val="30"/>
          <w:szCs w:val="32"/>
        </w:rPr>
      </w:pPr>
      <w:r>
        <w:rPr>
          <w:rFonts w:eastAsia="仿宋_GB2312"/>
          <w:kern w:val="0"/>
          <w:sz w:val="30"/>
          <w:szCs w:val="32"/>
        </w:rPr>
        <w:t>3.2.1</w:t>
      </w:r>
      <w:r>
        <w:rPr>
          <w:rFonts w:eastAsia="仿宋_GB2312"/>
          <w:sz w:val="30"/>
          <w:szCs w:val="32"/>
        </w:rPr>
        <w:t>项目经理：</w:t>
      </w:r>
    </w:p>
    <w:p w14:paraId="1A46227C">
      <w:pPr>
        <w:spacing w:line="360" w:lineRule="auto"/>
        <w:ind w:firstLine="600" w:firstLineChars="200"/>
        <w:rPr>
          <w:rFonts w:eastAsia="仿宋_GB2312"/>
          <w:sz w:val="30"/>
          <w:szCs w:val="32"/>
        </w:rPr>
      </w:pPr>
      <w:r>
        <w:rPr>
          <w:rFonts w:eastAsia="仿宋_GB2312"/>
          <w:sz w:val="30"/>
          <w:szCs w:val="32"/>
        </w:rPr>
        <w:t>姓    名：</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33C93072">
      <w:pPr>
        <w:spacing w:line="360" w:lineRule="auto"/>
        <w:ind w:firstLine="600" w:firstLineChars="200"/>
        <w:rPr>
          <w:rFonts w:eastAsia="仿宋_GB2312"/>
          <w:sz w:val="30"/>
          <w:szCs w:val="32"/>
        </w:rPr>
      </w:pPr>
      <w:r>
        <w:rPr>
          <w:rFonts w:eastAsia="仿宋_GB2312"/>
          <w:sz w:val="30"/>
          <w:szCs w:val="32"/>
        </w:rPr>
        <w:t>身份证号：</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16851F2F">
      <w:pPr>
        <w:spacing w:line="360" w:lineRule="auto"/>
        <w:ind w:firstLine="600" w:firstLineChars="200"/>
        <w:rPr>
          <w:rFonts w:eastAsia="仿宋_GB2312"/>
          <w:sz w:val="30"/>
          <w:szCs w:val="32"/>
        </w:rPr>
      </w:pPr>
      <w:r>
        <w:rPr>
          <w:rFonts w:eastAsia="仿宋_GB2312"/>
          <w:sz w:val="30"/>
          <w:szCs w:val="32"/>
        </w:rPr>
        <w:t>建造师执业资格等级：</w:t>
      </w:r>
      <w:r>
        <w:rPr>
          <w:rFonts w:eastAsia="仿宋_GB2312"/>
          <w:sz w:val="30"/>
          <w:szCs w:val="32"/>
          <w:u w:val="single"/>
        </w:rPr>
        <w:t>   </w:t>
      </w:r>
      <w:r>
        <w:rPr>
          <w:rFonts w:eastAsia="仿宋_GB2312"/>
          <w:sz w:val="30"/>
          <w:szCs w:val="32"/>
        </w:rPr>
        <w:t>；</w:t>
      </w:r>
    </w:p>
    <w:p w14:paraId="43044819">
      <w:pPr>
        <w:spacing w:line="360" w:lineRule="auto"/>
        <w:ind w:firstLine="600" w:firstLineChars="200"/>
        <w:rPr>
          <w:rFonts w:eastAsia="仿宋_GB2312"/>
          <w:sz w:val="30"/>
          <w:szCs w:val="32"/>
        </w:rPr>
      </w:pPr>
      <w:r>
        <w:rPr>
          <w:rFonts w:eastAsia="仿宋_GB2312"/>
          <w:sz w:val="30"/>
          <w:szCs w:val="32"/>
        </w:rPr>
        <w:t>建造师注册证书号：</w:t>
      </w:r>
      <w:r>
        <w:rPr>
          <w:rFonts w:eastAsia="仿宋_GB2312"/>
          <w:sz w:val="30"/>
          <w:szCs w:val="32"/>
          <w:u w:val="single"/>
        </w:rPr>
        <w:t> </w:t>
      </w:r>
      <w:r>
        <w:rPr>
          <w:rFonts w:eastAsia="仿宋_GB2312"/>
          <w:sz w:val="30"/>
          <w:szCs w:val="32"/>
        </w:rPr>
        <w:t>；</w:t>
      </w:r>
    </w:p>
    <w:p w14:paraId="0542A767">
      <w:pPr>
        <w:spacing w:line="360" w:lineRule="auto"/>
        <w:ind w:firstLine="600" w:firstLineChars="200"/>
        <w:rPr>
          <w:rFonts w:eastAsia="仿宋_GB2312"/>
          <w:sz w:val="30"/>
          <w:szCs w:val="32"/>
        </w:rPr>
      </w:pPr>
      <w:r>
        <w:rPr>
          <w:rFonts w:eastAsia="仿宋_GB2312"/>
          <w:sz w:val="30"/>
          <w:szCs w:val="32"/>
        </w:rPr>
        <w:t>建造师执业印章号：</w:t>
      </w:r>
      <w:r>
        <w:rPr>
          <w:rFonts w:eastAsia="仿宋_GB2312"/>
          <w:sz w:val="30"/>
          <w:szCs w:val="32"/>
          <w:u w:val="single"/>
        </w:rPr>
        <w:t> </w:t>
      </w:r>
      <w:r>
        <w:rPr>
          <w:rFonts w:eastAsia="仿宋_GB2312"/>
          <w:sz w:val="30"/>
          <w:szCs w:val="32"/>
        </w:rPr>
        <w:t>；</w:t>
      </w:r>
    </w:p>
    <w:p w14:paraId="43A891CB">
      <w:pPr>
        <w:spacing w:line="360" w:lineRule="auto"/>
        <w:ind w:firstLine="600" w:firstLineChars="200"/>
        <w:rPr>
          <w:rFonts w:eastAsia="仿宋_GB2312"/>
          <w:sz w:val="30"/>
          <w:szCs w:val="32"/>
        </w:rPr>
      </w:pPr>
      <w:r>
        <w:rPr>
          <w:rFonts w:eastAsia="仿宋_GB2312"/>
          <w:sz w:val="30"/>
          <w:szCs w:val="32"/>
        </w:rPr>
        <w:t>安全生产考核合格证书号：</w:t>
      </w:r>
      <w:r>
        <w:rPr>
          <w:rFonts w:eastAsia="仿宋_GB2312"/>
          <w:sz w:val="30"/>
          <w:szCs w:val="32"/>
          <w:u w:val="single"/>
        </w:rPr>
        <w:t> </w:t>
      </w:r>
      <w:r>
        <w:rPr>
          <w:rFonts w:eastAsia="仿宋_GB2312"/>
          <w:sz w:val="30"/>
          <w:szCs w:val="32"/>
        </w:rPr>
        <w:t>；</w:t>
      </w:r>
    </w:p>
    <w:p w14:paraId="70C93471">
      <w:pPr>
        <w:spacing w:line="360" w:lineRule="auto"/>
        <w:ind w:firstLine="600" w:firstLineChars="200"/>
        <w:rPr>
          <w:rFonts w:eastAsia="仿宋_GB2312"/>
          <w:sz w:val="30"/>
          <w:szCs w:val="32"/>
        </w:rPr>
      </w:pPr>
      <w:r>
        <w:rPr>
          <w:rFonts w:eastAsia="仿宋_GB2312"/>
          <w:sz w:val="30"/>
          <w:szCs w:val="32"/>
        </w:rPr>
        <w:t>联系电话：</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55558EC0">
      <w:pPr>
        <w:spacing w:line="360" w:lineRule="auto"/>
        <w:ind w:firstLine="600" w:firstLineChars="200"/>
        <w:rPr>
          <w:rFonts w:eastAsia="仿宋_GB2312"/>
          <w:sz w:val="30"/>
          <w:szCs w:val="32"/>
        </w:rPr>
      </w:pPr>
      <w:r>
        <w:rPr>
          <w:rFonts w:eastAsia="仿宋_GB2312"/>
          <w:sz w:val="30"/>
          <w:szCs w:val="32"/>
        </w:rPr>
        <w:t>电子信箱：</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70463CB4">
      <w:pPr>
        <w:spacing w:line="360" w:lineRule="auto"/>
        <w:ind w:firstLine="600" w:firstLineChars="200"/>
        <w:rPr>
          <w:rFonts w:eastAsia="仿宋_GB2312"/>
          <w:sz w:val="30"/>
          <w:szCs w:val="32"/>
        </w:rPr>
      </w:pPr>
      <w:r>
        <w:rPr>
          <w:rFonts w:eastAsia="仿宋_GB2312"/>
          <w:sz w:val="30"/>
          <w:szCs w:val="32"/>
        </w:rPr>
        <w:t>通信地址：</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17B82E74">
      <w:pPr>
        <w:spacing w:line="360" w:lineRule="auto"/>
        <w:ind w:firstLine="600" w:firstLineChars="200"/>
        <w:rPr>
          <w:rFonts w:eastAsia="仿宋_GB2312"/>
          <w:color w:val="000000"/>
          <w:sz w:val="30"/>
          <w:szCs w:val="32"/>
          <w:u w:val="single"/>
        </w:rPr>
      </w:pPr>
      <w:r>
        <w:rPr>
          <w:rFonts w:hint="eastAsia" w:eastAsia="仿宋_GB2312"/>
          <w:color w:val="000000"/>
          <w:sz w:val="30"/>
          <w:szCs w:val="32"/>
        </w:rPr>
        <w:t>承包人对项目经理的授权范围如下：</w:t>
      </w:r>
      <w:r>
        <w:rPr>
          <w:rFonts w:hint="eastAsia" w:eastAsia="仿宋_GB2312"/>
          <w:color w:val="000000"/>
          <w:sz w:val="30"/>
          <w:szCs w:val="32"/>
          <w:u w:val="single"/>
        </w:rPr>
        <w:t>代表承包人负责履行合同，直接负责本工程施工中的各项工作。</w:t>
      </w:r>
    </w:p>
    <w:p w14:paraId="6637BC8B">
      <w:pPr>
        <w:spacing w:line="360" w:lineRule="auto"/>
        <w:ind w:firstLine="600" w:firstLineChars="200"/>
        <w:jc w:val="left"/>
        <w:rPr>
          <w:rFonts w:eastAsia="仿宋_GB2312"/>
          <w:color w:val="000000"/>
          <w:kern w:val="0"/>
          <w:sz w:val="30"/>
          <w:szCs w:val="32"/>
        </w:rPr>
      </w:pPr>
      <w:r>
        <w:rPr>
          <w:rFonts w:hint="eastAsia" w:eastAsia="仿宋_GB2312"/>
          <w:color w:val="000000"/>
          <w:kern w:val="0"/>
          <w:sz w:val="30"/>
          <w:szCs w:val="32"/>
        </w:rPr>
        <w:t>关于项目经理每月在施工现场的时间要求：</w:t>
      </w:r>
      <w:r>
        <w:rPr>
          <w:rFonts w:hint="eastAsia" w:eastAsia="仿宋_GB2312"/>
          <w:color w:val="000000"/>
          <w:sz w:val="30"/>
          <w:szCs w:val="32"/>
          <w:u w:val="single"/>
        </w:rPr>
        <w:t>每月不少于</w:t>
      </w:r>
      <w:r>
        <w:rPr>
          <w:rFonts w:eastAsia="仿宋_GB2312"/>
          <w:color w:val="000000"/>
          <w:sz w:val="30"/>
          <w:szCs w:val="32"/>
          <w:u w:val="single"/>
        </w:rPr>
        <w:t>25</w:t>
      </w:r>
      <w:r>
        <w:rPr>
          <w:rFonts w:hint="eastAsia" w:eastAsia="仿宋_GB2312"/>
          <w:color w:val="000000"/>
          <w:sz w:val="30"/>
          <w:szCs w:val="32"/>
          <w:u w:val="single"/>
        </w:rPr>
        <w:t>日历天，每少一天，向发包人支付10000元/天的违约金，如遇特殊事项须向发包人代表请假，经批准后可无需支付违约金。</w:t>
      </w:r>
    </w:p>
    <w:p w14:paraId="4048B0CD">
      <w:pPr>
        <w:spacing w:line="360" w:lineRule="auto"/>
        <w:ind w:firstLine="600" w:firstLineChars="200"/>
        <w:rPr>
          <w:rFonts w:eastAsia="仿宋_GB2312"/>
          <w:color w:val="000000"/>
          <w:kern w:val="0"/>
          <w:sz w:val="30"/>
          <w:szCs w:val="32"/>
        </w:rPr>
      </w:pPr>
      <w:r>
        <w:rPr>
          <w:rFonts w:hint="eastAsia" w:eastAsia="仿宋_GB2312"/>
          <w:color w:val="000000"/>
          <w:kern w:val="0"/>
          <w:sz w:val="30"/>
          <w:szCs w:val="32"/>
        </w:rPr>
        <w:t>承包人未提交劳动合同，以及没有为项目经理缴纳社会保险证明的违约责任：</w:t>
      </w:r>
      <w:r>
        <w:rPr>
          <w:rFonts w:eastAsia="仿宋_GB2312"/>
          <w:color w:val="000000"/>
          <w:sz w:val="30"/>
          <w:szCs w:val="32"/>
          <w:u w:val="single"/>
        </w:rPr>
        <w:t xml:space="preserve">  </w:t>
      </w:r>
      <w:r>
        <w:rPr>
          <w:rFonts w:hint="eastAsia" w:eastAsia="仿宋_GB2312"/>
          <w:color w:val="000000"/>
          <w:sz w:val="30"/>
          <w:szCs w:val="32"/>
          <w:u w:val="single"/>
        </w:rPr>
        <w:t>向发包人支付合同最终结算价的千分之（一）的违约金，没有最终结算价的，按签约暂定价的千分之（一）计算</w:t>
      </w:r>
      <w:r>
        <w:rPr>
          <w:rFonts w:eastAsia="仿宋_GB2312"/>
          <w:color w:val="000000"/>
          <w:sz w:val="30"/>
          <w:szCs w:val="32"/>
          <w:u w:val="single"/>
        </w:rPr>
        <w:t xml:space="preserve"> </w:t>
      </w:r>
      <w:r>
        <w:rPr>
          <w:rFonts w:hint="eastAsia" w:eastAsia="仿宋_GB2312"/>
          <w:color w:val="000000"/>
          <w:sz w:val="30"/>
          <w:szCs w:val="32"/>
        </w:rPr>
        <w:t>。</w:t>
      </w:r>
    </w:p>
    <w:p w14:paraId="075000EA">
      <w:pPr>
        <w:spacing w:line="360" w:lineRule="auto"/>
        <w:ind w:firstLine="600" w:firstLineChars="200"/>
        <w:rPr>
          <w:rFonts w:eastAsia="仿宋_GB2312"/>
          <w:color w:val="000000"/>
          <w:sz w:val="30"/>
          <w:szCs w:val="32"/>
          <w:u w:val="single"/>
        </w:rPr>
      </w:pPr>
      <w:r>
        <w:rPr>
          <w:rFonts w:hint="eastAsia" w:eastAsia="仿宋_GB2312"/>
          <w:color w:val="000000"/>
          <w:kern w:val="0"/>
          <w:sz w:val="30"/>
          <w:szCs w:val="32"/>
        </w:rPr>
        <w:t>项目经理未经批准，擅自离开施工现场的违约责任：</w:t>
      </w:r>
      <w:r>
        <w:rPr>
          <w:rFonts w:eastAsia="仿宋_GB2312"/>
          <w:color w:val="000000"/>
          <w:sz w:val="30"/>
          <w:szCs w:val="32"/>
          <w:u w:val="single"/>
        </w:rPr>
        <w:t xml:space="preserve">  </w:t>
      </w:r>
      <w:r>
        <w:rPr>
          <w:color w:val="000000"/>
          <w:u w:val="thick"/>
        </w:rPr>
        <w:t xml:space="preserve"> </w:t>
      </w:r>
      <w:r>
        <w:rPr>
          <w:rFonts w:hint="eastAsia" w:eastAsia="仿宋_GB2312"/>
          <w:color w:val="000000"/>
          <w:sz w:val="30"/>
          <w:szCs w:val="32"/>
          <w:u w:val="single"/>
        </w:rPr>
        <w:t>每出现</w:t>
      </w:r>
      <w:r>
        <w:rPr>
          <w:rFonts w:eastAsia="仿宋_GB2312"/>
          <w:color w:val="000000"/>
          <w:sz w:val="30"/>
          <w:szCs w:val="32"/>
          <w:u w:val="single"/>
        </w:rPr>
        <w:t>1</w:t>
      </w:r>
      <w:r>
        <w:rPr>
          <w:rFonts w:hint="eastAsia" w:eastAsia="仿宋_GB2312"/>
          <w:color w:val="000000"/>
          <w:sz w:val="30"/>
          <w:szCs w:val="32"/>
          <w:u w:val="single"/>
        </w:rPr>
        <w:t>次向发包人支付</w:t>
      </w:r>
      <w:r>
        <w:rPr>
          <w:rFonts w:eastAsia="仿宋_GB2312"/>
          <w:color w:val="000000"/>
          <w:sz w:val="30"/>
          <w:szCs w:val="32"/>
          <w:u w:val="single"/>
        </w:rPr>
        <w:t>2000</w:t>
      </w:r>
      <w:r>
        <w:rPr>
          <w:rFonts w:hint="eastAsia" w:eastAsia="仿宋_GB2312"/>
          <w:color w:val="000000"/>
          <w:sz w:val="30"/>
          <w:szCs w:val="32"/>
          <w:u w:val="single"/>
        </w:rPr>
        <w:t>元违约金，以上违约金额累计金额超过合同签约暂定价百分之（十）的，视为承包人严重违约，发包人有权与承包人解除合同，承包人将承担由此给发包人带来的一切经济损失</w:t>
      </w:r>
      <w:r>
        <w:rPr>
          <w:rFonts w:eastAsia="仿宋_GB2312"/>
          <w:color w:val="000000"/>
          <w:sz w:val="30"/>
          <w:szCs w:val="32"/>
          <w:u w:val="single"/>
        </w:rPr>
        <w:t xml:space="preserve"> </w:t>
      </w:r>
      <w:r>
        <w:rPr>
          <w:rFonts w:hint="eastAsia" w:eastAsia="仿宋_GB2312"/>
          <w:color w:val="000000"/>
          <w:sz w:val="30"/>
          <w:szCs w:val="32"/>
          <w:u w:val="single"/>
        </w:rPr>
        <w:t>。</w:t>
      </w:r>
    </w:p>
    <w:p w14:paraId="69999085">
      <w:pPr>
        <w:spacing w:line="360" w:lineRule="auto"/>
        <w:ind w:firstLine="600" w:firstLineChars="200"/>
        <w:rPr>
          <w:rFonts w:eastAsia="仿宋_GB2312"/>
          <w:color w:val="000000"/>
          <w:sz w:val="30"/>
          <w:szCs w:val="32"/>
        </w:rPr>
      </w:pPr>
      <w:r>
        <w:rPr>
          <w:rFonts w:eastAsia="仿宋_GB2312"/>
          <w:color w:val="000000"/>
          <w:sz w:val="30"/>
          <w:szCs w:val="32"/>
        </w:rPr>
        <w:t xml:space="preserve">3.2.3 </w:t>
      </w:r>
      <w:r>
        <w:rPr>
          <w:rFonts w:hint="eastAsia" w:eastAsia="仿宋_GB2312"/>
          <w:color w:val="000000"/>
          <w:sz w:val="30"/>
          <w:szCs w:val="32"/>
        </w:rPr>
        <w:t>承包人擅自更换项目经理的违约责任：</w:t>
      </w:r>
      <w:r>
        <w:rPr>
          <w:rFonts w:hint="eastAsia" w:eastAsia="仿宋_GB2312"/>
          <w:color w:val="000000"/>
          <w:sz w:val="30"/>
          <w:szCs w:val="32"/>
          <w:u w:val="single"/>
        </w:rPr>
        <w:t>向发包人支付最终结算价的（千分之五）的违约金，没有最终结算价的，按签约暂定价的千分之五计算并按发包人要求换回或者履行变更手续，并应承担由此给发包人带来的一切经济损失</w:t>
      </w:r>
      <w:r>
        <w:rPr>
          <w:rFonts w:hint="eastAsia" w:eastAsia="仿宋_GB2312"/>
          <w:color w:val="000000"/>
          <w:sz w:val="30"/>
          <w:szCs w:val="32"/>
        </w:rPr>
        <w:t>。</w:t>
      </w:r>
    </w:p>
    <w:p w14:paraId="4ABA243B">
      <w:pPr>
        <w:spacing w:line="360" w:lineRule="auto"/>
        <w:ind w:firstLine="600"/>
        <w:rPr>
          <w:rFonts w:eastAsia="仿宋_GB2312"/>
          <w:color w:val="000000"/>
          <w:sz w:val="30"/>
          <w:szCs w:val="32"/>
          <w:u w:val="single"/>
        </w:rPr>
      </w:pPr>
      <w:r>
        <w:rPr>
          <w:rFonts w:eastAsia="仿宋_GB2312"/>
          <w:color w:val="000000"/>
          <w:sz w:val="30"/>
          <w:szCs w:val="32"/>
        </w:rPr>
        <w:t xml:space="preserve">3.2.4 </w:t>
      </w:r>
      <w:r>
        <w:rPr>
          <w:rFonts w:hint="eastAsia" w:eastAsia="仿宋_GB2312"/>
          <w:color w:val="000000"/>
          <w:sz w:val="30"/>
          <w:szCs w:val="32"/>
        </w:rPr>
        <w:t>承包人无正当理由拒绝更换项目经理的违约责任：</w:t>
      </w:r>
      <w:r>
        <w:rPr>
          <w:rFonts w:eastAsia="仿宋_GB2312"/>
          <w:color w:val="000000"/>
          <w:sz w:val="30"/>
          <w:szCs w:val="32"/>
          <w:u w:val="single"/>
        </w:rPr>
        <w:t xml:space="preserve">  </w:t>
      </w:r>
      <w:r>
        <w:rPr>
          <w:rFonts w:hint="eastAsia" w:eastAsia="仿宋_GB2312"/>
          <w:color w:val="000000"/>
          <w:sz w:val="30"/>
          <w:szCs w:val="32"/>
          <w:u w:val="single"/>
        </w:rPr>
        <w:t>承包人未按发包人要求更换项目经理，每逾期一天向发包人支付违约金（</w:t>
      </w:r>
      <w:r>
        <w:rPr>
          <w:rFonts w:eastAsia="仿宋_GB2312"/>
          <w:color w:val="000000"/>
          <w:sz w:val="30"/>
          <w:szCs w:val="32"/>
          <w:u w:val="single"/>
        </w:rPr>
        <w:t>10000</w:t>
      </w:r>
      <w:r>
        <w:rPr>
          <w:rFonts w:hint="eastAsia" w:eastAsia="仿宋_GB2312"/>
          <w:color w:val="000000"/>
          <w:sz w:val="30"/>
          <w:szCs w:val="32"/>
          <w:u w:val="single"/>
        </w:rPr>
        <w:t>）元，此违约金额累计超过合同签约暂定价（百分之十）的，视为承包人严重违约，同时发包人有权解除合同，承包人还应承担由此给发包人带来的一切经济损失。</w:t>
      </w:r>
    </w:p>
    <w:p w14:paraId="31809C3E">
      <w:pPr>
        <w:spacing w:after="120" w:line="360" w:lineRule="auto"/>
        <w:ind w:firstLine="600" w:firstLineChars="200"/>
        <w:rPr>
          <w:rFonts w:eastAsia="黑体"/>
          <w:sz w:val="30"/>
          <w:szCs w:val="32"/>
        </w:rPr>
      </w:pPr>
      <w:r>
        <w:rPr>
          <w:rFonts w:eastAsia="黑体"/>
          <w:sz w:val="30"/>
          <w:szCs w:val="32"/>
        </w:rPr>
        <w:t xml:space="preserve">3.3 </w:t>
      </w:r>
      <w:r>
        <w:rPr>
          <w:rFonts w:hint="eastAsia" w:eastAsia="黑体"/>
          <w:sz w:val="30"/>
          <w:szCs w:val="32"/>
        </w:rPr>
        <w:t>承包人人员</w:t>
      </w:r>
    </w:p>
    <w:p w14:paraId="4E423FB1">
      <w:pPr>
        <w:spacing w:line="360" w:lineRule="auto"/>
        <w:ind w:firstLine="600" w:firstLineChars="200"/>
        <w:rPr>
          <w:rFonts w:eastAsia="仿宋_GB2312"/>
          <w:sz w:val="30"/>
          <w:szCs w:val="32"/>
          <w:u w:val="single"/>
        </w:rPr>
      </w:pPr>
      <w:r>
        <w:rPr>
          <w:rFonts w:eastAsia="仿宋_GB2312"/>
          <w:sz w:val="30"/>
          <w:szCs w:val="32"/>
        </w:rPr>
        <w:t xml:space="preserve">3.3.1 </w:t>
      </w:r>
      <w:r>
        <w:rPr>
          <w:rFonts w:hint="eastAsia" w:eastAsia="仿宋_GB2312"/>
          <w:sz w:val="30"/>
          <w:szCs w:val="32"/>
        </w:rPr>
        <w:t>承包人提交项目管理机构及施工现场管理人员安排报告的期限：</w:t>
      </w:r>
      <w:r>
        <w:rPr>
          <w:rFonts w:hint="eastAsia" w:eastAsia="仿宋_GB2312"/>
          <w:sz w:val="30"/>
          <w:szCs w:val="32"/>
          <w:u w:val="single"/>
        </w:rPr>
        <w:t>不迟于开工通知中载明的开工日期前</w:t>
      </w:r>
      <w:r>
        <w:rPr>
          <w:rFonts w:eastAsia="仿宋_GB2312"/>
          <w:sz w:val="30"/>
          <w:szCs w:val="32"/>
          <w:u w:val="single"/>
        </w:rPr>
        <w:t>7</w:t>
      </w:r>
      <w:r>
        <w:rPr>
          <w:rFonts w:hint="eastAsia" w:eastAsia="仿宋_GB2312"/>
          <w:sz w:val="30"/>
          <w:szCs w:val="32"/>
          <w:u w:val="single"/>
        </w:rPr>
        <w:t>天内，按照投标文件项目管理人员配备提供。</w:t>
      </w:r>
    </w:p>
    <w:p w14:paraId="704DBC25">
      <w:pPr>
        <w:spacing w:line="360" w:lineRule="auto"/>
        <w:ind w:firstLine="600" w:firstLineChars="200"/>
        <w:rPr>
          <w:rFonts w:eastAsia="仿宋_GB2312"/>
          <w:sz w:val="30"/>
          <w:szCs w:val="32"/>
        </w:rPr>
      </w:pPr>
      <w:r>
        <w:rPr>
          <w:rFonts w:eastAsia="仿宋_GB2312"/>
          <w:sz w:val="30"/>
          <w:szCs w:val="32"/>
        </w:rPr>
        <w:t xml:space="preserve">3.3.3 </w:t>
      </w:r>
      <w:r>
        <w:rPr>
          <w:rFonts w:hint="eastAsia" w:eastAsia="仿宋_GB2312"/>
          <w:sz w:val="30"/>
          <w:szCs w:val="32"/>
        </w:rPr>
        <w:t>承包人无正当理由拒绝撤换主要施工管理人员的违约责任：</w:t>
      </w:r>
      <w:r>
        <w:rPr>
          <w:rFonts w:hint="eastAsia" w:eastAsia="仿宋_GB2312"/>
          <w:sz w:val="30"/>
          <w:szCs w:val="32"/>
          <w:u w:val="single"/>
        </w:rPr>
        <w:t>每逾期一天，按</w:t>
      </w:r>
      <w:r>
        <w:rPr>
          <w:rFonts w:eastAsia="仿宋_GB2312"/>
          <w:sz w:val="30"/>
          <w:szCs w:val="32"/>
          <w:u w:val="single"/>
        </w:rPr>
        <w:t>5000</w:t>
      </w:r>
      <w:r>
        <w:rPr>
          <w:rFonts w:hint="eastAsia" w:eastAsia="仿宋_GB2312"/>
          <w:sz w:val="30"/>
          <w:szCs w:val="32"/>
          <w:u w:val="single"/>
        </w:rPr>
        <w:t>元</w:t>
      </w:r>
      <w:r>
        <w:rPr>
          <w:rFonts w:eastAsia="仿宋_GB2312"/>
          <w:sz w:val="30"/>
          <w:szCs w:val="32"/>
          <w:u w:val="single"/>
        </w:rPr>
        <w:t>/</w:t>
      </w:r>
      <w:r>
        <w:rPr>
          <w:rFonts w:hint="eastAsia" w:eastAsia="仿宋_GB2312"/>
          <w:sz w:val="30"/>
          <w:szCs w:val="32"/>
          <w:u w:val="single"/>
        </w:rPr>
        <w:t>人次向发包人支付违约金</w:t>
      </w:r>
      <w:r>
        <w:rPr>
          <w:rFonts w:eastAsia="仿宋_GB2312"/>
          <w:sz w:val="30"/>
          <w:szCs w:val="32"/>
          <w:u w:val="single"/>
        </w:rPr>
        <w:t xml:space="preserve">  </w:t>
      </w:r>
      <w:r>
        <w:rPr>
          <w:rFonts w:hint="eastAsia" w:eastAsia="仿宋_GB2312"/>
          <w:sz w:val="30"/>
          <w:szCs w:val="32"/>
        </w:rPr>
        <w:t>。</w:t>
      </w:r>
    </w:p>
    <w:p w14:paraId="3AE101BD">
      <w:pPr>
        <w:spacing w:line="360" w:lineRule="auto"/>
        <w:ind w:firstLine="600" w:firstLineChars="200"/>
        <w:rPr>
          <w:rFonts w:eastAsia="仿宋_GB2312"/>
          <w:sz w:val="30"/>
          <w:szCs w:val="32"/>
          <w:u w:val="single"/>
        </w:rPr>
      </w:pPr>
      <w:r>
        <w:rPr>
          <w:rFonts w:eastAsia="仿宋_GB2312"/>
          <w:sz w:val="30"/>
          <w:szCs w:val="32"/>
        </w:rPr>
        <w:t xml:space="preserve">3.3.4 </w:t>
      </w:r>
      <w:r>
        <w:rPr>
          <w:rFonts w:hint="eastAsia" w:eastAsia="仿宋_GB2312"/>
          <w:sz w:val="30"/>
          <w:szCs w:val="32"/>
        </w:rPr>
        <w:t>承包人主要施工管理人员离开施工现场的批准要求：</w:t>
      </w:r>
      <w:r>
        <w:rPr>
          <w:rFonts w:eastAsia="仿宋_GB2312"/>
          <w:sz w:val="30"/>
          <w:szCs w:val="32"/>
        </w:rPr>
        <w:t xml:space="preserve">   </w:t>
      </w:r>
      <w:r>
        <w:rPr>
          <w:rFonts w:hint="eastAsia" w:eastAsia="仿宋_GB2312"/>
          <w:sz w:val="30"/>
          <w:szCs w:val="32"/>
          <w:u w:val="single"/>
        </w:rPr>
        <w:t>应征得发包人同意，并提供与原管理人员能力相当的接替人员代行其职责</w:t>
      </w:r>
      <w:r>
        <w:rPr>
          <w:rFonts w:eastAsia="仿宋_GB2312"/>
          <w:sz w:val="30"/>
          <w:szCs w:val="32"/>
          <w:u w:val="single"/>
        </w:rPr>
        <w:t xml:space="preserve"> </w:t>
      </w:r>
      <w:r>
        <w:rPr>
          <w:rFonts w:hint="eastAsia" w:eastAsia="仿宋_GB2312"/>
          <w:sz w:val="30"/>
          <w:szCs w:val="32"/>
        </w:rPr>
        <w:t>。</w:t>
      </w:r>
    </w:p>
    <w:p w14:paraId="0C9E606A">
      <w:pPr>
        <w:spacing w:line="360" w:lineRule="auto"/>
        <w:ind w:firstLine="600" w:firstLineChars="200"/>
        <w:rPr>
          <w:rFonts w:eastAsia="仿宋_GB2312"/>
          <w:sz w:val="30"/>
          <w:szCs w:val="32"/>
        </w:rPr>
      </w:pPr>
      <w:r>
        <w:rPr>
          <w:rFonts w:eastAsia="仿宋_GB2312"/>
          <w:sz w:val="30"/>
          <w:szCs w:val="32"/>
        </w:rPr>
        <w:t>3.3.5</w:t>
      </w:r>
      <w:r>
        <w:rPr>
          <w:rFonts w:hint="eastAsia" w:eastAsia="仿宋_GB2312"/>
          <w:sz w:val="30"/>
          <w:szCs w:val="32"/>
        </w:rPr>
        <w:t>承包人擅自更换主要施工管理人员的违约责任：</w:t>
      </w:r>
      <w:r>
        <w:rPr>
          <w:rFonts w:eastAsia="仿宋_GB2312"/>
          <w:sz w:val="30"/>
          <w:szCs w:val="32"/>
          <w:u w:val="single"/>
        </w:rPr>
        <w:t xml:space="preserve"> </w:t>
      </w:r>
      <w:r>
        <w:rPr>
          <w:rFonts w:hint="eastAsia" w:eastAsia="仿宋_GB2312"/>
          <w:sz w:val="30"/>
          <w:szCs w:val="32"/>
          <w:u w:val="single"/>
        </w:rPr>
        <w:t>按（</w:t>
      </w:r>
      <w:r>
        <w:rPr>
          <w:rFonts w:eastAsia="仿宋_GB2312"/>
          <w:sz w:val="30"/>
          <w:szCs w:val="32"/>
          <w:u w:val="single"/>
        </w:rPr>
        <w:t>10000</w:t>
      </w:r>
      <w:r>
        <w:rPr>
          <w:rFonts w:hint="eastAsia" w:eastAsia="仿宋_GB2312"/>
          <w:sz w:val="30"/>
          <w:szCs w:val="32"/>
          <w:u w:val="single"/>
        </w:rPr>
        <w:t>元）</w:t>
      </w:r>
      <w:r>
        <w:rPr>
          <w:rFonts w:eastAsia="仿宋_GB2312"/>
          <w:sz w:val="30"/>
          <w:szCs w:val="32"/>
          <w:u w:val="single"/>
        </w:rPr>
        <w:t>/</w:t>
      </w:r>
      <w:r>
        <w:rPr>
          <w:rFonts w:hint="eastAsia" w:eastAsia="仿宋_GB2312"/>
          <w:sz w:val="30"/>
          <w:szCs w:val="32"/>
          <w:u w:val="single"/>
        </w:rPr>
        <w:t>人次向发包人支付违约金并应按发包人要求予以换回或者履行变更手续，提供与原管理人员资质能力水平相当的人员接替</w:t>
      </w:r>
      <w:r>
        <w:rPr>
          <w:rFonts w:hint="eastAsia" w:eastAsia="仿宋_GB2312"/>
          <w:sz w:val="30"/>
          <w:szCs w:val="32"/>
        </w:rPr>
        <w:t>。</w:t>
      </w:r>
    </w:p>
    <w:p w14:paraId="0BA25762">
      <w:pPr>
        <w:spacing w:line="360" w:lineRule="auto"/>
        <w:ind w:firstLine="600" w:firstLineChars="200"/>
        <w:rPr>
          <w:rFonts w:eastAsia="仿宋_GB2312"/>
          <w:sz w:val="30"/>
          <w:szCs w:val="32"/>
        </w:rPr>
      </w:pPr>
      <w:r>
        <w:rPr>
          <w:rFonts w:hint="eastAsia" w:eastAsia="仿宋_GB2312"/>
          <w:sz w:val="30"/>
          <w:szCs w:val="32"/>
        </w:rPr>
        <w:t>承包人主要施工管理人员擅自离开施工现场的违约责任：</w:t>
      </w:r>
      <w:r>
        <w:rPr>
          <w:rFonts w:hint="eastAsia" w:eastAsia="仿宋_GB2312"/>
          <w:sz w:val="30"/>
          <w:szCs w:val="32"/>
          <w:u w:val="single"/>
        </w:rPr>
        <w:t>每发生一人次，按（</w:t>
      </w:r>
      <w:r>
        <w:rPr>
          <w:rFonts w:eastAsia="仿宋_GB2312"/>
          <w:sz w:val="30"/>
          <w:szCs w:val="32"/>
          <w:u w:val="single"/>
        </w:rPr>
        <w:t>2000</w:t>
      </w:r>
      <w:r>
        <w:rPr>
          <w:rFonts w:hint="eastAsia" w:eastAsia="仿宋_GB2312"/>
          <w:sz w:val="30"/>
          <w:szCs w:val="32"/>
          <w:u w:val="single"/>
        </w:rPr>
        <w:t>）元</w:t>
      </w:r>
      <w:r>
        <w:rPr>
          <w:rFonts w:eastAsia="仿宋_GB2312"/>
          <w:sz w:val="30"/>
          <w:szCs w:val="32"/>
          <w:u w:val="single"/>
        </w:rPr>
        <w:t>/</w:t>
      </w:r>
      <w:r>
        <w:rPr>
          <w:rFonts w:hint="eastAsia" w:eastAsia="仿宋_GB2312"/>
          <w:sz w:val="30"/>
          <w:szCs w:val="32"/>
          <w:u w:val="single"/>
        </w:rPr>
        <w:t>人次向发包人支付违约金</w:t>
      </w:r>
      <w:r>
        <w:rPr>
          <w:rFonts w:hint="eastAsia" w:eastAsia="仿宋_GB2312"/>
          <w:sz w:val="30"/>
          <w:szCs w:val="32"/>
        </w:rPr>
        <w:t>。</w:t>
      </w:r>
    </w:p>
    <w:p w14:paraId="08822159">
      <w:pPr>
        <w:spacing w:after="120" w:line="360" w:lineRule="auto"/>
        <w:ind w:firstLine="600" w:firstLineChars="200"/>
        <w:rPr>
          <w:rFonts w:eastAsia="黑体"/>
          <w:sz w:val="30"/>
          <w:szCs w:val="32"/>
        </w:rPr>
      </w:pPr>
      <w:r>
        <w:rPr>
          <w:rFonts w:eastAsia="黑体"/>
          <w:sz w:val="30"/>
          <w:szCs w:val="32"/>
        </w:rPr>
        <w:t>3</w:t>
      </w:r>
      <w:bookmarkStart w:id="725" w:name="_Toc296347158"/>
      <w:bookmarkStart w:id="726" w:name="_Toc300934945"/>
      <w:bookmarkStart w:id="727" w:name="_Toc304295523"/>
      <w:bookmarkStart w:id="728" w:name="_Toc297048345"/>
      <w:bookmarkStart w:id="729" w:name="_Toc312677988"/>
      <w:bookmarkStart w:id="730" w:name="_Toc296891199"/>
      <w:bookmarkStart w:id="731" w:name="_Toc292559364"/>
      <w:bookmarkStart w:id="732" w:name="_Toc296346660"/>
      <w:bookmarkStart w:id="733" w:name="_Toc297216151"/>
      <w:bookmarkStart w:id="734" w:name="_Toc297123492"/>
      <w:bookmarkStart w:id="735" w:name="_Toc303539102"/>
      <w:bookmarkStart w:id="736" w:name="_Toc297120459"/>
      <w:bookmarkStart w:id="737" w:name="_Toc292559869"/>
      <w:bookmarkStart w:id="738" w:name="_Toc296890987"/>
      <w:bookmarkStart w:id="739" w:name="_Toc296944498"/>
      <w:bookmarkStart w:id="740" w:name="_Toc296503159"/>
      <w:r>
        <w:rPr>
          <w:rFonts w:eastAsia="黑体"/>
          <w:sz w:val="30"/>
          <w:szCs w:val="32"/>
        </w:rPr>
        <w:t xml:space="preserve">.5 </w:t>
      </w:r>
      <w:r>
        <w:rPr>
          <w:rFonts w:hint="eastAsia" w:eastAsia="黑体"/>
          <w:sz w:val="30"/>
          <w:szCs w:val="32"/>
        </w:rPr>
        <w:t>分包</w:t>
      </w:r>
    </w:p>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14:paraId="7EACF1F5">
      <w:pPr>
        <w:spacing w:line="360" w:lineRule="auto"/>
        <w:ind w:firstLine="600" w:firstLineChars="200"/>
        <w:rPr>
          <w:rFonts w:eastAsia="仿宋_GB2312"/>
          <w:sz w:val="30"/>
          <w:szCs w:val="32"/>
        </w:rPr>
      </w:pPr>
      <w:r>
        <w:rPr>
          <w:rFonts w:eastAsia="仿宋_GB2312"/>
          <w:sz w:val="30"/>
          <w:szCs w:val="32"/>
        </w:rPr>
        <w:t>3</w:t>
      </w:r>
      <w:bookmarkStart w:id="741" w:name="_Toc297216152"/>
      <w:bookmarkStart w:id="742" w:name="_Toc296346661"/>
      <w:bookmarkStart w:id="743" w:name="_Toc300934946"/>
      <w:bookmarkStart w:id="744" w:name="_Toc304295524"/>
      <w:bookmarkStart w:id="745" w:name="_Toc297120460"/>
      <w:bookmarkStart w:id="746" w:name="_Toc297123493"/>
      <w:bookmarkStart w:id="747" w:name="_Toc296347159"/>
      <w:bookmarkStart w:id="748" w:name="_Toc292559870"/>
      <w:bookmarkStart w:id="749" w:name="_Toc296890988"/>
      <w:bookmarkStart w:id="750" w:name="_Toc296891200"/>
      <w:bookmarkStart w:id="751" w:name="_Toc303539103"/>
      <w:bookmarkStart w:id="752" w:name="_Toc296944499"/>
      <w:bookmarkStart w:id="753" w:name="_Toc292559365"/>
      <w:bookmarkStart w:id="754" w:name="_Toc297048346"/>
      <w:bookmarkStart w:id="755" w:name="_Toc296503160"/>
      <w:bookmarkStart w:id="756" w:name="_Toc312677989"/>
      <w:bookmarkStart w:id="757" w:name="_Toc318581158"/>
      <w:r>
        <w:rPr>
          <w:rFonts w:eastAsia="仿宋_GB2312"/>
          <w:sz w:val="30"/>
          <w:szCs w:val="32"/>
        </w:rPr>
        <w:t xml:space="preserve">.5.1 </w:t>
      </w:r>
      <w:r>
        <w:rPr>
          <w:rFonts w:hint="eastAsia" w:eastAsia="仿宋_GB2312"/>
          <w:sz w:val="30"/>
          <w:szCs w:val="32"/>
        </w:rPr>
        <w:t>分包的一般约定</w:t>
      </w:r>
    </w:p>
    <w:p w14:paraId="1290ADDF">
      <w:pPr>
        <w:spacing w:line="360" w:lineRule="auto"/>
        <w:ind w:firstLine="600" w:firstLineChars="200"/>
        <w:jc w:val="left"/>
        <w:rPr>
          <w:rFonts w:eastAsia="仿宋_GB2312"/>
          <w:sz w:val="30"/>
          <w:szCs w:val="32"/>
        </w:rPr>
      </w:pPr>
      <w:r>
        <w:rPr>
          <w:rFonts w:hint="eastAsia" w:eastAsia="仿宋_GB2312"/>
          <w:sz w:val="30"/>
          <w:szCs w:val="32"/>
        </w:rPr>
        <w:t>禁止分包的工程包括：</w:t>
      </w:r>
      <w:r>
        <w:rPr>
          <w:rFonts w:hint="eastAsia" w:eastAsia="仿宋_GB2312"/>
          <w:sz w:val="30"/>
          <w:szCs w:val="32"/>
          <w:u w:val="single"/>
        </w:rPr>
        <w:t>除本合同另有约定和经发包人书面认可外所有建安工程禁止分包</w:t>
      </w:r>
      <w:r>
        <w:rPr>
          <w:rFonts w:eastAsia="仿宋_GB2312"/>
          <w:sz w:val="30"/>
          <w:szCs w:val="32"/>
          <w:u w:val="single"/>
        </w:rPr>
        <w:t xml:space="preserve">  </w:t>
      </w:r>
      <w:r>
        <w:rPr>
          <w:rFonts w:hint="eastAsia" w:eastAsia="仿宋_GB2312"/>
          <w:sz w:val="30"/>
          <w:szCs w:val="32"/>
        </w:rPr>
        <w:t>。</w:t>
      </w:r>
    </w:p>
    <w:p w14:paraId="28F3AC38">
      <w:pPr>
        <w:spacing w:line="360" w:lineRule="auto"/>
        <w:ind w:firstLine="600" w:firstLineChars="200"/>
        <w:jc w:val="left"/>
        <w:rPr>
          <w:rFonts w:eastAsia="仿宋_GB2312"/>
          <w:sz w:val="30"/>
          <w:szCs w:val="32"/>
          <w:u w:val="single"/>
        </w:rPr>
      </w:pPr>
      <w:r>
        <w:rPr>
          <w:rFonts w:hint="eastAsia" w:eastAsia="仿宋_GB2312"/>
          <w:sz w:val="30"/>
          <w:szCs w:val="32"/>
        </w:rPr>
        <w:t>主体结构、关键性工作的范围：</w:t>
      </w:r>
      <w:r>
        <w:rPr>
          <w:rFonts w:hint="eastAsia" w:eastAsia="仿宋_GB2312"/>
          <w:i/>
          <w:iCs/>
          <w:color w:val="000000" w:themeColor="text1"/>
          <w:sz w:val="30"/>
          <w:szCs w:val="32"/>
          <w:u w:val="single"/>
          <w14:textFill>
            <w14:solidFill>
              <w14:schemeClr w14:val="tx1"/>
            </w14:solidFill>
          </w14:textFill>
        </w:rPr>
        <w:t>地基基础、主体结构、建筑电气、给排水、消防工程</w:t>
      </w:r>
      <w:r>
        <w:rPr>
          <w:rFonts w:hint="eastAsia" w:eastAsia="仿宋_GB2312"/>
          <w:sz w:val="30"/>
          <w:szCs w:val="32"/>
        </w:rPr>
        <w:t>。</w:t>
      </w:r>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Start w:id="758" w:name="_Toc297048347"/>
      <w:bookmarkStart w:id="759" w:name="_Toc303539104"/>
      <w:bookmarkStart w:id="760" w:name="_Toc297123494"/>
      <w:bookmarkStart w:id="761" w:name="_Toc296891201"/>
      <w:bookmarkStart w:id="762" w:name="_Toc297216153"/>
      <w:bookmarkStart w:id="763" w:name="_Toc296503161"/>
      <w:bookmarkStart w:id="764" w:name="_Toc296346662"/>
      <w:bookmarkStart w:id="765" w:name="_Toc296944500"/>
      <w:bookmarkStart w:id="766" w:name="_Toc300934947"/>
      <w:bookmarkStart w:id="767" w:name="_Toc296347160"/>
      <w:bookmarkStart w:id="768" w:name="_Toc297120461"/>
      <w:bookmarkStart w:id="769" w:name="_Toc296890989"/>
      <w:bookmarkStart w:id="770" w:name="_Toc304295525"/>
    </w:p>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p w14:paraId="1C3E0615">
      <w:pPr>
        <w:spacing w:line="360" w:lineRule="auto"/>
        <w:rPr>
          <w:rFonts w:eastAsia="仿宋_GB2312"/>
          <w:sz w:val="30"/>
          <w:szCs w:val="32"/>
        </w:rPr>
      </w:pPr>
      <w:r>
        <w:rPr>
          <w:rFonts w:eastAsia="仿宋_GB2312"/>
          <w:sz w:val="30"/>
          <w:szCs w:val="32"/>
        </w:rPr>
        <w:t xml:space="preserve">    3</w:t>
      </w:r>
      <w:bookmarkStart w:id="771" w:name="_Toc318581159"/>
      <w:bookmarkStart w:id="772" w:name="_Toc312677990"/>
      <w:r>
        <w:rPr>
          <w:rFonts w:eastAsia="仿宋_GB2312"/>
          <w:sz w:val="30"/>
          <w:szCs w:val="32"/>
        </w:rPr>
        <w:t>.5.2</w:t>
      </w:r>
      <w:r>
        <w:rPr>
          <w:rFonts w:hint="eastAsia" w:eastAsia="仿宋_GB2312"/>
          <w:sz w:val="30"/>
          <w:szCs w:val="32"/>
        </w:rPr>
        <w:t>分包的确定</w:t>
      </w:r>
    </w:p>
    <w:p w14:paraId="73F75EE4">
      <w:pPr>
        <w:spacing w:line="360" w:lineRule="auto"/>
        <w:ind w:firstLine="600" w:firstLineChars="200"/>
        <w:rPr>
          <w:rFonts w:eastAsia="仿宋_GB2312"/>
          <w:sz w:val="30"/>
          <w:szCs w:val="32"/>
          <w:u w:val="single"/>
        </w:rPr>
      </w:pPr>
      <w:r>
        <w:rPr>
          <w:rFonts w:hint="eastAsia" w:eastAsia="仿宋_GB2312"/>
          <w:sz w:val="30"/>
          <w:szCs w:val="32"/>
        </w:rPr>
        <w:t>允许分包的专业工程包括：</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rPr>
        <w:t>。</w:t>
      </w:r>
    </w:p>
    <w:p w14:paraId="700E4775">
      <w:pPr>
        <w:spacing w:line="360" w:lineRule="auto"/>
        <w:ind w:firstLine="600" w:firstLineChars="200"/>
        <w:rPr>
          <w:rFonts w:eastAsia="仿宋_GB2312"/>
          <w:sz w:val="30"/>
          <w:szCs w:val="32"/>
        </w:rPr>
      </w:pPr>
      <w:r>
        <w:rPr>
          <w:rFonts w:hint="eastAsia" w:eastAsia="仿宋_GB2312"/>
          <w:sz w:val="30"/>
          <w:szCs w:val="32"/>
        </w:rPr>
        <w:t>其他关于分包的约定：</w:t>
      </w:r>
      <w:r>
        <w:rPr>
          <w:rFonts w:eastAsia="仿宋_GB2312"/>
          <w:sz w:val="30"/>
          <w:szCs w:val="32"/>
          <w:u w:val="single"/>
        </w:rPr>
        <w:t xml:space="preserve">  </w:t>
      </w:r>
      <w:r>
        <w:rPr>
          <w:rFonts w:hint="eastAsia" w:ascii="仿宋" w:hAnsi="仿宋" w:eastAsia="仿宋" w:cs="仿宋"/>
          <w:sz w:val="30"/>
          <w:szCs w:val="32"/>
          <w:u w:val="single"/>
        </w:rPr>
        <w:t>发包人有权自行将承包人承包范围内的部分工作交由指定的分包人进行实施，承包人不得因此提出任何异议或者要求任何形式的补偿，并承担总包管理责任</w:t>
      </w:r>
      <w:r>
        <w:rPr>
          <w:rFonts w:eastAsia="仿宋_GB2312"/>
          <w:sz w:val="30"/>
          <w:szCs w:val="32"/>
          <w:u w:val="single"/>
        </w:rPr>
        <w:t xml:space="preserve">      </w:t>
      </w:r>
      <w:r>
        <w:rPr>
          <w:rFonts w:hint="eastAsia" w:eastAsia="仿宋_GB2312"/>
          <w:sz w:val="30"/>
          <w:szCs w:val="32"/>
        </w:rPr>
        <w:t>。</w:t>
      </w:r>
    </w:p>
    <w:p w14:paraId="7E874A11">
      <w:pPr>
        <w:spacing w:line="360" w:lineRule="auto"/>
        <w:ind w:firstLine="600" w:firstLineChars="200"/>
        <w:rPr>
          <w:rFonts w:eastAsia="仿宋_GB2312"/>
          <w:sz w:val="30"/>
          <w:szCs w:val="32"/>
        </w:rPr>
      </w:pPr>
      <w:r>
        <w:rPr>
          <w:rFonts w:eastAsia="仿宋_GB2312"/>
          <w:sz w:val="30"/>
          <w:szCs w:val="32"/>
        </w:rPr>
        <w:t xml:space="preserve">3.5.4 </w:t>
      </w:r>
      <w:r>
        <w:rPr>
          <w:rFonts w:hint="eastAsia" w:eastAsia="仿宋_GB2312"/>
          <w:sz w:val="30"/>
          <w:szCs w:val="32"/>
        </w:rPr>
        <w:t>分包合同价款</w:t>
      </w:r>
    </w:p>
    <w:p w14:paraId="046AC8A2">
      <w:pPr>
        <w:ind w:firstLine="600" w:firstLineChars="200"/>
        <w:rPr>
          <w:rFonts w:eastAsia="仿宋_GB2312"/>
          <w:sz w:val="30"/>
          <w:szCs w:val="32"/>
          <w:u w:val="single"/>
        </w:rPr>
      </w:pPr>
      <w:r>
        <w:rPr>
          <w:rFonts w:hint="eastAsia" w:eastAsia="仿宋_GB2312"/>
          <w:sz w:val="30"/>
          <w:szCs w:val="32"/>
        </w:rPr>
        <w:t>关于分包合同价款支付的约定：</w:t>
      </w:r>
      <w:r>
        <w:rPr>
          <w:rFonts w:hint="eastAsia" w:eastAsia="仿宋_GB2312"/>
          <w:sz w:val="30"/>
          <w:szCs w:val="32"/>
          <w:u w:val="single"/>
        </w:rPr>
        <w:t></w:t>
      </w:r>
      <w:r>
        <w:rPr>
          <w:rFonts w:hint="eastAsia" w:ascii="仿宋" w:hAnsi="仿宋" w:eastAsia="仿宋" w:cs="仿宋"/>
          <w:sz w:val="30"/>
          <w:szCs w:val="32"/>
          <w:u w:val="single"/>
        </w:rPr>
        <w:t>若因承包人支付劳务分包人、材料设备供货商等工程款不及时造成上访、围堵等不良影响的，发包人有权直接向劳务分包人、供货商支付工程款，承包人应就该款项向发包人开具合法有效的正式发票，并应自行解决与劳务分包人、供货商的财务及发票处理问题，同时承包人应承担该款项双倍的违约金，并承担对发包人造成的一切损失</w:t>
      </w:r>
      <w:r>
        <w:rPr>
          <w:rFonts w:ascii="仿宋" w:hAnsi="仿宋" w:eastAsia="仿宋" w:cs="仿宋"/>
          <w:sz w:val="30"/>
          <w:szCs w:val="32"/>
          <w:u w:val="single"/>
        </w:rPr>
        <w:t xml:space="preserve"> </w:t>
      </w:r>
      <w:r>
        <w:rPr>
          <w:rFonts w:hint="eastAsia" w:ascii="仿宋" w:hAnsi="仿宋" w:eastAsia="仿宋" w:cs="仿宋"/>
          <w:sz w:val="30"/>
          <w:szCs w:val="32"/>
          <w:u w:val="single"/>
        </w:rPr>
        <w:t>。</w:t>
      </w:r>
    </w:p>
    <w:bookmarkEnd w:id="771"/>
    <w:bookmarkEnd w:id="772"/>
    <w:p w14:paraId="5E8D1D5B">
      <w:pPr>
        <w:spacing w:after="120" w:line="360" w:lineRule="auto"/>
        <w:ind w:firstLine="600" w:firstLineChars="200"/>
        <w:rPr>
          <w:rFonts w:eastAsia="黑体"/>
          <w:sz w:val="30"/>
          <w:szCs w:val="32"/>
        </w:rPr>
      </w:pPr>
      <w:r>
        <w:rPr>
          <w:rFonts w:eastAsia="黑体"/>
          <w:sz w:val="30"/>
          <w:szCs w:val="32"/>
        </w:rPr>
        <w:t xml:space="preserve">3.6 </w:t>
      </w:r>
      <w:r>
        <w:rPr>
          <w:rFonts w:hint="eastAsia" w:eastAsia="黑体"/>
          <w:sz w:val="30"/>
          <w:szCs w:val="32"/>
        </w:rPr>
        <w:t>工程照管与成品、半成品保护</w:t>
      </w:r>
    </w:p>
    <w:p w14:paraId="71E41725">
      <w:pPr>
        <w:spacing w:before="120" w:after="120" w:line="360" w:lineRule="auto"/>
        <w:ind w:firstLine="600" w:firstLineChars="200"/>
        <w:rPr>
          <w:rFonts w:eastAsia="仿宋_GB2312"/>
          <w:kern w:val="0"/>
          <w:sz w:val="30"/>
          <w:szCs w:val="32"/>
          <w:u w:val="single"/>
        </w:rPr>
      </w:pPr>
      <w:r>
        <w:rPr>
          <w:rFonts w:hint="eastAsia" w:eastAsia="仿宋_GB2312"/>
          <w:kern w:val="0"/>
          <w:sz w:val="30"/>
          <w:szCs w:val="32"/>
        </w:rPr>
        <w:t>承包人负责照管工程及工程相关的材料、工程设备的起始时间：</w:t>
      </w:r>
      <w:r>
        <w:rPr>
          <w:rFonts w:eastAsia="仿宋_GB2312"/>
          <w:kern w:val="0"/>
          <w:sz w:val="30"/>
          <w:szCs w:val="32"/>
          <w:u w:val="single"/>
        </w:rPr>
        <w:t xml:space="preserve">       </w:t>
      </w:r>
      <w:r>
        <w:rPr>
          <w:rFonts w:hint="eastAsia" w:ascii="Arial" w:hAnsi="Arial" w:eastAsia="仿宋_GB2312" w:cs="Arial"/>
          <w:color w:val="000000"/>
          <w:kern w:val="0"/>
          <w:sz w:val="30"/>
          <w:szCs w:val="32"/>
          <w:u w:val="single"/>
        </w:rPr>
        <w:t>执行《通用合同条款》</w:t>
      </w:r>
      <w:r>
        <w:rPr>
          <w:rFonts w:eastAsia="仿宋_GB2312"/>
          <w:kern w:val="0"/>
          <w:sz w:val="30"/>
          <w:szCs w:val="32"/>
          <w:u w:val="single"/>
        </w:rPr>
        <w:t xml:space="preserve"> </w:t>
      </w:r>
      <w:r>
        <w:rPr>
          <w:rFonts w:hint="eastAsia" w:eastAsia="仿宋_GB2312"/>
          <w:kern w:val="0"/>
          <w:sz w:val="30"/>
          <w:szCs w:val="32"/>
        </w:rPr>
        <w:t>。</w:t>
      </w:r>
    </w:p>
    <w:p w14:paraId="687F860F">
      <w:pPr>
        <w:spacing w:after="120" w:line="360" w:lineRule="auto"/>
        <w:ind w:firstLine="600" w:firstLineChars="200"/>
        <w:rPr>
          <w:rFonts w:eastAsia="黑体"/>
          <w:sz w:val="30"/>
          <w:szCs w:val="32"/>
        </w:rPr>
      </w:pPr>
      <w:r>
        <w:rPr>
          <w:rFonts w:eastAsia="黑体"/>
          <w:sz w:val="30"/>
          <w:szCs w:val="32"/>
        </w:rPr>
        <w:t>3.7履约担保</w:t>
      </w:r>
    </w:p>
    <w:p w14:paraId="3048B514">
      <w:pPr>
        <w:spacing w:line="360" w:lineRule="auto"/>
        <w:ind w:firstLine="420" w:firstLineChars="200"/>
        <w:jc w:val="left"/>
        <w:rPr>
          <w:rFonts w:eastAsia="仿宋_GB2312"/>
          <w:sz w:val="30"/>
          <w:szCs w:val="32"/>
        </w:rPr>
      </w:pPr>
      <w:r>
        <w:rPr>
          <w:rFonts w:hint="eastAsia"/>
        </w:rPr>
        <w:t xml:space="preserve">  </w:t>
      </w:r>
      <w:r>
        <w:rPr>
          <w:rFonts w:hint="eastAsia" w:eastAsia="仿宋_GB2312"/>
          <w:sz w:val="30"/>
          <w:szCs w:val="32"/>
        </w:rPr>
        <w:t>承包人是否提供履约担保：</w:t>
      </w:r>
      <w:r>
        <w:rPr>
          <w:rFonts w:eastAsia="仿宋_GB2312"/>
          <w:sz w:val="30"/>
          <w:szCs w:val="32"/>
          <w:u w:val="single"/>
        </w:rPr>
        <w:t xml:space="preserve">  </w:t>
      </w:r>
      <w:r>
        <w:rPr>
          <w:rFonts w:hint="eastAsia" w:eastAsia="仿宋_GB2312"/>
          <w:sz w:val="30"/>
          <w:szCs w:val="32"/>
          <w:u w:val="single"/>
          <w:lang w:val="en-US" w:eastAsia="zh-CN"/>
        </w:rPr>
        <w:t>否</w:t>
      </w:r>
      <w:r>
        <w:rPr>
          <w:rFonts w:eastAsia="仿宋_GB2312"/>
          <w:sz w:val="30"/>
          <w:szCs w:val="32"/>
          <w:u w:val="single"/>
        </w:rPr>
        <w:t xml:space="preserve"> </w:t>
      </w:r>
      <w:r>
        <w:rPr>
          <w:rFonts w:hint="eastAsia" w:eastAsia="仿宋_GB2312"/>
          <w:sz w:val="30"/>
          <w:szCs w:val="32"/>
        </w:rPr>
        <w:t>。</w:t>
      </w:r>
    </w:p>
    <w:p w14:paraId="3725C304">
      <w:pPr>
        <w:spacing w:line="360" w:lineRule="auto"/>
        <w:ind w:firstLine="600" w:firstLineChars="200"/>
        <w:jc w:val="left"/>
        <w:rPr>
          <w:rFonts w:eastAsia="仿宋_GB2312"/>
          <w:sz w:val="30"/>
          <w:szCs w:val="32"/>
        </w:rPr>
      </w:pPr>
      <w:r>
        <w:rPr>
          <w:rFonts w:hint="eastAsia" w:eastAsia="仿宋_GB2312"/>
          <w:sz w:val="30"/>
          <w:szCs w:val="32"/>
        </w:rPr>
        <w:t>承包人提供履约担保的形式</w:t>
      </w:r>
      <w:r>
        <w:rPr>
          <w:rFonts w:eastAsia="仿宋_GB2312"/>
          <w:sz w:val="30"/>
          <w:szCs w:val="32"/>
        </w:rPr>
        <w:t>（</w:t>
      </w:r>
      <w:r>
        <w:rPr>
          <w:rFonts w:hint="eastAsia" w:eastAsia="仿宋_GB2312"/>
          <w:sz w:val="30"/>
          <w:szCs w:val="32"/>
        </w:rPr>
        <w:t>履约担保由承包人自愿选择银行保函、保险保函、融资性担保公司担保或履约保证金等任一形式，发包人不得以任何理由拒绝或限制使用</w:t>
      </w:r>
      <w:r>
        <w:rPr>
          <w:rFonts w:eastAsia="仿宋_GB2312"/>
          <w:sz w:val="30"/>
          <w:szCs w:val="32"/>
        </w:rPr>
        <w:t>）</w:t>
      </w:r>
      <w:r>
        <w:rPr>
          <w:rFonts w:hint="eastAsia" w:eastAsia="仿宋_GB2312"/>
          <w:sz w:val="30"/>
          <w:szCs w:val="32"/>
        </w:rPr>
        <w:t>金额及期限的：</w:t>
      </w:r>
    </w:p>
    <w:p w14:paraId="1FEFE8D1">
      <w:pPr>
        <w:numPr>
          <w:ilvl w:val="0"/>
          <w:numId w:val="11"/>
        </w:numPr>
        <w:spacing w:line="360" w:lineRule="auto"/>
        <w:ind w:left="0" w:firstLine="600" w:firstLineChars="200"/>
        <w:jc w:val="left"/>
        <w:rPr>
          <w:rFonts w:eastAsia="仿宋_GB2312"/>
          <w:color w:val="000000" w:themeColor="text1"/>
          <w:sz w:val="30"/>
          <w:szCs w:val="32"/>
          <w:u w:val="single"/>
          <w14:textFill>
            <w14:solidFill>
              <w14:schemeClr w14:val="tx1"/>
            </w14:solidFill>
          </w14:textFill>
        </w:rPr>
      </w:pPr>
      <w:bookmarkStart w:id="773" w:name="_Toc351203636"/>
      <w:r>
        <w:rPr>
          <w:rFonts w:hint="eastAsia" w:eastAsia="仿宋_GB2312"/>
          <w:color w:val="000000" w:themeColor="text1"/>
          <w:sz w:val="30"/>
          <w:szCs w:val="32"/>
          <w:u w:val="single"/>
          <w14:textFill>
            <w14:solidFill>
              <w14:schemeClr w14:val="tx1"/>
            </w14:solidFill>
          </w14:textFill>
        </w:rPr>
        <w:t>形式：</w:t>
      </w:r>
      <w:r>
        <w:rPr>
          <w:rFonts w:hint="eastAsia" w:eastAsia="仿宋_GB2312"/>
          <w:color w:val="000000" w:themeColor="text1"/>
          <w:sz w:val="30"/>
          <w:szCs w:val="32"/>
          <w:u w:val="single"/>
          <w14:textFill>
            <w14:solidFill>
              <w14:schemeClr w14:val="tx1"/>
            </w14:solidFill>
          </w14:textFill>
        </w:rPr>
        <w:sym w:font="Wingdings 2" w:char="00A3"/>
      </w:r>
      <w:r>
        <w:rPr>
          <w:rFonts w:hint="eastAsia" w:eastAsia="仿宋_GB2312"/>
          <w:i/>
          <w:iCs/>
          <w:color w:val="000000" w:themeColor="text1"/>
          <w:sz w:val="30"/>
          <w:szCs w:val="32"/>
          <w:u w:val="single"/>
          <w14:textFill>
            <w14:solidFill>
              <w14:schemeClr w14:val="tx1"/>
            </w14:solidFill>
          </w14:textFill>
        </w:rPr>
        <w:t>履约保函</w:t>
      </w:r>
      <w:r>
        <w:rPr>
          <w:rFonts w:eastAsia="仿宋_GB2312"/>
          <w:color w:val="000000" w:themeColor="text1"/>
          <w:sz w:val="30"/>
          <w:szCs w:val="32"/>
          <w:u w:val="single"/>
          <w14:textFill>
            <w14:solidFill>
              <w14:schemeClr w14:val="tx1"/>
            </w14:solidFill>
          </w14:textFill>
        </w:rPr>
        <w:t xml:space="preserve"> </w:t>
      </w:r>
      <w:r>
        <w:rPr>
          <w:rFonts w:hint="eastAsia" w:ascii="仿宋_GB2312" w:hAnsi="仿宋_GB2312" w:eastAsia="仿宋_GB2312" w:cs="仿宋_GB2312"/>
          <w:color w:val="000000" w:themeColor="text1"/>
          <w:sz w:val="30"/>
          <w:szCs w:val="32"/>
          <w:u w:val="single"/>
          <w14:textFill>
            <w14:solidFill>
              <w14:schemeClr w14:val="tx1"/>
            </w14:solidFill>
          </w14:textFill>
        </w:rPr>
        <w:t xml:space="preserve">/ </w:t>
      </w:r>
      <w:r>
        <w:rPr>
          <w:rFonts w:hint="eastAsia" w:ascii="仿宋_GB2312" w:hAnsi="仿宋_GB2312" w:eastAsia="仿宋_GB2312" w:cs="仿宋_GB2312"/>
          <w:color w:val="000000" w:themeColor="text1"/>
          <w:sz w:val="30"/>
          <w:szCs w:val="32"/>
          <w:u w:val="single"/>
          <w14:textFill>
            <w14:solidFill>
              <w14:schemeClr w14:val="tx1"/>
            </w14:solidFill>
          </w14:textFill>
        </w:rPr>
        <w:sym w:font="Wingdings 2" w:char="00A3"/>
      </w:r>
      <w:r>
        <w:rPr>
          <w:rFonts w:hint="eastAsia" w:eastAsia="仿宋_GB2312"/>
          <w:sz w:val="30"/>
          <w:szCs w:val="32"/>
          <w:u w:val="single"/>
        </w:rPr>
        <w:t>承包人的投标保证金自动转为履约保证金，待竣工验收后根据履约情况予以退还。</w:t>
      </w:r>
    </w:p>
    <w:p w14:paraId="63A74576">
      <w:pPr>
        <w:numPr>
          <w:ilvl w:val="0"/>
          <w:numId w:val="11"/>
        </w:numPr>
        <w:spacing w:line="360" w:lineRule="auto"/>
        <w:ind w:left="0" w:firstLine="600" w:firstLineChars="200"/>
        <w:jc w:val="left"/>
        <w:rPr>
          <w:rFonts w:eastAsia="仿宋_GB2312"/>
          <w:color w:val="000000" w:themeColor="text1"/>
          <w:sz w:val="30"/>
          <w:szCs w:val="32"/>
          <w14:textFill>
            <w14:solidFill>
              <w14:schemeClr w14:val="tx1"/>
            </w14:solidFill>
          </w14:textFill>
        </w:rPr>
      </w:pPr>
      <w:r>
        <w:rPr>
          <w:rFonts w:hint="eastAsia" w:eastAsia="仿宋_GB2312"/>
          <w:color w:val="000000" w:themeColor="text1"/>
          <w:sz w:val="30"/>
          <w:szCs w:val="32"/>
          <w:u w:val="single"/>
          <w14:textFill>
            <w14:solidFill>
              <w14:schemeClr w14:val="tx1"/>
            </w14:solidFill>
          </w14:textFill>
        </w:rPr>
        <w:t>金额：</w:t>
      </w:r>
      <w:r>
        <w:rPr>
          <w:rFonts w:hint="eastAsia" w:eastAsia="仿宋_GB2312"/>
          <w:color w:val="000000" w:themeColor="text1"/>
          <w:sz w:val="30"/>
          <w:szCs w:val="32"/>
          <w:u w:val="single"/>
          <w14:textFill>
            <w14:solidFill>
              <w14:schemeClr w14:val="tx1"/>
            </w14:solidFill>
          </w14:textFill>
        </w:rPr>
        <w:sym w:font="Wingdings 2" w:char="00A3"/>
      </w:r>
      <w:r>
        <w:rPr>
          <w:rFonts w:hint="eastAsia" w:eastAsia="仿宋_GB2312"/>
          <w:i/>
          <w:iCs/>
          <w:color w:val="000000" w:themeColor="text1"/>
          <w:sz w:val="30"/>
          <w:szCs w:val="32"/>
          <w:u w:val="single"/>
          <w14:textFill>
            <w14:solidFill>
              <w14:schemeClr w14:val="tx1"/>
            </w14:solidFill>
          </w14:textFill>
        </w:rPr>
        <w:t>按招标文件要求，一般为合同签约价的</w:t>
      </w:r>
      <w:r>
        <w:rPr>
          <w:rFonts w:eastAsia="仿宋_GB2312"/>
          <w:i/>
          <w:iCs/>
          <w:color w:val="000000" w:themeColor="text1"/>
          <w:sz w:val="30"/>
          <w:szCs w:val="32"/>
          <w:u w:val="single"/>
          <w14:textFill>
            <w14:solidFill>
              <w14:schemeClr w14:val="tx1"/>
            </w14:solidFill>
          </w14:textFill>
        </w:rPr>
        <w:t>10%</w:t>
      </w:r>
      <w:r>
        <w:rPr>
          <w:rFonts w:hint="eastAsia" w:eastAsia="仿宋_GB2312"/>
          <w:i/>
          <w:iCs/>
          <w:color w:val="000000" w:themeColor="text1"/>
          <w:sz w:val="30"/>
          <w:szCs w:val="32"/>
          <w:u w:val="single"/>
          <w14:textFill>
            <w14:solidFill>
              <w14:schemeClr w14:val="tx1"/>
            </w14:solidFill>
          </w14:textFill>
        </w:rPr>
        <w:t>。</w:t>
      </w:r>
      <w:r>
        <w:rPr>
          <w:rFonts w:hint="eastAsia" w:ascii="仿宋_GB2312" w:hAnsi="仿宋_GB2312" w:eastAsia="仿宋_GB2312" w:cs="仿宋_GB2312"/>
          <w:color w:val="000000" w:themeColor="text1"/>
          <w:sz w:val="30"/>
          <w:szCs w:val="32"/>
          <w:u w:val="single"/>
          <w14:textFill>
            <w14:solidFill>
              <w14:schemeClr w14:val="tx1"/>
            </w14:solidFill>
          </w14:textFill>
        </w:rPr>
        <w:t>/</w:t>
      </w:r>
      <w:r>
        <w:rPr>
          <w:rFonts w:hint="eastAsia" w:ascii="仿宋_GB2312" w:hAnsi="仿宋_GB2312" w:eastAsia="仿宋_GB2312" w:cs="仿宋_GB2312"/>
          <w:color w:val="000000" w:themeColor="text1"/>
          <w:sz w:val="30"/>
          <w:szCs w:val="32"/>
          <w:u w:val="single"/>
          <w14:textFill>
            <w14:solidFill>
              <w14:schemeClr w14:val="tx1"/>
            </w14:solidFill>
          </w14:textFill>
        </w:rPr>
        <w:sym w:font="Wingdings 2" w:char="00A3"/>
      </w:r>
      <w:r>
        <w:rPr>
          <w:rFonts w:hint="eastAsia" w:eastAsia="仿宋_GB2312"/>
          <w:sz w:val="30"/>
          <w:szCs w:val="32"/>
          <w:u w:val="single"/>
        </w:rPr>
        <w:t>同投标保证</w:t>
      </w:r>
      <w:r>
        <w:rPr>
          <w:rFonts w:hint="eastAsia"/>
          <w:sz w:val="30"/>
          <w:u w:val="single"/>
        </w:rPr>
        <w:t>金</w:t>
      </w:r>
      <w:r>
        <w:rPr>
          <w:rFonts w:hint="eastAsia" w:eastAsia="仿宋_GB2312"/>
          <w:i/>
          <w:iCs/>
          <w:color w:val="000000" w:themeColor="text1"/>
          <w:sz w:val="30"/>
          <w:szCs w:val="32"/>
          <w:u w:val="single"/>
          <w14:textFill>
            <w14:solidFill>
              <w14:schemeClr w14:val="tx1"/>
            </w14:solidFill>
          </w14:textFill>
        </w:rPr>
        <w:t>。</w:t>
      </w:r>
    </w:p>
    <w:p w14:paraId="348C810C">
      <w:pPr>
        <w:numPr>
          <w:ilvl w:val="0"/>
          <w:numId w:val="11"/>
        </w:numPr>
        <w:spacing w:line="360" w:lineRule="auto"/>
        <w:ind w:left="0" w:firstLine="600" w:firstLineChars="200"/>
        <w:jc w:val="left"/>
        <w:rPr>
          <w:rFonts w:eastAsia="仿宋_GB2312"/>
          <w:color w:val="000000" w:themeColor="text1"/>
          <w:sz w:val="30"/>
          <w:szCs w:val="32"/>
          <w14:textFill>
            <w14:solidFill>
              <w14:schemeClr w14:val="tx1"/>
            </w14:solidFill>
          </w14:textFill>
        </w:rPr>
      </w:pPr>
      <w:r>
        <w:rPr>
          <w:rFonts w:hint="eastAsia" w:eastAsia="仿宋_GB2312"/>
          <w:color w:val="000000" w:themeColor="text1"/>
          <w:sz w:val="30"/>
          <w:szCs w:val="32"/>
          <w:u w:val="single"/>
          <w14:textFill>
            <w14:solidFill>
              <w14:schemeClr w14:val="tx1"/>
            </w14:solidFill>
          </w14:textFill>
        </w:rPr>
        <w:t>期限：</w:t>
      </w:r>
      <w:r>
        <w:rPr>
          <w:rFonts w:hint="eastAsia" w:ascii="仿宋_GB2312" w:hAnsi="仿宋_GB2312" w:eastAsia="仿宋_GB2312" w:cs="仿宋_GB2312"/>
          <w:color w:val="000000" w:themeColor="text1"/>
          <w:sz w:val="30"/>
          <w:szCs w:val="32"/>
          <w:u w:val="single"/>
          <w14:textFill>
            <w14:solidFill>
              <w14:schemeClr w14:val="tx1"/>
            </w14:solidFill>
          </w14:textFill>
        </w:rPr>
        <w:t>自开出之日至竣工验收完成。若（预计）履约保函有效期届满时本合同约定的履约担保期限尚未届满，承包人应提前30天将履约保函的期满日期延长至本合同约定的履约担保期限，否则视为承包人违约，须承担</w:t>
      </w:r>
      <w:r>
        <w:rPr>
          <w:rFonts w:hint="eastAsia" w:ascii="仿宋_GB2312" w:hAnsi="仿宋_GB2312" w:eastAsia="仿宋_GB2312" w:cs="仿宋_GB2312"/>
          <w:i/>
          <w:iCs/>
          <w:color w:val="000000" w:themeColor="text1"/>
          <w:sz w:val="30"/>
          <w:szCs w:val="32"/>
          <w:u w:val="single"/>
          <w14:textFill>
            <w14:solidFill>
              <w14:schemeClr w14:val="tx1"/>
            </w14:solidFill>
          </w14:textFill>
        </w:rPr>
        <w:t>100000元</w:t>
      </w:r>
      <w:r>
        <w:rPr>
          <w:rFonts w:hint="eastAsia" w:ascii="仿宋_GB2312" w:hAnsi="仿宋_GB2312" w:eastAsia="仿宋_GB2312" w:cs="仿宋_GB2312"/>
          <w:color w:val="000000" w:themeColor="text1"/>
          <w:sz w:val="30"/>
          <w:szCs w:val="32"/>
          <w:u w:val="single"/>
          <w14:textFill>
            <w14:solidFill>
              <w14:schemeClr w14:val="tx1"/>
            </w14:solidFill>
          </w14:textFill>
        </w:rPr>
        <w:t>违约金，且发包人有权不予支付剩余合同价款而不构成违约，直至保函延期完成。</w:t>
      </w:r>
    </w:p>
    <w:p w14:paraId="74186273">
      <w:pPr>
        <w:ind w:firstLine="643" w:firstLineChars="200"/>
        <w:jc w:val="left"/>
        <w:rPr>
          <w:rFonts w:eastAsia="黑体"/>
          <w:b/>
          <w:sz w:val="32"/>
          <w:szCs w:val="32"/>
        </w:rPr>
      </w:pPr>
      <w:r>
        <w:rPr>
          <w:rFonts w:eastAsia="黑体"/>
          <w:b/>
          <w:sz w:val="32"/>
          <w:szCs w:val="32"/>
        </w:rPr>
        <w:t>4</w:t>
      </w:r>
      <w:bookmarkStart w:id="774" w:name="_Toc292559366"/>
      <w:bookmarkStart w:id="775" w:name="_Toc296891202"/>
      <w:bookmarkStart w:id="776" w:name="_Toc296944501"/>
      <w:bookmarkStart w:id="777" w:name="_Toc267251413"/>
      <w:bookmarkStart w:id="778" w:name="_Toc292559871"/>
      <w:bookmarkStart w:id="779" w:name="_Toc296346663"/>
      <w:bookmarkStart w:id="780" w:name="_Toc297048348"/>
      <w:bookmarkStart w:id="781" w:name="_Toc296503162"/>
      <w:bookmarkStart w:id="782" w:name="_Toc297120462"/>
      <w:bookmarkStart w:id="783" w:name="_Toc296890990"/>
      <w:bookmarkStart w:id="784" w:name="_Toc296347161"/>
      <w:r>
        <w:rPr>
          <w:rFonts w:eastAsia="黑体"/>
          <w:b/>
          <w:sz w:val="32"/>
          <w:szCs w:val="32"/>
        </w:rPr>
        <w:t>.监</w:t>
      </w:r>
      <w:bookmarkEnd w:id="774"/>
      <w:bookmarkEnd w:id="775"/>
      <w:bookmarkEnd w:id="776"/>
      <w:bookmarkEnd w:id="777"/>
      <w:bookmarkEnd w:id="778"/>
      <w:bookmarkEnd w:id="779"/>
      <w:bookmarkEnd w:id="780"/>
      <w:bookmarkEnd w:id="781"/>
      <w:bookmarkEnd w:id="782"/>
      <w:bookmarkEnd w:id="783"/>
      <w:bookmarkEnd w:id="784"/>
      <w:r>
        <w:rPr>
          <w:rFonts w:eastAsia="黑体"/>
          <w:b/>
          <w:sz w:val="32"/>
          <w:szCs w:val="32"/>
        </w:rPr>
        <w:t>理人</w:t>
      </w:r>
      <w:bookmarkEnd w:id="773"/>
    </w:p>
    <w:p w14:paraId="090D2E2D">
      <w:pPr>
        <w:spacing w:after="120" w:line="360" w:lineRule="auto"/>
        <w:ind w:firstLine="600" w:firstLineChars="200"/>
        <w:rPr>
          <w:rFonts w:eastAsia="黑体"/>
          <w:sz w:val="30"/>
          <w:szCs w:val="32"/>
        </w:rPr>
      </w:pPr>
      <w:r>
        <w:rPr>
          <w:rFonts w:eastAsia="黑体"/>
          <w:sz w:val="30"/>
          <w:szCs w:val="32"/>
        </w:rPr>
        <w:t>4.1监理人的一般规定</w:t>
      </w:r>
    </w:p>
    <w:p w14:paraId="177227BC">
      <w:pPr>
        <w:spacing w:line="360" w:lineRule="auto"/>
        <w:ind w:firstLine="600" w:firstLineChars="200"/>
        <w:jc w:val="left"/>
        <w:rPr>
          <w:rFonts w:eastAsia="仿宋_GB2312"/>
          <w:sz w:val="30"/>
          <w:szCs w:val="32"/>
        </w:rPr>
      </w:pPr>
      <w:r>
        <w:rPr>
          <w:rFonts w:hint="eastAsia" w:eastAsia="仿宋_GB2312"/>
          <w:sz w:val="30"/>
          <w:szCs w:val="32"/>
        </w:rPr>
        <w:t>关于监理人的监理内容：</w:t>
      </w:r>
      <w:r>
        <w:rPr>
          <w:rFonts w:eastAsia="仿宋_GB2312"/>
          <w:sz w:val="30"/>
          <w:szCs w:val="32"/>
          <w:u w:val="single"/>
        </w:rPr>
        <w:t xml:space="preserve"> </w:t>
      </w:r>
      <w:r>
        <w:rPr>
          <w:rFonts w:hint="eastAsia" w:eastAsia="仿宋_GB2312"/>
          <w:sz w:val="30"/>
          <w:szCs w:val="32"/>
          <w:u w:val="single"/>
        </w:rPr>
        <w:t>合同约定范围内的所有建设工程内容</w:t>
      </w:r>
      <w:r>
        <w:rPr>
          <w:rFonts w:eastAsia="仿宋_GB2312"/>
          <w:sz w:val="30"/>
          <w:szCs w:val="32"/>
          <w:u w:val="single"/>
        </w:rPr>
        <w:t xml:space="preserve"> </w:t>
      </w:r>
      <w:r>
        <w:rPr>
          <w:rFonts w:hint="eastAsia" w:eastAsia="仿宋_GB2312"/>
          <w:sz w:val="30"/>
          <w:szCs w:val="32"/>
        </w:rPr>
        <w:t>。</w:t>
      </w:r>
    </w:p>
    <w:p w14:paraId="7C43A803">
      <w:pPr>
        <w:spacing w:line="360" w:lineRule="auto"/>
        <w:ind w:firstLine="600" w:firstLineChars="200"/>
        <w:jc w:val="left"/>
        <w:rPr>
          <w:rFonts w:eastAsia="仿宋_GB2312"/>
          <w:sz w:val="30"/>
          <w:szCs w:val="32"/>
        </w:rPr>
      </w:pPr>
      <w:r>
        <w:rPr>
          <w:rFonts w:hint="eastAsia" w:eastAsia="仿宋_GB2312"/>
          <w:sz w:val="30"/>
          <w:szCs w:val="32"/>
        </w:rPr>
        <w:t>关于监理人的监理权限：</w:t>
      </w:r>
      <w:r>
        <w:rPr>
          <w:rFonts w:eastAsia="仿宋_GB2312"/>
          <w:sz w:val="30"/>
          <w:szCs w:val="32"/>
          <w:u w:val="single"/>
        </w:rPr>
        <w:t xml:space="preserve"> </w:t>
      </w:r>
      <w:r>
        <w:rPr>
          <w:rFonts w:hint="eastAsia" w:eastAsia="仿宋_GB2312"/>
          <w:sz w:val="30"/>
          <w:szCs w:val="32"/>
          <w:u w:val="single"/>
        </w:rPr>
        <w:t>行使监理合同授予的权限</w:t>
      </w:r>
      <w:r>
        <w:rPr>
          <w:rFonts w:eastAsia="仿宋_GB2312"/>
          <w:sz w:val="30"/>
          <w:szCs w:val="32"/>
          <w:u w:val="single"/>
        </w:rPr>
        <w:t xml:space="preserve"> </w:t>
      </w:r>
      <w:r>
        <w:rPr>
          <w:rFonts w:hint="eastAsia" w:eastAsia="仿宋_GB2312"/>
          <w:sz w:val="30"/>
          <w:szCs w:val="32"/>
        </w:rPr>
        <w:t>。</w:t>
      </w:r>
      <w:r>
        <w:rPr>
          <w:rFonts w:eastAsia="仿宋_GB2312"/>
          <w:sz w:val="30"/>
          <w:szCs w:val="32"/>
        </w:rPr>
        <w:t xml:space="preserve"> </w:t>
      </w:r>
    </w:p>
    <w:p w14:paraId="2B2DB35F">
      <w:pPr>
        <w:spacing w:line="360" w:lineRule="auto"/>
        <w:ind w:firstLine="600" w:firstLineChars="200"/>
        <w:rPr>
          <w:rFonts w:hint="eastAsia" w:ascii="仿宋" w:hAnsi="仿宋" w:eastAsia="仿宋" w:cs="仿宋"/>
          <w:sz w:val="30"/>
          <w:szCs w:val="30"/>
          <w:u w:val="single"/>
        </w:rPr>
      </w:pPr>
      <w:r>
        <w:rPr>
          <w:rFonts w:hint="eastAsia" w:ascii="仿宋" w:hAnsi="仿宋" w:eastAsia="仿宋" w:cs="仿宋"/>
          <w:sz w:val="30"/>
          <w:szCs w:val="30"/>
        </w:rPr>
        <w:t>须经发包人事先批准行使的权力：</w:t>
      </w:r>
      <w:r>
        <w:rPr>
          <w:rFonts w:hint="eastAsia" w:ascii="仿宋" w:hAnsi="仿宋" w:eastAsia="仿宋" w:cs="仿宋"/>
          <w:sz w:val="30"/>
          <w:szCs w:val="30"/>
          <w:u w:val="single"/>
        </w:rPr>
        <w:t>开工、停工、复工令的下达，合同工期、工程变更、现场经济技术签证、工程付款</w:t>
      </w:r>
      <w:r>
        <w:rPr>
          <w:rFonts w:hint="eastAsia" w:ascii="仿宋" w:hAnsi="仿宋" w:eastAsia="仿宋" w:cs="仿宋"/>
          <w:sz w:val="30"/>
          <w:szCs w:val="30"/>
        </w:rPr>
        <w:t>。</w:t>
      </w:r>
      <w:r>
        <w:rPr>
          <w:rFonts w:hint="eastAsia" w:ascii="仿宋" w:hAnsi="仿宋" w:eastAsia="仿宋" w:cs="仿宋"/>
          <w:sz w:val="30"/>
          <w:szCs w:val="30"/>
          <w:u w:val="single"/>
        </w:rPr>
        <w:t>监理人针对以上事项通知、指示、批准、同意等文件必须经发包人盖章后方为有效。</w:t>
      </w:r>
    </w:p>
    <w:p w14:paraId="6E906289">
      <w:pPr>
        <w:spacing w:line="360" w:lineRule="auto"/>
        <w:ind w:firstLine="600" w:firstLineChars="200"/>
        <w:rPr>
          <w:rFonts w:eastAsia="仿宋_GB2312"/>
          <w:sz w:val="30"/>
          <w:szCs w:val="32"/>
        </w:rPr>
      </w:pPr>
      <w:r>
        <w:rPr>
          <w:rFonts w:hint="eastAsia" w:eastAsia="仿宋_GB2312"/>
          <w:sz w:val="30"/>
          <w:szCs w:val="32"/>
        </w:rPr>
        <w:t>关于监理人在施工现场的办公场所、生活场所的提供和费用承担的约定：</w:t>
      </w:r>
      <w:r>
        <w:rPr>
          <w:rFonts w:hint="eastAsia" w:eastAsia="仿宋_GB2312"/>
          <w:sz w:val="30"/>
          <w:szCs w:val="32"/>
          <w:u w:val="single"/>
        </w:rPr>
        <w:t>由承包人提供办公及生活场所</w:t>
      </w:r>
      <w:r>
        <w:rPr>
          <w:rFonts w:eastAsia="仿宋_GB2312"/>
          <w:sz w:val="30"/>
          <w:szCs w:val="32"/>
          <w:u w:val="single"/>
        </w:rPr>
        <w:t xml:space="preserve"> </w:t>
      </w:r>
      <w:r>
        <w:rPr>
          <w:rFonts w:hint="eastAsia" w:eastAsia="仿宋_GB2312"/>
          <w:sz w:val="30"/>
          <w:szCs w:val="32"/>
          <w:u w:val="single"/>
        </w:rPr>
        <w:t>，费用已包含在合同签约价中，不另计取</w:t>
      </w:r>
      <w:r>
        <w:rPr>
          <w:rFonts w:hint="eastAsia" w:eastAsia="仿宋_GB2312"/>
          <w:sz w:val="30"/>
          <w:szCs w:val="32"/>
        </w:rPr>
        <w:t>。</w:t>
      </w:r>
    </w:p>
    <w:p w14:paraId="64141B67">
      <w:pPr>
        <w:spacing w:after="120" w:line="360" w:lineRule="auto"/>
        <w:ind w:firstLine="600" w:firstLineChars="200"/>
        <w:rPr>
          <w:rFonts w:eastAsia="黑体"/>
          <w:sz w:val="30"/>
          <w:szCs w:val="32"/>
        </w:rPr>
      </w:pPr>
      <w:r>
        <w:rPr>
          <w:rFonts w:eastAsia="黑体"/>
          <w:sz w:val="30"/>
          <w:szCs w:val="32"/>
        </w:rPr>
        <w:t>4.2监理人员</w:t>
      </w:r>
    </w:p>
    <w:p w14:paraId="0CB2CCB7">
      <w:pPr>
        <w:spacing w:line="360" w:lineRule="auto"/>
        <w:ind w:firstLine="600" w:firstLineChars="200"/>
        <w:rPr>
          <w:rFonts w:eastAsia="仿宋_GB2312"/>
          <w:sz w:val="30"/>
          <w:szCs w:val="32"/>
        </w:rPr>
      </w:pPr>
      <w:r>
        <w:rPr>
          <w:rFonts w:eastAsia="仿宋_GB2312"/>
          <w:sz w:val="30"/>
          <w:szCs w:val="32"/>
        </w:rPr>
        <w:t>总监理工程师：</w:t>
      </w:r>
    </w:p>
    <w:p w14:paraId="4EB86F26">
      <w:pPr>
        <w:spacing w:line="360" w:lineRule="auto"/>
        <w:ind w:firstLine="600" w:firstLineChars="200"/>
        <w:rPr>
          <w:rFonts w:eastAsia="仿宋_GB2312"/>
          <w:sz w:val="30"/>
          <w:szCs w:val="32"/>
        </w:rPr>
      </w:pPr>
      <w:r>
        <w:rPr>
          <w:rFonts w:eastAsia="仿宋_GB2312"/>
          <w:sz w:val="30"/>
          <w:szCs w:val="32"/>
        </w:rPr>
        <w:t>姓    名：</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7612EFCB">
      <w:pPr>
        <w:spacing w:line="360" w:lineRule="auto"/>
        <w:ind w:firstLine="600" w:firstLineChars="200"/>
        <w:rPr>
          <w:rFonts w:eastAsia="仿宋_GB2312"/>
          <w:sz w:val="30"/>
          <w:szCs w:val="32"/>
        </w:rPr>
      </w:pPr>
      <w:r>
        <w:rPr>
          <w:rFonts w:eastAsia="仿宋_GB2312"/>
          <w:sz w:val="30"/>
          <w:szCs w:val="32"/>
        </w:rPr>
        <w:t>职    务：</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349E2455">
      <w:pPr>
        <w:spacing w:line="360" w:lineRule="auto"/>
        <w:ind w:firstLine="600" w:firstLineChars="200"/>
        <w:rPr>
          <w:rFonts w:eastAsia="仿宋_GB2312"/>
          <w:sz w:val="30"/>
          <w:szCs w:val="32"/>
        </w:rPr>
      </w:pPr>
      <w:r>
        <w:rPr>
          <w:rFonts w:eastAsia="仿宋_GB2312"/>
          <w:sz w:val="30"/>
          <w:szCs w:val="32"/>
        </w:rPr>
        <w:t>监理工程师注册证书号：</w:t>
      </w:r>
      <w:r>
        <w:rPr>
          <w:rFonts w:eastAsia="仿宋_GB2312"/>
          <w:sz w:val="30"/>
          <w:szCs w:val="32"/>
          <w:u w:val="single"/>
        </w:rPr>
        <w:t> </w:t>
      </w:r>
      <w:r>
        <w:rPr>
          <w:rFonts w:eastAsia="仿宋_GB2312"/>
          <w:sz w:val="30"/>
          <w:szCs w:val="32"/>
        </w:rPr>
        <w:t>；</w:t>
      </w:r>
    </w:p>
    <w:p w14:paraId="7D0E9BF3">
      <w:pPr>
        <w:spacing w:line="360" w:lineRule="auto"/>
        <w:ind w:firstLine="600" w:firstLineChars="200"/>
        <w:rPr>
          <w:rFonts w:eastAsia="仿宋_GB2312"/>
          <w:sz w:val="30"/>
          <w:szCs w:val="32"/>
        </w:rPr>
      </w:pPr>
      <w:r>
        <w:rPr>
          <w:rFonts w:eastAsia="仿宋_GB2312"/>
          <w:sz w:val="30"/>
          <w:szCs w:val="32"/>
        </w:rPr>
        <w:t>监理工程师执业印章号：</w:t>
      </w:r>
      <w:r>
        <w:rPr>
          <w:rFonts w:eastAsia="仿宋_GB2312"/>
          <w:sz w:val="30"/>
          <w:szCs w:val="32"/>
          <w:u w:val="single"/>
        </w:rPr>
        <w:t> </w:t>
      </w:r>
      <w:r>
        <w:rPr>
          <w:rFonts w:eastAsia="仿宋_GB2312"/>
          <w:sz w:val="30"/>
          <w:szCs w:val="32"/>
        </w:rPr>
        <w:t>；</w:t>
      </w:r>
    </w:p>
    <w:p w14:paraId="0B928E59">
      <w:pPr>
        <w:spacing w:line="360" w:lineRule="auto"/>
        <w:ind w:firstLine="600" w:firstLineChars="200"/>
        <w:rPr>
          <w:rFonts w:eastAsia="仿宋_GB2312"/>
          <w:sz w:val="30"/>
          <w:szCs w:val="32"/>
        </w:rPr>
      </w:pPr>
      <w:r>
        <w:rPr>
          <w:rFonts w:eastAsia="仿宋_GB2312"/>
          <w:sz w:val="30"/>
          <w:szCs w:val="32"/>
        </w:rPr>
        <w:t>联系电话：</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0AEACBC0">
      <w:pPr>
        <w:spacing w:line="360" w:lineRule="auto"/>
        <w:ind w:firstLine="600" w:firstLineChars="200"/>
        <w:rPr>
          <w:rFonts w:eastAsia="仿宋_GB2312"/>
          <w:sz w:val="30"/>
          <w:szCs w:val="32"/>
        </w:rPr>
      </w:pPr>
      <w:r>
        <w:rPr>
          <w:rFonts w:eastAsia="仿宋_GB2312"/>
          <w:sz w:val="30"/>
          <w:szCs w:val="32"/>
        </w:rPr>
        <w:t>电子信箱：</w:t>
      </w:r>
      <w:r>
        <w:rPr>
          <w:rFonts w:eastAsia="仿宋_GB2312"/>
          <w:sz w:val="30"/>
          <w:szCs w:val="32"/>
          <w:u w:val="single"/>
        </w:rPr>
        <w:t>  </w:t>
      </w:r>
      <w:r>
        <w:rPr>
          <w:rFonts w:hint="eastAsia" w:eastAsia="仿宋_GB2312"/>
          <w:sz w:val="30"/>
          <w:szCs w:val="32"/>
          <w:u w:val="single"/>
        </w:rPr>
        <w:t xml:space="preserve">          </w:t>
      </w:r>
      <w:r>
        <w:rPr>
          <w:rFonts w:eastAsia="仿宋_GB2312"/>
          <w:sz w:val="30"/>
          <w:szCs w:val="32"/>
          <w:u w:val="single"/>
        </w:rPr>
        <w:t> </w:t>
      </w:r>
      <w:r>
        <w:rPr>
          <w:rFonts w:eastAsia="仿宋_GB2312"/>
          <w:sz w:val="30"/>
          <w:szCs w:val="32"/>
        </w:rPr>
        <w:t>；</w:t>
      </w:r>
    </w:p>
    <w:p w14:paraId="0607C02A">
      <w:pPr>
        <w:spacing w:line="360" w:lineRule="auto"/>
        <w:ind w:firstLine="600" w:firstLineChars="200"/>
        <w:rPr>
          <w:rFonts w:eastAsia="仿宋_GB2312"/>
          <w:sz w:val="30"/>
          <w:szCs w:val="32"/>
        </w:rPr>
      </w:pPr>
      <w:r>
        <w:rPr>
          <w:rFonts w:eastAsia="仿宋_GB2312"/>
          <w:sz w:val="30"/>
          <w:szCs w:val="32"/>
        </w:rPr>
        <w:t>通信地址：</w:t>
      </w:r>
      <w:r>
        <w:rPr>
          <w:rFonts w:eastAsia="仿宋_GB2312"/>
          <w:sz w:val="30"/>
          <w:szCs w:val="32"/>
          <w:u w:val="single"/>
        </w:rPr>
        <w:t></w:t>
      </w:r>
      <w:r>
        <w:rPr>
          <w:rFonts w:hint="eastAsia" w:eastAsia="仿宋_GB2312"/>
          <w:sz w:val="30"/>
          <w:szCs w:val="32"/>
          <w:u w:val="single"/>
        </w:rPr>
        <w:t xml:space="preserve">          </w:t>
      </w:r>
      <w:r>
        <w:rPr>
          <w:rFonts w:eastAsia="仿宋_GB2312"/>
          <w:sz w:val="30"/>
          <w:szCs w:val="32"/>
          <w:u w:val="single"/>
        </w:rPr>
        <w:t xml:space="preserve">   </w:t>
      </w:r>
      <w:r>
        <w:rPr>
          <w:rFonts w:eastAsia="仿宋_GB2312"/>
          <w:sz w:val="30"/>
          <w:szCs w:val="32"/>
        </w:rPr>
        <w:t>；</w:t>
      </w:r>
    </w:p>
    <w:p w14:paraId="64DF4C8D">
      <w:pPr>
        <w:spacing w:line="360" w:lineRule="auto"/>
        <w:ind w:firstLine="600" w:firstLineChars="200"/>
        <w:rPr>
          <w:rFonts w:eastAsia="仿宋_GB2312"/>
          <w:sz w:val="30"/>
          <w:szCs w:val="32"/>
        </w:rPr>
      </w:pPr>
      <w:r>
        <w:rPr>
          <w:rFonts w:eastAsia="仿宋_GB2312"/>
          <w:sz w:val="30"/>
          <w:szCs w:val="32"/>
        </w:rPr>
        <w:t>关于监理人的其他约定：</w:t>
      </w:r>
      <w:r>
        <w:rPr>
          <w:rFonts w:hint="eastAsia" w:eastAsia="仿宋_GB2312"/>
          <w:sz w:val="30"/>
          <w:szCs w:val="32"/>
          <w:u w:val="single"/>
        </w:rPr>
        <w:t>任何签证（包括但不限于对工程量的确认、对材料价格的确认及对工程价款的确认），需经发包人书面同意后监理人方可签字确认；未经发包人书面认可，监理人擅自签字确认视为无效，由此给发包人造成的全部损失由监理人承担全部责任</w:t>
      </w:r>
      <w:r>
        <w:rPr>
          <w:rFonts w:hint="eastAsia" w:eastAsia="仿宋_GB2312"/>
          <w:sz w:val="30"/>
          <w:szCs w:val="32"/>
        </w:rPr>
        <w:t>。</w:t>
      </w:r>
    </w:p>
    <w:p w14:paraId="24C12D54">
      <w:pPr>
        <w:spacing w:after="120" w:line="360" w:lineRule="auto"/>
        <w:ind w:firstLine="600" w:firstLineChars="200"/>
        <w:rPr>
          <w:rFonts w:eastAsia="黑体"/>
          <w:sz w:val="30"/>
          <w:szCs w:val="32"/>
        </w:rPr>
      </w:pPr>
      <w:r>
        <w:rPr>
          <w:rFonts w:eastAsia="黑体"/>
          <w:sz w:val="30"/>
          <w:szCs w:val="32"/>
        </w:rPr>
        <w:t>4.4商定或确定</w:t>
      </w:r>
    </w:p>
    <w:p w14:paraId="3DDEB14A">
      <w:pPr>
        <w:spacing w:line="360" w:lineRule="auto"/>
        <w:ind w:firstLine="600" w:firstLineChars="200"/>
        <w:rPr>
          <w:rFonts w:eastAsia="仿宋_GB2312"/>
          <w:sz w:val="30"/>
          <w:szCs w:val="32"/>
        </w:rPr>
      </w:pPr>
      <w:bookmarkStart w:id="785" w:name="_Toc267251418"/>
      <w:r>
        <w:rPr>
          <w:rFonts w:eastAsia="仿宋_GB2312"/>
          <w:sz w:val="30"/>
          <w:szCs w:val="32"/>
        </w:rPr>
        <w:t>在发包人和承包人不能通过协商达成一致意见时，发包人授权监理人对以下事项进行确定：</w:t>
      </w:r>
    </w:p>
    <w:p w14:paraId="405D773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69E7AE1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463190E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5277C1AA">
      <w:pPr>
        <w:pStyle w:val="8"/>
        <w:spacing w:before="120" w:after="120" w:line="360" w:lineRule="auto"/>
        <w:rPr>
          <w:rFonts w:ascii="Times New Roman" w:hAnsi="Times New Roman" w:eastAsia="黑体"/>
          <w:b w:val="0"/>
          <w:sz w:val="32"/>
          <w:szCs w:val="32"/>
        </w:rPr>
      </w:pPr>
      <w:bookmarkStart w:id="786" w:name="_Toc351203637"/>
      <w:r>
        <w:rPr>
          <w:rFonts w:ascii="Times New Roman" w:hAnsi="Times New Roman" w:eastAsia="黑体"/>
          <w:b w:val="0"/>
          <w:sz w:val="32"/>
          <w:szCs w:val="32"/>
        </w:rPr>
        <w:t>5</w:t>
      </w:r>
      <w:bookmarkEnd w:id="785"/>
      <w:bookmarkStart w:id="787" w:name="_Toc296503163"/>
      <w:bookmarkStart w:id="788" w:name="_Toc297048349"/>
      <w:bookmarkStart w:id="789" w:name="_Toc297120463"/>
      <w:bookmarkStart w:id="790" w:name="_Toc292559872"/>
      <w:bookmarkStart w:id="791" w:name="_Toc292559367"/>
      <w:bookmarkStart w:id="792" w:name="_Toc296890991"/>
      <w:bookmarkStart w:id="793" w:name="_Toc296944502"/>
      <w:bookmarkStart w:id="794" w:name="_Toc296347162"/>
      <w:bookmarkStart w:id="795" w:name="_Toc296346664"/>
      <w:bookmarkStart w:id="796" w:name="_Toc296891203"/>
      <w:r>
        <w:rPr>
          <w:rFonts w:ascii="Times New Roman" w:hAnsi="Times New Roman" w:eastAsia="黑体"/>
          <w:b w:val="0"/>
          <w:sz w:val="32"/>
          <w:szCs w:val="32"/>
        </w:rPr>
        <w:t>.工程质量</w:t>
      </w:r>
      <w:bookmarkEnd w:id="786"/>
    </w:p>
    <w:p w14:paraId="5BD18951">
      <w:pPr>
        <w:spacing w:after="120" w:line="360" w:lineRule="auto"/>
        <w:ind w:firstLine="600" w:firstLineChars="200"/>
        <w:outlineLvl w:val="0"/>
        <w:rPr>
          <w:rFonts w:eastAsia="黑体"/>
          <w:sz w:val="30"/>
          <w:szCs w:val="32"/>
        </w:rPr>
      </w:pPr>
      <w:bookmarkStart w:id="797" w:name="_Toc13350"/>
      <w:bookmarkStart w:id="798" w:name="_Toc11749"/>
      <w:bookmarkStart w:id="799" w:name="_Toc29661"/>
      <w:bookmarkStart w:id="800" w:name="_Toc32216"/>
      <w:bookmarkStart w:id="801" w:name="_Toc8221"/>
      <w:r>
        <w:rPr>
          <w:rFonts w:eastAsia="黑体"/>
          <w:sz w:val="30"/>
          <w:szCs w:val="32"/>
        </w:rPr>
        <w:t>5.1质量要求</w:t>
      </w:r>
      <w:bookmarkEnd w:id="797"/>
      <w:bookmarkEnd w:id="798"/>
      <w:bookmarkEnd w:id="799"/>
      <w:bookmarkEnd w:id="800"/>
      <w:bookmarkEnd w:id="801"/>
    </w:p>
    <w:p w14:paraId="51508DAC">
      <w:pPr>
        <w:spacing w:line="360" w:lineRule="auto"/>
        <w:ind w:firstLine="600" w:firstLineChars="200"/>
        <w:jc w:val="left"/>
        <w:rPr>
          <w:rFonts w:eastAsia="仿宋_GB2312"/>
          <w:sz w:val="30"/>
          <w:szCs w:val="32"/>
        </w:rPr>
      </w:pPr>
      <w:r>
        <w:rPr>
          <w:rFonts w:eastAsia="仿宋_GB2312"/>
          <w:sz w:val="30"/>
          <w:szCs w:val="32"/>
        </w:rPr>
        <w:t>5.1.</w:t>
      </w:r>
      <w:r>
        <w:rPr>
          <w:rFonts w:hint="eastAsia" w:eastAsia="仿宋_GB2312"/>
          <w:sz w:val="30"/>
          <w:szCs w:val="32"/>
        </w:rPr>
        <w:t>1</w:t>
      </w:r>
      <w:r>
        <w:rPr>
          <w:rFonts w:eastAsia="仿宋_GB2312"/>
          <w:sz w:val="30"/>
          <w:szCs w:val="32"/>
        </w:rPr>
        <w:t>特殊质量标准和要求：</w:t>
      </w:r>
      <w:r>
        <w:rPr>
          <w:rFonts w:eastAsia="仿宋_GB2312"/>
          <w:sz w:val="30"/>
          <w:szCs w:val="32"/>
          <w:u w:val="single"/>
        </w:rPr>
        <w:t xml:space="preserve"> </w:t>
      </w:r>
      <w:r>
        <w:rPr>
          <w:rFonts w:hint="eastAsia" w:eastAsia="仿宋_GB2312"/>
          <w:kern w:val="0"/>
          <w:sz w:val="30"/>
          <w:szCs w:val="32"/>
          <w:u w:val="single"/>
        </w:rPr>
        <w:t>对于设计图纸技术标准高于国家、行业相关标准或验收规范等标准的，应严格按照设计标准施工，施工方案及费用已充分考虑</w:t>
      </w:r>
      <w:r>
        <w:rPr>
          <w:rFonts w:eastAsia="仿宋_GB2312"/>
          <w:sz w:val="30"/>
          <w:szCs w:val="32"/>
          <w:u w:val="single"/>
        </w:rPr>
        <w:t xml:space="preserve"> </w:t>
      </w:r>
      <w:r>
        <w:rPr>
          <w:rFonts w:eastAsia="仿宋_GB2312"/>
          <w:sz w:val="30"/>
          <w:szCs w:val="32"/>
        </w:rPr>
        <w:t>。</w:t>
      </w:r>
    </w:p>
    <w:p w14:paraId="3FFEBA3F">
      <w:pPr>
        <w:spacing w:line="360" w:lineRule="auto"/>
        <w:ind w:firstLine="600" w:firstLineChars="200"/>
        <w:jc w:val="left"/>
        <w:rPr>
          <w:rFonts w:eastAsia="仿宋_GB2312"/>
          <w:sz w:val="30"/>
          <w:szCs w:val="32"/>
          <w:u w:val="single"/>
        </w:rPr>
      </w:pPr>
      <w:r>
        <w:rPr>
          <w:rFonts w:eastAsia="仿宋_GB2312"/>
          <w:kern w:val="0"/>
          <w:sz w:val="30"/>
          <w:szCs w:val="32"/>
        </w:rPr>
        <w:t>5.1.</w:t>
      </w:r>
      <w:r>
        <w:rPr>
          <w:rFonts w:hint="eastAsia" w:eastAsia="仿宋_GB2312"/>
          <w:kern w:val="0"/>
          <w:sz w:val="30"/>
          <w:szCs w:val="32"/>
        </w:rPr>
        <w:t>4工程质量创建目标约定</w:t>
      </w:r>
      <w:r>
        <w:rPr>
          <w:rFonts w:eastAsia="仿宋_GB2312"/>
          <w:sz w:val="30"/>
          <w:szCs w:val="32"/>
        </w:rPr>
        <w:t>：</w:t>
      </w:r>
      <w:r>
        <w:rPr>
          <w:rFonts w:eastAsia="仿宋_GB2312"/>
          <w:sz w:val="30"/>
          <w:szCs w:val="32"/>
          <w:u w:val="single"/>
        </w:rPr>
        <w:t xml:space="preserve"> </w:t>
      </w:r>
      <w:r>
        <w:rPr>
          <w:rFonts w:hint="eastAsia" w:eastAsia="仿宋_GB2312"/>
          <w:sz w:val="30"/>
          <w:szCs w:val="32"/>
          <w:u w:val="single"/>
        </w:rPr>
        <w:t>合格</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p>
    <w:p w14:paraId="51A63E4D">
      <w:pPr>
        <w:spacing w:line="360" w:lineRule="auto"/>
        <w:jc w:val="left"/>
        <w:rPr>
          <w:rFonts w:eastAsia="仿宋_GB2312"/>
          <w:sz w:val="30"/>
          <w:szCs w:val="32"/>
        </w:rPr>
      </w:pP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4736DCC7">
      <w:pPr>
        <w:spacing w:line="360" w:lineRule="auto"/>
        <w:ind w:firstLine="600" w:firstLineChars="200"/>
        <w:jc w:val="left"/>
        <w:rPr>
          <w:rFonts w:eastAsia="仿宋_GB2312"/>
          <w:sz w:val="30"/>
          <w:szCs w:val="32"/>
          <w:u w:val="single"/>
        </w:rPr>
      </w:pPr>
      <w:r>
        <w:rPr>
          <w:rFonts w:hint="eastAsia" w:eastAsia="仿宋_GB2312"/>
          <w:kern w:val="0"/>
          <w:sz w:val="30"/>
          <w:szCs w:val="32"/>
        </w:rPr>
        <w:t>超出质量创建目标的奖励</w:t>
      </w:r>
      <w:r>
        <w:rPr>
          <w:rFonts w:eastAsia="仿宋_GB2312"/>
          <w:sz w:val="30"/>
          <w:szCs w:val="32"/>
        </w:rPr>
        <w:t>：</w:t>
      </w:r>
      <w:r>
        <w:rPr>
          <w:rFonts w:eastAsia="仿宋_GB2312"/>
          <w:sz w:val="30"/>
          <w:szCs w:val="32"/>
          <w:u w:val="single"/>
        </w:rPr>
        <w:t xml:space="preserve">  </w:t>
      </w:r>
      <w:r>
        <w:rPr>
          <w:rFonts w:hint="eastAsia" w:ascii="Arial" w:hAnsi="Arial" w:eastAsia="仿宋_GB2312" w:cs="Arial"/>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p>
    <w:p w14:paraId="169F54BB">
      <w:pPr>
        <w:spacing w:line="360" w:lineRule="auto"/>
        <w:jc w:val="left"/>
        <w:rPr>
          <w:rFonts w:eastAsia="黑体"/>
          <w:sz w:val="30"/>
          <w:szCs w:val="32"/>
        </w:rPr>
      </w:pP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725B960F">
      <w:pPr>
        <w:spacing w:line="360" w:lineRule="auto"/>
        <w:ind w:firstLine="600" w:firstLineChars="200"/>
        <w:jc w:val="left"/>
        <w:rPr>
          <w:rFonts w:eastAsia="仿宋_GB2312"/>
          <w:sz w:val="30"/>
          <w:szCs w:val="32"/>
          <w:u w:val="single"/>
        </w:rPr>
      </w:pPr>
      <w:r>
        <w:rPr>
          <w:rFonts w:hint="eastAsia" w:eastAsia="仿宋_GB2312"/>
          <w:kern w:val="0"/>
          <w:sz w:val="30"/>
          <w:szCs w:val="32"/>
        </w:rPr>
        <w:t>其他奖惩约定</w:t>
      </w:r>
      <w:r>
        <w:rPr>
          <w:rFonts w:eastAsia="仿宋_GB2312"/>
          <w:kern w:val="0"/>
          <w:sz w:val="30"/>
          <w:szCs w:val="32"/>
        </w:rPr>
        <w:t>：</w:t>
      </w:r>
      <w:r>
        <w:rPr>
          <w:rFonts w:eastAsia="仿宋_GB2312"/>
          <w:sz w:val="30"/>
          <w:szCs w:val="32"/>
          <w:u w:val="single"/>
        </w:rPr>
        <w:t xml:space="preserve"> </w:t>
      </w:r>
      <w:r>
        <w:rPr>
          <w:rFonts w:hint="eastAsia" w:ascii="Arial" w:hAnsi="Arial" w:eastAsia="仿宋_GB2312" w:cs="Arial"/>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p>
    <w:p w14:paraId="041143B4">
      <w:pPr>
        <w:spacing w:line="360" w:lineRule="auto"/>
        <w:jc w:val="left"/>
        <w:rPr>
          <w:rFonts w:eastAsia="仿宋_GB2312"/>
          <w:sz w:val="30"/>
          <w:szCs w:val="32"/>
        </w:rPr>
      </w:pP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61E5095D">
      <w:pPr>
        <w:spacing w:after="120" w:line="360" w:lineRule="auto"/>
        <w:ind w:firstLine="600" w:firstLineChars="200"/>
        <w:outlineLvl w:val="0"/>
        <w:rPr>
          <w:rFonts w:eastAsia="黑体"/>
          <w:sz w:val="30"/>
          <w:szCs w:val="32"/>
        </w:rPr>
      </w:pPr>
      <w:bookmarkStart w:id="802" w:name="_Toc18414"/>
      <w:bookmarkStart w:id="803" w:name="_Toc27057"/>
      <w:bookmarkStart w:id="804" w:name="_Toc6005"/>
      <w:bookmarkStart w:id="805" w:name="_Toc31925"/>
      <w:bookmarkStart w:id="806" w:name="_Toc17495"/>
      <w:bookmarkStart w:id="807" w:name="_Toc297216155"/>
      <w:bookmarkStart w:id="808" w:name="_Toc300934949"/>
      <w:bookmarkStart w:id="809" w:name="_Toc304295527"/>
      <w:bookmarkStart w:id="810" w:name="_Toc303539106"/>
      <w:bookmarkStart w:id="811" w:name="_Toc312677997"/>
      <w:bookmarkStart w:id="812" w:name="_Toc297123496"/>
      <w:bookmarkStart w:id="813" w:name="_Toc318581164"/>
      <w:r>
        <w:rPr>
          <w:rFonts w:eastAsia="黑体"/>
          <w:sz w:val="30"/>
          <w:szCs w:val="32"/>
        </w:rPr>
        <w:t>5.3隐蔽工程检查</w:t>
      </w:r>
      <w:bookmarkEnd w:id="802"/>
      <w:bookmarkEnd w:id="803"/>
      <w:bookmarkEnd w:id="804"/>
      <w:bookmarkEnd w:id="805"/>
      <w:bookmarkEnd w:id="806"/>
    </w:p>
    <w:p w14:paraId="659856A8">
      <w:pPr>
        <w:spacing w:line="360" w:lineRule="auto"/>
        <w:ind w:firstLine="600" w:firstLineChars="200"/>
        <w:jc w:val="left"/>
        <w:rPr>
          <w:rFonts w:eastAsia="仿宋_GB2312"/>
          <w:sz w:val="30"/>
          <w:szCs w:val="32"/>
        </w:rPr>
      </w:pPr>
      <w:r>
        <w:rPr>
          <w:rFonts w:eastAsia="仿宋_GB2312"/>
          <w:sz w:val="30"/>
          <w:szCs w:val="32"/>
        </w:rPr>
        <w:t>5.3.2</w:t>
      </w:r>
      <w:r>
        <w:rPr>
          <w:rFonts w:hint="eastAsia" w:eastAsia="仿宋_GB2312"/>
          <w:sz w:val="30"/>
          <w:szCs w:val="32"/>
        </w:rPr>
        <w:t>承包人提前通知监理人隐蔽工程检查的期限的约定：</w:t>
      </w:r>
      <w:r>
        <w:rPr>
          <w:rFonts w:eastAsia="仿宋_GB2312"/>
          <w:sz w:val="30"/>
          <w:szCs w:val="32"/>
          <w:u w:val="single"/>
        </w:rPr>
        <w:t xml:space="preserve"> </w:t>
      </w:r>
      <w:r>
        <w:rPr>
          <w:rFonts w:hint="eastAsia" w:eastAsia="仿宋_GB2312"/>
          <w:kern w:val="0"/>
          <w:sz w:val="30"/>
          <w:szCs w:val="32"/>
          <w:u w:val="single"/>
        </w:rPr>
        <w:t>在共同检查前</w:t>
      </w:r>
      <w:r>
        <w:rPr>
          <w:rFonts w:eastAsia="仿宋_GB2312"/>
          <w:kern w:val="0"/>
          <w:sz w:val="30"/>
          <w:szCs w:val="32"/>
          <w:u w:val="single"/>
        </w:rPr>
        <w:t>48</w:t>
      </w:r>
      <w:r>
        <w:rPr>
          <w:rFonts w:hint="eastAsia" w:eastAsia="仿宋_GB2312"/>
          <w:kern w:val="0"/>
          <w:sz w:val="30"/>
          <w:szCs w:val="32"/>
          <w:u w:val="single"/>
        </w:rPr>
        <w:t>小时书面通知监理人</w:t>
      </w:r>
      <w:r>
        <w:rPr>
          <w:rFonts w:hint="eastAsia" w:eastAsia="仿宋_GB2312"/>
          <w:sz w:val="30"/>
          <w:szCs w:val="32"/>
        </w:rPr>
        <w:t>。</w:t>
      </w:r>
    </w:p>
    <w:p w14:paraId="3CA05E1D">
      <w:pPr>
        <w:spacing w:line="360" w:lineRule="auto"/>
        <w:ind w:firstLine="600" w:firstLineChars="200"/>
        <w:jc w:val="left"/>
        <w:rPr>
          <w:rFonts w:eastAsia="仿宋_GB2312"/>
          <w:sz w:val="30"/>
          <w:szCs w:val="32"/>
        </w:rPr>
      </w:pPr>
      <w:r>
        <w:rPr>
          <w:rFonts w:hint="eastAsia" w:eastAsia="仿宋_GB2312"/>
          <w:sz w:val="30"/>
          <w:szCs w:val="32"/>
        </w:rPr>
        <w:t>监理人不能按时进行检查时，应提前</w:t>
      </w:r>
      <w:r>
        <w:rPr>
          <w:rFonts w:eastAsia="仿宋_GB2312"/>
          <w:sz w:val="30"/>
          <w:szCs w:val="32"/>
          <w:u w:val="single"/>
        </w:rPr>
        <w:t xml:space="preserve">  24  </w:t>
      </w:r>
      <w:r>
        <w:rPr>
          <w:rFonts w:hint="eastAsia" w:eastAsia="仿宋_GB2312"/>
          <w:sz w:val="30"/>
          <w:szCs w:val="32"/>
        </w:rPr>
        <w:t>小时提交书面延期要求。</w:t>
      </w:r>
    </w:p>
    <w:p w14:paraId="35D97664">
      <w:pPr>
        <w:spacing w:line="360" w:lineRule="auto"/>
        <w:ind w:firstLine="600" w:firstLineChars="200"/>
        <w:jc w:val="left"/>
        <w:rPr>
          <w:rFonts w:eastAsia="仿宋_GB2312"/>
          <w:sz w:val="30"/>
          <w:szCs w:val="32"/>
        </w:rPr>
      </w:pPr>
      <w:r>
        <w:rPr>
          <w:rFonts w:hint="eastAsia" w:eastAsia="仿宋_GB2312"/>
          <w:sz w:val="30"/>
          <w:szCs w:val="32"/>
        </w:rPr>
        <w:t>关于延期最长不得超过：</w:t>
      </w:r>
      <w:r>
        <w:rPr>
          <w:rFonts w:eastAsia="仿宋_GB2312"/>
          <w:sz w:val="30"/>
          <w:szCs w:val="32"/>
          <w:u w:val="single"/>
        </w:rPr>
        <w:t xml:space="preserve">  48  </w:t>
      </w:r>
      <w:r>
        <w:rPr>
          <w:rFonts w:hint="eastAsia" w:eastAsia="仿宋_GB2312"/>
          <w:sz w:val="30"/>
          <w:szCs w:val="32"/>
        </w:rPr>
        <w:t>小时。</w:t>
      </w:r>
    </w:p>
    <w:p w14:paraId="2D492DE1">
      <w:pPr>
        <w:pStyle w:val="8"/>
        <w:spacing w:before="120" w:after="120" w:line="360" w:lineRule="auto"/>
        <w:rPr>
          <w:rFonts w:ascii="Times New Roman" w:hAnsi="Times New Roman" w:eastAsia="黑体"/>
          <w:b w:val="0"/>
          <w:sz w:val="32"/>
          <w:szCs w:val="32"/>
        </w:rPr>
      </w:pPr>
      <w:bookmarkStart w:id="814" w:name="_Toc351203638"/>
      <w:r>
        <w:rPr>
          <w:rFonts w:ascii="Times New Roman" w:hAnsi="Times New Roman" w:eastAsia="黑体"/>
          <w:b w:val="0"/>
          <w:sz w:val="32"/>
          <w:szCs w:val="32"/>
        </w:rPr>
        <w:t>6.安全文明施工与环境保护</w:t>
      </w:r>
      <w:bookmarkEnd w:id="814"/>
    </w:p>
    <w:p w14:paraId="7A982E6F">
      <w:pPr>
        <w:spacing w:after="120" w:line="360" w:lineRule="auto"/>
        <w:ind w:firstLine="600" w:firstLineChars="200"/>
        <w:rPr>
          <w:rFonts w:eastAsia="黑体"/>
          <w:sz w:val="30"/>
          <w:szCs w:val="32"/>
        </w:rPr>
      </w:pPr>
      <w:r>
        <w:rPr>
          <w:rFonts w:eastAsia="黑体"/>
          <w:sz w:val="30"/>
          <w:szCs w:val="32"/>
        </w:rPr>
        <w:t>6.1安全文明施工</w:t>
      </w:r>
    </w:p>
    <w:p w14:paraId="51B669B5">
      <w:pPr>
        <w:ind w:firstLine="600" w:firstLineChars="200"/>
        <w:rPr>
          <w:rFonts w:hint="eastAsia" w:ascii="仿宋" w:hAnsi="仿宋" w:eastAsia="仿宋" w:cs="仿宋"/>
          <w:sz w:val="30"/>
          <w:szCs w:val="32"/>
          <w:u w:val="single"/>
        </w:rPr>
      </w:pPr>
      <w:r>
        <w:rPr>
          <w:rFonts w:eastAsia="仿宋_GB2312"/>
          <w:sz w:val="30"/>
          <w:szCs w:val="32"/>
        </w:rPr>
        <w:t xml:space="preserve">6.1.1 </w:t>
      </w:r>
      <w:r>
        <w:rPr>
          <w:rFonts w:hint="eastAsia" w:eastAsia="仿宋_GB2312"/>
          <w:sz w:val="30"/>
          <w:szCs w:val="32"/>
        </w:rPr>
        <w:t>项目安全生产的达标目标及相应事项的约定</w:t>
      </w:r>
      <w:r>
        <w:rPr>
          <w:rFonts w:hint="eastAsia" w:eastAsia="仿宋_GB2312"/>
          <w:sz w:val="30"/>
          <w:szCs w:val="32"/>
          <w:u w:val="single"/>
        </w:rPr>
        <w:t>：</w:t>
      </w:r>
      <w:r>
        <w:rPr>
          <w:rFonts w:eastAsia="仿宋_GB2312"/>
          <w:sz w:val="30"/>
          <w:szCs w:val="32"/>
          <w:u w:val="single"/>
        </w:rPr>
        <w:t>应当遵守国家和工程所在地有关安全生产的要求</w:t>
      </w:r>
      <w:r>
        <w:rPr>
          <w:rFonts w:hint="eastAsia" w:eastAsia="仿宋_GB2312"/>
          <w:sz w:val="30"/>
          <w:szCs w:val="32"/>
          <w:u w:val="single"/>
        </w:rPr>
        <w:t>，同时遵守发包人厂区园区的一切安全生产管理规定，执行附件13《施工现场管理协议》、附件</w:t>
      </w:r>
      <w:r>
        <w:rPr>
          <w:rFonts w:eastAsia="仿宋_GB2312"/>
          <w:sz w:val="30"/>
          <w:szCs w:val="32"/>
          <w:u w:val="single"/>
        </w:rPr>
        <w:t>1</w:t>
      </w:r>
      <w:r>
        <w:rPr>
          <w:rFonts w:hint="eastAsia" w:eastAsia="仿宋_GB2312"/>
          <w:sz w:val="30"/>
          <w:szCs w:val="32"/>
          <w:u w:val="single"/>
        </w:rPr>
        <w:t>7《相关方安全协议》。</w:t>
      </w:r>
      <w:r>
        <w:rPr>
          <w:rFonts w:hint="eastAsia" w:ascii="仿宋" w:hAnsi="仿宋" w:eastAsia="仿宋" w:cs="仿宋"/>
          <w:sz w:val="30"/>
          <w:szCs w:val="32"/>
          <w:u w:val="single"/>
        </w:rPr>
        <w:t>承包人负责本工程施工作业区、料场、办公区、生活区的安全生产、环境保护、治安、消防管理工作，对本工程安全生产、文明施工工作承担全部责任。承包人须确保因工重伤、死亡事故为零，若发生重伤、死亡事故，除承担一切责任外须承担违约金</w:t>
      </w:r>
      <w:r>
        <w:rPr>
          <w:rFonts w:ascii="仿宋" w:hAnsi="仿宋" w:eastAsia="仿宋" w:cs="仿宋"/>
          <w:sz w:val="30"/>
          <w:szCs w:val="32"/>
          <w:u w:val="single"/>
        </w:rPr>
        <w:t xml:space="preserve">100000元/人次  </w:t>
      </w:r>
      <w:r>
        <w:rPr>
          <w:rFonts w:hint="eastAsia" w:ascii="仿宋" w:hAnsi="仿宋" w:eastAsia="仿宋" w:cs="仿宋"/>
          <w:sz w:val="30"/>
          <w:szCs w:val="32"/>
          <w:u w:val="single"/>
        </w:rPr>
        <w:t>。</w:t>
      </w:r>
    </w:p>
    <w:p w14:paraId="3E310A7A">
      <w:pPr>
        <w:spacing w:line="360" w:lineRule="auto"/>
        <w:ind w:firstLine="600" w:firstLineChars="200"/>
        <w:jc w:val="left"/>
        <w:rPr>
          <w:rFonts w:eastAsia="仿宋_GB2312"/>
          <w:sz w:val="30"/>
          <w:szCs w:val="32"/>
        </w:rPr>
      </w:pPr>
      <w:r>
        <w:rPr>
          <w:rFonts w:eastAsia="仿宋_GB2312"/>
          <w:sz w:val="30"/>
          <w:szCs w:val="32"/>
        </w:rPr>
        <w:t xml:space="preserve">6.1.4 </w:t>
      </w:r>
      <w:r>
        <w:rPr>
          <w:rFonts w:hint="eastAsia" w:eastAsia="仿宋_GB2312"/>
          <w:sz w:val="30"/>
          <w:szCs w:val="32"/>
        </w:rPr>
        <w:t>关于治安保卫的特别约定：</w:t>
      </w:r>
      <w:r>
        <w:rPr>
          <w:rFonts w:eastAsia="仿宋_GB2312"/>
          <w:sz w:val="30"/>
          <w:szCs w:val="32"/>
          <w:u w:val="single"/>
        </w:rPr>
        <w:t xml:space="preserve">   </w:t>
      </w:r>
      <w:r>
        <w:rPr>
          <w:rFonts w:hint="eastAsia" w:ascii="仿宋" w:hAnsi="仿宋" w:eastAsia="仿宋" w:cs="仿宋"/>
          <w:sz w:val="30"/>
          <w:szCs w:val="32"/>
          <w:u w:val="single"/>
        </w:rPr>
        <w:t>承包人应为现场保卫提供足够的保安人员及相应设施</w:t>
      </w:r>
      <w:r>
        <w:rPr>
          <w:rFonts w:eastAsia="仿宋_GB2312"/>
          <w:sz w:val="30"/>
          <w:szCs w:val="32"/>
          <w:u w:val="single"/>
        </w:rPr>
        <w:t xml:space="preserve">     </w:t>
      </w:r>
      <w:r>
        <w:rPr>
          <w:rFonts w:hint="eastAsia" w:eastAsia="仿宋_GB2312"/>
          <w:sz w:val="30"/>
          <w:szCs w:val="32"/>
        </w:rPr>
        <w:t>。</w:t>
      </w:r>
    </w:p>
    <w:p w14:paraId="6F87C946">
      <w:pPr>
        <w:spacing w:line="360" w:lineRule="auto"/>
        <w:ind w:firstLine="600" w:firstLineChars="200"/>
        <w:jc w:val="left"/>
        <w:rPr>
          <w:rFonts w:eastAsia="仿宋_GB2312"/>
          <w:sz w:val="30"/>
          <w:szCs w:val="32"/>
        </w:rPr>
      </w:pPr>
      <w:r>
        <w:rPr>
          <w:rFonts w:hint="eastAsia" w:eastAsia="仿宋_GB2312"/>
          <w:sz w:val="30"/>
          <w:szCs w:val="32"/>
        </w:rPr>
        <w:t>关于编制施工场地治安管理计划的约定：</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rPr>
        <w:t>。</w:t>
      </w:r>
    </w:p>
    <w:p w14:paraId="7174A436">
      <w:pPr>
        <w:spacing w:line="360" w:lineRule="auto"/>
        <w:ind w:firstLine="600" w:firstLineChars="200"/>
        <w:jc w:val="left"/>
        <w:rPr>
          <w:rFonts w:eastAsia="仿宋_GB2312"/>
          <w:sz w:val="30"/>
          <w:szCs w:val="32"/>
        </w:rPr>
      </w:pPr>
      <w:r>
        <w:rPr>
          <w:rFonts w:eastAsia="仿宋_GB2312"/>
          <w:sz w:val="30"/>
          <w:szCs w:val="32"/>
        </w:rPr>
        <w:t xml:space="preserve">6.1.5 </w:t>
      </w:r>
      <w:r>
        <w:rPr>
          <w:rFonts w:hint="eastAsia" w:eastAsia="仿宋_GB2312"/>
          <w:sz w:val="30"/>
          <w:szCs w:val="32"/>
        </w:rPr>
        <w:t>文明施工</w:t>
      </w:r>
    </w:p>
    <w:p w14:paraId="0C206362">
      <w:pPr>
        <w:spacing w:line="360" w:lineRule="auto"/>
        <w:ind w:firstLine="600" w:firstLineChars="200"/>
        <w:jc w:val="left"/>
        <w:rPr>
          <w:rFonts w:eastAsia="仿宋_GB2312"/>
          <w:sz w:val="30"/>
          <w:szCs w:val="32"/>
        </w:rPr>
      </w:pPr>
      <w:r>
        <w:rPr>
          <w:rFonts w:hint="eastAsia" w:eastAsia="仿宋_GB2312"/>
          <w:sz w:val="30"/>
          <w:szCs w:val="32"/>
        </w:rPr>
        <w:t>合同当事人对文明施工的要求：</w:t>
      </w:r>
      <w:r>
        <w:rPr>
          <w:rFonts w:eastAsia="仿宋_GB2312"/>
          <w:sz w:val="30"/>
          <w:szCs w:val="32"/>
          <w:u w:val="single"/>
        </w:rPr>
        <w:t xml:space="preserve"> </w:t>
      </w:r>
      <w:r>
        <w:rPr>
          <w:rFonts w:hint="eastAsia" w:eastAsia="仿宋_GB2312"/>
          <w:sz w:val="30"/>
          <w:szCs w:val="32"/>
          <w:u w:val="single"/>
        </w:rPr>
        <w:t>详见附件13《施工现场管理协议》、附件</w:t>
      </w:r>
      <w:r>
        <w:rPr>
          <w:rFonts w:eastAsia="仿宋_GB2312"/>
          <w:sz w:val="30"/>
          <w:szCs w:val="32"/>
          <w:u w:val="single"/>
        </w:rPr>
        <w:t>1</w:t>
      </w:r>
      <w:r>
        <w:rPr>
          <w:rFonts w:hint="eastAsia" w:eastAsia="仿宋_GB2312"/>
          <w:sz w:val="30"/>
          <w:szCs w:val="32"/>
          <w:u w:val="single"/>
        </w:rPr>
        <w:t>7《相关方安全协议》。在工程移交之前，承包人从施工现场清除承包人的全部工程设备、多余材料、垃圾和各种临时工程的费用已包含在合同签约价中，不另行计取</w:t>
      </w:r>
      <w:r>
        <w:rPr>
          <w:rFonts w:hint="eastAsia" w:eastAsia="仿宋_GB2312"/>
          <w:sz w:val="30"/>
          <w:szCs w:val="32"/>
        </w:rPr>
        <w:t>。</w:t>
      </w:r>
    </w:p>
    <w:p w14:paraId="3D8D9629">
      <w:pPr>
        <w:spacing w:line="360" w:lineRule="auto"/>
        <w:ind w:firstLine="600" w:firstLineChars="200"/>
        <w:jc w:val="left"/>
        <w:rPr>
          <w:rFonts w:eastAsia="仿宋_GB2312"/>
          <w:sz w:val="30"/>
          <w:szCs w:val="32"/>
          <w:u w:val="single"/>
        </w:rPr>
      </w:pPr>
      <w:r>
        <w:rPr>
          <w:rFonts w:eastAsia="仿宋_GB2312"/>
          <w:sz w:val="30"/>
          <w:szCs w:val="32"/>
        </w:rPr>
        <w:t xml:space="preserve">6.1.6 </w:t>
      </w:r>
      <w:r>
        <w:rPr>
          <w:rFonts w:hint="eastAsia" w:eastAsia="仿宋_GB2312"/>
          <w:sz w:val="30"/>
          <w:szCs w:val="32"/>
        </w:rPr>
        <w:t>关于安全文明施工费支付比例和支付期限的约定：</w:t>
      </w:r>
    </w:p>
    <w:p w14:paraId="1954BD09">
      <w:pPr>
        <w:spacing w:line="360" w:lineRule="auto"/>
        <w:jc w:val="left"/>
        <w:rPr>
          <w:rFonts w:eastAsia="仿宋_GB2312"/>
          <w:sz w:val="30"/>
          <w:szCs w:val="32"/>
          <w:u w:val="single"/>
        </w:rPr>
      </w:pPr>
      <w:r>
        <w:rPr>
          <w:rFonts w:hint="eastAsia" w:eastAsia="仿宋_GB2312"/>
          <w:sz w:val="30"/>
          <w:szCs w:val="32"/>
          <w:u w:val="single"/>
        </w:rPr>
        <w:t>支付比例：应依据项目属地政府有关规定，在合同第一次付款时一次性全额支付安全文明施工费。</w:t>
      </w:r>
    </w:p>
    <w:p w14:paraId="34BA98AB">
      <w:pPr>
        <w:spacing w:line="360" w:lineRule="auto"/>
        <w:jc w:val="left"/>
        <w:rPr>
          <w:rFonts w:eastAsia="仿宋_GB2312"/>
          <w:sz w:val="30"/>
          <w:szCs w:val="32"/>
          <w:u w:val="single"/>
        </w:rPr>
      </w:pPr>
      <w:r>
        <w:rPr>
          <w:rFonts w:hint="eastAsia" w:eastAsia="仿宋_GB2312"/>
          <w:sz w:val="30"/>
          <w:szCs w:val="32"/>
          <w:u w:val="single"/>
        </w:rPr>
        <w:t>付款形式：同工程进度款。</w:t>
      </w:r>
    </w:p>
    <w:p w14:paraId="263339E3">
      <w:pPr>
        <w:spacing w:line="360" w:lineRule="auto"/>
        <w:jc w:val="left"/>
        <w:rPr>
          <w:rFonts w:eastAsia="仿宋_GB2312"/>
          <w:sz w:val="30"/>
          <w:szCs w:val="32"/>
        </w:rPr>
      </w:pPr>
      <w:r>
        <w:rPr>
          <w:rFonts w:hint="eastAsia" w:ascii="仿宋" w:hAnsi="仿宋" w:eastAsia="仿宋"/>
          <w:sz w:val="30"/>
          <w:szCs w:val="30"/>
        </w:rPr>
        <w:t>支付期限：</w:t>
      </w:r>
      <w:r>
        <w:rPr>
          <w:rFonts w:hint="eastAsia" w:eastAsia="仿宋_GB2312"/>
          <w:sz w:val="30"/>
          <w:szCs w:val="32"/>
          <w:u w:val="single"/>
        </w:rPr>
        <w:t>在合同签订后</w:t>
      </w:r>
      <w:r>
        <w:rPr>
          <w:rFonts w:eastAsia="仿宋_GB2312"/>
          <w:sz w:val="30"/>
          <w:szCs w:val="32"/>
          <w:u w:val="single"/>
        </w:rPr>
        <w:t>45</w:t>
      </w:r>
      <w:r>
        <w:rPr>
          <w:rFonts w:hint="eastAsia" w:eastAsia="仿宋_GB2312"/>
          <w:sz w:val="30"/>
          <w:szCs w:val="32"/>
          <w:u w:val="single"/>
        </w:rPr>
        <w:t>天内</w:t>
      </w:r>
      <w:r>
        <w:rPr>
          <w:rFonts w:hint="eastAsia" w:ascii="仿宋" w:hAnsi="仿宋" w:eastAsia="仿宋"/>
          <w:sz w:val="30"/>
          <w:szCs w:val="30"/>
        </w:rPr>
        <w:t>。</w:t>
      </w:r>
    </w:p>
    <w:p w14:paraId="5C9150CE">
      <w:pPr>
        <w:spacing w:line="360" w:lineRule="auto"/>
        <w:ind w:firstLine="600" w:firstLineChars="200"/>
        <w:jc w:val="left"/>
        <w:rPr>
          <w:rFonts w:eastAsia="仿宋_GB2312"/>
          <w:sz w:val="30"/>
          <w:szCs w:val="32"/>
        </w:rPr>
      </w:pPr>
      <w:r>
        <w:rPr>
          <w:rFonts w:hint="eastAsia" w:eastAsia="仿宋_GB2312"/>
          <w:kern w:val="0"/>
          <w:sz w:val="30"/>
          <w:szCs w:val="32"/>
        </w:rPr>
        <w:t>6.1.7安全文明施工创建目标约定</w:t>
      </w:r>
      <w:r>
        <w:rPr>
          <w:rFonts w:eastAsia="仿宋_GB2312"/>
          <w:sz w:val="30"/>
          <w:szCs w:val="32"/>
        </w:rPr>
        <w:t>：</w:t>
      </w:r>
      <w:r>
        <w:rPr>
          <w:rFonts w:eastAsia="仿宋_GB2312"/>
          <w:sz w:val="30"/>
          <w:szCs w:val="32"/>
          <w:u w:val="single"/>
        </w:rPr>
        <w:t xml:space="preserve"> </w:t>
      </w:r>
      <w:r>
        <w:rPr>
          <w:rFonts w:hint="eastAsia" w:eastAsia="仿宋_GB2312"/>
          <w:sz w:val="30"/>
          <w:szCs w:val="32"/>
          <w:u w:val="single"/>
        </w:rPr>
        <w:t xml:space="preserve">符合济南市建筑施工安全文明标准化 </w:t>
      </w:r>
      <w:r>
        <w:rPr>
          <w:rFonts w:eastAsia="仿宋_GB2312"/>
          <w:sz w:val="30"/>
          <w:szCs w:val="32"/>
        </w:rPr>
        <w:t>。</w:t>
      </w:r>
    </w:p>
    <w:p w14:paraId="74569D06">
      <w:pPr>
        <w:spacing w:line="360" w:lineRule="auto"/>
        <w:ind w:firstLine="600" w:firstLineChars="200"/>
        <w:jc w:val="left"/>
        <w:rPr>
          <w:rFonts w:eastAsia="仿宋_GB2312"/>
          <w:sz w:val="30"/>
          <w:szCs w:val="32"/>
          <w:u w:val="single"/>
        </w:rPr>
      </w:pPr>
      <w:r>
        <w:rPr>
          <w:rFonts w:hint="eastAsia" w:eastAsia="仿宋_GB2312"/>
          <w:kern w:val="0"/>
          <w:sz w:val="30"/>
          <w:szCs w:val="32"/>
        </w:rPr>
        <w:t>超出安全文明施工创建目标的奖励</w:t>
      </w:r>
      <w:r>
        <w:rPr>
          <w:rFonts w:eastAsia="仿宋_GB2312"/>
          <w:sz w:val="30"/>
          <w:szCs w:val="32"/>
        </w:rPr>
        <w:t>：</w:t>
      </w:r>
      <w:r>
        <w:rPr>
          <w:rFonts w:eastAsia="仿宋_GB2312"/>
          <w:sz w:val="30"/>
          <w:szCs w:val="32"/>
          <w:u w:val="single"/>
        </w:rPr>
        <w:t xml:space="preserve"> </w:t>
      </w:r>
      <w:r>
        <w:rPr>
          <w:rFonts w:hint="eastAsia" w:ascii="Arial" w:hAnsi="Arial" w:eastAsia="仿宋_GB2312" w:cs="Arial"/>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p>
    <w:p w14:paraId="25EE012A">
      <w:pPr>
        <w:spacing w:line="360" w:lineRule="auto"/>
        <w:jc w:val="left"/>
        <w:rPr>
          <w:rFonts w:eastAsia="黑体"/>
          <w:sz w:val="30"/>
          <w:szCs w:val="32"/>
        </w:rPr>
      </w:pP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28E6DC2A">
      <w:pPr>
        <w:spacing w:line="360" w:lineRule="auto"/>
        <w:ind w:firstLine="600" w:firstLineChars="200"/>
        <w:jc w:val="left"/>
        <w:rPr>
          <w:rFonts w:eastAsia="仿宋_GB2312"/>
          <w:sz w:val="30"/>
          <w:szCs w:val="32"/>
          <w:u w:val="single"/>
        </w:rPr>
      </w:pPr>
      <w:r>
        <w:rPr>
          <w:rFonts w:hint="eastAsia" w:eastAsia="仿宋_GB2312"/>
          <w:kern w:val="0"/>
          <w:sz w:val="30"/>
          <w:szCs w:val="32"/>
        </w:rPr>
        <w:t>其他奖惩约定</w:t>
      </w:r>
      <w:r>
        <w:rPr>
          <w:rFonts w:eastAsia="仿宋_GB2312"/>
          <w:kern w:val="0"/>
          <w:sz w:val="30"/>
          <w:szCs w:val="32"/>
        </w:rPr>
        <w:t>：</w:t>
      </w:r>
      <w:r>
        <w:rPr>
          <w:rFonts w:eastAsia="仿宋_GB2312"/>
          <w:sz w:val="30"/>
          <w:szCs w:val="32"/>
          <w:u w:val="single"/>
        </w:rPr>
        <w:t xml:space="preserve">  </w:t>
      </w:r>
      <w:r>
        <w:rPr>
          <w:rFonts w:hint="eastAsia" w:ascii="Arial" w:hAnsi="Arial" w:eastAsia="仿宋_GB2312" w:cs="Arial"/>
          <w:sz w:val="30"/>
          <w:szCs w:val="32"/>
          <w:u w:val="single"/>
        </w:rPr>
        <w:t>无</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p>
    <w:p w14:paraId="2E7B6813">
      <w:pPr>
        <w:spacing w:line="360" w:lineRule="auto"/>
        <w:jc w:val="left"/>
        <w:rPr>
          <w:rFonts w:eastAsia="仿宋_GB2312"/>
          <w:sz w:val="30"/>
          <w:szCs w:val="32"/>
        </w:rPr>
      </w:pP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bookmarkEnd w:id="807"/>
    <w:bookmarkEnd w:id="808"/>
    <w:bookmarkEnd w:id="809"/>
    <w:bookmarkEnd w:id="810"/>
    <w:bookmarkEnd w:id="811"/>
    <w:bookmarkEnd w:id="812"/>
    <w:bookmarkEnd w:id="813"/>
    <w:p w14:paraId="690CE9CE">
      <w:pPr>
        <w:pStyle w:val="8"/>
        <w:spacing w:before="120" w:after="120" w:line="360" w:lineRule="auto"/>
        <w:rPr>
          <w:rFonts w:ascii="Times New Roman" w:hAnsi="Times New Roman" w:eastAsia="黑体"/>
          <w:b w:val="0"/>
          <w:sz w:val="32"/>
          <w:szCs w:val="32"/>
        </w:rPr>
      </w:pPr>
      <w:bookmarkStart w:id="815" w:name="_Toc351203639"/>
      <w:r>
        <w:rPr>
          <w:rFonts w:ascii="Times New Roman" w:hAnsi="Times New Roman" w:eastAsia="黑体"/>
          <w:b w:val="0"/>
          <w:sz w:val="32"/>
          <w:szCs w:val="32"/>
        </w:rPr>
        <w:t>7.工期和进度</w:t>
      </w:r>
      <w:bookmarkEnd w:id="815"/>
    </w:p>
    <w:bookmarkEnd w:id="787"/>
    <w:bookmarkEnd w:id="788"/>
    <w:bookmarkEnd w:id="789"/>
    <w:bookmarkEnd w:id="790"/>
    <w:bookmarkEnd w:id="791"/>
    <w:bookmarkEnd w:id="792"/>
    <w:bookmarkEnd w:id="793"/>
    <w:bookmarkEnd w:id="794"/>
    <w:bookmarkEnd w:id="795"/>
    <w:bookmarkEnd w:id="796"/>
    <w:p w14:paraId="2D17A397">
      <w:pPr>
        <w:spacing w:after="120" w:line="360" w:lineRule="auto"/>
        <w:ind w:firstLine="600" w:firstLineChars="200"/>
        <w:rPr>
          <w:rFonts w:eastAsia="黑体"/>
          <w:sz w:val="30"/>
          <w:szCs w:val="32"/>
        </w:rPr>
      </w:pPr>
      <w:bookmarkStart w:id="816" w:name="_Toc296346674"/>
      <w:bookmarkStart w:id="817" w:name="_Toc297048359"/>
      <w:bookmarkStart w:id="818" w:name="_Toc267251427"/>
      <w:bookmarkStart w:id="819" w:name="_Toc267251428"/>
      <w:bookmarkStart w:id="820" w:name="_Toc296944512"/>
      <w:bookmarkStart w:id="821" w:name="_Toc296347172"/>
      <w:bookmarkStart w:id="822" w:name="_Toc297120473"/>
      <w:bookmarkStart w:id="823" w:name="_Toc292559378"/>
      <w:bookmarkStart w:id="824" w:name="_Toc296891213"/>
      <w:bookmarkStart w:id="825" w:name="_Toc296891001"/>
      <w:bookmarkStart w:id="826" w:name="_Toc292559883"/>
      <w:bookmarkStart w:id="827" w:name="_Toc296503173"/>
      <w:bookmarkStart w:id="828" w:name="_Toc351203642"/>
      <w:r>
        <w:rPr>
          <w:rFonts w:eastAsia="黑体"/>
          <w:sz w:val="30"/>
          <w:szCs w:val="32"/>
        </w:rPr>
        <w:t xml:space="preserve">7.1 </w:t>
      </w:r>
      <w:r>
        <w:rPr>
          <w:rFonts w:hint="eastAsia" w:eastAsia="黑体"/>
          <w:sz w:val="30"/>
          <w:szCs w:val="32"/>
        </w:rPr>
        <w:t>施工组织设计</w:t>
      </w:r>
    </w:p>
    <w:p w14:paraId="74BCF63A">
      <w:pPr>
        <w:ind w:firstLine="600" w:firstLineChars="200"/>
        <w:rPr>
          <w:rFonts w:eastAsia="仿宋_GB2312"/>
          <w:kern w:val="0"/>
          <w:sz w:val="30"/>
          <w:szCs w:val="32"/>
        </w:rPr>
      </w:pPr>
      <w:r>
        <w:rPr>
          <w:rFonts w:eastAsia="仿宋_GB2312"/>
          <w:sz w:val="30"/>
          <w:szCs w:val="32"/>
        </w:rPr>
        <w:t xml:space="preserve">7.1.1 </w:t>
      </w:r>
      <w:r>
        <w:rPr>
          <w:rFonts w:hint="eastAsia" w:eastAsia="仿宋_GB2312"/>
          <w:sz w:val="30"/>
          <w:szCs w:val="32"/>
        </w:rPr>
        <w:t>合</w:t>
      </w:r>
      <w:r>
        <w:rPr>
          <w:rFonts w:hint="eastAsia" w:eastAsia="仿宋_GB2312"/>
          <w:kern w:val="0"/>
          <w:sz w:val="30"/>
          <w:szCs w:val="32"/>
        </w:rPr>
        <w:t>同当事人约定的施工组织设计应包括的其他内容：</w:t>
      </w:r>
      <w:r>
        <w:rPr>
          <w:rFonts w:eastAsia="仿宋_GB2312"/>
          <w:sz w:val="30"/>
          <w:szCs w:val="32"/>
          <w:u w:val="single"/>
        </w:rPr>
        <w:t xml:space="preserve">  </w:t>
      </w:r>
      <w:r>
        <w:rPr>
          <w:rFonts w:hint="eastAsia" w:ascii="仿宋" w:hAnsi="仿宋" w:eastAsia="仿宋" w:cs="仿宋"/>
          <w:sz w:val="30"/>
          <w:szCs w:val="32"/>
          <w:u w:val="single"/>
        </w:rPr>
        <w:t>承包人应提交施工现场临时用水用电方案及治安保卫方案</w:t>
      </w:r>
      <w:r>
        <w:rPr>
          <w:rFonts w:hint="eastAsia" w:ascii="仿宋" w:hAnsi="仿宋" w:eastAsia="仿宋" w:cs="仿宋"/>
          <w:sz w:val="30"/>
          <w:szCs w:val="32"/>
        </w:rPr>
        <w:t>。</w:t>
      </w:r>
      <w:r>
        <w:rPr>
          <w:rFonts w:hint="eastAsia" w:ascii="仿宋" w:hAnsi="仿宋" w:eastAsia="仿宋" w:cs="仿宋"/>
          <w:sz w:val="30"/>
          <w:szCs w:val="32"/>
          <w:u w:val="single"/>
        </w:rPr>
        <w:t>承包人所提交的施工组织设计，不得低于承包人在投标施工组织设计中说明的所有工程内容、标准和承诺</w:t>
      </w:r>
      <w:r>
        <w:rPr>
          <w:rFonts w:hint="eastAsia" w:eastAsia="仿宋_GB2312"/>
          <w:sz w:val="30"/>
          <w:szCs w:val="32"/>
        </w:rPr>
        <w:t>。</w:t>
      </w:r>
    </w:p>
    <w:p w14:paraId="721F7928">
      <w:pPr>
        <w:autoSpaceDE w:val="0"/>
        <w:autoSpaceDN w:val="0"/>
        <w:adjustRightInd w:val="0"/>
        <w:spacing w:line="360" w:lineRule="auto"/>
        <w:ind w:firstLine="600" w:firstLineChars="200"/>
        <w:jc w:val="left"/>
        <w:rPr>
          <w:rFonts w:eastAsia="仿宋_GB2312"/>
          <w:kern w:val="0"/>
          <w:sz w:val="30"/>
          <w:szCs w:val="32"/>
        </w:rPr>
      </w:pPr>
      <w:r>
        <w:rPr>
          <w:rFonts w:eastAsia="仿宋_GB2312"/>
          <w:sz w:val="30"/>
          <w:szCs w:val="32"/>
        </w:rPr>
        <w:t xml:space="preserve">7.1.2 </w:t>
      </w:r>
      <w:r>
        <w:rPr>
          <w:rFonts w:hint="eastAsia" w:eastAsia="仿宋_GB2312"/>
          <w:kern w:val="0"/>
          <w:sz w:val="30"/>
          <w:szCs w:val="32"/>
        </w:rPr>
        <w:t>施工组织设计的提交和修改</w:t>
      </w:r>
    </w:p>
    <w:p w14:paraId="2E2FB742">
      <w:pPr>
        <w:autoSpaceDE w:val="0"/>
        <w:autoSpaceDN w:val="0"/>
        <w:adjustRightInd w:val="0"/>
        <w:spacing w:line="360" w:lineRule="auto"/>
        <w:ind w:firstLine="600" w:firstLineChars="200"/>
        <w:jc w:val="left"/>
        <w:rPr>
          <w:rFonts w:eastAsia="仿宋_GB2312"/>
          <w:sz w:val="30"/>
          <w:szCs w:val="32"/>
        </w:rPr>
      </w:pPr>
      <w:r>
        <w:rPr>
          <w:rFonts w:hint="eastAsia" w:eastAsia="仿宋_GB2312"/>
          <w:kern w:val="0"/>
          <w:sz w:val="30"/>
          <w:szCs w:val="32"/>
        </w:rPr>
        <w:t>承包人提交详细施工组织设计的期限的约定：</w:t>
      </w:r>
      <w:r>
        <w:rPr>
          <w:rFonts w:eastAsia="仿宋_GB2312"/>
          <w:sz w:val="30"/>
          <w:szCs w:val="32"/>
          <w:u w:val="single"/>
        </w:rPr>
        <w:t xml:space="preserve">   </w:t>
      </w:r>
      <w:r>
        <w:rPr>
          <w:rFonts w:hint="eastAsia" w:eastAsia="仿宋_GB2312"/>
          <w:sz w:val="30"/>
          <w:szCs w:val="32"/>
          <w:u w:val="single"/>
        </w:rPr>
        <w:t>不迟于项目第一次工地例会前七天</w:t>
      </w:r>
      <w:r>
        <w:rPr>
          <w:rFonts w:hint="eastAsia" w:eastAsia="仿宋_GB2312"/>
          <w:kern w:val="0"/>
          <w:sz w:val="30"/>
          <w:szCs w:val="32"/>
          <w:u w:val="single"/>
        </w:rPr>
        <w:t>，向发包人、监理人提交详细的施工组织设计</w:t>
      </w:r>
      <w:r>
        <w:rPr>
          <w:rFonts w:eastAsia="仿宋_GB2312"/>
          <w:sz w:val="30"/>
          <w:szCs w:val="32"/>
          <w:u w:val="single"/>
        </w:rPr>
        <w:t xml:space="preserve">  </w:t>
      </w:r>
      <w:r>
        <w:rPr>
          <w:rFonts w:hint="eastAsia" w:eastAsia="仿宋_GB2312"/>
          <w:sz w:val="30"/>
          <w:szCs w:val="32"/>
        </w:rPr>
        <w:t>。</w:t>
      </w:r>
    </w:p>
    <w:p w14:paraId="13FA5237">
      <w:pPr>
        <w:spacing w:line="360" w:lineRule="auto"/>
        <w:ind w:firstLine="600" w:firstLineChars="200"/>
        <w:jc w:val="left"/>
        <w:rPr>
          <w:rFonts w:eastAsia="仿宋_GB2312"/>
          <w:sz w:val="30"/>
          <w:szCs w:val="32"/>
        </w:rPr>
      </w:pPr>
      <w:r>
        <w:rPr>
          <w:rFonts w:hint="eastAsia" w:eastAsia="仿宋_GB2312"/>
          <w:sz w:val="30"/>
          <w:szCs w:val="32"/>
        </w:rPr>
        <w:t>发包人和监理人在收到详细的施工组织设计后确认或提出修改意见的期限：</w:t>
      </w:r>
      <w:r>
        <w:rPr>
          <w:rFonts w:eastAsia="仿宋_GB2312"/>
          <w:sz w:val="30"/>
          <w:szCs w:val="32"/>
          <w:u w:val="single"/>
        </w:rPr>
        <w:t xml:space="preserve"> </w:t>
      </w:r>
      <w:r>
        <w:rPr>
          <w:rFonts w:hint="eastAsia" w:eastAsia="仿宋_GB2312"/>
          <w:kern w:val="0"/>
          <w:sz w:val="30"/>
          <w:szCs w:val="32"/>
          <w:u w:val="single"/>
        </w:rPr>
        <w:t>收到施工组织设计后</w:t>
      </w:r>
      <w:r>
        <w:rPr>
          <w:rFonts w:eastAsia="仿宋_GB2312"/>
          <w:kern w:val="0"/>
          <w:sz w:val="30"/>
          <w:szCs w:val="32"/>
          <w:u w:val="single"/>
        </w:rPr>
        <w:t>7</w:t>
      </w:r>
      <w:r>
        <w:rPr>
          <w:rFonts w:hint="eastAsia" w:eastAsia="仿宋_GB2312"/>
          <w:kern w:val="0"/>
          <w:sz w:val="30"/>
          <w:szCs w:val="32"/>
          <w:u w:val="single"/>
        </w:rPr>
        <w:t>天内确认或提出修改意见</w:t>
      </w:r>
      <w:r>
        <w:rPr>
          <w:rFonts w:eastAsia="仿宋_GB2312"/>
          <w:sz w:val="30"/>
          <w:szCs w:val="32"/>
          <w:u w:val="single"/>
        </w:rPr>
        <w:t xml:space="preserve"> </w:t>
      </w:r>
      <w:r>
        <w:rPr>
          <w:rFonts w:hint="eastAsia" w:eastAsia="仿宋_GB2312"/>
          <w:sz w:val="30"/>
          <w:szCs w:val="32"/>
        </w:rPr>
        <w:t>。</w:t>
      </w:r>
    </w:p>
    <w:p w14:paraId="4E4BDB04">
      <w:pPr>
        <w:spacing w:after="120" w:line="360" w:lineRule="auto"/>
        <w:ind w:firstLine="600" w:firstLineChars="200"/>
        <w:rPr>
          <w:rFonts w:eastAsia="黑体"/>
          <w:sz w:val="30"/>
          <w:szCs w:val="32"/>
        </w:rPr>
      </w:pPr>
      <w:r>
        <w:rPr>
          <w:rFonts w:eastAsia="黑体"/>
          <w:sz w:val="30"/>
          <w:szCs w:val="32"/>
        </w:rPr>
        <w:t>7</w:t>
      </w:r>
      <w:bookmarkStart w:id="829" w:name="_Toc312678005"/>
      <w:bookmarkStart w:id="830" w:name="_Toc297123514"/>
      <w:bookmarkStart w:id="831" w:name="_Toc303539123"/>
      <w:bookmarkStart w:id="832" w:name="_Toc312677479"/>
      <w:bookmarkStart w:id="833" w:name="_Toc297216173"/>
      <w:bookmarkStart w:id="834" w:name="_Toc304295541"/>
      <w:bookmarkStart w:id="835" w:name="_Toc300934966"/>
      <w:r>
        <w:rPr>
          <w:rFonts w:eastAsia="黑体"/>
          <w:sz w:val="30"/>
          <w:szCs w:val="32"/>
        </w:rPr>
        <w:t xml:space="preserve">.2 </w:t>
      </w:r>
      <w:r>
        <w:rPr>
          <w:rFonts w:hint="eastAsia" w:eastAsia="黑体"/>
          <w:sz w:val="30"/>
          <w:szCs w:val="32"/>
        </w:rPr>
        <w:t>施工进度计划</w:t>
      </w:r>
    </w:p>
    <w:p w14:paraId="6D07711F">
      <w:pPr>
        <w:spacing w:line="360" w:lineRule="auto"/>
        <w:ind w:firstLine="600" w:firstLineChars="200"/>
        <w:jc w:val="left"/>
        <w:rPr>
          <w:rFonts w:eastAsia="仿宋_GB2312"/>
          <w:sz w:val="30"/>
          <w:szCs w:val="32"/>
        </w:rPr>
      </w:pPr>
      <w:r>
        <w:rPr>
          <w:rFonts w:eastAsia="仿宋_GB2312"/>
          <w:sz w:val="30"/>
          <w:szCs w:val="32"/>
        </w:rPr>
        <w:t xml:space="preserve">7.2.2 </w:t>
      </w:r>
      <w:r>
        <w:rPr>
          <w:rFonts w:hint="eastAsia" w:eastAsia="仿宋_GB2312"/>
          <w:sz w:val="30"/>
          <w:szCs w:val="32"/>
        </w:rPr>
        <w:t>施工进度计划的修订</w:t>
      </w:r>
    </w:p>
    <w:p w14:paraId="0411AB67">
      <w:pPr>
        <w:spacing w:line="360" w:lineRule="auto"/>
        <w:ind w:firstLine="600" w:firstLineChars="200"/>
        <w:jc w:val="left"/>
        <w:rPr>
          <w:rFonts w:eastAsia="仿宋_GB2312"/>
          <w:sz w:val="30"/>
          <w:szCs w:val="32"/>
        </w:rPr>
      </w:pPr>
      <w:r>
        <w:rPr>
          <w:rFonts w:hint="eastAsia" w:eastAsia="仿宋_GB2312"/>
          <w:sz w:val="30"/>
          <w:szCs w:val="32"/>
        </w:rPr>
        <w:t>发包人和监理人在收到修订的施工进度计划后确认或提出修改意见的期限：</w:t>
      </w:r>
      <w:r>
        <w:rPr>
          <w:rFonts w:eastAsia="仿宋_GB2312"/>
          <w:sz w:val="30"/>
          <w:szCs w:val="32"/>
          <w:u w:val="single"/>
        </w:rPr>
        <w:t xml:space="preserve"> </w:t>
      </w:r>
      <w:r>
        <w:rPr>
          <w:rFonts w:hint="eastAsia" w:eastAsia="仿宋_GB2312"/>
          <w:kern w:val="0"/>
          <w:sz w:val="30"/>
          <w:szCs w:val="32"/>
          <w:u w:val="single"/>
        </w:rPr>
        <w:t>收到修订的施工进度计划后</w:t>
      </w:r>
      <w:r>
        <w:rPr>
          <w:rFonts w:eastAsia="仿宋_GB2312"/>
          <w:kern w:val="0"/>
          <w:sz w:val="30"/>
          <w:szCs w:val="32"/>
          <w:u w:val="single"/>
        </w:rPr>
        <w:t>7</w:t>
      </w:r>
      <w:r>
        <w:rPr>
          <w:rFonts w:hint="eastAsia" w:eastAsia="仿宋_GB2312"/>
          <w:kern w:val="0"/>
          <w:sz w:val="30"/>
          <w:szCs w:val="32"/>
          <w:u w:val="single"/>
        </w:rPr>
        <w:t>天内完成确认或提出修改意见</w:t>
      </w:r>
      <w:r>
        <w:rPr>
          <w:rFonts w:eastAsia="仿宋_GB2312"/>
          <w:sz w:val="30"/>
          <w:szCs w:val="32"/>
          <w:u w:val="single"/>
        </w:rPr>
        <w:t xml:space="preserve">  </w:t>
      </w:r>
      <w:r>
        <w:rPr>
          <w:rFonts w:hint="eastAsia" w:eastAsia="仿宋_GB2312"/>
          <w:sz w:val="30"/>
          <w:szCs w:val="32"/>
        </w:rPr>
        <w:t>。</w:t>
      </w:r>
    </w:p>
    <w:p w14:paraId="09A6C3F6">
      <w:pPr>
        <w:spacing w:after="120" w:line="360" w:lineRule="auto"/>
        <w:ind w:firstLine="600" w:firstLineChars="200"/>
        <w:rPr>
          <w:rFonts w:eastAsia="黑体"/>
          <w:sz w:val="30"/>
          <w:szCs w:val="32"/>
        </w:rPr>
      </w:pPr>
      <w:r>
        <w:rPr>
          <w:rFonts w:eastAsia="黑体"/>
          <w:sz w:val="30"/>
          <w:szCs w:val="32"/>
        </w:rPr>
        <w:t xml:space="preserve">7.3 </w:t>
      </w:r>
      <w:r>
        <w:rPr>
          <w:rFonts w:hint="eastAsia" w:eastAsia="黑体"/>
          <w:sz w:val="30"/>
          <w:szCs w:val="32"/>
        </w:rPr>
        <w:t>开工</w:t>
      </w:r>
    </w:p>
    <w:p w14:paraId="525E1E88">
      <w:pPr>
        <w:spacing w:line="360" w:lineRule="auto"/>
        <w:ind w:firstLine="600" w:firstLineChars="200"/>
        <w:jc w:val="left"/>
        <w:rPr>
          <w:rFonts w:eastAsia="仿宋_GB2312"/>
          <w:sz w:val="30"/>
          <w:szCs w:val="32"/>
        </w:rPr>
      </w:pPr>
      <w:r>
        <w:rPr>
          <w:rFonts w:eastAsia="仿宋_GB2312"/>
          <w:sz w:val="30"/>
          <w:szCs w:val="32"/>
        </w:rPr>
        <w:t xml:space="preserve">7.3.1 </w:t>
      </w:r>
      <w:r>
        <w:rPr>
          <w:rFonts w:hint="eastAsia" w:eastAsia="仿宋_GB2312"/>
          <w:sz w:val="30"/>
          <w:szCs w:val="32"/>
        </w:rPr>
        <w:t>开工准备</w:t>
      </w:r>
    </w:p>
    <w:p w14:paraId="7316A63D">
      <w:pPr>
        <w:spacing w:line="360" w:lineRule="auto"/>
        <w:ind w:firstLine="645"/>
        <w:jc w:val="left"/>
        <w:rPr>
          <w:rFonts w:eastAsia="仿宋_GB2312"/>
          <w:sz w:val="30"/>
          <w:szCs w:val="32"/>
          <w:u w:val="single"/>
        </w:rPr>
      </w:pPr>
      <w:r>
        <w:rPr>
          <w:rFonts w:hint="eastAsia" w:eastAsia="仿宋_GB2312"/>
          <w:sz w:val="30"/>
          <w:szCs w:val="32"/>
        </w:rPr>
        <w:t>关于承包人提交</w:t>
      </w:r>
      <w:r>
        <w:rPr>
          <w:rFonts w:hint="eastAsia" w:eastAsia="仿宋_GB2312"/>
          <w:kern w:val="0"/>
          <w:sz w:val="30"/>
          <w:szCs w:val="32"/>
        </w:rPr>
        <w:t>工程开工报审表的期限：</w:t>
      </w:r>
      <w:r>
        <w:rPr>
          <w:rFonts w:eastAsia="仿宋_GB2312"/>
          <w:sz w:val="30"/>
          <w:szCs w:val="32"/>
          <w:u w:val="single"/>
        </w:rPr>
        <w:t xml:space="preserve">  </w:t>
      </w:r>
      <w:r>
        <w:rPr>
          <w:rFonts w:hint="eastAsia" w:eastAsia="仿宋_GB2312"/>
          <w:sz w:val="30"/>
          <w:szCs w:val="32"/>
          <w:u w:val="single"/>
        </w:rPr>
        <w:t>不迟于项目第一次工地例会前七天</w:t>
      </w:r>
      <w:r>
        <w:rPr>
          <w:rFonts w:eastAsia="仿宋_GB2312"/>
          <w:sz w:val="30"/>
          <w:szCs w:val="32"/>
          <w:u w:val="single"/>
        </w:rPr>
        <w:t xml:space="preserve"> </w:t>
      </w:r>
      <w:r>
        <w:rPr>
          <w:rFonts w:hint="eastAsia" w:eastAsia="仿宋_GB2312"/>
          <w:sz w:val="30"/>
          <w:szCs w:val="32"/>
        </w:rPr>
        <w:t>。</w:t>
      </w:r>
    </w:p>
    <w:p w14:paraId="3E62250E">
      <w:pPr>
        <w:spacing w:line="360" w:lineRule="auto"/>
        <w:ind w:firstLine="645"/>
        <w:jc w:val="left"/>
        <w:rPr>
          <w:rFonts w:eastAsia="仿宋_GB2312"/>
          <w:sz w:val="30"/>
          <w:szCs w:val="32"/>
          <w:u w:val="single"/>
        </w:rPr>
      </w:pPr>
      <w:r>
        <w:rPr>
          <w:rFonts w:hint="eastAsia" w:eastAsia="仿宋_GB2312"/>
          <w:sz w:val="30"/>
          <w:szCs w:val="32"/>
        </w:rPr>
        <w:t>关于发包人应完成的其他开工准备工作及期限：</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 xml:space="preserve"> </w:t>
      </w:r>
      <w:r>
        <w:rPr>
          <w:rFonts w:hint="eastAsia" w:eastAsia="仿宋_GB2312"/>
          <w:sz w:val="30"/>
          <w:szCs w:val="32"/>
        </w:rPr>
        <w:t>。</w:t>
      </w:r>
    </w:p>
    <w:p w14:paraId="36EC51EC">
      <w:pPr>
        <w:spacing w:line="360" w:lineRule="auto"/>
        <w:ind w:firstLine="600" w:firstLineChars="200"/>
        <w:jc w:val="left"/>
        <w:rPr>
          <w:rFonts w:eastAsia="仿宋_GB2312"/>
          <w:sz w:val="30"/>
          <w:szCs w:val="32"/>
        </w:rPr>
      </w:pPr>
      <w:r>
        <w:rPr>
          <w:rFonts w:hint="eastAsia" w:eastAsia="仿宋_GB2312"/>
          <w:sz w:val="30"/>
          <w:szCs w:val="32"/>
        </w:rPr>
        <w:t>关于承包人应完成的其他开工准备工作及期限：</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 xml:space="preserve"> </w:t>
      </w:r>
      <w:r>
        <w:rPr>
          <w:rFonts w:hint="eastAsia" w:eastAsia="仿宋_GB2312"/>
          <w:sz w:val="30"/>
          <w:szCs w:val="32"/>
        </w:rPr>
        <w:t>。</w:t>
      </w:r>
    </w:p>
    <w:p w14:paraId="49358A90">
      <w:pPr>
        <w:spacing w:line="360" w:lineRule="auto"/>
        <w:ind w:firstLine="600" w:firstLineChars="200"/>
        <w:jc w:val="left"/>
        <w:rPr>
          <w:rFonts w:eastAsia="仿宋_GB2312"/>
          <w:sz w:val="30"/>
          <w:szCs w:val="32"/>
        </w:rPr>
      </w:pPr>
      <w:r>
        <w:rPr>
          <w:rFonts w:eastAsia="仿宋_GB2312"/>
          <w:sz w:val="30"/>
          <w:szCs w:val="32"/>
        </w:rPr>
        <w:t>7.3.2</w:t>
      </w:r>
      <w:r>
        <w:rPr>
          <w:rFonts w:hint="eastAsia" w:eastAsia="仿宋_GB2312"/>
          <w:sz w:val="30"/>
          <w:szCs w:val="32"/>
        </w:rPr>
        <w:t>开工通知</w:t>
      </w:r>
    </w:p>
    <w:p w14:paraId="1ACCCF6E">
      <w:pPr>
        <w:spacing w:line="360" w:lineRule="auto"/>
        <w:ind w:firstLine="600" w:firstLineChars="200"/>
        <w:jc w:val="left"/>
        <w:rPr>
          <w:rFonts w:eastAsia="仿宋_GB2312"/>
          <w:sz w:val="30"/>
          <w:szCs w:val="32"/>
          <w:u w:val="single"/>
        </w:rPr>
      </w:pPr>
      <w:r>
        <w:rPr>
          <w:rFonts w:hint="eastAsia" w:eastAsia="仿宋_GB2312"/>
          <w:sz w:val="30"/>
          <w:szCs w:val="32"/>
        </w:rPr>
        <w:t>因发包人原因造成监理人未能在计划开工日期之日起</w:t>
      </w:r>
      <w:r>
        <w:rPr>
          <w:rFonts w:eastAsia="仿宋_GB2312"/>
          <w:sz w:val="30"/>
          <w:szCs w:val="32"/>
          <w:u w:val="single"/>
        </w:rPr>
        <w:t xml:space="preserve">  90  </w:t>
      </w:r>
      <w:r>
        <w:rPr>
          <w:rFonts w:hint="eastAsia" w:eastAsia="仿宋_GB2312"/>
          <w:sz w:val="30"/>
          <w:szCs w:val="32"/>
        </w:rPr>
        <w:t>天内发出开工通知的，承包人有权提出价格调整要求，或者解除合同</w:t>
      </w:r>
      <w:bookmarkEnd w:id="829"/>
      <w:bookmarkEnd w:id="830"/>
      <w:bookmarkEnd w:id="831"/>
      <w:bookmarkEnd w:id="832"/>
      <w:bookmarkEnd w:id="833"/>
      <w:bookmarkEnd w:id="834"/>
      <w:bookmarkEnd w:id="835"/>
      <w:r>
        <w:rPr>
          <w:rFonts w:hint="eastAsia" w:eastAsia="仿宋_GB2312"/>
          <w:sz w:val="30"/>
          <w:szCs w:val="32"/>
        </w:rPr>
        <w:t>。</w:t>
      </w:r>
    </w:p>
    <w:p w14:paraId="5AB687DB">
      <w:pPr>
        <w:spacing w:after="120" w:line="360" w:lineRule="auto"/>
        <w:ind w:firstLine="600" w:firstLineChars="200"/>
        <w:rPr>
          <w:rFonts w:eastAsia="黑体"/>
          <w:sz w:val="30"/>
          <w:szCs w:val="32"/>
        </w:rPr>
      </w:pPr>
      <w:r>
        <w:rPr>
          <w:rFonts w:eastAsia="黑体"/>
          <w:sz w:val="30"/>
          <w:szCs w:val="32"/>
        </w:rPr>
        <w:t>7</w:t>
      </w:r>
      <w:bookmarkStart w:id="836" w:name="_Toc304295546"/>
      <w:bookmarkStart w:id="837" w:name="_Toc303539125"/>
      <w:bookmarkStart w:id="838" w:name="_Toc312678010"/>
      <w:bookmarkStart w:id="839" w:name="_Toc297216175"/>
      <w:bookmarkStart w:id="840" w:name="_Toc297123516"/>
      <w:bookmarkStart w:id="841" w:name="_Toc300934968"/>
      <w:bookmarkStart w:id="842" w:name="_Toc312677484"/>
      <w:r>
        <w:rPr>
          <w:rFonts w:eastAsia="黑体"/>
          <w:sz w:val="30"/>
          <w:szCs w:val="32"/>
        </w:rPr>
        <w:t xml:space="preserve">.5 </w:t>
      </w:r>
      <w:r>
        <w:rPr>
          <w:rFonts w:hint="eastAsia" w:eastAsia="黑体"/>
          <w:sz w:val="30"/>
          <w:szCs w:val="32"/>
        </w:rPr>
        <w:t>工期延误</w:t>
      </w:r>
    </w:p>
    <w:bookmarkEnd w:id="836"/>
    <w:bookmarkEnd w:id="837"/>
    <w:bookmarkEnd w:id="838"/>
    <w:bookmarkEnd w:id="839"/>
    <w:bookmarkEnd w:id="840"/>
    <w:bookmarkEnd w:id="841"/>
    <w:bookmarkEnd w:id="842"/>
    <w:p w14:paraId="0CB184D9">
      <w:pPr>
        <w:spacing w:line="360" w:lineRule="auto"/>
        <w:ind w:firstLine="600" w:firstLineChars="200"/>
        <w:jc w:val="left"/>
        <w:rPr>
          <w:rFonts w:eastAsia="仿宋_GB2312"/>
          <w:sz w:val="30"/>
          <w:szCs w:val="32"/>
        </w:rPr>
      </w:pPr>
      <w:r>
        <w:rPr>
          <w:rFonts w:eastAsia="仿宋_GB2312"/>
          <w:sz w:val="30"/>
          <w:szCs w:val="32"/>
        </w:rPr>
        <w:t xml:space="preserve">7.5.1 </w:t>
      </w:r>
      <w:r>
        <w:rPr>
          <w:rFonts w:hint="eastAsia" w:eastAsia="仿宋_GB2312"/>
          <w:sz w:val="30"/>
          <w:szCs w:val="32"/>
        </w:rPr>
        <w:t>因发包人原因导致工期延误</w:t>
      </w:r>
    </w:p>
    <w:p w14:paraId="0C941F20">
      <w:pPr>
        <w:spacing w:line="360" w:lineRule="auto"/>
        <w:ind w:firstLine="600" w:firstLineChars="200"/>
        <w:jc w:val="left"/>
        <w:rPr>
          <w:rFonts w:eastAsia="仿宋_GB2312"/>
          <w:sz w:val="30"/>
          <w:szCs w:val="32"/>
          <w:u w:val="single"/>
        </w:rPr>
      </w:pPr>
      <w:r>
        <w:rPr>
          <w:rFonts w:hint="eastAsia" w:eastAsia="仿宋_GB2312"/>
          <w:sz w:val="30"/>
          <w:szCs w:val="32"/>
        </w:rPr>
        <w:t>（</w:t>
      </w:r>
      <w:r>
        <w:rPr>
          <w:rFonts w:eastAsia="仿宋_GB2312"/>
          <w:sz w:val="30"/>
          <w:szCs w:val="32"/>
        </w:rPr>
        <w:t>7</w:t>
      </w:r>
      <w:r>
        <w:rPr>
          <w:rFonts w:hint="eastAsia" w:eastAsia="仿宋_GB2312"/>
          <w:sz w:val="30"/>
          <w:szCs w:val="32"/>
        </w:rPr>
        <w:t>）因发包人原因导致工期延误的其他情形：</w:t>
      </w:r>
      <w:r>
        <w:rPr>
          <w:rFonts w:eastAsia="仿宋_GB2312"/>
          <w:sz w:val="30"/>
          <w:szCs w:val="32"/>
          <w:u w:val="single"/>
        </w:rPr>
        <w:t xml:space="preserve"> </w:t>
      </w:r>
      <w:r>
        <w:rPr>
          <w:rFonts w:hint="eastAsia" w:eastAsia="仿宋_GB2312"/>
          <w:sz w:val="30"/>
          <w:szCs w:val="32"/>
          <w:u w:val="single"/>
        </w:rPr>
        <w:t>因发包人原因导致工期延误的情形须是造成关键线路上的工期延误承包人才能有权要求发包人延长工期，发包人据实顺延工期但不予承担延期造成的费用增加。</w:t>
      </w:r>
    </w:p>
    <w:p w14:paraId="59653C7F">
      <w:pPr>
        <w:spacing w:line="360" w:lineRule="auto"/>
        <w:ind w:firstLine="600" w:firstLineChars="200"/>
        <w:jc w:val="left"/>
        <w:rPr>
          <w:rFonts w:eastAsia="仿宋_GB2312"/>
          <w:sz w:val="30"/>
          <w:szCs w:val="32"/>
        </w:rPr>
      </w:pPr>
      <w:r>
        <w:rPr>
          <w:rFonts w:eastAsia="仿宋_GB2312"/>
          <w:sz w:val="30"/>
          <w:szCs w:val="32"/>
        </w:rPr>
        <w:t>7</w:t>
      </w:r>
      <w:bookmarkStart w:id="843" w:name="_Toc312678012"/>
      <w:bookmarkStart w:id="844" w:name="_Toc318581169"/>
      <w:bookmarkStart w:id="845" w:name="_Toc312677486"/>
      <w:r>
        <w:rPr>
          <w:rFonts w:eastAsia="仿宋_GB2312"/>
          <w:sz w:val="30"/>
          <w:szCs w:val="32"/>
        </w:rPr>
        <w:t xml:space="preserve">.5.2 </w:t>
      </w:r>
      <w:r>
        <w:rPr>
          <w:rFonts w:hint="eastAsia" w:eastAsia="仿宋_GB2312"/>
          <w:sz w:val="30"/>
          <w:szCs w:val="32"/>
        </w:rPr>
        <w:t>因承包人原因导致工期延误</w:t>
      </w:r>
    </w:p>
    <w:bookmarkEnd w:id="843"/>
    <w:bookmarkEnd w:id="844"/>
    <w:bookmarkEnd w:id="845"/>
    <w:p w14:paraId="7618E433">
      <w:pPr>
        <w:spacing w:line="360" w:lineRule="auto"/>
        <w:ind w:firstLine="600" w:firstLineChars="200"/>
        <w:jc w:val="left"/>
        <w:rPr>
          <w:rFonts w:eastAsia="仿宋_GB2312"/>
          <w:color w:val="000000"/>
          <w:sz w:val="30"/>
          <w:szCs w:val="32"/>
          <w:u w:val="single"/>
        </w:rPr>
      </w:pPr>
      <w:r>
        <w:rPr>
          <w:rFonts w:hint="eastAsia" w:eastAsia="仿宋_GB2312"/>
          <w:color w:val="000000"/>
          <w:sz w:val="30"/>
          <w:szCs w:val="32"/>
        </w:rPr>
        <w:t>因</w:t>
      </w:r>
      <w:bookmarkStart w:id="846" w:name="_Toc318581170"/>
      <w:bookmarkStart w:id="847" w:name="_Toc312677487"/>
      <w:bookmarkStart w:id="848" w:name="_Toc312678013"/>
      <w:r>
        <w:rPr>
          <w:rFonts w:hint="eastAsia" w:eastAsia="仿宋_GB2312"/>
          <w:color w:val="000000"/>
          <w:sz w:val="30"/>
          <w:szCs w:val="32"/>
        </w:rPr>
        <w:t>承包人原因造成工期延误，逾期竣工违约金的计算方法为：</w:t>
      </w:r>
    </w:p>
    <w:bookmarkEnd w:id="846"/>
    <w:bookmarkEnd w:id="847"/>
    <w:bookmarkEnd w:id="848"/>
    <w:p w14:paraId="44221F51">
      <w:pPr>
        <w:spacing w:line="360" w:lineRule="auto"/>
        <w:ind w:firstLine="600" w:firstLineChars="200"/>
        <w:jc w:val="left"/>
        <w:rPr>
          <w:rFonts w:eastAsia="仿宋_GB2312" w:cs="仿宋_GB2312"/>
          <w:color w:val="000000"/>
          <w:sz w:val="30"/>
          <w:szCs w:val="32"/>
          <w:u w:val="single"/>
        </w:rPr>
      </w:pPr>
      <w:r>
        <w:rPr>
          <w:rFonts w:eastAsia="仿宋_GB2312" w:cs="仿宋_GB2312"/>
          <w:color w:val="000000"/>
          <w:sz w:val="30"/>
          <w:szCs w:val="32"/>
          <w:u w:val="single"/>
        </w:rPr>
        <w:t>除不可抗力原因外，因任何因素造成的工期延误，总工期均不予顺延，停工费用损失不予计取；承包人不能按合同约定的工期完成任一关键里程碑节点的，各里程碑节点每逾期一天按合同</w:t>
      </w:r>
      <w:r>
        <w:rPr>
          <w:rFonts w:hint="eastAsia" w:eastAsia="仿宋_GB2312" w:cs="仿宋_GB2312"/>
          <w:color w:val="000000"/>
          <w:sz w:val="30"/>
          <w:szCs w:val="32"/>
          <w:u w:val="single"/>
        </w:rPr>
        <w:t>最终结算</w:t>
      </w:r>
      <w:r>
        <w:rPr>
          <w:rFonts w:eastAsia="仿宋_GB2312" w:cs="仿宋_GB2312"/>
          <w:color w:val="000000"/>
          <w:sz w:val="30"/>
          <w:szCs w:val="32"/>
          <w:u w:val="single"/>
        </w:rPr>
        <w:t>价</w:t>
      </w:r>
      <w:r>
        <w:rPr>
          <w:rFonts w:hint="eastAsia" w:eastAsia="仿宋_GB2312" w:cs="仿宋_GB2312"/>
          <w:color w:val="000000"/>
          <w:sz w:val="30"/>
          <w:szCs w:val="32"/>
          <w:u w:val="single"/>
        </w:rPr>
        <w:t>1</w:t>
      </w:r>
      <w:r>
        <w:rPr>
          <w:rFonts w:eastAsia="仿宋_GB2312" w:cs="仿宋_GB2312"/>
          <w:color w:val="000000"/>
          <w:sz w:val="30"/>
          <w:szCs w:val="32"/>
          <w:u w:val="single"/>
        </w:rPr>
        <w:t>‰的金额向发包人支付违约金</w:t>
      </w:r>
      <w:r>
        <w:rPr>
          <w:rFonts w:hint="eastAsia" w:eastAsia="仿宋_GB2312" w:cs="仿宋_GB2312"/>
          <w:color w:val="000000"/>
          <w:sz w:val="30"/>
          <w:szCs w:val="32"/>
          <w:u w:val="single"/>
        </w:rPr>
        <w:t>，没有最终结算价的，按合同签约暂定价的</w:t>
      </w:r>
      <w:r>
        <w:rPr>
          <w:rFonts w:hint="eastAsia" w:eastAsia="仿宋_GB2312"/>
          <w:color w:val="000000"/>
          <w:sz w:val="30"/>
          <w:szCs w:val="32"/>
          <w:u w:val="single"/>
        </w:rPr>
        <w:t>1</w:t>
      </w:r>
      <w:r>
        <w:rPr>
          <w:rFonts w:eastAsia="仿宋_GB2312" w:cs="仿宋_GB2312"/>
          <w:color w:val="000000"/>
          <w:sz w:val="30"/>
          <w:szCs w:val="32"/>
          <w:u w:val="single"/>
        </w:rPr>
        <w:t>‰</w:t>
      </w:r>
      <w:r>
        <w:rPr>
          <w:rFonts w:hint="eastAsia" w:eastAsia="仿宋_GB2312" w:cs="仿宋_GB2312"/>
          <w:color w:val="000000"/>
          <w:sz w:val="30"/>
          <w:szCs w:val="32"/>
          <w:u w:val="single"/>
        </w:rPr>
        <w:t>计算</w:t>
      </w:r>
      <w:r>
        <w:rPr>
          <w:rFonts w:eastAsia="仿宋_GB2312" w:cs="仿宋_GB2312"/>
          <w:color w:val="000000"/>
          <w:sz w:val="30"/>
          <w:szCs w:val="32"/>
          <w:u w:val="single"/>
        </w:rPr>
        <w:t>；各里程碑节点逾期超过</w:t>
      </w:r>
      <w:r>
        <w:rPr>
          <w:rFonts w:eastAsia="仿宋_GB2312"/>
          <w:color w:val="000000"/>
          <w:sz w:val="30"/>
          <w:szCs w:val="32"/>
          <w:u w:val="single"/>
        </w:rPr>
        <w:t>90</w:t>
      </w:r>
      <w:r>
        <w:rPr>
          <w:rFonts w:eastAsia="仿宋_GB2312" w:cs="仿宋_GB2312"/>
          <w:color w:val="000000"/>
          <w:sz w:val="30"/>
          <w:szCs w:val="32"/>
          <w:u w:val="single"/>
        </w:rPr>
        <w:t>天，每逾期一天按合同</w:t>
      </w:r>
      <w:r>
        <w:rPr>
          <w:rFonts w:hint="eastAsia" w:eastAsia="仿宋_GB2312" w:cs="仿宋_GB2312"/>
          <w:color w:val="000000"/>
          <w:sz w:val="30"/>
          <w:szCs w:val="32"/>
          <w:u w:val="single"/>
        </w:rPr>
        <w:t>最终结算</w:t>
      </w:r>
      <w:r>
        <w:rPr>
          <w:rFonts w:eastAsia="仿宋_GB2312" w:cs="仿宋_GB2312"/>
          <w:color w:val="000000"/>
          <w:sz w:val="30"/>
          <w:szCs w:val="32"/>
          <w:u w:val="single"/>
        </w:rPr>
        <w:t>价</w:t>
      </w:r>
      <w:r>
        <w:rPr>
          <w:rFonts w:hint="eastAsia" w:eastAsia="仿宋_GB2312"/>
          <w:color w:val="000000"/>
          <w:sz w:val="30"/>
          <w:szCs w:val="32"/>
          <w:u w:val="single"/>
        </w:rPr>
        <w:t>2</w:t>
      </w:r>
      <w:r>
        <w:rPr>
          <w:rFonts w:eastAsia="仿宋_GB2312" w:cs="仿宋_GB2312"/>
          <w:color w:val="000000"/>
          <w:sz w:val="30"/>
          <w:szCs w:val="32"/>
          <w:u w:val="single"/>
        </w:rPr>
        <w:t>‰的金额向发包人支付违约金，</w:t>
      </w:r>
      <w:r>
        <w:rPr>
          <w:rFonts w:hint="eastAsia" w:eastAsia="仿宋_GB2312" w:cs="仿宋_GB2312"/>
          <w:color w:val="000000"/>
          <w:sz w:val="30"/>
          <w:szCs w:val="32"/>
          <w:u w:val="single"/>
        </w:rPr>
        <w:t>没有最终结算价的，按合同签约暂定价的2</w:t>
      </w:r>
      <w:r>
        <w:rPr>
          <w:rFonts w:eastAsia="仿宋_GB2312" w:cs="仿宋_GB2312"/>
          <w:color w:val="000000"/>
          <w:sz w:val="30"/>
          <w:szCs w:val="32"/>
          <w:u w:val="single"/>
        </w:rPr>
        <w:t>‰</w:t>
      </w:r>
      <w:r>
        <w:rPr>
          <w:rFonts w:hint="eastAsia" w:eastAsia="仿宋_GB2312" w:cs="仿宋_GB2312"/>
          <w:color w:val="000000"/>
          <w:sz w:val="30"/>
          <w:szCs w:val="32"/>
          <w:u w:val="single"/>
        </w:rPr>
        <w:t>计算，</w:t>
      </w:r>
      <w:r>
        <w:rPr>
          <w:rFonts w:eastAsia="仿宋_GB2312" w:cs="仿宋_GB2312"/>
          <w:color w:val="000000"/>
          <w:sz w:val="30"/>
          <w:szCs w:val="32"/>
          <w:u w:val="single"/>
        </w:rPr>
        <w:t>发包人并有权书面通知单方面解除未完成部分工程的合同。若某个节点未完成，但后续节点按期完成且不影响整体工程如期竣工验收合格，发包人可以向承包人无息返还之前未完成节点违约金</w:t>
      </w:r>
      <w:r>
        <w:rPr>
          <w:rFonts w:eastAsia="仿宋_GB2312"/>
          <w:color w:val="000000"/>
          <w:sz w:val="30"/>
          <w:szCs w:val="32"/>
          <w:u w:val="single"/>
        </w:rPr>
        <w:t xml:space="preserve"> </w:t>
      </w:r>
      <w:r>
        <w:rPr>
          <w:rFonts w:eastAsia="仿宋_GB2312" w:cs="仿宋_GB2312"/>
          <w:color w:val="000000"/>
          <w:sz w:val="30"/>
          <w:szCs w:val="32"/>
          <w:u w:val="single"/>
        </w:rPr>
        <w:t>，但造成发包人的损失部分不予免除。</w:t>
      </w:r>
    </w:p>
    <w:p w14:paraId="4292CD54">
      <w:pPr>
        <w:spacing w:line="360" w:lineRule="auto"/>
        <w:ind w:firstLine="600" w:firstLineChars="200"/>
        <w:jc w:val="left"/>
        <w:rPr>
          <w:rFonts w:eastAsia="仿宋_GB2312" w:cs="仿宋_GB2312"/>
          <w:color w:val="000000"/>
          <w:sz w:val="30"/>
          <w:szCs w:val="32"/>
          <w:u w:val="single"/>
        </w:rPr>
      </w:pPr>
      <w:r>
        <w:rPr>
          <w:rFonts w:hint="eastAsia" w:eastAsia="仿宋_GB2312" w:cs="仿宋_GB2312"/>
          <w:color w:val="000000"/>
          <w:sz w:val="30"/>
          <w:szCs w:val="32"/>
          <w:u w:val="single"/>
        </w:rPr>
        <w:t>若承包人施工进度严重滞后且无有效抢工措施，施工进度无明显改善的，经发包人函告后仍未在通知的时间内积极采取有效措施达到现场进度要求的，发包人有权自行委托其他施工单位（第三方）替代施工，而不构成违约，承包人须无条件服从。第三方施工单位施工所发生的费用，由招标人书面认可即视为有效且承包人亦认可，最终由承包人承担，承担方式：承包人直接向第三方支付或由发包人代为支付，在承包人的竣工结算中对成本增加部分（双方价差）予以扣减。</w:t>
      </w:r>
    </w:p>
    <w:p w14:paraId="6DBE5D07">
      <w:pPr>
        <w:spacing w:after="120" w:line="360" w:lineRule="auto"/>
        <w:ind w:firstLine="600" w:firstLineChars="200"/>
        <w:rPr>
          <w:rFonts w:eastAsia="黑体"/>
          <w:sz w:val="30"/>
          <w:szCs w:val="32"/>
        </w:rPr>
      </w:pPr>
      <w:r>
        <w:rPr>
          <w:rFonts w:eastAsia="黑体"/>
          <w:sz w:val="30"/>
          <w:szCs w:val="32"/>
        </w:rPr>
        <w:t>7</w:t>
      </w:r>
      <w:bookmarkStart w:id="849" w:name="_Toc303539128"/>
      <w:bookmarkStart w:id="850" w:name="_Toc297216178"/>
      <w:bookmarkStart w:id="851" w:name="_Toc312678015"/>
      <w:bookmarkStart w:id="852" w:name="_Toc304295549"/>
      <w:bookmarkStart w:id="853" w:name="_Toc300934971"/>
      <w:bookmarkStart w:id="854" w:name="_Toc297123519"/>
      <w:r>
        <w:rPr>
          <w:rFonts w:eastAsia="黑体"/>
          <w:sz w:val="30"/>
          <w:szCs w:val="32"/>
        </w:rPr>
        <w:t xml:space="preserve">.6 </w:t>
      </w:r>
      <w:r>
        <w:rPr>
          <w:rFonts w:hint="eastAsia" w:eastAsia="黑体"/>
          <w:sz w:val="30"/>
          <w:szCs w:val="32"/>
        </w:rPr>
        <w:t>不</w:t>
      </w:r>
      <w:bookmarkEnd w:id="849"/>
      <w:bookmarkEnd w:id="850"/>
      <w:bookmarkEnd w:id="851"/>
      <w:bookmarkEnd w:id="852"/>
      <w:bookmarkEnd w:id="853"/>
      <w:bookmarkEnd w:id="854"/>
      <w:r>
        <w:rPr>
          <w:rFonts w:hint="eastAsia" w:eastAsia="黑体"/>
          <w:sz w:val="30"/>
          <w:szCs w:val="32"/>
        </w:rPr>
        <w:t>利物质条件</w:t>
      </w:r>
    </w:p>
    <w:p w14:paraId="61DFEE61">
      <w:pPr>
        <w:spacing w:line="360" w:lineRule="auto"/>
        <w:ind w:firstLine="600" w:firstLineChars="200"/>
        <w:jc w:val="left"/>
        <w:rPr>
          <w:rFonts w:eastAsia="仿宋_GB2312"/>
          <w:sz w:val="30"/>
          <w:szCs w:val="32"/>
        </w:rPr>
      </w:pPr>
      <w:bookmarkStart w:id="855" w:name="_Toc300934972"/>
      <w:bookmarkStart w:id="856" w:name="_Toc303539129"/>
      <w:bookmarkStart w:id="857" w:name="_Toc304295550"/>
      <w:bookmarkStart w:id="858" w:name="_Toc318581172"/>
      <w:bookmarkStart w:id="859" w:name="_Toc297216179"/>
      <w:bookmarkStart w:id="860" w:name="_Toc312678016"/>
      <w:bookmarkStart w:id="861" w:name="_Toc297123520"/>
      <w:r>
        <w:rPr>
          <w:rFonts w:hint="eastAsia" w:eastAsia="仿宋_GB2312"/>
          <w:sz w:val="30"/>
          <w:szCs w:val="32"/>
        </w:rPr>
        <w:t>不利物质条件的其他情形和有关约定：</w:t>
      </w:r>
      <w:r>
        <w:rPr>
          <w:rFonts w:eastAsia="仿宋_GB2312"/>
          <w:sz w:val="30"/>
          <w:szCs w:val="32"/>
          <w:u w:val="single"/>
        </w:rPr>
        <w:t xml:space="preserve"> </w:t>
      </w:r>
      <w:r>
        <w:rPr>
          <w:rFonts w:hint="eastAsia" w:eastAsia="仿宋_GB2312"/>
          <w:sz w:val="30"/>
          <w:szCs w:val="32"/>
          <w:u w:val="single"/>
        </w:rPr>
        <w:t>不利物质条件发生时，承包人应在</w:t>
      </w:r>
      <w:r>
        <w:rPr>
          <w:rFonts w:eastAsia="仿宋_GB2312"/>
          <w:sz w:val="30"/>
          <w:szCs w:val="32"/>
          <w:u w:val="single"/>
        </w:rPr>
        <w:t>24</w:t>
      </w:r>
      <w:r>
        <w:rPr>
          <w:rFonts w:hint="eastAsia" w:eastAsia="仿宋_GB2312"/>
          <w:sz w:val="30"/>
          <w:szCs w:val="32"/>
          <w:u w:val="single"/>
        </w:rPr>
        <w:t>小时内通知监理人和发包人；收到通知</w:t>
      </w:r>
      <w:r>
        <w:rPr>
          <w:rFonts w:eastAsia="仿宋_GB2312"/>
          <w:sz w:val="30"/>
          <w:szCs w:val="32"/>
          <w:u w:val="single"/>
        </w:rPr>
        <w:t>24</w:t>
      </w:r>
      <w:r>
        <w:rPr>
          <w:rFonts w:hint="eastAsia" w:eastAsia="仿宋_GB2312"/>
          <w:sz w:val="30"/>
          <w:szCs w:val="32"/>
          <w:u w:val="single"/>
        </w:rPr>
        <w:t>小时内发包人完成核实并通过监理人发出指示</w:t>
      </w:r>
      <w:r>
        <w:rPr>
          <w:rFonts w:eastAsia="仿宋_GB2312"/>
          <w:sz w:val="30"/>
          <w:szCs w:val="32"/>
          <w:u w:val="single"/>
        </w:rPr>
        <w:t xml:space="preserve">  </w:t>
      </w:r>
      <w:r>
        <w:rPr>
          <w:rFonts w:hint="eastAsia" w:eastAsia="仿宋_GB2312"/>
          <w:sz w:val="30"/>
          <w:szCs w:val="32"/>
        </w:rPr>
        <w:t>。</w:t>
      </w:r>
    </w:p>
    <w:bookmarkEnd w:id="855"/>
    <w:bookmarkEnd w:id="856"/>
    <w:bookmarkEnd w:id="857"/>
    <w:bookmarkEnd w:id="858"/>
    <w:bookmarkEnd w:id="859"/>
    <w:bookmarkEnd w:id="860"/>
    <w:bookmarkEnd w:id="861"/>
    <w:p w14:paraId="38C17A97">
      <w:pPr>
        <w:spacing w:after="120" w:line="360" w:lineRule="auto"/>
        <w:ind w:firstLine="600" w:firstLineChars="200"/>
        <w:rPr>
          <w:rFonts w:eastAsia="黑体"/>
          <w:sz w:val="30"/>
          <w:szCs w:val="32"/>
        </w:rPr>
      </w:pPr>
      <w:r>
        <w:rPr>
          <w:rFonts w:eastAsia="黑体"/>
          <w:sz w:val="30"/>
          <w:szCs w:val="32"/>
        </w:rPr>
        <w:t>7</w:t>
      </w:r>
      <w:bookmarkStart w:id="862" w:name="_Toc297216180"/>
      <w:bookmarkStart w:id="863" w:name="_Toc297123521"/>
      <w:bookmarkStart w:id="864" w:name="_Toc300934973"/>
      <w:bookmarkStart w:id="865" w:name="_Toc304295551"/>
      <w:bookmarkStart w:id="866" w:name="_Toc312678017"/>
      <w:bookmarkStart w:id="867" w:name="_Toc303539130"/>
      <w:r>
        <w:rPr>
          <w:rFonts w:eastAsia="黑体"/>
          <w:sz w:val="30"/>
          <w:szCs w:val="32"/>
        </w:rPr>
        <w:t>.7</w:t>
      </w:r>
      <w:r>
        <w:rPr>
          <w:rFonts w:hint="eastAsia" w:eastAsia="黑体"/>
          <w:sz w:val="30"/>
          <w:szCs w:val="32"/>
        </w:rPr>
        <w:t>异常恶劣的气候条件</w:t>
      </w:r>
    </w:p>
    <w:bookmarkEnd w:id="862"/>
    <w:bookmarkEnd w:id="863"/>
    <w:bookmarkEnd w:id="864"/>
    <w:bookmarkEnd w:id="865"/>
    <w:bookmarkEnd w:id="866"/>
    <w:bookmarkEnd w:id="867"/>
    <w:p w14:paraId="1AEF093D">
      <w:pPr>
        <w:spacing w:line="360" w:lineRule="auto"/>
        <w:ind w:firstLine="600" w:firstLineChars="200"/>
        <w:jc w:val="left"/>
        <w:rPr>
          <w:rFonts w:eastAsia="仿宋_GB2312"/>
          <w:sz w:val="30"/>
          <w:szCs w:val="32"/>
        </w:rPr>
      </w:pPr>
      <w:r>
        <w:rPr>
          <w:rFonts w:hint="eastAsia" w:eastAsia="仿宋_GB2312"/>
          <w:sz w:val="30"/>
          <w:szCs w:val="32"/>
        </w:rPr>
        <w:t>发包人和承包人同意以下情形视为异常恶劣的气候条件：</w:t>
      </w:r>
    </w:p>
    <w:p w14:paraId="189DE157">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1</w:t>
      </w:r>
      <w:r>
        <w:rPr>
          <w:rFonts w:hint="eastAsia" w:eastAsia="仿宋_GB2312"/>
          <w:sz w:val="30"/>
          <w:szCs w:val="32"/>
        </w:rPr>
        <w:t>）风力：八级以上持续24小时的大风；</w:t>
      </w:r>
    </w:p>
    <w:p w14:paraId="061610D4">
      <w:pPr>
        <w:spacing w:line="360" w:lineRule="auto"/>
        <w:ind w:firstLine="600" w:firstLineChars="200"/>
        <w:jc w:val="left"/>
        <w:rPr>
          <w:rFonts w:eastAsia="仿宋_GB2312"/>
          <w:sz w:val="30"/>
          <w:szCs w:val="32"/>
        </w:rPr>
      </w:pPr>
      <w:r>
        <w:rPr>
          <w:rFonts w:hint="eastAsia" w:eastAsia="仿宋_GB2312"/>
          <w:sz w:val="30"/>
          <w:szCs w:val="32"/>
        </w:rPr>
        <w:t>（2）降雨：连续3日日降雨量超过100毫米</w:t>
      </w:r>
    </w:p>
    <w:p w14:paraId="7F79A8BE">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3</w:t>
      </w:r>
      <w:r>
        <w:rPr>
          <w:rFonts w:hint="eastAsia" w:eastAsia="仿宋_GB2312"/>
          <w:sz w:val="30"/>
          <w:szCs w:val="32"/>
        </w:rPr>
        <w:t>）降雪：暴雪红色预警且实际发生。</w:t>
      </w:r>
    </w:p>
    <w:p w14:paraId="6F9F4A39">
      <w:pPr>
        <w:pStyle w:val="13"/>
        <w:ind w:left="63" w:right="63" w:firstLine="600" w:firstLineChars="200"/>
        <w:rPr>
          <w:rFonts w:eastAsia="仿宋_GB2312"/>
          <w:sz w:val="30"/>
          <w:szCs w:val="32"/>
        </w:rPr>
      </w:pPr>
      <w:r>
        <w:rPr>
          <w:rFonts w:hint="eastAsia" w:ascii="仿宋" w:hAnsi="仿宋" w:eastAsia="仿宋" w:cs="仿宋"/>
          <w:sz w:val="30"/>
          <w:szCs w:val="32"/>
        </w:rPr>
        <w:t>（4）</w:t>
      </w:r>
      <w:r>
        <w:rPr>
          <w:rFonts w:hint="eastAsia" w:eastAsia="仿宋_GB2312"/>
          <w:sz w:val="30"/>
          <w:szCs w:val="32"/>
        </w:rPr>
        <w:t>省级气象部门发布的气象预报连续3天40摄氏度以上</w:t>
      </w:r>
    </w:p>
    <w:p w14:paraId="5F0BBFA3">
      <w:pPr>
        <w:pStyle w:val="13"/>
        <w:ind w:left="63" w:right="63" w:firstLine="600" w:firstLineChars="200"/>
        <w:rPr>
          <w:rFonts w:eastAsia="仿宋_GB2312"/>
          <w:color w:val="000000"/>
          <w:sz w:val="30"/>
          <w:szCs w:val="32"/>
        </w:rPr>
      </w:pPr>
      <w:r>
        <w:rPr>
          <w:rFonts w:eastAsia="仿宋_GB2312"/>
          <w:color w:val="000000"/>
          <w:sz w:val="30"/>
          <w:szCs w:val="32"/>
        </w:rPr>
        <w:t>承包人需要主动采取合理措施处理异常恶劣的气候条件以继续施工，如果承包人没有采取合理措施，导致损失</w:t>
      </w:r>
      <w:r>
        <w:rPr>
          <w:rFonts w:hint="eastAsia" w:eastAsia="仿宋_GB2312"/>
          <w:color w:val="000000"/>
          <w:sz w:val="30"/>
          <w:szCs w:val="32"/>
        </w:rPr>
        <w:t>扩大</w:t>
      </w:r>
      <w:r>
        <w:rPr>
          <w:rFonts w:eastAsia="仿宋_GB2312"/>
          <w:color w:val="000000"/>
          <w:sz w:val="30"/>
          <w:szCs w:val="32"/>
        </w:rPr>
        <w:t>，那么无权就损失扩大部分向发包人主张赔偿。同时，承包人要履行通知义务，通知监理人和发包人，并在通知中对异常恶劣的气候条件进行描述，并陈述其在签订合同时对该气候条件难以预见的理由</w:t>
      </w:r>
      <w:r>
        <w:rPr>
          <w:rFonts w:hint="eastAsia" w:eastAsia="仿宋_GB2312"/>
          <w:color w:val="000000"/>
          <w:sz w:val="30"/>
          <w:szCs w:val="32"/>
        </w:rPr>
        <w:t>。</w:t>
      </w:r>
      <w:r>
        <w:rPr>
          <w:rFonts w:eastAsia="仿宋_GB2312"/>
          <w:color w:val="000000"/>
          <w:sz w:val="30"/>
          <w:szCs w:val="32"/>
        </w:rPr>
        <w:t>如果异常恶劣的气候条件发生在因承包人单方原因导致工期延误后的时间内，承包人在此种情况下无权要求发包人延长其工期及</w:t>
      </w:r>
      <w:r>
        <w:rPr>
          <w:rFonts w:hint="eastAsia" w:eastAsia="仿宋_GB2312"/>
          <w:color w:val="000000"/>
          <w:sz w:val="30"/>
          <w:szCs w:val="32"/>
        </w:rPr>
        <w:t>/或赔偿任何</w:t>
      </w:r>
      <w:r>
        <w:rPr>
          <w:rFonts w:eastAsia="仿宋_GB2312"/>
          <w:color w:val="000000"/>
          <w:sz w:val="30"/>
          <w:szCs w:val="32"/>
        </w:rPr>
        <w:t>损失</w:t>
      </w:r>
      <w:r>
        <w:rPr>
          <w:rFonts w:hint="eastAsia" w:eastAsia="仿宋_GB2312"/>
          <w:color w:val="000000"/>
          <w:sz w:val="30"/>
          <w:szCs w:val="32"/>
        </w:rPr>
        <w:t>。</w:t>
      </w:r>
    </w:p>
    <w:p w14:paraId="1A7A3442">
      <w:pPr>
        <w:spacing w:after="120" w:line="360" w:lineRule="auto"/>
        <w:ind w:firstLine="600" w:firstLineChars="200"/>
        <w:rPr>
          <w:rFonts w:eastAsia="黑体"/>
          <w:sz w:val="30"/>
          <w:szCs w:val="32"/>
        </w:rPr>
      </w:pPr>
      <w:r>
        <w:rPr>
          <w:rFonts w:eastAsia="黑体"/>
          <w:sz w:val="30"/>
          <w:szCs w:val="32"/>
        </w:rPr>
        <w:t xml:space="preserve">7.9 </w:t>
      </w:r>
      <w:r>
        <w:rPr>
          <w:rFonts w:hint="eastAsia" w:eastAsia="黑体"/>
          <w:sz w:val="30"/>
          <w:szCs w:val="32"/>
        </w:rPr>
        <w:t>提前竣工的奖励</w:t>
      </w:r>
    </w:p>
    <w:p w14:paraId="1C0FEC2D">
      <w:pPr>
        <w:spacing w:line="360" w:lineRule="auto"/>
        <w:ind w:firstLine="600" w:firstLineChars="200"/>
        <w:jc w:val="left"/>
        <w:rPr>
          <w:rFonts w:eastAsia="仿宋_GB2312"/>
          <w:sz w:val="30"/>
          <w:szCs w:val="32"/>
        </w:rPr>
      </w:pPr>
      <w:r>
        <w:rPr>
          <w:rFonts w:eastAsia="仿宋_GB2312"/>
          <w:sz w:val="30"/>
          <w:szCs w:val="32"/>
        </w:rPr>
        <w:t>7.9.2</w:t>
      </w:r>
      <w:r>
        <w:rPr>
          <w:rFonts w:hint="eastAsia" w:eastAsia="仿宋_GB2312"/>
          <w:sz w:val="30"/>
          <w:szCs w:val="32"/>
        </w:rPr>
        <w:t>提前竣工的奖励：</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rPr>
        <w:t>。</w:t>
      </w:r>
    </w:p>
    <w:p w14:paraId="4E2CA6A6">
      <w:pPr>
        <w:pStyle w:val="8"/>
        <w:spacing w:before="120" w:after="120" w:line="360" w:lineRule="auto"/>
        <w:rPr>
          <w:rFonts w:ascii="Times New Roman" w:hAnsi="Times New Roman" w:eastAsia="黑体"/>
          <w:b w:val="0"/>
          <w:sz w:val="32"/>
          <w:szCs w:val="32"/>
        </w:rPr>
      </w:pPr>
      <w:bookmarkStart w:id="868" w:name="_Toc351203640"/>
      <w:r>
        <w:rPr>
          <w:rFonts w:ascii="Times New Roman" w:hAnsi="Times New Roman" w:eastAsia="黑体"/>
          <w:b w:val="0"/>
          <w:sz w:val="32"/>
          <w:szCs w:val="32"/>
        </w:rPr>
        <w:t xml:space="preserve">8. </w:t>
      </w:r>
      <w:r>
        <w:rPr>
          <w:rFonts w:hint="eastAsia" w:ascii="Times New Roman" w:hAnsi="Times New Roman" w:eastAsia="黑体"/>
          <w:b w:val="0"/>
          <w:sz w:val="32"/>
          <w:szCs w:val="32"/>
        </w:rPr>
        <w:t>材料与设备</w:t>
      </w:r>
      <w:bookmarkEnd w:id="868"/>
    </w:p>
    <w:p w14:paraId="76BEDE2A">
      <w:pPr>
        <w:spacing w:after="120" w:line="360" w:lineRule="auto"/>
        <w:ind w:firstLine="600" w:firstLineChars="200"/>
        <w:rPr>
          <w:rFonts w:eastAsia="黑体"/>
          <w:sz w:val="30"/>
          <w:szCs w:val="32"/>
        </w:rPr>
      </w:pPr>
      <w:r>
        <w:rPr>
          <w:rFonts w:eastAsia="黑体"/>
          <w:sz w:val="30"/>
          <w:szCs w:val="32"/>
        </w:rPr>
        <w:t>8</w:t>
      </w:r>
      <w:bookmarkStart w:id="869" w:name="_Toc297048353"/>
      <w:bookmarkStart w:id="870" w:name="_Toc296891207"/>
      <w:bookmarkStart w:id="871" w:name="_Toc296944506"/>
      <w:bookmarkStart w:id="872" w:name="_Toc292559877"/>
      <w:bookmarkStart w:id="873" w:name="_Toc312678019"/>
      <w:bookmarkStart w:id="874" w:name="_Toc297120467"/>
      <w:bookmarkStart w:id="875" w:name="_Toc303539136"/>
      <w:bookmarkStart w:id="876" w:name="_Toc280868654"/>
      <w:bookmarkStart w:id="877" w:name="_Toc296890995"/>
      <w:bookmarkStart w:id="878" w:name="_Toc297216186"/>
      <w:bookmarkStart w:id="879" w:name="_Toc296346668"/>
      <w:bookmarkStart w:id="880" w:name="_Toc312677493"/>
      <w:bookmarkStart w:id="881" w:name="_Toc300934979"/>
      <w:bookmarkStart w:id="882" w:name="_Toc304295556"/>
      <w:bookmarkStart w:id="883" w:name="_Toc296503167"/>
      <w:bookmarkStart w:id="884" w:name="_Toc292559372"/>
      <w:bookmarkStart w:id="885" w:name="_Toc296347166"/>
      <w:bookmarkStart w:id="886" w:name="_Toc297123527"/>
      <w:bookmarkStart w:id="887" w:name="_Toc280868656"/>
      <w:bookmarkStart w:id="888" w:name="_Toc280868655"/>
      <w:bookmarkStart w:id="889" w:name="_Toc267251424"/>
      <w:r>
        <w:rPr>
          <w:rFonts w:eastAsia="黑体"/>
          <w:sz w:val="30"/>
          <w:szCs w:val="32"/>
        </w:rPr>
        <w:t>.4</w:t>
      </w:r>
      <w:r>
        <w:rPr>
          <w:rFonts w:hint="eastAsia" w:eastAsia="黑体"/>
          <w:sz w:val="30"/>
          <w:szCs w:val="32"/>
        </w:rPr>
        <w:t>材料与工程设备的保管与使用</w:t>
      </w:r>
    </w:p>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p w14:paraId="7504B534">
      <w:pPr>
        <w:spacing w:line="360" w:lineRule="auto"/>
        <w:ind w:firstLine="600" w:firstLineChars="200"/>
        <w:jc w:val="left"/>
        <w:rPr>
          <w:rFonts w:eastAsia="仿宋_GB2312"/>
          <w:sz w:val="30"/>
          <w:szCs w:val="32"/>
        </w:rPr>
      </w:pPr>
      <w:r>
        <w:rPr>
          <w:rFonts w:eastAsia="仿宋_GB2312"/>
          <w:sz w:val="30"/>
          <w:szCs w:val="32"/>
        </w:rPr>
        <w:t>8</w:t>
      </w:r>
      <w:bookmarkStart w:id="890" w:name="_Toc292559878"/>
      <w:bookmarkStart w:id="891" w:name="_Toc292559373"/>
      <w:bookmarkStart w:id="892" w:name="_Toc312677494"/>
      <w:bookmarkStart w:id="893" w:name="_Toc318581173"/>
      <w:bookmarkStart w:id="894" w:name="_Toc303539137"/>
      <w:bookmarkStart w:id="895" w:name="_Toc297216187"/>
      <w:bookmarkStart w:id="896" w:name="_Toc296347167"/>
      <w:bookmarkStart w:id="897" w:name="_Toc312678020"/>
      <w:bookmarkStart w:id="898" w:name="_Toc304295557"/>
      <w:bookmarkStart w:id="899" w:name="_Toc297120468"/>
      <w:bookmarkStart w:id="900" w:name="_Toc296503168"/>
      <w:bookmarkStart w:id="901" w:name="_Toc297123528"/>
      <w:bookmarkStart w:id="902" w:name="_Toc296346669"/>
      <w:bookmarkStart w:id="903" w:name="_Toc296891208"/>
      <w:bookmarkStart w:id="904" w:name="_Toc296944507"/>
      <w:bookmarkStart w:id="905" w:name="_Toc300934980"/>
      <w:bookmarkStart w:id="906" w:name="_Toc297048354"/>
      <w:bookmarkStart w:id="907" w:name="_Toc296890996"/>
      <w:r>
        <w:rPr>
          <w:rFonts w:eastAsia="仿宋_GB2312"/>
          <w:sz w:val="30"/>
          <w:szCs w:val="32"/>
        </w:rPr>
        <w:t>.4.1</w:t>
      </w:r>
      <w:r>
        <w:rPr>
          <w:rFonts w:hint="eastAsia" w:eastAsia="仿宋_GB2312"/>
          <w:sz w:val="30"/>
          <w:szCs w:val="32"/>
        </w:rPr>
        <w:t>发包人供应的材料设备的保管费用的承担：</w:t>
      </w:r>
      <w:r>
        <w:rPr>
          <w:rFonts w:eastAsia="仿宋_GB2312"/>
          <w:sz w:val="30"/>
          <w:szCs w:val="32"/>
          <w:u w:val="single"/>
        </w:rPr>
        <w:t xml:space="preserve"> </w:t>
      </w:r>
      <w:r>
        <w:rPr>
          <w:rFonts w:hint="eastAsia" w:eastAsia="仿宋_GB2312"/>
          <w:sz w:val="30"/>
          <w:szCs w:val="32"/>
          <w:u w:val="single"/>
        </w:rPr>
        <w:t>已包含在签约合同价中，由承包人承担</w:t>
      </w:r>
      <w:r>
        <w:rPr>
          <w:rFonts w:eastAsia="仿宋_GB2312"/>
          <w:sz w:val="30"/>
          <w:szCs w:val="32"/>
          <w:u w:val="single"/>
        </w:rPr>
        <w:t xml:space="preserve">  </w:t>
      </w:r>
      <w:r>
        <w:rPr>
          <w:rFonts w:hint="eastAsia" w:eastAsia="仿宋_GB2312"/>
          <w:sz w:val="30"/>
          <w:szCs w:val="32"/>
        </w:rPr>
        <w:t>。</w:t>
      </w:r>
      <w:bookmarkEnd w:id="890"/>
      <w:bookmarkEnd w:id="891"/>
    </w:p>
    <w:p w14:paraId="2C0C935D">
      <w:pPr>
        <w:spacing w:after="120" w:line="360" w:lineRule="auto"/>
        <w:ind w:firstLine="600" w:firstLineChars="200"/>
        <w:rPr>
          <w:rFonts w:eastAsia="黑体"/>
          <w:sz w:val="30"/>
          <w:szCs w:val="32"/>
        </w:rPr>
      </w:pPr>
      <w:r>
        <w:rPr>
          <w:rFonts w:eastAsia="黑体"/>
          <w:sz w:val="30"/>
          <w:szCs w:val="32"/>
        </w:rPr>
        <w:t xml:space="preserve">8.6 </w:t>
      </w:r>
      <w:r>
        <w:rPr>
          <w:rFonts w:hint="eastAsia" w:eastAsia="黑体"/>
          <w:sz w:val="30"/>
          <w:szCs w:val="32"/>
        </w:rPr>
        <w:t>样品</w:t>
      </w:r>
    </w:p>
    <w:p w14:paraId="0A03363E">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8.6.1</w:t>
      </w:r>
      <w:r>
        <w:rPr>
          <w:rFonts w:eastAsia="仿宋_GB2312"/>
          <w:kern w:val="0"/>
          <w:sz w:val="30"/>
          <w:szCs w:val="32"/>
        </w:rPr>
        <w:tab/>
      </w:r>
      <w:r>
        <w:rPr>
          <w:rFonts w:hint="eastAsia" w:eastAsia="仿宋_GB2312"/>
          <w:kern w:val="0"/>
          <w:sz w:val="30"/>
          <w:szCs w:val="32"/>
        </w:rPr>
        <w:t>样品的报送与封存</w:t>
      </w:r>
    </w:p>
    <w:p w14:paraId="36706396">
      <w:pPr>
        <w:autoSpaceDE w:val="0"/>
        <w:autoSpaceDN w:val="0"/>
        <w:adjustRightInd w:val="0"/>
        <w:spacing w:line="360" w:lineRule="auto"/>
        <w:ind w:firstLine="600" w:firstLineChars="200"/>
        <w:jc w:val="left"/>
        <w:rPr>
          <w:rFonts w:eastAsia="仿宋_GB2312"/>
          <w:sz w:val="30"/>
          <w:szCs w:val="32"/>
          <w:u w:val="single"/>
        </w:rPr>
      </w:pPr>
      <w:r>
        <w:rPr>
          <w:rFonts w:hint="eastAsia" w:eastAsia="仿宋_GB2312"/>
          <w:kern w:val="0"/>
          <w:sz w:val="30"/>
          <w:szCs w:val="32"/>
        </w:rPr>
        <w:t>需要承包人报送样品的材料或工程设备，样品的种类、名称、规格、数量要求：</w:t>
      </w:r>
      <w:r>
        <w:rPr>
          <w:rFonts w:hint="eastAsia" w:eastAsia="仿宋_GB2312"/>
          <w:sz w:val="30"/>
          <w:szCs w:val="32"/>
          <w:u w:val="single"/>
          <w:lang w:val="en-US" w:eastAsia="zh-CN"/>
        </w:rPr>
        <w:t>满足发包人要求</w:t>
      </w:r>
      <w:r>
        <w:rPr>
          <w:rFonts w:eastAsia="仿宋_GB2312"/>
          <w:sz w:val="30"/>
          <w:szCs w:val="32"/>
          <w:u w:val="single"/>
        </w:rPr>
        <w:t xml:space="preserve"> </w:t>
      </w:r>
      <w:r>
        <w:rPr>
          <w:rFonts w:hint="eastAsia" w:eastAsia="仿宋_GB2312"/>
          <w:sz w:val="30"/>
          <w:szCs w:val="32"/>
          <w:u w:val="none"/>
        </w:rPr>
        <w:t>。</w:t>
      </w:r>
    </w:p>
    <w:p w14:paraId="0040E5EA">
      <w:pPr>
        <w:pStyle w:val="9"/>
        <w:spacing w:before="120" w:after="120" w:line="360" w:lineRule="auto"/>
        <w:ind w:firstLine="600" w:firstLineChars="200"/>
        <w:rPr>
          <w:rFonts w:hint="eastAsia" w:ascii="仿宋" w:hAnsi="仿宋" w:eastAsia="仿宋" w:cs="仿宋"/>
          <w:b w:val="0"/>
          <w:i w:val="0"/>
          <w:iCs w:val="0"/>
          <w:sz w:val="30"/>
          <w:szCs w:val="32"/>
        </w:rPr>
      </w:pPr>
      <w:r>
        <w:rPr>
          <w:rFonts w:ascii="仿宋" w:hAnsi="仿宋" w:eastAsia="仿宋" w:cs="仿宋"/>
          <w:b w:val="0"/>
          <w:i w:val="0"/>
          <w:iCs w:val="0"/>
          <w:sz w:val="30"/>
          <w:szCs w:val="32"/>
        </w:rPr>
        <w:t>8.7材料与工程设备的替代</w:t>
      </w:r>
    </w:p>
    <w:p w14:paraId="51DF6759">
      <w:pPr>
        <w:ind w:firstLine="600" w:firstLineChars="200"/>
        <w:rPr>
          <w:rFonts w:hint="eastAsia" w:ascii="仿宋" w:hAnsi="仿宋" w:eastAsia="仿宋" w:cs="仿宋"/>
          <w:sz w:val="30"/>
          <w:szCs w:val="32"/>
        </w:rPr>
      </w:pPr>
      <w:r>
        <w:rPr>
          <w:rFonts w:hint="eastAsia" w:ascii="仿宋" w:hAnsi="仿宋" w:eastAsia="仿宋" w:cs="仿宋"/>
          <w:sz w:val="30"/>
          <w:szCs w:val="32"/>
        </w:rPr>
        <w:t>主要设备及主要材料品牌按照附件</w:t>
      </w:r>
      <w:r>
        <w:rPr>
          <w:rFonts w:ascii="仿宋" w:hAnsi="仿宋" w:eastAsia="仿宋" w:cs="仿宋"/>
          <w:sz w:val="30"/>
          <w:szCs w:val="32"/>
        </w:rPr>
        <w:t>表中选择。投标文件中已按附件选择品牌的，按投标文件所报品牌执行；未按附件选择的，施工过程中必须按此表选择品牌；附表外其他材料，承包人在投标时明确品牌的必须使用投标品牌。另外，材料及设备必须是原厂生产，禁止使用委托第三人生产后贴牌的材料和设备，否则按不合格材料处理，承包人按合同条款承担违约责任。</w:t>
      </w:r>
    </w:p>
    <w:p w14:paraId="0A725398">
      <w:pPr>
        <w:ind w:firstLine="600" w:firstLineChars="200"/>
        <w:rPr>
          <w:rFonts w:hint="eastAsia" w:ascii="仿宋" w:hAnsi="仿宋" w:eastAsia="仿宋" w:cs="仿宋"/>
          <w:sz w:val="30"/>
          <w:szCs w:val="32"/>
        </w:rPr>
      </w:pPr>
      <w:r>
        <w:rPr>
          <w:rFonts w:hint="eastAsia" w:ascii="仿宋" w:hAnsi="仿宋" w:eastAsia="仿宋" w:cs="仿宋"/>
          <w:sz w:val="30"/>
          <w:szCs w:val="32"/>
        </w:rPr>
        <w:t>未经发包人批准，承包人不得擅自使用替代材料或工程设备，否则视为使用不合格材料，一经发现，无论本工程是否已经竣工或是否验收合格，发包人均有权要求承包人对其进行更换，并按照应该使用的材料及设备总价的</w:t>
      </w:r>
      <w:r>
        <w:rPr>
          <w:rFonts w:ascii="仿宋" w:hAnsi="仿宋" w:eastAsia="仿宋" w:cs="仿宋"/>
          <w:sz w:val="30"/>
          <w:szCs w:val="32"/>
        </w:rPr>
        <w:t>2倍向发包人承担违约金，因更换造成的工期延误和费用由承包人承担。在承包人完成更换之前，该部分工程款不予计入进度款或者进行结算。</w:t>
      </w:r>
    </w:p>
    <w:p w14:paraId="7F5FF150">
      <w:pPr>
        <w:ind w:firstLine="675" w:firstLineChars="225"/>
        <w:rPr>
          <w:rFonts w:hint="eastAsia" w:ascii="仿宋" w:hAnsi="仿宋" w:eastAsia="仿宋" w:cs="仿宋"/>
          <w:sz w:val="30"/>
          <w:szCs w:val="32"/>
          <w:highlight w:val="cyan"/>
        </w:rPr>
      </w:pPr>
      <w:r>
        <w:rPr>
          <w:rFonts w:hint="eastAsia" w:ascii="仿宋" w:hAnsi="仿宋" w:eastAsia="仿宋" w:cs="仿宋"/>
          <w:sz w:val="30"/>
          <w:szCs w:val="32"/>
        </w:rPr>
        <w:t>若因市场货源不足或供货时间原因确需采用其他品牌、厂家同类产品替代的，承包人必须报发包人审核批准，并同时核定替代产品的市场单价。若替代产品的市场单价高于合同约定（投标）品牌市场单价，不予调整；若低于合同约定（投标）品牌市场单价，按差价按实调整。</w:t>
      </w:r>
    </w:p>
    <w:p w14:paraId="534EAFD2">
      <w:pPr>
        <w:pStyle w:val="13"/>
        <w:ind w:left="63" w:right="63" w:firstLine="675" w:firstLineChars="225"/>
        <w:jc w:val="left"/>
      </w:pPr>
      <w:r>
        <w:rPr>
          <w:rFonts w:hint="eastAsia" w:ascii="仿宋" w:hAnsi="仿宋" w:eastAsia="仿宋" w:cs="仿宋"/>
          <w:sz w:val="30"/>
          <w:szCs w:val="32"/>
          <w:lang w:bidi="en-US"/>
        </w:rPr>
        <w:t>根据项目需要，发包人有权自行将部分乙购材料、设备改为甲供，或将部分甲供材料、设备改为甲指乙购，价格调整按合同约定条款执行。发包人无需为上述采购方式的变化向承包人支付其他额外费用或者补偿，且工期不予顺延。</w:t>
      </w:r>
    </w:p>
    <w:p w14:paraId="66F141F9">
      <w:pPr>
        <w:spacing w:after="120" w:line="360" w:lineRule="auto"/>
        <w:ind w:firstLine="600" w:firstLineChars="200"/>
        <w:rPr>
          <w:rFonts w:eastAsia="黑体"/>
          <w:sz w:val="30"/>
          <w:szCs w:val="32"/>
        </w:rPr>
      </w:pPr>
      <w:r>
        <w:rPr>
          <w:rFonts w:eastAsia="黑体"/>
          <w:sz w:val="30"/>
          <w:szCs w:val="32"/>
        </w:rPr>
        <w:t xml:space="preserve">8.8 </w:t>
      </w:r>
      <w:r>
        <w:rPr>
          <w:rFonts w:hint="eastAsia" w:eastAsia="黑体"/>
          <w:sz w:val="30"/>
          <w:szCs w:val="32"/>
        </w:rPr>
        <w:t>施工设备和临时设施</w:t>
      </w:r>
    </w:p>
    <w:p w14:paraId="36ECB706">
      <w:pPr>
        <w:autoSpaceDE w:val="0"/>
        <w:autoSpaceDN w:val="0"/>
        <w:adjustRightInd w:val="0"/>
        <w:spacing w:line="360" w:lineRule="auto"/>
        <w:ind w:firstLine="600" w:firstLineChars="200"/>
        <w:jc w:val="left"/>
        <w:rPr>
          <w:rFonts w:eastAsia="仿宋_GB2312"/>
          <w:sz w:val="30"/>
          <w:szCs w:val="32"/>
        </w:rPr>
      </w:pPr>
      <w:r>
        <w:rPr>
          <w:rFonts w:eastAsia="仿宋_GB2312"/>
          <w:sz w:val="30"/>
          <w:szCs w:val="32"/>
        </w:rPr>
        <w:t xml:space="preserve">8.8.1 </w:t>
      </w:r>
      <w:r>
        <w:rPr>
          <w:rFonts w:hint="eastAsia" w:eastAsia="仿宋_GB2312"/>
          <w:sz w:val="30"/>
          <w:szCs w:val="32"/>
        </w:rPr>
        <w:t>承包人提供的施工设备和临时设施</w:t>
      </w:r>
    </w:p>
    <w:p w14:paraId="3D25F72E">
      <w:pPr>
        <w:autoSpaceDE w:val="0"/>
        <w:autoSpaceDN w:val="0"/>
        <w:adjustRightInd w:val="0"/>
        <w:spacing w:line="360" w:lineRule="auto"/>
        <w:ind w:firstLine="600" w:firstLineChars="200"/>
        <w:jc w:val="left"/>
        <w:rPr>
          <w:rFonts w:eastAsia="仿宋_GB2312"/>
          <w:sz w:val="30"/>
          <w:szCs w:val="32"/>
        </w:rPr>
      </w:pPr>
      <w:r>
        <w:rPr>
          <w:rFonts w:hint="eastAsia" w:eastAsia="仿宋_GB2312"/>
          <w:sz w:val="30"/>
          <w:szCs w:val="32"/>
        </w:rPr>
        <w:t>关于修建临时设施费用承担的约定：</w:t>
      </w:r>
      <w:r>
        <w:rPr>
          <w:rFonts w:eastAsia="仿宋_GB2312"/>
          <w:sz w:val="30"/>
          <w:szCs w:val="32"/>
          <w:u w:val="single"/>
        </w:rPr>
        <w:t xml:space="preserve"> </w:t>
      </w:r>
      <w:r>
        <w:rPr>
          <w:rFonts w:hint="eastAsia" w:eastAsia="仿宋_GB2312"/>
          <w:sz w:val="30"/>
          <w:szCs w:val="32"/>
          <w:u w:val="single"/>
        </w:rPr>
        <w:t>承包人承担</w:t>
      </w:r>
      <w:r>
        <w:rPr>
          <w:rFonts w:eastAsia="仿宋_GB2312"/>
          <w:sz w:val="30"/>
          <w:szCs w:val="32"/>
          <w:u w:val="single"/>
        </w:rPr>
        <w:t xml:space="preserve"> </w:t>
      </w:r>
      <w:r>
        <w:rPr>
          <w:rFonts w:hint="eastAsia" w:eastAsia="仿宋_GB2312"/>
          <w:sz w:val="30"/>
          <w:szCs w:val="32"/>
        </w:rPr>
        <w:t>。</w:t>
      </w:r>
    </w:p>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p w14:paraId="202D956F">
      <w:pPr>
        <w:pStyle w:val="8"/>
        <w:spacing w:before="120" w:after="120" w:line="360" w:lineRule="auto"/>
        <w:rPr>
          <w:rFonts w:ascii="Times New Roman" w:hAnsi="Times New Roman" w:eastAsia="黑体"/>
          <w:b w:val="0"/>
          <w:sz w:val="32"/>
          <w:szCs w:val="32"/>
        </w:rPr>
      </w:pPr>
      <w:bookmarkStart w:id="908" w:name="_Toc351203641"/>
      <w:r>
        <w:rPr>
          <w:rFonts w:ascii="Times New Roman" w:hAnsi="Times New Roman" w:eastAsia="黑体"/>
          <w:b w:val="0"/>
          <w:sz w:val="32"/>
          <w:szCs w:val="32"/>
        </w:rPr>
        <w:t>9</w:t>
      </w:r>
      <w:bookmarkEnd w:id="887"/>
      <w:bookmarkEnd w:id="888"/>
      <w:bookmarkEnd w:id="889"/>
      <w:bookmarkStart w:id="909" w:name="_Toc297123533"/>
      <w:bookmarkStart w:id="910" w:name="_Toc312677495"/>
      <w:bookmarkStart w:id="911" w:name="_Toc297216192"/>
      <w:bookmarkStart w:id="912" w:name="_Toc304295559"/>
      <w:bookmarkStart w:id="913" w:name="_Toc300934982"/>
      <w:bookmarkStart w:id="914" w:name="_Toc303539139"/>
      <w:bookmarkStart w:id="915" w:name="_Toc312678021"/>
      <w:r>
        <w:rPr>
          <w:rFonts w:ascii="Times New Roman" w:hAnsi="Times New Roman" w:eastAsia="黑体"/>
          <w:b w:val="0"/>
          <w:sz w:val="32"/>
          <w:szCs w:val="32"/>
        </w:rPr>
        <w:t xml:space="preserve">. </w:t>
      </w:r>
      <w:r>
        <w:rPr>
          <w:rFonts w:hint="eastAsia" w:ascii="Times New Roman" w:hAnsi="Times New Roman" w:eastAsia="黑体"/>
          <w:b w:val="0"/>
          <w:sz w:val="32"/>
          <w:szCs w:val="32"/>
        </w:rPr>
        <w:t>试验与检验</w:t>
      </w:r>
      <w:bookmarkEnd w:id="908"/>
    </w:p>
    <w:bookmarkEnd w:id="909"/>
    <w:bookmarkEnd w:id="910"/>
    <w:bookmarkEnd w:id="911"/>
    <w:bookmarkEnd w:id="912"/>
    <w:bookmarkEnd w:id="913"/>
    <w:bookmarkEnd w:id="914"/>
    <w:bookmarkEnd w:id="915"/>
    <w:p w14:paraId="63C7B308">
      <w:pPr>
        <w:spacing w:after="120" w:line="360" w:lineRule="auto"/>
        <w:ind w:firstLine="600" w:firstLineChars="200"/>
        <w:rPr>
          <w:rFonts w:eastAsia="黑体"/>
          <w:sz w:val="30"/>
          <w:szCs w:val="32"/>
        </w:rPr>
      </w:pPr>
      <w:r>
        <w:rPr>
          <w:rFonts w:eastAsia="黑体"/>
          <w:sz w:val="30"/>
          <w:szCs w:val="32"/>
        </w:rPr>
        <w:t>9</w:t>
      </w:r>
      <w:bookmarkStart w:id="916" w:name="_Toc312677496"/>
      <w:bookmarkStart w:id="917" w:name="_Toc304295560"/>
      <w:bookmarkStart w:id="918" w:name="_Toc303539140"/>
      <w:bookmarkStart w:id="919" w:name="_Toc297123534"/>
      <w:bookmarkStart w:id="920" w:name="_Toc297216193"/>
      <w:bookmarkStart w:id="921" w:name="_Toc300934983"/>
      <w:bookmarkStart w:id="922" w:name="_Toc312678022"/>
      <w:r>
        <w:rPr>
          <w:rFonts w:eastAsia="黑体"/>
          <w:sz w:val="30"/>
          <w:szCs w:val="32"/>
        </w:rPr>
        <w:t>.1</w:t>
      </w:r>
      <w:r>
        <w:rPr>
          <w:rFonts w:hint="eastAsia" w:eastAsia="黑体"/>
          <w:sz w:val="30"/>
          <w:szCs w:val="32"/>
        </w:rPr>
        <w:t>试验设备与试验人员</w:t>
      </w:r>
    </w:p>
    <w:bookmarkEnd w:id="916"/>
    <w:bookmarkEnd w:id="917"/>
    <w:bookmarkEnd w:id="918"/>
    <w:bookmarkEnd w:id="919"/>
    <w:bookmarkEnd w:id="920"/>
    <w:bookmarkEnd w:id="921"/>
    <w:bookmarkEnd w:id="922"/>
    <w:p w14:paraId="2A007B9B">
      <w:pPr>
        <w:spacing w:line="360" w:lineRule="auto"/>
        <w:ind w:firstLine="600" w:firstLineChars="200"/>
        <w:jc w:val="left"/>
        <w:rPr>
          <w:rFonts w:eastAsia="仿宋_GB2312"/>
          <w:sz w:val="30"/>
          <w:szCs w:val="32"/>
        </w:rPr>
      </w:pPr>
      <w:r>
        <w:rPr>
          <w:rFonts w:eastAsia="仿宋_GB2312"/>
          <w:sz w:val="30"/>
          <w:szCs w:val="32"/>
        </w:rPr>
        <w:t>9</w:t>
      </w:r>
      <w:bookmarkStart w:id="923" w:name="_Toc304295561"/>
      <w:bookmarkStart w:id="924" w:name="_Toc303539141"/>
      <w:bookmarkStart w:id="925" w:name="_Toc312677497"/>
      <w:bookmarkStart w:id="926" w:name="_Toc297216194"/>
      <w:bookmarkStart w:id="927" w:name="_Toc312678023"/>
      <w:bookmarkStart w:id="928" w:name="_Toc300934984"/>
      <w:bookmarkStart w:id="929" w:name="_Toc297123535"/>
      <w:bookmarkStart w:id="930" w:name="_Toc318581174"/>
      <w:r>
        <w:rPr>
          <w:rFonts w:eastAsia="仿宋_GB2312"/>
          <w:sz w:val="30"/>
          <w:szCs w:val="32"/>
        </w:rPr>
        <w:t xml:space="preserve">.1.2 </w:t>
      </w:r>
      <w:r>
        <w:rPr>
          <w:rFonts w:hint="eastAsia" w:eastAsia="仿宋_GB2312"/>
          <w:sz w:val="30"/>
          <w:szCs w:val="32"/>
        </w:rPr>
        <w:t>试验设备</w:t>
      </w:r>
    </w:p>
    <w:p w14:paraId="1183B03E">
      <w:pPr>
        <w:spacing w:line="360" w:lineRule="auto"/>
        <w:ind w:firstLine="600" w:firstLineChars="200"/>
        <w:jc w:val="left"/>
        <w:rPr>
          <w:rFonts w:eastAsia="仿宋_GB2312"/>
          <w:sz w:val="30"/>
          <w:szCs w:val="32"/>
        </w:rPr>
      </w:pPr>
      <w:r>
        <w:rPr>
          <w:rFonts w:hint="eastAsia" w:eastAsia="仿宋_GB2312"/>
          <w:sz w:val="30"/>
          <w:szCs w:val="32"/>
        </w:rPr>
        <w:t>施工现场需要配置的试验场所：</w:t>
      </w:r>
      <w:bookmarkEnd w:id="923"/>
      <w:bookmarkEnd w:id="924"/>
      <w:bookmarkEnd w:id="925"/>
      <w:bookmarkEnd w:id="926"/>
      <w:bookmarkEnd w:id="927"/>
      <w:bookmarkEnd w:id="928"/>
      <w:bookmarkEnd w:id="929"/>
      <w:bookmarkStart w:id="931" w:name="_Toc300934985"/>
      <w:bookmarkStart w:id="932" w:name="_Toc303539142"/>
      <w:bookmarkStart w:id="933" w:name="_Toc304295562"/>
      <w:bookmarkStart w:id="934" w:name="_Toc312677498"/>
      <w:bookmarkStart w:id="935" w:name="_Toc312678024"/>
      <w:bookmarkStart w:id="936" w:name="_Toc297123536"/>
      <w:bookmarkStart w:id="937" w:name="_Toc297216195"/>
      <w:r>
        <w:rPr>
          <w:rFonts w:eastAsia="仿宋_GB2312"/>
          <w:sz w:val="30"/>
          <w:szCs w:val="32"/>
          <w:u w:val="single"/>
        </w:rPr>
        <w:t xml:space="preserve">  </w:t>
      </w:r>
      <w:r>
        <w:rPr>
          <w:rFonts w:hint="eastAsia" w:eastAsia="仿宋_GB2312"/>
          <w:sz w:val="30"/>
          <w:szCs w:val="32"/>
          <w:u w:val="single"/>
        </w:rPr>
        <w:t>施工单位自行考虑，满足工程需要</w:t>
      </w:r>
      <w:r>
        <w:rPr>
          <w:rFonts w:hint="eastAsia" w:eastAsia="仿宋_GB2312"/>
          <w:sz w:val="30"/>
          <w:szCs w:val="32"/>
        </w:rPr>
        <w:t>。</w:t>
      </w:r>
      <w:r>
        <w:rPr>
          <w:rFonts w:eastAsia="仿宋_GB2312"/>
          <w:sz w:val="30"/>
          <w:szCs w:val="32"/>
        </w:rPr>
        <w:t xml:space="preserve"> </w:t>
      </w:r>
    </w:p>
    <w:p w14:paraId="1868CD5B">
      <w:pPr>
        <w:spacing w:line="360" w:lineRule="auto"/>
        <w:ind w:firstLine="600" w:firstLineChars="200"/>
        <w:jc w:val="left"/>
        <w:rPr>
          <w:rFonts w:eastAsia="仿宋_GB2312"/>
          <w:sz w:val="30"/>
          <w:szCs w:val="32"/>
        </w:rPr>
      </w:pPr>
      <w:r>
        <w:rPr>
          <w:rFonts w:hint="eastAsia" w:eastAsia="仿宋_GB2312"/>
          <w:sz w:val="30"/>
          <w:szCs w:val="32"/>
        </w:rPr>
        <w:t>施工现场需要配备的试验设备：</w:t>
      </w:r>
      <w:r>
        <w:rPr>
          <w:rFonts w:eastAsia="仿宋_GB2312"/>
          <w:sz w:val="30"/>
          <w:szCs w:val="32"/>
          <w:u w:val="single"/>
        </w:rPr>
        <w:t xml:space="preserve">  </w:t>
      </w:r>
      <w:r>
        <w:rPr>
          <w:rFonts w:hint="eastAsia" w:eastAsia="仿宋_GB2312"/>
          <w:sz w:val="30"/>
          <w:szCs w:val="32"/>
          <w:u w:val="single"/>
        </w:rPr>
        <w:t>施工单位自行考虑，满足工程需要</w:t>
      </w:r>
      <w:r>
        <w:rPr>
          <w:rFonts w:hint="eastAsia" w:eastAsia="仿宋_GB2312"/>
          <w:sz w:val="30"/>
          <w:szCs w:val="32"/>
        </w:rPr>
        <w:t>。</w:t>
      </w:r>
    </w:p>
    <w:p w14:paraId="1301B739">
      <w:pPr>
        <w:spacing w:line="360" w:lineRule="auto"/>
        <w:ind w:firstLine="600" w:firstLineChars="200"/>
        <w:jc w:val="left"/>
        <w:rPr>
          <w:rFonts w:eastAsia="仿宋_GB2312"/>
          <w:sz w:val="30"/>
          <w:szCs w:val="32"/>
        </w:rPr>
      </w:pPr>
      <w:r>
        <w:rPr>
          <w:rFonts w:hint="eastAsia" w:eastAsia="仿宋_GB2312"/>
          <w:sz w:val="30"/>
          <w:szCs w:val="32"/>
        </w:rPr>
        <w:t>施工现场需要具备的其他试验条件：</w:t>
      </w:r>
      <w:r>
        <w:rPr>
          <w:rFonts w:eastAsia="仿宋_GB2312"/>
          <w:sz w:val="30"/>
          <w:szCs w:val="32"/>
          <w:u w:val="single"/>
        </w:rPr>
        <w:t xml:space="preserve"> </w:t>
      </w:r>
      <w:r>
        <w:rPr>
          <w:rFonts w:hint="eastAsia" w:eastAsia="仿宋_GB2312"/>
          <w:sz w:val="30"/>
          <w:szCs w:val="32"/>
          <w:u w:val="single"/>
        </w:rPr>
        <w:t>施工单位自行考虑，满足工程需要</w:t>
      </w:r>
      <w:r>
        <w:rPr>
          <w:rFonts w:hint="eastAsia" w:eastAsia="仿宋_GB2312"/>
          <w:sz w:val="30"/>
          <w:szCs w:val="32"/>
        </w:rPr>
        <w:t>。</w:t>
      </w:r>
    </w:p>
    <w:p w14:paraId="3F8E1CE2">
      <w:pPr>
        <w:pStyle w:val="9"/>
        <w:spacing w:before="120" w:after="120" w:line="360" w:lineRule="auto"/>
        <w:ind w:firstLine="600" w:firstLineChars="200"/>
        <w:rPr>
          <w:rFonts w:hint="eastAsia" w:ascii="仿宋" w:hAnsi="仿宋" w:eastAsia="仿宋" w:cs="仿宋"/>
          <w:b w:val="0"/>
          <w:i w:val="0"/>
          <w:iCs w:val="0"/>
          <w:sz w:val="30"/>
          <w:szCs w:val="32"/>
        </w:rPr>
      </w:pPr>
      <w:r>
        <w:rPr>
          <w:rFonts w:ascii="仿宋" w:hAnsi="仿宋" w:eastAsia="仿宋" w:cs="仿宋"/>
          <w:b w:val="0"/>
          <w:bCs w:val="0"/>
          <w:i w:val="0"/>
          <w:iCs w:val="0"/>
          <w:sz w:val="30"/>
          <w:szCs w:val="32"/>
        </w:rPr>
        <w:t>9.3材</w:t>
      </w:r>
      <w:r>
        <w:rPr>
          <w:rFonts w:hint="eastAsia" w:ascii="仿宋" w:hAnsi="仿宋" w:eastAsia="仿宋" w:cs="仿宋"/>
          <w:b w:val="0"/>
          <w:i w:val="0"/>
          <w:iCs w:val="0"/>
          <w:sz w:val="30"/>
          <w:szCs w:val="32"/>
        </w:rPr>
        <w:t>料、工程设备和工程的试验和检验</w:t>
      </w:r>
    </w:p>
    <w:p w14:paraId="2E8CE76D">
      <w:pPr>
        <w:spacing w:line="360" w:lineRule="auto"/>
        <w:ind w:left="17" w:leftChars="8" w:firstLine="618" w:firstLineChars="206"/>
        <w:rPr>
          <w:rFonts w:hint="eastAsia" w:ascii="仿宋" w:hAnsi="仿宋" w:eastAsia="仿宋" w:cs="仿宋"/>
          <w:sz w:val="30"/>
          <w:szCs w:val="32"/>
          <w:u w:val="single"/>
        </w:rPr>
      </w:pPr>
      <w:r>
        <w:rPr>
          <w:rFonts w:hint="eastAsia" w:ascii="仿宋" w:hAnsi="仿宋" w:eastAsia="仿宋" w:cs="仿宋"/>
          <w:sz w:val="30"/>
          <w:szCs w:val="32"/>
          <w:u w:val="single"/>
        </w:rPr>
        <w:t>项目施工所有（不含甲供材料设备、甲分包部分）试验检测费用（包括但不限于见证取样复试、地基基础检测、主体结构检测、钢结构检测、空气质量检测、弱电检测、外墙保温系统型式检测、防雷检测、消防检测、沉降观测、焊缝检测、配电平台高低压设备的相关试验、各类流量计、能量计、温度压力传感器的校验（项目内部验收完移交时，计量装置必须在有效期内）等）均已综合考虑并包含在承包人投标总价中。根据《建设工程质量检测管理办法》第二十一条及《山东省住房和城乡建设厅关于压实建设单位工程质量首要责任的实施办法》，非建设单位委托的检测机构出具的检测报告不得作为工程质量验收资料。乙购材料设备的见证取样送检及施工专项检测（如焊缝探伤等），由发包人委托具有相应资质的第三方检测单位进行检测。若所发生的检测费用由发包人按检测委托合同支付的，在竣工结算时按实际发生检测总费用予以扣除。若所发生的检测费由发包人委托人直接垫付的，由承包人支付给发包人委托人。</w:t>
      </w:r>
    </w:p>
    <w:p w14:paraId="6F532E50">
      <w:pPr>
        <w:spacing w:after="120" w:line="360" w:lineRule="auto"/>
        <w:ind w:firstLine="600" w:firstLineChars="200"/>
        <w:rPr>
          <w:rFonts w:eastAsia="黑体"/>
          <w:sz w:val="30"/>
          <w:szCs w:val="32"/>
        </w:rPr>
      </w:pPr>
      <w:r>
        <w:rPr>
          <w:rFonts w:eastAsia="黑体"/>
          <w:sz w:val="30"/>
          <w:szCs w:val="32"/>
        </w:rPr>
        <w:t xml:space="preserve">9.4 </w:t>
      </w:r>
      <w:r>
        <w:rPr>
          <w:rFonts w:hint="eastAsia" w:eastAsia="黑体"/>
          <w:sz w:val="30"/>
          <w:szCs w:val="32"/>
        </w:rPr>
        <w:t>现场工艺试验</w:t>
      </w:r>
      <w:r>
        <w:rPr>
          <w:rFonts w:eastAsia="黑体"/>
          <w:sz w:val="30"/>
          <w:szCs w:val="32"/>
        </w:rPr>
        <w:t xml:space="preserve"> </w:t>
      </w:r>
    </w:p>
    <w:p w14:paraId="6D8B0EAD">
      <w:pPr>
        <w:spacing w:line="360" w:lineRule="auto"/>
        <w:ind w:firstLine="600" w:firstLineChars="200"/>
        <w:jc w:val="left"/>
        <w:rPr>
          <w:rFonts w:eastAsia="仿宋_GB2312"/>
          <w:sz w:val="30"/>
          <w:szCs w:val="32"/>
        </w:rPr>
      </w:pPr>
      <w:r>
        <w:rPr>
          <w:rFonts w:hint="eastAsia" w:eastAsia="仿宋_GB2312"/>
          <w:sz w:val="30"/>
          <w:szCs w:val="32"/>
        </w:rPr>
        <w:t>现场工艺试验的有关约定：</w:t>
      </w:r>
      <w:r>
        <w:rPr>
          <w:rFonts w:hint="eastAsia" w:eastAsia="仿宋_GB2312"/>
          <w:sz w:val="30"/>
          <w:szCs w:val="32"/>
          <w:u w:val="single"/>
        </w:rPr>
        <w:t>执行《通用合同条款》，满足国家相关验收规范规定、项目属地质量安全监督管理机构的要求</w:t>
      </w:r>
      <w:r>
        <w:rPr>
          <w:rFonts w:eastAsia="仿宋_GB2312"/>
          <w:sz w:val="30"/>
          <w:szCs w:val="32"/>
          <w:u w:val="single"/>
        </w:rPr>
        <w:t xml:space="preserve"> </w:t>
      </w:r>
      <w:r>
        <w:rPr>
          <w:rFonts w:hint="eastAsia" w:eastAsia="仿宋_GB2312"/>
          <w:sz w:val="30"/>
          <w:szCs w:val="32"/>
          <w:u w:val="single"/>
        </w:rPr>
        <w:t>，由承包人承担相应的费用，已包含在合同签约价中不单独计取</w:t>
      </w:r>
      <w:r>
        <w:rPr>
          <w:rFonts w:eastAsia="仿宋_GB2312"/>
          <w:sz w:val="30"/>
          <w:szCs w:val="32"/>
          <w:u w:val="single"/>
        </w:rPr>
        <w:t xml:space="preserve"> </w:t>
      </w:r>
      <w:r>
        <w:rPr>
          <w:rFonts w:hint="eastAsia" w:eastAsia="仿宋_GB2312"/>
          <w:sz w:val="30"/>
          <w:szCs w:val="32"/>
        </w:rPr>
        <w:t>。</w:t>
      </w:r>
    </w:p>
    <w:bookmarkEnd w:id="930"/>
    <w:bookmarkEnd w:id="931"/>
    <w:bookmarkEnd w:id="932"/>
    <w:bookmarkEnd w:id="933"/>
    <w:bookmarkEnd w:id="934"/>
    <w:bookmarkEnd w:id="935"/>
    <w:bookmarkEnd w:id="936"/>
    <w:bookmarkEnd w:id="937"/>
    <w:p w14:paraId="0610E361">
      <w:pPr>
        <w:pStyle w:val="8"/>
        <w:spacing w:before="120" w:after="120" w:line="360" w:lineRule="auto"/>
        <w:rPr>
          <w:rFonts w:ascii="Times New Roman" w:hAnsi="Times New Roman" w:eastAsia="黑体"/>
          <w:b w:val="0"/>
          <w:sz w:val="32"/>
          <w:szCs w:val="32"/>
        </w:rPr>
      </w:pPr>
      <w:r>
        <w:rPr>
          <w:rFonts w:ascii="Times New Roman" w:hAnsi="Times New Roman" w:eastAsia="黑体"/>
          <w:b w:val="0"/>
          <w:sz w:val="32"/>
          <w:szCs w:val="32"/>
        </w:rPr>
        <w:t>1</w:t>
      </w:r>
      <w:bookmarkEnd w:id="816"/>
      <w:bookmarkEnd w:id="817"/>
      <w:bookmarkEnd w:id="818"/>
      <w:bookmarkEnd w:id="819"/>
      <w:bookmarkEnd w:id="820"/>
      <w:bookmarkEnd w:id="821"/>
      <w:bookmarkEnd w:id="822"/>
      <w:bookmarkEnd w:id="823"/>
      <w:bookmarkEnd w:id="824"/>
      <w:bookmarkEnd w:id="825"/>
      <w:bookmarkEnd w:id="826"/>
      <w:bookmarkEnd w:id="827"/>
      <w:bookmarkStart w:id="938" w:name="_Toc297048379"/>
      <w:bookmarkStart w:id="939" w:name="_Toc300934989"/>
      <w:bookmarkStart w:id="940" w:name="_Toc296503193"/>
      <w:bookmarkStart w:id="941" w:name="_Toc292559398"/>
      <w:bookmarkStart w:id="942" w:name="_Toc296944532"/>
      <w:bookmarkStart w:id="943" w:name="_Toc296891021"/>
      <w:bookmarkStart w:id="944" w:name="_Toc296891233"/>
      <w:bookmarkStart w:id="945" w:name="_Toc303539146"/>
      <w:bookmarkStart w:id="946" w:name="_Toc297120493"/>
      <w:bookmarkStart w:id="947" w:name="_Toc304295566"/>
      <w:bookmarkStart w:id="948" w:name="_Toc296347192"/>
      <w:bookmarkStart w:id="949" w:name="_Toc297216199"/>
      <w:bookmarkStart w:id="950" w:name="_Toc296346694"/>
      <w:bookmarkStart w:id="951" w:name="_Toc292559903"/>
      <w:bookmarkStart w:id="952" w:name="_Toc297123540"/>
      <w:bookmarkStart w:id="953" w:name="_Toc312677499"/>
      <w:bookmarkStart w:id="954" w:name="_Toc312678025"/>
      <w:bookmarkStart w:id="955" w:name="_Toc267251439"/>
      <w:bookmarkStart w:id="956" w:name="_Toc267251441"/>
      <w:bookmarkStart w:id="957" w:name="_Toc267251437"/>
      <w:bookmarkStart w:id="958" w:name="_Toc267251440"/>
      <w:bookmarkStart w:id="959" w:name="_Toc267251435"/>
      <w:bookmarkStart w:id="960" w:name="_Toc267251433"/>
      <w:bookmarkStart w:id="961" w:name="_Toc267251442"/>
      <w:r>
        <w:rPr>
          <w:rFonts w:ascii="Times New Roman" w:hAnsi="Times New Roman" w:eastAsia="黑体"/>
          <w:b w:val="0"/>
          <w:sz w:val="32"/>
          <w:szCs w:val="32"/>
        </w:rPr>
        <w:t>0.变更</w:t>
      </w:r>
      <w:bookmarkEnd w:id="828"/>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p>
    <w:bookmarkEnd w:id="953"/>
    <w:bookmarkEnd w:id="954"/>
    <w:p w14:paraId="38C8C86B">
      <w:pPr>
        <w:spacing w:after="120" w:line="360" w:lineRule="auto"/>
        <w:ind w:firstLine="600" w:firstLineChars="200"/>
        <w:rPr>
          <w:rFonts w:eastAsia="黑体"/>
          <w:sz w:val="30"/>
          <w:szCs w:val="32"/>
        </w:rPr>
      </w:pPr>
      <w:r>
        <w:rPr>
          <w:rFonts w:eastAsia="黑体"/>
          <w:sz w:val="30"/>
          <w:szCs w:val="32"/>
        </w:rPr>
        <w:t>1</w:t>
      </w:r>
      <w:bookmarkStart w:id="962" w:name="_Toc292559399"/>
      <w:bookmarkStart w:id="963" w:name="_Toc296347193"/>
      <w:bookmarkStart w:id="964" w:name="_Toc296944533"/>
      <w:bookmarkStart w:id="965" w:name="_Toc304295567"/>
      <w:bookmarkStart w:id="966" w:name="_Toc297120494"/>
      <w:bookmarkStart w:id="967" w:name="_Toc303539147"/>
      <w:bookmarkStart w:id="968" w:name="_Toc300934990"/>
      <w:bookmarkStart w:id="969" w:name="_Toc292559904"/>
      <w:bookmarkStart w:id="970" w:name="_Toc296891022"/>
      <w:bookmarkStart w:id="971" w:name="_Toc296891234"/>
      <w:bookmarkStart w:id="972" w:name="_Toc297216200"/>
      <w:bookmarkStart w:id="973" w:name="_Toc312677500"/>
      <w:bookmarkStart w:id="974" w:name="_Toc296346695"/>
      <w:bookmarkStart w:id="975" w:name="_Toc296503194"/>
      <w:bookmarkStart w:id="976" w:name="_Toc297048380"/>
      <w:bookmarkStart w:id="977" w:name="_Toc312678026"/>
      <w:bookmarkStart w:id="978" w:name="_Toc297123541"/>
      <w:r>
        <w:rPr>
          <w:rFonts w:eastAsia="黑体"/>
          <w:sz w:val="30"/>
          <w:szCs w:val="32"/>
        </w:rPr>
        <w:t>0.1变更的范围</w:t>
      </w:r>
    </w:p>
    <w:p w14:paraId="11468507">
      <w:pPr>
        <w:spacing w:line="360" w:lineRule="auto"/>
        <w:ind w:firstLine="600" w:firstLineChars="200"/>
        <w:jc w:val="left"/>
        <w:rPr>
          <w:rFonts w:eastAsia="仿宋_GB2312"/>
          <w:sz w:val="30"/>
          <w:szCs w:val="32"/>
        </w:rPr>
      </w:pPr>
      <w:r>
        <w:rPr>
          <w:rFonts w:eastAsia="仿宋_GB2312"/>
          <w:sz w:val="30"/>
          <w:szCs w:val="32"/>
        </w:rPr>
        <w:t>关于变更的范围的约定：</w:t>
      </w:r>
      <w:r>
        <w:rPr>
          <w:rFonts w:hint="eastAsia" w:eastAsia="仿宋_GB2312"/>
          <w:color w:val="000000"/>
          <w:sz w:val="30"/>
          <w:szCs w:val="32"/>
          <w:u w:val="single"/>
        </w:rPr>
        <w:t>执行《通用合同条款》</w:t>
      </w:r>
      <w:r>
        <w:rPr>
          <w:rFonts w:eastAsia="仿宋_GB2312"/>
          <w:sz w:val="30"/>
          <w:szCs w:val="32"/>
        </w:rPr>
        <w:t>。</w:t>
      </w:r>
    </w:p>
    <w:p w14:paraId="1DB378BD">
      <w:pPr>
        <w:pStyle w:val="9"/>
        <w:spacing w:before="120" w:after="120" w:line="360" w:lineRule="auto"/>
        <w:ind w:firstLine="600" w:firstLineChars="200"/>
        <w:rPr>
          <w:rFonts w:eastAsia="黑体"/>
          <w:b w:val="0"/>
          <w:bCs w:val="0"/>
          <w:i w:val="0"/>
          <w:iCs w:val="0"/>
          <w:sz w:val="30"/>
          <w:szCs w:val="32"/>
        </w:rPr>
      </w:pPr>
      <w:r>
        <w:rPr>
          <w:rFonts w:eastAsia="黑体"/>
          <w:b w:val="0"/>
          <w:bCs w:val="0"/>
          <w:i w:val="0"/>
          <w:iCs w:val="0"/>
          <w:sz w:val="30"/>
          <w:szCs w:val="32"/>
        </w:rPr>
        <w:t>10.3</w:t>
      </w:r>
      <w:r>
        <w:rPr>
          <w:rFonts w:hint="eastAsia" w:eastAsia="黑体"/>
          <w:b w:val="0"/>
          <w:bCs w:val="0"/>
          <w:i w:val="0"/>
          <w:iCs w:val="0"/>
          <w:sz w:val="30"/>
          <w:szCs w:val="32"/>
        </w:rPr>
        <w:t>变更程序</w:t>
      </w:r>
    </w:p>
    <w:p w14:paraId="41637834">
      <w:pPr>
        <w:ind w:firstLine="600" w:firstLineChars="200"/>
        <w:rPr>
          <w:rFonts w:hint="eastAsia" w:ascii="仿宋" w:hAnsi="仿宋" w:eastAsia="仿宋" w:cs="仿宋"/>
          <w:sz w:val="30"/>
          <w:szCs w:val="32"/>
          <w:u w:val="single"/>
        </w:rPr>
      </w:pPr>
      <w:r>
        <w:rPr>
          <w:rFonts w:hint="eastAsia" w:ascii="仿宋" w:hAnsi="仿宋" w:eastAsia="仿宋" w:cs="仿宋"/>
          <w:sz w:val="30"/>
          <w:szCs w:val="32"/>
          <w:u w:val="single"/>
        </w:rPr>
        <w:t>承包人应遵守发包人制定的变更流程。变更指示应当由发包人以书面形式发出，发包人也可委托监理人向承包人发出变更指示。任何变更指示须经过发包人签字盖章确认后方才有效。根据发包人需要，承包人须在发包人发出通知后</w:t>
      </w:r>
      <w:r>
        <w:rPr>
          <w:rFonts w:ascii="仿宋" w:hAnsi="仿宋" w:eastAsia="仿宋" w:cs="仿宋"/>
          <w:sz w:val="30"/>
          <w:szCs w:val="32"/>
          <w:u w:val="single"/>
        </w:rPr>
        <w:t>2日内递交拟实施变更部分有关的费用预算。</w:t>
      </w:r>
    </w:p>
    <w:p w14:paraId="7FD8E7FA">
      <w:pPr>
        <w:pStyle w:val="9"/>
        <w:spacing w:before="120" w:after="120" w:line="360" w:lineRule="auto"/>
        <w:ind w:firstLine="600" w:firstLineChars="200"/>
        <w:rPr>
          <w:rFonts w:eastAsia="黑体"/>
          <w:b w:val="0"/>
          <w:bCs w:val="0"/>
          <w:i w:val="0"/>
          <w:iCs w:val="0"/>
          <w:sz w:val="30"/>
          <w:szCs w:val="32"/>
        </w:rPr>
      </w:pPr>
      <w:r>
        <w:rPr>
          <w:rFonts w:hint="eastAsia" w:eastAsia="黑体"/>
          <w:b w:val="0"/>
          <w:bCs w:val="0"/>
          <w:i w:val="0"/>
          <w:iCs w:val="0"/>
          <w:sz w:val="30"/>
          <w:szCs w:val="32"/>
        </w:rPr>
        <w:t>10.3.3变更执行</w:t>
      </w:r>
    </w:p>
    <w:p w14:paraId="28B47E76">
      <w:pPr>
        <w:ind w:firstLine="600" w:firstLineChars="200"/>
        <w:rPr>
          <w:rFonts w:hint="eastAsia" w:ascii="仿宋" w:hAnsi="仿宋" w:eastAsia="仿宋" w:cs="仿宋"/>
          <w:sz w:val="30"/>
          <w:szCs w:val="32"/>
          <w:u w:val="single"/>
        </w:rPr>
      </w:pPr>
      <w:r>
        <w:rPr>
          <w:rFonts w:hint="eastAsia" w:ascii="仿宋" w:hAnsi="仿宋" w:eastAsia="仿宋" w:cs="仿宋"/>
          <w:sz w:val="30"/>
          <w:szCs w:val="32"/>
          <w:u w:val="single"/>
        </w:rPr>
        <w:t>承包人收到书面变更执行实施的指示后，应立即按变更指示进行变更工作，承包人不得以发包人和承包人之间未能就变更计价达成一致意见而拒绝实施变更工作，由此造成的工期延误和一切损失由承包人承担。</w:t>
      </w:r>
    </w:p>
    <w:p w14:paraId="67D00CC6">
      <w:pPr>
        <w:spacing w:after="120" w:line="360" w:lineRule="auto"/>
        <w:ind w:firstLine="600" w:firstLineChars="200"/>
        <w:rPr>
          <w:rFonts w:eastAsia="黑体"/>
          <w:sz w:val="30"/>
          <w:szCs w:val="32"/>
        </w:rPr>
      </w:pPr>
      <w:r>
        <w:rPr>
          <w:rFonts w:eastAsia="黑体"/>
          <w:sz w:val="30"/>
          <w:szCs w:val="32"/>
        </w:rPr>
        <w:t xml:space="preserve">10.4 </w:t>
      </w:r>
      <w:r>
        <w:rPr>
          <w:rFonts w:hint="eastAsia" w:eastAsia="黑体"/>
          <w:sz w:val="30"/>
          <w:szCs w:val="32"/>
        </w:rPr>
        <w:t>变更估价</w:t>
      </w:r>
    </w:p>
    <w:p w14:paraId="47ADD51D">
      <w:pPr>
        <w:spacing w:line="360" w:lineRule="auto"/>
        <w:ind w:firstLine="600" w:firstLineChars="200"/>
        <w:jc w:val="left"/>
        <w:rPr>
          <w:rFonts w:eastAsia="仿宋_GB2312"/>
          <w:sz w:val="30"/>
          <w:szCs w:val="32"/>
        </w:rPr>
      </w:pPr>
      <w:r>
        <w:rPr>
          <w:rFonts w:eastAsia="仿宋_GB2312"/>
          <w:sz w:val="30"/>
          <w:szCs w:val="32"/>
        </w:rPr>
        <w:t xml:space="preserve">10.4.1 </w:t>
      </w:r>
      <w:r>
        <w:rPr>
          <w:rFonts w:hint="eastAsia" w:eastAsia="仿宋_GB2312"/>
          <w:sz w:val="30"/>
          <w:szCs w:val="32"/>
        </w:rPr>
        <w:t>变更估价原则</w:t>
      </w:r>
    </w:p>
    <w:p w14:paraId="3DA3C1B2">
      <w:pPr>
        <w:spacing w:line="360" w:lineRule="auto"/>
        <w:ind w:firstLine="600" w:firstLineChars="200"/>
        <w:jc w:val="left"/>
        <w:rPr>
          <w:rFonts w:hint="eastAsia" w:ascii="仿宋" w:hAnsi="仿宋" w:eastAsia="仿宋" w:cs="仿宋"/>
          <w:sz w:val="30"/>
          <w:szCs w:val="32"/>
          <w:u w:val="single"/>
        </w:rPr>
      </w:pPr>
      <w:r>
        <w:rPr>
          <w:rFonts w:hint="eastAsia" w:eastAsia="仿宋_GB2312"/>
          <w:sz w:val="30"/>
          <w:szCs w:val="32"/>
        </w:rPr>
        <w:t>关于变更估价的约定</w:t>
      </w:r>
      <w:r>
        <w:rPr>
          <w:rFonts w:eastAsia="仿宋_GB2312"/>
          <w:sz w:val="30"/>
          <w:szCs w:val="32"/>
        </w:rPr>
        <w:t xml:space="preserve">: </w:t>
      </w:r>
      <w:r>
        <w:rPr>
          <w:rFonts w:hint="eastAsia" w:eastAsia="仿宋_GB2312"/>
          <w:sz w:val="30"/>
          <w:szCs w:val="32"/>
        </w:rPr>
        <w:t>关于变更估价的约定</w:t>
      </w:r>
      <w:r>
        <w:rPr>
          <w:rFonts w:eastAsia="仿宋_GB2312"/>
          <w:sz w:val="30"/>
          <w:szCs w:val="32"/>
        </w:rPr>
        <w:t xml:space="preserve">: </w:t>
      </w:r>
      <w:r>
        <w:rPr>
          <w:rFonts w:hint="eastAsia" w:ascii="仿宋" w:hAnsi="仿宋" w:eastAsia="仿宋" w:cs="仿宋"/>
          <w:sz w:val="30"/>
          <w:szCs w:val="32"/>
          <w:u w:val="single"/>
        </w:rPr>
        <w:t>（</w:t>
      </w:r>
      <w:r>
        <w:rPr>
          <w:rFonts w:ascii="仿宋" w:hAnsi="仿宋" w:eastAsia="仿宋" w:cs="仿宋"/>
          <w:sz w:val="30"/>
          <w:szCs w:val="32"/>
          <w:u w:val="single"/>
        </w:rPr>
        <w:t>1）如发生与原子项相同的清单项，以承包人</w:t>
      </w:r>
      <w:r>
        <w:rPr>
          <w:rFonts w:hint="eastAsia" w:ascii="仿宋" w:hAnsi="仿宋" w:eastAsia="仿宋" w:cs="仿宋"/>
          <w:sz w:val="30"/>
          <w:szCs w:val="32"/>
          <w:u w:val="single"/>
        </w:rPr>
        <w:t>开标修正后的已标价工程量清单中</w:t>
      </w:r>
      <w:r>
        <w:rPr>
          <w:rFonts w:ascii="仿宋" w:hAnsi="仿宋" w:eastAsia="仿宋" w:cs="仿宋"/>
          <w:sz w:val="30"/>
          <w:szCs w:val="32"/>
          <w:u w:val="single"/>
        </w:rPr>
        <w:t>已有综合单价</w:t>
      </w:r>
      <w:r>
        <w:rPr>
          <w:rFonts w:hint="eastAsia" w:ascii="仿宋" w:hAnsi="仿宋" w:eastAsia="仿宋" w:cs="仿宋"/>
          <w:sz w:val="30"/>
          <w:szCs w:val="32"/>
          <w:u w:val="single"/>
        </w:rPr>
        <w:t>（按合同协议书约定同比例下浮后）乘以工程量进行结算。</w:t>
      </w:r>
    </w:p>
    <w:p w14:paraId="3E322E5C">
      <w:pPr>
        <w:spacing w:line="360" w:lineRule="auto"/>
        <w:ind w:firstLine="600" w:firstLineChars="200"/>
        <w:jc w:val="left"/>
        <w:rPr>
          <w:rFonts w:hint="eastAsia" w:ascii="仿宋" w:hAnsi="仿宋" w:eastAsia="仿宋" w:cs="仿宋"/>
          <w:sz w:val="30"/>
          <w:szCs w:val="30"/>
          <w:u w:val="single"/>
        </w:rPr>
      </w:pPr>
      <w:r>
        <w:rPr>
          <w:rFonts w:hint="eastAsia" w:ascii="仿宋" w:hAnsi="仿宋" w:eastAsia="仿宋" w:cs="仿宋"/>
          <w:sz w:val="30"/>
          <w:szCs w:val="32"/>
          <w:u w:val="single"/>
        </w:rPr>
        <w:t>（</w:t>
      </w:r>
      <w:r>
        <w:rPr>
          <w:rFonts w:ascii="仿宋" w:hAnsi="仿宋" w:eastAsia="仿宋" w:cs="仿宋"/>
          <w:sz w:val="30"/>
          <w:szCs w:val="32"/>
          <w:u w:val="single"/>
        </w:rPr>
        <w:t>2）如发生与原子项相类似的清单项，新增清单项的消耗量按原子项执行</w:t>
      </w:r>
      <w:r>
        <w:rPr>
          <w:rFonts w:hint="eastAsia" w:ascii="仿宋" w:hAnsi="仿宋" w:eastAsia="仿宋" w:cs="仿宋"/>
          <w:sz w:val="30"/>
          <w:szCs w:val="30"/>
          <w:u w:val="single"/>
        </w:rPr>
        <w:t>（高于定额含量的按定额含量执行、低于定额含量的按原投标含量执行）；新增清单项的人工、机械单价执行原子项单价，</w:t>
      </w:r>
      <w:r>
        <w:rPr>
          <w:rFonts w:hint="eastAsia" w:ascii="仿宋" w:hAnsi="仿宋" w:eastAsia="仿宋" w:cs="仿宋"/>
          <w:sz w:val="30"/>
          <w:szCs w:val="32"/>
          <w:u w:val="single"/>
        </w:rPr>
        <w:t>开标修正后的已标价工程量清单中</w:t>
      </w:r>
      <w:r>
        <w:rPr>
          <w:rFonts w:hint="eastAsia" w:ascii="仿宋" w:hAnsi="仿宋" w:eastAsia="仿宋" w:cs="仿宋"/>
          <w:sz w:val="30"/>
          <w:szCs w:val="30"/>
          <w:u w:val="single"/>
        </w:rPr>
        <w:t>已有价格的材料执行已有清单价格，</w:t>
      </w:r>
      <w:r>
        <w:rPr>
          <w:rFonts w:hint="eastAsia" w:ascii="仿宋" w:hAnsi="仿宋" w:eastAsia="仿宋" w:cs="仿宋"/>
          <w:sz w:val="30"/>
          <w:szCs w:val="32"/>
          <w:u w:val="single"/>
        </w:rPr>
        <w:t>开标修正后的已标价工程量清单中</w:t>
      </w:r>
      <w:r>
        <w:rPr>
          <w:rFonts w:hint="eastAsia" w:ascii="仿宋" w:hAnsi="仿宋" w:eastAsia="仿宋" w:cs="仿宋"/>
          <w:sz w:val="30"/>
          <w:szCs w:val="30"/>
          <w:u w:val="single"/>
        </w:rPr>
        <w:t>没有价格的主要材料按照发包人、监理人确认的价格执行；管理费、利润等组成综合单价的其他因素均不作调整。按以上原则生成新综合单价并按合同协议书约定原则同比例下浮后，以实际工程量据实结算。</w:t>
      </w:r>
    </w:p>
    <w:p w14:paraId="6D539703">
      <w:pPr>
        <w:spacing w:line="360" w:lineRule="auto"/>
        <w:ind w:firstLine="600" w:firstLineChars="200"/>
        <w:jc w:val="left"/>
        <w:rPr>
          <w:rFonts w:hint="eastAsia" w:ascii="仿宋" w:hAnsi="仿宋" w:eastAsia="仿宋" w:cs="仿宋"/>
          <w:sz w:val="30"/>
          <w:szCs w:val="30"/>
          <w:u w:val="single"/>
        </w:rPr>
      </w:pPr>
      <w:r>
        <w:rPr>
          <w:rFonts w:hint="eastAsia" w:ascii="仿宋" w:hAnsi="仿宋" w:eastAsia="仿宋" w:cs="仿宋"/>
          <w:sz w:val="30"/>
          <w:szCs w:val="30"/>
          <w:u w:val="single"/>
        </w:rPr>
        <w:t>（</w:t>
      </w:r>
      <w:r>
        <w:rPr>
          <w:rFonts w:ascii="仿宋" w:hAnsi="仿宋" w:eastAsia="仿宋" w:cs="仿宋"/>
          <w:sz w:val="30"/>
          <w:szCs w:val="30"/>
          <w:u w:val="single"/>
        </w:rPr>
        <w:t>3）非以上（1）、（2）两种情况，按照以下原则据实结算：</w:t>
      </w:r>
    </w:p>
    <w:p w14:paraId="574A9FC4">
      <w:pPr>
        <w:pStyle w:val="12"/>
        <w:rPr>
          <w:rFonts w:hint="eastAsia" w:ascii="仿宋" w:hAnsi="仿宋" w:eastAsia="仿宋" w:cs="仿宋"/>
          <w:sz w:val="30"/>
          <w:szCs w:val="30"/>
          <w:u w:val="single"/>
        </w:rPr>
      </w:pPr>
      <w:r>
        <w:rPr>
          <w:rFonts w:hint="eastAsia" w:ascii="仿宋_GB2312" w:hAnsi="仿宋_GB2312" w:eastAsia="仿宋_GB2312" w:cs="仿宋_GB2312"/>
          <w:sz w:val="30"/>
          <w:szCs w:val="30"/>
          <w:u w:val="single"/>
        </w:rPr>
        <w:fldChar w:fldCharType="begin"/>
      </w:r>
      <w:r>
        <w:rPr>
          <w:rFonts w:ascii="仿宋_GB2312" w:hAnsi="仿宋_GB2312" w:eastAsia="仿宋_GB2312" w:cs="仿宋_GB2312"/>
          <w:sz w:val="30"/>
          <w:szCs w:val="30"/>
          <w:u w:val="single"/>
        </w:rPr>
        <w:instrText xml:space="preserve"> = 1 \* GB3 \* MERGEFORMAT </w:instrText>
      </w:r>
      <w:r>
        <w:rPr>
          <w:rFonts w:hint="eastAsia" w:ascii="仿宋_GB2312" w:hAnsi="仿宋_GB2312" w:eastAsia="仿宋_GB2312" w:cs="仿宋_GB2312"/>
          <w:sz w:val="30"/>
          <w:szCs w:val="30"/>
          <w:u w:val="single"/>
        </w:rPr>
        <w:fldChar w:fldCharType="separate"/>
      </w:r>
      <w:r>
        <w:rPr>
          <w:rFonts w:hint="eastAsia" w:ascii="仿宋_GB2312" w:hAnsi="仿宋_GB2312" w:eastAsia="仿宋_GB2312" w:cs="仿宋_GB2312"/>
          <w:sz w:val="30"/>
          <w:szCs w:val="30"/>
          <w:u w:val="single"/>
        </w:rPr>
        <w:t>①</w:t>
      </w:r>
      <w:r>
        <w:rPr>
          <w:rFonts w:hint="eastAsia" w:ascii="仿宋_GB2312" w:hAnsi="仿宋_GB2312" w:eastAsia="仿宋_GB2312" w:cs="仿宋_GB2312"/>
          <w:sz w:val="30"/>
          <w:szCs w:val="30"/>
          <w:u w:val="single"/>
        </w:rPr>
        <w:fldChar w:fldCharType="end"/>
      </w:r>
      <w:r>
        <w:rPr>
          <w:rFonts w:hint="eastAsia" w:ascii="仿宋_GB2312" w:hAnsi="仿宋_GB2312" w:eastAsia="仿宋_GB2312" w:cs="仿宋_GB2312"/>
          <w:sz w:val="30"/>
          <w:szCs w:val="30"/>
          <w:u w:val="single"/>
        </w:rPr>
        <w:t>计价依据：</w:t>
      </w:r>
      <w:r>
        <w:rPr>
          <w:rFonts w:hint="eastAsia" w:ascii="仿宋" w:hAnsi="仿宋" w:eastAsia="仿宋" w:cs="仿宋"/>
          <w:sz w:val="30"/>
          <w:szCs w:val="30"/>
          <w:u w:val="single"/>
        </w:rPr>
        <w:t>2016版《山东省建筑工程消耗量定额》、2016版《山东省安装工程消耗量定额》、2016版《山东省市政工程消耗量定额》、2016版《山东省园林绿化工程消耗量定额》及相应2020版价目表；2020版《山东省房屋修缮工程消耗量定额》及2021版价目表；</w:t>
      </w:r>
    </w:p>
    <w:p w14:paraId="2DECD628">
      <w:pPr>
        <w:spacing w:line="360" w:lineRule="auto"/>
        <w:ind w:firstLine="600" w:firstLineChars="200"/>
        <w:jc w:val="left"/>
        <w:rPr>
          <w:rFonts w:hint="eastAsia" w:ascii="仿宋_GB2312" w:hAnsi="仿宋_GB2312" w:eastAsia="仿宋_GB2312" w:cs="仿宋_GB2312"/>
          <w:sz w:val="30"/>
          <w:szCs w:val="30"/>
          <w:u w:val="single"/>
        </w:rPr>
      </w:pPr>
      <w:r>
        <w:rPr>
          <w:rFonts w:hint="eastAsia" w:ascii="仿宋_GB2312" w:hAnsi="仿宋_GB2312" w:eastAsia="仿宋_GB2312" w:cs="仿宋_GB2312"/>
          <w:sz w:val="30"/>
          <w:szCs w:val="30"/>
          <w:u w:val="single"/>
        </w:rPr>
        <w:fldChar w:fldCharType="begin"/>
      </w:r>
      <w:r>
        <w:rPr>
          <w:rFonts w:ascii="仿宋_GB2312" w:hAnsi="仿宋_GB2312" w:eastAsia="仿宋_GB2312" w:cs="仿宋_GB2312"/>
          <w:sz w:val="30"/>
          <w:szCs w:val="30"/>
          <w:u w:val="single"/>
        </w:rPr>
        <w:instrText xml:space="preserve"> = 2 \* GB3 \* MERGEFORMAT </w:instrText>
      </w:r>
      <w:r>
        <w:rPr>
          <w:rFonts w:hint="eastAsia" w:ascii="仿宋_GB2312" w:hAnsi="仿宋_GB2312" w:eastAsia="仿宋_GB2312" w:cs="仿宋_GB2312"/>
          <w:sz w:val="30"/>
          <w:szCs w:val="30"/>
          <w:u w:val="single"/>
        </w:rPr>
        <w:fldChar w:fldCharType="separate"/>
      </w:r>
      <w:r>
        <w:rPr>
          <w:rFonts w:hint="eastAsia" w:ascii="仿宋_GB2312" w:hAnsi="仿宋_GB2312" w:eastAsia="仿宋_GB2312" w:cs="仿宋_GB2312"/>
          <w:sz w:val="30"/>
          <w:szCs w:val="30"/>
          <w:u w:val="single"/>
        </w:rPr>
        <w:t>②</w:t>
      </w:r>
      <w:r>
        <w:rPr>
          <w:rFonts w:hint="eastAsia" w:ascii="仿宋_GB2312" w:hAnsi="仿宋_GB2312" w:eastAsia="仿宋_GB2312" w:cs="仿宋_GB2312"/>
          <w:sz w:val="30"/>
          <w:szCs w:val="30"/>
          <w:u w:val="single"/>
        </w:rPr>
        <w:fldChar w:fldCharType="end"/>
      </w:r>
      <w:r>
        <w:rPr>
          <w:rFonts w:hint="eastAsia" w:ascii="仿宋_GB2312" w:hAnsi="仿宋_GB2312" w:eastAsia="仿宋_GB2312" w:cs="仿宋_GB2312"/>
          <w:sz w:val="30"/>
          <w:szCs w:val="30"/>
          <w:u w:val="single"/>
        </w:rPr>
        <w:t>工程类别：建筑执行Ⅲ类取费，安装执行工业安装取费，装饰执行Ⅲ类取费，市政执行Ⅲ</w:t>
      </w:r>
      <w:r>
        <w:rPr>
          <w:rFonts w:ascii="仿宋_GB2312" w:hAnsi="仿宋_GB2312" w:eastAsia="仿宋_GB2312" w:cs="仿宋_GB2312"/>
          <w:sz w:val="30"/>
          <w:szCs w:val="30"/>
          <w:u w:val="single"/>
        </w:rPr>
        <w:t>类取费；</w:t>
      </w:r>
    </w:p>
    <w:p w14:paraId="68396F38">
      <w:pPr>
        <w:spacing w:line="360" w:lineRule="auto"/>
        <w:ind w:firstLine="600" w:firstLineChars="200"/>
        <w:jc w:val="left"/>
        <w:rPr>
          <w:rFonts w:hint="eastAsia" w:ascii="仿宋_GB2312" w:hAnsi="仿宋_GB2312" w:eastAsia="仿宋_GB2312" w:cs="仿宋_GB2312"/>
          <w:sz w:val="30"/>
          <w:szCs w:val="30"/>
          <w:u w:val="single"/>
        </w:rPr>
      </w:pPr>
      <w:r>
        <w:rPr>
          <w:rFonts w:hint="eastAsia" w:ascii="仿宋_GB2312" w:hAnsi="仿宋_GB2312" w:eastAsia="仿宋_GB2312" w:cs="仿宋_GB2312"/>
          <w:sz w:val="30"/>
          <w:szCs w:val="30"/>
          <w:u w:val="single"/>
        </w:rPr>
        <w:fldChar w:fldCharType="begin"/>
      </w:r>
      <w:r>
        <w:rPr>
          <w:rFonts w:ascii="仿宋_GB2312" w:hAnsi="仿宋_GB2312" w:eastAsia="仿宋_GB2312" w:cs="仿宋_GB2312"/>
          <w:sz w:val="30"/>
          <w:szCs w:val="30"/>
          <w:u w:val="single"/>
        </w:rPr>
        <w:instrText xml:space="preserve"> = 3 \* GB3 \* MERGEFORMAT </w:instrText>
      </w:r>
      <w:r>
        <w:rPr>
          <w:rFonts w:hint="eastAsia" w:ascii="仿宋_GB2312" w:hAnsi="仿宋_GB2312" w:eastAsia="仿宋_GB2312" w:cs="仿宋_GB2312"/>
          <w:sz w:val="30"/>
          <w:szCs w:val="30"/>
          <w:u w:val="single"/>
        </w:rPr>
        <w:fldChar w:fldCharType="separate"/>
      </w:r>
      <w:r>
        <w:rPr>
          <w:rFonts w:hint="eastAsia" w:ascii="仿宋_GB2312" w:hAnsi="仿宋_GB2312" w:eastAsia="仿宋_GB2312" w:cs="仿宋_GB2312"/>
          <w:sz w:val="30"/>
          <w:szCs w:val="30"/>
          <w:u w:val="single"/>
        </w:rPr>
        <w:t>③</w:t>
      </w:r>
      <w:r>
        <w:rPr>
          <w:rFonts w:hint="eastAsia" w:ascii="仿宋_GB2312" w:hAnsi="仿宋_GB2312" w:eastAsia="仿宋_GB2312" w:cs="仿宋_GB2312"/>
          <w:sz w:val="30"/>
          <w:szCs w:val="30"/>
          <w:u w:val="single"/>
        </w:rPr>
        <w:fldChar w:fldCharType="end"/>
      </w:r>
      <w:r>
        <w:rPr>
          <w:rFonts w:hint="eastAsia" w:ascii="仿宋_GB2312" w:hAnsi="仿宋_GB2312" w:eastAsia="仿宋_GB2312" w:cs="仿宋_GB2312"/>
          <w:sz w:val="30"/>
          <w:szCs w:val="30"/>
          <w:u w:val="single"/>
        </w:rPr>
        <w:t>人工费建筑工程128元/工日，装饰工程138元/工日，安装工程138元/工日，市政工程117元/工日，园林绿化工程117元/工日；《山东省建设工程施工机械台班费用编制规则》（鲁建标字〔2016〕39号）中的人工单价调整为130元/工日；材料费投标文件中已有价格的材料执行中标价格，投标文件中没有价格的主要材料按照监理方、发包人书面确定的价格执行，其中清单已有价格的材料（如电线电缆、管材等），仅规格型号发生变更的，变更后仅调整不同规格型号的材料市场价差；</w:t>
      </w:r>
    </w:p>
    <w:p w14:paraId="116DB9F6">
      <w:pPr>
        <w:spacing w:line="360" w:lineRule="auto"/>
        <w:ind w:firstLine="600" w:firstLineChars="200"/>
        <w:jc w:val="left"/>
        <w:rPr>
          <w:rFonts w:hint="eastAsia" w:ascii="仿宋_GB2312" w:hAnsi="仿宋_GB2312" w:eastAsia="仿宋_GB2312" w:cs="仿宋_GB2312"/>
          <w:sz w:val="30"/>
          <w:szCs w:val="30"/>
          <w:u w:val="single"/>
        </w:rPr>
      </w:pPr>
      <w:r>
        <w:rPr>
          <w:rFonts w:hint="eastAsia" w:ascii="仿宋_GB2312" w:hAnsi="仿宋_GB2312" w:eastAsia="仿宋_GB2312" w:cs="仿宋_GB2312"/>
          <w:sz w:val="30"/>
          <w:szCs w:val="30"/>
          <w:u w:val="single"/>
        </w:rPr>
        <w:fldChar w:fldCharType="begin"/>
      </w:r>
      <w:r>
        <w:rPr>
          <w:rFonts w:ascii="仿宋_GB2312" w:hAnsi="仿宋_GB2312" w:eastAsia="仿宋_GB2312" w:cs="仿宋_GB2312"/>
          <w:sz w:val="30"/>
          <w:szCs w:val="30"/>
          <w:u w:val="single"/>
        </w:rPr>
        <w:instrText xml:space="preserve"> = 4 \* GB3 \* MERGEFORMAT </w:instrText>
      </w:r>
      <w:r>
        <w:rPr>
          <w:rFonts w:hint="eastAsia" w:ascii="仿宋_GB2312" w:hAnsi="仿宋_GB2312" w:eastAsia="仿宋_GB2312" w:cs="仿宋_GB2312"/>
          <w:sz w:val="30"/>
          <w:szCs w:val="30"/>
          <w:u w:val="single"/>
        </w:rPr>
        <w:fldChar w:fldCharType="separate"/>
      </w:r>
      <w:r>
        <w:rPr>
          <w:rFonts w:hint="eastAsia" w:ascii="仿宋_GB2312" w:hAnsi="仿宋_GB2312" w:eastAsia="仿宋_GB2312" w:cs="仿宋_GB2312"/>
          <w:sz w:val="30"/>
          <w:szCs w:val="30"/>
          <w:u w:val="single"/>
        </w:rPr>
        <w:t>④</w:t>
      </w:r>
      <w:r>
        <w:rPr>
          <w:rFonts w:hint="eastAsia" w:ascii="仿宋_GB2312" w:hAnsi="仿宋_GB2312" w:eastAsia="仿宋_GB2312" w:cs="仿宋_GB2312"/>
          <w:sz w:val="30"/>
          <w:szCs w:val="30"/>
          <w:u w:val="single"/>
        </w:rPr>
        <w:fldChar w:fldCharType="end"/>
      </w:r>
      <w:r>
        <w:rPr>
          <w:rFonts w:hint="eastAsia" w:ascii="仿宋_GB2312" w:hAnsi="仿宋_GB2312" w:eastAsia="仿宋_GB2312" w:cs="仿宋_GB2312"/>
          <w:sz w:val="30"/>
          <w:szCs w:val="30"/>
          <w:u w:val="single"/>
        </w:rPr>
        <w:t>承包人按上述原则就清单外工作内容按总造价最终优惠率（即让利</w:t>
      </w:r>
      <w:r>
        <w:rPr>
          <w:rFonts w:ascii="仿宋_GB2312" w:hAnsi="仿宋_GB2312" w:eastAsia="仿宋_GB2312" w:cs="仿宋_GB2312"/>
          <w:sz w:val="30"/>
          <w:szCs w:val="30"/>
          <w:u w:val="single"/>
        </w:rPr>
        <w:t>）</w:t>
      </w:r>
      <w:r>
        <w:rPr>
          <w:rFonts w:hint="eastAsia" w:ascii="仿宋_GB2312" w:hAnsi="仿宋_GB2312" w:eastAsia="仿宋_GB2312" w:cs="仿宋_GB2312"/>
          <w:sz w:val="30"/>
          <w:szCs w:val="30"/>
          <w:u w:val="single"/>
        </w:rPr>
        <w:t>5</w:t>
      </w:r>
      <w:r>
        <w:rPr>
          <w:rFonts w:ascii="仿宋_GB2312" w:hAnsi="仿宋_GB2312" w:eastAsia="仿宋_GB2312" w:cs="仿宋_GB2312"/>
          <w:sz w:val="30"/>
          <w:szCs w:val="30"/>
          <w:u w:val="single"/>
        </w:rPr>
        <w:t>%；</w:t>
      </w:r>
      <w:r>
        <w:rPr>
          <w:rFonts w:hint="eastAsia" w:ascii="仿宋_GB2312" w:hAnsi="仿宋_GB2312" w:eastAsia="仿宋_GB2312" w:cs="仿宋_GB2312"/>
          <w:sz w:val="30"/>
          <w:szCs w:val="30"/>
          <w:u w:val="single"/>
        </w:rPr>
        <w:t>但经招标人审核签认的计入设备费的设备价格不参与让利。</w:t>
      </w:r>
    </w:p>
    <w:p w14:paraId="1102147D">
      <w:pPr>
        <w:spacing w:line="360" w:lineRule="auto"/>
        <w:ind w:firstLine="600" w:firstLineChars="200"/>
        <w:jc w:val="left"/>
        <w:rPr>
          <w:rFonts w:hint="eastAsia" w:ascii="仿宋_GB2312" w:hAnsi="仿宋_GB2312" w:eastAsia="仿宋_GB2312" w:cs="仿宋_GB2312"/>
          <w:sz w:val="30"/>
          <w:szCs w:val="30"/>
          <w:u w:val="single"/>
        </w:rPr>
      </w:pPr>
      <w:r>
        <w:rPr>
          <w:rFonts w:hint="eastAsia" w:ascii="仿宋_GB2312" w:hAnsi="仿宋_GB2312" w:eastAsia="仿宋_GB2312" w:cs="仿宋_GB2312"/>
          <w:sz w:val="30"/>
          <w:szCs w:val="30"/>
          <w:u w:val="single"/>
        </w:rPr>
        <w:t>（</w:t>
      </w:r>
      <w:r>
        <w:rPr>
          <w:rFonts w:ascii="仿宋_GB2312" w:hAnsi="仿宋_GB2312" w:eastAsia="仿宋_GB2312" w:cs="仿宋_GB2312"/>
          <w:sz w:val="30"/>
          <w:szCs w:val="30"/>
          <w:u w:val="single"/>
        </w:rPr>
        <w:t>4）非以上（1）、（2）、（3）三种情况，由承包人事前提出书面报价，由发包人按照规定程序审批后确定单价，以实际工程量结算。</w:t>
      </w:r>
    </w:p>
    <w:p w14:paraId="3658359C">
      <w:pPr>
        <w:snapToGrid w:val="0"/>
        <w:spacing w:line="360" w:lineRule="auto"/>
        <w:ind w:firstLine="600" w:firstLineChars="200"/>
        <w:jc w:val="left"/>
        <w:rPr>
          <w:rFonts w:hint="eastAsia" w:ascii="仿宋" w:hAnsi="仿宋" w:eastAsia="仿宋" w:cs="仿宋"/>
          <w:sz w:val="30"/>
          <w:szCs w:val="30"/>
        </w:rPr>
      </w:pPr>
      <w:r>
        <w:rPr>
          <w:rFonts w:hint="eastAsia" w:ascii="仿宋" w:hAnsi="仿宋" w:eastAsia="仿宋" w:cs="仿宋"/>
          <w:sz w:val="30"/>
          <w:szCs w:val="30"/>
          <w:u w:val="single"/>
        </w:rPr>
        <w:t>（</w:t>
      </w:r>
      <w:r>
        <w:rPr>
          <w:rFonts w:ascii="仿宋" w:hAnsi="仿宋" w:eastAsia="仿宋" w:cs="仿宋"/>
          <w:sz w:val="30"/>
          <w:szCs w:val="30"/>
          <w:u w:val="single"/>
        </w:rPr>
        <w:t>5）按上述原则组成的新综合单价，明显偏离市场价时，发包人有权利对其价格进行调整。</w:t>
      </w:r>
    </w:p>
    <w:p w14:paraId="0170C1F2">
      <w:pPr>
        <w:spacing w:line="360" w:lineRule="auto"/>
        <w:ind w:firstLine="600" w:firstLineChars="200"/>
        <w:jc w:val="left"/>
        <w:rPr>
          <w:rFonts w:hint="eastAsia" w:ascii="仿宋" w:hAnsi="仿宋" w:eastAsia="仿宋" w:cs="仿宋"/>
          <w:sz w:val="30"/>
          <w:szCs w:val="30"/>
          <w:u w:val="single"/>
        </w:rPr>
      </w:pPr>
      <w:r>
        <w:rPr>
          <w:rFonts w:hint="eastAsia" w:ascii="仿宋" w:hAnsi="仿宋" w:eastAsia="仿宋" w:cs="仿宋"/>
          <w:sz w:val="30"/>
          <w:szCs w:val="30"/>
          <w:u w:val="single"/>
        </w:rPr>
        <w:t>（</w:t>
      </w:r>
      <w:r>
        <w:rPr>
          <w:rFonts w:ascii="仿宋" w:hAnsi="仿宋" w:eastAsia="仿宋" w:cs="仿宋"/>
          <w:sz w:val="30"/>
          <w:szCs w:val="30"/>
          <w:u w:val="single"/>
        </w:rPr>
        <w:t>6）招标文件或其他有关文件中所列材料暂定价按照发包人书面确定的价格进行调整。</w:t>
      </w:r>
    </w:p>
    <w:p w14:paraId="1B89184B">
      <w:pPr>
        <w:spacing w:line="360" w:lineRule="auto"/>
        <w:ind w:firstLine="600" w:firstLineChars="200"/>
        <w:jc w:val="left"/>
        <w:rPr>
          <w:rFonts w:hint="eastAsia" w:ascii="仿宋" w:hAnsi="仿宋" w:eastAsia="仿宋" w:cs="仿宋"/>
          <w:sz w:val="30"/>
          <w:szCs w:val="30"/>
          <w:u w:val="single"/>
        </w:rPr>
      </w:pPr>
      <w:r>
        <w:rPr>
          <w:rFonts w:hint="eastAsia" w:ascii="仿宋" w:hAnsi="仿宋" w:eastAsia="仿宋" w:cs="仿宋"/>
          <w:sz w:val="30"/>
          <w:szCs w:val="30"/>
          <w:u w:val="single"/>
        </w:rPr>
        <w:t>（</w:t>
      </w:r>
      <w:r>
        <w:rPr>
          <w:rFonts w:ascii="仿宋" w:hAnsi="仿宋" w:eastAsia="仿宋" w:cs="仿宋"/>
          <w:sz w:val="30"/>
          <w:szCs w:val="30"/>
          <w:u w:val="single"/>
        </w:rPr>
        <w:t>7）</w:t>
      </w:r>
      <w:r>
        <w:rPr>
          <w:rFonts w:hint="eastAsia" w:ascii="仿宋_GB2312" w:hAnsi="仿宋_GB2312" w:eastAsia="仿宋_GB2312" w:cs="仿宋_GB2312"/>
          <w:color w:val="000000" w:themeColor="text1"/>
          <w:sz w:val="30"/>
          <w:szCs w:val="30"/>
          <w:u w:val="single"/>
          <w14:textFill>
            <w14:solidFill>
              <w14:schemeClr w14:val="tx1"/>
            </w14:solidFill>
          </w14:textFill>
        </w:rPr>
        <w:t>因变更或其它情况（除本条后面另行约定外）导致实际完成的工程量与预算书或工程量清单中有变化时，综合单价不予调整。但当实际完成的工程量比已标价工程量清单载明的工程量增加超过15%，且发包人发现承包人的已标价工程量清单相关清单子目中存在异常偏高的，超出已标价工程量清单载明的工程量15%的部分，发包人有权对异常偏高的综合单价进行修正，并按修正后的综合单价进行竣工结算。异常偏高是指清单综合单价（下浮后）与发包人按照10.4.1（变更估价原则）第（3）条约定而确定的综合单价高出50%及以上，发包人有权对异常偏高的综合单价按照4.4.1第（3）条进行修正。</w:t>
      </w:r>
    </w:p>
    <w:p w14:paraId="48A9D080">
      <w:pPr>
        <w:pStyle w:val="13"/>
        <w:tabs>
          <w:tab w:val="left" w:pos="3780"/>
        </w:tabs>
        <w:spacing w:line="360" w:lineRule="auto"/>
        <w:ind w:left="63" w:right="63" w:firstLine="600" w:firstLineChars="200"/>
        <w:jc w:val="left"/>
        <w:rPr>
          <w:rFonts w:hint="eastAsia" w:ascii="仿宋" w:hAnsi="仿宋" w:eastAsia="仿宋" w:cs="仿宋"/>
          <w:sz w:val="30"/>
          <w:szCs w:val="30"/>
          <w:u w:val="single"/>
        </w:rPr>
      </w:pPr>
      <w:r>
        <w:rPr>
          <w:rFonts w:hint="eastAsia" w:ascii="仿宋" w:hAnsi="仿宋" w:eastAsia="仿宋" w:cs="仿宋"/>
          <w:sz w:val="30"/>
          <w:szCs w:val="30"/>
          <w:u w:val="single"/>
        </w:rPr>
        <w:t>（</w:t>
      </w:r>
      <w:r>
        <w:rPr>
          <w:rFonts w:ascii="仿宋" w:hAnsi="仿宋" w:eastAsia="仿宋" w:cs="仿宋"/>
          <w:sz w:val="30"/>
          <w:szCs w:val="30"/>
          <w:u w:val="single"/>
        </w:rPr>
        <w:t>8）</w:t>
      </w:r>
      <w:r>
        <w:rPr>
          <w:rFonts w:hint="eastAsia" w:ascii="仿宋" w:hAnsi="仿宋" w:eastAsia="仿宋" w:cs="仿宋"/>
          <w:sz w:val="30"/>
          <w:szCs w:val="30"/>
          <w:u w:val="single"/>
        </w:rPr>
        <w:t>措施费：承包人已对拟建工程（含设计变更及工程量变化）可能发生的措施项目和措施费用作通盘考虑，清单计价一经报出即被认为是包括了所有应该发生的措施项目的全部费用。如果报出的清单中没有列项，而施工中又必须发生的项目，发包人有权认为，其已经综合在分部分项工程量清单的综合单价中。将来措施项目发生时承包人不得以任何借口提出索赔与调整，中标清单措施费包干使用，均不作任何调整。</w:t>
      </w:r>
    </w:p>
    <w:p w14:paraId="11EDFC79">
      <w:pPr>
        <w:pStyle w:val="13"/>
        <w:numPr>
          <w:ilvl w:val="255"/>
          <w:numId w:val="0"/>
        </w:numPr>
        <w:spacing w:line="360" w:lineRule="auto"/>
        <w:ind w:right="63"/>
        <w:jc w:val="left"/>
        <w:rPr>
          <w:rFonts w:hint="eastAsia" w:ascii="仿宋" w:hAnsi="仿宋" w:eastAsia="仿宋" w:cs="仿宋"/>
          <w:sz w:val="30"/>
          <w:szCs w:val="30"/>
          <w:u w:val="single"/>
        </w:rPr>
      </w:pPr>
      <w:r>
        <w:rPr>
          <w:rFonts w:hint="eastAsia" w:ascii="仿宋" w:hAnsi="仿宋" w:eastAsia="仿宋" w:cs="仿宋"/>
          <w:sz w:val="30"/>
          <w:szCs w:val="30"/>
          <w:u w:val="single"/>
        </w:rPr>
        <w:t>（9）本项目不计取总承包服务费及甲供材料（设备）采保费。</w:t>
      </w:r>
    </w:p>
    <w:p w14:paraId="2F7A1070">
      <w:pPr>
        <w:pStyle w:val="13"/>
        <w:spacing w:line="360" w:lineRule="auto"/>
        <w:ind w:right="63"/>
        <w:jc w:val="left"/>
        <w:rPr>
          <w:rFonts w:hint="eastAsia" w:ascii="仿宋" w:hAnsi="仿宋" w:eastAsia="仿宋" w:cs="仿宋"/>
          <w:sz w:val="30"/>
          <w:szCs w:val="30"/>
          <w:u w:val="single"/>
          <w:lang w:bidi="en-US"/>
        </w:rPr>
      </w:pPr>
      <w:r>
        <w:rPr>
          <w:rFonts w:hint="eastAsia" w:ascii="仿宋" w:hAnsi="仿宋" w:eastAsia="仿宋" w:cs="仿宋"/>
          <w:sz w:val="30"/>
          <w:szCs w:val="30"/>
          <w:lang w:bidi="en-US"/>
        </w:rPr>
        <w:t>（</w:t>
      </w:r>
      <w:r>
        <w:rPr>
          <w:rFonts w:ascii="仿宋" w:hAnsi="仿宋" w:eastAsia="仿宋" w:cs="仿宋"/>
          <w:sz w:val="30"/>
          <w:szCs w:val="30"/>
          <w:lang w:bidi="en-US"/>
        </w:rPr>
        <w:t>10）</w:t>
      </w:r>
      <w:r>
        <w:rPr>
          <w:rFonts w:ascii="仿宋" w:hAnsi="仿宋" w:eastAsia="仿宋" w:cs="仿宋"/>
          <w:sz w:val="30"/>
          <w:szCs w:val="30"/>
          <w:u w:val="single"/>
          <w:lang w:bidi="en-US"/>
        </w:rPr>
        <w:t>税金：本工程增值税税率为9%。</w:t>
      </w:r>
    </w:p>
    <w:p w14:paraId="1C262FBE">
      <w:pPr>
        <w:rPr>
          <w:rFonts w:hint="eastAsia" w:ascii="仿宋" w:hAnsi="仿宋" w:eastAsia="仿宋" w:cs="仿宋"/>
          <w:sz w:val="30"/>
          <w:szCs w:val="30"/>
          <w:u w:val="single"/>
          <w:lang w:bidi="en-US"/>
        </w:rPr>
      </w:pPr>
      <w:r>
        <w:rPr>
          <w:rFonts w:hint="eastAsia" w:ascii="仿宋" w:hAnsi="仿宋" w:eastAsia="仿宋" w:cs="仿宋"/>
          <w:sz w:val="30"/>
          <w:szCs w:val="30"/>
          <w:u w:val="single"/>
          <w:lang w:bidi="en-US"/>
        </w:rPr>
        <w:t>（11）计日工220元/工日（全费用）。</w:t>
      </w:r>
    </w:p>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p w14:paraId="4362D471">
      <w:pPr>
        <w:spacing w:after="120" w:line="360" w:lineRule="auto"/>
        <w:ind w:firstLine="600" w:firstLineChars="200"/>
        <w:rPr>
          <w:rFonts w:eastAsia="黑体"/>
          <w:sz w:val="30"/>
          <w:szCs w:val="32"/>
        </w:rPr>
      </w:pPr>
      <w:r>
        <w:rPr>
          <w:rFonts w:eastAsia="黑体"/>
          <w:sz w:val="30"/>
          <w:szCs w:val="32"/>
        </w:rPr>
        <w:t>1</w:t>
      </w:r>
      <w:bookmarkStart w:id="979" w:name="_Toc300934993"/>
      <w:bookmarkStart w:id="980" w:name="_Toc292559402"/>
      <w:bookmarkStart w:id="981" w:name="_Toc292559907"/>
      <w:bookmarkStart w:id="982" w:name="_Toc303539150"/>
      <w:bookmarkStart w:id="983" w:name="_Toc296891237"/>
      <w:bookmarkStart w:id="984" w:name="_Toc296346698"/>
      <w:bookmarkStart w:id="985" w:name="_Toc296503197"/>
      <w:bookmarkStart w:id="986" w:name="_Toc297216203"/>
      <w:bookmarkStart w:id="987" w:name="_Toc296347196"/>
      <w:bookmarkStart w:id="988" w:name="_Toc296891025"/>
      <w:bookmarkStart w:id="989" w:name="_Toc297123544"/>
      <w:bookmarkStart w:id="990" w:name="_Toc297120497"/>
      <w:bookmarkStart w:id="991" w:name="_Toc296944536"/>
      <w:bookmarkStart w:id="992" w:name="_Toc297048383"/>
      <w:bookmarkStart w:id="993" w:name="_Toc312678029"/>
      <w:bookmarkStart w:id="994" w:name="_Toc304295570"/>
      <w:bookmarkStart w:id="995" w:name="_Toc312677503"/>
      <w:r>
        <w:rPr>
          <w:rFonts w:eastAsia="黑体"/>
          <w:sz w:val="30"/>
          <w:szCs w:val="32"/>
        </w:rPr>
        <w:t>0.5</w:t>
      </w:r>
      <w:r>
        <w:rPr>
          <w:rFonts w:hint="eastAsia" w:eastAsia="黑体"/>
          <w:sz w:val="30"/>
          <w:szCs w:val="32"/>
        </w:rPr>
        <w:t>承</w:t>
      </w:r>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Start w:id="996" w:name="_Toc292559913"/>
      <w:bookmarkStart w:id="997" w:name="_Toc296891031"/>
      <w:bookmarkStart w:id="998" w:name="_Toc300934994"/>
      <w:bookmarkStart w:id="999" w:name="_Toc297048389"/>
      <w:bookmarkStart w:id="1000" w:name="_Toc296891243"/>
      <w:bookmarkStart w:id="1001" w:name="_Toc296503203"/>
      <w:bookmarkStart w:id="1002" w:name="_Toc297123545"/>
      <w:bookmarkStart w:id="1003" w:name="_Toc297216204"/>
      <w:bookmarkStart w:id="1004" w:name="_Toc297120503"/>
      <w:bookmarkStart w:id="1005" w:name="_Toc296347202"/>
      <w:bookmarkStart w:id="1006" w:name="_Toc296944542"/>
      <w:bookmarkStart w:id="1007" w:name="_Toc303539151"/>
      <w:bookmarkStart w:id="1008" w:name="_Toc292559408"/>
      <w:bookmarkStart w:id="1009" w:name="_Toc296346704"/>
      <w:r>
        <w:rPr>
          <w:rFonts w:hint="eastAsia" w:eastAsia="黑体"/>
          <w:sz w:val="30"/>
          <w:szCs w:val="32"/>
        </w:rPr>
        <w:t>包人的合理化建议</w:t>
      </w:r>
    </w:p>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p w14:paraId="36968B41">
      <w:pPr>
        <w:spacing w:line="360" w:lineRule="auto"/>
        <w:ind w:firstLine="600" w:firstLineChars="200"/>
        <w:jc w:val="left"/>
        <w:rPr>
          <w:rFonts w:eastAsia="仿宋_GB2312"/>
          <w:sz w:val="30"/>
          <w:szCs w:val="32"/>
        </w:rPr>
      </w:pPr>
      <w:r>
        <w:rPr>
          <w:rFonts w:hint="eastAsia" w:eastAsia="仿宋_GB2312"/>
          <w:sz w:val="30"/>
          <w:szCs w:val="32"/>
        </w:rPr>
        <w:t>监理人审查承包人合理化建议的期限：</w:t>
      </w:r>
      <w:r>
        <w:rPr>
          <w:rFonts w:eastAsia="仿宋_GB2312"/>
          <w:sz w:val="30"/>
          <w:szCs w:val="32"/>
          <w:u w:val="single"/>
        </w:rPr>
        <w:t xml:space="preserve"> 7</w:t>
      </w:r>
      <w:r>
        <w:rPr>
          <w:rFonts w:hint="eastAsia" w:eastAsia="仿宋_GB2312"/>
          <w:sz w:val="30"/>
          <w:szCs w:val="32"/>
          <w:u w:val="single"/>
        </w:rPr>
        <w:t>天</w:t>
      </w:r>
      <w:r>
        <w:rPr>
          <w:rFonts w:eastAsia="仿宋_GB2312"/>
          <w:sz w:val="30"/>
          <w:szCs w:val="32"/>
          <w:u w:val="single"/>
        </w:rPr>
        <w:t xml:space="preserve">   </w:t>
      </w:r>
      <w:r>
        <w:rPr>
          <w:rFonts w:hint="eastAsia" w:eastAsia="仿宋_GB2312"/>
          <w:sz w:val="30"/>
          <w:szCs w:val="32"/>
        </w:rPr>
        <w:t>。</w:t>
      </w:r>
    </w:p>
    <w:p w14:paraId="1EAB1DBC">
      <w:pPr>
        <w:spacing w:line="360" w:lineRule="auto"/>
        <w:ind w:firstLine="600" w:firstLineChars="200"/>
        <w:jc w:val="left"/>
        <w:rPr>
          <w:rFonts w:eastAsia="仿宋_GB2312"/>
          <w:sz w:val="30"/>
          <w:szCs w:val="32"/>
        </w:rPr>
      </w:pPr>
      <w:r>
        <w:rPr>
          <w:rFonts w:hint="eastAsia" w:eastAsia="仿宋_GB2312"/>
          <w:sz w:val="30"/>
          <w:szCs w:val="32"/>
        </w:rPr>
        <w:t>发包人审批承包人合理化建议的期限：</w:t>
      </w:r>
      <w:r>
        <w:rPr>
          <w:rFonts w:eastAsia="仿宋_GB2312"/>
          <w:sz w:val="30"/>
          <w:szCs w:val="32"/>
          <w:u w:val="single"/>
        </w:rPr>
        <w:t xml:space="preserve"> 7</w:t>
      </w:r>
      <w:r>
        <w:rPr>
          <w:rFonts w:hint="eastAsia" w:eastAsia="仿宋_GB2312"/>
          <w:sz w:val="30"/>
          <w:szCs w:val="32"/>
          <w:u w:val="single"/>
        </w:rPr>
        <w:t>天</w:t>
      </w:r>
      <w:r>
        <w:rPr>
          <w:rFonts w:eastAsia="仿宋_GB2312"/>
          <w:sz w:val="30"/>
          <w:szCs w:val="32"/>
          <w:u w:val="single"/>
        </w:rPr>
        <w:t xml:space="preserve">    </w:t>
      </w:r>
      <w:r>
        <w:rPr>
          <w:rFonts w:hint="eastAsia" w:eastAsia="仿宋_GB2312"/>
          <w:sz w:val="30"/>
          <w:szCs w:val="32"/>
        </w:rPr>
        <w:t>。</w:t>
      </w:r>
    </w:p>
    <w:p w14:paraId="3F7768BA">
      <w:pPr>
        <w:spacing w:line="360" w:lineRule="auto"/>
        <w:ind w:firstLine="600" w:firstLineChars="200"/>
        <w:jc w:val="left"/>
        <w:rPr>
          <w:rFonts w:eastAsia="仿宋_GB2312"/>
          <w:sz w:val="30"/>
          <w:szCs w:val="32"/>
          <w:u w:val="single"/>
        </w:rPr>
      </w:pPr>
      <w:r>
        <w:rPr>
          <w:rFonts w:hint="eastAsia" w:eastAsia="仿宋_GB2312"/>
          <w:sz w:val="30"/>
          <w:szCs w:val="32"/>
        </w:rPr>
        <w:t>承</w:t>
      </w:r>
      <w:bookmarkStart w:id="1010" w:name="_Toc296503204"/>
      <w:bookmarkStart w:id="1011" w:name="_Toc292559409"/>
      <w:bookmarkStart w:id="1012" w:name="_Toc312677504"/>
      <w:bookmarkStart w:id="1013" w:name="_Toc297120504"/>
      <w:bookmarkStart w:id="1014" w:name="_Toc292559914"/>
      <w:bookmarkStart w:id="1015" w:name="_Toc304295571"/>
      <w:bookmarkStart w:id="1016" w:name="_Toc296346705"/>
      <w:bookmarkStart w:id="1017" w:name="_Toc312678030"/>
      <w:bookmarkStart w:id="1018" w:name="_Toc300934995"/>
      <w:bookmarkStart w:id="1019" w:name="_Toc303539152"/>
      <w:bookmarkStart w:id="1020" w:name="_Toc297048390"/>
      <w:bookmarkStart w:id="1021" w:name="_Toc296891244"/>
      <w:bookmarkStart w:id="1022" w:name="_Toc296891032"/>
      <w:bookmarkStart w:id="1023" w:name="_Toc297216205"/>
      <w:bookmarkStart w:id="1024" w:name="_Toc296347203"/>
      <w:bookmarkStart w:id="1025" w:name="_Toc296944543"/>
      <w:bookmarkStart w:id="1026" w:name="_Toc297123546"/>
      <w:bookmarkStart w:id="1027" w:name="_Toc318581175"/>
      <w:r>
        <w:rPr>
          <w:rFonts w:hint="eastAsia" w:eastAsia="仿宋_GB2312"/>
          <w:sz w:val="30"/>
          <w:szCs w:val="32"/>
        </w:rPr>
        <w:t>包人提出的合理化建议降低了合同价格或者提高了工程经济效益的奖励的方法和金额为：</w:t>
      </w:r>
      <w:r>
        <w:rPr>
          <w:rFonts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3AE78310">
      <w:pPr>
        <w:spacing w:line="360" w:lineRule="auto"/>
        <w:ind w:firstLine="600" w:firstLineChars="200"/>
        <w:jc w:val="left"/>
        <w:rPr>
          <w:rFonts w:eastAsia="黑体"/>
          <w:sz w:val="30"/>
          <w:szCs w:val="32"/>
        </w:rPr>
      </w:pPr>
      <w:r>
        <w:rPr>
          <w:rFonts w:eastAsia="黑体"/>
          <w:sz w:val="30"/>
          <w:szCs w:val="32"/>
        </w:rPr>
        <w:t xml:space="preserve">10.7 </w:t>
      </w:r>
      <w:r>
        <w:rPr>
          <w:rFonts w:hint="eastAsia" w:eastAsia="黑体"/>
          <w:sz w:val="30"/>
          <w:szCs w:val="32"/>
        </w:rPr>
        <w:t>暂估价</w:t>
      </w:r>
    </w:p>
    <w:p w14:paraId="1EDD5643">
      <w:pPr>
        <w:spacing w:line="360" w:lineRule="auto"/>
        <w:ind w:firstLine="600" w:firstLineChars="200"/>
        <w:jc w:val="left"/>
        <w:rPr>
          <w:rFonts w:eastAsia="仿宋_GB2312"/>
          <w:sz w:val="30"/>
          <w:szCs w:val="32"/>
        </w:rPr>
      </w:pPr>
      <w:r>
        <w:rPr>
          <w:rFonts w:hint="eastAsia" w:eastAsia="仿宋_GB2312"/>
          <w:kern w:val="0"/>
          <w:sz w:val="30"/>
          <w:szCs w:val="32"/>
        </w:rPr>
        <w:t>暂估价材料和工程设备的明细详见附件</w:t>
      </w:r>
      <w:r>
        <w:rPr>
          <w:rFonts w:eastAsia="仿宋_GB2312"/>
          <w:kern w:val="0"/>
          <w:sz w:val="30"/>
          <w:szCs w:val="32"/>
        </w:rPr>
        <w:t>11</w:t>
      </w:r>
      <w:r>
        <w:rPr>
          <w:rFonts w:hint="eastAsia" w:eastAsia="仿宋_GB2312"/>
          <w:kern w:val="0"/>
          <w:sz w:val="30"/>
          <w:szCs w:val="32"/>
        </w:rPr>
        <w:t>：《</w:t>
      </w:r>
      <w:r>
        <w:rPr>
          <w:rFonts w:hint="eastAsia" w:eastAsia="仿宋_GB2312"/>
          <w:sz w:val="30"/>
          <w:szCs w:val="32"/>
        </w:rPr>
        <w:t>暂估价一览表》</w:t>
      </w:r>
      <w:r>
        <w:rPr>
          <w:rFonts w:hint="eastAsia" w:eastAsia="仿宋_GB2312"/>
          <w:kern w:val="0"/>
          <w:sz w:val="30"/>
          <w:szCs w:val="32"/>
        </w:rPr>
        <w:t>。</w:t>
      </w:r>
    </w:p>
    <w:p w14:paraId="51ADD3AF">
      <w:pPr>
        <w:spacing w:line="360" w:lineRule="auto"/>
        <w:ind w:firstLine="600" w:firstLineChars="200"/>
        <w:jc w:val="left"/>
        <w:rPr>
          <w:rFonts w:eastAsia="仿宋_GB2312"/>
          <w:sz w:val="30"/>
          <w:szCs w:val="32"/>
          <w:u w:val="single"/>
        </w:rPr>
      </w:pPr>
      <w:r>
        <w:rPr>
          <w:rFonts w:eastAsia="仿宋_GB2312"/>
          <w:sz w:val="30"/>
          <w:szCs w:val="32"/>
        </w:rPr>
        <w:t xml:space="preserve">10.7.1 </w:t>
      </w:r>
      <w:r>
        <w:rPr>
          <w:rFonts w:hint="eastAsia" w:eastAsia="仿宋_GB2312"/>
          <w:sz w:val="30"/>
          <w:szCs w:val="32"/>
        </w:rPr>
        <w:t>依法必须招标的暂估价项目</w:t>
      </w:r>
    </w:p>
    <w:p w14:paraId="583E60B7">
      <w:pPr>
        <w:spacing w:line="360" w:lineRule="auto"/>
        <w:ind w:firstLine="600" w:firstLineChars="200"/>
        <w:jc w:val="left"/>
        <w:rPr>
          <w:rFonts w:eastAsia="仿宋_GB2312"/>
          <w:sz w:val="30"/>
          <w:szCs w:val="32"/>
        </w:rPr>
      </w:pPr>
      <w:r>
        <w:rPr>
          <w:rFonts w:hint="eastAsia" w:eastAsia="仿宋_GB2312"/>
          <w:sz w:val="30"/>
          <w:szCs w:val="32"/>
        </w:rPr>
        <w:t>对于依法必须招标的暂估价项目的确认和批准采取第</w:t>
      </w:r>
      <w:r>
        <w:rPr>
          <w:rFonts w:eastAsia="仿宋_GB2312"/>
          <w:sz w:val="30"/>
          <w:szCs w:val="32"/>
          <w:u w:val="single"/>
        </w:rPr>
        <w:t xml:space="preserve">  /  </w:t>
      </w:r>
      <w:r>
        <w:rPr>
          <w:rFonts w:hint="eastAsia" w:eastAsia="仿宋_GB2312"/>
          <w:sz w:val="30"/>
          <w:szCs w:val="32"/>
        </w:rPr>
        <w:t>种方式确定。</w:t>
      </w:r>
    </w:p>
    <w:p w14:paraId="09567005">
      <w:pPr>
        <w:spacing w:line="360" w:lineRule="auto"/>
        <w:ind w:firstLine="600" w:firstLineChars="200"/>
        <w:jc w:val="left"/>
        <w:rPr>
          <w:rFonts w:eastAsia="仿宋_GB2312"/>
          <w:sz w:val="30"/>
          <w:szCs w:val="32"/>
        </w:rPr>
      </w:pPr>
      <w:r>
        <w:rPr>
          <w:rFonts w:hint="eastAsia" w:eastAsia="仿宋_GB2312"/>
          <w:kern w:val="0"/>
          <w:sz w:val="30"/>
          <w:szCs w:val="32"/>
          <w:u w:val="single"/>
        </w:rPr>
        <w:t>由发包人招标确定暂估价供应商或分包人。</w:t>
      </w:r>
    </w:p>
    <w:p w14:paraId="2B672328">
      <w:pPr>
        <w:spacing w:line="360" w:lineRule="auto"/>
        <w:ind w:firstLine="600" w:firstLineChars="200"/>
        <w:jc w:val="left"/>
        <w:rPr>
          <w:rFonts w:eastAsia="仿宋_GB2312"/>
          <w:sz w:val="30"/>
          <w:szCs w:val="32"/>
        </w:rPr>
      </w:pPr>
      <w:r>
        <w:rPr>
          <w:rFonts w:eastAsia="仿宋_GB2312"/>
          <w:sz w:val="30"/>
          <w:szCs w:val="32"/>
        </w:rPr>
        <w:t xml:space="preserve">10.7.2 </w:t>
      </w:r>
      <w:r>
        <w:rPr>
          <w:rFonts w:hint="eastAsia" w:eastAsia="仿宋_GB2312"/>
          <w:sz w:val="30"/>
          <w:szCs w:val="32"/>
        </w:rPr>
        <w:t>不属于依法必须招标的暂估价项目</w:t>
      </w:r>
    </w:p>
    <w:p w14:paraId="20A6E09F">
      <w:pPr>
        <w:spacing w:line="360" w:lineRule="auto"/>
        <w:ind w:firstLine="600" w:firstLineChars="200"/>
        <w:jc w:val="left"/>
        <w:rPr>
          <w:rFonts w:eastAsia="仿宋_GB2312"/>
          <w:sz w:val="30"/>
          <w:szCs w:val="32"/>
        </w:rPr>
      </w:pPr>
      <w:r>
        <w:rPr>
          <w:rFonts w:hint="eastAsia" w:eastAsia="仿宋_GB2312"/>
          <w:sz w:val="30"/>
          <w:szCs w:val="32"/>
        </w:rPr>
        <w:t>对于不属于依法必须招标的暂估价项目的确认和批准采取第</w:t>
      </w:r>
      <w:r>
        <w:rPr>
          <w:rFonts w:eastAsia="仿宋_GB2312"/>
          <w:sz w:val="30"/>
          <w:szCs w:val="32"/>
          <w:u w:val="single"/>
        </w:rPr>
        <w:t xml:space="preserve"> /  </w:t>
      </w:r>
      <w:r>
        <w:rPr>
          <w:rFonts w:eastAsia="仿宋_GB2312"/>
          <w:sz w:val="30"/>
          <w:szCs w:val="32"/>
        </w:rPr>
        <w:t xml:space="preserve"> </w:t>
      </w:r>
      <w:r>
        <w:rPr>
          <w:rFonts w:hint="eastAsia" w:eastAsia="仿宋_GB2312"/>
          <w:sz w:val="30"/>
          <w:szCs w:val="32"/>
        </w:rPr>
        <w:t>种方式确定。</w:t>
      </w:r>
    </w:p>
    <w:p w14:paraId="5FC732D2">
      <w:pPr>
        <w:spacing w:line="360" w:lineRule="auto"/>
        <w:ind w:firstLine="600" w:firstLineChars="200"/>
        <w:jc w:val="left"/>
        <w:rPr>
          <w:rFonts w:eastAsia="仿宋_GB2312"/>
          <w:sz w:val="30"/>
          <w:szCs w:val="32"/>
        </w:rPr>
      </w:pPr>
      <w:r>
        <w:rPr>
          <w:rFonts w:hint="eastAsia" w:eastAsia="仿宋_GB2312"/>
          <w:kern w:val="0"/>
          <w:sz w:val="30"/>
          <w:szCs w:val="32"/>
          <w:u w:val="single"/>
        </w:rPr>
        <w:t>由发包人确定暂估价供应商或分包人</w:t>
      </w:r>
      <w:r>
        <w:rPr>
          <w:rFonts w:hint="eastAsia" w:eastAsia="仿宋_GB2312"/>
          <w:sz w:val="30"/>
          <w:szCs w:val="32"/>
        </w:rPr>
        <w:t>。</w:t>
      </w:r>
    </w:p>
    <w:p w14:paraId="014B7B3D">
      <w:pPr>
        <w:spacing w:after="120" w:line="360" w:lineRule="auto"/>
        <w:ind w:firstLine="600" w:firstLineChars="200"/>
        <w:rPr>
          <w:rFonts w:eastAsia="黑体"/>
          <w:sz w:val="30"/>
          <w:szCs w:val="32"/>
        </w:rPr>
      </w:pPr>
      <w:bookmarkStart w:id="1028" w:name="_Toc351203643"/>
      <w:r>
        <w:rPr>
          <w:rFonts w:eastAsia="黑体"/>
          <w:sz w:val="30"/>
          <w:szCs w:val="32"/>
        </w:rPr>
        <w:t xml:space="preserve">10.8 </w:t>
      </w:r>
      <w:r>
        <w:rPr>
          <w:rFonts w:hint="eastAsia" w:eastAsia="黑体"/>
          <w:sz w:val="30"/>
          <w:szCs w:val="32"/>
        </w:rPr>
        <w:t>暂列金额</w:t>
      </w:r>
    </w:p>
    <w:p w14:paraId="21EE4A71">
      <w:pPr>
        <w:autoSpaceDE w:val="0"/>
        <w:autoSpaceDN w:val="0"/>
        <w:adjustRightInd w:val="0"/>
        <w:spacing w:line="360" w:lineRule="auto"/>
        <w:ind w:firstLine="600" w:firstLineChars="200"/>
        <w:jc w:val="left"/>
        <w:rPr>
          <w:rFonts w:eastAsia="仿宋_GB2312"/>
          <w:kern w:val="0"/>
          <w:sz w:val="30"/>
          <w:szCs w:val="32"/>
          <w:u w:val="single"/>
        </w:rPr>
      </w:pPr>
      <w:r>
        <w:rPr>
          <w:rFonts w:hint="eastAsia" w:eastAsia="仿宋_GB2312"/>
          <w:kern w:val="0"/>
          <w:sz w:val="30"/>
          <w:szCs w:val="32"/>
        </w:rPr>
        <w:t>合同当事人关于暂列金额使用的约定：</w:t>
      </w:r>
      <w:r>
        <w:rPr>
          <w:rFonts w:hint="eastAsia" w:eastAsia="仿宋_GB2312"/>
          <w:kern w:val="0"/>
          <w:sz w:val="30"/>
          <w:szCs w:val="32"/>
          <w:u w:val="single"/>
        </w:rPr>
        <w:t>暂列金额由发包人掌握使用，已在合同价格中，使用余额归发包人所有</w:t>
      </w:r>
      <w:r>
        <w:rPr>
          <w:rFonts w:eastAsia="仿宋_GB2312"/>
          <w:sz w:val="30"/>
          <w:szCs w:val="32"/>
          <w:u w:val="single"/>
        </w:rPr>
        <w:t xml:space="preserve"> </w:t>
      </w:r>
      <w:r>
        <w:rPr>
          <w:rFonts w:hint="eastAsia" w:eastAsia="仿宋_GB2312"/>
          <w:sz w:val="30"/>
          <w:szCs w:val="32"/>
          <w:u w:val="single"/>
        </w:rPr>
        <w:t>，用于支付合同签订时不确定或不可预见的材料、工程设备、服务的采购，</w:t>
      </w:r>
      <w:r>
        <w:rPr>
          <w:rFonts w:hint="eastAsia" w:eastAsia="仿宋_GB2312"/>
          <w:kern w:val="0"/>
          <w:sz w:val="30"/>
          <w:szCs w:val="32"/>
          <w:u w:val="single"/>
        </w:rPr>
        <w:t>施工中可能</w:t>
      </w:r>
      <w:r>
        <w:rPr>
          <w:rFonts w:hint="eastAsia" w:eastAsia="仿宋_GB2312"/>
          <w:sz w:val="30"/>
          <w:szCs w:val="32"/>
          <w:u w:val="single"/>
        </w:rPr>
        <w:t>发生的变更、</w:t>
      </w:r>
      <w:r>
        <w:rPr>
          <w:rFonts w:hint="eastAsia" w:eastAsia="仿宋_GB2312"/>
          <w:kern w:val="0"/>
          <w:sz w:val="30"/>
          <w:szCs w:val="32"/>
          <w:u w:val="single"/>
        </w:rPr>
        <w:t>合同</w:t>
      </w:r>
      <w:r>
        <w:rPr>
          <w:rFonts w:hint="eastAsia" w:eastAsia="仿宋_GB2312"/>
          <w:sz w:val="30"/>
          <w:szCs w:val="32"/>
          <w:u w:val="single"/>
        </w:rPr>
        <w:t>约定调整因素出现时的合同价格调整、索赔、现场签证等的费用</w:t>
      </w:r>
      <w:r>
        <w:rPr>
          <w:rFonts w:hint="eastAsia" w:eastAsia="仿宋_GB2312"/>
          <w:sz w:val="30"/>
          <w:szCs w:val="32"/>
        </w:rPr>
        <w:t>。</w:t>
      </w:r>
    </w:p>
    <w:bookmarkEnd w:id="955"/>
    <w:bookmarkEnd w:id="956"/>
    <w:bookmarkEnd w:id="957"/>
    <w:bookmarkEnd w:id="958"/>
    <w:bookmarkEnd w:id="959"/>
    <w:bookmarkEnd w:id="960"/>
    <w:bookmarkEnd w:id="1028"/>
    <w:p w14:paraId="2A13AB17">
      <w:pPr>
        <w:pStyle w:val="8"/>
        <w:spacing w:before="156" w:after="156" w:line="360" w:lineRule="auto"/>
        <w:rPr>
          <w:rFonts w:ascii="Times New Roman" w:hAnsi="Times New Roman" w:eastAsia="黑体"/>
          <w:b w:val="0"/>
          <w:color w:val="000000" w:themeColor="text1"/>
          <w:sz w:val="32"/>
          <w:szCs w:val="32"/>
          <w14:textFill>
            <w14:solidFill>
              <w14:schemeClr w14:val="tx1"/>
            </w14:solidFill>
          </w14:textFill>
        </w:rPr>
      </w:pPr>
      <w:bookmarkStart w:id="1029" w:name="_Toc292559916"/>
      <w:bookmarkStart w:id="1030" w:name="_Toc267251461"/>
      <w:bookmarkStart w:id="1031" w:name="_Toc292559411"/>
      <w:bookmarkStart w:id="1032" w:name="_Toc297048392"/>
      <w:bookmarkStart w:id="1033" w:name="_Toc296891034"/>
      <w:bookmarkStart w:id="1034" w:name="_Toc297120506"/>
      <w:bookmarkStart w:id="1035" w:name="_Toc296347205"/>
      <w:bookmarkStart w:id="1036" w:name="_Toc296503206"/>
      <w:bookmarkStart w:id="1037" w:name="_Toc296944545"/>
      <w:bookmarkStart w:id="1038" w:name="_Toc296346707"/>
      <w:bookmarkStart w:id="1039" w:name="_Toc296891246"/>
      <w:bookmarkStart w:id="1040" w:name="_Toc297123553"/>
      <w:bookmarkStart w:id="1041" w:name="_Toc297216212"/>
      <w:bookmarkStart w:id="1042" w:name="_Toc300935003"/>
      <w:bookmarkStart w:id="1043" w:name="_Toc303539160"/>
      <w:bookmarkStart w:id="1044" w:name="_Toc304295580"/>
      <w:bookmarkStart w:id="1045" w:name="_Toc312678041"/>
      <w:r>
        <w:rPr>
          <w:rFonts w:ascii="Times New Roman" w:hAnsi="Times New Roman" w:eastAsia="黑体"/>
          <w:b w:val="0"/>
          <w:color w:val="000000" w:themeColor="text1"/>
          <w:sz w:val="32"/>
          <w:szCs w:val="32"/>
          <w14:textFill>
            <w14:solidFill>
              <w14:schemeClr w14:val="tx1"/>
            </w14:solidFill>
          </w14:textFill>
        </w:rPr>
        <w:t xml:space="preserve">11. </w:t>
      </w:r>
      <w:r>
        <w:rPr>
          <w:rFonts w:hint="eastAsia" w:ascii="Times New Roman" w:hAnsi="Times New Roman" w:eastAsia="黑体"/>
          <w:b w:val="0"/>
          <w:color w:val="000000" w:themeColor="text1"/>
          <w:sz w:val="32"/>
          <w:szCs w:val="32"/>
          <w14:textFill>
            <w14:solidFill>
              <w14:schemeClr w14:val="tx1"/>
            </w14:solidFill>
          </w14:textFill>
        </w:rPr>
        <w:t>价格调整</w:t>
      </w:r>
    </w:p>
    <w:p w14:paraId="30A241DF">
      <w:pPr>
        <w:pStyle w:val="9"/>
        <w:spacing w:before="156" w:after="156" w:line="360" w:lineRule="auto"/>
        <w:ind w:firstLine="600" w:firstLineChars="200"/>
        <w:rPr>
          <w:b w:val="0"/>
          <w:color w:val="000000" w:themeColor="text1"/>
          <w:sz w:val="30"/>
          <w14:textFill>
            <w14:solidFill>
              <w14:schemeClr w14:val="tx1"/>
            </w14:solidFill>
          </w14:textFill>
        </w:rPr>
      </w:pPr>
      <w:bookmarkStart w:id="1046" w:name="_Toc300935000"/>
      <w:bookmarkStart w:id="1047" w:name="_Toc292559911"/>
      <w:bookmarkStart w:id="1048" w:name="_Toc312678039"/>
      <w:bookmarkStart w:id="1049" w:name="_Toc292559406"/>
      <w:bookmarkStart w:id="1050" w:name="_Toc303539157"/>
      <w:bookmarkStart w:id="1051" w:name="_Toc297048387"/>
      <w:bookmarkStart w:id="1052" w:name="_Toc296891029"/>
      <w:bookmarkStart w:id="1053" w:name="_Toc296503201"/>
      <w:bookmarkStart w:id="1054" w:name="_Toc297120501"/>
      <w:bookmarkStart w:id="1055" w:name="_Toc296346702"/>
      <w:bookmarkStart w:id="1056" w:name="_Toc296347200"/>
      <w:bookmarkStart w:id="1057" w:name="_Toc297216209"/>
      <w:bookmarkStart w:id="1058" w:name="_Toc296944540"/>
      <w:bookmarkStart w:id="1059" w:name="_Toc304295577"/>
      <w:bookmarkStart w:id="1060" w:name="_Toc297123550"/>
      <w:bookmarkStart w:id="1061" w:name="_Toc296891241"/>
      <w:r>
        <w:rPr>
          <w:b w:val="0"/>
          <w:color w:val="000000" w:themeColor="text1"/>
          <w:sz w:val="30"/>
          <w14:textFill>
            <w14:solidFill>
              <w14:schemeClr w14:val="tx1"/>
            </w14:solidFill>
          </w14:textFill>
        </w:rPr>
        <w:t xml:space="preserve">11.1 </w:t>
      </w:r>
      <w:r>
        <w:rPr>
          <w:rFonts w:hint="eastAsia"/>
          <w:b w:val="0"/>
          <w:color w:val="000000" w:themeColor="text1"/>
          <w:sz w:val="30"/>
          <w14:textFill>
            <w14:solidFill>
              <w14:schemeClr w14:val="tx1"/>
            </w14:solidFill>
          </w14:textFill>
        </w:rPr>
        <w:t>市场价格波动引起的调整</w:t>
      </w:r>
    </w:p>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p w14:paraId="5EF33DEF">
      <w:pPr>
        <w:spacing w:line="360" w:lineRule="auto"/>
        <w:ind w:firstLine="600" w:firstLineChars="200"/>
        <w:jc w:val="left"/>
        <w:rPr>
          <w:rFonts w:eastAsia="仿宋_GB2312"/>
          <w:color w:val="000000" w:themeColor="text1"/>
          <w:sz w:val="30"/>
          <w:szCs w:val="32"/>
          <w:u w:val="single"/>
          <w14:textFill>
            <w14:solidFill>
              <w14:schemeClr w14:val="tx1"/>
            </w14:solidFill>
          </w14:textFill>
        </w:rPr>
      </w:pPr>
      <w:r>
        <w:rPr>
          <w:rFonts w:hint="eastAsia" w:eastAsia="仿宋_GB2312"/>
          <w:color w:val="000000" w:themeColor="text1"/>
          <w:kern w:val="0"/>
          <w:sz w:val="30"/>
          <w:szCs w:val="32"/>
          <w14:textFill>
            <w14:solidFill>
              <w14:schemeClr w14:val="tx1"/>
            </w14:solidFill>
          </w14:textFill>
        </w:rPr>
        <w:t>市场价格波动是否调整合同价格的约定：</w:t>
      </w:r>
    </w:p>
    <w:p w14:paraId="381A9BE9">
      <w:pPr>
        <w:spacing w:line="360" w:lineRule="auto"/>
        <w:ind w:firstLine="600" w:firstLineChars="200"/>
        <w:jc w:val="left"/>
        <w:rPr>
          <w:rFonts w:eastAsia="仿宋_GB2312"/>
          <w:color w:val="000000" w:themeColor="text1"/>
          <w:sz w:val="30"/>
          <w:szCs w:val="32"/>
          <w:u w:val="single"/>
          <w14:textFill>
            <w14:solidFill>
              <w14:schemeClr w14:val="tx1"/>
            </w14:solidFill>
          </w14:textFill>
        </w:rPr>
      </w:pPr>
      <w:r>
        <w:rPr>
          <w:rFonts w:eastAsia="仿宋_GB2312"/>
          <w:color w:val="000000" w:themeColor="text1"/>
          <w:sz w:val="30"/>
          <w:szCs w:val="32"/>
          <w:u w:val="single"/>
          <w14:textFill>
            <w14:solidFill>
              <w14:schemeClr w14:val="tx1"/>
            </w14:solidFill>
          </w14:textFill>
        </w:rPr>
        <w:sym w:font="Wingdings 2" w:char="0052"/>
      </w:r>
      <w:r>
        <w:rPr>
          <w:rFonts w:hint="eastAsia" w:eastAsia="仿宋_GB2312"/>
          <w:color w:val="000000" w:themeColor="text1"/>
          <w:sz w:val="30"/>
          <w:szCs w:val="32"/>
          <w:u w:val="single"/>
          <w14:textFill>
            <w14:solidFill>
              <w14:schemeClr w14:val="tx1"/>
            </w14:solidFill>
          </w14:textFill>
        </w:rPr>
        <w:t>不作调整。</w:t>
      </w:r>
    </w:p>
    <w:p w14:paraId="2A9B99EC">
      <w:pPr>
        <w:pStyle w:val="9"/>
        <w:spacing w:before="156" w:after="156" w:line="360" w:lineRule="auto"/>
        <w:ind w:firstLine="600" w:firstLineChars="200"/>
        <w:rPr>
          <w:b w:val="0"/>
          <w:color w:val="000000" w:themeColor="text1"/>
          <w:sz w:val="30"/>
          <w14:textFill>
            <w14:solidFill>
              <w14:schemeClr w14:val="tx1"/>
            </w14:solidFill>
          </w14:textFill>
        </w:rPr>
      </w:pPr>
      <w:r>
        <w:rPr>
          <w:b w:val="0"/>
          <w:color w:val="000000" w:themeColor="text1"/>
          <w:sz w:val="30"/>
          <w14:textFill>
            <w14:solidFill>
              <w14:schemeClr w14:val="tx1"/>
            </w14:solidFill>
          </w14:textFill>
        </w:rPr>
        <w:t>11.2</w:t>
      </w:r>
      <w:r>
        <w:rPr>
          <w:rFonts w:hint="eastAsia"/>
          <w:b w:val="0"/>
          <w:color w:val="000000" w:themeColor="text1"/>
          <w:sz w:val="30"/>
          <w14:textFill>
            <w14:solidFill>
              <w14:schemeClr w14:val="tx1"/>
            </w14:solidFill>
          </w14:textFill>
        </w:rPr>
        <w:t>法律变化引起的调整</w:t>
      </w:r>
    </w:p>
    <w:p w14:paraId="16F29A54">
      <w:pPr>
        <w:spacing w:line="360" w:lineRule="auto"/>
        <w:ind w:firstLine="645"/>
        <w:jc w:val="left"/>
        <w:rPr>
          <w:rFonts w:eastAsia="仿宋_GB2312"/>
          <w:color w:val="000000" w:themeColor="text1"/>
          <w:sz w:val="30"/>
          <w:szCs w:val="32"/>
          <w14:textFill>
            <w14:solidFill>
              <w14:schemeClr w14:val="tx1"/>
            </w14:solidFill>
          </w14:textFill>
        </w:rPr>
      </w:pPr>
      <w:r>
        <w:rPr>
          <w:rFonts w:hint="eastAsia" w:eastAsia="仿宋_GB2312"/>
          <w:color w:val="000000" w:themeColor="text1"/>
          <w:sz w:val="30"/>
          <w:szCs w:val="32"/>
          <w:u w:val="single"/>
          <w14:textFill>
            <w14:solidFill>
              <w14:schemeClr w14:val="tx1"/>
            </w14:solidFill>
          </w14:textFill>
        </w:rPr>
        <w:t>本合同价格不随法律及其他规范性文件、政策的调整而调整。但增值税税率调整的情况除外。</w:t>
      </w:r>
    </w:p>
    <w:p w14:paraId="7B2AC79D">
      <w:pPr>
        <w:pStyle w:val="8"/>
        <w:spacing w:before="156" w:after="156" w:line="360" w:lineRule="auto"/>
        <w:rPr>
          <w:rFonts w:ascii="Times New Roman" w:hAnsi="Times New Roman" w:eastAsia="黑体"/>
          <w:b w:val="0"/>
          <w:color w:val="000000" w:themeColor="text1"/>
          <w:sz w:val="32"/>
          <w:szCs w:val="32"/>
          <w:u w:val="single"/>
          <w14:textFill>
            <w14:solidFill>
              <w14:schemeClr w14:val="tx1"/>
            </w14:solidFill>
          </w14:textFill>
        </w:rPr>
      </w:pPr>
      <w:bookmarkStart w:id="1062" w:name="_Toc296891033"/>
      <w:bookmarkStart w:id="1063" w:name="_Toc292559915"/>
      <w:bookmarkStart w:id="1064" w:name="_Toc297120505"/>
      <w:bookmarkStart w:id="1065" w:name="_Toc297048391"/>
      <w:bookmarkStart w:id="1066" w:name="_Toc296503205"/>
      <w:bookmarkStart w:id="1067" w:name="_Toc292559410"/>
      <w:bookmarkStart w:id="1068" w:name="_Toc296944544"/>
      <w:bookmarkStart w:id="1069" w:name="_Toc296891245"/>
      <w:bookmarkStart w:id="1070" w:name="_Toc296346706"/>
      <w:bookmarkStart w:id="1071" w:name="_Toc296347204"/>
      <w:bookmarkStart w:id="1072" w:name="_Toc351203644"/>
      <w:bookmarkStart w:id="1073" w:name="_Toc297216211"/>
      <w:bookmarkStart w:id="1074" w:name="_Toc312678040"/>
      <w:bookmarkStart w:id="1075" w:name="_Toc303539159"/>
      <w:bookmarkStart w:id="1076" w:name="_Toc297123552"/>
      <w:bookmarkStart w:id="1077" w:name="_Toc300935002"/>
      <w:bookmarkStart w:id="1078" w:name="_Toc304295579"/>
      <w:r>
        <w:rPr>
          <w:rFonts w:ascii="Times New Roman" w:hAnsi="Times New Roman" w:eastAsia="黑体"/>
          <w:b w:val="0"/>
          <w:color w:val="000000" w:themeColor="text1"/>
          <w:sz w:val="32"/>
          <w:szCs w:val="32"/>
          <w14:textFill>
            <w14:solidFill>
              <w14:schemeClr w14:val="tx1"/>
            </w14:solidFill>
          </w14:textFill>
        </w:rPr>
        <w:t xml:space="preserve">12. </w:t>
      </w:r>
      <w:bookmarkEnd w:id="1062"/>
      <w:bookmarkEnd w:id="1063"/>
      <w:bookmarkEnd w:id="1064"/>
      <w:bookmarkEnd w:id="1065"/>
      <w:bookmarkEnd w:id="1066"/>
      <w:bookmarkEnd w:id="1067"/>
      <w:bookmarkEnd w:id="1068"/>
      <w:bookmarkEnd w:id="1069"/>
      <w:bookmarkEnd w:id="1070"/>
      <w:bookmarkEnd w:id="1071"/>
      <w:r>
        <w:rPr>
          <w:rFonts w:hint="eastAsia" w:ascii="Times New Roman" w:hAnsi="Times New Roman" w:eastAsia="黑体"/>
          <w:b w:val="0"/>
          <w:color w:val="000000" w:themeColor="text1"/>
          <w:sz w:val="32"/>
          <w:szCs w:val="32"/>
          <w14:textFill>
            <w14:solidFill>
              <w14:schemeClr w14:val="tx1"/>
            </w14:solidFill>
          </w14:textFill>
        </w:rPr>
        <w:t>合同价格、计量与支付</w:t>
      </w:r>
      <w:bookmarkEnd w:id="1072"/>
    </w:p>
    <w:bookmarkEnd w:id="1073"/>
    <w:bookmarkEnd w:id="1074"/>
    <w:bookmarkEnd w:id="1075"/>
    <w:bookmarkEnd w:id="1076"/>
    <w:bookmarkEnd w:id="1077"/>
    <w:bookmarkEnd w:id="1078"/>
    <w:p w14:paraId="473CDAA4">
      <w:pPr>
        <w:spacing w:after="120" w:line="360" w:lineRule="auto"/>
        <w:ind w:firstLine="600" w:firstLineChars="200"/>
        <w:rPr>
          <w:rFonts w:eastAsia="黑体"/>
          <w:sz w:val="30"/>
          <w:szCs w:val="32"/>
        </w:rPr>
      </w:pPr>
      <w:r>
        <w:rPr>
          <w:rFonts w:eastAsia="黑体"/>
          <w:sz w:val="30"/>
          <w:szCs w:val="32"/>
        </w:rPr>
        <w:t xml:space="preserve">12.1 </w:t>
      </w:r>
      <w:r>
        <w:rPr>
          <w:rFonts w:hint="eastAsia" w:eastAsia="黑体"/>
          <w:sz w:val="30"/>
          <w:szCs w:val="32"/>
        </w:rPr>
        <w:t>合</w:t>
      </w:r>
      <w:bookmarkEnd w:id="1029"/>
      <w:bookmarkEnd w:id="1030"/>
      <w:bookmarkEnd w:id="1031"/>
      <w:r>
        <w:rPr>
          <w:rFonts w:hint="eastAsia" w:eastAsia="黑体"/>
          <w:sz w:val="30"/>
          <w:szCs w:val="32"/>
        </w:rPr>
        <w:t>同价</w:t>
      </w:r>
      <w:bookmarkEnd w:id="1032"/>
      <w:bookmarkEnd w:id="1033"/>
      <w:bookmarkEnd w:id="1034"/>
      <w:bookmarkEnd w:id="1035"/>
      <w:bookmarkEnd w:id="1036"/>
      <w:bookmarkEnd w:id="1037"/>
      <w:bookmarkEnd w:id="1038"/>
      <w:bookmarkEnd w:id="1039"/>
      <w:r>
        <w:rPr>
          <w:rFonts w:hint="eastAsia" w:eastAsia="黑体"/>
          <w:sz w:val="30"/>
          <w:szCs w:val="32"/>
        </w:rPr>
        <w:t>格形式</w:t>
      </w:r>
    </w:p>
    <w:bookmarkEnd w:id="1040"/>
    <w:bookmarkEnd w:id="1041"/>
    <w:bookmarkEnd w:id="1042"/>
    <w:bookmarkEnd w:id="1043"/>
    <w:bookmarkEnd w:id="1044"/>
    <w:bookmarkEnd w:id="1045"/>
    <w:p w14:paraId="7D75463D">
      <w:pPr>
        <w:spacing w:line="360" w:lineRule="auto"/>
        <w:ind w:firstLine="600" w:firstLineChars="200"/>
        <w:jc w:val="left"/>
        <w:rPr>
          <w:rFonts w:eastAsia="仿宋_GB2312"/>
          <w:sz w:val="30"/>
          <w:szCs w:val="32"/>
        </w:rPr>
      </w:pPr>
      <w:r>
        <w:rPr>
          <w:rFonts w:eastAsia="仿宋_GB2312"/>
          <w:sz w:val="30"/>
          <w:szCs w:val="32"/>
        </w:rPr>
        <w:t>1</w:t>
      </w:r>
      <w:r>
        <w:rPr>
          <w:rFonts w:hint="eastAsia" w:eastAsia="仿宋_GB2312"/>
          <w:sz w:val="30"/>
          <w:szCs w:val="32"/>
        </w:rPr>
        <w:t>、单价合同。</w:t>
      </w:r>
    </w:p>
    <w:p w14:paraId="10B2286D">
      <w:pPr>
        <w:spacing w:line="360" w:lineRule="auto"/>
        <w:ind w:firstLine="600" w:firstLineChars="200"/>
        <w:jc w:val="left"/>
        <w:rPr>
          <w:rFonts w:eastAsia="仿宋_GB2312"/>
          <w:i/>
          <w:iCs/>
          <w:color w:val="000000" w:themeColor="text1"/>
          <w:sz w:val="30"/>
          <w:szCs w:val="32"/>
          <w14:textFill>
            <w14:solidFill>
              <w14:schemeClr w14:val="tx1"/>
            </w14:solidFill>
          </w14:textFill>
        </w:rPr>
      </w:pPr>
      <w:bookmarkStart w:id="1079" w:name="_Toc300935004"/>
      <w:bookmarkStart w:id="1080" w:name="_Toc297123554"/>
      <w:bookmarkStart w:id="1081" w:name="_Toc303539161"/>
      <w:bookmarkStart w:id="1082" w:name="_Toc312678042"/>
      <w:bookmarkStart w:id="1083" w:name="_Toc297216213"/>
      <w:bookmarkStart w:id="1084" w:name="_Toc304295581"/>
      <w:bookmarkStart w:id="1085" w:name="_Toc296891247"/>
      <w:bookmarkStart w:id="1086" w:name="_Toc296891035"/>
      <w:bookmarkStart w:id="1087" w:name="_Toc292559917"/>
      <w:bookmarkStart w:id="1088" w:name="_Toc296503207"/>
      <w:bookmarkStart w:id="1089" w:name="_Toc297048393"/>
      <w:bookmarkStart w:id="1090" w:name="_Toc292559412"/>
      <w:bookmarkStart w:id="1091" w:name="_Toc296346708"/>
      <w:bookmarkStart w:id="1092" w:name="_Toc296347206"/>
      <w:bookmarkStart w:id="1093" w:name="_Toc297120507"/>
      <w:bookmarkStart w:id="1094" w:name="_Toc296944546"/>
      <w:r>
        <w:rPr>
          <w:rFonts w:hint="eastAsia" w:eastAsia="仿宋_GB2312"/>
          <w:color w:val="000000" w:themeColor="text1"/>
          <w:sz w:val="30"/>
          <w:szCs w:val="32"/>
          <w14:textFill>
            <w14:solidFill>
              <w14:schemeClr w14:val="tx1"/>
            </w14:solidFill>
          </w14:textFill>
        </w:rPr>
        <w:t>综合单价包含的风险范围：</w:t>
      </w:r>
      <w:r>
        <w:rPr>
          <w:rFonts w:hint="eastAsia" w:eastAsia="仿宋_GB2312"/>
          <w:color w:val="000000" w:themeColor="text1"/>
          <w:sz w:val="30"/>
          <w:szCs w:val="32"/>
          <w:u w:val="single"/>
          <w14:textFill>
            <w14:solidFill>
              <w14:schemeClr w14:val="tx1"/>
            </w14:solidFill>
          </w14:textFill>
        </w:rPr>
        <w:t>除了不可抗力之外的其他风险</w:t>
      </w:r>
      <w:r>
        <w:rPr>
          <w:rFonts w:eastAsia="仿宋_GB2312"/>
          <w:color w:val="000000" w:themeColor="text1"/>
          <w:sz w:val="30"/>
          <w:szCs w:val="32"/>
          <w:u w:val="single"/>
          <w14:textFill>
            <w14:solidFill>
              <w14:schemeClr w14:val="tx1"/>
            </w14:solidFill>
          </w14:textFill>
        </w:rPr>
        <w:t xml:space="preserve"> </w:t>
      </w:r>
      <w:r>
        <w:rPr>
          <w:rFonts w:hint="eastAsia" w:eastAsia="仿宋_GB2312"/>
          <w:i/>
          <w:iCs/>
          <w:color w:val="000000" w:themeColor="text1"/>
          <w:sz w:val="30"/>
          <w:szCs w:val="32"/>
          <w14:textFill>
            <w14:solidFill>
              <w14:schemeClr w14:val="tx1"/>
            </w14:solidFill>
          </w14:textFill>
        </w:rPr>
        <w:t>。</w:t>
      </w:r>
    </w:p>
    <w:p w14:paraId="3A2ACBE8">
      <w:pPr>
        <w:spacing w:line="360" w:lineRule="auto"/>
        <w:ind w:firstLine="600" w:firstLineChars="200"/>
        <w:jc w:val="left"/>
        <w:rPr>
          <w:rFonts w:eastAsia="仿宋_GB2312"/>
          <w:color w:val="000000" w:themeColor="text1"/>
          <w:sz w:val="30"/>
          <w:szCs w:val="32"/>
          <w14:textFill>
            <w14:solidFill>
              <w14:schemeClr w14:val="tx1"/>
            </w14:solidFill>
          </w14:textFill>
        </w:rPr>
      </w:pPr>
      <w:r>
        <w:rPr>
          <w:rFonts w:hint="eastAsia" w:eastAsia="仿宋_GB2312"/>
          <w:color w:val="000000" w:themeColor="text1"/>
          <w:sz w:val="30"/>
          <w:szCs w:val="32"/>
          <w14:textFill>
            <w14:solidFill>
              <w14:schemeClr w14:val="tx1"/>
            </w14:solidFill>
          </w14:textFill>
        </w:rPr>
        <w:t>风险费用的计算方法：</w:t>
      </w:r>
      <w:r>
        <w:rPr>
          <w:rFonts w:hint="eastAsia" w:eastAsia="仿宋_GB2312"/>
          <w:color w:val="000000" w:themeColor="text1"/>
          <w:sz w:val="30"/>
          <w:szCs w:val="32"/>
          <w:u w:val="single"/>
          <w14:textFill>
            <w14:solidFill>
              <w14:schemeClr w14:val="tx1"/>
            </w14:solidFill>
          </w14:textFill>
        </w:rPr>
        <w:t>承包人投标时已考虑，已包含在综合单价中不单独列出。</w:t>
      </w:r>
    </w:p>
    <w:p w14:paraId="41A71CC2">
      <w:pPr>
        <w:spacing w:line="360" w:lineRule="auto"/>
        <w:ind w:firstLine="600" w:firstLineChars="200"/>
        <w:jc w:val="left"/>
        <w:rPr>
          <w:rFonts w:eastAsia="仿宋_GB2312"/>
          <w:color w:val="000000" w:themeColor="text1"/>
          <w:sz w:val="30"/>
          <w:szCs w:val="32"/>
          <w14:textFill>
            <w14:solidFill>
              <w14:schemeClr w14:val="tx1"/>
            </w14:solidFill>
          </w14:textFill>
        </w:rPr>
      </w:pPr>
      <w:r>
        <w:rPr>
          <w:rFonts w:hint="eastAsia" w:eastAsia="仿宋_GB2312"/>
          <w:color w:val="000000" w:themeColor="text1"/>
          <w:sz w:val="30"/>
          <w:szCs w:val="32"/>
          <w14:textFill>
            <w14:solidFill>
              <w14:schemeClr w14:val="tx1"/>
            </w14:solidFill>
          </w14:textFill>
        </w:rPr>
        <w:t>风险范围以外合同价格的调整方法：</w:t>
      </w:r>
      <w:r>
        <w:rPr>
          <w:rFonts w:hint="eastAsia" w:eastAsia="仿宋_GB2312"/>
          <w:color w:val="000000" w:themeColor="text1"/>
          <w:sz w:val="30"/>
          <w:szCs w:val="32"/>
          <w:u w:val="single"/>
          <w14:textFill>
            <w14:solidFill>
              <w14:schemeClr w14:val="tx1"/>
            </w14:solidFill>
          </w14:textFill>
        </w:rPr>
        <w:t>不可抗力按</w:t>
      </w:r>
      <w:r>
        <w:rPr>
          <w:rFonts w:eastAsia="仿宋_GB2312"/>
          <w:color w:val="000000" w:themeColor="text1"/>
          <w:sz w:val="30"/>
          <w:szCs w:val="32"/>
          <w:u w:val="single"/>
          <w14:textFill>
            <w14:solidFill>
              <w14:schemeClr w14:val="tx1"/>
            </w14:solidFill>
          </w14:textFill>
        </w:rPr>
        <w:t>17.3</w:t>
      </w:r>
      <w:r>
        <w:rPr>
          <w:rFonts w:hint="eastAsia" w:eastAsia="仿宋_GB2312"/>
          <w:color w:val="000000" w:themeColor="text1"/>
          <w:sz w:val="30"/>
          <w:szCs w:val="32"/>
          <w:u w:val="single"/>
          <w14:textFill>
            <w14:solidFill>
              <w14:schemeClr w14:val="tx1"/>
            </w14:solidFill>
          </w14:textFill>
        </w:rPr>
        <w:t>条。</w:t>
      </w:r>
    </w:p>
    <w:p w14:paraId="3559466D">
      <w:pPr>
        <w:spacing w:after="120" w:line="360" w:lineRule="auto"/>
        <w:ind w:firstLine="600" w:firstLineChars="200"/>
        <w:rPr>
          <w:rFonts w:eastAsia="黑体"/>
          <w:sz w:val="30"/>
          <w:szCs w:val="32"/>
        </w:rPr>
      </w:pPr>
      <w:r>
        <w:rPr>
          <w:rFonts w:eastAsia="黑体"/>
          <w:sz w:val="30"/>
          <w:szCs w:val="32"/>
        </w:rPr>
        <w:t>12.2预付款</w:t>
      </w:r>
    </w:p>
    <w:bookmarkEnd w:id="1079"/>
    <w:bookmarkEnd w:id="1080"/>
    <w:bookmarkEnd w:id="1081"/>
    <w:bookmarkEnd w:id="1082"/>
    <w:bookmarkEnd w:id="1083"/>
    <w:bookmarkEnd w:id="1084"/>
    <w:p w14:paraId="2EE11936">
      <w:pPr>
        <w:spacing w:line="360" w:lineRule="auto"/>
        <w:ind w:firstLine="600" w:firstLineChars="200"/>
        <w:jc w:val="left"/>
        <w:rPr>
          <w:rFonts w:eastAsia="仿宋_GB2312"/>
          <w:sz w:val="30"/>
          <w:szCs w:val="32"/>
        </w:rPr>
      </w:pPr>
      <w:r>
        <w:rPr>
          <w:rFonts w:eastAsia="仿宋_GB2312"/>
          <w:sz w:val="30"/>
          <w:szCs w:val="32"/>
        </w:rPr>
        <w:t>12.2.1预付款的支付</w:t>
      </w:r>
    </w:p>
    <w:p w14:paraId="6E62ED77">
      <w:pPr>
        <w:spacing w:line="360" w:lineRule="auto"/>
        <w:ind w:firstLine="600" w:firstLineChars="200"/>
        <w:jc w:val="left"/>
        <w:rPr>
          <w:rFonts w:eastAsia="仿宋_GB2312"/>
          <w:color w:val="000000" w:themeColor="text1"/>
          <w:sz w:val="30"/>
          <w:szCs w:val="32"/>
          <w:u w:val="single"/>
          <w14:textFill>
            <w14:solidFill>
              <w14:schemeClr w14:val="tx1"/>
            </w14:solidFill>
          </w14:textFill>
        </w:rPr>
      </w:pPr>
      <w:r>
        <w:rPr>
          <w:rFonts w:hint="eastAsia" w:eastAsia="仿宋_GB2312"/>
          <w:color w:val="000000" w:themeColor="text1"/>
          <w:sz w:val="30"/>
          <w:szCs w:val="32"/>
          <w14:textFill>
            <w14:solidFill>
              <w14:schemeClr w14:val="tx1"/>
            </w14:solidFill>
          </w14:textFill>
        </w:rPr>
        <w:t>预付款支付比例或金额：</w:t>
      </w:r>
    </w:p>
    <w:p w14:paraId="67E13C1B">
      <w:pPr>
        <w:spacing w:line="360" w:lineRule="auto"/>
        <w:ind w:firstLine="600" w:firstLineChars="200"/>
        <w:jc w:val="left"/>
        <w:rPr>
          <w:rFonts w:eastAsia="仿宋_GB2312"/>
          <w:color w:val="000000" w:themeColor="text1"/>
          <w:sz w:val="30"/>
          <w:szCs w:val="32"/>
          <w:u w:val="single"/>
          <w14:textFill>
            <w14:solidFill>
              <w14:schemeClr w14:val="tx1"/>
            </w14:solidFill>
          </w14:textFill>
        </w:rPr>
      </w:pPr>
      <w:r>
        <w:rPr>
          <w:rFonts w:eastAsia="仿宋_GB2312"/>
          <w:color w:val="000000" w:themeColor="text1"/>
          <w:sz w:val="30"/>
          <w:szCs w:val="32"/>
          <w:u w:val="single"/>
          <w14:textFill>
            <w14:solidFill>
              <w14:schemeClr w14:val="tx1"/>
            </w14:solidFill>
          </w14:textFill>
        </w:rPr>
        <w:sym w:font="Wingdings 2" w:char="0052"/>
      </w:r>
      <w:r>
        <w:rPr>
          <w:rFonts w:hint="eastAsia" w:eastAsia="仿宋_GB2312"/>
          <w:color w:val="000000" w:themeColor="text1"/>
          <w:sz w:val="30"/>
          <w:szCs w:val="32"/>
          <w:u w:val="single"/>
          <w14:textFill>
            <w14:solidFill>
              <w14:schemeClr w14:val="tx1"/>
            </w14:solidFill>
          </w14:textFill>
        </w:rPr>
        <w:t>本工程无预付款；</w:t>
      </w:r>
    </w:p>
    <w:p w14:paraId="13E38D88">
      <w:pPr>
        <w:spacing w:line="360" w:lineRule="auto"/>
        <w:ind w:firstLine="600" w:firstLineChars="200"/>
        <w:jc w:val="left"/>
        <w:rPr>
          <w:rFonts w:eastAsia="仿宋_GB2312"/>
          <w:sz w:val="30"/>
          <w:szCs w:val="32"/>
        </w:rPr>
      </w:pPr>
      <w:r>
        <w:rPr>
          <w:rFonts w:eastAsia="仿宋_GB2312"/>
          <w:sz w:val="30"/>
          <w:szCs w:val="32"/>
        </w:rPr>
        <w:t>12.2.2预付款担保</w:t>
      </w:r>
    </w:p>
    <w:p w14:paraId="745669E1">
      <w:pPr>
        <w:spacing w:line="360" w:lineRule="auto"/>
        <w:ind w:firstLine="600" w:firstLineChars="200"/>
        <w:jc w:val="left"/>
        <w:rPr>
          <w:rFonts w:eastAsia="仿宋_GB2312"/>
          <w:sz w:val="30"/>
          <w:szCs w:val="32"/>
        </w:rPr>
      </w:pPr>
      <w:r>
        <w:rPr>
          <w:rFonts w:eastAsia="仿宋_GB2312"/>
          <w:sz w:val="30"/>
          <w:szCs w:val="32"/>
        </w:rPr>
        <w:t>承包人提交预付款担保的期限：</w:t>
      </w:r>
      <w:r>
        <w:rPr>
          <w:rFonts w:eastAsia="仿宋_GB2312"/>
          <w:sz w:val="30"/>
          <w:szCs w:val="32"/>
          <w:u w:val="single"/>
        </w:rPr>
        <w:t xml:space="preserve"> </w:t>
      </w:r>
      <w:r>
        <w:rPr>
          <w:rFonts w:hint="eastAsia" w:eastAsia="仿宋_GB2312"/>
          <w:sz w:val="30"/>
          <w:szCs w:val="30"/>
          <w:u w:val="single"/>
        </w:rPr>
        <w:t>无</w:t>
      </w:r>
      <w:r>
        <w:rPr>
          <w:rFonts w:eastAsia="仿宋_GB2312"/>
          <w:sz w:val="30"/>
          <w:szCs w:val="32"/>
          <w:u w:val="single"/>
        </w:rPr>
        <w:t xml:space="preserve"> </w:t>
      </w:r>
      <w:r>
        <w:rPr>
          <w:rFonts w:eastAsia="仿宋_GB2312"/>
          <w:sz w:val="30"/>
          <w:szCs w:val="32"/>
        </w:rPr>
        <w:t>。</w:t>
      </w:r>
    </w:p>
    <w:p w14:paraId="34AFE461">
      <w:pPr>
        <w:spacing w:line="360" w:lineRule="auto"/>
        <w:ind w:firstLine="600" w:firstLineChars="200"/>
        <w:jc w:val="left"/>
        <w:rPr>
          <w:rFonts w:eastAsia="仿宋_GB2312"/>
          <w:sz w:val="30"/>
          <w:szCs w:val="32"/>
        </w:rPr>
      </w:pPr>
      <w:r>
        <w:rPr>
          <w:rFonts w:eastAsia="仿宋_GB2312"/>
          <w:sz w:val="30"/>
          <w:szCs w:val="32"/>
        </w:rPr>
        <w:t>预付款担保的形式为：</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eastAsia="仿宋_GB2312"/>
          <w:sz w:val="30"/>
          <w:szCs w:val="32"/>
        </w:rPr>
        <w:t>。</w:t>
      </w:r>
    </w:p>
    <w:bookmarkEnd w:id="1085"/>
    <w:bookmarkEnd w:id="1086"/>
    <w:bookmarkEnd w:id="1087"/>
    <w:bookmarkEnd w:id="1088"/>
    <w:bookmarkEnd w:id="1089"/>
    <w:bookmarkEnd w:id="1090"/>
    <w:bookmarkEnd w:id="1091"/>
    <w:bookmarkEnd w:id="1092"/>
    <w:bookmarkEnd w:id="1093"/>
    <w:bookmarkEnd w:id="1094"/>
    <w:p w14:paraId="3D8AA109">
      <w:pPr>
        <w:spacing w:after="120" w:line="360" w:lineRule="auto"/>
        <w:ind w:firstLine="600" w:firstLineChars="200"/>
        <w:rPr>
          <w:rFonts w:eastAsia="黑体"/>
          <w:sz w:val="30"/>
          <w:szCs w:val="32"/>
        </w:rPr>
      </w:pPr>
      <w:r>
        <w:rPr>
          <w:rFonts w:eastAsia="黑体"/>
          <w:sz w:val="30"/>
          <w:szCs w:val="32"/>
        </w:rPr>
        <w:t>12.3计量</w:t>
      </w:r>
    </w:p>
    <w:p w14:paraId="3F0C83F4">
      <w:pPr>
        <w:spacing w:after="120" w:line="360" w:lineRule="auto"/>
        <w:ind w:firstLine="600" w:firstLineChars="200"/>
        <w:rPr>
          <w:rFonts w:eastAsia="黑体"/>
          <w:sz w:val="30"/>
          <w:szCs w:val="32"/>
        </w:rPr>
      </w:pPr>
      <w:r>
        <w:rPr>
          <w:rFonts w:eastAsia="黑体"/>
          <w:sz w:val="30"/>
          <w:szCs w:val="32"/>
        </w:rPr>
        <w:t xml:space="preserve">12.3 </w:t>
      </w:r>
      <w:r>
        <w:rPr>
          <w:rFonts w:hint="eastAsia" w:eastAsia="黑体"/>
          <w:sz w:val="30"/>
          <w:szCs w:val="32"/>
        </w:rPr>
        <w:t>计量</w:t>
      </w:r>
    </w:p>
    <w:p w14:paraId="3C5501DD">
      <w:pPr>
        <w:spacing w:line="360" w:lineRule="auto"/>
        <w:ind w:firstLine="600" w:firstLineChars="200"/>
        <w:jc w:val="left"/>
        <w:rPr>
          <w:rFonts w:eastAsia="仿宋_GB2312"/>
          <w:sz w:val="30"/>
          <w:szCs w:val="32"/>
        </w:rPr>
      </w:pPr>
      <w:r>
        <w:rPr>
          <w:rFonts w:eastAsia="仿宋_GB2312"/>
          <w:sz w:val="30"/>
          <w:szCs w:val="32"/>
        </w:rPr>
        <w:t xml:space="preserve">12.3.1 </w:t>
      </w:r>
      <w:r>
        <w:rPr>
          <w:rFonts w:hint="eastAsia" w:eastAsia="仿宋_GB2312"/>
          <w:sz w:val="30"/>
          <w:szCs w:val="32"/>
        </w:rPr>
        <w:t>计量原则</w:t>
      </w:r>
    </w:p>
    <w:p w14:paraId="1DC3A0C1">
      <w:pPr>
        <w:spacing w:line="360" w:lineRule="auto"/>
        <w:ind w:left="596" w:leftChars="284"/>
        <w:jc w:val="left"/>
        <w:rPr>
          <w:rFonts w:eastAsia="仿宋_GB2312"/>
          <w:sz w:val="30"/>
          <w:szCs w:val="32"/>
        </w:rPr>
      </w:pPr>
      <w:r>
        <w:rPr>
          <w:rFonts w:hint="eastAsia" w:eastAsia="仿宋_GB2312"/>
          <w:sz w:val="30"/>
          <w:szCs w:val="32"/>
        </w:rPr>
        <w:t>工程量计算规则：</w:t>
      </w:r>
      <w:r>
        <w:rPr>
          <w:rFonts w:hint="eastAsia" w:eastAsia="仿宋_GB2312"/>
          <w:sz w:val="30"/>
          <w:szCs w:val="32"/>
          <w:u w:val="single"/>
        </w:rPr>
        <w:t>《建设工程工程量清单计价规范（</w:t>
      </w:r>
      <w:r>
        <w:rPr>
          <w:rFonts w:eastAsia="仿宋_GB2312"/>
          <w:sz w:val="30"/>
          <w:szCs w:val="32"/>
          <w:u w:val="single"/>
        </w:rPr>
        <w:t>GB-50500-2013</w:t>
      </w:r>
      <w:r>
        <w:rPr>
          <w:rFonts w:hint="eastAsia" w:eastAsia="仿宋_GB2312"/>
          <w:sz w:val="30"/>
          <w:szCs w:val="32"/>
          <w:u w:val="single"/>
        </w:rPr>
        <w:t>）》及招标文件说明</w:t>
      </w:r>
      <w:r>
        <w:rPr>
          <w:rFonts w:eastAsia="仿宋_GB2312"/>
          <w:sz w:val="30"/>
          <w:szCs w:val="32"/>
          <w:u w:val="single"/>
        </w:rPr>
        <w:t xml:space="preserve">   </w:t>
      </w:r>
      <w:r>
        <w:rPr>
          <w:rFonts w:hint="eastAsia" w:eastAsia="仿宋_GB2312"/>
          <w:sz w:val="30"/>
          <w:szCs w:val="32"/>
        </w:rPr>
        <w:t>。</w:t>
      </w:r>
    </w:p>
    <w:p w14:paraId="28D517D0">
      <w:pPr>
        <w:spacing w:line="360" w:lineRule="auto"/>
        <w:ind w:firstLine="600" w:firstLineChars="200"/>
        <w:jc w:val="left"/>
        <w:rPr>
          <w:rFonts w:eastAsia="仿宋_GB2312"/>
          <w:sz w:val="30"/>
          <w:szCs w:val="32"/>
        </w:rPr>
      </w:pPr>
      <w:r>
        <w:rPr>
          <w:rFonts w:eastAsia="仿宋_GB2312"/>
          <w:sz w:val="30"/>
          <w:szCs w:val="32"/>
        </w:rPr>
        <w:t xml:space="preserve">12.3.2 </w:t>
      </w:r>
      <w:r>
        <w:rPr>
          <w:rFonts w:hint="eastAsia" w:eastAsia="仿宋_GB2312"/>
          <w:sz w:val="30"/>
          <w:szCs w:val="32"/>
        </w:rPr>
        <w:t>计量周期</w:t>
      </w:r>
    </w:p>
    <w:p w14:paraId="4381D230">
      <w:pPr>
        <w:spacing w:line="360" w:lineRule="auto"/>
        <w:ind w:firstLine="600" w:firstLineChars="200"/>
        <w:jc w:val="left"/>
        <w:rPr>
          <w:rFonts w:eastAsia="仿宋_GB2312"/>
          <w:sz w:val="30"/>
          <w:szCs w:val="32"/>
          <w:u w:val="single"/>
        </w:rPr>
      </w:pPr>
      <w:r>
        <w:rPr>
          <w:rFonts w:hint="eastAsia" w:eastAsia="仿宋_GB2312"/>
          <w:sz w:val="30"/>
          <w:szCs w:val="32"/>
        </w:rPr>
        <w:t>关于计量周期的约定：</w:t>
      </w:r>
      <w:r>
        <w:rPr>
          <w:rFonts w:eastAsia="仿宋_GB2312"/>
          <w:sz w:val="30"/>
          <w:szCs w:val="32"/>
          <w:u w:val="single"/>
        </w:rPr>
        <w:sym w:font="Wingdings 2" w:char="0052"/>
      </w:r>
      <w:r>
        <w:rPr>
          <w:rFonts w:hint="eastAsia" w:eastAsia="仿宋_GB2312"/>
          <w:sz w:val="30"/>
          <w:szCs w:val="32"/>
          <w:u w:val="single"/>
        </w:rPr>
        <w:t>按月计量</w:t>
      </w:r>
    </w:p>
    <w:p w14:paraId="2D44734C">
      <w:pPr>
        <w:spacing w:line="360" w:lineRule="auto"/>
        <w:ind w:firstLine="600" w:firstLineChars="200"/>
        <w:jc w:val="left"/>
        <w:rPr>
          <w:rFonts w:eastAsia="仿宋_GB2312"/>
          <w:sz w:val="30"/>
          <w:szCs w:val="32"/>
        </w:rPr>
      </w:pPr>
      <w:r>
        <w:rPr>
          <w:rFonts w:eastAsia="仿宋_GB2312"/>
          <w:sz w:val="30"/>
          <w:szCs w:val="32"/>
        </w:rPr>
        <w:t xml:space="preserve">12.3.3 </w:t>
      </w:r>
      <w:r>
        <w:rPr>
          <w:rFonts w:hint="eastAsia" w:eastAsia="仿宋_GB2312"/>
          <w:sz w:val="30"/>
          <w:szCs w:val="32"/>
        </w:rPr>
        <w:t>单价合同的计量</w:t>
      </w:r>
    </w:p>
    <w:p w14:paraId="1ECF5FB5">
      <w:pPr>
        <w:spacing w:line="360" w:lineRule="auto"/>
        <w:ind w:firstLine="600" w:firstLineChars="200"/>
        <w:jc w:val="left"/>
        <w:rPr>
          <w:rFonts w:eastAsia="仿宋_GB2312"/>
          <w:sz w:val="30"/>
          <w:szCs w:val="32"/>
        </w:rPr>
      </w:pPr>
      <w:r>
        <w:rPr>
          <w:rFonts w:hint="eastAsia" w:eastAsia="仿宋_GB2312"/>
          <w:sz w:val="30"/>
          <w:szCs w:val="32"/>
        </w:rPr>
        <w:t>关于单价合同计量的约定：</w:t>
      </w:r>
      <w:r>
        <w:rPr>
          <w:rFonts w:eastAsia="仿宋_GB2312"/>
          <w:sz w:val="30"/>
          <w:szCs w:val="32"/>
          <w:u w:val="single"/>
        </w:rPr>
        <w:t xml:space="preserve"> </w:t>
      </w:r>
      <w:r>
        <w:rPr>
          <w:rFonts w:hint="eastAsia" w:eastAsia="仿宋_GB2312"/>
          <w:color w:val="000000"/>
          <w:sz w:val="30"/>
          <w:szCs w:val="32"/>
          <w:u w:val="single"/>
        </w:rPr>
        <w:t>执行《通用合同条款》</w:t>
      </w:r>
      <w:r>
        <w:rPr>
          <w:rFonts w:eastAsia="仿宋_GB2312"/>
          <w:sz w:val="30"/>
          <w:szCs w:val="32"/>
          <w:u w:val="single"/>
        </w:rPr>
        <w:t xml:space="preserve"> </w:t>
      </w:r>
      <w:r>
        <w:rPr>
          <w:rFonts w:hint="eastAsia" w:eastAsia="仿宋_GB2312"/>
          <w:sz w:val="30"/>
          <w:szCs w:val="32"/>
        </w:rPr>
        <w:t>。</w:t>
      </w:r>
    </w:p>
    <w:p w14:paraId="5BC61958">
      <w:pPr>
        <w:spacing w:line="360" w:lineRule="auto"/>
        <w:ind w:firstLine="600" w:firstLineChars="200"/>
        <w:jc w:val="left"/>
        <w:rPr>
          <w:rFonts w:eastAsia="仿宋_GB2312"/>
          <w:sz w:val="30"/>
          <w:szCs w:val="32"/>
        </w:rPr>
      </w:pPr>
      <w:r>
        <w:rPr>
          <w:rFonts w:eastAsia="仿宋_GB2312"/>
          <w:sz w:val="30"/>
          <w:szCs w:val="32"/>
        </w:rPr>
        <w:t xml:space="preserve">12.3.4 </w:t>
      </w:r>
      <w:r>
        <w:rPr>
          <w:rFonts w:hint="eastAsia" w:eastAsia="仿宋_GB2312"/>
          <w:sz w:val="30"/>
          <w:szCs w:val="32"/>
        </w:rPr>
        <w:t>总价合同的计量</w:t>
      </w:r>
    </w:p>
    <w:p w14:paraId="730010D4">
      <w:pPr>
        <w:spacing w:line="360" w:lineRule="auto"/>
        <w:ind w:firstLine="600" w:firstLineChars="200"/>
        <w:jc w:val="left"/>
        <w:rPr>
          <w:rFonts w:eastAsia="仿宋_GB2312"/>
          <w:sz w:val="30"/>
          <w:szCs w:val="32"/>
        </w:rPr>
      </w:pPr>
      <w:r>
        <w:rPr>
          <w:rFonts w:hint="eastAsia" w:eastAsia="仿宋_GB2312"/>
          <w:sz w:val="30"/>
          <w:szCs w:val="32"/>
        </w:rPr>
        <w:t>关于总价合同计量的约定：</w:t>
      </w:r>
      <w:r>
        <w:rPr>
          <w:rFonts w:eastAsia="仿宋_GB2312"/>
          <w:sz w:val="30"/>
          <w:szCs w:val="32"/>
          <w:u w:val="single"/>
        </w:rPr>
        <w:t xml:space="preserve"> </w:t>
      </w:r>
      <w:r>
        <w:rPr>
          <w:rFonts w:hint="eastAsia" w:eastAsia="仿宋_GB2312"/>
          <w:color w:val="000000"/>
          <w:sz w:val="30"/>
          <w:szCs w:val="32"/>
          <w:u w:val="single"/>
        </w:rPr>
        <w:t>执行《通用合同条款》</w:t>
      </w:r>
      <w:r>
        <w:rPr>
          <w:rFonts w:eastAsia="仿宋_GB2312"/>
          <w:sz w:val="30"/>
          <w:szCs w:val="32"/>
          <w:u w:val="single"/>
        </w:rPr>
        <w:t xml:space="preserve"> </w:t>
      </w:r>
      <w:r>
        <w:rPr>
          <w:rFonts w:hint="eastAsia" w:eastAsia="仿宋_GB2312"/>
          <w:sz w:val="30"/>
          <w:szCs w:val="32"/>
        </w:rPr>
        <w:t>。</w:t>
      </w:r>
    </w:p>
    <w:p w14:paraId="6A33E97F">
      <w:pPr>
        <w:spacing w:line="360" w:lineRule="auto"/>
        <w:ind w:firstLine="600" w:firstLineChars="200"/>
        <w:jc w:val="left"/>
        <w:rPr>
          <w:rFonts w:eastAsia="仿宋_GB2312"/>
          <w:sz w:val="30"/>
          <w:szCs w:val="32"/>
        </w:rPr>
      </w:pPr>
      <w:r>
        <w:rPr>
          <w:rFonts w:eastAsia="仿宋_GB2312"/>
          <w:sz w:val="30"/>
          <w:szCs w:val="32"/>
        </w:rPr>
        <w:t>12.3.5</w:t>
      </w:r>
      <w:r>
        <w:rPr>
          <w:rFonts w:hint="eastAsia" w:eastAsia="仿宋_GB2312"/>
          <w:sz w:val="30"/>
          <w:szCs w:val="32"/>
        </w:rPr>
        <w:t>总价合同采用支付分解表计量支付的，是否适用第</w:t>
      </w:r>
      <w:r>
        <w:rPr>
          <w:rFonts w:eastAsia="仿宋_GB2312"/>
          <w:kern w:val="0"/>
          <w:sz w:val="30"/>
          <w:szCs w:val="32"/>
        </w:rPr>
        <w:t xml:space="preserve">12.3.4 </w:t>
      </w:r>
      <w:r>
        <w:rPr>
          <w:rFonts w:hint="eastAsia" w:eastAsia="仿宋_GB2312"/>
          <w:sz w:val="30"/>
          <w:szCs w:val="32"/>
        </w:rPr>
        <w:t>项</w:t>
      </w:r>
      <w:r>
        <w:rPr>
          <w:rFonts w:hint="eastAsia" w:eastAsia="仿宋_GB2312"/>
          <w:kern w:val="0"/>
          <w:sz w:val="30"/>
          <w:szCs w:val="32"/>
        </w:rPr>
        <w:t>〔总价合同的计量〕</w:t>
      </w:r>
      <w:r>
        <w:rPr>
          <w:rFonts w:hint="eastAsia" w:eastAsia="仿宋_GB2312"/>
          <w:sz w:val="30"/>
          <w:szCs w:val="32"/>
        </w:rPr>
        <w:t>约定进行计量：</w:t>
      </w:r>
      <w:r>
        <w:rPr>
          <w:rFonts w:eastAsia="仿宋_GB2312"/>
          <w:sz w:val="30"/>
          <w:szCs w:val="32"/>
          <w:u w:val="single"/>
        </w:rPr>
        <w:t xml:space="preserve">  </w:t>
      </w:r>
      <w:r>
        <w:rPr>
          <w:rFonts w:hint="eastAsia" w:eastAsia="仿宋_GB2312"/>
          <w:sz w:val="30"/>
          <w:szCs w:val="32"/>
          <w:u w:val="single"/>
        </w:rPr>
        <w:t>适用</w:t>
      </w:r>
      <w:r>
        <w:rPr>
          <w:rFonts w:eastAsia="仿宋_GB2312"/>
          <w:sz w:val="30"/>
          <w:szCs w:val="32"/>
          <w:u w:val="single"/>
        </w:rPr>
        <w:t xml:space="preserve">  </w:t>
      </w:r>
      <w:r>
        <w:rPr>
          <w:rFonts w:hint="eastAsia" w:eastAsia="仿宋_GB2312"/>
          <w:sz w:val="30"/>
          <w:szCs w:val="32"/>
        </w:rPr>
        <w:t>。</w:t>
      </w:r>
    </w:p>
    <w:p w14:paraId="11868DE3">
      <w:pPr>
        <w:spacing w:line="360" w:lineRule="auto"/>
        <w:ind w:firstLine="600" w:firstLineChars="200"/>
        <w:jc w:val="left"/>
        <w:rPr>
          <w:rFonts w:eastAsia="仿宋_GB2312"/>
          <w:sz w:val="30"/>
          <w:szCs w:val="32"/>
        </w:rPr>
      </w:pPr>
      <w:r>
        <w:rPr>
          <w:rFonts w:eastAsia="仿宋_GB2312"/>
          <w:sz w:val="30"/>
          <w:szCs w:val="32"/>
        </w:rPr>
        <w:t xml:space="preserve">12.3.6 </w:t>
      </w:r>
      <w:r>
        <w:rPr>
          <w:rFonts w:hint="eastAsia" w:eastAsia="仿宋_GB2312"/>
          <w:sz w:val="30"/>
          <w:szCs w:val="32"/>
        </w:rPr>
        <w:t>其他价格形式合同的计量</w:t>
      </w:r>
    </w:p>
    <w:p w14:paraId="2C2E4A5E">
      <w:pPr>
        <w:spacing w:line="360" w:lineRule="auto"/>
        <w:jc w:val="left"/>
        <w:rPr>
          <w:rFonts w:eastAsia="仿宋_GB2312"/>
          <w:sz w:val="30"/>
          <w:szCs w:val="32"/>
        </w:rPr>
      </w:pPr>
      <w:r>
        <w:rPr>
          <w:rFonts w:hint="eastAsia" w:eastAsia="仿宋_GB2312"/>
          <w:sz w:val="30"/>
          <w:szCs w:val="32"/>
        </w:rPr>
        <w:t>其他价格形式的计量方式和程序：</w:t>
      </w:r>
      <w:r>
        <w:rPr>
          <w:rFonts w:eastAsia="仿宋_GB2312"/>
          <w:sz w:val="30"/>
          <w:szCs w:val="32"/>
          <w:u w:val="single"/>
        </w:rPr>
        <w:t xml:space="preserve">  </w:t>
      </w:r>
      <w:r>
        <w:rPr>
          <w:rFonts w:hint="eastAsia" w:eastAsia="仿宋_GB2312"/>
          <w:sz w:val="30"/>
          <w:szCs w:val="32"/>
          <w:u w:val="single"/>
        </w:rPr>
        <w:t>无</w:t>
      </w:r>
      <w:r>
        <w:rPr>
          <w:rFonts w:eastAsia="仿宋_GB2312"/>
          <w:sz w:val="30"/>
          <w:szCs w:val="32"/>
          <w:u w:val="single"/>
        </w:rPr>
        <w:t xml:space="preserve"> </w:t>
      </w:r>
      <w:r>
        <w:rPr>
          <w:rFonts w:hint="eastAsia" w:eastAsia="仿宋_GB2312"/>
          <w:sz w:val="30"/>
          <w:szCs w:val="32"/>
        </w:rPr>
        <w:t>。</w:t>
      </w:r>
    </w:p>
    <w:p w14:paraId="47466FD6">
      <w:pPr>
        <w:spacing w:after="120" w:line="360" w:lineRule="auto"/>
        <w:ind w:firstLine="600" w:firstLineChars="200"/>
        <w:rPr>
          <w:rFonts w:eastAsia="黑体"/>
          <w:sz w:val="30"/>
          <w:szCs w:val="32"/>
        </w:rPr>
      </w:pPr>
      <w:r>
        <w:rPr>
          <w:rFonts w:eastAsia="黑体"/>
          <w:sz w:val="30"/>
          <w:szCs w:val="32"/>
        </w:rPr>
        <w:t>12.4工程进度款支付</w:t>
      </w:r>
    </w:p>
    <w:p w14:paraId="1F6F6B63">
      <w:pPr>
        <w:spacing w:line="360" w:lineRule="auto"/>
        <w:ind w:firstLine="600" w:firstLineChars="200"/>
        <w:jc w:val="left"/>
        <w:rPr>
          <w:rFonts w:eastAsia="仿宋_GB2312"/>
          <w:sz w:val="30"/>
          <w:szCs w:val="32"/>
        </w:rPr>
      </w:pPr>
      <w:bookmarkStart w:id="1095" w:name="_Toc300935006"/>
      <w:bookmarkStart w:id="1096" w:name="_Toc296891039"/>
      <w:bookmarkStart w:id="1097" w:name="_Toc296944550"/>
      <w:bookmarkStart w:id="1098" w:name="_Toc296346712"/>
      <w:bookmarkStart w:id="1099" w:name="_Toc297120511"/>
      <w:bookmarkStart w:id="1100" w:name="_Toc297123556"/>
      <w:bookmarkStart w:id="1101" w:name="_Toc292559921"/>
      <w:bookmarkStart w:id="1102" w:name="_Toc297048397"/>
      <w:bookmarkStart w:id="1103" w:name="_Toc292559416"/>
      <w:bookmarkStart w:id="1104" w:name="_Toc297216215"/>
      <w:bookmarkStart w:id="1105" w:name="_Toc296347210"/>
      <w:bookmarkStart w:id="1106" w:name="_Toc296503211"/>
      <w:bookmarkStart w:id="1107" w:name="_Toc303539163"/>
      <w:bookmarkStart w:id="1108" w:name="_Toc296891251"/>
      <w:r>
        <w:rPr>
          <w:rFonts w:eastAsia="仿宋_GB2312"/>
          <w:sz w:val="30"/>
          <w:szCs w:val="32"/>
        </w:rPr>
        <w:t>12.4.1付款周期</w:t>
      </w:r>
    </w:p>
    <w:p w14:paraId="36FF52FF">
      <w:pPr>
        <w:spacing w:line="360" w:lineRule="auto"/>
        <w:ind w:firstLine="600" w:firstLineChars="200"/>
        <w:jc w:val="left"/>
        <w:rPr>
          <w:rFonts w:hint="eastAsia" w:ascii="仿宋" w:hAnsi="仿宋" w:eastAsia="仿宋" w:cs="仿宋"/>
          <w:sz w:val="30"/>
          <w:szCs w:val="30"/>
          <w:u w:val="single"/>
        </w:rPr>
      </w:pPr>
      <w:r>
        <w:rPr>
          <w:rFonts w:eastAsia="仿宋_GB2312"/>
          <w:sz w:val="30"/>
          <w:szCs w:val="32"/>
        </w:rPr>
        <w:t>关于付款周期的约定：</w:t>
      </w:r>
      <w:r>
        <w:rPr>
          <w:rFonts w:ascii="仿宋" w:hAnsi="仿宋" w:eastAsia="仿宋" w:cs="仿宋"/>
          <w:sz w:val="30"/>
          <w:szCs w:val="30"/>
          <w:u w:val="single"/>
        </w:rPr>
        <w:sym w:font="Wingdings 2" w:char="0052"/>
      </w:r>
      <w:r>
        <w:rPr>
          <w:rFonts w:hint="eastAsia" w:ascii="仿宋" w:hAnsi="仿宋" w:eastAsia="仿宋" w:cs="仿宋"/>
          <w:sz w:val="30"/>
          <w:szCs w:val="30"/>
          <w:u w:val="single"/>
        </w:rPr>
        <w:t>工程量的计量按月进行</w:t>
      </w:r>
    </w:p>
    <w:p w14:paraId="5B355A9F">
      <w:pPr>
        <w:pStyle w:val="13"/>
        <w:spacing w:line="360" w:lineRule="auto"/>
        <w:ind w:left="63" w:right="63" w:firstLine="602" w:firstLineChars="200"/>
        <w:jc w:val="left"/>
        <w:rPr>
          <w:rFonts w:hint="eastAsia" w:ascii="仿宋" w:hAnsi="仿宋" w:eastAsia="仿宋" w:cs="仿宋"/>
          <w:b/>
          <w:bCs/>
          <w:sz w:val="30"/>
          <w:szCs w:val="30"/>
          <w:u w:val="single"/>
        </w:rPr>
      </w:pPr>
      <w:r>
        <w:rPr>
          <w:rFonts w:hint="eastAsia" w:eastAsia="仿宋_GB2312"/>
          <w:b/>
          <w:bCs/>
          <w:sz w:val="30"/>
          <w:szCs w:val="32"/>
          <w:lang w:bidi="en-US"/>
        </w:rPr>
        <w:t>付款方式：</w:t>
      </w:r>
      <w:r>
        <w:rPr>
          <w:rFonts w:hint="eastAsia" w:ascii="仿宋" w:hAnsi="仿宋" w:eastAsia="仿宋" w:cs="仿宋"/>
          <w:b/>
          <w:bCs/>
          <w:sz w:val="30"/>
          <w:szCs w:val="30"/>
          <w:u w:val="single"/>
        </w:rPr>
        <w:t>半年期商业汇票（包含银行承兑汇票和商业承兑汇票）</w:t>
      </w:r>
    </w:p>
    <w:p w14:paraId="51C119BC">
      <w:pPr>
        <w:spacing w:line="360" w:lineRule="auto"/>
        <w:ind w:firstLine="600" w:firstLineChars="200"/>
        <w:rPr>
          <w:rFonts w:hint="eastAsia" w:ascii="仿宋_GB2312" w:hAnsi="仿宋_GB2312" w:eastAsia="仿宋_GB2312" w:cs="仿宋_GB2312"/>
          <w:color w:val="000000"/>
          <w:sz w:val="30"/>
          <w:szCs w:val="30"/>
          <w:u w:val="single"/>
        </w:rPr>
      </w:pPr>
      <w:r>
        <w:rPr>
          <w:rFonts w:hint="eastAsia" w:ascii="仿宋_GB2312" w:hAnsi="仿宋_GB2312" w:eastAsia="仿宋_GB2312" w:cs="仿宋_GB2312"/>
          <w:color w:val="000000"/>
          <w:sz w:val="30"/>
          <w:szCs w:val="30"/>
          <w:u w:val="single"/>
        </w:rPr>
        <w:t>工程款支付按月形象进度报表，经监理工程师、发包人审核后于次月底前付至工程月形象进度造价的75%，累计进度款最高付至合同签约价的75%；完成</w:t>
      </w:r>
      <w:r>
        <w:rPr>
          <w:rFonts w:hint="eastAsia" w:ascii="仿宋_GB2312" w:hAnsi="仿宋_GB2312" w:eastAsia="仿宋_GB2312" w:cs="仿宋_GB2312"/>
          <w:color w:val="000000"/>
          <w:sz w:val="30"/>
          <w:szCs w:val="30"/>
          <w:u w:val="single"/>
          <w:lang w:val="en-US" w:eastAsia="zh-CN"/>
        </w:rPr>
        <w:t>工程竣工资料移交、</w:t>
      </w:r>
      <w:r>
        <w:rPr>
          <w:rFonts w:hint="eastAsia" w:ascii="仿宋_GB2312" w:hAnsi="仿宋_GB2312" w:eastAsia="仿宋_GB2312" w:cs="仿宋_GB2312"/>
          <w:color w:val="000000"/>
          <w:sz w:val="30"/>
          <w:szCs w:val="30"/>
          <w:u w:val="single"/>
        </w:rPr>
        <w:t>竣工结算申报及内部</w:t>
      </w:r>
      <w:r>
        <w:rPr>
          <w:rFonts w:hint="eastAsia" w:ascii="仿宋_GB2312" w:hAnsi="仿宋_GB2312" w:eastAsia="仿宋_GB2312" w:cs="仿宋_GB2312"/>
          <w:color w:val="000000"/>
          <w:sz w:val="30"/>
          <w:szCs w:val="30"/>
          <w:u w:val="single"/>
          <w:lang w:val="en-US" w:eastAsia="zh-CN"/>
        </w:rPr>
        <w:t>竣工</w:t>
      </w:r>
      <w:r>
        <w:rPr>
          <w:rFonts w:hint="eastAsia" w:ascii="仿宋_GB2312" w:hAnsi="仿宋_GB2312" w:eastAsia="仿宋_GB2312" w:cs="仿宋_GB2312"/>
          <w:color w:val="000000"/>
          <w:sz w:val="30"/>
          <w:szCs w:val="30"/>
          <w:u w:val="single"/>
        </w:rPr>
        <w:t>验收后付至已完成形象进度产值的80%，且最高付至合同签约价80%；竣工结算审计完毕后付款至工程结算款的97%，结算款的3%作为质量保修金，无质量问题两年后支付。</w:t>
      </w:r>
    </w:p>
    <w:p w14:paraId="74E97E07">
      <w:pPr>
        <w:pStyle w:val="4"/>
        <w:rPr>
          <w:rFonts w:hint="eastAsia"/>
        </w:rPr>
      </w:pPr>
    </w:p>
    <w:p w14:paraId="17BD188B">
      <w:pPr>
        <w:spacing w:line="360" w:lineRule="auto"/>
        <w:ind w:firstLine="600" w:firstLineChars="200"/>
        <w:rPr>
          <w:rFonts w:hint="eastAsia" w:ascii="仿宋_GB2312" w:hAnsi="仿宋_GB2312" w:eastAsia="仿宋_GB2312" w:cs="仿宋_GB2312"/>
          <w:color w:val="000000"/>
          <w:sz w:val="30"/>
          <w:szCs w:val="30"/>
          <w:u w:val="single"/>
        </w:rPr>
      </w:pPr>
      <w:r>
        <w:rPr>
          <w:rFonts w:hint="eastAsia" w:ascii="仿宋_GB2312" w:hAnsi="仿宋_GB2312" w:eastAsia="仿宋_GB2312" w:cs="仿宋_GB2312"/>
          <w:color w:val="000000"/>
          <w:sz w:val="30"/>
          <w:szCs w:val="30"/>
          <w:u w:val="single"/>
        </w:rPr>
        <w:t>发包人所有款项的支付均需承包人持当批付款金额一致的符合国家要求的增值税专用发票、收据、授权委托书、经办人身份证明原件及复印件等其他发包人财务制度要求的资料办理。因发票违规给发包人造成的增值税、所得税等损失，由承包人承担相关责任，包括但不限于税款、滞纳金、罚款及其它相关损失。</w:t>
      </w:r>
    </w:p>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p w14:paraId="6CF150B1">
      <w:pPr>
        <w:spacing w:line="360" w:lineRule="auto"/>
        <w:ind w:firstLine="600" w:firstLineChars="200"/>
        <w:rPr>
          <w:rFonts w:eastAsia="仿宋_GB2312"/>
          <w:sz w:val="30"/>
          <w:szCs w:val="32"/>
        </w:rPr>
      </w:pPr>
      <w:r>
        <w:rPr>
          <w:rFonts w:eastAsia="仿宋_GB2312"/>
          <w:sz w:val="30"/>
          <w:szCs w:val="32"/>
        </w:rPr>
        <w:t xml:space="preserve">12.4.2 </w:t>
      </w:r>
      <w:r>
        <w:rPr>
          <w:rFonts w:hint="eastAsia" w:eastAsia="仿宋_GB2312"/>
          <w:sz w:val="30"/>
          <w:szCs w:val="32"/>
        </w:rPr>
        <w:t>进度付款申请单的编制</w:t>
      </w:r>
    </w:p>
    <w:p w14:paraId="3A071A83">
      <w:pPr>
        <w:spacing w:line="360" w:lineRule="auto"/>
        <w:ind w:firstLine="600" w:firstLineChars="200"/>
        <w:jc w:val="left"/>
        <w:rPr>
          <w:rFonts w:eastAsia="仿宋_GB2312"/>
          <w:sz w:val="30"/>
          <w:szCs w:val="32"/>
        </w:rPr>
      </w:pPr>
      <w:r>
        <w:rPr>
          <w:rFonts w:hint="eastAsia" w:eastAsia="仿宋_GB2312"/>
          <w:sz w:val="30"/>
          <w:szCs w:val="32"/>
        </w:rPr>
        <w:t>关于进度付款申请单编制的约定：</w:t>
      </w:r>
      <w:r>
        <w:rPr>
          <w:rFonts w:hint="eastAsia" w:eastAsia="仿宋_GB2312"/>
          <w:sz w:val="30"/>
          <w:szCs w:val="32"/>
          <w:u w:val="single"/>
        </w:rPr>
        <w:t>按发包人的要求</w:t>
      </w:r>
      <w:r>
        <w:rPr>
          <w:rFonts w:eastAsia="仿宋_GB2312"/>
          <w:sz w:val="30"/>
          <w:szCs w:val="32"/>
          <w:u w:val="single"/>
        </w:rPr>
        <w:t xml:space="preserve">  </w:t>
      </w:r>
      <w:r>
        <w:rPr>
          <w:rFonts w:hint="eastAsia" w:eastAsia="仿宋_GB2312"/>
          <w:sz w:val="30"/>
          <w:szCs w:val="32"/>
        </w:rPr>
        <w:t>。</w:t>
      </w:r>
    </w:p>
    <w:p w14:paraId="64FC8098">
      <w:pPr>
        <w:spacing w:line="360" w:lineRule="auto"/>
        <w:ind w:firstLine="600" w:firstLineChars="200"/>
        <w:jc w:val="left"/>
        <w:rPr>
          <w:rFonts w:eastAsia="仿宋_GB2312"/>
          <w:sz w:val="30"/>
          <w:szCs w:val="32"/>
        </w:rPr>
      </w:pPr>
      <w:r>
        <w:rPr>
          <w:rFonts w:eastAsia="仿宋_GB2312"/>
          <w:sz w:val="30"/>
          <w:szCs w:val="32"/>
        </w:rPr>
        <w:t xml:space="preserve">12.4.3 </w:t>
      </w:r>
      <w:r>
        <w:rPr>
          <w:rFonts w:hint="eastAsia" w:eastAsia="仿宋_GB2312"/>
          <w:sz w:val="30"/>
          <w:szCs w:val="32"/>
        </w:rPr>
        <w:t>进度付款申请单的提交</w:t>
      </w:r>
    </w:p>
    <w:p w14:paraId="1D647285">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1</w:t>
      </w:r>
      <w:r>
        <w:rPr>
          <w:rFonts w:hint="eastAsia" w:eastAsia="仿宋_GB2312"/>
          <w:sz w:val="30"/>
          <w:szCs w:val="32"/>
        </w:rPr>
        <w:t>）单价合同进度付款申请单提交的约定：</w:t>
      </w:r>
      <w:r>
        <w:rPr>
          <w:rFonts w:eastAsia="仿宋_GB2312"/>
          <w:sz w:val="30"/>
          <w:szCs w:val="32"/>
          <w:u w:val="single"/>
        </w:rPr>
        <w:t xml:space="preserve">   </w:t>
      </w:r>
      <w:r>
        <w:rPr>
          <w:rFonts w:hint="eastAsia" w:eastAsia="仿宋_GB2312"/>
          <w:sz w:val="30"/>
          <w:szCs w:val="32"/>
          <w:u w:val="single"/>
        </w:rPr>
        <w:t>按</w:t>
      </w:r>
      <w:r>
        <w:rPr>
          <w:rFonts w:hint="eastAsia" w:eastAsia="仿宋_GB2312"/>
          <w:color w:val="000000"/>
          <w:sz w:val="30"/>
          <w:szCs w:val="32"/>
          <w:u w:val="single"/>
        </w:rPr>
        <w:t>《通用合同条款》</w:t>
      </w:r>
      <w:r>
        <w:rPr>
          <w:rFonts w:hint="eastAsia" w:eastAsia="仿宋_GB2312"/>
          <w:sz w:val="30"/>
          <w:szCs w:val="32"/>
          <w:u w:val="single"/>
        </w:rPr>
        <w:t>或者按发包人管理要求</w:t>
      </w:r>
      <w:r>
        <w:rPr>
          <w:rFonts w:eastAsia="仿宋_GB2312"/>
          <w:sz w:val="30"/>
          <w:szCs w:val="32"/>
          <w:u w:val="single"/>
        </w:rPr>
        <w:t xml:space="preserve">  </w:t>
      </w:r>
      <w:r>
        <w:rPr>
          <w:rFonts w:hint="eastAsia" w:eastAsia="仿宋_GB2312"/>
          <w:sz w:val="30"/>
          <w:szCs w:val="32"/>
        </w:rPr>
        <w:t>。</w:t>
      </w:r>
    </w:p>
    <w:p w14:paraId="3E1D7556">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2</w:t>
      </w:r>
      <w:r>
        <w:rPr>
          <w:rFonts w:hint="eastAsia" w:eastAsia="仿宋_GB2312"/>
          <w:sz w:val="30"/>
          <w:szCs w:val="32"/>
        </w:rPr>
        <w:t>）总价合同进度付款申请单提交的约定：</w:t>
      </w:r>
      <w:r>
        <w:rPr>
          <w:rFonts w:eastAsia="仿宋_GB2312"/>
          <w:sz w:val="30"/>
          <w:szCs w:val="32"/>
          <w:u w:val="single"/>
        </w:rPr>
        <w:t xml:space="preserve">  </w:t>
      </w:r>
      <w:r>
        <w:rPr>
          <w:rFonts w:hint="eastAsia" w:eastAsia="仿宋_GB2312"/>
          <w:sz w:val="30"/>
          <w:szCs w:val="32"/>
          <w:u w:val="single"/>
        </w:rPr>
        <w:t>按</w:t>
      </w:r>
      <w:r>
        <w:rPr>
          <w:rFonts w:hint="eastAsia" w:eastAsia="仿宋_GB2312"/>
          <w:color w:val="000000"/>
          <w:sz w:val="30"/>
          <w:szCs w:val="32"/>
          <w:u w:val="single"/>
        </w:rPr>
        <w:t>《通用合同条款》</w:t>
      </w:r>
      <w:r>
        <w:rPr>
          <w:rFonts w:hint="eastAsia" w:eastAsia="仿宋_GB2312"/>
          <w:sz w:val="30"/>
          <w:szCs w:val="32"/>
          <w:u w:val="single"/>
        </w:rPr>
        <w:t>或者按发包人管理要求</w:t>
      </w:r>
      <w:r>
        <w:rPr>
          <w:rFonts w:eastAsia="仿宋_GB2312"/>
          <w:sz w:val="30"/>
          <w:szCs w:val="32"/>
          <w:u w:val="single"/>
        </w:rPr>
        <w:t xml:space="preserve">  </w:t>
      </w:r>
      <w:r>
        <w:rPr>
          <w:rFonts w:hint="eastAsia" w:eastAsia="仿宋_GB2312"/>
          <w:sz w:val="30"/>
          <w:szCs w:val="32"/>
        </w:rPr>
        <w:t>。</w:t>
      </w:r>
    </w:p>
    <w:p w14:paraId="6785D96E">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3</w:t>
      </w:r>
      <w:r>
        <w:rPr>
          <w:rFonts w:hint="eastAsia" w:eastAsia="仿宋_GB2312"/>
          <w:sz w:val="30"/>
          <w:szCs w:val="32"/>
        </w:rPr>
        <w:t>）其他价格形式合同进度付款申请单提交的约定：</w:t>
      </w:r>
      <w:r>
        <w:rPr>
          <w:rFonts w:eastAsia="仿宋_GB2312"/>
          <w:sz w:val="30"/>
          <w:szCs w:val="32"/>
          <w:u w:val="single"/>
        </w:rPr>
        <w:t xml:space="preserve">   </w:t>
      </w:r>
      <w:r>
        <w:rPr>
          <w:rFonts w:ascii="Arial" w:hAnsi="Arial" w:eastAsia="仿宋_GB2312" w:cs="Arial"/>
          <w:sz w:val="30"/>
          <w:szCs w:val="32"/>
          <w:u w:val="single"/>
        </w:rPr>
        <w:t>/</w:t>
      </w:r>
      <w:r>
        <w:rPr>
          <w:rFonts w:hint="eastAsia" w:ascii="Arial" w:hAnsi="Arial" w:eastAsia="仿宋_GB2312" w:cs="Arial"/>
          <w:sz w:val="30"/>
          <w:szCs w:val="32"/>
          <w:u w:val="single"/>
        </w:rPr>
        <w:t xml:space="preserve">   </w:t>
      </w:r>
      <w:r>
        <w:rPr>
          <w:rFonts w:hint="eastAsia" w:eastAsia="仿宋_GB2312"/>
          <w:sz w:val="30"/>
          <w:szCs w:val="32"/>
        </w:rPr>
        <w:t>。</w:t>
      </w:r>
    </w:p>
    <w:p w14:paraId="1DB85A4D">
      <w:pPr>
        <w:spacing w:line="360" w:lineRule="auto"/>
        <w:ind w:firstLine="600" w:firstLineChars="200"/>
        <w:jc w:val="left"/>
        <w:rPr>
          <w:rFonts w:eastAsia="仿宋_GB2312"/>
          <w:sz w:val="30"/>
          <w:szCs w:val="32"/>
        </w:rPr>
      </w:pPr>
      <w:r>
        <w:rPr>
          <w:rFonts w:eastAsia="仿宋_GB2312"/>
          <w:sz w:val="30"/>
          <w:szCs w:val="32"/>
        </w:rPr>
        <w:t>12.4.4进度款审核和支付</w:t>
      </w:r>
    </w:p>
    <w:p w14:paraId="7800D910">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1</w:t>
      </w:r>
      <w:r>
        <w:rPr>
          <w:rFonts w:hint="eastAsia" w:eastAsia="仿宋_GB2312"/>
          <w:sz w:val="30"/>
          <w:szCs w:val="32"/>
        </w:rPr>
        <w:t>）监理人审查并报送发包人的期限：</w:t>
      </w:r>
      <w:r>
        <w:rPr>
          <w:rFonts w:eastAsia="仿宋_GB2312"/>
          <w:sz w:val="30"/>
          <w:szCs w:val="32"/>
          <w:u w:val="single"/>
        </w:rPr>
        <w:t xml:space="preserve">   3</w:t>
      </w:r>
      <w:r>
        <w:rPr>
          <w:rFonts w:hint="eastAsia" w:eastAsia="仿宋_GB2312"/>
          <w:sz w:val="30"/>
          <w:szCs w:val="32"/>
          <w:u w:val="single"/>
        </w:rPr>
        <w:t>天</w:t>
      </w:r>
      <w:r>
        <w:rPr>
          <w:rFonts w:eastAsia="仿宋_GB2312"/>
          <w:sz w:val="30"/>
          <w:szCs w:val="32"/>
          <w:u w:val="single"/>
        </w:rPr>
        <w:t xml:space="preserve">  </w:t>
      </w:r>
      <w:r>
        <w:rPr>
          <w:rFonts w:hint="eastAsia" w:eastAsia="仿宋_GB2312"/>
          <w:sz w:val="30"/>
          <w:szCs w:val="32"/>
        </w:rPr>
        <w:t>。</w:t>
      </w:r>
    </w:p>
    <w:p w14:paraId="2986B50B">
      <w:pPr>
        <w:spacing w:line="360" w:lineRule="auto"/>
        <w:ind w:firstLine="600" w:firstLineChars="200"/>
        <w:jc w:val="left"/>
        <w:rPr>
          <w:rFonts w:eastAsia="仿宋_GB2312"/>
          <w:sz w:val="30"/>
          <w:szCs w:val="32"/>
        </w:rPr>
      </w:pPr>
      <w:r>
        <w:rPr>
          <w:rFonts w:eastAsia="仿宋_GB2312"/>
          <w:kern w:val="0"/>
          <w:sz w:val="30"/>
          <w:szCs w:val="32"/>
          <w:u w:val="single"/>
        </w:rPr>
        <w:sym w:font="Wingdings 2" w:char="0052"/>
      </w:r>
      <w:r>
        <w:rPr>
          <w:rFonts w:hint="eastAsia" w:eastAsia="仿宋_GB2312"/>
          <w:kern w:val="0"/>
          <w:sz w:val="30"/>
          <w:szCs w:val="32"/>
          <w:u w:val="single"/>
        </w:rPr>
        <w:t>造价咨询人在收到监理人确认工程形象计量后</w:t>
      </w:r>
      <w:r>
        <w:rPr>
          <w:rFonts w:eastAsia="仿宋_GB2312"/>
          <w:kern w:val="0"/>
          <w:sz w:val="30"/>
          <w:szCs w:val="32"/>
          <w:u w:val="single"/>
        </w:rPr>
        <w:t>3</w:t>
      </w:r>
      <w:r>
        <w:rPr>
          <w:rFonts w:hint="eastAsia" w:eastAsia="仿宋_GB2312"/>
          <w:kern w:val="0"/>
          <w:sz w:val="30"/>
          <w:szCs w:val="32"/>
          <w:u w:val="single"/>
        </w:rPr>
        <w:t>天内完成进度款的审核；</w:t>
      </w:r>
    </w:p>
    <w:p w14:paraId="5DAF1ACF">
      <w:pPr>
        <w:spacing w:line="360" w:lineRule="auto"/>
        <w:ind w:firstLine="600" w:firstLineChars="200"/>
        <w:jc w:val="left"/>
        <w:rPr>
          <w:rFonts w:eastAsia="仿宋_GB2312"/>
          <w:sz w:val="30"/>
          <w:szCs w:val="32"/>
        </w:rPr>
      </w:pPr>
      <w:r>
        <w:rPr>
          <w:rFonts w:hint="eastAsia" w:eastAsia="仿宋_GB2312"/>
          <w:sz w:val="30"/>
          <w:szCs w:val="32"/>
        </w:rPr>
        <w:t>发包人完成审批并签发进度款支付证书的期限：</w:t>
      </w:r>
      <w:r>
        <w:rPr>
          <w:rFonts w:hint="eastAsia" w:eastAsia="仿宋_GB2312"/>
          <w:kern w:val="0"/>
          <w:sz w:val="30"/>
          <w:szCs w:val="32"/>
          <w:u w:val="single"/>
        </w:rPr>
        <w:t>收到监理人或造价咨询人的审核意见后</w:t>
      </w:r>
      <w:r>
        <w:rPr>
          <w:rFonts w:eastAsia="仿宋_GB2312"/>
          <w:kern w:val="0"/>
          <w:sz w:val="30"/>
          <w:szCs w:val="32"/>
          <w:u w:val="single"/>
        </w:rPr>
        <w:t>3</w:t>
      </w:r>
      <w:r>
        <w:rPr>
          <w:rFonts w:hint="eastAsia" w:eastAsia="仿宋_GB2312"/>
          <w:kern w:val="0"/>
          <w:sz w:val="30"/>
          <w:szCs w:val="32"/>
          <w:u w:val="single"/>
        </w:rPr>
        <w:t>天内签署意见。</w:t>
      </w:r>
    </w:p>
    <w:p w14:paraId="64D164B1">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2</w:t>
      </w:r>
      <w:r>
        <w:rPr>
          <w:rFonts w:hint="eastAsia" w:eastAsia="仿宋_GB2312"/>
          <w:sz w:val="30"/>
          <w:szCs w:val="32"/>
        </w:rPr>
        <w:t>）发包人支付进度款的期限：</w:t>
      </w:r>
      <w:r>
        <w:rPr>
          <w:rFonts w:eastAsia="仿宋_GB2312"/>
          <w:sz w:val="30"/>
          <w:szCs w:val="32"/>
          <w:u w:val="single"/>
        </w:rPr>
        <w:t xml:space="preserve">  </w:t>
      </w:r>
      <w:r>
        <w:rPr>
          <w:rFonts w:hint="eastAsia" w:eastAsia="仿宋_GB2312"/>
          <w:sz w:val="30"/>
          <w:szCs w:val="32"/>
          <w:u w:val="single"/>
        </w:rPr>
        <w:t>进度款审批后</w:t>
      </w:r>
      <w:r>
        <w:rPr>
          <w:rFonts w:eastAsia="仿宋_GB2312"/>
          <w:sz w:val="30"/>
          <w:szCs w:val="32"/>
          <w:u w:val="single"/>
        </w:rPr>
        <w:t>45</w:t>
      </w:r>
      <w:r>
        <w:rPr>
          <w:rFonts w:hint="eastAsia" w:eastAsia="仿宋_GB2312"/>
          <w:sz w:val="30"/>
          <w:szCs w:val="32"/>
          <w:u w:val="single"/>
        </w:rPr>
        <w:t>天内</w:t>
      </w:r>
      <w:r>
        <w:rPr>
          <w:rFonts w:eastAsia="仿宋_GB2312"/>
          <w:sz w:val="30"/>
          <w:szCs w:val="32"/>
          <w:u w:val="single"/>
        </w:rPr>
        <w:t xml:space="preserve">   </w:t>
      </w:r>
      <w:r>
        <w:rPr>
          <w:rFonts w:hint="eastAsia" w:eastAsia="仿宋_GB2312"/>
          <w:sz w:val="30"/>
          <w:szCs w:val="32"/>
        </w:rPr>
        <w:t>。</w:t>
      </w:r>
    </w:p>
    <w:p w14:paraId="3E4C80AA">
      <w:pPr>
        <w:spacing w:line="360" w:lineRule="auto"/>
        <w:ind w:firstLine="750" w:firstLineChars="250"/>
        <w:jc w:val="left"/>
        <w:rPr>
          <w:rFonts w:eastAsia="仿宋_GB2312"/>
          <w:sz w:val="30"/>
          <w:szCs w:val="32"/>
          <w:u w:val="single"/>
        </w:rPr>
      </w:pPr>
      <w:r>
        <w:rPr>
          <w:rFonts w:hint="eastAsia" w:eastAsia="仿宋_GB2312"/>
          <w:sz w:val="30"/>
          <w:szCs w:val="32"/>
        </w:rPr>
        <w:t>发包人逾期支付进度款的违约金的计算方式：</w:t>
      </w:r>
      <w:r>
        <w:rPr>
          <w:rFonts w:eastAsia="仿宋_GB2312"/>
          <w:sz w:val="30"/>
          <w:szCs w:val="32"/>
          <w:u w:val="single"/>
        </w:rPr>
        <w:t xml:space="preserve"> </w:t>
      </w:r>
      <w:r>
        <w:rPr>
          <w:rFonts w:hint="eastAsia" w:eastAsia="仿宋_GB2312"/>
          <w:sz w:val="30"/>
          <w:szCs w:val="32"/>
          <w:u w:val="single"/>
        </w:rPr>
        <w:t>发包人逾期</w:t>
      </w:r>
      <w:r>
        <w:rPr>
          <w:rFonts w:eastAsia="仿宋_GB2312"/>
          <w:sz w:val="30"/>
          <w:szCs w:val="32"/>
          <w:u w:val="single"/>
        </w:rPr>
        <w:t xml:space="preserve"> 45</w:t>
      </w:r>
      <w:r>
        <w:rPr>
          <w:rFonts w:hint="eastAsia" w:eastAsia="仿宋_GB2312"/>
          <w:sz w:val="30"/>
          <w:szCs w:val="32"/>
          <w:u w:val="single"/>
        </w:rPr>
        <w:t>天支付是可以接受的</w:t>
      </w:r>
      <w:r>
        <w:rPr>
          <w:rFonts w:eastAsia="仿宋_GB2312"/>
          <w:sz w:val="30"/>
          <w:szCs w:val="32"/>
          <w:u w:val="single"/>
        </w:rPr>
        <w:t xml:space="preserve"> </w:t>
      </w:r>
      <w:r>
        <w:rPr>
          <w:rFonts w:hint="eastAsia" w:eastAsia="仿宋_GB2312"/>
          <w:sz w:val="30"/>
          <w:szCs w:val="32"/>
          <w:u w:val="single"/>
        </w:rPr>
        <w:t>，不视为发包人违约，承包人应保证正常施工，不得以进度款支付逾期为由耽误正常施工。</w:t>
      </w:r>
    </w:p>
    <w:p w14:paraId="4FD61E68">
      <w:pPr>
        <w:spacing w:line="360" w:lineRule="auto"/>
        <w:ind w:firstLine="750" w:firstLineChars="250"/>
        <w:jc w:val="left"/>
        <w:rPr>
          <w:rFonts w:eastAsia="仿宋_GB2312"/>
          <w:sz w:val="30"/>
          <w:szCs w:val="32"/>
        </w:rPr>
      </w:pPr>
      <w:r>
        <w:rPr>
          <w:rFonts w:eastAsia="仿宋_GB2312"/>
          <w:sz w:val="30"/>
          <w:szCs w:val="32"/>
        </w:rPr>
        <w:t>12.4.6支付分解表的编制</w:t>
      </w:r>
    </w:p>
    <w:p w14:paraId="147D9C0E">
      <w:pPr>
        <w:spacing w:line="360" w:lineRule="auto"/>
        <w:ind w:left="5996" w:leftChars="284" w:hanging="5400" w:hangingChars="1800"/>
        <w:jc w:val="left"/>
        <w:rPr>
          <w:rFonts w:eastAsia="仿宋_GB2312"/>
          <w:sz w:val="30"/>
          <w:szCs w:val="32"/>
        </w:rPr>
      </w:pPr>
      <w:r>
        <w:rPr>
          <w:rFonts w:eastAsia="仿宋_GB2312"/>
          <w:sz w:val="30"/>
          <w:szCs w:val="32"/>
        </w:rPr>
        <w:t>2</w:t>
      </w:r>
      <w:r>
        <w:rPr>
          <w:rFonts w:hint="eastAsia" w:eastAsia="仿宋_GB2312"/>
          <w:sz w:val="30"/>
          <w:szCs w:val="32"/>
        </w:rPr>
        <w:t>.</w:t>
      </w:r>
      <w:r>
        <w:rPr>
          <w:rFonts w:eastAsia="仿宋_GB2312"/>
          <w:sz w:val="30"/>
          <w:szCs w:val="32"/>
        </w:rPr>
        <w:t>总价合同支付分解表的编制与审批：</w:t>
      </w:r>
      <w:r>
        <w:rPr>
          <w:rFonts w:hint="eastAsia" w:eastAsia="仿宋_GB2312"/>
          <w:sz w:val="30"/>
          <w:szCs w:val="32"/>
          <w:u w:val="single"/>
        </w:rPr>
        <w:t>按</w:t>
      </w:r>
      <w:r>
        <w:rPr>
          <w:rFonts w:hint="eastAsia" w:eastAsia="仿宋_GB2312"/>
          <w:color w:val="000000"/>
          <w:sz w:val="30"/>
          <w:szCs w:val="32"/>
          <w:u w:val="single"/>
        </w:rPr>
        <w:t>《通用合同条款》</w:t>
      </w:r>
      <w:r>
        <w:rPr>
          <w:rFonts w:eastAsia="仿宋_GB2312"/>
          <w:sz w:val="30"/>
          <w:szCs w:val="32"/>
        </w:rPr>
        <w:t>。</w:t>
      </w:r>
    </w:p>
    <w:p w14:paraId="1D9A5AC7">
      <w:pPr>
        <w:spacing w:line="360" w:lineRule="auto"/>
        <w:ind w:firstLine="600" w:firstLineChars="200"/>
        <w:jc w:val="left"/>
        <w:rPr>
          <w:rFonts w:eastAsia="仿宋_GB2312"/>
          <w:sz w:val="30"/>
          <w:szCs w:val="32"/>
        </w:rPr>
      </w:pPr>
      <w:r>
        <w:rPr>
          <w:rFonts w:eastAsia="仿宋_GB2312"/>
          <w:sz w:val="30"/>
          <w:szCs w:val="32"/>
        </w:rPr>
        <w:t>3</w:t>
      </w:r>
      <w:r>
        <w:rPr>
          <w:rFonts w:hint="eastAsia" w:eastAsia="仿宋_GB2312"/>
          <w:sz w:val="30"/>
          <w:szCs w:val="32"/>
        </w:rPr>
        <w:t>.</w:t>
      </w:r>
      <w:r>
        <w:rPr>
          <w:rFonts w:eastAsia="仿宋_GB2312"/>
          <w:sz w:val="30"/>
          <w:szCs w:val="32"/>
        </w:rPr>
        <w:t>单价合同的总价项目支付分解表的编制与审批：</w:t>
      </w:r>
      <w:r>
        <w:rPr>
          <w:rFonts w:hint="eastAsia" w:eastAsia="仿宋_GB2312"/>
          <w:sz w:val="30"/>
          <w:szCs w:val="32"/>
          <w:u w:val="single"/>
        </w:rPr>
        <w:t>按</w:t>
      </w:r>
      <w:r>
        <w:rPr>
          <w:rFonts w:hint="eastAsia" w:eastAsia="仿宋_GB2312"/>
          <w:color w:val="000000"/>
          <w:sz w:val="30"/>
          <w:szCs w:val="32"/>
          <w:u w:val="single"/>
        </w:rPr>
        <w:t>《通用合同条款》</w:t>
      </w:r>
      <w:r>
        <w:rPr>
          <w:rFonts w:eastAsia="仿宋_GB2312"/>
          <w:sz w:val="30"/>
          <w:szCs w:val="32"/>
          <w:u w:val="single"/>
        </w:rPr>
        <w:t xml:space="preserve"> </w:t>
      </w:r>
      <w:r>
        <w:rPr>
          <w:rFonts w:eastAsia="仿宋_GB2312"/>
          <w:sz w:val="30"/>
          <w:szCs w:val="32"/>
        </w:rPr>
        <w:t>。</w:t>
      </w:r>
    </w:p>
    <w:p w14:paraId="17C26EAF">
      <w:pPr>
        <w:pStyle w:val="9"/>
        <w:spacing w:before="120" w:after="120" w:line="360" w:lineRule="auto"/>
        <w:ind w:firstLine="600" w:firstLineChars="200"/>
        <w:rPr>
          <w:rFonts w:eastAsia="黑体"/>
          <w:b w:val="0"/>
          <w:i w:val="0"/>
          <w:iCs w:val="0"/>
          <w:sz w:val="30"/>
          <w:szCs w:val="32"/>
        </w:rPr>
      </w:pPr>
      <w:r>
        <w:rPr>
          <w:rFonts w:eastAsia="黑体"/>
          <w:b w:val="0"/>
          <w:i w:val="0"/>
          <w:iCs w:val="0"/>
          <w:sz w:val="30"/>
          <w:szCs w:val="32"/>
        </w:rPr>
        <w:t>12.5</w:t>
      </w:r>
      <w:r>
        <w:rPr>
          <w:rFonts w:hint="eastAsia" w:eastAsia="黑体"/>
          <w:b w:val="0"/>
          <w:i w:val="0"/>
          <w:iCs w:val="0"/>
          <w:sz w:val="30"/>
          <w:szCs w:val="32"/>
        </w:rPr>
        <w:t>农民工工资</w:t>
      </w:r>
    </w:p>
    <w:p w14:paraId="28220333">
      <w:pPr>
        <w:spacing w:line="360" w:lineRule="auto"/>
        <w:ind w:firstLine="600" w:firstLineChars="200"/>
        <w:jc w:val="left"/>
        <w:rPr>
          <w:rFonts w:eastAsia="仿宋_GB2312"/>
          <w:kern w:val="0"/>
          <w:sz w:val="30"/>
          <w:szCs w:val="32"/>
        </w:rPr>
      </w:pPr>
      <w:r>
        <w:rPr>
          <w:rFonts w:hint="eastAsia" w:eastAsia="仿宋_GB2312"/>
          <w:kern w:val="0"/>
          <w:sz w:val="30"/>
          <w:szCs w:val="32"/>
        </w:rPr>
        <w:t>12.5.2人工费支付方式</w:t>
      </w:r>
    </w:p>
    <w:p w14:paraId="1B74350B">
      <w:pPr>
        <w:spacing w:line="360" w:lineRule="auto"/>
        <w:ind w:firstLine="600" w:firstLineChars="200"/>
        <w:jc w:val="left"/>
        <w:rPr>
          <w:rFonts w:eastAsia="仿宋_GB2312"/>
          <w:kern w:val="0"/>
          <w:sz w:val="30"/>
          <w:szCs w:val="32"/>
        </w:rPr>
      </w:pPr>
      <w:r>
        <w:rPr>
          <w:rFonts w:hint="eastAsia" w:eastAsia="仿宋_GB2312"/>
          <w:kern w:val="0"/>
          <w:sz w:val="30"/>
          <w:szCs w:val="32"/>
        </w:rPr>
        <w:t>人工费支付采用以下第</w:t>
      </w:r>
      <w:r>
        <w:rPr>
          <w:rFonts w:hint="eastAsia" w:eastAsia="仿宋_GB2312"/>
          <w:kern w:val="0"/>
          <w:sz w:val="30"/>
          <w:szCs w:val="32"/>
          <w:u w:val="single"/>
        </w:rPr>
        <w:t xml:space="preserve">   4   </w:t>
      </w:r>
      <w:r>
        <w:rPr>
          <w:rFonts w:hint="eastAsia" w:eastAsia="仿宋_GB2312"/>
          <w:kern w:val="0"/>
          <w:sz w:val="30"/>
          <w:szCs w:val="32"/>
        </w:rPr>
        <w:t>种方式：</w:t>
      </w:r>
    </w:p>
    <w:p w14:paraId="71956780">
      <w:pPr>
        <w:spacing w:line="360" w:lineRule="auto"/>
        <w:ind w:firstLine="600" w:firstLineChars="200"/>
        <w:jc w:val="left"/>
        <w:rPr>
          <w:rFonts w:eastAsia="仿宋_GB2312"/>
          <w:kern w:val="0"/>
          <w:sz w:val="30"/>
          <w:szCs w:val="32"/>
        </w:rPr>
      </w:pPr>
      <w:r>
        <w:rPr>
          <w:rFonts w:hint="eastAsia" w:eastAsia="仿宋_GB2312"/>
          <w:kern w:val="0"/>
          <w:sz w:val="30"/>
          <w:szCs w:val="32"/>
        </w:rPr>
        <w:t>（1）一次性预付。在工程开工通知载明的开工日期前一次性将人工费（签约合同价的</w:t>
      </w:r>
      <w:r>
        <w:rPr>
          <w:rFonts w:hint="eastAsia" w:eastAsia="仿宋_GB2312"/>
          <w:kern w:val="0"/>
          <w:sz w:val="30"/>
          <w:szCs w:val="32"/>
          <w:u w:val="single"/>
        </w:rPr>
        <w:t xml:space="preserve">    </w:t>
      </w:r>
      <w:r>
        <w:rPr>
          <w:rFonts w:hint="eastAsia" w:eastAsia="仿宋_GB2312"/>
          <w:kern w:val="0"/>
          <w:sz w:val="30"/>
          <w:szCs w:val="32"/>
        </w:rPr>
        <w:t>%）全部支付至承包人农民工工资专用账户。</w:t>
      </w:r>
    </w:p>
    <w:p w14:paraId="5E1BA205">
      <w:pPr>
        <w:spacing w:line="360" w:lineRule="auto"/>
        <w:ind w:firstLine="600" w:firstLineChars="200"/>
        <w:jc w:val="left"/>
        <w:rPr>
          <w:rFonts w:eastAsia="仿宋_GB2312"/>
          <w:kern w:val="0"/>
          <w:sz w:val="30"/>
          <w:szCs w:val="32"/>
        </w:rPr>
      </w:pPr>
      <w:r>
        <w:rPr>
          <w:rFonts w:hint="eastAsia" w:eastAsia="仿宋_GB2312"/>
          <w:kern w:val="0"/>
          <w:sz w:val="30"/>
          <w:szCs w:val="32"/>
        </w:rPr>
        <w:t>（2）按月预付。在合同工期内，每月5日前将本月施工所需人工费（不低于该工程全部人工费按合同工期的月平均额）支付至承包人农民工工资专用账户。</w:t>
      </w:r>
    </w:p>
    <w:p w14:paraId="13B00B73">
      <w:pPr>
        <w:spacing w:line="360" w:lineRule="auto"/>
        <w:ind w:firstLine="600" w:firstLineChars="200"/>
        <w:jc w:val="left"/>
        <w:rPr>
          <w:rFonts w:eastAsia="仿宋_GB2312"/>
          <w:kern w:val="0"/>
          <w:sz w:val="30"/>
          <w:szCs w:val="32"/>
        </w:rPr>
      </w:pPr>
      <w:r>
        <w:rPr>
          <w:rFonts w:hint="eastAsia" w:eastAsia="仿宋_GB2312"/>
          <w:kern w:val="0"/>
          <w:sz w:val="30"/>
          <w:szCs w:val="32"/>
        </w:rPr>
        <w:t>（3）按节点预付。在分部分项工程开始施工前，将该分部分项工程施工所需人工费支付至承包人农民工工资专用账户。</w:t>
      </w:r>
    </w:p>
    <w:p w14:paraId="555BF360">
      <w:pPr>
        <w:spacing w:line="360" w:lineRule="auto"/>
        <w:ind w:firstLine="600" w:firstLineChars="200"/>
        <w:jc w:val="left"/>
        <w:rPr>
          <w:rFonts w:eastAsia="仿宋_GB2312"/>
          <w:sz w:val="30"/>
          <w:szCs w:val="32"/>
        </w:rPr>
      </w:pPr>
      <w:r>
        <w:rPr>
          <w:rFonts w:hint="eastAsia" w:eastAsia="仿宋_GB2312"/>
          <w:kern w:val="0"/>
          <w:sz w:val="30"/>
          <w:szCs w:val="32"/>
        </w:rPr>
        <w:t>（4）按月支付。发包人根据承包人每月提报的已完成施工产值中的人工费清单，按月将人工费支付至承包人农民工工资专用账户。</w:t>
      </w:r>
    </w:p>
    <w:bookmarkEnd w:id="961"/>
    <w:p w14:paraId="6FC0E3D5">
      <w:pPr>
        <w:pStyle w:val="8"/>
        <w:spacing w:before="120" w:after="120" w:line="360" w:lineRule="auto"/>
        <w:rPr>
          <w:rFonts w:ascii="Times New Roman" w:hAnsi="Times New Roman" w:eastAsia="黑体"/>
          <w:b w:val="0"/>
          <w:sz w:val="32"/>
          <w:szCs w:val="32"/>
        </w:rPr>
      </w:pPr>
      <w:bookmarkStart w:id="1109" w:name="_Toc351203645"/>
      <w:bookmarkStart w:id="1110" w:name="_Toc292559929"/>
      <w:bookmarkStart w:id="1111" w:name="_Toc297048405"/>
      <w:bookmarkStart w:id="1112" w:name="_Toc292559424"/>
      <w:bookmarkStart w:id="1113" w:name="_Toc296347218"/>
      <w:bookmarkStart w:id="1114" w:name="_Toc303539172"/>
      <w:bookmarkStart w:id="1115" w:name="_Toc297120519"/>
      <w:bookmarkStart w:id="1116" w:name="_Toc304295593"/>
      <w:bookmarkStart w:id="1117" w:name="_Toc312678053"/>
      <w:bookmarkStart w:id="1118" w:name="_Toc296503219"/>
      <w:bookmarkStart w:id="1119" w:name="_Toc296891259"/>
      <w:bookmarkStart w:id="1120" w:name="_Toc300935015"/>
      <w:bookmarkStart w:id="1121" w:name="_Toc296944558"/>
      <w:bookmarkStart w:id="1122" w:name="_Toc297216223"/>
      <w:bookmarkStart w:id="1123" w:name="_Toc296891047"/>
      <w:bookmarkStart w:id="1124" w:name="_Toc296346720"/>
      <w:bookmarkStart w:id="1125" w:name="_Toc297123564"/>
      <w:r>
        <w:rPr>
          <w:rFonts w:ascii="Times New Roman" w:hAnsi="Times New Roman" w:eastAsia="黑体"/>
          <w:b w:val="0"/>
          <w:sz w:val="32"/>
          <w:szCs w:val="32"/>
        </w:rPr>
        <w:t>13.验收和工程试车</w:t>
      </w:r>
      <w:bookmarkEnd w:id="1109"/>
    </w:p>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p w14:paraId="2FDA5E3B">
      <w:pPr>
        <w:spacing w:after="120" w:line="360" w:lineRule="auto"/>
        <w:ind w:firstLine="600" w:firstLineChars="200"/>
        <w:rPr>
          <w:rFonts w:eastAsia="黑体"/>
          <w:sz w:val="30"/>
          <w:szCs w:val="32"/>
        </w:rPr>
      </w:pPr>
      <w:r>
        <w:rPr>
          <w:rFonts w:eastAsia="黑体"/>
          <w:sz w:val="30"/>
          <w:szCs w:val="32"/>
        </w:rPr>
        <w:t>13.1分部分项工程验收</w:t>
      </w:r>
    </w:p>
    <w:p w14:paraId="65AB0FE2">
      <w:pPr>
        <w:spacing w:line="360" w:lineRule="auto"/>
        <w:ind w:firstLine="600" w:firstLineChars="200"/>
        <w:jc w:val="left"/>
        <w:rPr>
          <w:rFonts w:eastAsia="仿宋_GB2312"/>
          <w:sz w:val="30"/>
          <w:szCs w:val="32"/>
        </w:rPr>
      </w:pPr>
      <w:r>
        <w:rPr>
          <w:rFonts w:eastAsia="仿宋_GB2312"/>
          <w:sz w:val="30"/>
          <w:szCs w:val="32"/>
        </w:rPr>
        <w:t>13.1.2监理人不能按时进行验收时，应提前</w:t>
      </w:r>
      <w:r>
        <w:rPr>
          <w:rFonts w:eastAsia="仿宋_GB2312"/>
          <w:sz w:val="30"/>
          <w:szCs w:val="32"/>
          <w:u w:val="single"/>
        </w:rPr>
        <w:t xml:space="preserve">  </w:t>
      </w:r>
      <w:r>
        <w:rPr>
          <w:rFonts w:hint="eastAsia" w:eastAsia="仿宋_GB2312"/>
          <w:sz w:val="30"/>
          <w:szCs w:val="32"/>
          <w:u w:val="single"/>
        </w:rPr>
        <w:t>24</w:t>
      </w:r>
      <w:r>
        <w:rPr>
          <w:rFonts w:eastAsia="仿宋_GB2312"/>
          <w:sz w:val="30"/>
          <w:szCs w:val="32"/>
          <w:u w:val="single"/>
        </w:rPr>
        <w:t xml:space="preserve">  </w:t>
      </w:r>
      <w:r>
        <w:rPr>
          <w:rFonts w:eastAsia="仿宋_GB2312"/>
          <w:sz w:val="30"/>
          <w:szCs w:val="32"/>
        </w:rPr>
        <w:t>小时提交书面延期要求。</w:t>
      </w:r>
    </w:p>
    <w:p w14:paraId="63E7FD77">
      <w:pPr>
        <w:spacing w:line="360" w:lineRule="auto"/>
        <w:ind w:firstLine="600" w:firstLineChars="200"/>
        <w:jc w:val="left"/>
        <w:rPr>
          <w:rFonts w:eastAsia="仿宋_GB2312"/>
          <w:b/>
          <w:sz w:val="30"/>
          <w:szCs w:val="32"/>
        </w:rPr>
      </w:pPr>
      <w:r>
        <w:rPr>
          <w:rFonts w:eastAsia="仿宋_GB2312"/>
          <w:sz w:val="30"/>
          <w:szCs w:val="32"/>
        </w:rPr>
        <w:t>关于延期最长不得超过：</w:t>
      </w:r>
      <w:r>
        <w:rPr>
          <w:rFonts w:eastAsia="仿宋_GB2312"/>
          <w:sz w:val="30"/>
          <w:szCs w:val="32"/>
          <w:u w:val="single"/>
        </w:rPr>
        <w:t xml:space="preserve"> </w:t>
      </w:r>
      <w:r>
        <w:rPr>
          <w:rFonts w:hint="eastAsia" w:eastAsia="仿宋_GB2312"/>
          <w:sz w:val="30"/>
          <w:szCs w:val="32"/>
          <w:u w:val="single"/>
        </w:rPr>
        <w:t>48</w:t>
      </w:r>
      <w:r>
        <w:rPr>
          <w:rFonts w:eastAsia="仿宋_GB2312"/>
          <w:sz w:val="30"/>
          <w:szCs w:val="32"/>
          <w:u w:val="single"/>
        </w:rPr>
        <w:t xml:space="preserve"> </w:t>
      </w:r>
      <w:r>
        <w:rPr>
          <w:rFonts w:eastAsia="仿宋_GB2312"/>
          <w:sz w:val="30"/>
          <w:szCs w:val="32"/>
        </w:rPr>
        <w:t>小时。</w:t>
      </w:r>
    </w:p>
    <w:p w14:paraId="60E8956C">
      <w:pPr>
        <w:spacing w:after="120" w:line="360" w:lineRule="auto"/>
        <w:ind w:firstLine="600" w:firstLineChars="200"/>
        <w:rPr>
          <w:rFonts w:eastAsia="黑体"/>
          <w:sz w:val="30"/>
          <w:szCs w:val="32"/>
        </w:rPr>
      </w:pPr>
      <w:bookmarkStart w:id="1126" w:name="_Toc292559933"/>
      <w:bookmarkStart w:id="1127" w:name="_Toc296346724"/>
      <w:bookmarkStart w:id="1128" w:name="_Toc297123565"/>
      <w:bookmarkStart w:id="1129" w:name="_Toc296891263"/>
      <w:bookmarkStart w:id="1130" w:name="_Toc297120523"/>
      <w:bookmarkStart w:id="1131" w:name="_Toc300935016"/>
      <w:bookmarkStart w:id="1132" w:name="_Toc304295596"/>
      <w:bookmarkStart w:id="1133" w:name="_Toc303539173"/>
      <w:bookmarkStart w:id="1134" w:name="_Toc312678056"/>
      <w:bookmarkStart w:id="1135" w:name="_Toc297048409"/>
      <w:bookmarkStart w:id="1136" w:name="_Toc296944562"/>
      <w:bookmarkStart w:id="1137" w:name="_Toc297216224"/>
      <w:bookmarkStart w:id="1138" w:name="_Toc296347222"/>
      <w:bookmarkStart w:id="1139" w:name="_Toc292559428"/>
      <w:bookmarkStart w:id="1140" w:name="_Toc296891051"/>
      <w:bookmarkStart w:id="1141" w:name="_Toc296503223"/>
      <w:bookmarkStart w:id="1142" w:name="_Toc267251473"/>
      <w:bookmarkStart w:id="1143" w:name="_Toc267251472"/>
      <w:bookmarkStart w:id="1144" w:name="_Toc267251475"/>
      <w:bookmarkStart w:id="1145" w:name="_Toc267251471"/>
      <w:bookmarkStart w:id="1146" w:name="_Toc267251470"/>
      <w:bookmarkStart w:id="1147" w:name="_Toc267251474"/>
      <w:bookmarkStart w:id="1148" w:name="_Toc267251476"/>
      <w:r>
        <w:rPr>
          <w:rFonts w:eastAsia="黑体"/>
          <w:sz w:val="30"/>
          <w:szCs w:val="32"/>
        </w:rPr>
        <w:t>13.2竣工验收</w:t>
      </w:r>
    </w:p>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p w14:paraId="35E779D4">
      <w:pPr>
        <w:spacing w:line="360" w:lineRule="auto"/>
        <w:ind w:firstLine="600" w:firstLineChars="200"/>
        <w:jc w:val="left"/>
        <w:rPr>
          <w:rFonts w:eastAsia="仿宋_GB2312"/>
          <w:sz w:val="30"/>
          <w:szCs w:val="32"/>
        </w:rPr>
      </w:pPr>
      <w:bookmarkStart w:id="1149" w:name="_Toc280868704"/>
      <w:bookmarkStart w:id="1150" w:name="_Toc280868705"/>
      <w:bookmarkStart w:id="1151" w:name="_Toc280868707"/>
      <w:bookmarkStart w:id="1152" w:name="_Toc280868706"/>
      <w:bookmarkStart w:id="1153" w:name="_Toc280868708"/>
      <w:bookmarkStart w:id="1154" w:name="_Toc280868709"/>
      <w:r>
        <w:rPr>
          <w:rFonts w:eastAsia="仿宋_GB2312"/>
          <w:sz w:val="30"/>
          <w:szCs w:val="32"/>
        </w:rPr>
        <w:t>13.2.2竣工验收程序</w:t>
      </w:r>
    </w:p>
    <w:bookmarkEnd w:id="1149"/>
    <w:p w14:paraId="4BDA5FAA">
      <w:pPr>
        <w:spacing w:line="360" w:lineRule="auto"/>
        <w:ind w:firstLine="600" w:firstLineChars="200"/>
        <w:jc w:val="left"/>
        <w:rPr>
          <w:rFonts w:eastAsia="仿宋_GB2312"/>
          <w:sz w:val="30"/>
          <w:szCs w:val="32"/>
        </w:rPr>
      </w:pPr>
      <w:r>
        <w:rPr>
          <w:rFonts w:hint="eastAsia" w:eastAsia="仿宋_GB2312"/>
          <w:kern w:val="0"/>
          <w:sz w:val="30"/>
          <w:szCs w:val="32"/>
        </w:rPr>
        <w:t>关于竣工验收程序的约定：</w:t>
      </w:r>
      <w:r>
        <w:rPr>
          <w:rFonts w:eastAsia="仿宋_GB2312"/>
          <w:sz w:val="30"/>
          <w:szCs w:val="32"/>
          <w:u w:val="single"/>
        </w:rPr>
        <w:t xml:space="preserve">  </w:t>
      </w:r>
      <w:r>
        <w:rPr>
          <w:rFonts w:hint="eastAsia" w:eastAsia="仿宋_GB2312"/>
          <w:sz w:val="30"/>
          <w:szCs w:val="32"/>
          <w:u w:val="single"/>
        </w:rPr>
        <w:t>竣工验收须经工程使用单位通过验收为准</w:t>
      </w:r>
      <w:r>
        <w:rPr>
          <w:rFonts w:eastAsia="仿宋_GB2312"/>
          <w:sz w:val="30"/>
          <w:szCs w:val="32"/>
          <w:u w:val="single"/>
        </w:rPr>
        <w:t xml:space="preserve">  </w:t>
      </w:r>
      <w:r>
        <w:rPr>
          <w:rFonts w:hint="eastAsia" w:eastAsia="仿宋_GB2312"/>
          <w:sz w:val="30"/>
          <w:szCs w:val="32"/>
        </w:rPr>
        <w:t>。</w:t>
      </w:r>
    </w:p>
    <w:p w14:paraId="7B5FD532">
      <w:pPr>
        <w:spacing w:line="360" w:lineRule="auto"/>
        <w:ind w:firstLine="600" w:firstLineChars="200"/>
        <w:jc w:val="left"/>
        <w:rPr>
          <w:rFonts w:eastAsia="仿宋_GB2312"/>
          <w:sz w:val="30"/>
          <w:szCs w:val="32"/>
        </w:rPr>
      </w:pPr>
      <w:r>
        <w:rPr>
          <w:rFonts w:eastAsia="仿宋_GB2312"/>
          <w:kern w:val="0"/>
          <w:sz w:val="30"/>
          <w:szCs w:val="32"/>
        </w:rPr>
        <w:t>发包人不按照本项约定组织竣工验收、颁发工程接收证书的违约金的计算方法：</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 xml:space="preserve"> </w:t>
      </w:r>
      <w:r>
        <w:rPr>
          <w:rFonts w:eastAsia="仿宋_GB2312"/>
          <w:sz w:val="30"/>
          <w:szCs w:val="32"/>
        </w:rPr>
        <w:t>。</w:t>
      </w:r>
    </w:p>
    <w:bookmarkEnd w:id="1150"/>
    <w:p w14:paraId="21AE576C">
      <w:pPr>
        <w:spacing w:line="360" w:lineRule="auto"/>
        <w:ind w:firstLine="600" w:firstLineChars="200"/>
        <w:jc w:val="left"/>
        <w:rPr>
          <w:rFonts w:eastAsia="仿宋_GB2312"/>
          <w:kern w:val="0"/>
          <w:sz w:val="30"/>
          <w:szCs w:val="32"/>
        </w:rPr>
      </w:pPr>
      <w:r>
        <w:rPr>
          <w:rFonts w:eastAsia="仿宋_GB2312"/>
          <w:kern w:val="0"/>
          <w:sz w:val="30"/>
          <w:szCs w:val="32"/>
        </w:rPr>
        <w:t>13.2.3</w:t>
      </w:r>
      <w:r>
        <w:rPr>
          <w:rFonts w:hint="eastAsia" w:eastAsia="仿宋_GB2312"/>
          <w:kern w:val="0"/>
          <w:sz w:val="30"/>
          <w:szCs w:val="32"/>
        </w:rPr>
        <w:t>竣工日期</w:t>
      </w:r>
    </w:p>
    <w:p w14:paraId="3A449978">
      <w:pPr>
        <w:spacing w:line="360" w:lineRule="auto"/>
        <w:ind w:firstLine="600" w:firstLineChars="200"/>
        <w:jc w:val="left"/>
        <w:rPr>
          <w:rFonts w:eastAsia="仿宋_GB2312"/>
          <w:color w:val="000000" w:themeColor="text1"/>
          <w:sz w:val="30"/>
          <w:szCs w:val="32"/>
          <w14:textFill>
            <w14:solidFill>
              <w14:schemeClr w14:val="tx1"/>
            </w14:solidFill>
          </w14:textFill>
        </w:rPr>
      </w:pPr>
      <w:r>
        <w:rPr>
          <w:rFonts w:hint="eastAsia" w:eastAsia="仿宋_GB2312"/>
          <w:color w:val="000000" w:themeColor="text1"/>
          <w:sz w:val="30"/>
          <w:szCs w:val="32"/>
          <w:u w:val="single"/>
          <w14:textFill>
            <w14:solidFill>
              <w14:schemeClr w14:val="tx1"/>
            </w14:solidFill>
          </w14:textFill>
        </w:rPr>
        <w:t>以发包人、承包人、监理人、设计人、勘察人（若有）、使用单位共同签署的《竣工验收报告》的签署日期为准。</w:t>
      </w:r>
    </w:p>
    <w:p w14:paraId="3298BB0F">
      <w:pPr>
        <w:spacing w:line="360" w:lineRule="auto"/>
        <w:ind w:firstLine="600" w:firstLineChars="200"/>
        <w:jc w:val="left"/>
        <w:rPr>
          <w:rFonts w:eastAsia="仿宋_GB2312"/>
          <w:sz w:val="30"/>
          <w:szCs w:val="32"/>
        </w:rPr>
      </w:pPr>
      <w:r>
        <w:rPr>
          <w:rFonts w:eastAsia="仿宋_GB2312"/>
          <w:sz w:val="30"/>
          <w:szCs w:val="32"/>
        </w:rPr>
        <w:t>13.2.5移交、接收全部与部分工程</w:t>
      </w:r>
    </w:p>
    <w:bookmarkEnd w:id="1151"/>
    <w:bookmarkEnd w:id="1152"/>
    <w:p w14:paraId="422F3859">
      <w:pPr>
        <w:spacing w:line="360" w:lineRule="auto"/>
        <w:ind w:firstLine="600" w:firstLineChars="200"/>
        <w:jc w:val="left"/>
        <w:rPr>
          <w:rFonts w:eastAsia="仿宋_GB2312"/>
          <w:sz w:val="30"/>
          <w:szCs w:val="32"/>
          <w:u w:val="single"/>
        </w:rPr>
      </w:pPr>
      <w:r>
        <w:rPr>
          <w:rFonts w:hint="eastAsia" w:eastAsia="仿宋_GB2312"/>
          <w:kern w:val="0"/>
          <w:sz w:val="30"/>
          <w:szCs w:val="32"/>
        </w:rPr>
        <w:t>承包人向发包人移交工程的期限：</w:t>
      </w:r>
      <w:r>
        <w:rPr>
          <w:rFonts w:eastAsia="仿宋_GB2312"/>
          <w:sz w:val="30"/>
          <w:szCs w:val="32"/>
          <w:u w:val="single"/>
        </w:rPr>
        <w:t xml:space="preserve">  </w:t>
      </w:r>
      <w:r>
        <w:rPr>
          <w:rFonts w:hint="eastAsia" w:eastAsia="仿宋_GB2312"/>
          <w:sz w:val="30"/>
          <w:szCs w:val="32"/>
          <w:u w:val="single"/>
        </w:rPr>
        <w:t>验收问题整改完成，经发包人再次验收合格后</w:t>
      </w:r>
      <w:r>
        <w:rPr>
          <w:rFonts w:eastAsia="仿宋_GB2312"/>
          <w:sz w:val="30"/>
          <w:szCs w:val="32"/>
          <w:u w:val="single"/>
        </w:rPr>
        <w:t>7</w:t>
      </w:r>
      <w:r>
        <w:rPr>
          <w:rFonts w:hint="eastAsia" w:eastAsia="仿宋_GB2312"/>
          <w:sz w:val="30"/>
          <w:szCs w:val="32"/>
          <w:u w:val="single"/>
        </w:rPr>
        <w:t>天内</w:t>
      </w:r>
      <w:r>
        <w:rPr>
          <w:rFonts w:eastAsia="仿宋_GB2312"/>
          <w:sz w:val="30"/>
          <w:szCs w:val="32"/>
          <w:u w:val="single"/>
        </w:rPr>
        <w:t xml:space="preserve">  </w:t>
      </w:r>
      <w:r>
        <w:rPr>
          <w:rFonts w:hint="eastAsia" w:eastAsia="仿宋_GB2312"/>
          <w:sz w:val="30"/>
          <w:szCs w:val="32"/>
          <w:u w:val="single"/>
        </w:rPr>
        <w:t>。</w:t>
      </w:r>
    </w:p>
    <w:p w14:paraId="5B5B7A47">
      <w:pPr>
        <w:spacing w:line="360" w:lineRule="auto"/>
        <w:ind w:firstLine="600" w:firstLineChars="200"/>
        <w:jc w:val="left"/>
        <w:rPr>
          <w:rFonts w:eastAsia="仿宋_GB2312"/>
          <w:sz w:val="30"/>
          <w:szCs w:val="32"/>
          <w:u w:val="single"/>
        </w:rPr>
      </w:pPr>
      <w:r>
        <w:rPr>
          <w:rFonts w:hint="eastAsia" w:eastAsia="仿宋_GB2312"/>
          <w:kern w:val="0"/>
          <w:sz w:val="30"/>
          <w:szCs w:val="32"/>
        </w:rPr>
        <w:t>发包人未按本合同约定接收全部或部分工程的，违约金的计算方法为：</w:t>
      </w:r>
      <w:r>
        <w:rPr>
          <w:rFonts w:eastAsia="仿宋_GB2312"/>
          <w:sz w:val="30"/>
          <w:szCs w:val="32"/>
          <w:u w:val="single"/>
        </w:rPr>
        <w:t xml:space="preserve">  </w:t>
      </w:r>
      <w:r>
        <w:rPr>
          <w:rFonts w:hint="eastAsia" w:eastAsia="仿宋_GB2312"/>
          <w:sz w:val="30"/>
          <w:szCs w:val="32"/>
          <w:u w:val="single"/>
        </w:rPr>
        <w:t>执行《通用合同条款》</w:t>
      </w:r>
      <w:r>
        <w:rPr>
          <w:rFonts w:hint="eastAsia" w:eastAsia="仿宋_GB2312"/>
          <w:sz w:val="30"/>
          <w:szCs w:val="32"/>
        </w:rPr>
        <w:t>。</w:t>
      </w:r>
    </w:p>
    <w:p w14:paraId="762F6F71">
      <w:pPr>
        <w:spacing w:line="360" w:lineRule="auto"/>
        <w:ind w:firstLine="600" w:firstLineChars="200"/>
        <w:jc w:val="left"/>
        <w:rPr>
          <w:rFonts w:eastAsia="仿宋_GB2312"/>
          <w:color w:val="000000"/>
          <w:sz w:val="30"/>
          <w:szCs w:val="32"/>
          <w:u w:val="single"/>
        </w:rPr>
      </w:pPr>
      <w:r>
        <w:rPr>
          <w:rFonts w:hint="eastAsia" w:eastAsia="仿宋_GB2312"/>
          <w:color w:val="000000"/>
          <w:sz w:val="30"/>
          <w:szCs w:val="32"/>
        </w:rPr>
        <w:t>承包人未按时移交工程的，违约金的计算方法为：</w:t>
      </w:r>
      <w:r>
        <w:rPr>
          <w:rFonts w:eastAsia="仿宋_GB2312"/>
          <w:color w:val="000000"/>
          <w:sz w:val="30"/>
          <w:szCs w:val="32"/>
        </w:rPr>
        <w:t>每逾期一天按合同</w:t>
      </w:r>
      <w:r>
        <w:rPr>
          <w:rFonts w:hint="eastAsia" w:eastAsia="仿宋_GB2312"/>
          <w:color w:val="000000"/>
          <w:sz w:val="30"/>
          <w:szCs w:val="32"/>
        </w:rPr>
        <w:t>最终结算价</w:t>
      </w:r>
      <w:r>
        <w:rPr>
          <w:rFonts w:eastAsia="仿宋_GB2312"/>
          <w:color w:val="000000"/>
          <w:sz w:val="30"/>
          <w:szCs w:val="32"/>
        </w:rPr>
        <w:t>0.5‰的金额向发包人支付违约金</w:t>
      </w:r>
      <w:r>
        <w:rPr>
          <w:rFonts w:hint="eastAsia" w:eastAsia="仿宋_GB2312"/>
          <w:color w:val="000000"/>
          <w:sz w:val="30"/>
          <w:szCs w:val="32"/>
        </w:rPr>
        <w:t>，没有最终结算价的，按合同签约暂定</w:t>
      </w:r>
      <w:r>
        <w:rPr>
          <w:rFonts w:eastAsia="仿宋_GB2312"/>
          <w:color w:val="000000"/>
          <w:sz w:val="30"/>
          <w:szCs w:val="32"/>
        </w:rPr>
        <w:t>价</w:t>
      </w:r>
      <w:r>
        <w:rPr>
          <w:rFonts w:hint="eastAsia" w:eastAsia="仿宋_GB2312"/>
          <w:color w:val="000000"/>
          <w:sz w:val="30"/>
          <w:szCs w:val="32"/>
        </w:rPr>
        <w:t>的</w:t>
      </w:r>
      <w:r>
        <w:rPr>
          <w:rFonts w:eastAsia="仿宋_GB2312"/>
          <w:color w:val="000000"/>
          <w:sz w:val="30"/>
          <w:szCs w:val="32"/>
        </w:rPr>
        <w:t>0.5‰；逾期超过90天，每逾期一天按合同</w:t>
      </w:r>
      <w:r>
        <w:rPr>
          <w:rFonts w:hint="eastAsia" w:eastAsia="仿宋_GB2312"/>
          <w:color w:val="000000"/>
          <w:sz w:val="30"/>
          <w:szCs w:val="32"/>
        </w:rPr>
        <w:t>最终结算价</w:t>
      </w:r>
      <w:r>
        <w:rPr>
          <w:rFonts w:eastAsia="仿宋_GB2312"/>
          <w:color w:val="000000"/>
          <w:sz w:val="30"/>
          <w:szCs w:val="32"/>
        </w:rPr>
        <w:t>1‰的金额向发包人支付违约金，</w:t>
      </w:r>
      <w:r>
        <w:rPr>
          <w:rFonts w:hint="eastAsia" w:eastAsia="仿宋_GB2312"/>
          <w:color w:val="000000"/>
          <w:sz w:val="30"/>
          <w:szCs w:val="32"/>
        </w:rPr>
        <w:t>没有最终结算价的，按合同签约暂定</w:t>
      </w:r>
      <w:r>
        <w:rPr>
          <w:rFonts w:eastAsia="仿宋_GB2312"/>
          <w:color w:val="000000"/>
          <w:sz w:val="30"/>
          <w:szCs w:val="32"/>
        </w:rPr>
        <w:t>价</w:t>
      </w:r>
      <w:r>
        <w:rPr>
          <w:rFonts w:hint="eastAsia" w:eastAsia="仿宋_GB2312"/>
          <w:color w:val="000000"/>
          <w:sz w:val="30"/>
          <w:szCs w:val="32"/>
        </w:rPr>
        <w:t>的</w:t>
      </w:r>
      <w:r>
        <w:rPr>
          <w:rFonts w:eastAsia="仿宋_GB2312"/>
          <w:color w:val="000000"/>
          <w:sz w:val="30"/>
          <w:szCs w:val="32"/>
        </w:rPr>
        <w:t>1‰</w:t>
      </w:r>
      <w:r>
        <w:rPr>
          <w:rFonts w:hint="eastAsia" w:eastAsia="仿宋_GB2312"/>
          <w:color w:val="000000"/>
          <w:sz w:val="30"/>
          <w:szCs w:val="32"/>
        </w:rPr>
        <w:t>，</w:t>
      </w:r>
      <w:r>
        <w:rPr>
          <w:rFonts w:eastAsia="仿宋_GB2312"/>
          <w:color w:val="000000"/>
          <w:sz w:val="30"/>
          <w:szCs w:val="32"/>
        </w:rPr>
        <w:t>发包人并有权书面通知单方面解除未完成部分工程的合同。</w:t>
      </w:r>
    </w:p>
    <w:p w14:paraId="1DD6F147">
      <w:pPr>
        <w:spacing w:line="360" w:lineRule="auto"/>
        <w:ind w:firstLine="600" w:firstLineChars="200"/>
        <w:jc w:val="left"/>
        <w:rPr>
          <w:rFonts w:eastAsia="仿宋_GB2312"/>
          <w:sz w:val="30"/>
          <w:szCs w:val="32"/>
        </w:rPr>
      </w:pPr>
      <w:r>
        <w:rPr>
          <w:rFonts w:eastAsia="仿宋_GB2312"/>
          <w:sz w:val="30"/>
          <w:szCs w:val="32"/>
        </w:rPr>
        <w:t>13.2.6</w:t>
      </w:r>
      <w:r>
        <w:rPr>
          <w:rFonts w:hint="eastAsia" w:eastAsia="仿宋_GB2312"/>
          <w:sz w:val="30"/>
          <w:szCs w:val="32"/>
        </w:rPr>
        <w:t>竣工资料移交</w:t>
      </w:r>
    </w:p>
    <w:p w14:paraId="78A38B33">
      <w:pPr>
        <w:spacing w:after="156" w:line="360" w:lineRule="auto"/>
        <w:ind w:firstLine="600" w:firstLineChars="200"/>
        <w:rPr>
          <w:rFonts w:eastAsia="仿宋_GB2312"/>
          <w:color w:val="000000" w:themeColor="text1"/>
          <w:sz w:val="30"/>
          <w:szCs w:val="32"/>
          <w:u w:val="single"/>
          <w14:textFill>
            <w14:solidFill>
              <w14:schemeClr w14:val="tx1"/>
            </w14:solidFill>
          </w14:textFill>
        </w:rPr>
      </w:pPr>
      <w:r>
        <w:rPr>
          <w:rFonts w:hint="eastAsia" w:eastAsia="仿宋_GB2312"/>
          <w:color w:val="000000" w:themeColor="text1"/>
          <w:sz w:val="30"/>
          <w:szCs w:val="32"/>
          <w:u w:val="single"/>
          <w14:textFill>
            <w14:solidFill>
              <w14:schemeClr w14:val="tx1"/>
            </w14:solidFill>
          </w14:textFill>
        </w:rPr>
        <w:t>工程完成后，在组织竣工验收前，承包人应向发包人移交三套完整、合格的竣工资料及全套资料扫描电子版（硬盘存储），承包人提交的竣工资料不符合归档及备案要求的，发包人有权退回，承包人应当按要求重新提交合格的竣工资料，在未完成竣工资料移交前发包人不予组织竣工验收，由此造成工期逾期及其他损失，由承包人承担。</w:t>
      </w:r>
    </w:p>
    <w:p w14:paraId="1E085C11">
      <w:pPr>
        <w:spacing w:after="156" w:line="360" w:lineRule="auto"/>
        <w:ind w:firstLine="600" w:firstLineChars="200"/>
        <w:rPr>
          <w:rFonts w:eastAsia="仿宋_GB2312"/>
          <w:color w:val="000000" w:themeColor="text1"/>
          <w:sz w:val="30"/>
          <w:szCs w:val="32"/>
          <w:u w:val="single"/>
          <w14:textFill>
            <w14:solidFill>
              <w14:schemeClr w14:val="tx1"/>
            </w14:solidFill>
          </w14:textFill>
        </w:rPr>
      </w:pPr>
      <w:r>
        <w:rPr>
          <w:rFonts w:hint="eastAsia" w:eastAsia="仿宋_GB2312"/>
          <w:color w:val="000000" w:themeColor="text1"/>
          <w:sz w:val="30"/>
          <w:szCs w:val="32"/>
          <w:u w:val="single"/>
          <w14:textFill>
            <w14:solidFill>
              <w14:schemeClr w14:val="tx1"/>
            </w14:solidFill>
          </w14:textFill>
        </w:rPr>
        <w:t>为免异议，若双方因任何阶段的工程款金额、支付等事宜产生纠纷的，承包人仍应向发包人移交竣工资料及其他资料，不得以任何理由延迟或拒绝移交，前述纠纷由双方友好协商或通过本合同约定的争议解决方式解决。</w:t>
      </w:r>
    </w:p>
    <w:p w14:paraId="1E3B09A8">
      <w:pPr>
        <w:spacing w:after="120" w:line="360" w:lineRule="auto"/>
        <w:ind w:firstLine="600" w:firstLineChars="200"/>
        <w:rPr>
          <w:rFonts w:eastAsia="黑体"/>
          <w:sz w:val="30"/>
          <w:szCs w:val="32"/>
        </w:rPr>
      </w:pPr>
      <w:r>
        <w:rPr>
          <w:rFonts w:eastAsia="黑体"/>
          <w:sz w:val="30"/>
          <w:szCs w:val="32"/>
        </w:rPr>
        <w:t>13.3工程试车</w:t>
      </w:r>
    </w:p>
    <w:bookmarkEnd w:id="1153"/>
    <w:p w14:paraId="57ADFE24">
      <w:pPr>
        <w:spacing w:line="360" w:lineRule="auto"/>
        <w:ind w:firstLine="600" w:firstLineChars="200"/>
        <w:jc w:val="left"/>
        <w:rPr>
          <w:rFonts w:eastAsia="仿宋_GB2312"/>
          <w:kern w:val="0"/>
          <w:sz w:val="30"/>
          <w:szCs w:val="32"/>
        </w:rPr>
      </w:pPr>
      <w:r>
        <w:rPr>
          <w:rFonts w:eastAsia="仿宋_GB2312"/>
          <w:kern w:val="0"/>
          <w:sz w:val="30"/>
          <w:szCs w:val="32"/>
        </w:rPr>
        <w:t>13.3.1试车程序</w:t>
      </w:r>
    </w:p>
    <w:p w14:paraId="2D6AF1A6">
      <w:pPr>
        <w:spacing w:line="360" w:lineRule="auto"/>
        <w:ind w:firstLine="600" w:firstLineChars="200"/>
        <w:jc w:val="left"/>
        <w:rPr>
          <w:rFonts w:eastAsia="仿宋_GB2312"/>
          <w:kern w:val="0"/>
          <w:sz w:val="30"/>
          <w:szCs w:val="32"/>
        </w:rPr>
      </w:pPr>
      <w:r>
        <w:rPr>
          <w:rFonts w:eastAsia="仿宋_GB2312"/>
          <w:kern w:val="0"/>
          <w:sz w:val="30"/>
          <w:szCs w:val="32"/>
        </w:rPr>
        <w:t>工程试车内容：</w:t>
      </w:r>
      <w:r>
        <w:rPr>
          <w:rFonts w:eastAsia="仿宋_GB2312"/>
          <w:sz w:val="30"/>
          <w:szCs w:val="32"/>
          <w:u w:val="single"/>
        </w:rPr>
        <w:t xml:space="preserve"> </w:t>
      </w:r>
      <w:r>
        <w:rPr>
          <w:rFonts w:hint="eastAsia" w:eastAsia="仿宋_GB2312"/>
          <w:sz w:val="30"/>
          <w:szCs w:val="32"/>
          <w:u w:val="single"/>
        </w:rPr>
        <w:t>执行《通用合同条款》</w:t>
      </w:r>
      <w:r>
        <w:rPr>
          <w:rFonts w:eastAsia="仿宋_GB2312"/>
          <w:sz w:val="30"/>
          <w:szCs w:val="32"/>
          <w:u w:val="single"/>
        </w:rPr>
        <w:t xml:space="preserve"> </w:t>
      </w:r>
      <w:r>
        <w:rPr>
          <w:rFonts w:eastAsia="仿宋_GB2312"/>
          <w:sz w:val="30"/>
          <w:szCs w:val="32"/>
        </w:rPr>
        <w:t>。</w:t>
      </w:r>
    </w:p>
    <w:p w14:paraId="22C3646B">
      <w:pPr>
        <w:spacing w:line="360" w:lineRule="auto"/>
        <w:ind w:firstLine="600" w:firstLineChars="200"/>
        <w:jc w:val="left"/>
        <w:rPr>
          <w:rFonts w:eastAsia="仿宋_GB2312"/>
          <w:kern w:val="0"/>
          <w:sz w:val="30"/>
          <w:szCs w:val="32"/>
        </w:rPr>
      </w:pPr>
      <w:r>
        <w:rPr>
          <w:rFonts w:eastAsia="仿宋_GB2312"/>
          <w:kern w:val="0"/>
          <w:sz w:val="30"/>
          <w:szCs w:val="32"/>
        </w:rPr>
        <w:t>（1）单机无负荷试车费用由</w:t>
      </w:r>
      <w:r>
        <w:rPr>
          <w:rFonts w:eastAsia="仿宋_GB2312"/>
          <w:sz w:val="30"/>
          <w:szCs w:val="32"/>
          <w:u w:val="single"/>
        </w:rPr>
        <w:t xml:space="preserve">  </w:t>
      </w:r>
      <w:r>
        <w:rPr>
          <w:rFonts w:hint="eastAsia" w:eastAsia="仿宋_GB2312"/>
          <w:sz w:val="30"/>
          <w:szCs w:val="32"/>
          <w:u w:val="single"/>
        </w:rPr>
        <w:t>承包人</w:t>
      </w:r>
      <w:r>
        <w:rPr>
          <w:rFonts w:eastAsia="仿宋_GB2312"/>
          <w:sz w:val="30"/>
          <w:szCs w:val="32"/>
          <w:u w:val="single"/>
        </w:rPr>
        <w:t xml:space="preserve">  </w:t>
      </w:r>
      <w:r>
        <w:rPr>
          <w:rFonts w:eastAsia="仿宋_GB2312"/>
          <w:kern w:val="0"/>
          <w:sz w:val="30"/>
          <w:szCs w:val="32"/>
        </w:rPr>
        <w:t>承担；</w:t>
      </w:r>
    </w:p>
    <w:p w14:paraId="281E592F">
      <w:pPr>
        <w:spacing w:line="360" w:lineRule="auto"/>
        <w:ind w:firstLine="600" w:firstLineChars="200"/>
        <w:jc w:val="left"/>
        <w:rPr>
          <w:rFonts w:eastAsia="仿宋_GB2312"/>
          <w:kern w:val="0"/>
          <w:sz w:val="30"/>
          <w:szCs w:val="32"/>
        </w:rPr>
      </w:pPr>
      <w:r>
        <w:rPr>
          <w:rFonts w:eastAsia="仿宋_GB2312"/>
          <w:kern w:val="0"/>
          <w:sz w:val="30"/>
          <w:szCs w:val="32"/>
        </w:rPr>
        <w:t>（2）无负荷联动试车费用由</w:t>
      </w:r>
      <w:r>
        <w:rPr>
          <w:rFonts w:eastAsia="仿宋_GB2312"/>
          <w:sz w:val="30"/>
          <w:szCs w:val="32"/>
          <w:u w:val="single"/>
        </w:rPr>
        <w:t xml:space="preserve">  </w:t>
      </w:r>
      <w:r>
        <w:rPr>
          <w:rFonts w:hint="eastAsia" w:eastAsia="仿宋_GB2312"/>
          <w:sz w:val="30"/>
          <w:szCs w:val="32"/>
          <w:u w:val="single"/>
        </w:rPr>
        <w:t>承包人</w:t>
      </w:r>
      <w:r>
        <w:rPr>
          <w:rFonts w:eastAsia="仿宋_GB2312"/>
          <w:sz w:val="30"/>
          <w:szCs w:val="32"/>
          <w:u w:val="single"/>
        </w:rPr>
        <w:t xml:space="preserve">  </w:t>
      </w:r>
      <w:r>
        <w:rPr>
          <w:rFonts w:eastAsia="仿宋_GB2312"/>
          <w:kern w:val="0"/>
          <w:sz w:val="30"/>
          <w:szCs w:val="32"/>
        </w:rPr>
        <w:t>承担。</w:t>
      </w:r>
    </w:p>
    <w:p w14:paraId="595FC0A7">
      <w:pPr>
        <w:spacing w:line="360" w:lineRule="auto"/>
        <w:ind w:firstLine="600" w:firstLineChars="200"/>
        <w:jc w:val="left"/>
        <w:rPr>
          <w:rFonts w:eastAsia="仿宋_GB2312"/>
          <w:kern w:val="0"/>
          <w:sz w:val="30"/>
          <w:szCs w:val="32"/>
        </w:rPr>
      </w:pPr>
      <w:r>
        <w:rPr>
          <w:rFonts w:eastAsia="仿宋_GB2312"/>
          <w:kern w:val="0"/>
          <w:sz w:val="30"/>
          <w:szCs w:val="32"/>
        </w:rPr>
        <w:t>13.3.3投料试车</w:t>
      </w:r>
    </w:p>
    <w:p w14:paraId="74F2B402">
      <w:pPr>
        <w:spacing w:line="360" w:lineRule="auto"/>
        <w:ind w:firstLine="600" w:firstLineChars="200"/>
        <w:jc w:val="left"/>
        <w:rPr>
          <w:rFonts w:eastAsia="仿宋_GB2312"/>
          <w:kern w:val="0"/>
          <w:sz w:val="30"/>
          <w:szCs w:val="32"/>
        </w:rPr>
      </w:pPr>
      <w:r>
        <w:rPr>
          <w:rFonts w:hint="eastAsia" w:eastAsia="仿宋_GB2312"/>
          <w:kern w:val="0"/>
          <w:sz w:val="30"/>
          <w:szCs w:val="32"/>
        </w:rPr>
        <w:t>关于投料试车相关事项的约定：</w:t>
      </w:r>
      <w:r>
        <w:rPr>
          <w:rFonts w:hint="eastAsia" w:eastAsia="仿宋_GB2312"/>
          <w:sz w:val="30"/>
          <w:szCs w:val="32"/>
          <w:u w:val="single"/>
        </w:rPr>
        <w:t xml:space="preserve"> /</w:t>
      </w:r>
      <w:r>
        <w:rPr>
          <w:rFonts w:eastAsia="仿宋_GB2312"/>
          <w:sz w:val="30"/>
          <w:szCs w:val="32"/>
          <w:u w:val="single"/>
        </w:rPr>
        <w:t xml:space="preserve"> </w:t>
      </w:r>
      <w:r>
        <w:rPr>
          <w:rFonts w:eastAsia="仿宋_GB2312"/>
          <w:sz w:val="30"/>
          <w:szCs w:val="32"/>
        </w:rPr>
        <w:t>。</w:t>
      </w:r>
    </w:p>
    <w:p w14:paraId="6F91A236">
      <w:pPr>
        <w:spacing w:after="120" w:line="360" w:lineRule="auto"/>
        <w:ind w:firstLine="600" w:firstLineChars="200"/>
        <w:outlineLvl w:val="0"/>
        <w:rPr>
          <w:rFonts w:eastAsia="黑体"/>
          <w:sz w:val="30"/>
          <w:szCs w:val="32"/>
        </w:rPr>
      </w:pPr>
      <w:bookmarkStart w:id="1155" w:name="_Toc15785"/>
      <w:bookmarkStart w:id="1156" w:name="_Toc32012"/>
      <w:bookmarkStart w:id="1157" w:name="_Toc17965"/>
      <w:bookmarkStart w:id="1158" w:name="_Toc17415"/>
      <w:bookmarkStart w:id="1159" w:name="_Toc405"/>
      <w:r>
        <w:rPr>
          <w:rFonts w:eastAsia="黑体"/>
          <w:sz w:val="30"/>
          <w:szCs w:val="32"/>
        </w:rPr>
        <w:t>13.6竣工退场</w:t>
      </w:r>
      <w:bookmarkEnd w:id="1155"/>
      <w:bookmarkEnd w:id="1156"/>
      <w:bookmarkEnd w:id="1157"/>
      <w:bookmarkEnd w:id="1158"/>
      <w:bookmarkEnd w:id="1159"/>
    </w:p>
    <w:p w14:paraId="7286E14F">
      <w:pPr>
        <w:spacing w:line="360" w:lineRule="auto"/>
        <w:ind w:firstLine="600" w:firstLineChars="200"/>
        <w:jc w:val="left"/>
        <w:rPr>
          <w:rFonts w:eastAsia="仿宋_GB2312"/>
          <w:kern w:val="0"/>
          <w:sz w:val="30"/>
          <w:szCs w:val="32"/>
        </w:rPr>
      </w:pPr>
      <w:r>
        <w:rPr>
          <w:rFonts w:eastAsia="仿宋_GB2312"/>
          <w:kern w:val="0"/>
          <w:sz w:val="30"/>
          <w:szCs w:val="32"/>
        </w:rPr>
        <w:t>13.6.1竣工退场</w:t>
      </w:r>
    </w:p>
    <w:p w14:paraId="4E6FE011">
      <w:pPr>
        <w:spacing w:line="360" w:lineRule="auto"/>
        <w:ind w:firstLine="600" w:firstLineChars="200"/>
        <w:jc w:val="left"/>
        <w:rPr>
          <w:rFonts w:eastAsia="仿宋_GB2312"/>
          <w:kern w:val="0"/>
          <w:sz w:val="30"/>
          <w:szCs w:val="32"/>
        </w:rPr>
      </w:pPr>
      <w:r>
        <w:rPr>
          <w:rFonts w:eastAsia="仿宋_GB2312"/>
          <w:kern w:val="0"/>
          <w:sz w:val="30"/>
          <w:szCs w:val="32"/>
        </w:rPr>
        <w:t>承包人完成竣工退场的期限：</w:t>
      </w:r>
      <w:r>
        <w:rPr>
          <w:rFonts w:eastAsia="仿宋_GB2312"/>
          <w:sz w:val="30"/>
          <w:szCs w:val="32"/>
          <w:u w:val="single"/>
        </w:rPr>
        <w:t xml:space="preserve">  </w:t>
      </w:r>
      <w:r>
        <w:rPr>
          <w:rFonts w:hint="eastAsia" w:eastAsia="仿宋_GB2312"/>
          <w:sz w:val="30"/>
          <w:szCs w:val="32"/>
          <w:u w:val="single"/>
        </w:rPr>
        <w:t>工程移交完成后</w:t>
      </w:r>
      <w:r>
        <w:rPr>
          <w:rFonts w:eastAsia="仿宋_GB2312"/>
          <w:sz w:val="30"/>
          <w:szCs w:val="32"/>
          <w:u w:val="single"/>
        </w:rPr>
        <w:t>7</w:t>
      </w:r>
      <w:r>
        <w:rPr>
          <w:rFonts w:hint="eastAsia" w:eastAsia="仿宋_GB2312"/>
          <w:sz w:val="30"/>
          <w:szCs w:val="32"/>
          <w:u w:val="single"/>
        </w:rPr>
        <w:t>天内</w:t>
      </w:r>
      <w:r>
        <w:rPr>
          <w:rFonts w:eastAsia="仿宋_GB2312"/>
          <w:sz w:val="30"/>
          <w:szCs w:val="32"/>
          <w:u w:val="single"/>
        </w:rPr>
        <w:t xml:space="preserve"> </w:t>
      </w:r>
      <w:r>
        <w:rPr>
          <w:rFonts w:eastAsia="仿宋_GB2312"/>
          <w:kern w:val="0"/>
          <w:sz w:val="30"/>
          <w:szCs w:val="32"/>
        </w:rPr>
        <w:t>。</w:t>
      </w:r>
    </w:p>
    <w:p w14:paraId="13851205">
      <w:pPr>
        <w:pStyle w:val="8"/>
        <w:spacing w:before="120" w:after="120" w:line="360" w:lineRule="auto"/>
        <w:rPr>
          <w:rFonts w:ascii="Times New Roman" w:hAnsi="Times New Roman" w:eastAsia="黑体"/>
          <w:b w:val="0"/>
          <w:sz w:val="32"/>
          <w:szCs w:val="32"/>
        </w:rPr>
      </w:pPr>
      <w:bookmarkStart w:id="1160" w:name="_Toc351203646"/>
      <w:r>
        <w:rPr>
          <w:rFonts w:ascii="Times New Roman" w:hAnsi="Times New Roman" w:eastAsia="黑体"/>
          <w:b w:val="0"/>
          <w:sz w:val="32"/>
          <w:szCs w:val="32"/>
        </w:rPr>
        <w:t>14.竣工结算</w:t>
      </w:r>
      <w:bookmarkEnd w:id="1160"/>
    </w:p>
    <w:bookmarkEnd w:id="1142"/>
    <w:bookmarkEnd w:id="1143"/>
    <w:bookmarkEnd w:id="1144"/>
    <w:bookmarkEnd w:id="1145"/>
    <w:bookmarkEnd w:id="1146"/>
    <w:bookmarkEnd w:id="1147"/>
    <w:bookmarkEnd w:id="1148"/>
    <w:bookmarkEnd w:id="1154"/>
    <w:p w14:paraId="2EB4D330">
      <w:pPr>
        <w:spacing w:after="120" w:line="360" w:lineRule="auto"/>
        <w:ind w:firstLine="600" w:firstLineChars="200"/>
        <w:rPr>
          <w:rFonts w:eastAsia="黑体"/>
          <w:sz w:val="30"/>
          <w:szCs w:val="32"/>
        </w:rPr>
      </w:pPr>
      <w:bookmarkStart w:id="1161" w:name="_Toc351203647"/>
      <w:bookmarkStart w:id="1162" w:name="_Toc267251483"/>
      <w:bookmarkStart w:id="1163" w:name="_Toc267251484"/>
      <w:bookmarkStart w:id="1164" w:name="_Toc267251482"/>
      <w:bookmarkStart w:id="1165" w:name="_Toc267251485"/>
      <w:bookmarkStart w:id="1166" w:name="_Toc267251486"/>
      <w:bookmarkStart w:id="1167" w:name="_Toc267251488"/>
      <w:bookmarkStart w:id="1168" w:name="_Toc267251489"/>
      <w:bookmarkStart w:id="1169" w:name="_Toc267251490"/>
      <w:bookmarkStart w:id="1170" w:name="_Toc267251513"/>
      <w:bookmarkStart w:id="1171" w:name="_Toc267251507"/>
      <w:bookmarkStart w:id="1172" w:name="_Toc267251514"/>
      <w:bookmarkStart w:id="1173" w:name="_Toc267251502"/>
      <w:bookmarkStart w:id="1174" w:name="_Toc267251509"/>
      <w:bookmarkStart w:id="1175" w:name="_Toc267251493"/>
      <w:bookmarkStart w:id="1176" w:name="_Toc267251510"/>
      <w:bookmarkStart w:id="1177" w:name="_Toc267251491"/>
      <w:bookmarkStart w:id="1178" w:name="_Toc267251506"/>
      <w:bookmarkStart w:id="1179" w:name="_Toc267251492"/>
      <w:bookmarkStart w:id="1180" w:name="_Toc267251501"/>
      <w:bookmarkStart w:id="1181" w:name="_Toc267251494"/>
      <w:bookmarkStart w:id="1182" w:name="_Toc267251499"/>
      <w:bookmarkStart w:id="1183" w:name="_Toc267251515"/>
      <w:bookmarkStart w:id="1184" w:name="_Toc267251508"/>
      <w:bookmarkStart w:id="1185" w:name="_Toc267251497"/>
      <w:bookmarkStart w:id="1186" w:name="_Toc267251495"/>
      <w:bookmarkStart w:id="1187" w:name="_Toc267251511"/>
      <w:bookmarkStart w:id="1188" w:name="_Toc267251496"/>
      <w:bookmarkStart w:id="1189" w:name="_Toc267251498"/>
      <w:bookmarkStart w:id="1190" w:name="_Toc267251504"/>
      <w:bookmarkStart w:id="1191" w:name="_Toc267251503"/>
      <w:r>
        <w:rPr>
          <w:rFonts w:eastAsia="黑体"/>
          <w:sz w:val="30"/>
          <w:szCs w:val="32"/>
        </w:rPr>
        <w:t xml:space="preserve">14.1 </w:t>
      </w:r>
      <w:r>
        <w:rPr>
          <w:rFonts w:hint="eastAsia" w:eastAsia="黑体"/>
          <w:sz w:val="30"/>
          <w:szCs w:val="32"/>
        </w:rPr>
        <w:t>竣工结算申请</w:t>
      </w:r>
    </w:p>
    <w:p w14:paraId="78AA71AC">
      <w:pPr>
        <w:spacing w:line="360" w:lineRule="auto"/>
        <w:ind w:firstLine="600" w:firstLineChars="200"/>
        <w:rPr>
          <w:rFonts w:eastAsia="仿宋_GB2312"/>
          <w:sz w:val="30"/>
          <w:szCs w:val="32"/>
          <w:u w:val="single"/>
        </w:rPr>
      </w:pPr>
      <w:r>
        <w:rPr>
          <w:rFonts w:hint="eastAsia" w:eastAsia="仿宋_GB2312"/>
          <w:sz w:val="30"/>
          <w:szCs w:val="32"/>
        </w:rPr>
        <w:t>承包人提交竣工结算申请单的期限：</w:t>
      </w:r>
      <w:r>
        <w:rPr>
          <w:rFonts w:eastAsia="仿宋_GB2312"/>
          <w:sz w:val="30"/>
          <w:szCs w:val="32"/>
          <w:u w:val="single"/>
        </w:rPr>
        <w:t xml:space="preserve">  </w:t>
      </w:r>
      <w:r>
        <w:rPr>
          <w:rFonts w:hint="eastAsia" w:eastAsia="仿宋_GB2312"/>
          <w:sz w:val="30"/>
          <w:szCs w:val="32"/>
          <w:u w:val="single"/>
        </w:rPr>
        <w:t>工程竣工验收合格后30日内承包人应按照发包人《工程项目结算审计报审资料编制规范》，如实编制、申报并完成竣工结算资料的提交，承包人提交的竣工结算资料不符合发包人要求的，发包人有权退回，承包人应当按要求重新提交合格的竣工结算资料。逾期完成提交的，每逾期一天视情节严重情况承包人承担1000-5000元的违约金（前后违约条款金额不一致的，以标准高者为准），由此造成的工期延误及其他损失由承包人承担。</w:t>
      </w:r>
    </w:p>
    <w:p w14:paraId="7300ACE7">
      <w:pPr>
        <w:spacing w:line="360" w:lineRule="auto"/>
        <w:ind w:firstLine="600" w:firstLineChars="200"/>
        <w:jc w:val="left"/>
        <w:rPr>
          <w:rFonts w:eastAsia="仿宋_GB2312"/>
          <w:sz w:val="30"/>
          <w:szCs w:val="32"/>
        </w:rPr>
      </w:pPr>
      <w:r>
        <w:rPr>
          <w:rFonts w:hint="eastAsia" w:eastAsia="仿宋_GB2312"/>
          <w:sz w:val="30"/>
          <w:szCs w:val="32"/>
        </w:rPr>
        <w:t>竣工结算申请单应包括的内容：</w:t>
      </w:r>
      <w:r>
        <w:rPr>
          <w:rFonts w:eastAsia="仿宋_GB2312"/>
          <w:sz w:val="30"/>
          <w:szCs w:val="32"/>
          <w:u w:val="single"/>
        </w:rPr>
        <w:t xml:space="preserve">  </w:t>
      </w:r>
      <w:r>
        <w:rPr>
          <w:rFonts w:hint="eastAsia" w:eastAsia="仿宋_GB2312"/>
          <w:sz w:val="30"/>
          <w:szCs w:val="32"/>
          <w:u w:val="single"/>
        </w:rPr>
        <w:t>竣工结算书、竣工结算报审会签表、竣工图、施工合同、结算依据资料（包括但不限于图纸会审记录、设计变更、工作联系单、工程量签证、批价单、工期说明、监理总结、甲供材对账单、施工分界界面划分说明等）；资料份数：竣工图一套，其他原件一套，复印件一套。</w:t>
      </w:r>
    </w:p>
    <w:p w14:paraId="50D9239F">
      <w:pPr>
        <w:spacing w:after="120" w:line="360" w:lineRule="auto"/>
        <w:ind w:firstLine="600" w:firstLineChars="200"/>
        <w:rPr>
          <w:rFonts w:eastAsia="黑体"/>
          <w:sz w:val="30"/>
          <w:szCs w:val="32"/>
        </w:rPr>
      </w:pPr>
      <w:r>
        <w:rPr>
          <w:rFonts w:eastAsia="黑体"/>
          <w:sz w:val="30"/>
          <w:szCs w:val="32"/>
        </w:rPr>
        <w:t xml:space="preserve">14.2 </w:t>
      </w:r>
      <w:r>
        <w:rPr>
          <w:rFonts w:hint="eastAsia" w:eastAsia="黑体"/>
          <w:sz w:val="30"/>
          <w:szCs w:val="32"/>
        </w:rPr>
        <w:t>竣工结算审核</w:t>
      </w:r>
    </w:p>
    <w:p w14:paraId="6D5D0762">
      <w:pPr>
        <w:spacing w:line="360" w:lineRule="auto"/>
        <w:ind w:firstLine="600" w:firstLineChars="200"/>
        <w:rPr>
          <w:rFonts w:eastAsia="仿宋_GB2312"/>
          <w:sz w:val="30"/>
          <w:szCs w:val="32"/>
          <w:u w:val="single"/>
        </w:rPr>
      </w:pPr>
      <w:r>
        <w:rPr>
          <w:rFonts w:hint="eastAsia" w:eastAsia="仿宋_GB2312"/>
          <w:sz w:val="30"/>
          <w:szCs w:val="32"/>
          <w:u w:val="single"/>
        </w:rPr>
        <w:t>发包人应在收到提交的经审核的竣工结算申请单及结算资料并移交发包人审计机构进入结算审计程序后，</w:t>
      </w:r>
      <w:r>
        <w:rPr>
          <w:rFonts w:eastAsia="仿宋_GB2312"/>
          <w:sz w:val="30"/>
          <w:szCs w:val="32"/>
          <w:u w:val="single"/>
        </w:rPr>
        <w:t>120</w:t>
      </w:r>
      <w:r>
        <w:rPr>
          <w:rFonts w:hint="eastAsia" w:eastAsia="仿宋_GB2312"/>
          <w:sz w:val="30"/>
          <w:szCs w:val="32"/>
          <w:u w:val="single"/>
        </w:rPr>
        <w:t>天内给予确认或提出意见。在结算审计过程中，承包人负责积极配合工程审计单位开展工作，由于结算资料不齐全中需要提供证明文明或者补充相关资料，承包人在收到发包人的通知后需在</w:t>
      </w:r>
      <w:r>
        <w:rPr>
          <w:rFonts w:eastAsia="仿宋_GB2312"/>
          <w:sz w:val="30"/>
          <w:szCs w:val="32"/>
          <w:u w:val="single"/>
        </w:rPr>
        <w:t>5</w:t>
      </w:r>
      <w:r>
        <w:rPr>
          <w:rFonts w:hint="eastAsia" w:eastAsia="仿宋_GB2312"/>
          <w:sz w:val="30"/>
          <w:szCs w:val="32"/>
          <w:u w:val="single"/>
        </w:rPr>
        <w:t>个工作日内完成提交补充资料，逾期可申请延期，最长不超过</w:t>
      </w:r>
      <w:r>
        <w:rPr>
          <w:rFonts w:eastAsia="仿宋_GB2312"/>
          <w:sz w:val="30"/>
          <w:szCs w:val="32"/>
          <w:u w:val="single"/>
        </w:rPr>
        <w:t>5</w:t>
      </w:r>
      <w:r>
        <w:rPr>
          <w:rFonts w:hint="eastAsia" w:eastAsia="仿宋_GB2312"/>
          <w:sz w:val="30"/>
          <w:szCs w:val="32"/>
          <w:u w:val="single"/>
        </w:rPr>
        <w:t>天。如果再次逾期，则视为承包人放弃诉求，将以利于发包人的原则处理，承包人须无条件认可最终审计结果。由于承包人补充资料不及时造成的竣工结算审批期限延期的，由承包人承担一切损失和后果。</w:t>
      </w:r>
    </w:p>
    <w:p w14:paraId="704DC904">
      <w:pPr>
        <w:spacing w:line="360" w:lineRule="auto"/>
        <w:ind w:firstLine="600" w:firstLineChars="200"/>
        <w:jc w:val="left"/>
        <w:rPr>
          <w:rFonts w:eastAsia="仿宋_GB2312"/>
          <w:kern w:val="0"/>
          <w:sz w:val="30"/>
          <w:szCs w:val="32"/>
          <w:u w:val="single"/>
        </w:rPr>
      </w:pPr>
      <w:r>
        <w:rPr>
          <w:rFonts w:hint="eastAsia" w:eastAsia="仿宋_GB2312"/>
          <w:sz w:val="30"/>
          <w:szCs w:val="32"/>
        </w:rPr>
        <w:t>发包人审批竣工付款申请单的期限：</w:t>
      </w:r>
      <w:r>
        <w:rPr>
          <w:rFonts w:eastAsia="仿宋_GB2312"/>
          <w:sz w:val="30"/>
          <w:szCs w:val="32"/>
          <w:u w:val="single"/>
        </w:rPr>
        <w:t xml:space="preserve"> </w:t>
      </w:r>
      <w:r>
        <w:rPr>
          <w:rFonts w:eastAsia="仿宋_GB2312"/>
          <w:kern w:val="0"/>
          <w:sz w:val="30"/>
          <w:szCs w:val="32"/>
          <w:u w:val="single"/>
        </w:rPr>
        <w:t xml:space="preserve"> </w:t>
      </w:r>
      <w:r>
        <w:rPr>
          <w:rFonts w:hint="eastAsia" w:eastAsia="仿宋_GB2312"/>
          <w:kern w:val="0"/>
          <w:sz w:val="30"/>
          <w:szCs w:val="32"/>
          <w:u w:val="single"/>
        </w:rPr>
        <w:t>竣工结算经发包人审核完成，并承包人将竣工付款申请单提交发包人后，发包人</w:t>
      </w:r>
      <w:r>
        <w:rPr>
          <w:rFonts w:eastAsia="仿宋_GB2312"/>
          <w:kern w:val="0"/>
          <w:sz w:val="30"/>
          <w:szCs w:val="32"/>
          <w:u w:val="single"/>
        </w:rPr>
        <w:t>28</w:t>
      </w:r>
      <w:r>
        <w:rPr>
          <w:rFonts w:hint="eastAsia" w:eastAsia="仿宋_GB2312"/>
          <w:kern w:val="0"/>
          <w:sz w:val="30"/>
          <w:szCs w:val="32"/>
          <w:u w:val="single"/>
        </w:rPr>
        <w:t>天内完成审批。</w:t>
      </w:r>
    </w:p>
    <w:p w14:paraId="5C8A61B8">
      <w:pPr>
        <w:spacing w:line="360" w:lineRule="auto"/>
        <w:ind w:firstLine="600" w:firstLineChars="200"/>
        <w:jc w:val="left"/>
        <w:rPr>
          <w:rFonts w:eastAsia="仿宋_GB2312"/>
          <w:sz w:val="30"/>
          <w:szCs w:val="32"/>
        </w:rPr>
      </w:pPr>
      <w:r>
        <w:rPr>
          <w:rFonts w:hint="eastAsia" w:eastAsia="仿宋_GB2312"/>
          <w:sz w:val="30"/>
          <w:szCs w:val="32"/>
        </w:rPr>
        <w:t>发包人完成竣工付款的期限：</w:t>
      </w:r>
      <w:r>
        <w:rPr>
          <w:rFonts w:eastAsia="仿宋_GB2312"/>
          <w:sz w:val="30"/>
          <w:szCs w:val="32"/>
          <w:u w:val="single"/>
        </w:rPr>
        <w:t xml:space="preserve">  </w:t>
      </w:r>
      <w:r>
        <w:rPr>
          <w:rFonts w:hint="eastAsia" w:eastAsia="仿宋_GB2312"/>
          <w:sz w:val="30"/>
          <w:szCs w:val="32"/>
          <w:u w:val="single"/>
        </w:rPr>
        <w:t>竣工付款申请审批后</w:t>
      </w:r>
      <w:r>
        <w:rPr>
          <w:rFonts w:eastAsia="仿宋_GB2312"/>
          <w:sz w:val="30"/>
          <w:szCs w:val="32"/>
          <w:u w:val="single"/>
        </w:rPr>
        <w:t>28</w:t>
      </w:r>
      <w:r>
        <w:rPr>
          <w:rFonts w:hint="eastAsia" w:eastAsia="仿宋_GB2312"/>
          <w:sz w:val="30"/>
          <w:szCs w:val="32"/>
          <w:u w:val="single"/>
        </w:rPr>
        <w:t>天内</w:t>
      </w:r>
      <w:r>
        <w:rPr>
          <w:rFonts w:hint="eastAsia" w:eastAsia="仿宋_GB2312"/>
          <w:kern w:val="0"/>
          <w:sz w:val="30"/>
          <w:szCs w:val="32"/>
          <w:u w:val="single"/>
        </w:rPr>
        <w:t>支付</w:t>
      </w:r>
      <w:r>
        <w:rPr>
          <w:rFonts w:eastAsia="仿宋_GB2312"/>
          <w:sz w:val="30"/>
          <w:szCs w:val="32"/>
          <w:u w:val="single"/>
        </w:rPr>
        <w:t xml:space="preserve">  </w:t>
      </w:r>
      <w:r>
        <w:rPr>
          <w:rFonts w:hint="eastAsia" w:eastAsia="仿宋_GB2312"/>
          <w:sz w:val="30"/>
          <w:szCs w:val="32"/>
        </w:rPr>
        <w:t>。</w:t>
      </w:r>
    </w:p>
    <w:p w14:paraId="2BAB375D">
      <w:pPr>
        <w:spacing w:line="360" w:lineRule="auto"/>
        <w:ind w:firstLine="600" w:firstLineChars="200"/>
        <w:jc w:val="left"/>
        <w:rPr>
          <w:rFonts w:eastAsia="仿宋_GB2312"/>
          <w:sz w:val="30"/>
          <w:szCs w:val="32"/>
        </w:rPr>
      </w:pPr>
      <w:r>
        <w:rPr>
          <w:rFonts w:hint="eastAsia" w:eastAsia="仿宋_GB2312"/>
          <w:sz w:val="30"/>
          <w:szCs w:val="32"/>
        </w:rPr>
        <w:t>关于竣工付款证书异议部分复核的方式和程序：</w:t>
      </w:r>
      <w:r>
        <w:rPr>
          <w:rFonts w:eastAsia="仿宋_GB2312"/>
          <w:sz w:val="30"/>
          <w:szCs w:val="32"/>
          <w:u w:val="single"/>
        </w:rPr>
        <w:t xml:space="preserve"> </w:t>
      </w:r>
      <w:r>
        <w:rPr>
          <w:rFonts w:hint="eastAsia" w:eastAsia="仿宋_GB2312"/>
          <w:color w:val="000000"/>
          <w:sz w:val="30"/>
          <w:szCs w:val="32"/>
          <w:u w:val="single"/>
        </w:rPr>
        <w:t>执行《通用合同条款》</w:t>
      </w:r>
      <w:r>
        <w:rPr>
          <w:rFonts w:eastAsia="仿宋_GB2312"/>
          <w:sz w:val="30"/>
          <w:szCs w:val="32"/>
          <w:u w:val="single"/>
        </w:rPr>
        <w:t xml:space="preserve"> </w:t>
      </w:r>
      <w:r>
        <w:rPr>
          <w:rFonts w:hint="eastAsia" w:eastAsia="仿宋_GB2312"/>
          <w:sz w:val="30"/>
          <w:szCs w:val="32"/>
        </w:rPr>
        <w:t>。</w:t>
      </w:r>
    </w:p>
    <w:p w14:paraId="05E51D1C">
      <w:pPr>
        <w:spacing w:after="120" w:line="360" w:lineRule="auto"/>
        <w:ind w:firstLine="600" w:firstLineChars="200"/>
        <w:rPr>
          <w:rFonts w:eastAsia="黑体"/>
          <w:sz w:val="30"/>
          <w:szCs w:val="32"/>
        </w:rPr>
      </w:pPr>
      <w:r>
        <w:rPr>
          <w:rFonts w:eastAsia="黑体"/>
          <w:sz w:val="30"/>
          <w:szCs w:val="32"/>
        </w:rPr>
        <w:t xml:space="preserve">14.4 </w:t>
      </w:r>
      <w:r>
        <w:rPr>
          <w:rFonts w:hint="eastAsia" w:eastAsia="黑体"/>
          <w:sz w:val="30"/>
          <w:szCs w:val="32"/>
        </w:rPr>
        <w:t>最终结清</w:t>
      </w:r>
    </w:p>
    <w:p w14:paraId="4F45B613">
      <w:pPr>
        <w:spacing w:line="360" w:lineRule="auto"/>
        <w:ind w:firstLine="600" w:firstLineChars="200"/>
        <w:jc w:val="left"/>
        <w:rPr>
          <w:rFonts w:eastAsia="仿宋_GB2312"/>
          <w:kern w:val="0"/>
          <w:sz w:val="30"/>
          <w:szCs w:val="32"/>
        </w:rPr>
      </w:pPr>
      <w:r>
        <w:rPr>
          <w:rFonts w:eastAsia="仿宋_GB2312"/>
          <w:kern w:val="0"/>
          <w:sz w:val="30"/>
          <w:szCs w:val="32"/>
        </w:rPr>
        <w:t xml:space="preserve">14.4.1 </w:t>
      </w:r>
      <w:r>
        <w:rPr>
          <w:rFonts w:hint="eastAsia" w:eastAsia="仿宋_GB2312"/>
          <w:kern w:val="0"/>
          <w:sz w:val="30"/>
          <w:szCs w:val="32"/>
        </w:rPr>
        <w:t>最终结清申请单</w:t>
      </w:r>
    </w:p>
    <w:p w14:paraId="41A917D3">
      <w:pPr>
        <w:spacing w:line="360" w:lineRule="auto"/>
        <w:ind w:firstLine="600" w:firstLineChars="200"/>
        <w:jc w:val="left"/>
        <w:rPr>
          <w:rFonts w:eastAsia="仿宋_GB2312"/>
          <w:kern w:val="0"/>
          <w:sz w:val="30"/>
          <w:szCs w:val="32"/>
        </w:rPr>
      </w:pPr>
      <w:r>
        <w:rPr>
          <w:rFonts w:hint="eastAsia" w:eastAsia="仿宋_GB2312"/>
          <w:kern w:val="0"/>
          <w:sz w:val="30"/>
          <w:szCs w:val="32"/>
        </w:rPr>
        <w:t>承包人提交最终结清申请单的份数：</w:t>
      </w:r>
      <w:r>
        <w:rPr>
          <w:rFonts w:eastAsia="仿宋_GB2312"/>
          <w:sz w:val="30"/>
          <w:szCs w:val="32"/>
          <w:u w:val="single"/>
        </w:rPr>
        <w:t xml:space="preserve"> </w:t>
      </w:r>
      <w:r>
        <w:rPr>
          <w:rFonts w:hint="eastAsia" w:eastAsia="仿宋_GB2312"/>
          <w:sz w:val="30"/>
          <w:szCs w:val="32"/>
          <w:u w:val="single"/>
        </w:rPr>
        <w:t>三份</w:t>
      </w:r>
      <w:r>
        <w:rPr>
          <w:rFonts w:eastAsia="仿宋_GB2312"/>
          <w:sz w:val="30"/>
          <w:szCs w:val="32"/>
          <w:u w:val="single"/>
        </w:rPr>
        <w:t xml:space="preserve"> </w:t>
      </w:r>
      <w:r>
        <w:rPr>
          <w:rFonts w:hint="eastAsia" w:eastAsia="仿宋_GB2312"/>
          <w:sz w:val="30"/>
          <w:szCs w:val="32"/>
          <w:u w:val="single"/>
        </w:rPr>
        <w:t>或按发包人要求</w:t>
      </w:r>
      <w:r>
        <w:rPr>
          <w:rFonts w:eastAsia="仿宋_GB2312"/>
          <w:sz w:val="30"/>
          <w:szCs w:val="32"/>
          <w:u w:val="single"/>
        </w:rPr>
        <w:t xml:space="preserve">  </w:t>
      </w:r>
      <w:r>
        <w:rPr>
          <w:rFonts w:hint="eastAsia" w:eastAsia="仿宋_GB2312"/>
          <w:sz w:val="30"/>
          <w:szCs w:val="32"/>
        </w:rPr>
        <w:t>。</w:t>
      </w:r>
    </w:p>
    <w:p w14:paraId="119E4E48">
      <w:pPr>
        <w:spacing w:line="360" w:lineRule="auto"/>
        <w:ind w:firstLine="600" w:firstLineChars="200"/>
        <w:jc w:val="left"/>
        <w:rPr>
          <w:rFonts w:eastAsia="仿宋_GB2312"/>
          <w:sz w:val="30"/>
          <w:szCs w:val="32"/>
        </w:rPr>
      </w:pPr>
      <w:r>
        <w:rPr>
          <w:rFonts w:hint="eastAsia" w:eastAsia="仿宋_GB2312"/>
          <w:kern w:val="0"/>
          <w:sz w:val="30"/>
          <w:szCs w:val="32"/>
        </w:rPr>
        <w:t>承包人提交最终结算申请单的期限：</w:t>
      </w:r>
      <w:r>
        <w:rPr>
          <w:rFonts w:eastAsia="仿宋_GB2312"/>
          <w:sz w:val="30"/>
          <w:szCs w:val="32"/>
          <w:u w:val="single"/>
        </w:rPr>
        <w:t xml:space="preserve">   </w:t>
      </w:r>
      <w:r>
        <w:rPr>
          <w:rFonts w:hint="eastAsia" w:eastAsia="仿宋_GB2312"/>
          <w:color w:val="000000"/>
          <w:sz w:val="30"/>
          <w:szCs w:val="32"/>
          <w:u w:val="single"/>
        </w:rPr>
        <w:t>执行《通用合同条款》</w:t>
      </w:r>
      <w:r>
        <w:rPr>
          <w:rFonts w:eastAsia="仿宋_GB2312"/>
          <w:sz w:val="30"/>
          <w:szCs w:val="32"/>
          <w:u w:val="single"/>
        </w:rPr>
        <w:t xml:space="preserve">     </w:t>
      </w:r>
      <w:r>
        <w:rPr>
          <w:rFonts w:hint="eastAsia" w:eastAsia="仿宋_GB2312"/>
          <w:sz w:val="30"/>
          <w:szCs w:val="32"/>
        </w:rPr>
        <w:t>。</w:t>
      </w:r>
      <w:r>
        <w:rPr>
          <w:rFonts w:eastAsia="仿宋_GB2312"/>
          <w:sz w:val="30"/>
          <w:szCs w:val="32"/>
        </w:rPr>
        <w:t xml:space="preserve"> </w:t>
      </w:r>
    </w:p>
    <w:p w14:paraId="67A6202D">
      <w:pPr>
        <w:spacing w:line="360" w:lineRule="auto"/>
        <w:ind w:firstLine="600" w:firstLineChars="200"/>
        <w:jc w:val="left"/>
        <w:rPr>
          <w:rFonts w:eastAsia="仿宋_GB2312"/>
          <w:sz w:val="30"/>
          <w:szCs w:val="32"/>
        </w:rPr>
      </w:pPr>
      <w:r>
        <w:rPr>
          <w:rFonts w:eastAsia="仿宋_GB2312"/>
          <w:sz w:val="30"/>
          <w:szCs w:val="32"/>
        </w:rPr>
        <w:t xml:space="preserve">14.4.2 </w:t>
      </w:r>
      <w:r>
        <w:rPr>
          <w:rFonts w:hint="eastAsia" w:eastAsia="仿宋_GB2312"/>
          <w:sz w:val="30"/>
          <w:szCs w:val="32"/>
        </w:rPr>
        <w:t>最终结清证书和支付</w:t>
      </w:r>
    </w:p>
    <w:p w14:paraId="1F45EA68">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1</w:t>
      </w:r>
      <w:r>
        <w:rPr>
          <w:rFonts w:hint="eastAsia" w:eastAsia="仿宋_GB2312"/>
          <w:sz w:val="30"/>
          <w:szCs w:val="32"/>
        </w:rPr>
        <w:t>）发包人完成最终结清申请单的审批并颁发最终结清证书的期限：</w:t>
      </w:r>
      <w:r>
        <w:rPr>
          <w:rFonts w:eastAsia="仿宋_GB2312"/>
          <w:sz w:val="30"/>
          <w:szCs w:val="32"/>
          <w:u w:val="single"/>
        </w:rPr>
        <w:t xml:space="preserve">   28</w:t>
      </w:r>
      <w:r>
        <w:rPr>
          <w:rFonts w:hint="eastAsia" w:eastAsia="仿宋_GB2312"/>
          <w:sz w:val="30"/>
          <w:szCs w:val="32"/>
          <w:u w:val="single"/>
        </w:rPr>
        <w:t>天</w:t>
      </w:r>
      <w:r>
        <w:rPr>
          <w:rFonts w:eastAsia="仿宋_GB2312"/>
          <w:sz w:val="30"/>
          <w:szCs w:val="32"/>
          <w:u w:val="single"/>
        </w:rPr>
        <w:t xml:space="preserve">  </w:t>
      </w:r>
      <w:r>
        <w:rPr>
          <w:rFonts w:hint="eastAsia" w:eastAsia="仿宋_GB2312"/>
          <w:sz w:val="30"/>
          <w:szCs w:val="32"/>
        </w:rPr>
        <w:t>。</w:t>
      </w:r>
    </w:p>
    <w:p w14:paraId="6AAEDAF6">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2</w:t>
      </w:r>
      <w:r>
        <w:rPr>
          <w:rFonts w:hint="eastAsia" w:eastAsia="仿宋_GB2312"/>
          <w:sz w:val="30"/>
          <w:szCs w:val="32"/>
        </w:rPr>
        <w:t>）发包人完成支付的期限：</w:t>
      </w:r>
      <w:r>
        <w:rPr>
          <w:rFonts w:eastAsia="仿宋_GB2312"/>
          <w:sz w:val="30"/>
          <w:szCs w:val="32"/>
          <w:u w:val="single"/>
        </w:rPr>
        <w:t xml:space="preserve">  28</w:t>
      </w:r>
      <w:r>
        <w:rPr>
          <w:rFonts w:hint="eastAsia" w:eastAsia="仿宋_GB2312"/>
          <w:sz w:val="30"/>
          <w:szCs w:val="32"/>
          <w:u w:val="single"/>
        </w:rPr>
        <w:t>天</w:t>
      </w:r>
      <w:r>
        <w:rPr>
          <w:rFonts w:eastAsia="仿宋_GB2312"/>
          <w:sz w:val="30"/>
          <w:szCs w:val="32"/>
          <w:u w:val="single"/>
        </w:rPr>
        <w:t xml:space="preserve"> </w:t>
      </w:r>
      <w:r>
        <w:rPr>
          <w:rFonts w:hint="eastAsia" w:eastAsia="仿宋_GB2312"/>
          <w:sz w:val="30"/>
          <w:szCs w:val="32"/>
        </w:rPr>
        <w:t>。</w:t>
      </w:r>
    </w:p>
    <w:p w14:paraId="38C23537">
      <w:pPr>
        <w:pStyle w:val="8"/>
        <w:spacing w:before="120" w:after="120" w:line="360" w:lineRule="auto"/>
        <w:rPr>
          <w:rFonts w:ascii="Times New Roman" w:hAnsi="Times New Roman" w:eastAsia="黑体"/>
          <w:b w:val="0"/>
          <w:sz w:val="32"/>
          <w:szCs w:val="32"/>
        </w:rPr>
      </w:pPr>
      <w:r>
        <w:rPr>
          <w:rFonts w:ascii="Times New Roman" w:hAnsi="Times New Roman" w:eastAsia="黑体"/>
          <w:b w:val="0"/>
          <w:sz w:val="32"/>
          <w:szCs w:val="32"/>
        </w:rPr>
        <w:t>15.缺陷责任期与保修</w:t>
      </w:r>
      <w:bookmarkEnd w:id="1161"/>
    </w:p>
    <w:p w14:paraId="55D19040">
      <w:pPr>
        <w:spacing w:after="120" w:line="360" w:lineRule="auto"/>
        <w:ind w:firstLine="600" w:firstLineChars="200"/>
        <w:rPr>
          <w:rFonts w:eastAsia="黑体"/>
          <w:sz w:val="30"/>
          <w:szCs w:val="32"/>
        </w:rPr>
      </w:pPr>
      <w:r>
        <w:rPr>
          <w:rFonts w:eastAsia="黑体"/>
          <w:sz w:val="30"/>
          <w:szCs w:val="32"/>
        </w:rPr>
        <w:t>15.2缺陷责任期</w:t>
      </w:r>
      <w:bookmarkEnd w:id="1162"/>
    </w:p>
    <w:p w14:paraId="2F144FC9">
      <w:pPr>
        <w:spacing w:line="360" w:lineRule="auto"/>
        <w:ind w:firstLine="600" w:firstLineChars="200"/>
        <w:jc w:val="left"/>
        <w:rPr>
          <w:rFonts w:eastAsia="仿宋_GB2312"/>
          <w:sz w:val="30"/>
          <w:szCs w:val="32"/>
        </w:rPr>
      </w:pPr>
      <w:r>
        <w:rPr>
          <w:rFonts w:eastAsia="仿宋_GB2312"/>
          <w:sz w:val="30"/>
          <w:szCs w:val="32"/>
        </w:rPr>
        <w:t>缺陷责任期的具体期限：</w:t>
      </w:r>
      <w:r>
        <w:rPr>
          <w:rFonts w:eastAsia="仿宋_GB2312"/>
          <w:sz w:val="30"/>
          <w:szCs w:val="32"/>
          <w:u w:val="single"/>
        </w:rPr>
        <w:t xml:space="preserve"> </w:t>
      </w:r>
      <w:r>
        <w:rPr>
          <w:rFonts w:hint="eastAsia" w:eastAsia="仿宋_GB2312"/>
          <w:sz w:val="30"/>
          <w:szCs w:val="32"/>
          <w:u w:val="single"/>
        </w:rPr>
        <w:t>执行附件3《工程质量保修书》</w:t>
      </w:r>
      <w:r>
        <w:rPr>
          <w:rFonts w:eastAsia="仿宋_GB2312"/>
          <w:sz w:val="30"/>
          <w:szCs w:val="32"/>
          <w:u w:val="single"/>
        </w:rPr>
        <w:t xml:space="preserve">  </w:t>
      </w:r>
      <w:r>
        <w:rPr>
          <w:rFonts w:eastAsia="仿宋_GB2312"/>
          <w:sz w:val="30"/>
          <w:szCs w:val="32"/>
        </w:rPr>
        <w:t>。</w:t>
      </w:r>
    </w:p>
    <w:p w14:paraId="1EC8EECB">
      <w:pPr>
        <w:spacing w:after="120" w:line="360" w:lineRule="auto"/>
        <w:ind w:firstLine="600" w:firstLineChars="200"/>
        <w:outlineLvl w:val="0"/>
        <w:rPr>
          <w:rFonts w:eastAsia="黑体"/>
          <w:sz w:val="30"/>
          <w:szCs w:val="32"/>
        </w:rPr>
      </w:pPr>
      <w:bookmarkStart w:id="1192" w:name="_Toc21650"/>
      <w:bookmarkStart w:id="1193" w:name="_Toc6303"/>
      <w:bookmarkStart w:id="1194" w:name="_Toc27455"/>
      <w:bookmarkStart w:id="1195" w:name="_Toc28772"/>
      <w:bookmarkStart w:id="1196" w:name="_Toc29335"/>
      <w:r>
        <w:rPr>
          <w:rFonts w:eastAsia="黑体"/>
          <w:sz w:val="30"/>
          <w:szCs w:val="32"/>
        </w:rPr>
        <w:t>15.3质量保证金</w:t>
      </w:r>
      <w:bookmarkEnd w:id="1192"/>
      <w:bookmarkEnd w:id="1193"/>
      <w:bookmarkEnd w:id="1194"/>
      <w:bookmarkEnd w:id="1195"/>
      <w:bookmarkEnd w:id="1196"/>
    </w:p>
    <w:p w14:paraId="562FCEC2">
      <w:pPr>
        <w:spacing w:line="360" w:lineRule="auto"/>
        <w:ind w:firstLine="600" w:firstLineChars="200"/>
        <w:jc w:val="left"/>
        <w:rPr>
          <w:rFonts w:eastAsia="仿宋_GB2312"/>
          <w:sz w:val="30"/>
          <w:szCs w:val="32"/>
        </w:rPr>
      </w:pPr>
      <w:r>
        <w:rPr>
          <w:rFonts w:hint="eastAsia" w:eastAsia="仿宋_GB2312"/>
          <w:sz w:val="30"/>
          <w:szCs w:val="32"/>
        </w:rPr>
        <w:t>关于是否扣留质量保证金的约定：</w:t>
      </w:r>
      <w:r>
        <w:rPr>
          <w:rFonts w:eastAsia="仿宋_GB2312"/>
          <w:sz w:val="30"/>
          <w:szCs w:val="32"/>
          <w:u w:val="single"/>
        </w:rPr>
        <w:t xml:space="preserve">  </w:t>
      </w:r>
      <w:r>
        <w:rPr>
          <w:rFonts w:hint="eastAsia" w:eastAsia="仿宋_GB2312"/>
          <w:sz w:val="30"/>
          <w:szCs w:val="32"/>
          <w:u w:val="single"/>
        </w:rPr>
        <w:t>是</w:t>
      </w:r>
      <w:r>
        <w:rPr>
          <w:rFonts w:eastAsia="仿宋_GB2312"/>
          <w:sz w:val="30"/>
          <w:szCs w:val="32"/>
          <w:u w:val="single"/>
        </w:rPr>
        <w:t xml:space="preserve">  </w:t>
      </w:r>
      <w:r>
        <w:rPr>
          <w:rFonts w:eastAsia="仿宋_GB2312"/>
          <w:sz w:val="30"/>
          <w:szCs w:val="32"/>
        </w:rPr>
        <w:t>。</w:t>
      </w:r>
      <w:r>
        <w:rPr>
          <w:rFonts w:hint="eastAsia" w:eastAsia="仿宋_GB2312"/>
          <w:sz w:val="30"/>
          <w:szCs w:val="32"/>
        </w:rPr>
        <w:t>在工程项目竣工前，承包人按专用合同条款第3.7条提供履约担保的，发包人不得同时预留工程质量保证金。</w:t>
      </w:r>
    </w:p>
    <w:p w14:paraId="0C1A5612">
      <w:pPr>
        <w:spacing w:line="360" w:lineRule="auto"/>
        <w:ind w:firstLine="600" w:firstLineChars="200"/>
        <w:jc w:val="left"/>
        <w:outlineLvl w:val="0"/>
        <w:rPr>
          <w:rFonts w:eastAsia="仿宋_GB2312"/>
          <w:sz w:val="30"/>
          <w:szCs w:val="32"/>
        </w:rPr>
      </w:pPr>
      <w:bookmarkStart w:id="1197" w:name="_Toc3922"/>
      <w:bookmarkStart w:id="1198" w:name="_Toc14463"/>
      <w:bookmarkStart w:id="1199" w:name="_Toc3053"/>
      <w:bookmarkStart w:id="1200" w:name="_Toc2892"/>
      <w:bookmarkStart w:id="1201" w:name="_Toc18739"/>
      <w:r>
        <w:rPr>
          <w:rFonts w:eastAsia="仿宋_GB2312"/>
          <w:sz w:val="30"/>
          <w:szCs w:val="32"/>
        </w:rPr>
        <w:t>15.3.1</w:t>
      </w:r>
      <w:r>
        <w:rPr>
          <w:rFonts w:hint="eastAsia" w:eastAsia="仿宋_GB2312"/>
          <w:sz w:val="30"/>
          <w:szCs w:val="32"/>
        </w:rPr>
        <w:t>承包人提供</w:t>
      </w:r>
      <w:r>
        <w:rPr>
          <w:rFonts w:eastAsia="仿宋_GB2312"/>
          <w:sz w:val="30"/>
          <w:szCs w:val="32"/>
        </w:rPr>
        <w:t>质量保证金的</w:t>
      </w:r>
      <w:r>
        <w:rPr>
          <w:rFonts w:hint="eastAsia" w:eastAsia="仿宋_GB2312"/>
          <w:sz w:val="30"/>
          <w:szCs w:val="32"/>
        </w:rPr>
        <w:t>方</w:t>
      </w:r>
      <w:r>
        <w:rPr>
          <w:rFonts w:eastAsia="仿宋_GB2312"/>
          <w:sz w:val="30"/>
          <w:szCs w:val="32"/>
        </w:rPr>
        <w:t>式</w:t>
      </w:r>
      <w:bookmarkEnd w:id="1197"/>
      <w:bookmarkEnd w:id="1198"/>
      <w:bookmarkEnd w:id="1199"/>
      <w:bookmarkEnd w:id="1200"/>
      <w:bookmarkEnd w:id="1201"/>
    </w:p>
    <w:p w14:paraId="57FD8450">
      <w:pPr>
        <w:spacing w:line="360" w:lineRule="auto"/>
        <w:ind w:firstLine="600" w:firstLineChars="200"/>
        <w:jc w:val="left"/>
        <w:rPr>
          <w:rFonts w:eastAsia="仿宋_GB2312"/>
          <w:sz w:val="30"/>
          <w:szCs w:val="32"/>
        </w:rPr>
      </w:pPr>
      <w:r>
        <w:rPr>
          <w:rFonts w:eastAsia="仿宋_GB2312"/>
          <w:sz w:val="30"/>
          <w:szCs w:val="32"/>
        </w:rPr>
        <w:t>质量保证金采用以下第</w:t>
      </w:r>
      <w:r>
        <w:rPr>
          <w:rFonts w:eastAsia="仿宋_GB2312"/>
          <w:sz w:val="30"/>
          <w:szCs w:val="32"/>
          <w:u w:val="single"/>
        </w:rPr>
        <w:t xml:space="preserve"> </w:t>
      </w:r>
      <w:r>
        <w:rPr>
          <w:rFonts w:hint="eastAsia" w:eastAsia="仿宋_GB2312"/>
          <w:sz w:val="30"/>
          <w:szCs w:val="32"/>
          <w:u w:val="single"/>
        </w:rPr>
        <w:t xml:space="preserve"> 2 </w:t>
      </w:r>
      <w:r>
        <w:rPr>
          <w:rFonts w:eastAsia="仿宋_GB2312"/>
          <w:sz w:val="30"/>
          <w:szCs w:val="32"/>
          <w:u w:val="single"/>
        </w:rPr>
        <w:t xml:space="preserve"> </w:t>
      </w:r>
      <w:r>
        <w:rPr>
          <w:rFonts w:eastAsia="仿宋_GB2312"/>
          <w:sz w:val="30"/>
          <w:szCs w:val="32"/>
        </w:rPr>
        <w:t>种方式：</w:t>
      </w:r>
    </w:p>
    <w:p w14:paraId="54B9CDBB">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（1）质量保证金保函</w:t>
      </w:r>
      <w:r>
        <w:rPr>
          <w:rFonts w:hint="eastAsia" w:eastAsia="仿宋_GB2312"/>
          <w:kern w:val="0"/>
          <w:sz w:val="30"/>
          <w:szCs w:val="32"/>
        </w:rPr>
        <w:t>（含银行保函、保险保函、融资性担保公司担保等任一形式）</w:t>
      </w:r>
      <w:r>
        <w:rPr>
          <w:rFonts w:eastAsia="仿宋_GB2312"/>
          <w:kern w:val="0"/>
          <w:sz w:val="30"/>
          <w:szCs w:val="32"/>
        </w:rPr>
        <w:t>，保证金额为：</w:t>
      </w:r>
      <w:r>
        <w:rPr>
          <w:rFonts w:eastAsia="仿宋_GB2312"/>
          <w:kern w:val="0"/>
          <w:sz w:val="30"/>
          <w:szCs w:val="32"/>
          <w:u w:val="single"/>
        </w:rPr>
        <w:t xml:space="preserve">   </w:t>
      </w:r>
      <w:r>
        <w:rPr>
          <w:rFonts w:hint="eastAsia" w:eastAsia="仿宋_GB2312"/>
          <w:kern w:val="0"/>
          <w:sz w:val="30"/>
          <w:szCs w:val="32"/>
          <w:u w:val="single"/>
        </w:rPr>
        <w:t xml:space="preserve">            </w:t>
      </w:r>
      <w:r>
        <w:rPr>
          <w:rFonts w:eastAsia="仿宋_GB2312"/>
          <w:kern w:val="0"/>
          <w:sz w:val="30"/>
          <w:szCs w:val="32"/>
          <w:u w:val="single"/>
        </w:rPr>
        <w:t xml:space="preserve">    </w:t>
      </w:r>
      <w:r>
        <w:rPr>
          <w:rFonts w:eastAsia="仿宋_GB2312"/>
          <w:kern w:val="0"/>
          <w:sz w:val="30"/>
          <w:szCs w:val="32"/>
        </w:rPr>
        <w:t xml:space="preserve">； </w:t>
      </w:r>
    </w:p>
    <w:p w14:paraId="1207325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（2）</w:t>
      </w:r>
      <w:r>
        <w:rPr>
          <w:rFonts w:eastAsia="仿宋_GB2312"/>
          <w:kern w:val="0"/>
          <w:sz w:val="30"/>
          <w:szCs w:val="32"/>
          <w:u w:val="single"/>
        </w:rPr>
        <w:t xml:space="preserve"> </w:t>
      </w:r>
      <w:r>
        <w:rPr>
          <w:rFonts w:hint="eastAsia" w:eastAsia="仿宋_GB2312"/>
          <w:kern w:val="0"/>
          <w:sz w:val="30"/>
          <w:szCs w:val="32"/>
          <w:u w:val="single"/>
        </w:rPr>
        <w:t>结算款的</w:t>
      </w:r>
      <w:r>
        <w:rPr>
          <w:rFonts w:eastAsia="仿宋_GB2312"/>
          <w:kern w:val="0"/>
          <w:sz w:val="30"/>
          <w:szCs w:val="32"/>
          <w:u w:val="single"/>
        </w:rPr>
        <w:t xml:space="preserve">3 </w:t>
      </w:r>
      <w:r>
        <w:rPr>
          <w:rFonts w:eastAsia="仿宋_GB2312"/>
          <w:kern w:val="0"/>
          <w:sz w:val="30"/>
          <w:szCs w:val="32"/>
        </w:rPr>
        <w:t>%的工程款；</w:t>
      </w:r>
    </w:p>
    <w:p w14:paraId="7700C1C6">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（3）其他</w:t>
      </w:r>
      <w:r>
        <w:rPr>
          <w:rFonts w:hint="eastAsia" w:eastAsia="仿宋_GB2312"/>
          <w:kern w:val="0"/>
          <w:sz w:val="30"/>
          <w:szCs w:val="32"/>
        </w:rPr>
        <w:t>方</w:t>
      </w:r>
      <w:r>
        <w:rPr>
          <w:rFonts w:eastAsia="仿宋_GB2312"/>
          <w:kern w:val="0"/>
          <w:sz w:val="30"/>
          <w:szCs w:val="32"/>
        </w:rPr>
        <w:t>式:</w:t>
      </w:r>
      <w:r>
        <w:rPr>
          <w:rFonts w:eastAsia="仿宋_GB2312"/>
          <w:kern w:val="0"/>
          <w:sz w:val="30"/>
          <w:szCs w:val="32"/>
          <w:u w:val="single"/>
        </w:rPr>
        <w:t xml:space="preserve">          </w:t>
      </w:r>
      <w:r>
        <w:rPr>
          <w:rFonts w:hint="eastAsia" w:eastAsia="仿宋_GB2312"/>
          <w:kern w:val="0"/>
          <w:sz w:val="30"/>
          <w:szCs w:val="32"/>
          <w:u w:val="single"/>
        </w:rPr>
        <w:t xml:space="preserve">                       </w:t>
      </w:r>
      <w:r>
        <w:rPr>
          <w:rFonts w:eastAsia="仿宋_GB2312"/>
          <w:kern w:val="0"/>
          <w:sz w:val="30"/>
          <w:szCs w:val="32"/>
          <w:u w:val="single"/>
        </w:rPr>
        <w:t xml:space="preserve">      </w:t>
      </w:r>
      <w:r>
        <w:rPr>
          <w:rFonts w:eastAsia="仿宋_GB2312"/>
          <w:kern w:val="0"/>
          <w:sz w:val="30"/>
          <w:szCs w:val="32"/>
        </w:rPr>
        <w:t>。</w:t>
      </w:r>
    </w:p>
    <w:p w14:paraId="30C9C7EF">
      <w:pPr>
        <w:autoSpaceDE w:val="0"/>
        <w:autoSpaceDN w:val="0"/>
        <w:adjustRightInd w:val="0"/>
        <w:spacing w:line="360" w:lineRule="auto"/>
        <w:ind w:firstLine="600" w:firstLineChars="200"/>
        <w:jc w:val="left"/>
        <w:rPr>
          <w:rFonts w:eastAsia="仿宋_GB2312"/>
          <w:kern w:val="0"/>
          <w:sz w:val="30"/>
          <w:szCs w:val="32"/>
        </w:rPr>
      </w:pPr>
      <w:r>
        <w:rPr>
          <w:rFonts w:hint="eastAsia" w:eastAsia="仿宋_GB2312"/>
          <w:kern w:val="0"/>
          <w:sz w:val="30"/>
          <w:szCs w:val="32"/>
        </w:rPr>
        <w:t>承包人选择以质量保证金保函</w:t>
      </w:r>
      <w:r>
        <w:rPr>
          <w:rFonts w:hint="eastAsia" w:eastAsia="仿宋_GB2312"/>
          <w:iCs/>
          <w:kern w:val="0"/>
          <w:sz w:val="30"/>
          <w:szCs w:val="32"/>
        </w:rPr>
        <w:t>（含银行保函、保险保函、融资性担保公司担保等任一形式）</w:t>
      </w:r>
      <w:r>
        <w:rPr>
          <w:rFonts w:hint="eastAsia" w:eastAsia="仿宋_GB2312"/>
          <w:kern w:val="0"/>
          <w:sz w:val="30"/>
          <w:szCs w:val="32"/>
        </w:rPr>
        <w:t>代替质量保证金的，发包人不得以任何理由拒绝或限制使用。</w:t>
      </w:r>
    </w:p>
    <w:p w14:paraId="49BB77D8">
      <w:pPr>
        <w:spacing w:line="360" w:lineRule="auto"/>
        <w:ind w:firstLine="600" w:firstLineChars="200"/>
        <w:jc w:val="left"/>
        <w:outlineLvl w:val="0"/>
        <w:rPr>
          <w:rFonts w:eastAsia="仿宋_GB2312"/>
          <w:sz w:val="30"/>
          <w:szCs w:val="32"/>
        </w:rPr>
      </w:pPr>
      <w:bookmarkStart w:id="1202" w:name="_Toc10363"/>
      <w:bookmarkStart w:id="1203" w:name="_Toc25105"/>
      <w:bookmarkStart w:id="1204" w:name="_Toc15239"/>
      <w:bookmarkStart w:id="1205" w:name="_Toc2228"/>
      <w:bookmarkStart w:id="1206" w:name="_Toc4891"/>
      <w:r>
        <w:rPr>
          <w:rFonts w:eastAsia="仿宋_GB2312"/>
          <w:sz w:val="30"/>
          <w:szCs w:val="32"/>
        </w:rPr>
        <w:t>15.3.2质量保证金的扣留</w:t>
      </w:r>
      <w:bookmarkEnd w:id="1202"/>
      <w:bookmarkEnd w:id="1203"/>
      <w:bookmarkEnd w:id="1204"/>
      <w:bookmarkEnd w:id="1205"/>
      <w:bookmarkEnd w:id="1206"/>
      <w:r>
        <w:rPr>
          <w:rFonts w:eastAsia="仿宋_GB2312"/>
          <w:sz w:val="30"/>
          <w:szCs w:val="32"/>
        </w:rPr>
        <w:t xml:space="preserve"> </w:t>
      </w:r>
    </w:p>
    <w:p w14:paraId="68BBD5AD">
      <w:pPr>
        <w:spacing w:line="360" w:lineRule="auto"/>
        <w:ind w:firstLine="600" w:firstLineChars="200"/>
        <w:jc w:val="left"/>
        <w:rPr>
          <w:rFonts w:eastAsia="仿宋_GB2312"/>
          <w:sz w:val="30"/>
          <w:szCs w:val="32"/>
        </w:rPr>
      </w:pPr>
      <w:r>
        <w:rPr>
          <w:rFonts w:eastAsia="仿宋_GB2312"/>
          <w:sz w:val="30"/>
          <w:szCs w:val="32"/>
        </w:rPr>
        <w:t>质量保证金的扣留采取以下第</w:t>
      </w:r>
      <w:r>
        <w:rPr>
          <w:rFonts w:eastAsia="仿宋_GB2312"/>
          <w:sz w:val="30"/>
          <w:szCs w:val="32"/>
          <w:u w:val="single"/>
        </w:rPr>
        <w:t xml:space="preserve"> </w:t>
      </w:r>
      <w:r>
        <w:rPr>
          <w:rFonts w:hint="eastAsia" w:eastAsia="仿宋_GB2312"/>
          <w:sz w:val="30"/>
          <w:szCs w:val="32"/>
          <w:u w:val="single"/>
        </w:rPr>
        <w:t xml:space="preserve"> 2</w:t>
      </w:r>
      <w:r>
        <w:rPr>
          <w:rFonts w:eastAsia="仿宋_GB2312"/>
          <w:sz w:val="30"/>
          <w:szCs w:val="32"/>
          <w:u w:val="single"/>
        </w:rPr>
        <w:t xml:space="preserve">  </w:t>
      </w:r>
      <w:r>
        <w:rPr>
          <w:rFonts w:eastAsia="仿宋_GB2312"/>
          <w:sz w:val="30"/>
          <w:szCs w:val="32"/>
        </w:rPr>
        <w:t>种方式：</w:t>
      </w:r>
    </w:p>
    <w:p w14:paraId="5832F03C">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（1）在支付工程进度款时逐次扣留，在此情形下，质量保证金的计算基数不包括预付款的支付、扣回以及价格调整的金额；</w:t>
      </w:r>
    </w:p>
    <w:p w14:paraId="07063757">
      <w:pPr>
        <w:autoSpaceDE w:val="0"/>
        <w:autoSpaceDN w:val="0"/>
        <w:adjustRightInd w:val="0"/>
        <w:spacing w:line="360" w:lineRule="auto"/>
        <w:ind w:firstLine="600" w:firstLineChars="200"/>
        <w:jc w:val="left"/>
        <w:outlineLvl w:val="0"/>
        <w:rPr>
          <w:rFonts w:eastAsia="仿宋_GB2312"/>
          <w:kern w:val="0"/>
          <w:sz w:val="30"/>
          <w:szCs w:val="32"/>
        </w:rPr>
      </w:pPr>
      <w:bookmarkStart w:id="1207" w:name="_Toc12027"/>
      <w:bookmarkStart w:id="1208" w:name="_Toc18013"/>
      <w:bookmarkStart w:id="1209" w:name="_Toc29657"/>
      <w:bookmarkStart w:id="1210" w:name="_Toc23946"/>
      <w:bookmarkStart w:id="1211" w:name="_Toc1300"/>
      <w:r>
        <w:rPr>
          <w:rFonts w:eastAsia="仿宋_GB2312"/>
          <w:kern w:val="0"/>
          <w:sz w:val="30"/>
          <w:szCs w:val="32"/>
        </w:rPr>
        <w:t>（2）工程竣工结算时一次性扣留质量保证金；</w:t>
      </w:r>
      <w:bookmarkEnd w:id="1207"/>
      <w:bookmarkEnd w:id="1208"/>
      <w:bookmarkEnd w:id="1209"/>
      <w:bookmarkEnd w:id="1210"/>
      <w:bookmarkEnd w:id="1211"/>
    </w:p>
    <w:p w14:paraId="1725C25F">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（3）其他扣留方式:</w:t>
      </w:r>
      <w:r>
        <w:rPr>
          <w:rFonts w:eastAsia="仿宋_GB2312"/>
          <w:kern w:val="0"/>
          <w:sz w:val="30"/>
          <w:szCs w:val="32"/>
          <w:u w:val="single"/>
        </w:rPr>
        <w:t xml:space="preserve">             </w:t>
      </w:r>
      <w:r>
        <w:rPr>
          <w:rFonts w:hint="eastAsia" w:eastAsia="仿宋_GB2312"/>
          <w:kern w:val="0"/>
          <w:sz w:val="30"/>
          <w:szCs w:val="32"/>
          <w:u w:val="single"/>
        </w:rPr>
        <w:t xml:space="preserve">   </w:t>
      </w:r>
      <w:r>
        <w:rPr>
          <w:rFonts w:eastAsia="仿宋_GB2312"/>
          <w:kern w:val="0"/>
          <w:sz w:val="30"/>
          <w:szCs w:val="32"/>
          <w:u w:val="single"/>
        </w:rPr>
        <w:t xml:space="preserve">  </w:t>
      </w:r>
      <w:r>
        <w:rPr>
          <w:rFonts w:hint="eastAsia" w:eastAsia="仿宋_GB2312"/>
          <w:kern w:val="0"/>
          <w:sz w:val="30"/>
          <w:szCs w:val="32"/>
          <w:u w:val="single"/>
        </w:rPr>
        <w:t xml:space="preserve">               </w:t>
      </w:r>
      <w:r>
        <w:rPr>
          <w:rFonts w:eastAsia="仿宋_GB2312"/>
          <w:kern w:val="0"/>
          <w:sz w:val="30"/>
          <w:szCs w:val="32"/>
          <w:u w:val="single"/>
        </w:rPr>
        <w:t xml:space="preserve">    </w:t>
      </w:r>
      <w:r>
        <w:rPr>
          <w:rFonts w:eastAsia="仿宋_GB2312"/>
          <w:kern w:val="0"/>
          <w:sz w:val="30"/>
          <w:szCs w:val="32"/>
        </w:rPr>
        <w:t>。</w:t>
      </w:r>
    </w:p>
    <w:p w14:paraId="57ED257C">
      <w:pPr>
        <w:spacing w:line="360" w:lineRule="auto"/>
        <w:ind w:firstLine="600" w:firstLineChars="200"/>
        <w:jc w:val="left"/>
        <w:rPr>
          <w:rFonts w:eastAsia="仿宋_GB2312"/>
          <w:sz w:val="30"/>
          <w:szCs w:val="32"/>
        </w:rPr>
      </w:pPr>
      <w:r>
        <w:rPr>
          <w:rFonts w:eastAsia="仿宋_GB2312"/>
          <w:sz w:val="30"/>
          <w:szCs w:val="32"/>
        </w:rPr>
        <w:t>关于质量保证金的补充约定：</w:t>
      </w:r>
      <w:r>
        <w:rPr>
          <w:rFonts w:hint="eastAsia" w:eastAsia="仿宋_GB2312"/>
          <w:kern w:val="0"/>
          <w:sz w:val="30"/>
          <w:szCs w:val="32"/>
          <w:u w:val="single"/>
        </w:rPr>
        <w:t xml:space="preserve"> 无 </w:t>
      </w:r>
      <w:r>
        <w:rPr>
          <w:rFonts w:eastAsia="仿宋_GB2312"/>
          <w:kern w:val="0"/>
          <w:sz w:val="30"/>
          <w:szCs w:val="32"/>
        </w:rPr>
        <w:t>。</w:t>
      </w:r>
    </w:p>
    <w:bookmarkEnd w:id="1163"/>
    <w:bookmarkEnd w:id="1164"/>
    <w:p w14:paraId="347CC973">
      <w:pPr>
        <w:spacing w:after="120" w:line="360" w:lineRule="auto"/>
        <w:ind w:firstLine="600" w:firstLineChars="200"/>
        <w:rPr>
          <w:rFonts w:eastAsia="黑体"/>
          <w:sz w:val="30"/>
          <w:szCs w:val="32"/>
        </w:rPr>
      </w:pPr>
      <w:r>
        <w:rPr>
          <w:rFonts w:eastAsia="黑体"/>
          <w:sz w:val="30"/>
          <w:szCs w:val="32"/>
        </w:rPr>
        <w:t>15.4保修</w:t>
      </w:r>
    </w:p>
    <w:bookmarkEnd w:id="1165"/>
    <w:p w14:paraId="76FEEA36">
      <w:pPr>
        <w:spacing w:line="360" w:lineRule="auto"/>
        <w:ind w:firstLine="585" w:firstLineChars="195"/>
        <w:jc w:val="left"/>
        <w:rPr>
          <w:rFonts w:eastAsia="仿宋_GB2312"/>
          <w:sz w:val="30"/>
          <w:szCs w:val="32"/>
        </w:rPr>
      </w:pPr>
      <w:r>
        <w:rPr>
          <w:rFonts w:eastAsia="仿宋_GB2312"/>
          <w:sz w:val="30"/>
          <w:szCs w:val="32"/>
        </w:rPr>
        <w:t>15.4.1保修责任</w:t>
      </w:r>
    </w:p>
    <w:p w14:paraId="38EB937D">
      <w:pPr>
        <w:spacing w:line="360" w:lineRule="auto"/>
        <w:ind w:firstLine="600" w:firstLineChars="200"/>
        <w:jc w:val="left"/>
        <w:rPr>
          <w:rFonts w:eastAsia="仿宋_GB2312"/>
          <w:kern w:val="0"/>
          <w:sz w:val="30"/>
          <w:szCs w:val="32"/>
        </w:rPr>
      </w:pPr>
      <w:r>
        <w:rPr>
          <w:rFonts w:eastAsia="仿宋_GB2312"/>
          <w:sz w:val="30"/>
          <w:szCs w:val="32"/>
        </w:rPr>
        <w:t>工程保修期为：</w:t>
      </w:r>
      <w:r>
        <w:rPr>
          <w:rFonts w:eastAsia="仿宋_GB2312"/>
          <w:kern w:val="0"/>
          <w:sz w:val="30"/>
          <w:szCs w:val="32"/>
          <w:u w:val="single"/>
        </w:rPr>
        <w:t xml:space="preserve">  </w:t>
      </w:r>
      <w:r>
        <w:rPr>
          <w:rFonts w:hint="eastAsia" w:eastAsia="仿宋_GB2312"/>
          <w:sz w:val="30"/>
          <w:szCs w:val="32"/>
          <w:u w:val="single"/>
        </w:rPr>
        <w:t>详见本合同附件3《工程质量保修书》</w:t>
      </w:r>
      <w:r>
        <w:rPr>
          <w:rFonts w:hint="eastAsia" w:eastAsia="仿宋_GB2312"/>
          <w:kern w:val="0"/>
          <w:sz w:val="30"/>
          <w:szCs w:val="32"/>
          <w:u w:val="single"/>
        </w:rPr>
        <w:t xml:space="preserve"> </w:t>
      </w:r>
      <w:r>
        <w:rPr>
          <w:rFonts w:eastAsia="仿宋_GB2312"/>
          <w:kern w:val="0"/>
          <w:sz w:val="30"/>
          <w:szCs w:val="32"/>
          <w:u w:val="single"/>
        </w:rPr>
        <w:t xml:space="preserve">  </w:t>
      </w:r>
      <w:r>
        <w:rPr>
          <w:rFonts w:eastAsia="仿宋_GB2312"/>
          <w:kern w:val="0"/>
          <w:sz w:val="30"/>
          <w:szCs w:val="32"/>
        </w:rPr>
        <w:t>。</w:t>
      </w:r>
    </w:p>
    <w:p w14:paraId="0678AC7F">
      <w:pPr>
        <w:spacing w:line="360" w:lineRule="auto"/>
        <w:ind w:firstLine="585" w:firstLineChars="195"/>
        <w:jc w:val="left"/>
        <w:rPr>
          <w:rFonts w:eastAsia="仿宋_GB2312"/>
          <w:sz w:val="30"/>
          <w:szCs w:val="32"/>
        </w:rPr>
      </w:pPr>
      <w:r>
        <w:rPr>
          <w:rFonts w:eastAsia="仿宋_GB2312"/>
          <w:sz w:val="30"/>
          <w:szCs w:val="32"/>
        </w:rPr>
        <w:t>15.4.3修复通知</w:t>
      </w:r>
    </w:p>
    <w:p w14:paraId="55CD66E4">
      <w:pPr>
        <w:spacing w:line="360" w:lineRule="auto"/>
        <w:ind w:firstLine="600" w:firstLineChars="200"/>
        <w:jc w:val="left"/>
        <w:rPr>
          <w:rFonts w:eastAsia="仿宋_GB2312"/>
          <w:kern w:val="0"/>
          <w:sz w:val="30"/>
          <w:szCs w:val="32"/>
        </w:rPr>
      </w:pPr>
      <w:r>
        <w:rPr>
          <w:rFonts w:eastAsia="仿宋_GB2312"/>
          <w:kern w:val="0"/>
          <w:sz w:val="30"/>
          <w:szCs w:val="32"/>
        </w:rPr>
        <w:t>承包人收到保修通知并到达工程现场的合理时间：</w:t>
      </w:r>
      <w:r>
        <w:rPr>
          <w:rFonts w:eastAsia="仿宋_GB2312"/>
          <w:kern w:val="0"/>
          <w:sz w:val="30"/>
          <w:szCs w:val="32"/>
          <w:u w:val="single"/>
        </w:rPr>
        <w:t>24</w:t>
      </w:r>
      <w:r>
        <w:rPr>
          <w:rFonts w:hint="eastAsia" w:eastAsia="仿宋_GB2312"/>
          <w:kern w:val="0"/>
          <w:sz w:val="30"/>
          <w:szCs w:val="32"/>
          <w:u w:val="single"/>
        </w:rPr>
        <w:t>小时之内</w:t>
      </w:r>
      <w:r>
        <w:rPr>
          <w:rFonts w:eastAsia="仿宋_GB2312"/>
          <w:kern w:val="0"/>
          <w:sz w:val="30"/>
          <w:szCs w:val="32"/>
        </w:rPr>
        <w:t>。</w:t>
      </w:r>
    </w:p>
    <w:bookmarkEnd w:id="1166"/>
    <w:bookmarkEnd w:id="1167"/>
    <w:bookmarkEnd w:id="1168"/>
    <w:bookmarkEnd w:id="1169"/>
    <w:p w14:paraId="6D194964">
      <w:pPr>
        <w:pStyle w:val="8"/>
        <w:spacing w:before="120" w:after="120" w:line="360" w:lineRule="auto"/>
        <w:rPr>
          <w:rFonts w:ascii="Times New Roman" w:hAnsi="Times New Roman" w:eastAsia="黑体"/>
          <w:b w:val="0"/>
          <w:sz w:val="32"/>
          <w:szCs w:val="32"/>
        </w:rPr>
      </w:pPr>
      <w:bookmarkStart w:id="1212" w:name="_Toc351203648"/>
      <w:bookmarkStart w:id="1213" w:name="_Toc280868718"/>
      <w:bookmarkStart w:id="1214" w:name="_Toc280868717"/>
      <w:r>
        <w:rPr>
          <w:rFonts w:ascii="Times New Roman" w:hAnsi="Times New Roman" w:eastAsia="黑体"/>
          <w:b w:val="0"/>
          <w:sz w:val="32"/>
          <w:szCs w:val="32"/>
        </w:rPr>
        <w:t>16.违约</w:t>
      </w:r>
      <w:bookmarkEnd w:id="1212"/>
    </w:p>
    <w:p w14:paraId="53AF62BB">
      <w:pPr>
        <w:spacing w:after="120" w:line="360" w:lineRule="auto"/>
        <w:ind w:firstLine="600" w:firstLineChars="200"/>
        <w:outlineLvl w:val="0"/>
        <w:rPr>
          <w:rFonts w:eastAsia="黑体"/>
          <w:sz w:val="30"/>
          <w:szCs w:val="32"/>
        </w:rPr>
      </w:pPr>
      <w:bookmarkStart w:id="1215" w:name="_Toc2672"/>
      <w:bookmarkStart w:id="1216" w:name="_Toc21814"/>
      <w:bookmarkStart w:id="1217" w:name="_Toc30608"/>
      <w:bookmarkStart w:id="1218" w:name="_Toc26236"/>
      <w:bookmarkStart w:id="1219" w:name="_Toc1586"/>
      <w:r>
        <w:rPr>
          <w:rFonts w:eastAsia="黑体"/>
          <w:sz w:val="30"/>
          <w:szCs w:val="32"/>
        </w:rPr>
        <w:t>16.发包人违约</w:t>
      </w:r>
      <w:bookmarkEnd w:id="1215"/>
      <w:bookmarkEnd w:id="1216"/>
      <w:bookmarkEnd w:id="1217"/>
      <w:bookmarkEnd w:id="1218"/>
      <w:bookmarkEnd w:id="1219"/>
    </w:p>
    <w:p w14:paraId="51776A6A">
      <w:pPr>
        <w:spacing w:line="360" w:lineRule="auto"/>
        <w:ind w:firstLine="600" w:firstLineChars="200"/>
        <w:jc w:val="left"/>
        <w:rPr>
          <w:rFonts w:eastAsia="仿宋_GB2312"/>
          <w:sz w:val="30"/>
          <w:szCs w:val="32"/>
        </w:rPr>
      </w:pPr>
      <w:r>
        <w:rPr>
          <w:rFonts w:eastAsia="仿宋_GB2312"/>
          <w:sz w:val="30"/>
          <w:szCs w:val="32"/>
        </w:rPr>
        <w:t>16.1.1发包人违约的情形</w:t>
      </w:r>
    </w:p>
    <w:p w14:paraId="33E2B306">
      <w:pPr>
        <w:spacing w:line="360" w:lineRule="auto"/>
        <w:ind w:left="1496" w:leftChars="284" w:hanging="900" w:hangingChars="300"/>
        <w:jc w:val="left"/>
        <w:rPr>
          <w:rFonts w:eastAsia="仿宋_GB2312"/>
          <w:kern w:val="0"/>
          <w:sz w:val="30"/>
          <w:szCs w:val="32"/>
        </w:rPr>
      </w:pPr>
      <w:r>
        <w:rPr>
          <w:rFonts w:eastAsia="仿宋_GB2312"/>
          <w:kern w:val="0"/>
          <w:sz w:val="30"/>
          <w:szCs w:val="32"/>
        </w:rPr>
        <w:t>发包人违约的其他情形：</w:t>
      </w:r>
      <w:r>
        <w:rPr>
          <w:rFonts w:eastAsia="仿宋_GB2312"/>
          <w:kern w:val="0"/>
          <w:sz w:val="30"/>
          <w:szCs w:val="32"/>
          <w:u w:val="single"/>
        </w:rPr>
        <w:t xml:space="preserve"> </w:t>
      </w:r>
      <w:r>
        <w:rPr>
          <w:rFonts w:hint="eastAsia" w:eastAsia="仿宋_GB2312"/>
          <w:kern w:val="0"/>
          <w:sz w:val="30"/>
          <w:szCs w:val="32"/>
          <w:u w:val="single"/>
        </w:rPr>
        <w:t>/</w:t>
      </w:r>
      <w:r>
        <w:rPr>
          <w:rFonts w:eastAsia="仿宋_GB2312"/>
          <w:kern w:val="0"/>
          <w:sz w:val="30"/>
          <w:szCs w:val="32"/>
          <w:u w:val="single"/>
        </w:rPr>
        <w:t xml:space="preserve"> </w:t>
      </w:r>
      <w:r>
        <w:rPr>
          <w:rFonts w:eastAsia="仿宋_GB2312"/>
          <w:kern w:val="0"/>
          <w:sz w:val="30"/>
          <w:szCs w:val="32"/>
        </w:rPr>
        <w:t>。</w:t>
      </w:r>
    </w:p>
    <w:p w14:paraId="23168B73">
      <w:pPr>
        <w:spacing w:line="360" w:lineRule="auto"/>
        <w:ind w:left="1500" w:hanging="1500" w:hangingChars="500"/>
        <w:jc w:val="left"/>
        <w:rPr>
          <w:rFonts w:eastAsia="仿宋_GB2312"/>
          <w:kern w:val="0"/>
          <w:sz w:val="30"/>
          <w:szCs w:val="32"/>
        </w:rPr>
      </w:pPr>
      <w:r>
        <w:rPr>
          <w:rFonts w:eastAsia="仿宋_GB2312"/>
          <w:kern w:val="0"/>
          <w:sz w:val="30"/>
          <w:szCs w:val="32"/>
        </w:rPr>
        <w:t xml:space="preserve">    16.1.2发包人违约的责任</w:t>
      </w:r>
    </w:p>
    <w:p w14:paraId="47CA6A54">
      <w:pPr>
        <w:spacing w:line="360" w:lineRule="auto"/>
        <w:ind w:firstLine="600" w:firstLineChars="200"/>
        <w:jc w:val="left"/>
        <w:rPr>
          <w:rFonts w:eastAsia="仿宋_GB2312"/>
          <w:kern w:val="0"/>
          <w:sz w:val="30"/>
          <w:szCs w:val="32"/>
        </w:rPr>
      </w:pPr>
      <w:r>
        <w:rPr>
          <w:rFonts w:eastAsia="仿宋_GB2312"/>
          <w:kern w:val="0"/>
          <w:sz w:val="30"/>
          <w:szCs w:val="32"/>
        </w:rPr>
        <w:t>发包人违约责任的承担方式和计算方法：</w:t>
      </w:r>
    </w:p>
    <w:p w14:paraId="06688D4F">
      <w:pPr>
        <w:spacing w:line="360" w:lineRule="auto"/>
        <w:ind w:firstLine="600" w:firstLineChars="200"/>
        <w:jc w:val="left"/>
        <w:rPr>
          <w:rFonts w:eastAsia="仿宋_GB2312"/>
          <w:kern w:val="0"/>
          <w:sz w:val="30"/>
          <w:szCs w:val="32"/>
          <w:u w:val="single"/>
        </w:rPr>
      </w:pPr>
      <w:r>
        <w:rPr>
          <w:rFonts w:eastAsia="仿宋_GB2312"/>
          <w:kern w:val="0"/>
          <w:sz w:val="30"/>
          <w:szCs w:val="32"/>
        </w:rPr>
        <w:t>（1）因发包人原因未能在计划开工日期前7天内下达开工通知的违约责任：</w:t>
      </w:r>
      <w:r>
        <w:rPr>
          <w:rFonts w:hint="eastAsia" w:eastAsia="仿宋_GB2312"/>
          <w:color w:val="000000"/>
          <w:kern w:val="0"/>
          <w:sz w:val="30"/>
          <w:szCs w:val="32"/>
          <w:u w:val="single"/>
        </w:rPr>
        <w:t>发包人发出延期通知，调整开工日期，工期予以顺延</w:t>
      </w:r>
      <w:r>
        <w:rPr>
          <w:rFonts w:eastAsia="仿宋_GB2312"/>
          <w:kern w:val="0"/>
          <w:sz w:val="30"/>
          <w:szCs w:val="32"/>
        </w:rPr>
        <w:t>。</w:t>
      </w:r>
    </w:p>
    <w:p w14:paraId="7A42F438">
      <w:pPr>
        <w:spacing w:line="360" w:lineRule="auto"/>
        <w:ind w:firstLine="600" w:firstLineChars="200"/>
        <w:rPr>
          <w:rFonts w:eastAsia="仿宋_GB2312"/>
          <w:kern w:val="0"/>
          <w:sz w:val="30"/>
          <w:szCs w:val="32"/>
          <w:u w:val="single"/>
        </w:rPr>
      </w:pPr>
      <w:r>
        <w:rPr>
          <w:rFonts w:eastAsia="仿宋_GB2312"/>
          <w:kern w:val="0"/>
          <w:sz w:val="30"/>
          <w:szCs w:val="32"/>
        </w:rPr>
        <w:t>（</w:t>
      </w:r>
      <w:r>
        <w:rPr>
          <w:rFonts w:hint="eastAsia" w:eastAsia="仿宋_GB2312"/>
          <w:kern w:val="0"/>
          <w:sz w:val="30"/>
          <w:szCs w:val="32"/>
        </w:rPr>
        <w:t>2</w:t>
      </w:r>
      <w:r>
        <w:rPr>
          <w:rFonts w:eastAsia="仿宋_GB2312"/>
          <w:kern w:val="0"/>
          <w:sz w:val="30"/>
          <w:szCs w:val="32"/>
        </w:rPr>
        <w:t>）</w:t>
      </w:r>
      <w:r>
        <w:rPr>
          <w:rFonts w:hint="eastAsia" w:eastAsia="仿宋_GB2312"/>
          <w:color w:val="000000"/>
          <w:kern w:val="0"/>
          <w:sz w:val="30"/>
          <w:szCs w:val="32"/>
        </w:rPr>
        <w:t>因发包人原因未能按合同约定支付合同价款的违约责任：承包人应给予发包人</w:t>
      </w:r>
      <w:r>
        <w:rPr>
          <w:rFonts w:eastAsia="仿宋_GB2312"/>
          <w:color w:val="000000"/>
          <w:kern w:val="0"/>
          <w:sz w:val="30"/>
          <w:szCs w:val="32"/>
        </w:rPr>
        <w:t>30天的宽限期</w:t>
      </w:r>
      <w:r>
        <w:rPr>
          <w:rFonts w:hint="eastAsia" w:eastAsia="仿宋_GB2312"/>
          <w:color w:val="000000"/>
          <w:kern w:val="0"/>
          <w:sz w:val="30"/>
          <w:szCs w:val="32"/>
        </w:rPr>
        <w:t>，</w:t>
      </w:r>
      <w:r>
        <w:rPr>
          <w:rFonts w:eastAsia="仿宋_GB2312"/>
          <w:color w:val="000000"/>
          <w:kern w:val="0"/>
          <w:sz w:val="30"/>
          <w:szCs w:val="32"/>
        </w:rPr>
        <w:t>宽限</w:t>
      </w:r>
      <w:r>
        <w:rPr>
          <w:rFonts w:hint="eastAsia" w:eastAsia="仿宋_GB2312"/>
          <w:color w:val="000000"/>
          <w:kern w:val="0"/>
          <w:sz w:val="30"/>
          <w:szCs w:val="32"/>
        </w:rPr>
        <w:t>期满</w:t>
      </w:r>
      <w:r>
        <w:rPr>
          <w:rFonts w:eastAsia="仿宋_GB2312"/>
          <w:color w:val="000000"/>
          <w:kern w:val="0"/>
          <w:sz w:val="30"/>
          <w:szCs w:val="32"/>
        </w:rPr>
        <w:t>仍未支付的</w:t>
      </w:r>
      <w:r>
        <w:rPr>
          <w:rFonts w:hint="eastAsia" w:eastAsia="仿宋_GB2312"/>
          <w:color w:val="000000"/>
          <w:kern w:val="0"/>
          <w:sz w:val="30"/>
          <w:szCs w:val="32"/>
        </w:rPr>
        <w:t>，</w:t>
      </w:r>
      <w:r>
        <w:rPr>
          <w:rFonts w:hint="eastAsia" w:eastAsia="仿宋_GB2312"/>
          <w:color w:val="000000"/>
          <w:kern w:val="0"/>
          <w:sz w:val="30"/>
          <w:szCs w:val="32"/>
          <w:u w:val="single"/>
        </w:rPr>
        <w:t>按照中国人民银行</w:t>
      </w:r>
      <w:r>
        <w:rPr>
          <w:rFonts w:eastAsia="仿宋_GB2312"/>
          <w:color w:val="000000"/>
          <w:kern w:val="0"/>
          <w:sz w:val="30"/>
          <w:szCs w:val="32"/>
          <w:u w:val="single"/>
        </w:rPr>
        <w:t>同期</w:t>
      </w:r>
      <w:r>
        <w:rPr>
          <w:rFonts w:hint="eastAsia" w:eastAsia="仿宋_GB2312"/>
          <w:color w:val="000000"/>
          <w:kern w:val="0"/>
          <w:sz w:val="30"/>
          <w:szCs w:val="32"/>
          <w:u w:val="single"/>
        </w:rPr>
        <w:t>发布的</w:t>
      </w:r>
      <w:r>
        <w:rPr>
          <w:rFonts w:hint="eastAsia" w:eastAsia="仿宋_GB2312"/>
          <w:color w:val="000000"/>
          <w:sz w:val="30"/>
          <w:szCs w:val="32"/>
          <w:u w:val="single"/>
        </w:rPr>
        <w:t>1年期贷款市场报价利率（LPR），以及逾期付款天数计算</w:t>
      </w:r>
      <w:r>
        <w:rPr>
          <w:rFonts w:hint="eastAsia" w:eastAsia="仿宋_GB2312"/>
          <w:color w:val="000000"/>
          <w:kern w:val="0"/>
          <w:sz w:val="30"/>
          <w:szCs w:val="32"/>
          <w:u w:val="single"/>
        </w:rPr>
        <w:t>支付违约金,但最高不超过签约合同暂定价的</w:t>
      </w:r>
      <w:r>
        <w:rPr>
          <w:rFonts w:eastAsia="仿宋_GB2312"/>
          <w:color w:val="000000"/>
          <w:kern w:val="0"/>
          <w:sz w:val="30"/>
          <w:szCs w:val="32"/>
          <w:u w:val="single"/>
        </w:rPr>
        <w:t>1</w:t>
      </w:r>
      <w:r>
        <w:rPr>
          <w:rFonts w:hint="eastAsia" w:eastAsia="仿宋_GB2312"/>
          <w:color w:val="000000"/>
          <w:kern w:val="0"/>
          <w:sz w:val="30"/>
          <w:szCs w:val="32"/>
          <w:u w:val="single"/>
        </w:rPr>
        <w:t>%</w:t>
      </w:r>
      <w:r>
        <w:rPr>
          <w:rFonts w:eastAsia="仿宋_GB2312"/>
          <w:color w:val="000000"/>
          <w:kern w:val="0"/>
          <w:sz w:val="30"/>
          <w:szCs w:val="32"/>
          <w:u w:val="single"/>
        </w:rPr>
        <w:t xml:space="preserve"> </w:t>
      </w:r>
      <w:r>
        <w:rPr>
          <w:rFonts w:hint="eastAsia" w:eastAsia="仿宋_GB2312"/>
          <w:color w:val="000000"/>
          <w:kern w:val="0"/>
          <w:sz w:val="30"/>
          <w:szCs w:val="32"/>
        </w:rPr>
        <w:t>。</w:t>
      </w:r>
    </w:p>
    <w:p w14:paraId="79E46181">
      <w:pPr>
        <w:spacing w:line="360" w:lineRule="auto"/>
        <w:ind w:firstLine="600" w:firstLineChars="200"/>
        <w:jc w:val="left"/>
        <w:rPr>
          <w:rFonts w:eastAsia="仿宋_GB2312"/>
          <w:kern w:val="0"/>
          <w:sz w:val="30"/>
          <w:szCs w:val="32"/>
        </w:rPr>
      </w:pPr>
      <w:r>
        <w:rPr>
          <w:rFonts w:eastAsia="仿宋_GB2312"/>
          <w:kern w:val="0"/>
          <w:sz w:val="30"/>
          <w:szCs w:val="32"/>
        </w:rPr>
        <w:t>（3）发包人违反第10.1款</w:t>
      </w:r>
      <w:r>
        <w:rPr>
          <w:rFonts w:hint="eastAsia" w:eastAsia="仿宋_GB2312"/>
          <w:kern w:val="0"/>
          <w:sz w:val="30"/>
          <w:szCs w:val="32"/>
        </w:rPr>
        <w:t>〔</w:t>
      </w:r>
      <w:r>
        <w:rPr>
          <w:rFonts w:eastAsia="仿宋_GB2312"/>
          <w:kern w:val="0"/>
          <w:sz w:val="30"/>
          <w:szCs w:val="32"/>
        </w:rPr>
        <w:t>变更的范围</w:t>
      </w:r>
      <w:r>
        <w:rPr>
          <w:rFonts w:hint="eastAsia" w:eastAsia="仿宋_GB2312"/>
          <w:kern w:val="0"/>
          <w:sz w:val="30"/>
          <w:szCs w:val="32"/>
        </w:rPr>
        <w:t>〕</w:t>
      </w:r>
      <w:r>
        <w:rPr>
          <w:rFonts w:eastAsia="仿宋_GB2312"/>
          <w:kern w:val="0"/>
          <w:sz w:val="30"/>
          <w:szCs w:val="32"/>
        </w:rPr>
        <w:t>第（2）项约定，自行实施被取消的工作或转由他人实施的违约责任：</w:t>
      </w:r>
      <w:r>
        <w:rPr>
          <w:rFonts w:hint="eastAsia" w:eastAsia="仿宋_GB2312"/>
          <w:kern w:val="0"/>
          <w:sz w:val="30"/>
          <w:szCs w:val="32"/>
          <w:u w:val="single"/>
        </w:rPr>
        <w:t>双方另行协商</w:t>
      </w:r>
      <w:r>
        <w:rPr>
          <w:rFonts w:eastAsia="仿宋_GB2312"/>
          <w:kern w:val="0"/>
          <w:sz w:val="30"/>
          <w:szCs w:val="32"/>
        </w:rPr>
        <w:t>。</w:t>
      </w:r>
    </w:p>
    <w:p w14:paraId="3361EC41">
      <w:pPr>
        <w:spacing w:line="360" w:lineRule="auto"/>
        <w:ind w:firstLine="600" w:firstLineChars="200"/>
        <w:jc w:val="left"/>
        <w:rPr>
          <w:rFonts w:eastAsia="仿宋_GB2312"/>
          <w:kern w:val="0"/>
          <w:sz w:val="30"/>
          <w:szCs w:val="32"/>
        </w:rPr>
      </w:pPr>
      <w:r>
        <w:rPr>
          <w:rFonts w:hint="eastAsia" w:eastAsia="仿宋_GB2312"/>
          <w:kern w:val="0"/>
          <w:sz w:val="30"/>
          <w:szCs w:val="32"/>
        </w:rPr>
        <w:t>（</w:t>
      </w:r>
      <w:r>
        <w:rPr>
          <w:rFonts w:eastAsia="仿宋_GB2312"/>
          <w:kern w:val="0"/>
          <w:sz w:val="30"/>
          <w:szCs w:val="32"/>
        </w:rPr>
        <w:t>4</w:t>
      </w:r>
      <w:r>
        <w:rPr>
          <w:rFonts w:hint="eastAsia" w:eastAsia="仿宋_GB2312"/>
          <w:kern w:val="0"/>
          <w:sz w:val="30"/>
          <w:szCs w:val="32"/>
        </w:rPr>
        <w:t>）发包人提供的材料、工程设备的规格、数量或质量不符合合同约定，或因发包人原因导致交货日期延误或交货地点变更等情况的违约责任：</w:t>
      </w:r>
      <w:r>
        <w:rPr>
          <w:rFonts w:eastAsia="仿宋_GB2312"/>
          <w:kern w:val="0"/>
          <w:sz w:val="30"/>
          <w:szCs w:val="32"/>
          <w:u w:val="single"/>
        </w:rPr>
        <w:t xml:space="preserve">   </w:t>
      </w:r>
      <w:r>
        <w:rPr>
          <w:rFonts w:hint="eastAsia" w:eastAsia="仿宋_GB2312"/>
          <w:kern w:val="0"/>
          <w:sz w:val="30"/>
          <w:szCs w:val="32"/>
          <w:u w:val="single"/>
        </w:rPr>
        <w:t>工期予以顺延</w:t>
      </w:r>
      <w:r>
        <w:rPr>
          <w:rFonts w:eastAsia="仿宋_GB2312"/>
          <w:kern w:val="0"/>
          <w:sz w:val="30"/>
          <w:szCs w:val="32"/>
          <w:u w:val="single"/>
        </w:rPr>
        <w:t xml:space="preserve">   </w:t>
      </w:r>
      <w:r>
        <w:rPr>
          <w:rFonts w:hint="eastAsia" w:eastAsia="仿宋_GB2312"/>
          <w:kern w:val="0"/>
          <w:sz w:val="30"/>
          <w:szCs w:val="32"/>
        </w:rPr>
        <w:t>。</w:t>
      </w:r>
    </w:p>
    <w:p w14:paraId="34983407">
      <w:pPr>
        <w:spacing w:line="360" w:lineRule="auto"/>
        <w:ind w:firstLine="600" w:firstLineChars="200"/>
        <w:jc w:val="left"/>
        <w:rPr>
          <w:rFonts w:eastAsia="仿宋_GB2312"/>
          <w:kern w:val="0"/>
          <w:sz w:val="30"/>
          <w:szCs w:val="32"/>
        </w:rPr>
      </w:pPr>
      <w:r>
        <w:rPr>
          <w:rFonts w:hint="eastAsia" w:eastAsia="仿宋_GB2312"/>
          <w:kern w:val="0"/>
          <w:sz w:val="30"/>
          <w:szCs w:val="32"/>
        </w:rPr>
        <w:t>（</w:t>
      </w:r>
      <w:r>
        <w:rPr>
          <w:rFonts w:eastAsia="仿宋_GB2312"/>
          <w:kern w:val="0"/>
          <w:sz w:val="30"/>
          <w:szCs w:val="32"/>
        </w:rPr>
        <w:t>5</w:t>
      </w:r>
      <w:r>
        <w:rPr>
          <w:rFonts w:hint="eastAsia" w:eastAsia="仿宋_GB2312"/>
          <w:kern w:val="0"/>
          <w:sz w:val="30"/>
          <w:szCs w:val="32"/>
        </w:rPr>
        <w:t>）因发包人违反合同约定造成暂停施工的违约责任：</w:t>
      </w:r>
      <w:r>
        <w:rPr>
          <w:rFonts w:eastAsia="仿宋_GB2312"/>
          <w:kern w:val="0"/>
          <w:sz w:val="30"/>
          <w:szCs w:val="32"/>
          <w:u w:val="single"/>
        </w:rPr>
        <w:t xml:space="preserve">  </w:t>
      </w:r>
      <w:r>
        <w:rPr>
          <w:rFonts w:hint="eastAsia" w:eastAsia="仿宋_GB2312"/>
          <w:kern w:val="0"/>
          <w:sz w:val="30"/>
          <w:szCs w:val="32"/>
          <w:u w:val="single"/>
        </w:rPr>
        <w:t>工期予以顺延</w:t>
      </w:r>
      <w:r>
        <w:rPr>
          <w:rFonts w:eastAsia="仿宋_GB2312"/>
          <w:kern w:val="0"/>
          <w:sz w:val="30"/>
          <w:szCs w:val="32"/>
          <w:u w:val="single"/>
        </w:rPr>
        <w:t xml:space="preserve">  </w:t>
      </w:r>
      <w:r>
        <w:rPr>
          <w:rFonts w:hint="eastAsia" w:eastAsia="仿宋_GB2312"/>
          <w:kern w:val="0"/>
          <w:sz w:val="30"/>
          <w:szCs w:val="32"/>
        </w:rPr>
        <w:t>。</w:t>
      </w:r>
    </w:p>
    <w:p w14:paraId="4FDB832D">
      <w:pPr>
        <w:spacing w:line="360" w:lineRule="auto"/>
        <w:ind w:firstLine="600" w:firstLineChars="200"/>
        <w:jc w:val="left"/>
        <w:rPr>
          <w:rFonts w:eastAsia="仿宋_GB2312"/>
          <w:kern w:val="0"/>
          <w:sz w:val="30"/>
          <w:szCs w:val="32"/>
        </w:rPr>
      </w:pPr>
      <w:r>
        <w:rPr>
          <w:rFonts w:hint="eastAsia" w:eastAsia="仿宋_GB2312"/>
          <w:kern w:val="0"/>
          <w:sz w:val="30"/>
          <w:szCs w:val="32"/>
        </w:rPr>
        <w:t>（</w:t>
      </w:r>
      <w:r>
        <w:rPr>
          <w:rFonts w:eastAsia="仿宋_GB2312"/>
          <w:kern w:val="0"/>
          <w:sz w:val="30"/>
          <w:szCs w:val="32"/>
        </w:rPr>
        <w:t>6</w:t>
      </w:r>
      <w:r>
        <w:rPr>
          <w:rFonts w:hint="eastAsia" w:eastAsia="仿宋_GB2312"/>
          <w:kern w:val="0"/>
          <w:sz w:val="30"/>
          <w:szCs w:val="32"/>
        </w:rPr>
        <w:t>）发包人无正当理由没有在约定期限内发出复工指示，导致承包人无法复工的违约责任：</w:t>
      </w:r>
      <w:r>
        <w:rPr>
          <w:rFonts w:eastAsia="仿宋_GB2312"/>
          <w:kern w:val="0"/>
          <w:sz w:val="30"/>
          <w:szCs w:val="32"/>
          <w:u w:val="single"/>
        </w:rPr>
        <w:t xml:space="preserve"> </w:t>
      </w:r>
      <w:r>
        <w:rPr>
          <w:rFonts w:hint="eastAsia" w:eastAsia="仿宋_GB2312"/>
          <w:kern w:val="0"/>
          <w:sz w:val="30"/>
          <w:szCs w:val="32"/>
          <w:u w:val="single"/>
        </w:rPr>
        <w:t>工期予以顺延</w:t>
      </w:r>
      <w:r>
        <w:rPr>
          <w:rFonts w:eastAsia="仿宋_GB2312"/>
          <w:kern w:val="0"/>
          <w:sz w:val="30"/>
          <w:szCs w:val="32"/>
          <w:u w:val="single"/>
        </w:rPr>
        <w:t xml:space="preserve"> </w:t>
      </w:r>
      <w:r>
        <w:rPr>
          <w:rFonts w:hint="eastAsia" w:eastAsia="仿宋_GB2312"/>
          <w:kern w:val="0"/>
          <w:sz w:val="30"/>
          <w:szCs w:val="32"/>
        </w:rPr>
        <w:t>。</w:t>
      </w:r>
    </w:p>
    <w:p w14:paraId="5A5482FA">
      <w:pPr>
        <w:spacing w:line="360" w:lineRule="auto"/>
        <w:ind w:firstLine="600" w:firstLineChars="200"/>
        <w:jc w:val="left"/>
        <w:rPr>
          <w:rFonts w:eastAsia="仿宋_GB2312"/>
          <w:kern w:val="0"/>
          <w:sz w:val="30"/>
          <w:szCs w:val="32"/>
          <w:u w:val="single"/>
        </w:rPr>
      </w:pPr>
      <w:r>
        <w:rPr>
          <w:rFonts w:hint="eastAsia" w:eastAsia="仿宋_GB2312"/>
          <w:kern w:val="0"/>
          <w:sz w:val="30"/>
          <w:szCs w:val="32"/>
        </w:rPr>
        <w:t>（7）发包人未执行政府行政管理部门关于农民工工资支付的各项制度或未能按合同约定支付人工费的</w:t>
      </w:r>
      <w:r>
        <w:rPr>
          <w:rFonts w:eastAsia="仿宋_GB2312"/>
          <w:kern w:val="0"/>
          <w:sz w:val="30"/>
          <w:szCs w:val="32"/>
        </w:rPr>
        <w:t>违约责任：</w:t>
      </w:r>
      <w:r>
        <w:rPr>
          <w:rFonts w:eastAsia="仿宋_GB2312"/>
          <w:kern w:val="0"/>
          <w:sz w:val="30"/>
          <w:szCs w:val="32"/>
          <w:u w:val="single"/>
        </w:rPr>
        <w:t xml:space="preserve">  </w:t>
      </w:r>
      <w:r>
        <w:rPr>
          <w:rFonts w:hint="eastAsia" w:eastAsia="仿宋_GB2312"/>
          <w:kern w:val="0"/>
          <w:sz w:val="30"/>
          <w:szCs w:val="32"/>
          <w:u w:val="single"/>
        </w:rPr>
        <w:t xml:space="preserve">双方另行协商 </w:t>
      </w:r>
      <w:r>
        <w:rPr>
          <w:rFonts w:eastAsia="仿宋_GB2312"/>
          <w:kern w:val="0"/>
          <w:sz w:val="30"/>
          <w:szCs w:val="32"/>
          <w:u w:val="single"/>
        </w:rPr>
        <w:t xml:space="preserve">  </w:t>
      </w:r>
      <w:r>
        <w:rPr>
          <w:rFonts w:eastAsia="仿宋_GB2312"/>
          <w:kern w:val="0"/>
          <w:sz w:val="30"/>
          <w:szCs w:val="32"/>
        </w:rPr>
        <w:t>。</w:t>
      </w:r>
    </w:p>
    <w:p w14:paraId="4E00B0A4">
      <w:pPr>
        <w:spacing w:line="360" w:lineRule="auto"/>
        <w:ind w:firstLine="600" w:firstLineChars="200"/>
        <w:jc w:val="left"/>
        <w:rPr>
          <w:rFonts w:eastAsia="仿宋_GB2312"/>
          <w:kern w:val="0"/>
          <w:sz w:val="30"/>
          <w:szCs w:val="32"/>
        </w:rPr>
      </w:pPr>
      <w:r>
        <w:rPr>
          <w:rFonts w:eastAsia="仿宋_GB2312"/>
          <w:kern w:val="0"/>
          <w:sz w:val="30"/>
          <w:szCs w:val="32"/>
        </w:rPr>
        <w:t>（</w:t>
      </w:r>
      <w:r>
        <w:rPr>
          <w:rFonts w:hint="eastAsia" w:eastAsia="仿宋_GB2312"/>
          <w:kern w:val="0"/>
          <w:sz w:val="30"/>
          <w:szCs w:val="32"/>
        </w:rPr>
        <w:t>8</w:t>
      </w:r>
      <w:r>
        <w:rPr>
          <w:rFonts w:eastAsia="仿宋_GB2312"/>
          <w:kern w:val="0"/>
          <w:sz w:val="30"/>
          <w:szCs w:val="32"/>
        </w:rPr>
        <w:t>）</w:t>
      </w:r>
      <w:r>
        <w:rPr>
          <w:rFonts w:hint="eastAsia" w:eastAsia="仿宋_GB2312"/>
          <w:kern w:val="0"/>
          <w:sz w:val="30"/>
          <w:szCs w:val="32"/>
        </w:rPr>
        <w:t>其他：</w:t>
      </w:r>
      <w:r>
        <w:rPr>
          <w:rFonts w:eastAsia="仿宋_GB2312"/>
          <w:kern w:val="0"/>
          <w:sz w:val="30"/>
          <w:szCs w:val="32"/>
          <w:u w:val="single"/>
        </w:rPr>
        <w:t xml:space="preserve"> </w:t>
      </w:r>
      <w:r>
        <w:rPr>
          <w:rFonts w:hint="eastAsia" w:eastAsia="仿宋_GB2312"/>
          <w:kern w:val="0"/>
          <w:sz w:val="30"/>
          <w:szCs w:val="32"/>
          <w:u w:val="single"/>
        </w:rPr>
        <w:t>双方协商解决，协商不成执行第</w:t>
      </w:r>
      <w:r>
        <w:rPr>
          <w:rFonts w:eastAsia="仿宋_GB2312"/>
          <w:kern w:val="0"/>
          <w:sz w:val="30"/>
          <w:szCs w:val="32"/>
          <w:u w:val="single"/>
        </w:rPr>
        <w:t>20</w:t>
      </w:r>
      <w:r>
        <w:rPr>
          <w:rFonts w:hint="eastAsia" w:eastAsia="仿宋_GB2312"/>
          <w:kern w:val="0"/>
          <w:sz w:val="30"/>
          <w:szCs w:val="32"/>
          <w:u w:val="single"/>
        </w:rPr>
        <w:t xml:space="preserve">条（争议解决） </w:t>
      </w:r>
      <w:r>
        <w:rPr>
          <w:rFonts w:eastAsia="仿宋_GB2312"/>
          <w:kern w:val="0"/>
          <w:sz w:val="30"/>
          <w:szCs w:val="32"/>
        </w:rPr>
        <w:t>。</w:t>
      </w:r>
    </w:p>
    <w:p w14:paraId="68DBF542">
      <w:pPr>
        <w:spacing w:line="360" w:lineRule="auto"/>
        <w:ind w:firstLine="600" w:firstLineChars="200"/>
        <w:jc w:val="left"/>
        <w:rPr>
          <w:rFonts w:eastAsia="仿宋_GB2312"/>
          <w:sz w:val="30"/>
          <w:szCs w:val="32"/>
        </w:rPr>
      </w:pPr>
      <w:r>
        <w:rPr>
          <w:rFonts w:eastAsia="仿宋_GB2312"/>
          <w:sz w:val="30"/>
          <w:szCs w:val="32"/>
        </w:rPr>
        <w:t>16.1.3因发包人违约解除合同</w:t>
      </w:r>
    </w:p>
    <w:p w14:paraId="0B599E11">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承包人按16.1.1项</w:t>
      </w:r>
      <w:r>
        <w:rPr>
          <w:rFonts w:hint="eastAsia" w:eastAsia="仿宋_GB2312"/>
          <w:kern w:val="0"/>
          <w:sz w:val="30"/>
          <w:szCs w:val="32"/>
        </w:rPr>
        <w:t>〔</w:t>
      </w:r>
      <w:r>
        <w:rPr>
          <w:rFonts w:eastAsia="仿宋_GB2312"/>
          <w:kern w:val="0"/>
          <w:sz w:val="30"/>
          <w:szCs w:val="32"/>
        </w:rPr>
        <w:t>发包人违约的情形</w:t>
      </w:r>
      <w:r>
        <w:rPr>
          <w:rFonts w:hint="eastAsia" w:eastAsia="仿宋_GB2312"/>
          <w:kern w:val="0"/>
          <w:sz w:val="30"/>
          <w:szCs w:val="32"/>
        </w:rPr>
        <w:t>〕</w:t>
      </w:r>
      <w:r>
        <w:rPr>
          <w:rFonts w:eastAsia="仿宋_GB2312"/>
          <w:kern w:val="0"/>
          <w:sz w:val="30"/>
          <w:szCs w:val="32"/>
        </w:rPr>
        <w:t>约定暂停施工满</w:t>
      </w:r>
      <w:r>
        <w:rPr>
          <w:rFonts w:eastAsia="仿宋_GB2312"/>
          <w:kern w:val="0"/>
          <w:sz w:val="30"/>
          <w:szCs w:val="32"/>
          <w:u w:val="single"/>
        </w:rPr>
        <w:t xml:space="preserve"> </w:t>
      </w:r>
      <w:r>
        <w:rPr>
          <w:rFonts w:hint="eastAsia" w:eastAsia="仿宋_GB2312"/>
          <w:kern w:val="0"/>
          <w:sz w:val="30"/>
          <w:szCs w:val="32"/>
          <w:u w:val="single"/>
        </w:rPr>
        <w:t>56</w:t>
      </w:r>
      <w:r>
        <w:rPr>
          <w:rFonts w:eastAsia="仿宋_GB2312"/>
          <w:kern w:val="0"/>
          <w:sz w:val="30"/>
          <w:szCs w:val="32"/>
          <w:u w:val="single"/>
        </w:rPr>
        <w:t xml:space="preserve"> </w:t>
      </w:r>
      <w:r>
        <w:rPr>
          <w:rFonts w:eastAsia="仿宋_GB2312"/>
          <w:kern w:val="0"/>
          <w:sz w:val="30"/>
          <w:szCs w:val="32"/>
        </w:rPr>
        <w:t>天后发包人仍不纠正其违约行为并致使合同目的不能实现的，承包人有权解除合同。</w:t>
      </w:r>
    </w:p>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213"/>
    <w:bookmarkEnd w:id="1214"/>
    <w:p w14:paraId="0E2F9D3B">
      <w:pPr>
        <w:spacing w:after="120" w:line="360" w:lineRule="auto"/>
        <w:ind w:firstLine="600" w:firstLineChars="200"/>
        <w:rPr>
          <w:rFonts w:eastAsia="黑体"/>
          <w:sz w:val="30"/>
          <w:szCs w:val="32"/>
        </w:rPr>
      </w:pPr>
      <w:r>
        <w:rPr>
          <w:rFonts w:eastAsia="黑体"/>
          <w:sz w:val="30"/>
          <w:szCs w:val="32"/>
        </w:rPr>
        <w:t xml:space="preserve">16.2 </w:t>
      </w:r>
      <w:r>
        <w:rPr>
          <w:rFonts w:hint="eastAsia" w:eastAsia="黑体"/>
          <w:sz w:val="30"/>
          <w:szCs w:val="32"/>
        </w:rPr>
        <w:t>承包人违约</w:t>
      </w:r>
    </w:p>
    <w:p w14:paraId="3A032A44">
      <w:pPr>
        <w:spacing w:line="360" w:lineRule="auto"/>
        <w:ind w:firstLine="600" w:firstLineChars="200"/>
        <w:jc w:val="left"/>
        <w:rPr>
          <w:rFonts w:eastAsia="仿宋_GB2312"/>
          <w:kern w:val="0"/>
          <w:sz w:val="30"/>
          <w:szCs w:val="32"/>
        </w:rPr>
      </w:pPr>
      <w:r>
        <w:rPr>
          <w:rFonts w:eastAsia="仿宋_GB2312"/>
          <w:kern w:val="0"/>
          <w:sz w:val="30"/>
          <w:szCs w:val="32"/>
        </w:rPr>
        <w:t xml:space="preserve">16.2.1 </w:t>
      </w:r>
      <w:r>
        <w:rPr>
          <w:rFonts w:hint="eastAsia" w:eastAsia="仿宋_GB2312"/>
          <w:kern w:val="0"/>
          <w:sz w:val="30"/>
          <w:szCs w:val="32"/>
        </w:rPr>
        <w:t>承包人违约的情形</w:t>
      </w:r>
    </w:p>
    <w:p w14:paraId="58E264B2">
      <w:pPr>
        <w:spacing w:line="360" w:lineRule="auto"/>
        <w:ind w:firstLine="600" w:firstLineChars="200"/>
        <w:jc w:val="left"/>
        <w:rPr>
          <w:rFonts w:eastAsia="仿宋_GB2312"/>
          <w:kern w:val="0"/>
          <w:sz w:val="30"/>
          <w:szCs w:val="32"/>
          <w:u w:val="single"/>
        </w:rPr>
      </w:pPr>
      <w:r>
        <w:rPr>
          <w:rFonts w:hint="eastAsia" w:eastAsia="仿宋_GB2312"/>
          <w:kern w:val="0"/>
          <w:sz w:val="30"/>
          <w:szCs w:val="32"/>
        </w:rPr>
        <w:t>承包人违约的其他情形：</w:t>
      </w:r>
    </w:p>
    <w:p w14:paraId="460D758F">
      <w:pPr>
        <w:numPr>
          <w:ilvl w:val="0"/>
          <w:numId w:val="12"/>
        </w:numPr>
        <w:spacing w:line="360" w:lineRule="auto"/>
        <w:ind w:firstLine="600" w:firstLineChars="200"/>
        <w:jc w:val="left"/>
        <w:rPr>
          <w:rFonts w:eastAsia="仿宋_GB2312"/>
          <w:kern w:val="0"/>
          <w:sz w:val="30"/>
          <w:szCs w:val="32"/>
          <w:u w:val="single"/>
        </w:rPr>
      </w:pPr>
      <w:r>
        <w:rPr>
          <w:rFonts w:hint="eastAsia" w:eastAsia="仿宋_GB2312"/>
          <w:kern w:val="0"/>
          <w:sz w:val="30"/>
          <w:szCs w:val="32"/>
          <w:u w:val="single"/>
        </w:rPr>
        <w:t>未达到合同约定的安全文明施工标准；</w:t>
      </w:r>
    </w:p>
    <w:p w14:paraId="76954D0A">
      <w:pPr>
        <w:numPr>
          <w:ilvl w:val="0"/>
          <w:numId w:val="12"/>
        </w:numPr>
        <w:spacing w:line="360" w:lineRule="auto"/>
        <w:ind w:firstLine="600" w:firstLineChars="200"/>
        <w:jc w:val="left"/>
        <w:rPr>
          <w:rFonts w:eastAsia="仿宋_GB2312"/>
          <w:kern w:val="0"/>
          <w:sz w:val="30"/>
          <w:szCs w:val="32"/>
        </w:rPr>
      </w:pPr>
      <w:r>
        <w:rPr>
          <w:rFonts w:hint="eastAsia" w:eastAsia="仿宋_GB2312"/>
          <w:kern w:val="0"/>
          <w:sz w:val="30"/>
          <w:szCs w:val="32"/>
          <w:u w:val="single"/>
        </w:rPr>
        <w:t>未按合同约定及时进行竣工验收、工程资料移交及工程移交，竣工结算，竣工验收备案；</w:t>
      </w:r>
    </w:p>
    <w:p w14:paraId="4244A62B">
      <w:pPr>
        <w:numPr>
          <w:ilvl w:val="0"/>
          <w:numId w:val="12"/>
        </w:numPr>
        <w:spacing w:line="360" w:lineRule="auto"/>
        <w:ind w:firstLine="600" w:firstLineChars="200"/>
        <w:jc w:val="left"/>
        <w:rPr>
          <w:rFonts w:eastAsia="仿宋_GB2312"/>
          <w:kern w:val="0"/>
          <w:sz w:val="30"/>
          <w:szCs w:val="32"/>
        </w:rPr>
      </w:pPr>
      <w:r>
        <w:rPr>
          <w:rFonts w:hint="eastAsia" w:eastAsia="仿宋_GB2312"/>
          <w:kern w:val="0"/>
          <w:sz w:val="30"/>
          <w:szCs w:val="32"/>
          <w:u w:val="single"/>
        </w:rPr>
        <w:t>现场项目管理班子人员未按中标文件配备及擅自更换；</w:t>
      </w:r>
      <w:r>
        <w:rPr>
          <w:rFonts w:eastAsia="仿宋_GB2312"/>
          <w:kern w:val="0"/>
          <w:sz w:val="30"/>
          <w:szCs w:val="32"/>
          <w:u w:val="single"/>
        </w:rPr>
        <w:t xml:space="preserve"> </w:t>
      </w:r>
    </w:p>
    <w:p w14:paraId="3C5C32BF">
      <w:pPr>
        <w:numPr>
          <w:ilvl w:val="0"/>
          <w:numId w:val="12"/>
        </w:numPr>
        <w:spacing w:line="360" w:lineRule="auto"/>
        <w:ind w:firstLine="600" w:firstLineChars="200"/>
        <w:jc w:val="left"/>
        <w:rPr>
          <w:rFonts w:eastAsia="仿宋_GB2312"/>
          <w:kern w:val="0"/>
          <w:sz w:val="30"/>
          <w:szCs w:val="32"/>
        </w:rPr>
      </w:pPr>
      <w:r>
        <w:rPr>
          <w:rFonts w:hint="eastAsia" w:eastAsia="仿宋_GB2312"/>
          <w:kern w:val="0"/>
          <w:sz w:val="30"/>
          <w:szCs w:val="32"/>
          <w:u w:val="single"/>
        </w:rPr>
        <w:t>未履行总包管理责任；</w:t>
      </w:r>
    </w:p>
    <w:p w14:paraId="5EF039E8">
      <w:pPr>
        <w:numPr>
          <w:ilvl w:val="0"/>
          <w:numId w:val="12"/>
        </w:numPr>
        <w:spacing w:line="360" w:lineRule="auto"/>
        <w:ind w:firstLine="600" w:firstLineChars="200"/>
        <w:jc w:val="left"/>
        <w:rPr>
          <w:rFonts w:eastAsia="仿宋_GB2312"/>
          <w:kern w:val="0"/>
          <w:sz w:val="30"/>
          <w:szCs w:val="32"/>
        </w:rPr>
      </w:pPr>
      <w:r>
        <w:rPr>
          <w:rFonts w:hint="eastAsia" w:eastAsia="仿宋_GB2312"/>
          <w:kern w:val="0"/>
          <w:sz w:val="30"/>
          <w:szCs w:val="32"/>
          <w:u w:val="single"/>
        </w:rPr>
        <w:t>由于</w:t>
      </w:r>
      <w:r>
        <w:rPr>
          <w:rFonts w:hint="eastAsia" w:eastAsia="仿宋_GB2312"/>
          <w:sz w:val="30"/>
          <w:szCs w:val="32"/>
          <w:u w:val="single"/>
        </w:rPr>
        <w:t>承包人拖欠农民工工资、分包及供货商工程款，造成聚众围堵、上访等对发包人造成声誉、形象等不力影响</w:t>
      </w:r>
      <w:r>
        <w:rPr>
          <w:rFonts w:eastAsia="仿宋_GB2312"/>
          <w:kern w:val="0"/>
          <w:sz w:val="30"/>
          <w:szCs w:val="32"/>
          <w:u w:val="single"/>
        </w:rPr>
        <w:t xml:space="preserve"> </w:t>
      </w:r>
      <w:r>
        <w:rPr>
          <w:rFonts w:hint="eastAsia" w:eastAsia="仿宋_GB2312"/>
          <w:kern w:val="0"/>
          <w:sz w:val="30"/>
          <w:szCs w:val="32"/>
        </w:rPr>
        <w:t>。</w:t>
      </w:r>
    </w:p>
    <w:p w14:paraId="3ED3B80F">
      <w:pPr>
        <w:spacing w:line="360" w:lineRule="auto"/>
        <w:ind w:firstLine="600"/>
      </w:pPr>
      <w:r>
        <w:rPr>
          <w:rFonts w:hint="eastAsia" w:eastAsia="仿宋_GB2312"/>
          <w:sz w:val="30"/>
          <w:szCs w:val="32"/>
        </w:rPr>
        <w:t>（</w:t>
      </w:r>
      <w:r>
        <w:rPr>
          <w:rFonts w:eastAsia="仿宋_GB2312"/>
          <w:sz w:val="30"/>
          <w:szCs w:val="32"/>
        </w:rPr>
        <w:t>6</w:t>
      </w:r>
      <w:r>
        <w:rPr>
          <w:rFonts w:hint="eastAsia" w:eastAsia="仿宋_GB2312"/>
          <w:sz w:val="30"/>
          <w:szCs w:val="32"/>
        </w:rPr>
        <w:t>）</w:t>
      </w:r>
      <w:r>
        <w:rPr>
          <w:rFonts w:hint="eastAsia" w:eastAsia="仿宋_GB2312"/>
          <w:sz w:val="30"/>
          <w:szCs w:val="32"/>
          <w:u w:val="single"/>
        </w:rPr>
        <w:t>如发包人发现实际施工人存在借用或冒用承包人的资质、印章等弄虚作假行为；或者实际施工人为承包人及其项目经理以外的第三人的情况，发包人有权以此为理由拒绝向承包人或实际施工人支付工程款，而不构成违约，也无需向承包人或实际施工人承担包含利息在内的任何违约及赔偿责任。</w:t>
      </w:r>
    </w:p>
    <w:p w14:paraId="5C81A2AA">
      <w:pPr>
        <w:spacing w:line="360" w:lineRule="auto"/>
        <w:ind w:firstLine="600" w:firstLineChars="200"/>
        <w:rPr>
          <w:rFonts w:eastAsia="仿宋_GB2312"/>
          <w:color w:val="000000"/>
          <w:sz w:val="30"/>
          <w:szCs w:val="32"/>
        </w:rPr>
      </w:pPr>
      <w:bookmarkStart w:id="1220" w:name="_Toc351203649"/>
      <w:r>
        <w:rPr>
          <w:rFonts w:eastAsia="仿宋_GB2312"/>
          <w:color w:val="000000"/>
          <w:sz w:val="30"/>
          <w:szCs w:val="32"/>
        </w:rPr>
        <w:t>16.2.2</w:t>
      </w:r>
      <w:r>
        <w:rPr>
          <w:rFonts w:hint="eastAsia" w:eastAsia="仿宋_GB2312"/>
          <w:color w:val="000000"/>
          <w:sz w:val="30"/>
          <w:szCs w:val="32"/>
        </w:rPr>
        <w:t>承包人违约的责任</w:t>
      </w:r>
    </w:p>
    <w:p w14:paraId="1BA1EF86">
      <w:pPr>
        <w:spacing w:line="360" w:lineRule="auto"/>
        <w:ind w:firstLine="600" w:firstLineChars="200"/>
        <w:rPr>
          <w:rFonts w:eastAsia="仿宋_GB2312"/>
          <w:color w:val="000000"/>
          <w:sz w:val="30"/>
          <w:szCs w:val="32"/>
          <w:u w:val="single"/>
        </w:rPr>
      </w:pPr>
      <w:r>
        <w:rPr>
          <w:rFonts w:hint="eastAsia" w:eastAsia="仿宋_GB2312"/>
          <w:color w:val="000000"/>
          <w:sz w:val="30"/>
          <w:szCs w:val="32"/>
        </w:rPr>
        <w:t>承包人违约责任的承担方式和计算方法：</w:t>
      </w:r>
      <w:r>
        <w:rPr>
          <w:rFonts w:eastAsia="仿宋_GB2312"/>
          <w:color w:val="000000"/>
          <w:sz w:val="30"/>
          <w:szCs w:val="32"/>
          <w:u w:val="single"/>
        </w:rPr>
        <w:t xml:space="preserve"> </w:t>
      </w:r>
      <w:r>
        <w:rPr>
          <w:rFonts w:hint="eastAsia" w:eastAsia="仿宋_GB2312"/>
          <w:color w:val="000000"/>
          <w:sz w:val="30"/>
          <w:szCs w:val="32"/>
          <w:u w:val="single"/>
        </w:rPr>
        <w:t>前述专用条款有约定的按专用条款约定执行，其他由承包人承担全部费用及相应法律责任并承担给发包人造成的损失，包括但不限于发包人直接经济损失、向第三人承担的违约责任以及发生的诉讼费、仲裁费、律师费等。相应的违约金从当期进度款中扣除或依据银行履约保函，由担保方见索即付。</w:t>
      </w:r>
    </w:p>
    <w:p w14:paraId="686C81D7">
      <w:pPr>
        <w:pStyle w:val="13"/>
        <w:ind w:left="63" w:right="63"/>
        <w:jc w:val="left"/>
        <w:rPr>
          <w:rFonts w:eastAsia="仿宋_GB2312"/>
          <w:color w:val="000000"/>
          <w:sz w:val="30"/>
          <w:szCs w:val="32"/>
          <w:u w:val="single"/>
        </w:rPr>
      </w:pPr>
      <w:r>
        <w:rPr>
          <w:rFonts w:hint="eastAsia" w:eastAsia="仿宋_GB2312"/>
          <w:color w:val="000000"/>
          <w:sz w:val="30"/>
          <w:szCs w:val="32"/>
          <w:u w:val="single"/>
        </w:rPr>
        <w:t>承包人拖欠农民工工资、劳务分包及供货商工程款的，发包人有权从应付工程款中扣缴。</w:t>
      </w:r>
    </w:p>
    <w:p w14:paraId="50F07EAC">
      <w:pPr>
        <w:pStyle w:val="21"/>
        <w:spacing w:before="0" w:beforeAutospacing="0" w:after="0" w:afterAutospacing="0" w:line="360" w:lineRule="auto"/>
        <w:rPr>
          <w:rFonts w:ascii="Times New Roman" w:hAnsi="Times New Roman" w:eastAsia="仿宋_GB2312"/>
          <w:color w:val="000000"/>
          <w:sz w:val="30"/>
          <w:szCs w:val="32"/>
        </w:rPr>
      </w:pPr>
      <w:r>
        <w:rPr>
          <w:rFonts w:hint="eastAsia" w:eastAsia="仿宋_GB2312"/>
          <w:color w:val="000000"/>
          <w:sz w:val="30"/>
          <w:szCs w:val="32"/>
        </w:rPr>
        <w:t>（</w:t>
      </w:r>
      <w:r>
        <w:rPr>
          <w:rFonts w:eastAsia="仿宋_GB2312"/>
          <w:color w:val="000000"/>
          <w:sz w:val="30"/>
          <w:szCs w:val="32"/>
        </w:rPr>
        <w:t>1</w:t>
      </w:r>
      <w:r>
        <w:rPr>
          <w:rFonts w:hint="eastAsia" w:eastAsia="仿宋_GB2312"/>
          <w:color w:val="000000"/>
          <w:sz w:val="30"/>
          <w:szCs w:val="32"/>
        </w:rPr>
        <w:t>）</w:t>
      </w:r>
      <w:r>
        <w:rPr>
          <w:rFonts w:hint="eastAsia" w:ascii="仿宋" w:hAnsi="仿宋" w:eastAsia="仿宋" w:cs="仿宋"/>
          <w:color w:val="000000"/>
          <w:sz w:val="30"/>
          <w:szCs w:val="30"/>
        </w:rPr>
        <w:t>承包人有下列行为之一的，要求限期改正，发现一次视情况处以</w:t>
      </w:r>
      <w:r>
        <w:rPr>
          <w:rFonts w:ascii="仿宋" w:hAnsi="仿宋" w:eastAsia="仿宋" w:cs="仿宋"/>
          <w:i/>
          <w:iCs/>
          <w:color w:val="000000"/>
          <w:sz w:val="30"/>
          <w:szCs w:val="30"/>
          <w:u w:val="single"/>
        </w:rPr>
        <w:t>5000-20000</w:t>
      </w:r>
      <w:r>
        <w:rPr>
          <w:rFonts w:hint="eastAsia" w:ascii="仿宋" w:hAnsi="仿宋" w:eastAsia="仿宋" w:cs="仿宋"/>
          <w:color w:val="000000"/>
          <w:sz w:val="30"/>
          <w:szCs w:val="30"/>
        </w:rPr>
        <w:t>元的罚款，</w:t>
      </w:r>
      <w:r>
        <w:rPr>
          <w:rFonts w:hint="eastAsia" w:ascii="Times New Roman" w:hAnsi="Times New Roman" w:eastAsia="仿宋_GB2312"/>
          <w:color w:val="000000"/>
          <w:sz w:val="30"/>
          <w:szCs w:val="32"/>
        </w:rPr>
        <w:t>造成建设工程质量不符合规定的质量标准的，负责返工、修理，情况严重的，要求停工整改造成损失的，依法承担赔偿责任，对于未经验收的隐蔽工程，不予计量工程量，罚款和赔偿金从当期工程款或依据履约保函进行索赔。</w:t>
      </w:r>
    </w:p>
    <w:p w14:paraId="0C518B9C">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1.在施工中偷工减料的；</w:t>
      </w:r>
    </w:p>
    <w:p w14:paraId="0C4E5842">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2.使用不合格的建筑材料、建筑构配件和设备的；</w:t>
      </w:r>
    </w:p>
    <w:p w14:paraId="722C2D7F">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3.不按照工程设计图纸或者施工技术标准施工的，在施工中不执行配比、不计量的；</w:t>
      </w:r>
    </w:p>
    <w:p w14:paraId="6D6C9000">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4.未对建筑材料、建筑构配件、设备进行检验的；</w:t>
      </w:r>
    </w:p>
    <w:p w14:paraId="35734364">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5.未对涉及结构安全的试块、试件以及有关材料取样检测的；</w:t>
      </w:r>
    </w:p>
    <w:p w14:paraId="32AA3B79">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6.不按照验收程序进行过程验收，擅自进行下道工序施工的；</w:t>
      </w:r>
    </w:p>
    <w:p w14:paraId="1458E967">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7.不执行样板开路的；</w:t>
      </w:r>
    </w:p>
    <w:p w14:paraId="778BA3DE">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8.对于监理工程师或其他质量监督部门提出的问题未按时整改的；</w:t>
      </w:r>
    </w:p>
    <w:p w14:paraId="53755635">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9.对于施工中出现的质量隐患隐瞒不报的；</w:t>
      </w:r>
    </w:p>
    <w:p w14:paraId="528B4762">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10.现场管理人员不到位或未按照国家有关规定取得上岗资格，造成现场质量保证体系不健全；</w:t>
      </w:r>
    </w:p>
    <w:p w14:paraId="710935AA">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11.现场管理人员不服从建设单位或监理单位的管理的；</w:t>
      </w:r>
    </w:p>
    <w:p w14:paraId="1B2A887E">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12.发包人认为其他影响工程质量行为的。</w:t>
      </w:r>
    </w:p>
    <w:p w14:paraId="0CDF6C2A">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2）承包人有下列行为之一的，要求限期改正；逾期未改正的发现一次，视情况处以2000-10000</w:t>
      </w:r>
      <w:r>
        <w:rPr>
          <w:rFonts w:hint="eastAsia" w:ascii="Times New Roman" w:hAnsi="Times New Roman" w:eastAsia="仿宋_GB2312"/>
          <w:color w:val="000000"/>
          <w:sz w:val="30"/>
          <w:szCs w:val="32"/>
        </w:rPr>
        <w:t>元的罚款，该罚款直接从当期进度款中扣除或者依据履约保函进行索赔；情况严重的，进行停工整顿，工期不相应延长，造成损失的，承包人依法承担赔偿责任：</w:t>
      </w:r>
    </w:p>
    <w:p w14:paraId="772CEE47">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1.施工前未对有关安全施工的技术要求作出详细交底的；</w:t>
      </w:r>
    </w:p>
    <w:p w14:paraId="62BB4093">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2.未根据不同施工阶段和周围环境及季节、气候的变化，在施工现场采取相应安全施工措施或者施工现场未实行封闭围档的；</w:t>
      </w:r>
    </w:p>
    <w:p w14:paraId="338049DD">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3.在尚未竣工的建筑物内设置员工集体宿舍的；</w:t>
      </w:r>
    </w:p>
    <w:p w14:paraId="5E09116A">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4.施工现场临时搭建的建筑物不符合安全使用要求的；</w:t>
      </w:r>
    </w:p>
    <w:p w14:paraId="3B76D51B">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5.未对因建设工程施工可能造成损害的毗邻建筑物、构筑物和地下管线等采取专项防护措施的；</w:t>
      </w:r>
    </w:p>
    <w:p w14:paraId="502F3708">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6.安全防护用具、机械设备、施工机具及配件在进入施工现场前未经查验或者查验不合格即投入使用的；</w:t>
      </w:r>
    </w:p>
    <w:p w14:paraId="7CF3B9E2">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7.使用未经验收或者验收不合格的施工起重机械和其他垂直运输设备的；</w:t>
      </w:r>
    </w:p>
    <w:p w14:paraId="55AEA4F7">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8.委托不具有相应资质的单位承担施工现场安装、拆卸施工起重机械和其他垂直运输设备的</w:t>
      </w:r>
    </w:p>
    <w:p w14:paraId="408E15AF">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9.未编制安全管理施工组织设计、施工现场临时用电方案或者其他专项施工方案的。</w:t>
      </w:r>
    </w:p>
    <w:p w14:paraId="69F280EB">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10.未进行全封闭式施工或者封闭不符合有关规定的；</w:t>
      </w:r>
    </w:p>
    <w:p w14:paraId="454F7A42">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11.生活或建筑垃圾不按规定进行清理和外运的，道路未采取经常性保洁措施的；</w:t>
      </w:r>
    </w:p>
    <w:p w14:paraId="701F01AD">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12.物料及施工机具未按现场平面图进行布置或堆放不整齐的；</w:t>
      </w:r>
    </w:p>
    <w:p w14:paraId="283F7397">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13.未按规定设置下水道、沉淀池，排水系统不通畅的；</w:t>
      </w:r>
    </w:p>
    <w:p w14:paraId="4F50E42B">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14.施工机械不及时清洗，运输车辆带泥浆进出现场的；</w:t>
      </w:r>
    </w:p>
    <w:p w14:paraId="4C0BD018">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15.在施工现场大小便的；</w:t>
      </w:r>
    </w:p>
    <w:p w14:paraId="2758D150">
      <w:pPr>
        <w:pStyle w:val="21"/>
        <w:spacing w:before="0" w:beforeAutospacing="0" w:after="0" w:afterAutospacing="0" w:line="360" w:lineRule="auto"/>
        <w:ind w:firstLine="300" w:firstLineChars="100"/>
        <w:rPr>
          <w:rFonts w:ascii="Times New Roman" w:hAnsi="Times New Roman" w:eastAsia="仿宋_GB2312"/>
          <w:color w:val="000000"/>
          <w:sz w:val="30"/>
          <w:szCs w:val="32"/>
        </w:rPr>
      </w:pPr>
      <w:r>
        <w:rPr>
          <w:rFonts w:ascii="Times New Roman" w:hAnsi="Times New Roman" w:eastAsia="仿宋_GB2312"/>
          <w:color w:val="000000"/>
          <w:sz w:val="30"/>
          <w:szCs w:val="32"/>
        </w:rPr>
        <w:t>16.外脚手架、基坑临边防护、楼层临边防护等安全防护用具不符合本规定的；</w:t>
      </w:r>
    </w:p>
    <w:p w14:paraId="2E14D5B0">
      <w:pPr>
        <w:pStyle w:val="21"/>
        <w:spacing w:before="156" w:beforeAutospacing="0" w:after="156" w:afterAutospacing="0" w:line="360" w:lineRule="auto"/>
        <w:ind w:firstLine="300" w:firstLineChars="100"/>
        <w:rPr>
          <w:rFonts w:ascii="Times New Roman" w:hAnsi="Times New Roman" w:eastAsia="仿宋_GB2312"/>
          <w:color w:val="000000" w:themeColor="text1"/>
          <w:sz w:val="30"/>
          <w:szCs w:val="32"/>
          <w14:textFill>
            <w14:solidFill>
              <w14:schemeClr w14:val="tx1"/>
            </w14:solidFill>
          </w14:textFill>
        </w:rPr>
      </w:pPr>
      <w:r>
        <w:rPr>
          <w:rFonts w:ascii="Times New Roman" w:hAnsi="Times New Roman" w:eastAsia="仿宋_GB2312"/>
          <w:color w:val="000000" w:themeColor="text1"/>
          <w:sz w:val="30"/>
          <w:szCs w:val="32"/>
          <w14:textFill>
            <w14:solidFill>
              <w14:schemeClr w14:val="tx1"/>
            </w14:solidFill>
          </w14:textFill>
        </w:rPr>
        <w:t>17.未采取防尘措施，造成较严重的扬尘污染的。</w:t>
      </w:r>
    </w:p>
    <w:p w14:paraId="5089D80D">
      <w:pPr>
        <w:pStyle w:val="21"/>
        <w:spacing w:before="156" w:beforeAutospacing="0" w:after="156" w:afterAutospacing="0" w:line="360" w:lineRule="auto"/>
        <w:ind w:firstLine="300" w:firstLineChars="100"/>
        <w:rPr>
          <w:rFonts w:ascii="Times New Roman" w:hAnsi="Times New Roman" w:eastAsia="仿宋_GB2312"/>
          <w:color w:val="000000" w:themeColor="text1"/>
          <w:sz w:val="30"/>
          <w:szCs w:val="32"/>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3）承包人管理人员未履行安全生产管理职责的，要求限期改正，逾期未改正或不服从发包人或监理单位的合理要求的，出现一次，视情况对承包人处以</w:t>
      </w:r>
      <w:r>
        <w:rPr>
          <w:rFonts w:ascii="仿宋" w:hAnsi="仿宋" w:eastAsia="仿宋" w:cs="仿宋"/>
          <w:i/>
          <w:iCs/>
          <w:color w:val="000000" w:themeColor="text1"/>
          <w:sz w:val="30"/>
          <w:szCs w:val="30"/>
          <w:u w:val="single"/>
          <w14:textFill>
            <w14:solidFill>
              <w14:schemeClr w14:val="tx1"/>
            </w14:solidFill>
          </w14:textFill>
        </w:rPr>
        <w:t>5000-20000</w:t>
      </w:r>
      <w:r>
        <w:rPr>
          <w:rFonts w:hint="eastAsia" w:ascii="Times New Roman" w:hAnsi="Times New Roman" w:eastAsia="仿宋_GB2312"/>
          <w:color w:val="000000" w:themeColor="text1"/>
          <w:sz w:val="30"/>
          <w:szCs w:val="32"/>
          <w14:textFill>
            <w14:solidFill>
              <w14:schemeClr w14:val="tx1"/>
            </w14:solidFill>
          </w14:textFill>
        </w:rPr>
        <w:t>元的罚款，必要时要求承包人停工整顿，工期不相应延长；对于确实不能履行安全管理职责的，发包人有权要求承包人更换项目负责人。</w:t>
      </w:r>
    </w:p>
    <w:p w14:paraId="7D30B390">
      <w:pPr>
        <w:pStyle w:val="21"/>
        <w:spacing w:before="156" w:beforeAutospacing="0" w:after="156" w:afterAutospacing="0" w:line="360" w:lineRule="auto"/>
        <w:ind w:firstLine="300" w:firstLineChars="100"/>
        <w:rPr>
          <w:rFonts w:ascii="Times New Roman" w:hAnsi="Times New Roman" w:eastAsia="仿宋_GB2312"/>
          <w:color w:val="000000" w:themeColor="text1"/>
          <w:sz w:val="30"/>
          <w:szCs w:val="32"/>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4）现场发生伤亡</w:t>
      </w:r>
      <w:r>
        <w:rPr>
          <w:rFonts w:hint="eastAsia" w:ascii="Times New Roman" w:hAnsi="Times New Roman" w:eastAsia="仿宋_GB2312"/>
          <w:color w:val="000000" w:themeColor="text1"/>
          <w:sz w:val="30"/>
          <w:szCs w:val="32"/>
          <w14:textFill>
            <w14:solidFill>
              <w14:schemeClr w14:val="tx1"/>
            </w14:solidFill>
          </w14:textFill>
        </w:rPr>
        <w:t>事故、环保、消防安全等</w:t>
      </w:r>
      <w:r>
        <w:rPr>
          <w:rFonts w:ascii="Times New Roman" w:hAnsi="Times New Roman" w:eastAsia="仿宋_GB2312"/>
          <w:color w:val="000000" w:themeColor="text1"/>
          <w:sz w:val="30"/>
          <w:szCs w:val="32"/>
          <w14:textFill>
            <w14:solidFill>
              <w14:schemeClr w14:val="tx1"/>
            </w14:solidFill>
          </w14:textFill>
        </w:rPr>
        <w:t>事故</w:t>
      </w:r>
      <w:r>
        <w:rPr>
          <w:rFonts w:hint="eastAsia" w:ascii="Times New Roman" w:hAnsi="Times New Roman" w:eastAsia="仿宋_GB2312"/>
          <w:color w:val="000000" w:themeColor="text1"/>
          <w:sz w:val="30"/>
          <w:szCs w:val="32"/>
          <w14:textFill>
            <w14:solidFill>
              <w14:schemeClr w14:val="tx1"/>
            </w14:solidFill>
          </w14:textFill>
        </w:rPr>
        <w:t>以及发生寻衅滋事、打架纠纷、偷窃等不良行为</w:t>
      </w:r>
      <w:r>
        <w:rPr>
          <w:rFonts w:ascii="Times New Roman" w:hAnsi="Times New Roman" w:eastAsia="仿宋_GB2312"/>
          <w:color w:val="000000" w:themeColor="text1"/>
          <w:sz w:val="30"/>
          <w:szCs w:val="32"/>
          <w14:textFill>
            <w14:solidFill>
              <w14:schemeClr w14:val="tx1"/>
            </w14:solidFill>
          </w14:textFill>
        </w:rPr>
        <w:t>，因处理不当造成恶劣影响的，发包人视具体情况对承包人处以</w:t>
      </w:r>
      <w:r>
        <w:rPr>
          <w:rFonts w:ascii="仿宋" w:hAnsi="仿宋" w:eastAsia="仿宋" w:cs="仿宋"/>
          <w:i/>
          <w:iCs/>
          <w:color w:val="000000" w:themeColor="text1"/>
          <w:sz w:val="30"/>
          <w:szCs w:val="30"/>
          <w:u w:val="single"/>
          <w14:textFill>
            <w14:solidFill>
              <w14:schemeClr w14:val="tx1"/>
            </w14:solidFill>
          </w14:textFill>
        </w:rPr>
        <w:t>5000-10000</w:t>
      </w:r>
      <w:r>
        <w:rPr>
          <w:rFonts w:hint="eastAsia" w:ascii="仿宋" w:hAnsi="仿宋" w:eastAsia="仿宋" w:cs="仿宋"/>
          <w:i/>
          <w:iCs/>
          <w:color w:val="000000" w:themeColor="text1"/>
          <w:sz w:val="30"/>
          <w:szCs w:val="30"/>
          <w:u w:val="single"/>
          <w14:textFill>
            <w14:solidFill>
              <w14:schemeClr w14:val="tx1"/>
            </w14:solidFill>
          </w14:textFill>
        </w:rPr>
        <w:t>0</w:t>
      </w:r>
      <w:r>
        <w:rPr>
          <w:rFonts w:hint="eastAsia" w:ascii="Times New Roman" w:hAnsi="Times New Roman" w:eastAsia="仿宋_GB2312"/>
          <w:color w:val="000000" w:themeColor="text1"/>
          <w:sz w:val="30"/>
          <w:szCs w:val="32"/>
          <w14:textFill>
            <w14:solidFill>
              <w14:schemeClr w14:val="tx1"/>
            </w14:solidFill>
          </w14:textFill>
        </w:rPr>
        <w:t>元的罚款。</w:t>
      </w:r>
    </w:p>
    <w:p w14:paraId="500261D9">
      <w:pPr>
        <w:pStyle w:val="21"/>
        <w:spacing w:before="156" w:beforeAutospacing="0" w:after="156" w:afterAutospacing="0" w:line="360" w:lineRule="auto"/>
        <w:ind w:firstLine="300" w:firstLineChars="100"/>
        <w:rPr>
          <w:rFonts w:hint="eastAsia" w:ascii="仿宋" w:hAnsi="仿宋" w:eastAsia="仿宋" w:cs="仿宋"/>
          <w:color w:val="000000" w:themeColor="text1"/>
          <w:sz w:val="30"/>
          <w:szCs w:val="30"/>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5）承包人必须按时参加监理单位、发包人组织的相关会议，有特殊原因不能参加会议者，应提前向会议主持人请假并得到同意，否则按旷会进行处罚。开会迟到30分钟以内者，罚款</w:t>
      </w:r>
      <w:r>
        <w:rPr>
          <w:rFonts w:ascii="仿宋" w:hAnsi="仿宋" w:eastAsia="仿宋" w:cs="仿宋"/>
          <w:i/>
          <w:iCs/>
          <w:color w:val="000000" w:themeColor="text1"/>
          <w:sz w:val="30"/>
          <w:szCs w:val="30"/>
          <w:u w:val="single"/>
          <w14:textFill>
            <w14:solidFill>
              <w14:schemeClr w14:val="tx1"/>
            </w14:solidFill>
          </w14:textFill>
        </w:rPr>
        <w:t>200元/人次</w:t>
      </w:r>
      <w:r>
        <w:rPr>
          <w:rFonts w:hint="eastAsia" w:ascii="仿宋" w:hAnsi="仿宋" w:eastAsia="仿宋" w:cs="仿宋"/>
          <w:color w:val="000000" w:themeColor="text1"/>
          <w:sz w:val="30"/>
          <w:szCs w:val="30"/>
          <w14:textFill>
            <w14:solidFill>
              <w14:schemeClr w14:val="tx1"/>
            </w14:solidFill>
          </w14:textFill>
        </w:rPr>
        <w:t>；</w:t>
      </w:r>
      <w:r>
        <w:rPr>
          <w:rFonts w:hint="eastAsia" w:ascii="Times New Roman" w:hAnsi="Times New Roman" w:eastAsia="仿宋_GB2312"/>
          <w:color w:val="000000" w:themeColor="text1"/>
          <w:sz w:val="30"/>
          <w:szCs w:val="32"/>
          <w14:textFill>
            <w14:solidFill>
              <w14:schemeClr w14:val="tx1"/>
            </w14:solidFill>
          </w14:textFill>
        </w:rPr>
        <w:t>迟到</w:t>
      </w:r>
      <w:r>
        <w:rPr>
          <w:rFonts w:ascii="Times New Roman" w:hAnsi="Times New Roman" w:eastAsia="仿宋_GB2312"/>
          <w:color w:val="000000" w:themeColor="text1"/>
          <w:sz w:val="30"/>
          <w:szCs w:val="32"/>
          <w14:textFill>
            <w14:solidFill>
              <w14:schemeClr w14:val="tx1"/>
            </w14:solidFill>
          </w14:textFill>
        </w:rPr>
        <w:t>30分钟以上的，罚款</w:t>
      </w:r>
      <w:r>
        <w:rPr>
          <w:rFonts w:ascii="仿宋" w:hAnsi="仿宋" w:eastAsia="仿宋" w:cs="仿宋"/>
          <w:i/>
          <w:iCs/>
          <w:color w:val="000000" w:themeColor="text1"/>
          <w:sz w:val="30"/>
          <w:szCs w:val="30"/>
          <w:u w:val="single"/>
          <w14:textFill>
            <w14:solidFill>
              <w14:schemeClr w14:val="tx1"/>
            </w14:solidFill>
          </w14:textFill>
        </w:rPr>
        <w:t>500元/人次</w:t>
      </w:r>
      <w:r>
        <w:rPr>
          <w:rFonts w:hint="eastAsia" w:ascii="仿宋" w:hAnsi="仿宋" w:eastAsia="仿宋" w:cs="仿宋"/>
          <w:color w:val="000000" w:themeColor="text1"/>
          <w:sz w:val="30"/>
          <w:szCs w:val="30"/>
          <w14:textFill>
            <w14:solidFill>
              <w14:schemeClr w14:val="tx1"/>
            </w14:solidFill>
          </w14:textFill>
        </w:rPr>
        <w:t>；</w:t>
      </w:r>
      <w:r>
        <w:rPr>
          <w:rFonts w:hint="eastAsia" w:ascii="Times New Roman" w:hAnsi="Times New Roman" w:eastAsia="仿宋_GB2312"/>
          <w:color w:val="000000" w:themeColor="text1"/>
          <w:sz w:val="30"/>
          <w:szCs w:val="32"/>
          <w14:textFill>
            <w14:solidFill>
              <w14:schemeClr w14:val="tx1"/>
            </w14:solidFill>
          </w14:textFill>
        </w:rPr>
        <w:t>旷会者罚款</w:t>
      </w:r>
      <w:r>
        <w:rPr>
          <w:rFonts w:ascii="仿宋" w:hAnsi="仿宋" w:eastAsia="仿宋" w:cs="仿宋"/>
          <w:i/>
          <w:iCs/>
          <w:color w:val="000000" w:themeColor="text1"/>
          <w:sz w:val="30"/>
          <w:szCs w:val="30"/>
          <w:u w:val="single"/>
          <w14:textFill>
            <w14:solidFill>
              <w14:schemeClr w14:val="tx1"/>
            </w14:solidFill>
          </w14:textFill>
        </w:rPr>
        <w:t>1000元/人次</w:t>
      </w:r>
      <w:r>
        <w:rPr>
          <w:rFonts w:hint="eastAsia" w:ascii="仿宋" w:hAnsi="仿宋" w:eastAsia="仿宋" w:cs="仿宋"/>
          <w:color w:val="000000" w:themeColor="text1"/>
          <w:sz w:val="30"/>
          <w:szCs w:val="30"/>
          <w14:textFill>
            <w14:solidFill>
              <w14:schemeClr w14:val="tx1"/>
            </w14:solidFill>
          </w14:textFill>
        </w:rPr>
        <w:t>。</w:t>
      </w:r>
    </w:p>
    <w:p w14:paraId="136CCF11">
      <w:pPr>
        <w:pStyle w:val="21"/>
        <w:spacing w:before="156" w:beforeAutospacing="0" w:after="156" w:afterAutospacing="0" w:line="360" w:lineRule="auto"/>
        <w:ind w:firstLine="300" w:firstLineChars="100"/>
        <w:rPr>
          <w:rFonts w:hint="eastAsia" w:ascii="仿宋" w:hAnsi="仿宋" w:eastAsia="仿宋" w:cs="仿宋"/>
          <w:i/>
          <w:iCs/>
          <w:color w:val="000000" w:themeColor="text1"/>
          <w:sz w:val="30"/>
          <w:szCs w:val="30"/>
          <w:u w:val="single"/>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6）承包人应按监理单位、发包人要求的时间和质量要求提交工作成果。因自身原因提交工作成果时限超出要求者、提交工作成果质量不符合要求者罚款</w:t>
      </w:r>
      <w:r>
        <w:rPr>
          <w:rFonts w:ascii="仿宋" w:hAnsi="仿宋" w:eastAsia="仿宋" w:cs="仿宋"/>
          <w:i/>
          <w:iCs/>
          <w:color w:val="000000" w:themeColor="text1"/>
          <w:sz w:val="30"/>
          <w:szCs w:val="30"/>
          <w:u w:val="single"/>
          <w14:textFill>
            <w14:solidFill>
              <w14:schemeClr w14:val="tx1"/>
            </w14:solidFill>
          </w14:textFill>
        </w:rPr>
        <w:t>500元/次</w:t>
      </w:r>
      <w:r>
        <w:rPr>
          <w:rFonts w:hint="eastAsia" w:ascii="仿宋" w:hAnsi="仿宋" w:eastAsia="仿宋" w:cs="仿宋"/>
          <w:color w:val="000000" w:themeColor="text1"/>
          <w:sz w:val="30"/>
          <w:szCs w:val="30"/>
          <w14:textFill>
            <w14:solidFill>
              <w14:schemeClr w14:val="tx1"/>
            </w14:solidFill>
          </w14:textFill>
        </w:rPr>
        <w:t>；</w:t>
      </w:r>
      <w:r>
        <w:rPr>
          <w:rFonts w:hint="eastAsia" w:ascii="Times New Roman" w:hAnsi="Times New Roman" w:eastAsia="仿宋_GB2312"/>
          <w:color w:val="000000" w:themeColor="text1"/>
          <w:sz w:val="30"/>
          <w:szCs w:val="32"/>
          <w14:textFill>
            <w14:solidFill>
              <w14:schemeClr w14:val="tx1"/>
            </w14:solidFill>
          </w14:textFill>
        </w:rPr>
        <w:t>再次提交仍不符合要求者，罚款</w:t>
      </w:r>
      <w:r>
        <w:rPr>
          <w:rFonts w:ascii="仿宋" w:hAnsi="仿宋" w:eastAsia="仿宋" w:cs="仿宋"/>
          <w:i/>
          <w:iCs/>
          <w:color w:val="000000" w:themeColor="text1"/>
          <w:sz w:val="30"/>
          <w:szCs w:val="30"/>
          <w:u w:val="single"/>
          <w14:textFill>
            <w14:solidFill>
              <w14:schemeClr w14:val="tx1"/>
            </w14:solidFill>
          </w14:textFill>
        </w:rPr>
        <w:t>1000元/次。</w:t>
      </w:r>
    </w:p>
    <w:p w14:paraId="4BB02524">
      <w:pPr>
        <w:pStyle w:val="21"/>
        <w:spacing w:before="156" w:beforeAutospacing="0" w:after="156" w:afterAutospacing="0" w:line="240" w:lineRule="auto"/>
        <w:ind w:firstLine="300" w:firstLineChars="100"/>
        <w:rPr>
          <w:rFonts w:ascii="Times New Roman" w:hAnsi="Times New Roman" w:eastAsia="仿宋_GB2312"/>
          <w:color w:val="000000" w:themeColor="text1"/>
          <w:sz w:val="30"/>
          <w:szCs w:val="32"/>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7）工程交付使用后，承包人项目经理负责承包人质量维修体系的建立，并主持处理质量维修工作;承包人所负责的施工范围均应成立维修施工小组，项目经理总负责，各维修小组应至少配备管理人1人，土建施工人员1人、安装施工人员2人</w:t>
      </w:r>
      <w:r>
        <w:rPr>
          <w:rFonts w:hint="eastAsia" w:ascii="Times New Roman" w:hAnsi="Times New Roman" w:eastAsia="仿宋_GB2312"/>
          <w:color w:val="000000" w:themeColor="text1"/>
          <w:sz w:val="30"/>
          <w:szCs w:val="32"/>
          <w14:textFill>
            <w14:solidFill>
              <w14:schemeClr w14:val="tx1"/>
            </w14:solidFill>
          </w14:textFill>
        </w:rPr>
        <w:t>。如出现质量维修不及时影响使用单位生产，或经发包人检查未按期完成维修的，根据产生原因对承包人给予每次</w:t>
      </w:r>
      <w:r>
        <w:rPr>
          <w:rFonts w:ascii="仿宋" w:hAnsi="仿宋" w:eastAsia="仿宋" w:cs="仿宋"/>
          <w:i/>
          <w:iCs/>
          <w:color w:val="000000" w:themeColor="text1"/>
          <w:sz w:val="30"/>
          <w:szCs w:val="30"/>
          <w:u w:val="single"/>
          <w14:textFill>
            <w14:solidFill>
              <w14:schemeClr w14:val="tx1"/>
            </w14:solidFill>
          </w14:textFill>
        </w:rPr>
        <w:t>2000</w:t>
      </w:r>
      <w:r>
        <w:rPr>
          <w:rFonts w:hint="eastAsia" w:ascii="仿宋" w:hAnsi="仿宋" w:eastAsia="仿宋" w:cs="仿宋"/>
          <w:i/>
          <w:iCs/>
          <w:color w:val="000000" w:themeColor="text1"/>
          <w:sz w:val="30"/>
          <w:szCs w:val="30"/>
          <w:u w:val="single"/>
          <w14:textFill>
            <w14:solidFill>
              <w14:schemeClr w14:val="tx1"/>
            </w14:solidFill>
          </w14:textFill>
        </w:rPr>
        <w:t>-</w:t>
      </w:r>
      <w:r>
        <w:rPr>
          <w:rFonts w:ascii="仿宋" w:hAnsi="仿宋" w:eastAsia="仿宋" w:cs="仿宋"/>
          <w:i/>
          <w:iCs/>
          <w:color w:val="000000" w:themeColor="text1"/>
          <w:sz w:val="30"/>
          <w:szCs w:val="30"/>
          <w:u w:val="single"/>
          <w14:textFill>
            <w14:solidFill>
              <w14:schemeClr w14:val="tx1"/>
            </w14:solidFill>
          </w14:textFill>
        </w:rPr>
        <w:t>5000</w:t>
      </w:r>
      <w:r>
        <w:rPr>
          <w:rFonts w:hint="eastAsia" w:ascii="仿宋" w:hAnsi="仿宋" w:eastAsia="仿宋" w:cs="仿宋"/>
          <w:color w:val="000000" w:themeColor="text1"/>
          <w:sz w:val="30"/>
          <w:szCs w:val="30"/>
          <w14:textFill>
            <w14:solidFill>
              <w14:schemeClr w14:val="tx1"/>
            </w14:solidFill>
          </w14:textFill>
        </w:rPr>
        <w:t>元</w:t>
      </w:r>
      <w:r>
        <w:rPr>
          <w:rFonts w:hint="eastAsia" w:ascii="Times New Roman" w:hAnsi="Times New Roman" w:eastAsia="仿宋_GB2312"/>
          <w:color w:val="000000" w:themeColor="text1"/>
          <w:sz w:val="30"/>
          <w:szCs w:val="32"/>
          <w14:textFill>
            <w14:solidFill>
              <w14:schemeClr w14:val="tx1"/>
            </w14:solidFill>
          </w14:textFill>
        </w:rPr>
        <w:t>的罚款。各专业分包单位的质量维修管理均由承包人负责，并承担连带责任。</w:t>
      </w:r>
    </w:p>
    <w:p w14:paraId="48BA0FF7">
      <w:pPr>
        <w:pStyle w:val="21"/>
        <w:spacing w:before="156" w:beforeAutospacing="0" w:after="156" w:afterAutospacing="0" w:line="240" w:lineRule="auto"/>
        <w:ind w:firstLine="300" w:firstLineChars="100"/>
        <w:rPr>
          <w:rFonts w:ascii="Times New Roman" w:hAnsi="Times New Roman" w:eastAsia="仿宋_GB2312"/>
          <w:color w:val="000000" w:themeColor="text1"/>
          <w:sz w:val="30"/>
          <w:szCs w:val="32"/>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8）</w:t>
      </w:r>
      <w:r>
        <w:rPr>
          <w:rFonts w:hint="eastAsia" w:ascii="Times New Roman" w:hAnsi="Times New Roman" w:eastAsia="仿宋_GB2312"/>
          <w:color w:val="000000" w:themeColor="text1"/>
          <w:sz w:val="30"/>
          <w:szCs w:val="32"/>
          <w14:textFill>
            <w14:solidFill>
              <w14:schemeClr w14:val="tx1"/>
            </w14:solidFill>
          </w14:textFill>
        </w:rPr>
        <w:t>承包人相关变更、签证、批价等经济资料，审核、审批依据不齐全或未按发包人要求执行，成果文件偏离实际情况或市场价格较大，未进行正常完善、修正的，发包人每发现一次视影响程度处罚承包人</w:t>
      </w:r>
      <w:r>
        <w:rPr>
          <w:rFonts w:ascii="Times New Roman" w:hAnsi="Times New Roman" w:eastAsia="仿宋_GB2312"/>
          <w:color w:val="000000" w:themeColor="text1"/>
          <w:sz w:val="30"/>
          <w:szCs w:val="32"/>
          <w14:textFill>
            <w14:solidFill>
              <w14:schemeClr w14:val="tx1"/>
            </w14:solidFill>
          </w14:textFill>
        </w:rPr>
        <w:t xml:space="preserve"> </w:t>
      </w:r>
      <w:r>
        <w:rPr>
          <w:rFonts w:ascii="仿宋" w:hAnsi="仿宋" w:eastAsia="仿宋" w:cs="仿宋"/>
          <w:i/>
          <w:iCs/>
          <w:color w:val="000000" w:themeColor="text1"/>
          <w:sz w:val="30"/>
          <w:szCs w:val="30"/>
          <w:u w:val="single"/>
          <w14:textFill>
            <w14:solidFill>
              <w14:schemeClr w14:val="tx1"/>
            </w14:solidFill>
          </w14:textFill>
        </w:rPr>
        <w:t>2000-5000</w:t>
      </w:r>
      <w:r>
        <w:rPr>
          <w:rFonts w:ascii="Times New Roman" w:hAnsi="Times New Roman" w:eastAsia="仿宋_GB2312"/>
          <w:color w:val="000000" w:themeColor="text1"/>
          <w:sz w:val="30"/>
          <w:szCs w:val="32"/>
          <w14:textFill>
            <w14:solidFill>
              <w14:schemeClr w14:val="tx1"/>
            </w14:solidFill>
          </w14:textFill>
        </w:rPr>
        <w:t xml:space="preserve"> 元。</w:t>
      </w:r>
    </w:p>
    <w:p w14:paraId="03D245CB">
      <w:pPr>
        <w:pStyle w:val="21"/>
        <w:spacing w:before="156" w:beforeAutospacing="0" w:after="156" w:afterAutospacing="0" w:line="360" w:lineRule="auto"/>
        <w:ind w:firstLine="300" w:firstLineChars="100"/>
        <w:rPr>
          <w:rFonts w:ascii="Times New Roman" w:hAnsi="Times New Roman" w:eastAsia="仿宋_GB2312"/>
          <w:color w:val="000000" w:themeColor="text1"/>
          <w:sz w:val="30"/>
          <w:szCs w:val="32"/>
          <w14:textFill>
            <w14:solidFill>
              <w14:schemeClr w14:val="tx1"/>
            </w14:solidFill>
          </w14:textFill>
        </w:rPr>
      </w:pPr>
      <w:r>
        <w:rPr>
          <w:rFonts w:hint="eastAsia" w:ascii="Times New Roman" w:hAnsi="Times New Roman" w:eastAsia="仿宋_GB2312"/>
          <w:color w:val="000000" w:themeColor="text1"/>
          <w:sz w:val="30"/>
          <w:szCs w:val="32"/>
          <w14:textFill>
            <w14:solidFill>
              <w14:schemeClr w14:val="tx1"/>
            </w14:solidFill>
          </w14:textFill>
        </w:rPr>
        <w:t>（</w:t>
      </w:r>
      <w:r>
        <w:rPr>
          <w:rFonts w:ascii="Times New Roman" w:hAnsi="Times New Roman" w:eastAsia="仿宋_GB2312"/>
          <w:color w:val="000000" w:themeColor="text1"/>
          <w:sz w:val="30"/>
          <w:szCs w:val="32"/>
          <w14:textFill>
            <w14:solidFill>
              <w14:schemeClr w14:val="tx1"/>
            </w14:solidFill>
          </w14:textFill>
        </w:rPr>
        <w:t>9</w:t>
      </w:r>
      <w:r>
        <w:rPr>
          <w:rFonts w:hint="eastAsia" w:ascii="Times New Roman" w:hAnsi="Times New Roman" w:eastAsia="仿宋_GB2312"/>
          <w:color w:val="000000" w:themeColor="text1"/>
          <w:sz w:val="30"/>
          <w:szCs w:val="32"/>
          <w14:textFill>
            <w14:solidFill>
              <w14:schemeClr w14:val="tx1"/>
            </w14:solidFill>
          </w14:textFill>
        </w:rPr>
        <w:t>）承包人未按照发包人要求的《工程项目结算审计报审资料编制规范》报审竣工结算资料的，发包人每发现一次视影响程度处罚承包人</w:t>
      </w:r>
      <w:r>
        <w:rPr>
          <w:rFonts w:ascii="仿宋" w:hAnsi="仿宋" w:eastAsia="仿宋" w:cs="仿宋"/>
          <w:i/>
          <w:iCs/>
          <w:color w:val="000000" w:themeColor="text1"/>
          <w:sz w:val="30"/>
          <w:szCs w:val="30"/>
          <w:u w:val="single"/>
          <w14:textFill>
            <w14:solidFill>
              <w14:schemeClr w14:val="tx1"/>
            </w14:solidFill>
          </w14:textFill>
        </w:rPr>
        <w:t>500-3000</w:t>
      </w:r>
      <w:r>
        <w:rPr>
          <w:rFonts w:hint="eastAsia" w:ascii="Times New Roman" w:hAnsi="Times New Roman" w:eastAsia="仿宋_GB2312"/>
          <w:color w:val="000000" w:themeColor="text1"/>
          <w:sz w:val="30"/>
          <w:szCs w:val="32"/>
          <w14:textFill>
            <w14:solidFill>
              <w14:schemeClr w14:val="tx1"/>
            </w14:solidFill>
          </w14:textFill>
        </w:rPr>
        <w:t>元；承包人结算资料有重复报审的，发包人每发现一次视影响程度处罚承包人</w:t>
      </w:r>
      <w:r>
        <w:rPr>
          <w:rFonts w:ascii="仿宋" w:hAnsi="仿宋" w:eastAsia="仿宋" w:cs="仿宋"/>
          <w:i/>
          <w:iCs/>
          <w:color w:val="000000" w:themeColor="text1"/>
          <w:sz w:val="30"/>
          <w:szCs w:val="30"/>
          <w:u w:val="single"/>
          <w14:textFill>
            <w14:solidFill>
              <w14:schemeClr w14:val="tx1"/>
            </w14:solidFill>
          </w14:textFill>
        </w:rPr>
        <w:t>3000-10000</w:t>
      </w:r>
      <w:r>
        <w:rPr>
          <w:rFonts w:ascii="Times New Roman" w:hAnsi="Times New Roman" w:eastAsia="仿宋_GB2312"/>
          <w:color w:val="000000" w:themeColor="text1"/>
          <w:sz w:val="30"/>
          <w:szCs w:val="32"/>
          <w14:textFill>
            <w14:solidFill>
              <w14:schemeClr w14:val="tx1"/>
            </w14:solidFill>
          </w14:textFill>
        </w:rPr>
        <w:t xml:space="preserve"> </w:t>
      </w:r>
      <w:r>
        <w:rPr>
          <w:rFonts w:hint="eastAsia" w:ascii="Times New Roman" w:hAnsi="Times New Roman" w:eastAsia="仿宋_GB2312"/>
          <w:color w:val="000000" w:themeColor="text1"/>
          <w:sz w:val="30"/>
          <w:szCs w:val="32"/>
          <w14:textFill>
            <w14:solidFill>
              <w14:schemeClr w14:val="tx1"/>
            </w14:solidFill>
          </w14:textFill>
        </w:rPr>
        <w:t>元；承包人报审竣工结算时提供虚假材料的，发包人每发现一次视影响程度处罚承包人</w:t>
      </w:r>
      <w:r>
        <w:rPr>
          <w:rFonts w:ascii="仿宋" w:hAnsi="仿宋" w:eastAsia="仿宋" w:cs="仿宋"/>
          <w:i/>
          <w:iCs/>
          <w:color w:val="000000" w:themeColor="text1"/>
          <w:sz w:val="30"/>
          <w:szCs w:val="30"/>
          <w:u w:val="single"/>
          <w14:textFill>
            <w14:solidFill>
              <w14:schemeClr w14:val="tx1"/>
            </w14:solidFill>
          </w14:textFill>
        </w:rPr>
        <w:t xml:space="preserve">10000-50000 </w:t>
      </w:r>
      <w:r>
        <w:rPr>
          <w:rFonts w:hint="eastAsia" w:ascii="Times New Roman" w:hAnsi="Times New Roman" w:eastAsia="仿宋_GB2312"/>
          <w:color w:val="000000" w:themeColor="text1"/>
          <w:sz w:val="30"/>
          <w:szCs w:val="32"/>
          <w14:textFill>
            <w14:solidFill>
              <w14:schemeClr w14:val="tx1"/>
            </w14:solidFill>
          </w14:textFill>
        </w:rPr>
        <w:t>元。</w:t>
      </w:r>
    </w:p>
    <w:p w14:paraId="5E36FF91">
      <w:pPr>
        <w:pStyle w:val="21"/>
        <w:spacing w:before="156" w:after="156" w:line="360" w:lineRule="auto"/>
        <w:ind w:firstLine="300" w:firstLineChars="100"/>
        <w:rPr>
          <w:rFonts w:ascii="Times New Roman" w:hAnsi="Times New Roman"/>
          <w:i/>
          <w:sz w:val="30"/>
        </w:rPr>
      </w:pPr>
      <w:bookmarkStart w:id="1221" w:name="_Hlk179467096"/>
      <w:bookmarkStart w:id="1222" w:name="_Hlk183180095"/>
      <w:r>
        <w:rPr>
          <w:rFonts w:hint="eastAsia" w:ascii="Times New Roman" w:hAnsi="Times New Roman"/>
          <w:i/>
          <w:sz w:val="30"/>
        </w:rPr>
        <w:t>（</w:t>
      </w:r>
      <w:r>
        <w:rPr>
          <w:rFonts w:ascii="Times New Roman" w:hAnsi="Times New Roman"/>
          <w:i/>
          <w:sz w:val="30"/>
        </w:rPr>
        <w:t>10</w:t>
      </w:r>
      <w:r>
        <w:rPr>
          <w:rFonts w:hint="eastAsia" w:ascii="Times New Roman" w:hAnsi="Times New Roman"/>
          <w:i/>
          <w:sz w:val="30"/>
        </w:rPr>
        <w:t>）工程项目结算</w:t>
      </w:r>
      <w:r>
        <w:rPr>
          <w:rFonts w:hint="eastAsia" w:ascii="Times New Roman" w:hAnsi="Times New Roman" w:eastAsia="仿宋_GB2312"/>
          <w:i/>
          <w:iCs/>
          <w:sz w:val="30"/>
          <w:szCs w:val="32"/>
        </w:rPr>
        <w:t>的</w:t>
      </w:r>
      <w:r>
        <w:rPr>
          <w:rFonts w:hint="eastAsia" w:ascii="Times New Roman" w:hAnsi="Times New Roman"/>
          <w:i/>
          <w:sz w:val="30"/>
        </w:rPr>
        <w:t>报审金额</w:t>
      </w:r>
      <w:r>
        <w:rPr>
          <w:rFonts w:ascii="Times New Roman" w:hAnsi="Times New Roman"/>
          <w:i/>
          <w:sz w:val="30"/>
        </w:rPr>
        <w:t>100</w:t>
      </w:r>
      <w:r>
        <w:rPr>
          <w:rFonts w:hint="eastAsia" w:ascii="Times New Roman" w:hAnsi="Times New Roman"/>
          <w:i/>
          <w:sz w:val="30"/>
        </w:rPr>
        <w:t>万元及以下，</w:t>
      </w:r>
      <w:r>
        <w:rPr>
          <w:rFonts w:hint="eastAsia" w:ascii="Times New Roman" w:hAnsi="Times New Roman" w:eastAsia="仿宋_GB2312"/>
          <w:i/>
          <w:iCs/>
          <w:sz w:val="30"/>
          <w:szCs w:val="32"/>
        </w:rPr>
        <w:t>综合</w:t>
      </w:r>
      <w:r>
        <w:rPr>
          <w:rFonts w:hint="eastAsia" w:ascii="Times New Roman" w:hAnsi="Times New Roman"/>
          <w:i/>
          <w:sz w:val="30"/>
        </w:rPr>
        <w:t>审减率超出</w:t>
      </w:r>
      <w:r>
        <w:rPr>
          <w:rFonts w:ascii="Times New Roman" w:hAnsi="Times New Roman"/>
          <w:i/>
          <w:sz w:val="30"/>
        </w:rPr>
        <w:t>10%</w:t>
      </w:r>
      <w:r>
        <w:rPr>
          <w:rFonts w:hint="eastAsia" w:ascii="Times New Roman" w:hAnsi="Times New Roman"/>
          <w:i/>
          <w:sz w:val="30"/>
        </w:rPr>
        <w:t>的；结算</w:t>
      </w:r>
      <w:r>
        <w:rPr>
          <w:rFonts w:hint="eastAsia" w:ascii="Times New Roman" w:hAnsi="Times New Roman" w:eastAsia="仿宋_GB2312"/>
          <w:i/>
          <w:iCs/>
          <w:sz w:val="30"/>
          <w:szCs w:val="32"/>
        </w:rPr>
        <w:t>的</w:t>
      </w:r>
      <w:r>
        <w:rPr>
          <w:rFonts w:hint="eastAsia" w:ascii="Times New Roman" w:hAnsi="Times New Roman"/>
          <w:i/>
          <w:sz w:val="30"/>
        </w:rPr>
        <w:t>报审金额</w:t>
      </w:r>
      <w:r>
        <w:rPr>
          <w:rFonts w:ascii="Times New Roman" w:hAnsi="Times New Roman"/>
          <w:i/>
          <w:sz w:val="30"/>
        </w:rPr>
        <w:t>100</w:t>
      </w:r>
      <w:r>
        <w:rPr>
          <w:rFonts w:hint="eastAsia" w:ascii="Times New Roman" w:hAnsi="Times New Roman"/>
          <w:i/>
          <w:sz w:val="30"/>
        </w:rPr>
        <w:t>万元以上且</w:t>
      </w:r>
      <w:r>
        <w:rPr>
          <w:rFonts w:ascii="Times New Roman" w:hAnsi="Times New Roman"/>
          <w:i/>
          <w:sz w:val="30"/>
        </w:rPr>
        <w:t>1000</w:t>
      </w:r>
      <w:r>
        <w:rPr>
          <w:rFonts w:hint="eastAsia" w:ascii="Times New Roman" w:hAnsi="Times New Roman"/>
          <w:i/>
          <w:sz w:val="30"/>
        </w:rPr>
        <w:t>万元及以下，</w:t>
      </w:r>
      <w:r>
        <w:rPr>
          <w:rFonts w:hint="eastAsia" w:ascii="Times New Roman" w:hAnsi="Times New Roman" w:eastAsia="仿宋_GB2312"/>
          <w:i/>
          <w:iCs/>
          <w:sz w:val="30"/>
          <w:szCs w:val="32"/>
        </w:rPr>
        <w:t>综合</w:t>
      </w:r>
      <w:r>
        <w:rPr>
          <w:rFonts w:hint="eastAsia" w:ascii="Times New Roman" w:hAnsi="Times New Roman"/>
          <w:i/>
          <w:sz w:val="30"/>
        </w:rPr>
        <w:t>审减率超出</w:t>
      </w:r>
      <w:r>
        <w:rPr>
          <w:rFonts w:ascii="Times New Roman" w:hAnsi="Times New Roman"/>
          <w:i/>
          <w:sz w:val="30"/>
        </w:rPr>
        <w:t>8%</w:t>
      </w:r>
      <w:r>
        <w:rPr>
          <w:rFonts w:hint="eastAsia" w:ascii="Times New Roman" w:hAnsi="Times New Roman"/>
          <w:i/>
          <w:sz w:val="30"/>
        </w:rPr>
        <w:t>的；结算</w:t>
      </w:r>
      <w:r>
        <w:rPr>
          <w:rFonts w:hint="eastAsia" w:ascii="Times New Roman" w:hAnsi="Times New Roman" w:eastAsia="仿宋_GB2312"/>
          <w:i/>
          <w:iCs/>
          <w:sz w:val="30"/>
          <w:szCs w:val="32"/>
        </w:rPr>
        <w:t>的</w:t>
      </w:r>
      <w:r>
        <w:rPr>
          <w:rFonts w:hint="eastAsia" w:ascii="Times New Roman" w:hAnsi="Times New Roman"/>
          <w:i/>
          <w:sz w:val="30"/>
        </w:rPr>
        <w:t>报审金额</w:t>
      </w:r>
      <w:r>
        <w:rPr>
          <w:rFonts w:ascii="Times New Roman" w:hAnsi="Times New Roman"/>
          <w:i/>
          <w:sz w:val="30"/>
        </w:rPr>
        <w:t>1000</w:t>
      </w:r>
      <w:r>
        <w:rPr>
          <w:rFonts w:hint="eastAsia" w:ascii="Times New Roman" w:hAnsi="Times New Roman"/>
          <w:i/>
          <w:sz w:val="30"/>
        </w:rPr>
        <w:t>万元以上，</w:t>
      </w:r>
      <w:r>
        <w:rPr>
          <w:rFonts w:hint="eastAsia" w:ascii="Times New Roman" w:hAnsi="Times New Roman" w:eastAsia="仿宋_GB2312"/>
          <w:i/>
          <w:iCs/>
          <w:sz w:val="30"/>
          <w:szCs w:val="32"/>
        </w:rPr>
        <w:t>综合</w:t>
      </w:r>
      <w:r>
        <w:rPr>
          <w:rFonts w:hint="eastAsia" w:ascii="Times New Roman" w:hAnsi="Times New Roman"/>
          <w:i/>
          <w:sz w:val="30"/>
        </w:rPr>
        <w:t>审减率超出</w:t>
      </w:r>
      <w:r>
        <w:rPr>
          <w:rFonts w:ascii="Times New Roman" w:hAnsi="Times New Roman"/>
          <w:i/>
          <w:sz w:val="30"/>
        </w:rPr>
        <w:t>5%</w:t>
      </w:r>
      <w:r>
        <w:rPr>
          <w:rFonts w:hint="eastAsia" w:ascii="Times New Roman" w:hAnsi="Times New Roman"/>
          <w:i/>
          <w:sz w:val="30"/>
        </w:rPr>
        <w:t>的工程项目，均按超出部分的</w:t>
      </w:r>
      <w:r>
        <w:rPr>
          <w:rFonts w:ascii="Times New Roman" w:hAnsi="Times New Roman" w:eastAsia="仿宋_GB2312"/>
          <w:i/>
          <w:iCs/>
          <w:sz w:val="30"/>
          <w:szCs w:val="32"/>
        </w:rPr>
        <w:t>2</w:t>
      </w:r>
      <w:r>
        <w:rPr>
          <w:rFonts w:ascii="Times New Roman" w:hAnsi="Times New Roman"/>
          <w:i/>
          <w:sz w:val="30"/>
        </w:rPr>
        <w:t>%</w:t>
      </w:r>
      <w:r>
        <w:rPr>
          <w:rFonts w:hint="eastAsia" w:ascii="Times New Roman" w:hAnsi="Times New Roman"/>
          <w:i/>
          <w:sz w:val="30"/>
        </w:rPr>
        <w:t>对施工单位进行考核。</w:t>
      </w:r>
    </w:p>
    <w:p w14:paraId="172381D8">
      <w:pPr>
        <w:pStyle w:val="21"/>
        <w:spacing w:before="156" w:after="156" w:line="360" w:lineRule="auto"/>
        <w:ind w:firstLine="300" w:firstLineChars="100"/>
        <w:rPr>
          <w:rFonts w:ascii="Times New Roman" w:hAnsi="Times New Roman"/>
          <w:i/>
          <w:sz w:val="30"/>
        </w:rPr>
      </w:pPr>
      <w:r>
        <w:rPr>
          <w:rFonts w:hint="eastAsia" w:ascii="Times New Roman" w:hAnsi="Times New Roman"/>
          <w:i/>
          <w:sz w:val="30"/>
        </w:rPr>
        <w:t>（</w:t>
      </w:r>
      <w:r>
        <w:rPr>
          <w:rFonts w:ascii="Times New Roman" w:hAnsi="Times New Roman"/>
          <w:i/>
          <w:sz w:val="30"/>
        </w:rPr>
        <w:t>11</w:t>
      </w:r>
      <w:r>
        <w:rPr>
          <w:rFonts w:hint="eastAsia" w:ascii="Times New Roman" w:hAnsi="Times New Roman"/>
          <w:i/>
          <w:sz w:val="30"/>
        </w:rPr>
        <w:t>）分部</w:t>
      </w:r>
      <w:r>
        <w:rPr>
          <w:rFonts w:hint="eastAsia" w:ascii="Times New Roman" w:hAnsi="Times New Roman" w:eastAsia="仿宋_GB2312"/>
          <w:i/>
          <w:iCs/>
          <w:sz w:val="30"/>
          <w:szCs w:val="32"/>
        </w:rPr>
        <w:t>及</w:t>
      </w:r>
      <w:r>
        <w:rPr>
          <w:rFonts w:hint="eastAsia" w:ascii="Times New Roman" w:hAnsi="Times New Roman"/>
          <w:i/>
          <w:sz w:val="30"/>
        </w:rPr>
        <w:t>分项清单单项审定金额与</w:t>
      </w:r>
      <w:r>
        <w:rPr>
          <w:rFonts w:hint="eastAsia" w:ascii="Times New Roman" w:hAnsi="Times New Roman" w:eastAsia="仿宋_GB2312"/>
          <w:i/>
          <w:iCs/>
          <w:sz w:val="30"/>
          <w:szCs w:val="32"/>
        </w:rPr>
        <w:t>结算</w:t>
      </w:r>
      <w:r>
        <w:rPr>
          <w:rFonts w:hint="eastAsia" w:ascii="Times New Roman" w:hAnsi="Times New Roman"/>
          <w:i/>
          <w:sz w:val="30"/>
        </w:rPr>
        <w:t>报审金额相比，</w:t>
      </w:r>
      <w:r>
        <w:rPr>
          <w:rFonts w:hint="eastAsia" w:ascii="Times New Roman" w:hAnsi="Times New Roman" w:eastAsia="仿宋_GB2312"/>
          <w:i/>
          <w:iCs/>
          <w:sz w:val="30"/>
          <w:szCs w:val="32"/>
        </w:rPr>
        <w:t>分项</w:t>
      </w:r>
      <w:r>
        <w:rPr>
          <w:rFonts w:hint="eastAsia" w:ascii="Times New Roman" w:hAnsi="Times New Roman"/>
          <w:i/>
          <w:sz w:val="30"/>
        </w:rPr>
        <w:t>审减率</w:t>
      </w:r>
      <w:r>
        <w:rPr>
          <w:rFonts w:ascii="Times New Roman" w:hAnsi="Times New Roman"/>
          <w:i/>
          <w:sz w:val="30"/>
        </w:rPr>
        <w:t>30%</w:t>
      </w:r>
      <w:r>
        <w:rPr>
          <w:rFonts w:hint="eastAsia" w:ascii="Times New Roman" w:hAnsi="Times New Roman"/>
          <w:i/>
          <w:sz w:val="30"/>
        </w:rPr>
        <w:t>及以下不予处罚；</w:t>
      </w:r>
      <w:r>
        <w:rPr>
          <w:rFonts w:hint="eastAsia" w:ascii="Times New Roman" w:hAnsi="Times New Roman" w:eastAsia="仿宋_GB2312"/>
          <w:i/>
          <w:iCs/>
          <w:sz w:val="30"/>
          <w:szCs w:val="32"/>
        </w:rPr>
        <w:t>分项</w:t>
      </w:r>
      <w:r>
        <w:rPr>
          <w:rFonts w:hint="eastAsia" w:ascii="Times New Roman" w:hAnsi="Times New Roman"/>
          <w:i/>
          <w:sz w:val="30"/>
        </w:rPr>
        <w:t>审减率</w:t>
      </w:r>
      <w:r>
        <w:rPr>
          <w:rFonts w:ascii="Times New Roman" w:hAnsi="Times New Roman"/>
          <w:i/>
          <w:sz w:val="30"/>
        </w:rPr>
        <w:t>30%</w:t>
      </w:r>
      <w:r>
        <w:rPr>
          <w:rFonts w:hint="eastAsia" w:ascii="Times New Roman" w:hAnsi="Times New Roman"/>
          <w:i/>
          <w:sz w:val="30"/>
        </w:rPr>
        <w:t>以上且</w:t>
      </w:r>
      <w:r>
        <w:rPr>
          <w:rFonts w:ascii="Times New Roman" w:hAnsi="Times New Roman"/>
          <w:i/>
          <w:sz w:val="30"/>
        </w:rPr>
        <w:t>50%</w:t>
      </w:r>
      <w:r>
        <w:rPr>
          <w:rFonts w:hint="eastAsia" w:ascii="Times New Roman" w:hAnsi="Times New Roman"/>
          <w:i/>
          <w:sz w:val="30"/>
        </w:rPr>
        <w:t>及以下的，按超出</w:t>
      </w:r>
      <w:r>
        <w:rPr>
          <w:rFonts w:ascii="Times New Roman" w:hAnsi="Times New Roman"/>
          <w:i/>
          <w:sz w:val="30"/>
        </w:rPr>
        <w:t>30%</w:t>
      </w:r>
      <w:r>
        <w:rPr>
          <w:rFonts w:hint="eastAsia" w:ascii="Times New Roman" w:hAnsi="Times New Roman"/>
          <w:i/>
          <w:sz w:val="30"/>
        </w:rPr>
        <w:t>部分的</w:t>
      </w:r>
      <w:r>
        <w:rPr>
          <w:rFonts w:ascii="Times New Roman" w:hAnsi="Times New Roman" w:eastAsia="仿宋_GB2312"/>
          <w:i/>
          <w:iCs/>
          <w:sz w:val="30"/>
          <w:szCs w:val="32"/>
        </w:rPr>
        <w:t>15</w:t>
      </w:r>
      <w:r>
        <w:rPr>
          <w:rFonts w:ascii="Times New Roman" w:hAnsi="Times New Roman"/>
          <w:i/>
          <w:sz w:val="30"/>
        </w:rPr>
        <w:t>%</w:t>
      </w:r>
      <w:r>
        <w:rPr>
          <w:rFonts w:hint="eastAsia" w:ascii="Times New Roman" w:hAnsi="Times New Roman"/>
          <w:i/>
          <w:sz w:val="30"/>
        </w:rPr>
        <w:t>对施工单位进行考核；</w:t>
      </w:r>
      <w:r>
        <w:rPr>
          <w:rFonts w:hint="eastAsia" w:ascii="Times New Roman" w:hAnsi="Times New Roman" w:eastAsia="仿宋_GB2312"/>
          <w:i/>
          <w:iCs/>
          <w:sz w:val="30"/>
          <w:szCs w:val="32"/>
        </w:rPr>
        <w:t>分项</w:t>
      </w:r>
      <w:r>
        <w:rPr>
          <w:rFonts w:hint="eastAsia" w:ascii="Times New Roman" w:hAnsi="Times New Roman"/>
          <w:i/>
          <w:sz w:val="30"/>
        </w:rPr>
        <w:t>审减率</w:t>
      </w:r>
      <w:r>
        <w:rPr>
          <w:rFonts w:hint="eastAsia" w:ascii="Times New Roman" w:hAnsi="Times New Roman" w:eastAsia="仿宋_GB2312"/>
          <w:i/>
          <w:iCs/>
          <w:sz w:val="30"/>
          <w:szCs w:val="32"/>
        </w:rPr>
        <w:t>大于等于</w:t>
      </w:r>
      <w:r>
        <w:rPr>
          <w:rFonts w:ascii="Times New Roman" w:hAnsi="Times New Roman"/>
          <w:i/>
          <w:sz w:val="30"/>
        </w:rPr>
        <w:t>50%</w:t>
      </w:r>
      <w:r>
        <w:rPr>
          <w:rFonts w:hint="eastAsia" w:ascii="Times New Roman" w:hAnsi="Times New Roman" w:eastAsia="仿宋_GB2312"/>
          <w:i/>
          <w:iCs/>
          <w:sz w:val="30"/>
          <w:szCs w:val="32"/>
        </w:rPr>
        <w:t>且小于</w:t>
      </w:r>
      <w:r>
        <w:rPr>
          <w:rFonts w:ascii="Times New Roman" w:hAnsi="Times New Roman" w:eastAsia="仿宋_GB2312"/>
          <w:i/>
          <w:iCs/>
          <w:sz w:val="30"/>
          <w:szCs w:val="32"/>
        </w:rPr>
        <w:t>100%</w:t>
      </w:r>
      <w:r>
        <w:rPr>
          <w:rFonts w:hint="eastAsia" w:ascii="Times New Roman" w:hAnsi="Times New Roman"/>
          <w:i/>
          <w:sz w:val="30"/>
        </w:rPr>
        <w:t>的，按超出</w:t>
      </w:r>
      <w:r>
        <w:rPr>
          <w:rFonts w:ascii="Times New Roman" w:hAnsi="Times New Roman"/>
          <w:i/>
          <w:sz w:val="30"/>
        </w:rPr>
        <w:t>30%</w:t>
      </w:r>
      <w:r>
        <w:rPr>
          <w:rFonts w:hint="eastAsia" w:ascii="Times New Roman" w:hAnsi="Times New Roman"/>
          <w:i/>
          <w:sz w:val="30"/>
        </w:rPr>
        <w:t>部分的</w:t>
      </w:r>
      <w:r>
        <w:rPr>
          <w:rFonts w:ascii="Times New Roman" w:hAnsi="Times New Roman" w:eastAsia="仿宋_GB2312"/>
          <w:i/>
          <w:iCs/>
          <w:sz w:val="30"/>
          <w:szCs w:val="32"/>
        </w:rPr>
        <w:t>30</w:t>
      </w:r>
      <w:r>
        <w:rPr>
          <w:rFonts w:ascii="Times New Roman" w:hAnsi="Times New Roman"/>
          <w:i/>
          <w:sz w:val="30"/>
        </w:rPr>
        <w:t>%</w:t>
      </w:r>
      <w:r>
        <w:rPr>
          <w:rFonts w:hint="eastAsia" w:ascii="Times New Roman" w:hAnsi="Times New Roman"/>
          <w:i/>
          <w:sz w:val="30"/>
        </w:rPr>
        <w:t>对施工单位进行考核</w:t>
      </w:r>
      <w:r>
        <w:rPr>
          <w:rFonts w:hint="eastAsia" w:ascii="Times New Roman" w:hAnsi="Times New Roman" w:eastAsia="仿宋_GB2312"/>
          <w:i/>
          <w:iCs/>
          <w:sz w:val="30"/>
          <w:szCs w:val="32"/>
        </w:rPr>
        <w:t>；分项审减率等于</w:t>
      </w:r>
      <w:r>
        <w:rPr>
          <w:rFonts w:ascii="Times New Roman" w:hAnsi="Times New Roman" w:eastAsia="仿宋_GB2312"/>
          <w:i/>
          <w:iCs/>
          <w:sz w:val="30"/>
          <w:szCs w:val="32"/>
        </w:rPr>
        <w:t>100%</w:t>
      </w:r>
      <w:r>
        <w:rPr>
          <w:rFonts w:hint="eastAsia" w:ascii="Times New Roman" w:hAnsi="Times New Roman" w:eastAsia="仿宋_GB2312"/>
          <w:i/>
          <w:iCs/>
          <w:sz w:val="30"/>
          <w:szCs w:val="32"/>
        </w:rPr>
        <w:t>的，按审减金额的</w:t>
      </w:r>
      <w:r>
        <w:rPr>
          <w:rFonts w:ascii="Times New Roman" w:hAnsi="Times New Roman" w:eastAsia="仿宋_GB2312"/>
          <w:i/>
          <w:iCs/>
          <w:sz w:val="30"/>
          <w:szCs w:val="32"/>
        </w:rPr>
        <w:t>50%</w:t>
      </w:r>
      <w:r>
        <w:rPr>
          <w:rFonts w:hint="eastAsia" w:ascii="Times New Roman" w:hAnsi="Times New Roman" w:eastAsia="仿宋_GB2312"/>
          <w:i/>
          <w:iCs/>
          <w:sz w:val="30"/>
          <w:szCs w:val="32"/>
        </w:rPr>
        <w:t>对施工单位进行考核。</w:t>
      </w:r>
    </w:p>
    <w:p w14:paraId="76EE34B2">
      <w:pPr>
        <w:pStyle w:val="21"/>
        <w:spacing w:before="156" w:after="156" w:line="360" w:lineRule="auto"/>
        <w:ind w:firstLine="300" w:firstLineChars="100"/>
        <w:rPr>
          <w:rFonts w:ascii="Times New Roman" w:hAnsi="Times New Roman"/>
          <w:i/>
          <w:sz w:val="30"/>
        </w:rPr>
      </w:pPr>
      <w:r>
        <w:rPr>
          <w:rFonts w:hint="eastAsia" w:ascii="Times New Roman" w:hAnsi="Times New Roman"/>
          <w:i/>
          <w:sz w:val="30"/>
        </w:rPr>
        <w:t>（</w:t>
      </w:r>
      <w:r>
        <w:rPr>
          <w:rFonts w:ascii="Times New Roman" w:hAnsi="Times New Roman"/>
          <w:i/>
          <w:sz w:val="30"/>
        </w:rPr>
        <w:t>12</w:t>
      </w:r>
      <w:r>
        <w:rPr>
          <w:rFonts w:hint="eastAsia" w:ascii="Times New Roman" w:hAnsi="Times New Roman"/>
          <w:i/>
          <w:sz w:val="30"/>
        </w:rPr>
        <w:t>）除审计</w:t>
      </w:r>
      <w:r>
        <w:rPr>
          <w:rFonts w:hint="eastAsia" w:ascii="Times New Roman" w:hAnsi="Times New Roman" w:eastAsia="仿宋_GB2312"/>
          <w:i/>
          <w:iCs/>
          <w:sz w:val="30"/>
          <w:szCs w:val="32"/>
        </w:rPr>
        <w:t>监察部门</w:t>
      </w:r>
      <w:r>
        <w:rPr>
          <w:rFonts w:hint="eastAsia" w:ascii="Times New Roman" w:hAnsi="Times New Roman"/>
          <w:i/>
          <w:sz w:val="30"/>
        </w:rPr>
        <w:t>或委托审计机构要求补充的资料外，施工单位</w:t>
      </w:r>
      <w:r>
        <w:rPr>
          <w:rFonts w:hint="eastAsia" w:ascii="Times New Roman" w:hAnsi="Times New Roman" w:eastAsia="仿宋_GB2312"/>
          <w:i/>
          <w:iCs/>
          <w:sz w:val="30"/>
          <w:szCs w:val="32"/>
        </w:rPr>
        <w:t>按结算初审审定额</w:t>
      </w:r>
      <w:r>
        <w:rPr>
          <w:rFonts w:hint="eastAsia" w:ascii="Times New Roman" w:hAnsi="Times New Roman"/>
          <w:i/>
          <w:sz w:val="30"/>
        </w:rPr>
        <w:t>报审后再次以漏报为由报增的，按报增部分审定</w:t>
      </w:r>
      <w:r>
        <w:rPr>
          <w:rFonts w:hint="eastAsia" w:ascii="Times New Roman" w:hAnsi="Times New Roman" w:eastAsia="仿宋_GB2312"/>
          <w:i/>
          <w:iCs/>
          <w:sz w:val="30"/>
          <w:szCs w:val="32"/>
        </w:rPr>
        <w:t>金额</w:t>
      </w:r>
      <w:r>
        <w:rPr>
          <w:rFonts w:hint="eastAsia" w:ascii="Times New Roman" w:hAnsi="Times New Roman"/>
          <w:i/>
          <w:sz w:val="30"/>
        </w:rPr>
        <w:t>的</w:t>
      </w:r>
      <w:r>
        <w:rPr>
          <w:rFonts w:ascii="Times New Roman" w:hAnsi="Times New Roman"/>
          <w:i/>
          <w:sz w:val="30"/>
        </w:rPr>
        <w:t>10%</w:t>
      </w:r>
      <w:r>
        <w:rPr>
          <w:rFonts w:hint="eastAsia" w:ascii="Times New Roman" w:hAnsi="Times New Roman"/>
          <w:i/>
          <w:sz w:val="30"/>
        </w:rPr>
        <w:t>进行考核。</w:t>
      </w:r>
    </w:p>
    <w:bookmarkEnd w:id="1221"/>
    <w:p w14:paraId="5D61FB90">
      <w:pPr>
        <w:pStyle w:val="21"/>
        <w:spacing w:before="156" w:beforeAutospacing="0" w:after="156" w:afterAutospacing="0" w:line="360" w:lineRule="auto"/>
        <w:ind w:firstLine="300" w:firstLineChars="100"/>
        <w:rPr>
          <w:rFonts w:ascii="Times New Roman" w:hAnsi="Times New Roman" w:eastAsia="仿宋_GB2312"/>
          <w:i/>
          <w:iCs/>
          <w:color w:val="FF0000"/>
          <w:sz w:val="30"/>
          <w:szCs w:val="32"/>
        </w:rPr>
      </w:pP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1</w:t>
      </w:r>
      <w:r>
        <w:rPr>
          <w:rFonts w:hint="eastAsia" w:ascii="Times New Roman" w:hAnsi="Times New Roman" w:eastAsia="仿宋_GB2312"/>
          <w:color w:val="000000"/>
          <w:sz w:val="30"/>
          <w:szCs w:val="32"/>
        </w:rPr>
        <w:t>3）按上述考核规则，当考核金额合计不超过5000元或不超过(审减金额-报审金额*10%)*25%时，按5000元与(审减金额-报审金额*10%)*25%中较大值进行考核；当考核金额合计大于5000元且大于(审减金额-报审金额*10%)*25%时，按实际金额进行考核，由施工单位承担。</w:t>
      </w:r>
    </w:p>
    <w:bookmarkEnd w:id="1222"/>
    <w:p w14:paraId="512944FD">
      <w:pPr>
        <w:pStyle w:val="21"/>
        <w:spacing w:before="156" w:beforeAutospacing="0" w:after="156" w:afterAutospacing="0" w:line="240" w:lineRule="auto"/>
        <w:ind w:firstLine="300" w:firstLineChars="100"/>
        <w:rPr>
          <w:rFonts w:ascii="Times New Roman" w:hAnsi="Times New Roman" w:eastAsia="仿宋_GB2312"/>
          <w:color w:val="000000"/>
          <w:sz w:val="30"/>
          <w:szCs w:val="32"/>
        </w:rPr>
      </w:pP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14</w:t>
      </w:r>
      <w:r>
        <w:rPr>
          <w:rFonts w:hint="eastAsia" w:ascii="Times New Roman" w:hAnsi="Times New Roman" w:eastAsia="仿宋_GB2312"/>
          <w:color w:val="000000"/>
          <w:sz w:val="30"/>
          <w:szCs w:val="32"/>
        </w:rPr>
        <w:t>）结算报审时考核条款发生变化的，按最新规定执行。</w:t>
      </w:r>
    </w:p>
    <w:p w14:paraId="16F4F8AB">
      <w:pPr>
        <w:pStyle w:val="21"/>
        <w:spacing w:before="156" w:beforeAutospacing="0" w:after="156" w:afterAutospacing="0" w:line="240" w:lineRule="auto"/>
        <w:ind w:firstLine="300" w:firstLineChars="100"/>
        <w:rPr>
          <w:rFonts w:ascii="Times New Roman" w:hAnsi="Times New Roman" w:eastAsia="仿宋_GB2312"/>
          <w:color w:val="000000"/>
          <w:sz w:val="30"/>
          <w:szCs w:val="32"/>
        </w:rPr>
      </w:pPr>
      <w:r>
        <w:rPr>
          <w:rFonts w:hint="eastAsia" w:ascii="Times New Roman" w:hAnsi="Times New Roman" w:eastAsia="仿宋_GB2312"/>
          <w:color w:val="000000"/>
          <w:sz w:val="30"/>
          <w:szCs w:val="32"/>
        </w:rPr>
        <w:t>（15）凡项目竣工验收</w:t>
      </w:r>
      <w:r>
        <w:rPr>
          <w:rFonts w:hint="eastAsia" w:ascii="Times New Roman" w:hAnsi="Times New Roman"/>
          <w:color w:val="000000" w:themeColor="text1"/>
          <w:sz w:val="30"/>
          <w14:textFill>
            <w14:solidFill>
              <w14:schemeClr w14:val="tx1"/>
            </w14:solidFill>
          </w14:textFill>
        </w:rPr>
        <w:t>合格</w:t>
      </w:r>
      <w:r>
        <w:rPr>
          <w:rFonts w:hint="eastAsia" w:ascii="Times New Roman" w:hAnsi="Times New Roman" w:eastAsia="仿宋_GB2312"/>
          <w:color w:val="000000"/>
          <w:sz w:val="30"/>
          <w:szCs w:val="32"/>
        </w:rPr>
        <w:t>后承包人超期未报审竣工结算资料的，每拖期一天发包人视影响程度处罚承包人</w:t>
      </w:r>
      <w:r>
        <w:rPr>
          <w:rFonts w:ascii="Times New Roman" w:hAnsi="Times New Roman" w:eastAsia="仿宋_GB2312"/>
          <w:color w:val="000000"/>
          <w:sz w:val="30"/>
          <w:szCs w:val="32"/>
        </w:rPr>
        <w:t xml:space="preserve"> </w:t>
      </w:r>
      <w:r>
        <w:rPr>
          <w:rFonts w:ascii="仿宋" w:hAnsi="仿宋" w:eastAsia="仿宋" w:cs="仿宋"/>
          <w:i/>
          <w:iCs/>
          <w:color w:val="000000"/>
          <w:sz w:val="30"/>
          <w:szCs w:val="30"/>
          <w:u w:val="single"/>
        </w:rPr>
        <w:t>1000-5000</w:t>
      </w:r>
      <w:r>
        <w:rPr>
          <w:rFonts w:ascii="Times New Roman" w:hAnsi="Times New Roman" w:eastAsia="仿宋_GB2312"/>
          <w:color w:val="000000"/>
          <w:sz w:val="30"/>
          <w:szCs w:val="32"/>
        </w:rPr>
        <w:t xml:space="preserve"> </w:t>
      </w:r>
      <w:r>
        <w:rPr>
          <w:rFonts w:hint="eastAsia" w:ascii="Times New Roman" w:hAnsi="Times New Roman" w:eastAsia="仿宋_GB2312"/>
          <w:color w:val="000000"/>
          <w:sz w:val="30"/>
          <w:szCs w:val="32"/>
        </w:rPr>
        <w:t>元/天。</w:t>
      </w:r>
    </w:p>
    <w:p w14:paraId="21CD6DE8">
      <w:pPr>
        <w:pStyle w:val="21"/>
        <w:spacing w:before="156" w:beforeAutospacing="0" w:after="156" w:afterAutospacing="0" w:line="240" w:lineRule="auto"/>
        <w:ind w:firstLine="300" w:firstLineChars="100"/>
        <w:rPr>
          <w:rFonts w:hint="eastAsia" w:eastAsia="仿宋_GB2312"/>
          <w:color w:val="000000" w:themeColor="text1"/>
          <w:sz w:val="30"/>
          <w:szCs w:val="32"/>
          <w14:textFill>
            <w14:solidFill>
              <w14:schemeClr w14:val="tx1"/>
            </w14:solidFill>
          </w14:textFill>
        </w:rPr>
      </w:pPr>
      <w:r>
        <w:rPr>
          <w:rFonts w:hint="eastAsia" w:ascii="Times New Roman" w:hAnsi="Times New Roman" w:eastAsia="仿宋_GB2312"/>
          <w:color w:val="000000"/>
          <w:sz w:val="30"/>
          <w:szCs w:val="32"/>
        </w:rPr>
        <w:t>（</w:t>
      </w:r>
      <w:r>
        <w:rPr>
          <w:rFonts w:ascii="Times New Roman" w:hAnsi="Times New Roman" w:eastAsia="仿宋_GB2312"/>
          <w:color w:val="000000"/>
          <w:sz w:val="30"/>
          <w:szCs w:val="32"/>
        </w:rPr>
        <w:t>1</w:t>
      </w:r>
      <w:r>
        <w:rPr>
          <w:rFonts w:hint="eastAsia" w:ascii="Times New Roman" w:hAnsi="Times New Roman" w:eastAsia="仿宋_GB2312"/>
          <w:color w:val="000000"/>
          <w:sz w:val="30"/>
          <w:szCs w:val="32"/>
        </w:rPr>
        <w:t>6）承包人未及时</w:t>
      </w:r>
      <w:r>
        <w:rPr>
          <w:rFonts w:hint="eastAsia" w:ascii="Times New Roman" w:hAnsi="Times New Roman"/>
          <w:color w:val="000000" w:themeColor="text1"/>
          <w:sz w:val="30"/>
          <w14:textFill>
            <w14:solidFill>
              <w14:schemeClr w14:val="tx1"/>
            </w14:solidFill>
          </w14:textFill>
        </w:rPr>
        <w:t>配合</w:t>
      </w:r>
      <w:r>
        <w:rPr>
          <w:rFonts w:hint="eastAsia" w:ascii="Times New Roman" w:hAnsi="Times New Roman" w:eastAsia="仿宋_GB2312"/>
          <w:color w:val="000000"/>
          <w:sz w:val="30"/>
          <w:szCs w:val="32"/>
        </w:rPr>
        <w:t>工程审计单位开展工作的，发包人每发现一次视影响程度处罚承包人</w:t>
      </w:r>
      <w:r>
        <w:rPr>
          <w:rFonts w:ascii="仿宋" w:hAnsi="仿宋" w:eastAsia="仿宋" w:cs="仿宋"/>
          <w:i/>
          <w:iCs/>
          <w:color w:val="000000"/>
          <w:sz w:val="30"/>
          <w:szCs w:val="30"/>
          <w:u w:val="single"/>
        </w:rPr>
        <w:t>3000-10000</w:t>
      </w:r>
      <w:r>
        <w:rPr>
          <w:rFonts w:ascii="Times New Roman" w:hAnsi="Times New Roman" w:eastAsia="仿宋_GB2312"/>
          <w:color w:val="000000"/>
          <w:sz w:val="30"/>
          <w:szCs w:val="32"/>
        </w:rPr>
        <w:t xml:space="preserve"> </w:t>
      </w:r>
      <w:r>
        <w:rPr>
          <w:rFonts w:hint="eastAsia" w:ascii="Times New Roman" w:hAnsi="Times New Roman" w:eastAsia="仿宋_GB2312"/>
          <w:color w:val="000000"/>
          <w:sz w:val="30"/>
          <w:szCs w:val="32"/>
        </w:rPr>
        <w:t>元。</w:t>
      </w:r>
    </w:p>
    <w:p w14:paraId="2C50D8D8">
      <w:pPr>
        <w:spacing w:line="360" w:lineRule="auto"/>
        <w:ind w:firstLine="600" w:firstLineChars="200"/>
        <w:jc w:val="left"/>
        <w:rPr>
          <w:rFonts w:eastAsia="仿宋_GB2312"/>
          <w:color w:val="000000"/>
          <w:sz w:val="30"/>
          <w:szCs w:val="32"/>
        </w:rPr>
      </w:pPr>
      <w:r>
        <w:rPr>
          <w:rFonts w:eastAsia="仿宋_GB2312"/>
          <w:color w:val="000000"/>
          <w:sz w:val="30"/>
          <w:szCs w:val="32"/>
        </w:rPr>
        <w:t>16.2.3</w:t>
      </w:r>
      <w:r>
        <w:rPr>
          <w:rFonts w:hint="eastAsia" w:eastAsia="仿宋_GB2312"/>
          <w:color w:val="000000"/>
          <w:sz w:val="30"/>
          <w:szCs w:val="32"/>
        </w:rPr>
        <w:t>因承包人违约解除合同</w:t>
      </w:r>
    </w:p>
    <w:p w14:paraId="18613B3B">
      <w:pPr>
        <w:spacing w:before="120" w:after="120" w:line="360" w:lineRule="auto"/>
        <w:ind w:firstLine="600" w:firstLineChars="200"/>
        <w:rPr>
          <w:rFonts w:eastAsia="仿宋_GB2312"/>
          <w:color w:val="000000"/>
          <w:kern w:val="0"/>
          <w:sz w:val="30"/>
          <w:szCs w:val="32"/>
        </w:rPr>
      </w:pPr>
      <w:r>
        <w:rPr>
          <w:rFonts w:hint="eastAsia" w:eastAsia="仿宋_GB2312"/>
          <w:color w:val="000000"/>
          <w:kern w:val="0"/>
          <w:sz w:val="30"/>
          <w:szCs w:val="32"/>
        </w:rPr>
        <w:t>关于承包人违约解除合同的特别约定：</w:t>
      </w:r>
      <w:r>
        <w:rPr>
          <w:rFonts w:eastAsia="仿宋_GB2312"/>
          <w:color w:val="000000"/>
          <w:kern w:val="0"/>
          <w:sz w:val="30"/>
          <w:szCs w:val="32"/>
          <w:u w:val="single"/>
        </w:rPr>
        <w:t xml:space="preserve">  </w:t>
      </w:r>
      <w:r>
        <w:rPr>
          <w:rFonts w:hint="eastAsia" w:eastAsia="仿宋_GB2312"/>
          <w:color w:val="000000"/>
          <w:kern w:val="0"/>
          <w:sz w:val="30"/>
          <w:szCs w:val="32"/>
          <w:u w:val="single"/>
        </w:rPr>
        <w:t>前述专用条款有约定的按专用条款约定执行</w:t>
      </w:r>
      <w:r>
        <w:rPr>
          <w:rFonts w:hint="eastAsia" w:eastAsia="仿宋_GB2312"/>
          <w:color w:val="000000"/>
          <w:kern w:val="0"/>
          <w:sz w:val="30"/>
          <w:szCs w:val="32"/>
        </w:rPr>
        <w:t>。</w:t>
      </w:r>
    </w:p>
    <w:p w14:paraId="114A26D5">
      <w:pPr>
        <w:spacing w:before="120" w:after="120" w:line="360" w:lineRule="auto"/>
        <w:ind w:firstLine="600" w:firstLineChars="200"/>
        <w:rPr>
          <w:rFonts w:eastAsia="仿宋_GB2312"/>
          <w:color w:val="000000"/>
          <w:kern w:val="0"/>
          <w:sz w:val="30"/>
          <w:szCs w:val="32"/>
        </w:rPr>
      </w:pPr>
      <w:r>
        <w:rPr>
          <w:rFonts w:hint="eastAsia" w:eastAsia="仿宋_GB2312"/>
          <w:color w:val="000000"/>
          <w:kern w:val="0"/>
          <w:sz w:val="30"/>
          <w:szCs w:val="32"/>
        </w:rPr>
        <w:t>发包人继续使用承包人在施工现场的材料、设备、临时工程、承包人文件和由承包人或以其名义编制的其他文件的费用承担方式：</w:t>
      </w:r>
      <w:r>
        <w:rPr>
          <w:rFonts w:eastAsia="仿宋_GB2312"/>
          <w:color w:val="000000"/>
          <w:kern w:val="0"/>
          <w:sz w:val="30"/>
          <w:szCs w:val="32"/>
          <w:u w:val="single"/>
        </w:rPr>
        <w:t xml:space="preserve"> </w:t>
      </w:r>
      <w:r>
        <w:rPr>
          <w:rFonts w:hint="eastAsia" w:eastAsia="仿宋_GB2312"/>
          <w:color w:val="000000"/>
          <w:kern w:val="0"/>
          <w:sz w:val="30"/>
          <w:szCs w:val="32"/>
          <w:u w:val="single"/>
        </w:rPr>
        <w:t>材料、设备、临时工程协商处理，其他费用发包人不予承担。</w:t>
      </w:r>
    </w:p>
    <w:p w14:paraId="735BAD86">
      <w:pPr>
        <w:spacing w:after="120" w:line="360" w:lineRule="auto"/>
        <w:rPr>
          <w:rFonts w:eastAsia="黑体"/>
          <w:sz w:val="30"/>
          <w:szCs w:val="32"/>
        </w:rPr>
      </w:pPr>
      <w:r>
        <w:rPr>
          <w:rFonts w:eastAsia="黑体"/>
          <w:sz w:val="30"/>
          <w:szCs w:val="32"/>
        </w:rPr>
        <w:t>17.</w:t>
      </w:r>
      <w:r>
        <w:rPr>
          <w:rFonts w:hint="eastAsia" w:eastAsia="黑体"/>
          <w:sz w:val="30"/>
          <w:szCs w:val="32"/>
        </w:rPr>
        <w:t>不可抗力</w:t>
      </w:r>
      <w:bookmarkEnd w:id="1220"/>
      <w:r>
        <w:rPr>
          <w:rFonts w:eastAsia="黑体"/>
          <w:sz w:val="30"/>
          <w:szCs w:val="32"/>
        </w:rPr>
        <w:t xml:space="preserve"> </w:t>
      </w:r>
    </w:p>
    <w:p w14:paraId="3631E611">
      <w:pPr>
        <w:spacing w:after="120" w:line="360" w:lineRule="auto"/>
        <w:ind w:firstLine="600" w:firstLineChars="200"/>
        <w:rPr>
          <w:rFonts w:eastAsia="黑体"/>
          <w:sz w:val="30"/>
          <w:szCs w:val="32"/>
        </w:rPr>
      </w:pPr>
      <w:r>
        <w:rPr>
          <w:rFonts w:eastAsia="黑体"/>
          <w:sz w:val="30"/>
          <w:szCs w:val="32"/>
        </w:rPr>
        <w:t>17.1</w:t>
      </w:r>
      <w:r>
        <w:rPr>
          <w:rFonts w:hint="eastAsia" w:eastAsia="黑体"/>
          <w:sz w:val="30"/>
          <w:szCs w:val="32"/>
        </w:rPr>
        <w:t>不可抗力的确认</w:t>
      </w:r>
    </w:p>
    <w:p w14:paraId="1C9BD97E">
      <w:pPr>
        <w:spacing w:line="360" w:lineRule="auto"/>
        <w:ind w:firstLine="600" w:firstLineChars="200"/>
        <w:jc w:val="left"/>
        <w:rPr>
          <w:rFonts w:eastAsia="仿宋_GB2312"/>
          <w:kern w:val="0"/>
          <w:sz w:val="30"/>
          <w:szCs w:val="32"/>
        </w:rPr>
      </w:pPr>
      <w:r>
        <w:rPr>
          <w:rFonts w:hint="eastAsia" w:eastAsia="仿宋_GB2312"/>
          <w:sz w:val="30"/>
          <w:szCs w:val="32"/>
        </w:rPr>
        <w:t>除通用合同条款约定的不可抗力事件之外，视为不可抗力的其他情形：</w:t>
      </w:r>
    </w:p>
    <w:p w14:paraId="1CD0F915">
      <w:pPr>
        <w:spacing w:line="360" w:lineRule="auto"/>
        <w:ind w:firstLine="600" w:firstLineChars="200"/>
        <w:rPr>
          <w:rFonts w:eastAsia="仿宋_GB2312"/>
          <w:sz w:val="30"/>
          <w:szCs w:val="32"/>
        </w:rPr>
      </w:pPr>
      <w:r>
        <w:rPr>
          <w:rFonts w:eastAsia="仿宋_GB2312"/>
          <w:sz w:val="30"/>
          <w:szCs w:val="32"/>
        </w:rPr>
        <w:t xml:space="preserve">17.1.1  </w:t>
      </w:r>
      <w:r>
        <w:rPr>
          <w:rFonts w:hint="eastAsia" w:eastAsia="仿宋_GB2312"/>
          <w:sz w:val="30"/>
          <w:szCs w:val="32"/>
        </w:rPr>
        <w:t>7</w:t>
      </w:r>
      <w:r>
        <w:rPr>
          <w:rFonts w:eastAsia="仿宋_GB2312" w:cs="仿宋_GB2312"/>
          <w:sz w:val="30"/>
          <w:szCs w:val="32"/>
        </w:rPr>
        <w:t>级以上的地震；</w:t>
      </w:r>
    </w:p>
    <w:p w14:paraId="6A96B7F6">
      <w:pPr>
        <w:spacing w:line="360" w:lineRule="auto"/>
        <w:ind w:firstLine="600" w:firstLineChars="200"/>
        <w:rPr>
          <w:rFonts w:eastAsia="仿宋_GB2312"/>
          <w:sz w:val="30"/>
          <w:szCs w:val="32"/>
        </w:rPr>
      </w:pPr>
      <w:r>
        <w:rPr>
          <w:rFonts w:eastAsia="仿宋_GB2312"/>
          <w:sz w:val="30"/>
          <w:szCs w:val="32"/>
        </w:rPr>
        <w:t>17.1.2  8</w:t>
      </w:r>
      <w:r>
        <w:rPr>
          <w:rFonts w:eastAsia="仿宋_GB2312" w:cs="仿宋_GB2312"/>
          <w:sz w:val="30"/>
          <w:szCs w:val="32"/>
        </w:rPr>
        <w:t>级以上持续</w:t>
      </w:r>
      <w:r>
        <w:rPr>
          <w:rFonts w:eastAsia="仿宋_GB2312"/>
          <w:sz w:val="30"/>
          <w:szCs w:val="32"/>
        </w:rPr>
        <w:t>24</w:t>
      </w:r>
      <w:r>
        <w:rPr>
          <w:rFonts w:eastAsia="仿宋_GB2312" w:cs="仿宋_GB2312"/>
          <w:sz w:val="30"/>
          <w:szCs w:val="32"/>
        </w:rPr>
        <w:t>小时的大风；</w:t>
      </w:r>
    </w:p>
    <w:p w14:paraId="2E2393C7">
      <w:pPr>
        <w:spacing w:line="360" w:lineRule="auto"/>
        <w:ind w:firstLine="600" w:firstLineChars="200"/>
        <w:rPr>
          <w:rFonts w:eastAsia="仿宋_GB2312"/>
          <w:sz w:val="30"/>
          <w:szCs w:val="32"/>
        </w:rPr>
      </w:pPr>
      <w:r>
        <w:rPr>
          <w:rFonts w:eastAsia="仿宋_GB2312"/>
          <w:sz w:val="30"/>
          <w:szCs w:val="32"/>
        </w:rPr>
        <w:t xml:space="preserve">17.1.3  </w:t>
      </w:r>
      <w:r>
        <w:rPr>
          <w:rFonts w:eastAsia="仿宋_GB2312" w:cs="仿宋_GB2312"/>
          <w:sz w:val="30"/>
          <w:szCs w:val="32"/>
        </w:rPr>
        <w:t>持续降雨</w:t>
      </w:r>
      <w:r>
        <w:rPr>
          <w:rFonts w:eastAsia="仿宋_GB2312"/>
          <w:sz w:val="30"/>
          <w:szCs w:val="32"/>
        </w:rPr>
        <w:t>24</w:t>
      </w:r>
      <w:r>
        <w:rPr>
          <w:rFonts w:eastAsia="仿宋_GB2312" w:cs="仿宋_GB2312"/>
          <w:sz w:val="30"/>
          <w:szCs w:val="32"/>
        </w:rPr>
        <w:t>小时且降雨量为</w:t>
      </w:r>
      <w:r>
        <w:rPr>
          <w:rFonts w:eastAsia="仿宋_GB2312"/>
          <w:sz w:val="30"/>
          <w:szCs w:val="32"/>
        </w:rPr>
        <w:t>200mm</w:t>
      </w:r>
      <w:r>
        <w:rPr>
          <w:rFonts w:eastAsia="仿宋_GB2312" w:cs="仿宋_GB2312"/>
          <w:sz w:val="30"/>
          <w:szCs w:val="32"/>
        </w:rPr>
        <w:t>以上；</w:t>
      </w:r>
    </w:p>
    <w:p w14:paraId="312BC282">
      <w:pPr>
        <w:spacing w:line="360" w:lineRule="auto"/>
        <w:ind w:firstLine="600" w:firstLineChars="200"/>
        <w:rPr>
          <w:rFonts w:eastAsia="仿宋_GB2312"/>
          <w:sz w:val="30"/>
          <w:szCs w:val="32"/>
        </w:rPr>
      </w:pPr>
      <w:r>
        <w:rPr>
          <w:rFonts w:eastAsia="仿宋_GB2312"/>
          <w:sz w:val="30"/>
          <w:szCs w:val="32"/>
        </w:rPr>
        <w:t xml:space="preserve">17.1.4  </w:t>
      </w:r>
      <w:r>
        <w:rPr>
          <w:rFonts w:eastAsia="仿宋_GB2312" w:cs="仿宋_GB2312"/>
          <w:sz w:val="30"/>
          <w:szCs w:val="32"/>
        </w:rPr>
        <w:t>省级气象部门发布的气象预报的持续</w:t>
      </w:r>
      <w:r>
        <w:rPr>
          <w:rFonts w:hint="eastAsia" w:eastAsia="仿宋_GB2312"/>
          <w:sz w:val="30"/>
          <w:szCs w:val="32"/>
        </w:rPr>
        <w:t>3</w:t>
      </w:r>
      <w:r>
        <w:rPr>
          <w:rFonts w:eastAsia="仿宋_GB2312" w:cs="仿宋_GB2312"/>
          <w:sz w:val="30"/>
          <w:szCs w:val="32"/>
        </w:rPr>
        <w:t>日最高温度</w:t>
      </w:r>
      <w:r>
        <w:rPr>
          <w:rFonts w:eastAsia="仿宋_GB2312"/>
          <w:sz w:val="30"/>
          <w:szCs w:val="32"/>
        </w:rPr>
        <w:t>40</w:t>
      </w:r>
      <w:r>
        <w:rPr>
          <w:rFonts w:eastAsia="仿宋_GB2312" w:cs="仿宋_GB2312"/>
          <w:sz w:val="30"/>
          <w:szCs w:val="32"/>
        </w:rPr>
        <w:t>℃及以上；</w:t>
      </w:r>
    </w:p>
    <w:p w14:paraId="3B007EF4">
      <w:pPr>
        <w:spacing w:line="360" w:lineRule="auto"/>
        <w:ind w:firstLine="600" w:firstLineChars="200"/>
        <w:rPr>
          <w:rFonts w:eastAsia="仿宋_GB2312"/>
          <w:sz w:val="30"/>
          <w:szCs w:val="32"/>
        </w:rPr>
      </w:pPr>
      <w:r>
        <w:rPr>
          <w:rFonts w:eastAsia="仿宋_GB2312"/>
          <w:sz w:val="30"/>
          <w:szCs w:val="32"/>
        </w:rPr>
        <w:t xml:space="preserve">17.1.5  </w:t>
      </w:r>
      <w:r>
        <w:rPr>
          <w:rFonts w:eastAsia="仿宋_GB2312" w:cs="仿宋_GB2312"/>
          <w:sz w:val="30"/>
          <w:szCs w:val="32"/>
        </w:rPr>
        <w:t>日最低温度</w:t>
      </w:r>
      <w:r>
        <w:rPr>
          <w:rFonts w:eastAsia="仿宋_GB2312"/>
          <w:sz w:val="30"/>
          <w:szCs w:val="32"/>
        </w:rPr>
        <w:t>-20</w:t>
      </w:r>
      <w:r>
        <w:rPr>
          <w:rFonts w:eastAsia="仿宋_GB2312" w:cs="仿宋_GB2312"/>
          <w:sz w:val="30"/>
          <w:szCs w:val="32"/>
        </w:rPr>
        <w:t>℃及以下【有约定冬歇期地区冬季停工的除外】。</w:t>
      </w:r>
    </w:p>
    <w:p w14:paraId="24CFE677">
      <w:pPr>
        <w:spacing w:line="360" w:lineRule="auto"/>
        <w:ind w:firstLine="600" w:firstLineChars="200"/>
        <w:rPr>
          <w:rFonts w:eastAsia="仿宋_GB2312"/>
          <w:sz w:val="30"/>
          <w:szCs w:val="32"/>
        </w:rPr>
      </w:pPr>
      <w:r>
        <w:rPr>
          <w:rFonts w:eastAsia="仿宋_GB2312"/>
          <w:sz w:val="30"/>
          <w:szCs w:val="32"/>
        </w:rPr>
        <w:t>17.1.6  6</w:t>
      </w:r>
      <w:r>
        <w:rPr>
          <w:rFonts w:eastAsia="仿宋_GB2312" w:cs="仿宋_GB2312"/>
          <w:sz w:val="30"/>
          <w:szCs w:val="32"/>
        </w:rPr>
        <w:t>小时内降雪量达</w:t>
      </w:r>
      <w:r>
        <w:rPr>
          <w:rFonts w:eastAsia="仿宋_GB2312"/>
          <w:sz w:val="30"/>
          <w:szCs w:val="32"/>
        </w:rPr>
        <w:t>15mm</w:t>
      </w:r>
      <w:r>
        <w:rPr>
          <w:rFonts w:eastAsia="仿宋_GB2312" w:cs="仿宋_GB2312"/>
          <w:sz w:val="30"/>
          <w:szCs w:val="32"/>
        </w:rPr>
        <w:t>以上且降雪持续。（暴雪红色预警信号）</w:t>
      </w:r>
    </w:p>
    <w:p w14:paraId="3D015249">
      <w:pPr>
        <w:spacing w:line="360" w:lineRule="auto"/>
        <w:ind w:firstLine="600" w:firstLineChars="200"/>
        <w:rPr>
          <w:rFonts w:eastAsia="仿宋_GB2312"/>
          <w:sz w:val="30"/>
          <w:szCs w:val="32"/>
        </w:rPr>
      </w:pPr>
      <w:r>
        <w:rPr>
          <w:rFonts w:eastAsia="仿宋_GB2312"/>
          <w:sz w:val="30"/>
          <w:szCs w:val="32"/>
        </w:rPr>
        <w:t xml:space="preserve">17.1.7  </w:t>
      </w:r>
      <w:r>
        <w:rPr>
          <w:rFonts w:eastAsia="仿宋_GB2312" w:cs="仿宋_GB2312"/>
          <w:sz w:val="30"/>
          <w:szCs w:val="32"/>
        </w:rPr>
        <w:t>由于政府限制类措施导致项目连续停工超</w:t>
      </w:r>
      <w:r>
        <w:rPr>
          <w:rFonts w:eastAsia="仿宋_GB2312"/>
          <w:sz w:val="30"/>
          <w:szCs w:val="32"/>
        </w:rPr>
        <w:t>7</w:t>
      </w:r>
      <w:r>
        <w:rPr>
          <w:rFonts w:eastAsia="仿宋_GB2312" w:cs="仿宋_GB2312"/>
          <w:sz w:val="30"/>
          <w:szCs w:val="32"/>
        </w:rPr>
        <w:t>天（含环保治理一级响应、政府突发普遍性停工措施等）。</w:t>
      </w:r>
    </w:p>
    <w:p w14:paraId="472D4DFD">
      <w:pPr>
        <w:pStyle w:val="13"/>
        <w:ind w:left="63" w:right="63"/>
      </w:pPr>
    </w:p>
    <w:p w14:paraId="7B1E3DC4">
      <w:pPr>
        <w:spacing w:after="120" w:line="360" w:lineRule="auto"/>
        <w:ind w:firstLine="600" w:firstLineChars="200"/>
        <w:rPr>
          <w:rFonts w:eastAsia="黑体"/>
          <w:sz w:val="30"/>
          <w:szCs w:val="32"/>
        </w:rPr>
      </w:pPr>
      <w:r>
        <w:rPr>
          <w:rFonts w:eastAsia="黑体"/>
          <w:sz w:val="30"/>
          <w:szCs w:val="32"/>
        </w:rPr>
        <w:t>17.4</w:t>
      </w:r>
      <w:r>
        <w:rPr>
          <w:rFonts w:hint="eastAsia" w:eastAsia="黑体"/>
          <w:sz w:val="30"/>
          <w:szCs w:val="32"/>
        </w:rPr>
        <w:t>因不可抗力解除合同</w:t>
      </w:r>
    </w:p>
    <w:p w14:paraId="1CF55302">
      <w:pPr>
        <w:spacing w:line="360" w:lineRule="auto"/>
        <w:ind w:firstLine="600" w:firstLineChars="200"/>
        <w:jc w:val="left"/>
        <w:rPr>
          <w:rFonts w:eastAsia="仿宋_GB2312"/>
          <w:sz w:val="30"/>
          <w:szCs w:val="32"/>
        </w:rPr>
      </w:pPr>
      <w:r>
        <w:rPr>
          <w:rFonts w:hint="eastAsia" w:eastAsia="仿宋_GB2312"/>
          <w:sz w:val="30"/>
          <w:szCs w:val="32"/>
        </w:rPr>
        <w:t>合同解除后，发包人应在商定或确定发包人应支付款项后</w:t>
      </w:r>
      <w:r>
        <w:rPr>
          <w:rFonts w:eastAsia="仿宋_GB2312"/>
          <w:sz w:val="30"/>
          <w:szCs w:val="32"/>
          <w:u w:val="single"/>
        </w:rPr>
        <w:t xml:space="preserve">  60 </w:t>
      </w:r>
      <w:r>
        <w:rPr>
          <w:rFonts w:hint="eastAsia" w:eastAsia="仿宋_GB2312"/>
          <w:sz w:val="30"/>
          <w:szCs w:val="32"/>
          <w:u w:val="single"/>
        </w:rPr>
        <w:t>或者双方另签补充协议约定</w:t>
      </w:r>
      <w:r>
        <w:rPr>
          <w:rFonts w:eastAsia="仿宋_GB2312"/>
          <w:sz w:val="30"/>
          <w:szCs w:val="32"/>
          <w:u w:val="single"/>
        </w:rPr>
        <w:t xml:space="preserve"> </w:t>
      </w:r>
      <w:r>
        <w:rPr>
          <w:rFonts w:hint="eastAsia" w:eastAsia="仿宋_GB2312"/>
          <w:sz w:val="30"/>
          <w:szCs w:val="32"/>
        </w:rPr>
        <w:t>天内完成款项的支付。</w:t>
      </w:r>
    </w:p>
    <w:p w14:paraId="16C1AC1A">
      <w:pPr>
        <w:spacing w:after="120" w:line="360" w:lineRule="auto"/>
        <w:rPr>
          <w:rFonts w:eastAsia="黑体"/>
          <w:sz w:val="30"/>
          <w:szCs w:val="32"/>
        </w:rPr>
      </w:pPr>
      <w:bookmarkStart w:id="1223" w:name="_Toc351203650"/>
      <w:r>
        <w:rPr>
          <w:rFonts w:eastAsia="黑体"/>
          <w:sz w:val="30"/>
          <w:szCs w:val="32"/>
        </w:rPr>
        <w:t>18.</w:t>
      </w:r>
      <w:r>
        <w:rPr>
          <w:rFonts w:hint="eastAsia" w:eastAsia="黑体"/>
          <w:sz w:val="30"/>
          <w:szCs w:val="32"/>
        </w:rPr>
        <w:t>保险</w:t>
      </w:r>
      <w:bookmarkEnd w:id="1223"/>
    </w:p>
    <w:p w14:paraId="1AA09AA0">
      <w:pPr>
        <w:spacing w:after="120" w:line="360" w:lineRule="auto"/>
        <w:ind w:firstLine="600" w:firstLineChars="200"/>
        <w:rPr>
          <w:rFonts w:eastAsia="黑体"/>
          <w:sz w:val="30"/>
          <w:szCs w:val="32"/>
        </w:rPr>
      </w:pPr>
      <w:r>
        <w:rPr>
          <w:rFonts w:eastAsia="黑体"/>
          <w:sz w:val="30"/>
          <w:szCs w:val="32"/>
        </w:rPr>
        <w:t>18.1</w:t>
      </w:r>
      <w:r>
        <w:rPr>
          <w:rFonts w:hint="eastAsia" w:eastAsia="黑体"/>
          <w:sz w:val="30"/>
          <w:szCs w:val="32"/>
        </w:rPr>
        <w:t>工程保险</w:t>
      </w:r>
    </w:p>
    <w:p w14:paraId="6E04D269">
      <w:pPr>
        <w:spacing w:line="360" w:lineRule="auto"/>
        <w:ind w:firstLine="600" w:firstLineChars="200"/>
        <w:jc w:val="left"/>
        <w:rPr>
          <w:rFonts w:eastAsia="仿宋_GB2312"/>
          <w:kern w:val="0"/>
          <w:sz w:val="30"/>
          <w:szCs w:val="32"/>
          <w:u w:val="single"/>
        </w:rPr>
      </w:pPr>
      <w:r>
        <w:rPr>
          <w:rFonts w:hint="eastAsia" w:eastAsia="仿宋_GB2312"/>
          <w:sz w:val="30"/>
          <w:szCs w:val="32"/>
        </w:rPr>
        <w:t>关于工程保险的特别约定：</w:t>
      </w:r>
      <w:r>
        <w:rPr>
          <w:rFonts w:eastAsia="仿宋_GB2312"/>
          <w:kern w:val="0"/>
          <w:sz w:val="30"/>
          <w:szCs w:val="32"/>
          <w:u w:val="single"/>
        </w:rPr>
        <w:t xml:space="preserve"> </w:t>
      </w:r>
      <w:r>
        <w:rPr>
          <w:rFonts w:hint="eastAsia" w:eastAsia="仿宋_GB2312"/>
          <w:kern w:val="0"/>
          <w:sz w:val="30"/>
          <w:szCs w:val="32"/>
          <w:u w:val="single"/>
        </w:rPr>
        <w:t>发包人将建筑工程一切险或安装工程一切险、第三者责任险、意外伤害险的保险事项委托承包人办理，费用已包含在合同签约价中（应在招标文件中提示）。承包人在投标时已自行测算所有保险费用，并已考虑风险因素。承包人的投保范围必须符合工程所在地相关政府主管部门的要求，并与合同承包范围一致。上述保险责任期限自承包人实际进场之日起至实际竣工退场。</w:t>
      </w:r>
    </w:p>
    <w:p w14:paraId="7715E02C">
      <w:pPr>
        <w:spacing w:line="360" w:lineRule="auto"/>
        <w:ind w:firstLine="600" w:firstLineChars="200"/>
        <w:jc w:val="left"/>
        <w:rPr>
          <w:rFonts w:eastAsia="仿宋_GB2312"/>
          <w:kern w:val="0"/>
          <w:sz w:val="30"/>
          <w:szCs w:val="32"/>
          <w:u w:val="single"/>
        </w:rPr>
      </w:pPr>
      <w:r>
        <w:rPr>
          <w:rFonts w:hint="eastAsia" w:eastAsia="仿宋_GB2312"/>
          <w:kern w:val="0"/>
          <w:sz w:val="30"/>
          <w:szCs w:val="32"/>
          <w:u w:val="single"/>
        </w:rPr>
        <w:t>承包人若未按合同约定投保，施工期间所发生的一切与本工程有关的人员、工程、财产等意外伤害、损失，由承包人承担全部责任和费用。</w:t>
      </w:r>
    </w:p>
    <w:p w14:paraId="2D2AE924">
      <w:pPr>
        <w:spacing w:after="120" w:line="360" w:lineRule="auto"/>
        <w:ind w:firstLine="600" w:firstLineChars="200"/>
        <w:rPr>
          <w:rFonts w:eastAsia="黑体"/>
          <w:color w:val="000000"/>
          <w:sz w:val="30"/>
          <w:szCs w:val="32"/>
        </w:rPr>
      </w:pPr>
      <w:r>
        <w:rPr>
          <w:rFonts w:eastAsia="黑体"/>
          <w:color w:val="000000"/>
          <w:sz w:val="30"/>
          <w:szCs w:val="32"/>
        </w:rPr>
        <w:t>18.3</w:t>
      </w:r>
      <w:r>
        <w:rPr>
          <w:rFonts w:hint="eastAsia" w:eastAsia="黑体"/>
          <w:color w:val="000000"/>
          <w:sz w:val="30"/>
          <w:szCs w:val="32"/>
        </w:rPr>
        <w:t>其他保险</w:t>
      </w:r>
    </w:p>
    <w:p w14:paraId="6046C498">
      <w:pPr>
        <w:spacing w:line="360" w:lineRule="auto"/>
        <w:ind w:firstLine="600" w:firstLineChars="200"/>
        <w:jc w:val="left"/>
        <w:rPr>
          <w:rFonts w:eastAsia="仿宋_GB2312"/>
          <w:color w:val="000000"/>
          <w:kern w:val="0"/>
          <w:sz w:val="30"/>
          <w:szCs w:val="32"/>
        </w:rPr>
      </w:pPr>
      <w:r>
        <w:rPr>
          <w:rFonts w:hint="eastAsia" w:eastAsia="仿宋_GB2312"/>
          <w:color w:val="000000"/>
          <w:sz w:val="30"/>
          <w:szCs w:val="32"/>
        </w:rPr>
        <w:t>关于其他保险的约定：</w:t>
      </w:r>
      <w:r>
        <w:rPr>
          <w:rFonts w:eastAsia="仿宋_GB2312"/>
          <w:color w:val="000000"/>
          <w:kern w:val="0"/>
          <w:sz w:val="30"/>
          <w:szCs w:val="32"/>
          <w:u w:val="single"/>
        </w:rPr>
        <w:t xml:space="preserve">  </w:t>
      </w:r>
      <w:r>
        <w:rPr>
          <w:rFonts w:hint="eastAsia" w:eastAsia="仿宋_GB2312"/>
          <w:color w:val="000000"/>
          <w:kern w:val="0"/>
          <w:sz w:val="30"/>
          <w:szCs w:val="32"/>
          <w:u w:val="single"/>
        </w:rPr>
        <w:t>承包人支付的保险均已包含在合同签约价中，发包人不再单独支付</w:t>
      </w:r>
      <w:r>
        <w:rPr>
          <w:rFonts w:eastAsia="仿宋_GB2312"/>
          <w:color w:val="000000"/>
          <w:kern w:val="0"/>
          <w:sz w:val="30"/>
          <w:szCs w:val="32"/>
          <w:u w:val="single"/>
        </w:rPr>
        <w:t xml:space="preserve"> </w:t>
      </w:r>
      <w:r>
        <w:rPr>
          <w:rFonts w:hint="eastAsia" w:eastAsia="仿宋_GB2312"/>
          <w:color w:val="000000"/>
          <w:kern w:val="0"/>
          <w:sz w:val="30"/>
          <w:szCs w:val="32"/>
        </w:rPr>
        <w:t>。</w:t>
      </w:r>
    </w:p>
    <w:p w14:paraId="1963A51F">
      <w:pPr>
        <w:spacing w:line="360" w:lineRule="auto"/>
        <w:ind w:firstLine="600" w:firstLineChars="200"/>
        <w:jc w:val="left"/>
        <w:rPr>
          <w:rFonts w:eastAsia="仿宋_GB2312"/>
          <w:color w:val="000000"/>
          <w:kern w:val="0"/>
          <w:sz w:val="30"/>
          <w:szCs w:val="32"/>
        </w:rPr>
      </w:pPr>
      <w:r>
        <w:rPr>
          <w:rFonts w:hint="eastAsia" w:eastAsia="仿宋_GB2312"/>
          <w:color w:val="000000"/>
          <w:sz w:val="30"/>
          <w:szCs w:val="32"/>
        </w:rPr>
        <w:t>承包人是否应为其施工设备等办理财产保险</w:t>
      </w:r>
      <w:r>
        <w:rPr>
          <w:rFonts w:hint="eastAsia" w:eastAsia="仿宋_GB2312"/>
          <w:color w:val="000000"/>
          <w:sz w:val="30"/>
          <w:szCs w:val="32"/>
          <w:u w:val="single"/>
        </w:rPr>
        <w:t>：是</w:t>
      </w:r>
      <w:r>
        <w:rPr>
          <w:rFonts w:eastAsia="仿宋_GB2312"/>
          <w:color w:val="000000"/>
          <w:sz w:val="30"/>
          <w:szCs w:val="32"/>
          <w:u w:val="single"/>
        </w:rPr>
        <w:t xml:space="preserve">  </w:t>
      </w:r>
      <w:r>
        <w:rPr>
          <w:rFonts w:hint="eastAsia" w:eastAsia="仿宋_GB2312"/>
          <w:color w:val="000000"/>
          <w:sz w:val="30"/>
          <w:szCs w:val="32"/>
        </w:rPr>
        <w:t>。</w:t>
      </w:r>
    </w:p>
    <w:p w14:paraId="3B211502">
      <w:pPr>
        <w:spacing w:after="120" w:line="360" w:lineRule="auto"/>
        <w:ind w:firstLine="600" w:firstLineChars="200"/>
        <w:rPr>
          <w:rFonts w:eastAsia="黑体"/>
          <w:color w:val="000000"/>
          <w:sz w:val="30"/>
          <w:szCs w:val="32"/>
        </w:rPr>
      </w:pPr>
      <w:r>
        <w:rPr>
          <w:rFonts w:eastAsia="黑体"/>
          <w:color w:val="000000"/>
          <w:sz w:val="30"/>
          <w:szCs w:val="32"/>
        </w:rPr>
        <w:t>18.7</w:t>
      </w:r>
      <w:r>
        <w:rPr>
          <w:rFonts w:hint="eastAsia" w:eastAsia="黑体"/>
          <w:color w:val="000000"/>
          <w:sz w:val="30"/>
          <w:szCs w:val="32"/>
        </w:rPr>
        <w:t>通知义务</w:t>
      </w:r>
    </w:p>
    <w:p w14:paraId="749EC450">
      <w:pPr>
        <w:spacing w:line="360" w:lineRule="auto"/>
        <w:ind w:firstLine="600" w:firstLineChars="200"/>
        <w:jc w:val="left"/>
        <w:rPr>
          <w:rFonts w:eastAsia="仿宋_GB2312"/>
          <w:color w:val="000000"/>
          <w:sz w:val="30"/>
          <w:szCs w:val="32"/>
        </w:rPr>
      </w:pPr>
      <w:r>
        <w:rPr>
          <w:rFonts w:hint="eastAsia" w:eastAsia="仿宋_GB2312"/>
          <w:color w:val="000000"/>
          <w:kern w:val="0"/>
          <w:sz w:val="30"/>
          <w:szCs w:val="32"/>
        </w:rPr>
        <w:t>关于变更保险合同时的通知义务的约定：</w:t>
      </w:r>
      <w:r>
        <w:rPr>
          <w:rFonts w:eastAsia="仿宋_GB2312"/>
          <w:color w:val="000000"/>
          <w:sz w:val="30"/>
          <w:szCs w:val="32"/>
          <w:u w:val="single"/>
        </w:rPr>
        <w:t xml:space="preserve"> </w:t>
      </w:r>
      <w:r>
        <w:rPr>
          <w:rFonts w:hint="eastAsia" w:eastAsia="仿宋_GB2312"/>
          <w:color w:val="000000"/>
          <w:sz w:val="30"/>
          <w:szCs w:val="32"/>
          <w:u w:val="single"/>
        </w:rPr>
        <w:t>执行《通用合同条款》</w:t>
      </w:r>
      <w:r>
        <w:rPr>
          <w:rFonts w:eastAsia="仿宋_GB2312"/>
          <w:color w:val="000000"/>
          <w:sz w:val="30"/>
          <w:szCs w:val="32"/>
          <w:u w:val="single"/>
        </w:rPr>
        <w:t xml:space="preserve"> </w:t>
      </w:r>
      <w:r>
        <w:rPr>
          <w:rFonts w:hint="eastAsia" w:eastAsia="仿宋_GB2312"/>
          <w:color w:val="000000"/>
          <w:sz w:val="30"/>
          <w:szCs w:val="32"/>
        </w:rPr>
        <w:t>。</w:t>
      </w:r>
    </w:p>
    <w:p w14:paraId="7E31B55D">
      <w:pPr>
        <w:pStyle w:val="13"/>
        <w:ind w:right="63"/>
        <w:jc w:val="left"/>
        <w:rPr>
          <w:rFonts w:eastAsia="黑体"/>
          <w:sz w:val="30"/>
          <w:szCs w:val="32"/>
        </w:rPr>
      </w:pPr>
      <w:r>
        <w:rPr>
          <w:rFonts w:hint="eastAsia" w:eastAsia="黑体"/>
          <w:sz w:val="30"/>
          <w:szCs w:val="32"/>
        </w:rPr>
        <w:t>19.索赔</w:t>
      </w:r>
    </w:p>
    <w:p w14:paraId="4B1E1823">
      <w:pPr>
        <w:pStyle w:val="13"/>
        <w:ind w:left="63" w:right="63" w:firstLine="600" w:firstLineChars="200"/>
        <w:jc w:val="left"/>
        <w:rPr>
          <w:rFonts w:eastAsia="仿宋_GB2312"/>
          <w:sz w:val="30"/>
          <w:szCs w:val="32"/>
          <w:u w:val="single"/>
        </w:rPr>
      </w:pPr>
      <w:r>
        <w:rPr>
          <w:rFonts w:hint="eastAsia" w:eastAsia="仿宋_GB2312"/>
          <w:sz w:val="30"/>
          <w:szCs w:val="32"/>
          <w:u w:val="single"/>
        </w:rPr>
        <w:t>承包人收到按发包人签发的工作联系单、设计变更后，承包人应在</w:t>
      </w:r>
      <w:r>
        <w:rPr>
          <w:rFonts w:eastAsia="仿宋_GB2312"/>
          <w:sz w:val="30"/>
          <w:szCs w:val="32"/>
          <w:u w:val="single"/>
        </w:rPr>
        <w:t>2</w:t>
      </w:r>
      <w:r>
        <w:rPr>
          <w:rFonts w:hint="eastAsia" w:eastAsia="仿宋_GB2312"/>
          <w:sz w:val="30"/>
          <w:szCs w:val="32"/>
          <w:u w:val="single"/>
        </w:rPr>
        <w:t>日内测算其成本和造价费用变化报发包人成本管理审核。承包人在工作内容实施完毕后</w:t>
      </w:r>
      <w:r>
        <w:rPr>
          <w:rFonts w:eastAsia="仿宋_GB2312"/>
          <w:sz w:val="30"/>
          <w:szCs w:val="32"/>
          <w:u w:val="single"/>
        </w:rPr>
        <w:t>7</w:t>
      </w:r>
      <w:r>
        <w:rPr>
          <w:rFonts w:hint="eastAsia" w:eastAsia="仿宋_GB2312"/>
          <w:sz w:val="30"/>
          <w:szCs w:val="32"/>
          <w:u w:val="single"/>
        </w:rPr>
        <w:t>日内完成工程量签证和清单外价格审批。每月</w:t>
      </w:r>
      <w:r>
        <w:rPr>
          <w:rFonts w:eastAsia="仿宋_GB2312"/>
          <w:sz w:val="30"/>
          <w:szCs w:val="32"/>
          <w:u w:val="single"/>
        </w:rPr>
        <w:t>20</w:t>
      </w:r>
      <w:r>
        <w:rPr>
          <w:rFonts w:hint="eastAsia" w:eastAsia="仿宋_GB2312"/>
          <w:sz w:val="30"/>
          <w:szCs w:val="32"/>
          <w:u w:val="single"/>
        </w:rPr>
        <w:t>日承包人应当无遗漏的按发包人要求汇总报送其当月的设计变更、现场签证、价格审批，并进入当月形象进度款。承包人未按时限上报其当月已发生设计变更、现场签证增项的，视为承包人自愿放弃要求发包人支付该增项费用的权利，发包人亦不再受理上述事宜。</w:t>
      </w:r>
    </w:p>
    <w:p w14:paraId="51C8859C">
      <w:pPr>
        <w:pStyle w:val="13"/>
        <w:ind w:left="63" w:right="63" w:firstLine="600" w:firstLineChars="200"/>
        <w:jc w:val="left"/>
        <w:rPr>
          <w:rFonts w:eastAsia="仿宋_GB2312"/>
          <w:sz w:val="30"/>
          <w:szCs w:val="32"/>
          <w:u w:val="single"/>
        </w:rPr>
      </w:pPr>
      <w:r>
        <w:rPr>
          <w:rFonts w:hint="eastAsia" w:eastAsia="仿宋_GB2312"/>
          <w:sz w:val="30"/>
          <w:szCs w:val="32"/>
          <w:u w:val="single"/>
        </w:rPr>
        <w:t>工程量签证现场草签结束后3日内，施工单位汇总统计草签单中的工程量或发生的人工、机械设备台班数量，填写《现场签证单》。签证签批办理最长不超过28日。若超出28日，每超期一天施工单位承担签证单工程量5‰/天/项的折损，直至全部折损完毕。在竣工结算审计时，按正式签证日期与草签单日期的间隔日历天数予以扣除。</w:t>
      </w:r>
    </w:p>
    <w:p w14:paraId="3480B04E">
      <w:pPr>
        <w:pStyle w:val="13"/>
        <w:ind w:right="63"/>
        <w:jc w:val="left"/>
        <w:rPr>
          <w:rFonts w:eastAsia="黑体"/>
          <w:sz w:val="30"/>
          <w:szCs w:val="32"/>
        </w:rPr>
      </w:pPr>
      <w:bookmarkStart w:id="1224" w:name="_Toc351203651"/>
      <w:r>
        <w:rPr>
          <w:rFonts w:hint="eastAsia" w:eastAsia="黑体"/>
          <w:sz w:val="30"/>
          <w:szCs w:val="32"/>
        </w:rPr>
        <w:t>20.争议解决</w:t>
      </w:r>
      <w:bookmarkEnd w:id="1224"/>
    </w:p>
    <w:p w14:paraId="0AFCD64D">
      <w:pPr>
        <w:spacing w:after="120" w:line="360" w:lineRule="auto"/>
        <w:ind w:firstLine="600" w:firstLineChars="200"/>
        <w:rPr>
          <w:rFonts w:eastAsia="黑体"/>
          <w:sz w:val="30"/>
          <w:szCs w:val="32"/>
        </w:rPr>
      </w:pPr>
      <w:r>
        <w:rPr>
          <w:rFonts w:eastAsia="黑体"/>
          <w:sz w:val="30"/>
          <w:szCs w:val="32"/>
        </w:rPr>
        <w:t>20.3</w:t>
      </w:r>
      <w:r>
        <w:rPr>
          <w:rFonts w:hint="eastAsia" w:eastAsia="黑体"/>
          <w:sz w:val="30"/>
          <w:szCs w:val="32"/>
        </w:rPr>
        <w:t>争议评审</w:t>
      </w:r>
    </w:p>
    <w:p w14:paraId="2F4A2966">
      <w:pPr>
        <w:spacing w:line="360" w:lineRule="auto"/>
        <w:ind w:firstLine="600" w:firstLineChars="200"/>
        <w:jc w:val="left"/>
        <w:rPr>
          <w:rFonts w:eastAsia="仿宋_GB2312"/>
          <w:sz w:val="30"/>
          <w:szCs w:val="32"/>
        </w:rPr>
      </w:pPr>
      <w:r>
        <w:rPr>
          <w:rFonts w:hint="eastAsia" w:eastAsia="仿宋_GB2312"/>
          <w:sz w:val="30"/>
          <w:szCs w:val="32"/>
        </w:rPr>
        <w:t>合同当事人是否同意将工程争议提交争议评审小组决定：</w:t>
      </w:r>
      <w:r>
        <w:rPr>
          <w:rFonts w:eastAsia="仿宋_GB2312"/>
          <w:sz w:val="30"/>
          <w:szCs w:val="32"/>
          <w:u w:val="single"/>
        </w:rPr>
        <w:t xml:space="preserve"> </w:t>
      </w:r>
      <w:r>
        <w:rPr>
          <w:rFonts w:hint="eastAsia" w:eastAsia="仿宋_GB2312"/>
          <w:sz w:val="30"/>
          <w:szCs w:val="32"/>
          <w:u w:val="single"/>
        </w:rPr>
        <w:t>不适用</w:t>
      </w:r>
      <w:r>
        <w:rPr>
          <w:rFonts w:hint="eastAsia" w:eastAsia="仿宋_GB2312"/>
          <w:sz w:val="30"/>
          <w:szCs w:val="32"/>
        </w:rPr>
        <w:t>。</w:t>
      </w:r>
      <w:r>
        <w:rPr>
          <w:rFonts w:eastAsia="仿宋_GB2312"/>
          <w:sz w:val="30"/>
          <w:szCs w:val="32"/>
        </w:rPr>
        <w:t xml:space="preserve">  </w:t>
      </w:r>
    </w:p>
    <w:p w14:paraId="3D0E7017">
      <w:pPr>
        <w:spacing w:line="360" w:lineRule="auto"/>
        <w:ind w:firstLine="600" w:firstLineChars="200"/>
        <w:jc w:val="left"/>
        <w:rPr>
          <w:rFonts w:eastAsia="仿宋_GB2312"/>
          <w:sz w:val="30"/>
          <w:szCs w:val="32"/>
        </w:rPr>
      </w:pPr>
      <w:r>
        <w:rPr>
          <w:rFonts w:eastAsia="仿宋_GB2312"/>
          <w:sz w:val="30"/>
          <w:szCs w:val="32"/>
        </w:rPr>
        <w:t>20.3.1</w:t>
      </w:r>
      <w:r>
        <w:rPr>
          <w:rFonts w:hint="eastAsia" w:eastAsia="仿宋_GB2312"/>
          <w:sz w:val="30"/>
          <w:szCs w:val="32"/>
        </w:rPr>
        <w:t>争议评审小组的确定</w:t>
      </w:r>
    </w:p>
    <w:p w14:paraId="47F466FF">
      <w:pPr>
        <w:spacing w:line="360" w:lineRule="auto"/>
        <w:ind w:firstLine="600" w:firstLineChars="200"/>
        <w:jc w:val="left"/>
        <w:rPr>
          <w:rFonts w:eastAsia="仿宋_GB2312"/>
          <w:sz w:val="30"/>
          <w:szCs w:val="32"/>
          <w:u w:val="single"/>
        </w:rPr>
      </w:pPr>
      <w:r>
        <w:rPr>
          <w:rFonts w:hint="eastAsia" w:eastAsia="仿宋_GB2312"/>
          <w:sz w:val="30"/>
          <w:szCs w:val="32"/>
        </w:rPr>
        <w:t>争议评审小组成员的确定：</w:t>
      </w:r>
      <w:r>
        <w:rPr>
          <w:rFonts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r>
        <w:rPr>
          <w:rFonts w:hint="eastAsia" w:eastAsia="仿宋_GB2312"/>
          <w:sz w:val="30"/>
          <w:szCs w:val="32"/>
        </w:rPr>
        <w:t>。</w:t>
      </w:r>
    </w:p>
    <w:p w14:paraId="76F2EE38">
      <w:pPr>
        <w:spacing w:line="360" w:lineRule="auto"/>
        <w:ind w:firstLine="600" w:firstLineChars="200"/>
        <w:jc w:val="left"/>
        <w:rPr>
          <w:rFonts w:eastAsia="仿宋_GB2312"/>
          <w:sz w:val="30"/>
          <w:szCs w:val="32"/>
        </w:rPr>
      </w:pPr>
      <w:r>
        <w:rPr>
          <w:rFonts w:hint="eastAsia" w:eastAsia="仿宋_GB2312"/>
          <w:sz w:val="30"/>
          <w:szCs w:val="32"/>
        </w:rPr>
        <w:t>选定争议评审员的期限：</w:t>
      </w:r>
      <w:r>
        <w:rPr>
          <w:rFonts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r>
        <w:rPr>
          <w:rFonts w:hint="eastAsia" w:eastAsia="仿宋_GB2312"/>
          <w:sz w:val="30"/>
          <w:szCs w:val="32"/>
        </w:rPr>
        <w:t>。</w:t>
      </w:r>
    </w:p>
    <w:p w14:paraId="27DBF3BC">
      <w:pPr>
        <w:spacing w:line="360" w:lineRule="auto"/>
        <w:ind w:firstLine="600" w:firstLineChars="200"/>
        <w:jc w:val="left"/>
        <w:rPr>
          <w:rFonts w:eastAsia="仿宋_GB2312"/>
          <w:sz w:val="30"/>
          <w:szCs w:val="32"/>
        </w:rPr>
      </w:pPr>
      <w:r>
        <w:rPr>
          <w:rFonts w:hint="eastAsia" w:eastAsia="仿宋_GB2312"/>
          <w:sz w:val="30"/>
          <w:szCs w:val="32"/>
        </w:rPr>
        <w:t>争议评审小组成员的报酬承担方式：</w:t>
      </w:r>
      <w:r>
        <w:rPr>
          <w:rFonts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r>
        <w:rPr>
          <w:rFonts w:hint="eastAsia" w:eastAsia="仿宋_GB2312"/>
          <w:sz w:val="30"/>
          <w:szCs w:val="32"/>
        </w:rPr>
        <w:t>。</w:t>
      </w:r>
    </w:p>
    <w:p w14:paraId="00254F4D">
      <w:pPr>
        <w:spacing w:line="360" w:lineRule="auto"/>
        <w:ind w:firstLine="600" w:firstLineChars="200"/>
        <w:jc w:val="left"/>
        <w:rPr>
          <w:rFonts w:eastAsia="仿宋_GB2312"/>
          <w:sz w:val="30"/>
          <w:szCs w:val="32"/>
        </w:rPr>
      </w:pPr>
      <w:r>
        <w:rPr>
          <w:rFonts w:hint="eastAsia" w:eastAsia="仿宋_GB2312"/>
          <w:sz w:val="30"/>
          <w:szCs w:val="32"/>
        </w:rPr>
        <w:t>其他事项的约定：</w:t>
      </w:r>
      <w:r>
        <w:rPr>
          <w:rFonts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r>
        <w:rPr>
          <w:rFonts w:hint="eastAsia" w:eastAsia="仿宋_GB2312"/>
          <w:sz w:val="30"/>
          <w:szCs w:val="32"/>
        </w:rPr>
        <w:t>。</w:t>
      </w:r>
    </w:p>
    <w:p w14:paraId="30E1400D">
      <w:pPr>
        <w:autoSpaceDE w:val="0"/>
        <w:autoSpaceDN w:val="0"/>
        <w:adjustRightInd w:val="0"/>
        <w:spacing w:line="360" w:lineRule="auto"/>
        <w:ind w:firstLine="600" w:firstLineChars="200"/>
        <w:jc w:val="left"/>
        <w:rPr>
          <w:rFonts w:eastAsia="仿宋_GB2312"/>
          <w:kern w:val="0"/>
          <w:sz w:val="30"/>
          <w:szCs w:val="32"/>
        </w:rPr>
      </w:pPr>
      <w:r>
        <w:rPr>
          <w:rFonts w:eastAsia="仿宋_GB2312"/>
          <w:kern w:val="0"/>
          <w:sz w:val="30"/>
          <w:szCs w:val="32"/>
        </w:rPr>
        <w:t xml:space="preserve">20.3.2 </w:t>
      </w:r>
      <w:r>
        <w:rPr>
          <w:rFonts w:hint="eastAsia" w:eastAsia="仿宋_GB2312"/>
          <w:kern w:val="0"/>
          <w:sz w:val="30"/>
          <w:szCs w:val="32"/>
        </w:rPr>
        <w:t>争议评审小组的决定</w:t>
      </w:r>
    </w:p>
    <w:p w14:paraId="51DCBB94">
      <w:pPr>
        <w:spacing w:line="360" w:lineRule="auto"/>
        <w:ind w:firstLine="600" w:firstLineChars="200"/>
        <w:jc w:val="left"/>
        <w:rPr>
          <w:rFonts w:eastAsia="仿宋_GB2312"/>
          <w:sz w:val="30"/>
          <w:szCs w:val="32"/>
        </w:rPr>
      </w:pPr>
      <w:r>
        <w:rPr>
          <w:rFonts w:hint="eastAsia" w:eastAsia="仿宋_GB2312"/>
          <w:sz w:val="30"/>
          <w:szCs w:val="32"/>
        </w:rPr>
        <w:t>合同当事人关于本项的约定：</w:t>
      </w:r>
      <w:r>
        <w:rPr>
          <w:rFonts w:eastAsia="仿宋_GB2312"/>
          <w:sz w:val="30"/>
          <w:szCs w:val="32"/>
          <w:u w:val="single"/>
        </w:rPr>
        <w:t xml:space="preserve">        </w:t>
      </w:r>
      <w:r>
        <w:rPr>
          <w:rFonts w:ascii="Arial" w:hAnsi="Arial" w:eastAsia="仿宋_GB2312" w:cs="Arial"/>
          <w:sz w:val="30"/>
          <w:szCs w:val="32"/>
          <w:u w:val="single"/>
        </w:rPr>
        <w:t>/</w:t>
      </w:r>
      <w:r>
        <w:rPr>
          <w:rFonts w:eastAsia="仿宋_GB2312"/>
          <w:sz w:val="30"/>
          <w:szCs w:val="32"/>
          <w:u w:val="single"/>
        </w:rPr>
        <w:t xml:space="preserve">        </w:t>
      </w:r>
      <w:r>
        <w:rPr>
          <w:rFonts w:hint="eastAsia" w:eastAsia="仿宋_GB2312"/>
          <w:sz w:val="30"/>
          <w:szCs w:val="32"/>
        </w:rPr>
        <w:t>。</w:t>
      </w:r>
    </w:p>
    <w:p w14:paraId="086E3365">
      <w:pPr>
        <w:spacing w:after="120" w:line="360" w:lineRule="auto"/>
        <w:ind w:firstLine="600" w:firstLineChars="200"/>
        <w:rPr>
          <w:rFonts w:eastAsia="黑体"/>
          <w:sz w:val="30"/>
          <w:szCs w:val="32"/>
        </w:rPr>
      </w:pPr>
      <w:r>
        <w:rPr>
          <w:rFonts w:eastAsia="黑体"/>
          <w:sz w:val="30"/>
          <w:szCs w:val="32"/>
        </w:rPr>
        <w:t>20.4</w:t>
      </w:r>
      <w:r>
        <w:rPr>
          <w:rFonts w:hint="eastAsia" w:eastAsia="黑体"/>
          <w:sz w:val="30"/>
          <w:szCs w:val="32"/>
        </w:rPr>
        <w:t>仲裁或诉讼</w:t>
      </w:r>
    </w:p>
    <w:p w14:paraId="1DF45679">
      <w:pPr>
        <w:spacing w:after="120" w:line="360" w:lineRule="auto"/>
        <w:ind w:firstLine="600" w:firstLineChars="200"/>
        <w:rPr>
          <w:rFonts w:eastAsia="黑体"/>
          <w:sz w:val="30"/>
          <w:szCs w:val="32"/>
        </w:rPr>
      </w:pPr>
      <w:r>
        <w:rPr>
          <w:rFonts w:hint="eastAsia" w:eastAsia="仿宋_GB2312"/>
          <w:sz w:val="30"/>
          <w:szCs w:val="32"/>
        </w:rPr>
        <w:t>因合同及合同有关事项发生的争议，按下列第</w:t>
      </w:r>
      <w:r>
        <w:rPr>
          <w:rFonts w:eastAsia="仿宋_GB2312"/>
          <w:sz w:val="30"/>
          <w:szCs w:val="32"/>
          <w:u w:val="single"/>
        </w:rPr>
        <w:t xml:space="preserve">  </w:t>
      </w:r>
      <w:r>
        <w:rPr>
          <w:rFonts w:hint="eastAsia" w:eastAsia="仿宋_GB2312"/>
          <w:sz w:val="30"/>
          <w:szCs w:val="32"/>
          <w:u w:val="single"/>
        </w:rPr>
        <w:t>（</w:t>
      </w:r>
      <w:r>
        <w:rPr>
          <w:rFonts w:eastAsia="仿宋_GB2312"/>
          <w:sz w:val="30"/>
          <w:szCs w:val="32"/>
          <w:u w:val="single"/>
        </w:rPr>
        <w:t>2</w:t>
      </w:r>
      <w:r>
        <w:rPr>
          <w:rFonts w:hint="eastAsia" w:eastAsia="仿宋_GB2312"/>
          <w:sz w:val="30"/>
          <w:szCs w:val="32"/>
          <w:u w:val="single"/>
        </w:rPr>
        <w:t>）</w:t>
      </w:r>
      <w:r>
        <w:rPr>
          <w:rFonts w:eastAsia="仿宋_GB2312"/>
          <w:sz w:val="30"/>
          <w:szCs w:val="32"/>
          <w:u w:val="single"/>
        </w:rPr>
        <w:t xml:space="preserve">  </w:t>
      </w:r>
      <w:r>
        <w:rPr>
          <w:rFonts w:hint="eastAsia" w:eastAsia="仿宋_GB2312"/>
          <w:sz w:val="30"/>
          <w:szCs w:val="32"/>
        </w:rPr>
        <w:t>种方式解决：</w:t>
      </w:r>
    </w:p>
    <w:p w14:paraId="05204374">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1</w:t>
      </w:r>
      <w:r>
        <w:rPr>
          <w:rFonts w:hint="eastAsia" w:eastAsia="仿宋_GB2312"/>
          <w:sz w:val="30"/>
          <w:szCs w:val="32"/>
        </w:rPr>
        <w:t>）向</w:t>
      </w:r>
      <w:r>
        <w:rPr>
          <w:rFonts w:eastAsia="仿宋_GB2312"/>
          <w:sz w:val="30"/>
          <w:szCs w:val="32"/>
          <w:u w:val="single"/>
        </w:rPr>
        <w:t xml:space="preserve">            </w:t>
      </w:r>
      <w:r>
        <w:rPr>
          <w:rFonts w:hint="eastAsia" w:eastAsia="仿宋_GB2312"/>
          <w:sz w:val="30"/>
          <w:szCs w:val="32"/>
        </w:rPr>
        <w:t>仲裁委员会申请仲裁；</w:t>
      </w:r>
    </w:p>
    <w:p w14:paraId="5C689923">
      <w:pPr>
        <w:spacing w:line="360" w:lineRule="auto"/>
        <w:ind w:firstLine="600" w:firstLineChars="200"/>
        <w:jc w:val="left"/>
        <w:rPr>
          <w:rFonts w:eastAsia="仿宋_GB2312"/>
          <w:sz w:val="30"/>
          <w:szCs w:val="32"/>
        </w:rPr>
      </w:pPr>
      <w:r>
        <w:rPr>
          <w:rFonts w:hint="eastAsia" w:eastAsia="仿宋_GB2312"/>
          <w:sz w:val="30"/>
          <w:szCs w:val="32"/>
        </w:rPr>
        <w:t>（</w:t>
      </w:r>
      <w:r>
        <w:rPr>
          <w:rFonts w:eastAsia="仿宋_GB2312"/>
          <w:sz w:val="30"/>
          <w:szCs w:val="32"/>
        </w:rPr>
        <w:t>2</w:t>
      </w:r>
      <w:r>
        <w:rPr>
          <w:rFonts w:hint="eastAsia" w:eastAsia="仿宋_GB2312"/>
          <w:sz w:val="30"/>
          <w:szCs w:val="32"/>
        </w:rPr>
        <w:t>）向</w:t>
      </w:r>
      <w:r>
        <w:rPr>
          <w:rFonts w:eastAsia="仿宋_GB2312"/>
          <w:sz w:val="30"/>
          <w:szCs w:val="32"/>
          <w:u w:val="single"/>
        </w:rPr>
        <w:t xml:space="preserve"> </w:t>
      </w:r>
      <w:r>
        <w:rPr>
          <w:rFonts w:hint="eastAsia" w:eastAsia="仿宋_GB2312"/>
          <w:sz w:val="30"/>
          <w:szCs w:val="32"/>
          <w:u w:val="single"/>
        </w:rPr>
        <w:t>发包人所在地</w:t>
      </w:r>
      <w:r>
        <w:rPr>
          <w:rFonts w:eastAsia="仿宋_GB2312"/>
          <w:sz w:val="30"/>
          <w:szCs w:val="32"/>
          <w:u w:val="single"/>
        </w:rPr>
        <w:t xml:space="preserve"> </w:t>
      </w:r>
      <w:r>
        <w:rPr>
          <w:rFonts w:hint="eastAsia" w:eastAsia="仿宋_GB2312"/>
          <w:sz w:val="30"/>
          <w:szCs w:val="32"/>
        </w:rPr>
        <w:t>人民法院起诉。</w:t>
      </w:r>
    </w:p>
    <w:p w14:paraId="724CBACB">
      <w:pPr>
        <w:spacing w:line="360" w:lineRule="auto"/>
        <w:ind w:firstLine="600" w:firstLineChars="200"/>
        <w:jc w:val="left"/>
        <w:rPr>
          <w:rFonts w:eastAsia="黑体"/>
          <w:sz w:val="30"/>
          <w:szCs w:val="32"/>
        </w:rPr>
      </w:pPr>
      <w:r>
        <w:rPr>
          <w:rFonts w:eastAsia="黑体"/>
          <w:sz w:val="30"/>
          <w:szCs w:val="32"/>
        </w:rPr>
        <w:t>20.6</w:t>
      </w:r>
      <w:r>
        <w:rPr>
          <w:rFonts w:hint="eastAsia" w:eastAsia="黑体"/>
          <w:sz w:val="30"/>
          <w:szCs w:val="32"/>
        </w:rPr>
        <w:t>补充条款</w:t>
      </w:r>
    </w:p>
    <w:p w14:paraId="48317C7B">
      <w:pPr>
        <w:pStyle w:val="48"/>
        <w:numPr>
          <w:ilvl w:val="0"/>
          <w:numId w:val="13"/>
        </w:numPr>
        <w:snapToGrid w:val="0"/>
        <w:spacing w:line="360" w:lineRule="auto"/>
        <w:ind w:left="0" w:firstLine="600"/>
        <w:jc w:val="left"/>
        <w:rPr>
          <w:rFonts w:hint="eastAsia" w:ascii="仿宋" w:hAnsi="仿宋" w:eastAsia="仿宋" w:cs="仿宋"/>
          <w:sz w:val="30"/>
          <w:szCs w:val="32"/>
        </w:rPr>
      </w:pPr>
      <w:r>
        <w:rPr>
          <w:rFonts w:hint="eastAsia" w:ascii="仿宋" w:hAnsi="仿宋" w:eastAsia="仿宋" w:cs="仿宋"/>
          <w:sz w:val="30"/>
          <w:szCs w:val="32"/>
        </w:rPr>
        <w:t>施工区、生活区水电费按表计量缴费，发生费用由承包人承担</w:t>
      </w:r>
    </w:p>
    <w:p w14:paraId="67EC5D7F">
      <w:pPr>
        <w:pStyle w:val="48"/>
        <w:numPr>
          <w:ilvl w:val="0"/>
          <w:numId w:val="13"/>
        </w:numPr>
        <w:snapToGrid w:val="0"/>
        <w:spacing w:line="360" w:lineRule="auto"/>
        <w:ind w:left="0" w:firstLine="600"/>
        <w:jc w:val="left"/>
        <w:rPr>
          <w:rFonts w:hint="eastAsia" w:ascii="仿宋" w:hAnsi="仿宋" w:eastAsia="仿宋" w:cs="仿宋"/>
          <w:sz w:val="30"/>
          <w:szCs w:val="32"/>
        </w:rPr>
      </w:pPr>
      <w:r>
        <w:rPr>
          <w:rFonts w:hint="eastAsia" w:ascii="仿宋" w:hAnsi="仿宋" w:eastAsia="仿宋" w:cs="仿宋"/>
          <w:sz w:val="30"/>
          <w:szCs w:val="32"/>
        </w:rPr>
        <w:t>本项目中钢结构采用的原材料全部应为原平板，不得使用翼板钢。</w:t>
      </w:r>
    </w:p>
    <w:p w14:paraId="6149FB71">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工程结算审计，由发包人委托造价咨询单位审计或自行审计。（</w:t>
      </w:r>
      <w:r>
        <w:rPr>
          <w:rFonts w:hint="eastAsia" w:ascii="仿宋" w:hAnsi="仿宋" w:eastAsia="仿宋" w:cs="仿宋"/>
          <w:sz w:val="30"/>
          <w:szCs w:val="32"/>
          <w:lang w:val="en-US" w:eastAsia="zh-CN"/>
        </w:rPr>
        <w:t>3</w:t>
      </w:r>
      <w:r>
        <w:rPr>
          <w:rFonts w:hint="eastAsia" w:ascii="仿宋" w:hAnsi="仿宋" w:eastAsia="仿宋" w:cs="仿宋"/>
          <w:sz w:val="30"/>
          <w:szCs w:val="32"/>
        </w:rPr>
        <w:t>.1）初审审计：结算审计费=基本审计费+效益审计费，其中：基本审计费1000元，效益审计费根据工程项目审减额参考鲁价费发【2007】205号文收费标准执行，对结算审减额超过5%部分，按5%计取审计费，以上费用均由承包人支付。审计费由承包人直接缴纳或者由发包人在工程款中代扣代缴。（</w:t>
      </w:r>
      <w:r>
        <w:rPr>
          <w:rFonts w:hint="eastAsia" w:ascii="仿宋" w:hAnsi="仿宋" w:eastAsia="仿宋" w:cs="仿宋"/>
          <w:sz w:val="30"/>
          <w:szCs w:val="32"/>
          <w:lang w:val="en-US" w:eastAsia="zh-CN"/>
        </w:rPr>
        <w:t>3</w:t>
      </w:r>
      <w:r>
        <w:rPr>
          <w:rFonts w:hint="eastAsia" w:ascii="仿宋" w:hAnsi="仿宋" w:eastAsia="仿宋" w:cs="仿宋"/>
          <w:sz w:val="30"/>
          <w:szCs w:val="32"/>
        </w:rPr>
        <w:t>.2）复审审计：结算审计费根据工程项目审减额参考鲁价费发【2007】205号文收费标准执行，结算审减额按5%计取审计费，由承包人支付。审计费由承包人直接缴纳或者由发包人在工程款中代扣代缴。</w:t>
      </w:r>
    </w:p>
    <w:p w14:paraId="72AE2A61">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承包人必须落实建筑工程项目农民工实名制和工资专用账户管理制度以及最新的济南市建筑农民工工资保证金管理办法，农民工工资保证金由承包人按相关规定自行办理并配合发包人办理相关手续。</w:t>
      </w:r>
    </w:p>
    <w:p w14:paraId="45C34BEB">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本工程所用施工机械优先使用山东重工旗下产品，进入重汽所有厂区的物流车辆必须为重汽品牌，无条件严格遵守厂区人员车辆进出管理规定，否则造成的倒运费及工期等一切损失均有承包人承担。</w:t>
      </w:r>
    </w:p>
    <w:p w14:paraId="3276D935">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发包人有权就发包人直接发包的专业工程要求承包人与专业工程承包人签订分包合同，承包人不得有任何异议并应积极配合，否则发包人有权拒绝支付工程款。</w:t>
      </w:r>
    </w:p>
    <w:p w14:paraId="4B52066A">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发包人有权在工程款内扣留30万元群体事件保证金，若发生因承包人原因造成的群体上访事件或拖欠工人工资的情形，经发包人核实后，发包人有权在该笔保证金内扣除相应金额的款项代为支付；若未发生因承包人原因造成的群体上访事件或拖欠工人工资的情形，该保证金无息返还。</w:t>
      </w:r>
    </w:p>
    <w:p w14:paraId="1C988447">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本次合同价款分工程量清单价款和清单外费率两部分。已充分考虑目前图纸虽未设计，但施工过程中补充、完善和变更施工内容以及工艺设备的水、电、气等公用管线的连接。</w:t>
      </w:r>
    </w:p>
    <w:p w14:paraId="29697C1F">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本工程的工伤保险由承包人按项目属地政府相关规定缴纳。</w:t>
      </w:r>
    </w:p>
    <w:p w14:paraId="0EC1C148">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项目描述及工作内容相同的清单子项综合单价必须相同，若有不同报价，结算时招标人有权按照较低报价确定该子项的综合单价。</w:t>
      </w:r>
    </w:p>
    <w:p w14:paraId="03F7B26D">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除合同另有约定外，未经对方当事人书面同意，一方当事人不得将合同权利全部或部分转让给第三人，也不得将合同义务全部或部分转移给第三人。</w:t>
      </w:r>
    </w:p>
    <w:p w14:paraId="337ABDFD">
      <w:pPr>
        <w:pStyle w:val="12"/>
        <w:numPr>
          <w:ilvl w:val="0"/>
          <w:numId w:val="13"/>
        </w:numPr>
        <w:ind w:left="0" w:firstLine="600" w:firstLineChars="200"/>
        <w:rPr>
          <w:rFonts w:hint="eastAsia" w:ascii="仿宋" w:hAnsi="仿宋" w:eastAsia="仿宋" w:cs="仿宋"/>
          <w:sz w:val="30"/>
          <w:szCs w:val="32"/>
        </w:rPr>
      </w:pPr>
      <w:r>
        <w:rPr>
          <w:rFonts w:hint="eastAsia" w:ascii="仿宋" w:hAnsi="仿宋" w:eastAsia="仿宋" w:cs="仿宋"/>
          <w:sz w:val="30"/>
          <w:szCs w:val="32"/>
        </w:rPr>
        <w:t>本合同《专用合同条款》与《通用合同条款》有冲突的，执行《专用合同条款》；《专用合同条款》没有规定的，执行《通用合同条款》的规定。</w:t>
      </w:r>
    </w:p>
    <w:p w14:paraId="56D96A83">
      <w:pPr>
        <w:pStyle w:val="13"/>
        <w:ind w:left="63" w:right="63" w:firstLine="600" w:firstLineChars="200"/>
        <w:jc w:val="left"/>
        <w:rPr>
          <w:rFonts w:hint="eastAsia" w:ascii="仿宋" w:hAnsi="仿宋" w:eastAsia="仿宋" w:cs="仿宋"/>
          <w:sz w:val="30"/>
          <w:szCs w:val="32"/>
        </w:rPr>
      </w:pPr>
      <w:r>
        <w:rPr>
          <w:rFonts w:hint="eastAsia" w:ascii="仿宋" w:hAnsi="仿宋" w:eastAsia="仿宋" w:cs="仿宋"/>
          <w:sz w:val="30"/>
          <w:szCs w:val="32"/>
        </w:rPr>
        <w:t>（18）合同专用条款12.5条内容，经双方协商一致不予执行，相应的违约条款无效。</w:t>
      </w:r>
    </w:p>
    <w:p w14:paraId="69DBF568">
      <w:pPr>
        <w:spacing w:line="360" w:lineRule="auto"/>
        <w:jc w:val="left"/>
        <w:rPr>
          <w:rFonts w:eastAsia="仿宋_GB2312"/>
          <w:sz w:val="30"/>
          <w:szCs w:val="32"/>
        </w:rPr>
      </w:pPr>
      <w:bookmarkStart w:id="1225" w:name="_Toc351203652"/>
      <w:r>
        <w:rPr>
          <w:rFonts w:hint="eastAsia" w:eastAsia="仿宋_GB2312"/>
          <w:sz w:val="30"/>
          <w:szCs w:val="32"/>
        </w:rPr>
        <w:t xml:space="preserve">   </w:t>
      </w:r>
    </w:p>
    <w:p w14:paraId="4E547D9B">
      <w:pPr>
        <w:spacing w:line="360" w:lineRule="auto"/>
        <w:jc w:val="left"/>
        <w:rPr>
          <w:rFonts w:eastAsia="仿宋_GB2312"/>
          <w:sz w:val="30"/>
          <w:szCs w:val="32"/>
        </w:rPr>
      </w:pPr>
      <w:r>
        <w:rPr>
          <w:rFonts w:hint="eastAsia" w:eastAsia="仿宋_GB2312"/>
          <w:sz w:val="30"/>
          <w:szCs w:val="32"/>
        </w:rPr>
        <w:t xml:space="preserve"> </w:t>
      </w:r>
    </w:p>
    <w:p w14:paraId="08F3E73B">
      <w:pPr>
        <w:spacing w:line="360" w:lineRule="auto"/>
        <w:jc w:val="left"/>
        <w:rPr>
          <w:rFonts w:eastAsia="仿宋_GB2312"/>
          <w:sz w:val="30"/>
          <w:szCs w:val="32"/>
        </w:rPr>
      </w:pPr>
      <w:r>
        <w:rPr>
          <w:rFonts w:eastAsia="仿宋_GB2312"/>
          <w:sz w:val="30"/>
          <w:szCs w:val="32"/>
        </w:rPr>
        <w:t>附件</w:t>
      </w:r>
      <w:bookmarkEnd w:id="1225"/>
      <w:r>
        <w:rPr>
          <w:rFonts w:hint="eastAsia" w:eastAsia="仿宋_GB2312"/>
          <w:sz w:val="30"/>
          <w:szCs w:val="32"/>
        </w:rPr>
        <w:t>：</w:t>
      </w:r>
    </w:p>
    <w:p w14:paraId="34E4982E">
      <w:pPr>
        <w:spacing w:line="360" w:lineRule="auto"/>
        <w:ind w:firstLine="1500" w:firstLineChars="500"/>
        <w:jc w:val="left"/>
        <w:rPr>
          <w:rFonts w:eastAsia="仿宋_GB2312"/>
          <w:sz w:val="30"/>
          <w:szCs w:val="32"/>
        </w:rPr>
      </w:pPr>
      <w:r>
        <w:rPr>
          <w:rFonts w:eastAsia="仿宋_GB2312"/>
          <w:sz w:val="30"/>
          <w:szCs w:val="32"/>
        </w:rPr>
        <w:t>1</w:t>
      </w:r>
      <w:r>
        <w:rPr>
          <w:rFonts w:hint="eastAsia" w:eastAsia="仿宋_GB2312"/>
          <w:sz w:val="30"/>
          <w:szCs w:val="32"/>
        </w:rPr>
        <w:t>.</w:t>
      </w:r>
      <w:r>
        <w:rPr>
          <w:rFonts w:eastAsia="仿宋_GB2312"/>
          <w:sz w:val="30"/>
          <w:szCs w:val="32"/>
        </w:rPr>
        <w:t>承包人承揽工程项目一览表</w:t>
      </w:r>
    </w:p>
    <w:p w14:paraId="20F72BFA">
      <w:pPr>
        <w:spacing w:line="360" w:lineRule="auto"/>
        <w:jc w:val="left"/>
        <w:rPr>
          <w:rFonts w:eastAsia="仿宋_GB2312"/>
          <w:sz w:val="30"/>
          <w:szCs w:val="32"/>
        </w:rPr>
      </w:pPr>
      <w:r>
        <w:rPr>
          <w:rFonts w:hint="eastAsia" w:eastAsia="仿宋_GB2312"/>
          <w:sz w:val="30"/>
          <w:szCs w:val="32"/>
        </w:rPr>
        <w:t xml:space="preserve">          </w:t>
      </w:r>
      <w:r>
        <w:rPr>
          <w:rFonts w:hint="eastAsia" w:eastAsia="仿宋_GB2312"/>
          <w:sz w:val="30"/>
          <w:szCs w:val="32"/>
          <w:lang w:val="en-US" w:eastAsia="zh-CN"/>
        </w:rPr>
        <w:t>2</w:t>
      </w:r>
      <w:r>
        <w:rPr>
          <w:rFonts w:hint="eastAsia" w:eastAsia="仿宋_GB2312"/>
          <w:sz w:val="30"/>
          <w:szCs w:val="32"/>
        </w:rPr>
        <w:t>.</w:t>
      </w:r>
      <w:r>
        <w:rPr>
          <w:rFonts w:eastAsia="仿宋_GB2312"/>
          <w:sz w:val="30"/>
          <w:szCs w:val="32"/>
        </w:rPr>
        <w:t>工程质量保修书</w:t>
      </w:r>
    </w:p>
    <w:p w14:paraId="36DDC242">
      <w:pPr>
        <w:spacing w:line="360" w:lineRule="auto"/>
        <w:jc w:val="left"/>
        <w:rPr>
          <w:rFonts w:eastAsia="仿宋_GB2312"/>
          <w:sz w:val="30"/>
          <w:szCs w:val="32"/>
        </w:rPr>
      </w:pPr>
      <w:r>
        <w:rPr>
          <w:rFonts w:hint="eastAsia" w:eastAsia="仿宋_GB2312"/>
          <w:sz w:val="30"/>
          <w:szCs w:val="32"/>
        </w:rPr>
        <w:t xml:space="preserve">          </w:t>
      </w:r>
      <w:r>
        <w:rPr>
          <w:rFonts w:hint="eastAsia" w:eastAsia="仿宋_GB2312"/>
          <w:sz w:val="30"/>
          <w:szCs w:val="32"/>
          <w:lang w:val="en-US" w:eastAsia="zh-CN"/>
        </w:rPr>
        <w:t>3</w:t>
      </w:r>
      <w:r>
        <w:rPr>
          <w:rFonts w:hint="eastAsia" w:eastAsia="仿宋_GB2312"/>
          <w:sz w:val="30"/>
          <w:szCs w:val="32"/>
        </w:rPr>
        <w:t>.</w:t>
      </w:r>
      <w:r>
        <w:rPr>
          <w:rFonts w:eastAsia="仿宋_GB2312"/>
          <w:sz w:val="30"/>
          <w:szCs w:val="32"/>
        </w:rPr>
        <w:t>承包人主要施工管理人员表</w:t>
      </w:r>
    </w:p>
    <w:p w14:paraId="7233E61A">
      <w:pPr>
        <w:spacing w:line="360" w:lineRule="auto"/>
        <w:jc w:val="left"/>
        <w:rPr>
          <w:rFonts w:eastAsia="仿宋_GB2312"/>
          <w:sz w:val="30"/>
          <w:szCs w:val="32"/>
        </w:rPr>
      </w:pPr>
      <w:r>
        <w:rPr>
          <w:rFonts w:hint="eastAsia" w:eastAsia="仿宋_GB2312"/>
          <w:sz w:val="30"/>
          <w:szCs w:val="32"/>
        </w:rPr>
        <w:t xml:space="preserve">          </w:t>
      </w:r>
      <w:r>
        <w:rPr>
          <w:rFonts w:hint="eastAsia" w:eastAsia="仿宋_GB2312"/>
          <w:sz w:val="30"/>
          <w:szCs w:val="32"/>
          <w:lang w:val="en-US" w:eastAsia="zh-CN"/>
        </w:rPr>
        <w:t>4</w:t>
      </w:r>
      <w:r>
        <w:rPr>
          <w:rFonts w:hint="eastAsia" w:eastAsia="仿宋_GB2312"/>
          <w:sz w:val="30"/>
          <w:szCs w:val="32"/>
        </w:rPr>
        <w:t>.</w:t>
      </w:r>
      <w:r>
        <w:rPr>
          <w:rFonts w:eastAsia="仿宋_GB2312"/>
          <w:sz w:val="30"/>
          <w:szCs w:val="32"/>
        </w:rPr>
        <w:t>履约担保格式</w:t>
      </w:r>
    </w:p>
    <w:p w14:paraId="0D9EE014">
      <w:pPr>
        <w:spacing w:line="360" w:lineRule="auto"/>
        <w:jc w:val="left"/>
        <w:rPr>
          <w:rFonts w:eastAsia="仿宋_GB2312"/>
          <w:sz w:val="30"/>
          <w:szCs w:val="32"/>
        </w:rPr>
      </w:pPr>
      <w:r>
        <w:rPr>
          <w:rFonts w:hint="eastAsia" w:eastAsia="仿宋_GB2312"/>
          <w:sz w:val="30"/>
          <w:szCs w:val="32"/>
        </w:rPr>
        <w:t xml:space="preserve">          </w:t>
      </w:r>
      <w:r>
        <w:rPr>
          <w:rFonts w:hint="eastAsia" w:eastAsia="仿宋_GB2312"/>
          <w:sz w:val="30"/>
          <w:szCs w:val="32"/>
          <w:lang w:val="en-US" w:eastAsia="zh-CN"/>
        </w:rPr>
        <w:t>5</w:t>
      </w:r>
      <w:r>
        <w:rPr>
          <w:rFonts w:hint="eastAsia" w:eastAsia="仿宋_GB2312"/>
          <w:sz w:val="30"/>
          <w:szCs w:val="32"/>
        </w:rPr>
        <w:t>.</w:t>
      </w:r>
      <w:r>
        <w:rPr>
          <w:rFonts w:eastAsia="仿宋_GB2312"/>
          <w:sz w:val="30"/>
          <w:szCs w:val="32"/>
        </w:rPr>
        <w:t>预付款担保格式</w:t>
      </w:r>
    </w:p>
    <w:p w14:paraId="0E8E7532">
      <w:pPr>
        <w:spacing w:line="360" w:lineRule="auto"/>
        <w:jc w:val="left"/>
        <w:rPr>
          <w:rFonts w:eastAsia="仿宋_GB2312"/>
          <w:sz w:val="30"/>
          <w:szCs w:val="32"/>
        </w:rPr>
      </w:pPr>
      <w:r>
        <w:rPr>
          <w:rFonts w:hint="eastAsia" w:eastAsia="仿宋_GB2312"/>
          <w:sz w:val="30"/>
          <w:szCs w:val="32"/>
        </w:rPr>
        <w:t xml:space="preserve">          </w:t>
      </w:r>
      <w:r>
        <w:rPr>
          <w:rFonts w:hint="eastAsia" w:eastAsia="仿宋_GB2312"/>
          <w:sz w:val="30"/>
          <w:szCs w:val="32"/>
          <w:lang w:val="en-US" w:eastAsia="zh-CN"/>
        </w:rPr>
        <w:t>6</w:t>
      </w:r>
      <w:r>
        <w:rPr>
          <w:rFonts w:hint="eastAsia" w:eastAsia="仿宋_GB2312"/>
          <w:sz w:val="30"/>
          <w:szCs w:val="32"/>
        </w:rPr>
        <w:t>.</w:t>
      </w:r>
      <w:r>
        <w:rPr>
          <w:rFonts w:eastAsia="仿宋_GB2312"/>
          <w:sz w:val="30"/>
          <w:szCs w:val="32"/>
        </w:rPr>
        <w:t>支付担保格式</w:t>
      </w:r>
    </w:p>
    <w:p w14:paraId="5E401841">
      <w:pPr>
        <w:spacing w:line="360" w:lineRule="auto"/>
        <w:ind w:firstLine="1500" w:firstLineChars="500"/>
        <w:jc w:val="left"/>
        <w:rPr>
          <w:rFonts w:eastAsia="仿宋_GB2312"/>
          <w:sz w:val="30"/>
          <w:szCs w:val="32"/>
        </w:rPr>
      </w:pPr>
      <w:r>
        <w:rPr>
          <w:rFonts w:hint="eastAsia" w:eastAsia="仿宋_GB2312"/>
          <w:sz w:val="30"/>
          <w:szCs w:val="32"/>
          <w:lang w:val="en-US" w:eastAsia="zh-CN"/>
        </w:rPr>
        <w:t>7</w:t>
      </w:r>
      <w:r>
        <w:rPr>
          <w:rFonts w:hint="eastAsia" w:eastAsia="仿宋_GB2312"/>
          <w:sz w:val="30"/>
          <w:szCs w:val="32"/>
        </w:rPr>
        <w:t>.甲限乙购材料品牌表</w:t>
      </w:r>
    </w:p>
    <w:p w14:paraId="29B7D5A2">
      <w:pPr>
        <w:spacing w:line="360" w:lineRule="auto"/>
        <w:ind w:firstLine="1500" w:firstLineChars="500"/>
        <w:jc w:val="left"/>
        <w:rPr>
          <w:rFonts w:eastAsia="仿宋_GB2312"/>
          <w:sz w:val="30"/>
          <w:szCs w:val="32"/>
        </w:rPr>
      </w:pPr>
      <w:r>
        <w:rPr>
          <w:rFonts w:hint="eastAsia" w:eastAsia="仿宋_GB2312"/>
          <w:sz w:val="30"/>
          <w:szCs w:val="32"/>
          <w:lang w:val="en-US" w:eastAsia="zh-CN"/>
        </w:rPr>
        <w:t>8</w:t>
      </w:r>
      <w:r>
        <w:rPr>
          <w:rFonts w:hint="eastAsia" w:eastAsia="仿宋_GB2312"/>
          <w:sz w:val="30"/>
          <w:szCs w:val="32"/>
        </w:rPr>
        <w:t>.施工现场管理协议</w:t>
      </w:r>
    </w:p>
    <w:p w14:paraId="2B4DCF3C">
      <w:pPr>
        <w:spacing w:line="360" w:lineRule="auto"/>
        <w:ind w:firstLine="1500" w:firstLineChars="500"/>
        <w:jc w:val="left"/>
        <w:rPr>
          <w:rFonts w:eastAsia="仿宋_GB2312"/>
          <w:sz w:val="30"/>
          <w:szCs w:val="32"/>
        </w:rPr>
      </w:pPr>
      <w:r>
        <w:rPr>
          <w:rFonts w:hint="eastAsia" w:eastAsia="仿宋_GB2312"/>
          <w:sz w:val="30"/>
          <w:szCs w:val="32"/>
          <w:lang w:val="en-US" w:eastAsia="zh-CN"/>
        </w:rPr>
        <w:t>9</w:t>
      </w:r>
      <w:r>
        <w:rPr>
          <w:rFonts w:hint="eastAsia" w:eastAsia="仿宋_GB2312"/>
          <w:sz w:val="30"/>
          <w:szCs w:val="32"/>
        </w:rPr>
        <w:t>.项目考核管理（细则）协议</w:t>
      </w:r>
    </w:p>
    <w:p w14:paraId="796A5C2F">
      <w:pPr>
        <w:spacing w:line="360" w:lineRule="auto"/>
        <w:ind w:firstLine="1500" w:firstLineChars="500"/>
        <w:jc w:val="left"/>
        <w:rPr>
          <w:rFonts w:eastAsia="仿宋_GB2312"/>
          <w:sz w:val="30"/>
          <w:szCs w:val="32"/>
        </w:rPr>
      </w:pPr>
      <w:r>
        <w:rPr>
          <w:rFonts w:hint="eastAsia" w:eastAsia="仿宋_GB2312"/>
          <w:sz w:val="30"/>
          <w:szCs w:val="32"/>
        </w:rPr>
        <w:t>1</w:t>
      </w:r>
      <w:r>
        <w:rPr>
          <w:rFonts w:hint="eastAsia" w:eastAsia="仿宋_GB2312"/>
          <w:sz w:val="30"/>
          <w:szCs w:val="32"/>
          <w:lang w:val="en-US" w:eastAsia="zh-CN"/>
        </w:rPr>
        <w:t>0</w:t>
      </w:r>
      <w:r>
        <w:rPr>
          <w:rFonts w:hint="eastAsia" w:eastAsia="仿宋_GB2312"/>
          <w:sz w:val="30"/>
          <w:szCs w:val="32"/>
        </w:rPr>
        <w:t>.保密协议</w:t>
      </w:r>
    </w:p>
    <w:p w14:paraId="468D3E11">
      <w:pPr>
        <w:spacing w:line="360" w:lineRule="auto"/>
        <w:ind w:firstLine="1500" w:firstLineChars="500"/>
        <w:jc w:val="left"/>
        <w:rPr>
          <w:rFonts w:eastAsia="仿宋_GB2312"/>
          <w:sz w:val="30"/>
          <w:szCs w:val="32"/>
        </w:rPr>
      </w:pPr>
      <w:r>
        <w:rPr>
          <w:rFonts w:hint="eastAsia" w:eastAsia="仿宋_GB2312"/>
          <w:sz w:val="30"/>
          <w:szCs w:val="32"/>
        </w:rPr>
        <w:t>1</w:t>
      </w:r>
      <w:r>
        <w:rPr>
          <w:rFonts w:hint="eastAsia" w:eastAsia="仿宋_GB2312"/>
          <w:sz w:val="30"/>
          <w:szCs w:val="32"/>
          <w:lang w:val="en-US" w:eastAsia="zh-CN"/>
        </w:rPr>
        <w:t>1</w:t>
      </w:r>
      <w:r>
        <w:rPr>
          <w:rFonts w:hint="eastAsia" w:eastAsia="仿宋_GB2312"/>
          <w:sz w:val="30"/>
          <w:szCs w:val="32"/>
        </w:rPr>
        <w:t>.廉洁诚信协议</w:t>
      </w:r>
    </w:p>
    <w:p w14:paraId="710F7532">
      <w:pPr>
        <w:spacing w:line="360" w:lineRule="auto"/>
        <w:ind w:firstLine="1500" w:firstLineChars="500"/>
        <w:jc w:val="left"/>
        <w:rPr>
          <w:rFonts w:eastAsia="仿宋_GB2312"/>
          <w:sz w:val="30"/>
          <w:szCs w:val="32"/>
        </w:rPr>
      </w:pPr>
      <w:r>
        <w:rPr>
          <w:rFonts w:hint="eastAsia" w:eastAsia="仿宋_GB2312"/>
          <w:sz w:val="30"/>
          <w:szCs w:val="32"/>
        </w:rPr>
        <w:t>1</w:t>
      </w:r>
      <w:r>
        <w:rPr>
          <w:rFonts w:hint="eastAsia" w:eastAsia="仿宋_GB2312"/>
          <w:sz w:val="30"/>
          <w:szCs w:val="32"/>
          <w:lang w:val="en-US" w:eastAsia="zh-CN"/>
        </w:rPr>
        <w:t>2</w:t>
      </w:r>
      <w:r>
        <w:rPr>
          <w:rFonts w:hint="eastAsia" w:eastAsia="仿宋_GB2312"/>
          <w:sz w:val="30"/>
          <w:szCs w:val="32"/>
        </w:rPr>
        <w:t>.相关方安全协议</w:t>
      </w:r>
    </w:p>
    <w:p w14:paraId="68A64F55">
      <w:pPr>
        <w:widowControl/>
        <w:spacing w:line="360" w:lineRule="auto"/>
        <w:ind w:firstLine="1500" w:firstLineChars="500"/>
        <w:jc w:val="left"/>
        <w:rPr>
          <w:rFonts w:eastAsia="仿宋_GB2312"/>
          <w:sz w:val="30"/>
          <w:szCs w:val="32"/>
        </w:rPr>
        <w:sectPr>
          <w:headerReference r:id="rId9" w:type="first"/>
          <w:footerReference r:id="rId11" w:type="first"/>
          <w:headerReference r:id="rId8" w:type="default"/>
          <w:footerReference r:id="rId10" w:type="default"/>
          <w:pgSz w:w="11906" w:h="16838"/>
          <w:pgMar w:top="1418" w:right="1304" w:bottom="1418" w:left="1304" w:header="851" w:footer="992" w:gutter="0"/>
          <w:cols w:space="720" w:num="1"/>
          <w:titlePg/>
          <w:docGrid w:type="lines" w:linePitch="312" w:charSpace="0"/>
        </w:sectPr>
      </w:pPr>
      <w:r>
        <w:rPr>
          <w:rFonts w:hint="eastAsia" w:eastAsia="仿宋_GB2312"/>
          <w:sz w:val="30"/>
          <w:szCs w:val="32"/>
        </w:rPr>
        <w:t>1</w:t>
      </w:r>
      <w:r>
        <w:rPr>
          <w:rFonts w:hint="eastAsia" w:eastAsia="仿宋_GB2312"/>
          <w:sz w:val="30"/>
          <w:szCs w:val="32"/>
          <w:lang w:val="en-US" w:eastAsia="zh-CN"/>
        </w:rPr>
        <w:t>3</w:t>
      </w:r>
      <w:r>
        <w:rPr>
          <w:rFonts w:hint="eastAsia" w:eastAsia="仿宋_GB2312"/>
          <w:sz w:val="30"/>
          <w:szCs w:val="32"/>
        </w:rPr>
        <w:t>.工程建设领域农民工工资专用账户资金管理协议</w:t>
      </w:r>
    </w:p>
    <w:p w14:paraId="60183E51">
      <w:pPr>
        <w:spacing w:before="156" w:beforeLines="50" w:after="156" w:afterLines="50" w:line="440" w:lineRule="exact"/>
        <w:jc w:val="left"/>
        <w:rPr>
          <w:rFonts w:hint="eastAsia" w:ascii="黑体" w:hAnsi="黑体" w:eastAsia="黑体" w:cs="黑体"/>
          <w:sz w:val="32"/>
          <w:szCs w:val="32"/>
        </w:rPr>
      </w:pPr>
      <w:r>
        <w:rPr>
          <w:rFonts w:hint="eastAsia" w:ascii="黑体" w:hAnsi="黑体" w:eastAsia="黑体" w:cs="黑体"/>
          <w:sz w:val="32"/>
          <w:szCs w:val="32"/>
        </w:rPr>
        <w:t>附件1</w:t>
      </w:r>
    </w:p>
    <w:p w14:paraId="6A6FDDC7">
      <w:pPr>
        <w:jc w:val="center"/>
        <w:rPr>
          <w:rFonts w:hint="eastAsia" w:ascii="黑体" w:hAnsi="黑体" w:eastAsia="黑体" w:cs="黑体"/>
          <w:sz w:val="32"/>
          <w:szCs w:val="32"/>
        </w:rPr>
      </w:pPr>
      <w:r>
        <w:rPr>
          <w:rFonts w:hint="eastAsia" w:ascii="黑体" w:hAnsi="黑体" w:eastAsia="黑体" w:cs="黑体"/>
          <w:sz w:val="32"/>
          <w:szCs w:val="32"/>
        </w:rPr>
        <w:t>承包人承揽工程项目一览表</w:t>
      </w:r>
    </w:p>
    <w:tbl>
      <w:tblPr>
        <w:tblStyle w:val="25"/>
        <w:tblW w:w="0" w:type="auto"/>
        <w:tblInd w:w="-398"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277"/>
        <w:gridCol w:w="1843"/>
        <w:gridCol w:w="1417"/>
        <w:gridCol w:w="2410"/>
        <w:gridCol w:w="850"/>
        <w:gridCol w:w="1560"/>
        <w:gridCol w:w="2126"/>
        <w:gridCol w:w="1417"/>
        <w:gridCol w:w="851"/>
        <w:gridCol w:w="850"/>
      </w:tblGrid>
      <w:tr w14:paraId="489384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c>
          <w:tcPr>
            <w:tcW w:w="1277" w:type="dxa"/>
            <w:tcBorders>
              <w:top w:val="single" w:color="auto" w:sz="12" w:space="0"/>
              <w:bottom w:val="double" w:color="auto" w:sz="6" w:space="0"/>
            </w:tcBorders>
            <w:vAlign w:val="center"/>
          </w:tcPr>
          <w:p w14:paraId="7D745BBC">
            <w:pPr>
              <w:pStyle w:val="13"/>
              <w:keepNext/>
              <w:spacing w:line="440" w:lineRule="exact"/>
              <w:ind w:left="63" w:right="63"/>
              <w:rPr>
                <w:rFonts w:eastAsia="仿宋_GB2312"/>
                <w:szCs w:val="30"/>
              </w:rPr>
            </w:pPr>
            <w:r>
              <w:rPr>
                <w:rFonts w:eastAsia="仿宋_GB2312"/>
                <w:szCs w:val="30"/>
              </w:rPr>
              <w:t>单位工程名称</w:t>
            </w:r>
          </w:p>
        </w:tc>
        <w:tc>
          <w:tcPr>
            <w:tcW w:w="1843" w:type="dxa"/>
            <w:tcBorders>
              <w:top w:val="single" w:color="auto" w:sz="12" w:space="0"/>
              <w:bottom w:val="double" w:color="auto" w:sz="6" w:space="0"/>
            </w:tcBorders>
            <w:vAlign w:val="center"/>
          </w:tcPr>
          <w:p w14:paraId="7210B5D4">
            <w:pPr>
              <w:pStyle w:val="13"/>
              <w:keepNext/>
              <w:spacing w:line="440" w:lineRule="exact"/>
              <w:ind w:left="63" w:right="63"/>
              <w:rPr>
                <w:rFonts w:eastAsia="仿宋_GB2312"/>
                <w:szCs w:val="30"/>
              </w:rPr>
            </w:pPr>
            <w:r>
              <w:rPr>
                <w:rFonts w:eastAsia="仿宋_GB2312"/>
                <w:szCs w:val="30"/>
              </w:rPr>
              <w:t>建设规模</w:t>
            </w:r>
          </w:p>
        </w:tc>
        <w:tc>
          <w:tcPr>
            <w:tcW w:w="1417" w:type="dxa"/>
            <w:tcBorders>
              <w:top w:val="single" w:color="auto" w:sz="12" w:space="0"/>
              <w:bottom w:val="double" w:color="auto" w:sz="6" w:space="0"/>
            </w:tcBorders>
            <w:vAlign w:val="center"/>
          </w:tcPr>
          <w:p w14:paraId="0AD46283">
            <w:pPr>
              <w:pStyle w:val="13"/>
              <w:keepNext/>
              <w:spacing w:line="440" w:lineRule="exact"/>
              <w:ind w:left="63" w:right="63"/>
              <w:rPr>
                <w:rFonts w:eastAsia="仿宋_GB2312"/>
                <w:szCs w:val="30"/>
              </w:rPr>
            </w:pPr>
            <w:r>
              <w:rPr>
                <w:rFonts w:eastAsia="仿宋_GB2312"/>
                <w:szCs w:val="30"/>
              </w:rPr>
              <w:t>建筑面积(平方米)</w:t>
            </w:r>
          </w:p>
        </w:tc>
        <w:tc>
          <w:tcPr>
            <w:tcW w:w="2410" w:type="dxa"/>
            <w:tcBorders>
              <w:top w:val="single" w:color="auto" w:sz="12" w:space="0"/>
              <w:bottom w:val="double" w:color="auto" w:sz="6" w:space="0"/>
            </w:tcBorders>
            <w:vAlign w:val="center"/>
          </w:tcPr>
          <w:p w14:paraId="10243814">
            <w:pPr>
              <w:pStyle w:val="13"/>
              <w:keepNext/>
              <w:spacing w:line="440" w:lineRule="exact"/>
              <w:ind w:left="63" w:right="63"/>
              <w:rPr>
                <w:rFonts w:eastAsia="仿宋_GB2312"/>
                <w:szCs w:val="30"/>
              </w:rPr>
            </w:pPr>
            <w:r>
              <w:rPr>
                <w:rFonts w:eastAsia="仿宋_GB2312"/>
                <w:szCs w:val="30"/>
              </w:rPr>
              <w:t>结构</w:t>
            </w:r>
            <w:r>
              <w:rPr>
                <w:rFonts w:hint="eastAsia" w:eastAsia="仿宋_GB2312"/>
                <w:szCs w:val="30"/>
              </w:rPr>
              <w:t>形式</w:t>
            </w:r>
          </w:p>
        </w:tc>
        <w:tc>
          <w:tcPr>
            <w:tcW w:w="850" w:type="dxa"/>
            <w:tcBorders>
              <w:top w:val="single" w:color="auto" w:sz="12" w:space="0"/>
              <w:bottom w:val="double" w:color="auto" w:sz="6" w:space="0"/>
            </w:tcBorders>
            <w:vAlign w:val="center"/>
          </w:tcPr>
          <w:p w14:paraId="48E18A32">
            <w:pPr>
              <w:pStyle w:val="13"/>
              <w:keepNext/>
              <w:spacing w:line="440" w:lineRule="exact"/>
              <w:ind w:left="63" w:right="63"/>
              <w:rPr>
                <w:rFonts w:eastAsia="仿宋_GB2312"/>
                <w:szCs w:val="30"/>
              </w:rPr>
            </w:pPr>
            <w:r>
              <w:rPr>
                <w:rFonts w:eastAsia="仿宋_GB2312"/>
                <w:szCs w:val="30"/>
              </w:rPr>
              <w:t>层数</w:t>
            </w:r>
          </w:p>
        </w:tc>
        <w:tc>
          <w:tcPr>
            <w:tcW w:w="1560" w:type="dxa"/>
            <w:tcBorders>
              <w:top w:val="single" w:color="auto" w:sz="12" w:space="0"/>
              <w:bottom w:val="double" w:color="auto" w:sz="6" w:space="0"/>
            </w:tcBorders>
            <w:vAlign w:val="center"/>
          </w:tcPr>
          <w:p w14:paraId="360BDF3D">
            <w:pPr>
              <w:pStyle w:val="13"/>
              <w:keepNext/>
              <w:spacing w:line="440" w:lineRule="exact"/>
              <w:ind w:left="63" w:right="63"/>
              <w:rPr>
                <w:rFonts w:eastAsia="仿宋_GB2312"/>
                <w:szCs w:val="30"/>
              </w:rPr>
            </w:pPr>
            <w:r>
              <w:rPr>
                <w:rFonts w:eastAsia="仿宋_GB2312"/>
                <w:szCs w:val="30"/>
              </w:rPr>
              <w:t>生产能力</w:t>
            </w:r>
          </w:p>
        </w:tc>
        <w:tc>
          <w:tcPr>
            <w:tcW w:w="2126" w:type="dxa"/>
            <w:tcBorders>
              <w:top w:val="single" w:color="auto" w:sz="12" w:space="0"/>
              <w:bottom w:val="double" w:color="auto" w:sz="6" w:space="0"/>
            </w:tcBorders>
            <w:vAlign w:val="center"/>
          </w:tcPr>
          <w:p w14:paraId="43180856">
            <w:pPr>
              <w:pStyle w:val="13"/>
              <w:keepNext/>
              <w:spacing w:line="440" w:lineRule="exact"/>
              <w:ind w:left="63" w:right="63"/>
              <w:rPr>
                <w:rFonts w:eastAsia="仿宋_GB2312"/>
                <w:szCs w:val="30"/>
              </w:rPr>
            </w:pPr>
            <w:r>
              <w:rPr>
                <w:rFonts w:eastAsia="仿宋_GB2312"/>
                <w:szCs w:val="30"/>
              </w:rPr>
              <w:t>设备安装内容</w:t>
            </w:r>
          </w:p>
        </w:tc>
        <w:tc>
          <w:tcPr>
            <w:tcW w:w="1417" w:type="dxa"/>
            <w:tcBorders>
              <w:top w:val="single" w:color="auto" w:sz="12" w:space="0"/>
              <w:bottom w:val="double" w:color="auto" w:sz="6" w:space="0"/>
            </w:tcBorders>
            <w:vAlign w:val="center"/>
          </w:tcPr>
          <w:p w14:paraId="24F24591">
            <w:pPr>
              <w:pStyle w:val="13"/>
              <w:keepNext/>
              <w:spacing w:line="440" w:lineRule="exact"/>
              <w:ind w:left="63" w:right="63"/>
              <w:rPr>
                <w:rFonts w:eastAsia="仿宋_GB2312"/>
                <w:szCs w:val="30"/>
              </w:rPr>
            </w:pPr>
            <w:r>
              <w:rPr>
                <w:rFonts w:eastAsia="仿宋_GB2312"/>
                <w:szCs w:val="30"/>
              </w:rPr>
              <w:t>合同价格（元）</w:t>
            </w:r>
          </w:p>
        </w:tc>
        <w:tc>
          <w:tcPr>
            <w:tcW w:w="851" w:type="dxa"/>
            <w:tcBorders>
              <w:top w:val="single" w:color="auto" w:sz="12" w:space="0"/>
              <w:bottom w:val="double" w:color="auto" w:sz="6" w:space="0"/>
            </w:tcBorders>
            <w:vAlign w:val="center"/>
          </w:tcPr>
          <w:p w14:paraId="458335DE">
            <w:pPr>
              <w:pStyle w:val="13"/>
              <w:keepNext/>
              <w:spacing w:line="440" w:lineRule="exact"/>
              <w:ind w:left="63" w:right="63"/>
              <w:rPr>
                <w:rFonts w:eastAsia="仿宋_GB2312"/>
                <w:szCs w:val="30"/>
              </w:rPr>
            </w:pPr>
            <w:r>
              <w:rPr>
                <w:rFonts w:eastAsia="仿宋_GB2312"/>
                <w:szCs w:val="30"/>
              </w:rPr>
              <w:t>开工日期</w:t>
            </w:r>
          </w:p>
        </w:tc>
        <w:tc>
          <w:tcPr>
            <w:tcW w:w="850" w:type="dxa"/>
            <w:tcBorders>
              <w:top w:val="single" w:color="auto" w:sz="12" w:space="0"/>
              <w:bottom w:val="double" w:color="auto" w:sz="6" w:space="0"/>
            </w:tcBorders>
            <w:vAlign w:val="center"/>
          </w:tcPr>
          <w:p w14:paraId="639D7B47">
            <w:pPr>
              <w:pStyle w:val="13"/>
              <w:keepNext/>
              <w:spacing w:line="440" w:lineRule="exact"/>
              <w:ind w:left="63" w:right="63"/>
              <w:rPr>
                <w:rFonts w:eastAsia="仿宋_GB2312"/>
                <w:szCs w:val="30"/>
              </w:rPr>
            </w:pPr>
            <w:r>
              <w:rPr>
                <w:rFonts w:eastAsia="仿宋_GB2312"/>
                <w:szCs w:val="30"/>
              </w:rPr>
              <w:t>竣工日期</w:t>
            </w:r>
          </w:p>
        </w:tc>
      </w:tr>
      <w:tr w14:paraId="054402A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double" w:color="auto" w:sz="6" w:space="0"/>
              <w:bottom w:val="single" w:color="auto" w:sz="6" w:space="0"/>
            </w:tcBorders>
            <w:vAlign w:val="center"/>
          </w:tcPr>
          <w:p w14:paraId="4C70A2E1">
            <w:pPr>
              <w:pStyle w:val="13"/>
              <w:keepNext/>
              <w:spacing w:line="440" w:lineRule="exact"/>
              <w:ind w:left="63" w:right="63"/>
              <w:rPr>
                <w:rFonts w:eastAsia="仿宋_GB2312"/>
                <w:sz w:val="30"/>
                <w:szCs w:val="30"/>
              </w:rPr>
            </w:pPr>
          </w:p>
        </w:tc>
        <w:tc>
          <w:tcPr>
            <w:tcW w:w="1843" w:type="dxa"/>
            <w:tcBorders>
              <w:top w:val="double" w:color="auto" w:sz="6" w:space="0"/>
              <w:bottom w:val="single" w:color="auto" w:sz="6" w:space="0"/>
            </w:tcBorders>
            <w:vAlign w:val="center"/>
          </w:tcPr>
          <w:p w14:paraId="05AE22EF">
            <w:pPr>
              <w:pStyle w:val="13"/>
              <w:keepNext/>
              <w:spacing w:line="440" w:lineRule="exact"/>
              <w:ind w:left="63" w:right="63"/>
              <w:rPr>
                <w:rFonts w:eastAsia="仿宋_GB2312"/>
                <w:sz w:val="30"/>
                <w:szCs w:val="30"/>
              </w:rPr>
            </w:pPr>
          </w:p>
        </w:tc>
        <w:tc>
          <w:tcPr>
            <w:tcW w:w="1417" w:type="dxa"/>
            <w:tcBorders>
              <w:top w:val="double" w:color="auto" w:sz="6" w:space="0"/>
              <w:bottom w:val="single" w:color="auto" w:sz="6" w:space="0"/>
            </w:tcBorders>
            <w:vAlign w:val="center"/>
          </w:tcPr>
          <w:p w14:paraId="103A0A40">
            <w:pPr>
              <w:pStyle w:val="13"/>
              <w:keepNext/>
              <w:spacing w:line="440" w:lineRule="exact"/>
              <w:ind w:left="63" w:right="63"/>
              <w:rPr>
                <w:rFonts w:eastAsia="仿宋_GB2312"/>
                <w:sz w:val="30"/>
                <w:szCs w:val="30"/>
              </w:rPr>
            </w:pPr>
          </w:p>
        </w:tc>
        <w:tc>
          <w:tcPr>
            <w:tcW w:w="2410" w:type="dxa"/>
            <w:tcBorders>
              <w:top w:val="double" w:color="auto" w:sz="6" w:space="0"/>
              <w:bottom w:val="single" w:color="auto" w:sz="6" w:space="0"/>
            </w:tcBorders>
            <w:vAlign w:val="center"/>
          </w:tcPr>
          <w:p w14:paraId="7A7EE801">
            <w:pPr>
              <w:pStyle w:val="13"/>
              <w:keepNext/>
              <w:spacing w:line="440" w:lineRule="exact"/>
              <w:ind w:left="63" w:right="63"/>
              <w:rPr>
                <w:rFonts w:eastAsia="仿宋_GB2312"/>
                <w:sz w:val="30"/>
                <w:szCs w:val="30"/>
              </w:rPr>
            </w:pPr>
          </w:p>
        </w:tc>
        <w:tc>
          <w:tcPr>
            <w:tcW w:w="850" w:type="dxa"/>
            <w:tcBorders>
              <w:top w:val="double" w:color="auto" w:sz="6" w:space="0"/>
              <w:bottom w:val="single" w:color="auto" w:sz="6" w:space="0"/>
            </w:tcBorders>
            <w:vAlign w:val="center"/>
          </w:tcPr>
          <w:p w14:paraId="504BB6C5">
            <w:pPr>
              <w:pStyle w:val="13"/>
              <w:keepNext/>
              <w:spacing w:line="440" w:lineRule="exact"/>
              <w:ind w:left="63" w:right="63"/>
              <w:rPr>
                <w:rFonts w:eastAsia="仿宋_GB2312"/>
                <w:sz w:val="30"/>
                <w:szCs w:val="30"/>
              </w:rPr>
            </w:pPr>
          </w:p>
        </w:tc>
        <w:tc>
          <w:tcPr>
            <w:tcW w:w="1560" w:type="dxa"/>
            <w:tcBorders>
              <w:top w:val="double" w:color="auto" w:sz="6" w:space="0"/>
              <w:bottom w:val="single" w:color="auto" w:sz="6" w:space="0"/>
            </w:tcBorders>
            <w:vAlign w:val="center"/>
          </w:tcPr>
          <w:p w14:paraId="18D3CDC8">
            <w:pPr>
              <w:pStyle w:val="13"/>
              <w:keepNext/>
              <w:spacing w:line="440" w:lineRule="exact"/>
              <w:ind w:left="63" w:right="63"/>
              <w:rPr>
                <w:rFonts w:eastAsia="仿宋_GB2312"/>
                <w:sz w:val="30"/>
                <w:szCs w:val="30"/>
              </w:rPr>
            </w:pPr>
          </w:p>
        </w:tc>
        <w:tc>
          <w:tcPr>
            <w:tcW w:w="2126" w:type="dxa"/>
            <w:tcBorders>
              <w:top w:val="double" w:color="auto" w:sz="6" w:space="0"/>
              <w:bottom w:val="single" w:color="auto" w:sz="6" w:space="0"/>
            </w:tcBorders>
            <w:vAlign w:val="center"/>
          </w:tcPr>
          <w:p w14:paraId="05B7B453">
            <w:pPr>
              <w:pStyle w:val="13"/>
              <w:keepNext/>
              <w:spacing w:line="440" w:lineRule="exact"/>
              <w:ind w:left="63" w:right="63"/>
              <w:rPr>
                <w:rFonts w:eastAsia="仿宋_GB2312"/>
                <w:sz w:val="30"/>
                <w:szCs w:val="30"/>
              </w:rPr>
            </w:pPr>
          </w:p>
        </w:tc>
        <w:tc>
          <w:tcPr>
            <w:tcW w:w="1417" w:type="dxa"/>
            <w:tcBorders>
              <w:top w:val="double" w:color="auto" w:sz="6" w:space="0"/>
              <w:bottom w:val="single" w:color="auto" w:sz="6" w:space="0"/>
            </w:tcBorders>
            <w:vAlign w:val="center"/>
          </w:tcPr>
          <w:p w14:paraId="62D2B0FC">
            <w:pPr>
              <w:pStyle w:val="13"/>
              <w:keepNext/>
              <w:spacing w:line="440" w:lineRule="exact"/>
              <w:ind w:left="63" w:right="63"/>
              <w:rPr>
                <w:rFonts w:eastAsia="仿宋_GB2312"/>
                <w:sz w:val="30"/>
                <w:szCs w:val="30"/>
              </w:rPr>
            </w:pPr>
          </w:p>
        </w:tc>
        <w:tc>
          <w:tcPr>
            <w:tcW w:w="851" w:type="dxa"/>
            <w:tcBorders>
              <w:top w:val="double" w:color="auto" w:sz="6" w:space="0"/>
              <w:bottom w:val="single" w:color="auto" w:sz="6" w:space="0"/>
            </w:tcBorders>
            <w:vAlign w:val="center"/>
          </w:tcPr>
          <w:p w14:paraId="2B9D3726">
            <w:pPr>
              <w:pStyle w:val="13"/>
              <w:keepNext/>
              <w:spacing w:line="440" w:lineRule="exact"/>
              <w:ind w:left="63" w:right="63"/>
              <w:rPr>
                <w:rFonts w:eastAsia="仿宋_GB2312"/>
                <w:sz w:val="30"/>
                <w:szCs w:val="30"/>
              </w:rPr>
            </w:pPr>
          </w:p>
        </w:tc>
        <w:tc>
          <w:tcPr>
            <w:tcW w:w="850" w:type="dxa"/>
            <w:tcBorders>
              <w:top w:val="double" w:color="auto" w:sz="6" w:space="0"/>
              <w:bottom w:val="single" w:color="auto" w:sz="6" w:space="0"/>
            </w:tcBorders>
            <w:vAlign w:val="center"/>
          </w:tcPr>
          <w:p w14:paraId="6C01DFED">
            <w:pPr>
              <w:pStyle w:val="13"/>
              <w:keepNext/>
              <w:spacing w:line="440" w:lineRule="exact"/>
              <w:ind w:left="63" w:right="63"/>
              <w:rPr>
                <w:rFonts w:eastAsia="仿宋_GB2312"/>
                <w:sz w:val="30"/>
                <w:szCs w:val="30"/>
              </w:rPr>
            </w:pPr>
          </w:p>
        </w:tc>
      </w:tr>
      <w:tr w14:paraId="7A32A9D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vAlign w:val="center"/>
          </w:tcPr>
          <w:p w14:paraId="6E276CC9">
            <w:pPr>
              <w:pStyle w:val="13"/>
              <w:keepNext/>
              <w:spacing w:line="440" w:lineRule="exact"/>
              <w:ind w:left="63" w:right="63"/>
              <w:rPr>
                <w:rFonts w:eastAsia="仿宋_GB2312"/>
                <w:sz w:val="30"/>
                <w:szCs w:val="30"/>
              </w:rPr>
            </w:pPr>
          </w:p>
        </w:tc>
        <w:tc>
          <w:tcPr>
            <w:tcW w:w="1843" w:type="dxa"/>
            <w:tcBorders>
              <w:top w:val="nil"/>
            </w:tcBorders>
            <w:vAlign w:val="center"/>
          </w:tcPr>
          <w:p w14:paraId="54E7AC63">
            <w:pPr>
              <w:pStyle w:val="13"/>
              <w:keepNext/>
              <w:spacing w:line="440" w:lineRule="exact"/>
              <w:ind w:left="63" w:right="63"/>
              <w:rPr>
                <w:rFonts w:eastAsia="仿宋_GB2312"/>
                <w:sz w:val="30"/>
                <w:szCs w:val="30"/>
              </w:rPr>
            </w:pPr>
          </w:p>
        </w:tc>
        <w:tc>
          <w:tcPr>
            <w:tcW w:w="1417" w:type="dxa"/>
            <w:tcBorders>
              <w:top w:val="nil"/>
            </w:tcBorders>
            <w:vAlign w:val="center"/>
          </w:tcPr>
          <w:p w14:paraId="70CF74D3">
            <w:pPr>
              <w:pStyle w:val="13"/>
              <w:keepNext/>
              <w:spacing w:line="440" w:lineRule="exact"/>
              <w:ind w:left="63" w:right="63"/>
              <w:rPr>
                <w:rFonts w:eastAsia="仿宋_GB2312"/>
                <w:sz w:val="30"/>
                <w:szCs w:val="30"/>
              </w:rPr>
            </w:pPr>
          </w:p>
        </w:tc>
        <w:tc>
          <w:tcPr>
            <w:tcW w:w="2410" w:type="dxa"/>
            <w:tcBorders>
              <w:top w:val="nil"/>
            </w:tcBorders>
            <w:vAlign w:val="center"/>
          </w:tcPr>
          <w:p w14:paraId="32EF8D56">
            <w:pPr>
              <w:pStyle w:val="13"/>
              <w:keepNext/>
              <w:spacing w:line="440" w:lineRule="exact"/>
              <w:ind w:left="63" w:right="63"/>
              <w:rPr>
                <w:rFonts w:eastAsia="仿宋_GB2312"/>
                <w:sz w:val="30"/>
                <w:szCs w:val="30"/>
              </w:rPr>
            </w:pPr>
          </w:p>
        </w:tc>
        <w:tc>
          <w:tcPr>
            <w:tcW w:w="850" w:type="dxa"/>
            <w:tcBorders>
              <w:top w:val="nil"/>
            </w:tcBorders>
            <w:vAlign w:val="center"/>
          </w:tcPr>
          <w:p w14:paraId="6DB6C63E">
            <w:pPr>
              <w:pStyle w:val="13"/>
              <w:keepNext/>
              <w:spacing w:line="440" w:lineRule="exact"/>
              <w:ind w:left="63" w:right="63"/>
              <w:rPr>
                <w:rFonts w:eastAsia="仿宋_GB2312"/>
                <w:sz w:val="30"/>
                <w:szCs w:val="30"/>
              </w:rPr>
            </w:pPr>
          </w:p>
        </w:tc>
        <w:tc>
          <w:tcPr>
            <w:tcW w:w="1560" w:type="dxa"/>
            <w:tcBorders>
              <w:top w:val="nil"/>
            </w:tcBorders>
            <w:vAlign w:val="center"/>
          </w:tcPr>
          <w:p w14:paraId="3AC64160">
            <w:pPr>
              <w:pStyle w:val="13"/>
              <w:keepNext/>
              <w:spacing w:line="440" w:lineRule="exact"/>
              <w:ind w:left="63" w:right="63"/>
              <w:rPr>
                <w:rFonts w:eastAsia="仿宋_GB2312"/>
                <w:sz w:val="30"/>
                <w:szCs w:val="30"/>
              </w:rPr>
            </w:pPr>
          </w:p>
        </w:tc>
        <w:tc>
          <w:tcPr>
            <w:tcW w:w="2126" w:type="dxa"/>
            <w:tcBorders>
              <w:top w:val="nil"/>
            </w:tcBorders>
            <w:vAlign w:val="center"/>
          </w:tcPr>
          <w:p w14:paraId="3BD6AE41">
            <w:pPr>
              <w:pStyle w:val="13"/>
              <w:keepNext/>
              <w:spacing w:line="440" w:lineRule="exact"/>
              <w:ind w:left="63" w:right="63"/>
              <w:rPr>
                <w:rFonts w:eastAsia="仿宋_GB2312"/>
                <w:sz w:val="30"/>
                <w:szCs w:val="30"/>
              </w:rPr>
            </w:pPr>
          </w:p>
        </w:tc>
        <w:tc>
          <w:tcPr>
            <w:tcW w:w="1417" w:type="dxa"/>
            <w:tcBorders>
              <w:top w:val="nil"/>
            </w:tcBorders>
            <w:vAlign w:val="center"/>
          </w:tcPr>
          <w:p w14:paraId="2713D826">
            <w:pPr>
              <w:pStyle w:val="13"/>
              <w:keepNext/>
              <w:spacing w:line="440" w:lineRule="exact"/>
              <w:ind w:left="63" w:right="63"/>
              <w:rPr>
                <w:rFonts w:eastAsia="仿宋_GB2312"/>
                <w:sz w:val="30"/>
                <w:szCs w:val="30"/>
              </w:rPr>
            </w:pPr>
          </w:p>
        </w:tc>
        <w:tc>
          <w:tcPr>
            <w:tcW w:w="851" w:type="dxa"/>
            <w:tcBorders>
              <w:top w:val="nil"/>
            </w:tcBorders>
            <w:vAlign w:val="center"/>
          </w:tcPr>
          <w:p w14:paraId="67DD6262">
            <w:pPr>
              <w:pStyle w:val="13"/>
              <w:keepNext/>
              <w:spacing w:line="440" w:lineRule="exact"/>
              <w:ind w:left="63" w:right="63"/>
              <w:rPr>
                <w:rFonts w:eastAsia="仿宋_GB2312"/>
                <w:sz w:val="30"/>
                <w:szCs w:val="30"/>
              </w:rPr>
            </w:pPr>
          </w:p>
        </w:tc>
        <w:tc>
          <w:tcPr>
            <w:tcW w:w="850" w:type="dxa"/>
            <w:tcBorders>
              <w:top w:val="nil"/>
            </w:tcBorders>
            <w:vAlign w:val="center"/>
          </w:tcPr>
          <w:p w14:paraId="3CF8EA67">
            <w:pPr>
              <w:pStyle w:val="13"/>
              <w:keepNext/>
              <w:spacing w:line="440" w:lineRule="exact"/>
              <w:ind w:left="63" w:right="63"/>
              <w:rPr>
                <w:rFonts w:eastAsia="仿宋_GB2312"/>
                <w:sz w:val="30"/>
                <w:szCs w:val="30"/>
              </w:rPr>
            </w:pPr>
          </w:p>
        </w:tc>
      </w:tr>
      <w:tr w14:paraId="2E6C85A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vAlign w:val="center"/>
          </w:tcPr>
          <w:p w14:paraId="405B8B85">
            <w:pPr>
              <w:pStyle w:val="13"/>
              <w:keepNext/>
              <w:spacing w:line="440" w:lineRule="exact"/>
              <w:ind w:left="63" w:right="63"/>
              <w:rPr>
                <w:rFonts w:eastAsia="仿宋_GB2312"/>
                <w:sz w:val="30"/>
                <w:szCs w:val="30"/>
              </w:rPr>
            </w:pPr>
          </w:p>
        </w:tc>
        <w:tc>
          <w:tcPr>
            <w:tcW w:w="1843" w:type="dxa"/>
            <w:tcBorders>
              <w:top w:val="nil"/>
            </w:tcBorders>
            <w:vAlign w:val="center"/>
          </w:tcPr>
          <w:p w14:paraId="79E192B3">
            <w:pPr>
              <w:pStyle w:val="13"/>
              <w:keepNext/>
              <w:spacing w:line="440" w:lineRule="exact"/>
              <w:ind w:left="63" w:right="63"/>
              <w:rPr>
                <w:rFonts w:eastAsia="仿宋_GB2312"/>
                <w:sz w:val="30"/>
                <w:szCs w:val="30"/>
              </w:rPr>
            </w:pPr>
          </w:p>
        </w:tc>
        <w:tc>
          <w:tcPr>
            <w:tcW w:w="1417" w:type="dxa"/>
            <w:tcBorders>
              <w:top w:val="nil"/>
            </w:tcBorders>
            <w:vAlign w:val="center"/>
          </w:tcPr>
          <w:p w14:paraId="2467AF33">
            <w:pPr>
              <w:pStyle w:val="13"/>
              <w:keepNext/>
              <w:spacing w:line="440" w:lineRule="exact"/>
              <w:ind w:left="63" w:right="63"/>
              <w:rPr>
                <w:rFonts w:eastAsia="仿宋_GB2312"/>
                <w:sz w:val="30"/>
                <w:szCs w:val="30"/>
              </w:rPr>
            </w:pPr>
          </w:p>
        </w:tc>
        <w:tc>
          <w:tcPr>
            <w:tcW w:w="2410" w:type="dxa"/>
            <w:tcBorders>
              <w:top w:val="nil"/>
            </w:tcBorders>
            <w:vAlign w:val="center"/>
          </w:tcPr>
          <w:p w14:paraId="0B4F4045">
            <w:pPr>
              <w:pStyle w:val="13"/>
              <w:keepNext/>
              <w:spacing w:line="440" w:lineRule="exact"/>
              <w:ind w:left="63" w:right="63"/>
              <w:rPr>
                <w:rFonts w:eastAsia="仿宋_GB2312"/>
                <w:sz w:val="30"/>
                <w:szCs w:val="30"/>
              </w:rPr>
            </w:pPr>
          </w:p>
        </w:tc>
        <w:tc>
          <w:tcPr>
            <w:tcW w:w="850" w:type="dxa"/>
            <w:tcBorders>
              <w:top w:val="nil"/>
            </w:tcBorders>
            <w:vAlign w:val="center"/>
          </w:tcPr>
          <w:p w14:paraId="30BFB97F">
            <w:pPr>
              <w:pStyle w:val="13"/>
              <w:keepNext/>
              <w:spacing w:line="440" w:lineRule="exact"/>
              <w:ind w:left="63" w:right="63"/>
              <w:rPr>
                <w:rFonts w:eastAsia="仿宋_GB2312"/>
                <w:sz w:val="30"/>
                <w:szCs w:val="30"/>
              </w:rPr>
            </w:pPr>
          </w:p>
        </w:tc>
        <w:tc>
          <w:tcPr>
            <w:tcW w:w="1560" w:type="dxa"/>
            <w:tcBorders>
              <w:top w:val="nil"/>
            </w:tcBorders>
            <w:vAlign w:val="center"/>
          </w:tcPr>
          <w:p w14:paraId="0D25F81E">
            <w:pPr>
              <w:pStyle w:val="13"/>
              <w:keepNext/>
              <w:spacing w:line="440" w:lineRule="exact"/>
              <w:ind w:left="63" w:right="63"/>
              <w:rPr>
                <w:rFonts w:eastAsia="仿宋_GB2312"/>
                <w:sz w:val="30"/>
                <w:szCs w:val="30"/>
              </w:rPr>
            </w:pPr>
          </w:p>
        </w:tc>
        <w:tc>
          <w:tcPr>
            <w:tcW w:w="2126" w:type="dxa"/>
            <w:tcBorders>
              <w:top w:val="nil"/>
            </w:tcBorders>
            <w:vAlign w:val="center"/>
          </w:tcPr>
          <w:p w14:paraId="0F100787">
            <w:pPr>
              <w:pStyle w:val="13"/>
              <w:keepNext/>
              <w:spacing w:line="440" w:lineRule="exact"/>
              <w:ind w:left="63" w:right="63"/>
              <w:rPr>
                <w:rFonts w:eastAsia="仿宋_GB2312"/>
                <w:sz w:val="30"/>
                <w:szCs w:val="30"/>
              </w:rPr>
            </w:pPr>
          </w:p>
        </w:tc>
        <w:tc>
          <w:tcPr>
            <w:tcW w:w="1417" w:type="dxa"/>
            <w:tcBorders>
              <w:top w:val="nil"/>
            </w:tcBorders>
            <w:vAlign w:val="center"/>
          </w:tcPr>
          <w:p w14:paraId="576326BB">
            <w:pPr>
              <w:pStyle w:val="13"/>
              <w:keepNext/>
              <w:spacing w:line="440" w:lineRule="exact"/>
              <w:ind w:left="63" w:right="63"/>
              <w:rPr>
                <w:rFonts w:eastAsia="仿宋_GB2312"/>
                <w:sz w:val="30"/>
                <w:szCs w:val="30"/>
              </w:rPr>
            </w:pPr>
          </w:p>
        </w:tc>
        <w:tc>
          <w:tcPr>
            <w:tcW w:w="851" w:type="dxa"/>
            <w:tcBorders>
              <w:top w:val="nil"/>
            </w:tcBorders>
            <w:vAlign w:val="center"/>
          </w:tcPr>
          <w:p w14:paraId="5C91A1D2">
            <w:pPr>
              <w:pStyle w:val="13"/>
              <w:keepNext/>
              <w:spacing w:line="440" w:lineRule="exact"/>
              <w:ind w:left="63" w:right="63"/>
              <w:rPr>
                <w:rFonts w:eastAsia="仿宋_GB2312"/>
                <w:sz w:val="30"/>
                <w:szCs w:val="30"/>
              </w:rPr>
            </w:pPr>
          </w:p>
        </w:tc>
        <w:tc>
          <w:tcPr>
            <w:tcW w:w="850" w:type="dxa"/>
            <w:tcBorders>
              <w:top w:val="nil"/>
            </w:tcBorders>
            <w:vAlign w:val="center"/>
          </w:tcPr>
          <w:p w14:paraId="2D961D91">
            <w:pPr>
              <w:pStyle w:val="13"/>
              <w:keepNext/>
              <w:spacing w:line="440" w:lineRule="exact"/>
              <w:ind w:left="63" w:right="63"/>
              <w:rPr>
                <w:rFonts w:eastAsia="仿宋_GB2312"/>
                <w:sz w:val="30"/>
                <w:szCs w:val="30"/>
              </w:rPr>
            </w:pPr>
          </w:p>
        </w:tc>
      </w:tr>
      <w:tr w14:paraId="2459CA3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vAlign w:val="center"/>
          </w:tcPr>
          <w:p w14:paraId="6DF6953C">
            <w:pPr>
              <w:pStyle w:val="13"/>
              <w:keepNext/>
              <w:spacing w:line="440" w:lineRule="exact"/>
              <w:ind w:left="63" w:right="63"/>
              <w:rPr>
                <w:rFonts w:eastAsia="仿宋_GB2312"/>
                <w:sz w:val="30"/>
                <w:szCs w:val="30"/>
              </w:rPr>
            </w:pPr>
          </w:p>
        </w:tc>
        <w:tc>
          <w:tcPr>
            <w:tcW w:w="1843" w:type="dxa"/>
            <w:vAlign w:val="center"/>
          </w:tcPr>
          <w:p w14:paraId="470F8E8D">
            <w:pPr>
              <w:pStyle w:val="13"/>
              <w:keepNext/>
              <w:spacing w:line="440" w:lineRule="exact"/>
              <w:ind w:left="63" w:right="63"/>
              <w:rPr>
                <w:rFonts w:eastAsia="仿宋_GB2312"/>
                <w:sz w:val="30"/>
                <w:szCs w:val="30"/>
              </w:rPr>
            </w:pPr>
          </w:p>
        </w:tc>
        <w:tc>
          <w:tcPr>
            <w:tcW w:w="1417" w:type="dxa"/>
            <w:vAlign w:val="center"/>
          </w:tcPr>
          <w:p w14:paraId="16A73AE8">
            <w:pPr>
              <w:pStyle w:val="13"/>
              <w:keepNext/>
              <w:spacing w:line="440" w:lineRule="exact"/>
              <w:ind w:left="63" w:right="63"/>
              <w:rPr>
                <w:rFonts w:eastAsia="仿宋_GB2312"/>
                <w:sz w:val="30"/>
                <w:szCs w:val="30"/>
              </w:rPr>
            </w:pPr>
          </w:p>
        </w:tc>
        <w:tc>
          <w:tcPr>
            <w:tcW w:w="2410" w:type="dxa"/>
            <w:vAlign w:val="center"/>
          </w:tcPr>
          <w:p w14:paraId="29FEAB57">
            <w:pPr>
              <w:pStyle w:val="13"/>
              <w:keepNext/>
              <w:spacing w:line="440" w:lineRule="exact"/>
              <w:ind w:left="63" w:right="63"/>
              <w:rPr>
                <w:rFonts w:eastAsia="仿宋_GB2312"/>
                <w:sz w:val="30"/>
                <w:szCs w:val="30"/>
              </w:rPr>
            </w:pPr>
          </w:p>
        </w:tc>
        <w:tc>
          <w:tcPr>
            <w:tcW w:w="850" w:type="dxa"/>
            <w:vAlign w:val="center"/>
          </w:tcPr>
          <w:p w14:paraId="12374AB3">
            <w:pPr>
              <w:pStyle w:val="13"/>
              <w:keepNext/>
              <w:spacing w:line="440" w:lineRule="exact"/>
              <w:ind w:left="63" w:right="63"/>
              <w:rPr>
                <w:rFonts w:eastAsia="仿宋_GB2312"/>
                <w:sz w:val="30"/>
                <w:szCs w:val="30"/>
              </w:rPr>
            </w:pPr>
          </w:p>
        </w:tc>
        <w:tc>
          <w:tcPr>
            <w:tcW w:w="1560" w:type="dxa"/>
            <w:vAlign w:val="center"/>
          </w:tcPr>
          <w:p w14:paraId="6FF9BDA3">
            <w:pPr>
              <w:pStyle w:val="13"/>
              <w:keepNext/>
              <w:spacing w:line="440" w:lineRule="exact"/>
              <w:ind w:left="63" w:right="63"/>
              <w:rPr>
                <w:rFonts w:eastAsia="仿宋_GB2312"/>
                <w:sz w:val="30"/>
                <w:szCs w:val="30"/>
              </w:rPr>
            </w:pPr>
          </w:p>
        </w:tc>
        <w:tc>
          <w:tcPr>
            <w:tcW w:w="2126" w:type="dxa"/>
            <w:vAlign w:val="center"/>
          </w:tcPr>
          <w:p w14:paraId="329580F3">
            <w:pPr>
              <w:pStyle w:val="13"/>
              <w:keepNext/>
              <w:spacing w:line="440" w:lineRule="exact"/>
              <w:ind w:left="63" w:right="63"/>
              <w:rPr>
                <w:rFonts w:eastAsia="仿宋_GB2312"/>
                <w:sz w:val="30"/>
                <w:szCs w:val="30"/>
              </w:rPr>
            </w:pPr>
          </w:p>
        </w:tc>
        <w:tc>
          <w:tcPr>
            <w:tcW w:w="1417" w:type="dxa"/>
            <w:vAlign w:val="center"/>
          </w:tcPr>
          <w:p w14:paraId="4A3E4EFF">
            <w:pPr>
              <w:pStyle w:val="13"/>
              <w:keepNext/>
              <w:spacing w:line="440" w:lineRule="exact"/>
              <w:ind w:left="63" w:right="63"/>
              <w:rPr>
                <w:rFonts w:eastAsia="仿宋_GB2312"/>
                <w:sz w:val="30"/>
                <w:szCs w:val="30"/>
              </w:rPr>
            </w:pPr>
          </w:p>
        </w:tc>
        <w:tc>
          <w:tcPr>
            <w:tcW w:w="851" w:type="dxa"/>
            <w:vAlign w:val="center"/>
          </w:tcPr>
          <w:p w14:paraId="1A75B78F">
            <w:pPr>
              <w:pStyle w:val="13"/>
              <w:keepNext/>
              <w:spacing w:line="440" w:lineRule="exact"/>
              <w:ind w:left="63" w:right="63"/>
              <w:rPr>
                <w:rFonts w:eastAsia="仿宋_GB2312"/>
                <w:sz w:val="30"/>
                <w:szCs w:val="30"/>
              </w:rPr>
            </w:pPr>
          </w:p>
        </w:tc>
        <w:tc>
          <w:tcPr>
            <w:tcW w:w="850" w:type="dxa"/>
            <w:vAlign w:val="center"/>
          </w:tcPr>
          <w:p w14:paraId="2237EF64">
            <w:pPr>
              <w:pStyle w:val="13"/>
              <w:keepNext/>
              <w:spacing w:line="440" w:lineRule="exact"/>
              <w:ind w:left="63" w:right="63"/>
              <w:rPr>
                <w:rFonts w:eastAsia="仿宋_GB2312"/>
                <w:sz w:val="30"/>
                <w:szCs w:val="30"/>
              </w:rPr>
            </w:pPr>
          </w:p>
        </w:tc>
      </w:tr>
      <w:tr w14:paraId="6A3077E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vAlign w:val="center"/>
          </w:tcPr>
          <w:p w14:paraId="5D533326">
            <w:pPr>
              <w:pStyle w:val="13"/>
              <w:keepNext/>
              <w:spacing w:line="440" w:lineRule="exact"/>
              <w:ind w:left="63" w:right="63"/>
              <w:rPr>
                <w:rFonts w:eastAsia="仿宋_GB2312"/>
                <w:sz w:val="30"/>
                <w:szCs w:val="30"/>
              </w:rPr>
            </w:pPr>
          </w:p>
        </w:tc>
        <w:tc>
          <w:tcPr>
            <w:tcW w:w="1843" w:type="dxa"/>
            <w:tcBorders>
              <w:top w:val="nil"/>
            </w:tcBorders>
            <w:vAlign w:val="center"/>
          </w:tcPr>
          <w:p w14:paraId="3052D1C9">
            <w:pPr>
              <w:pStyle w:val="13"/>
              <w:keepNext/>
              <w:spacing w:line="440" w:lineRule="exact"/>
              <w:ind w:left="63" w:right="63"/>
              <w:rPr>
                <w:rFonts w:eastAsia="仿宋_GB2312"/>
                <w:sz w:val="30"/>
                <w:szCs w:val="30"/>
              </w:rPr>
            </w:pPr>
          </w:p>
        </w:tc>
        <w:tc>
          <w:tcPr>
            <w:tcW w:w="1417" w:type="dxa"/>
            <w:tcBorders>
              <w:top w:val="nil"/>
            </w:tcBorders>
            <w:vAlign w:val="center"/>
          </w:tcPr>
          <w:p w14:paraId="51FA1F26">
            <w:pPr>
              <w:pStyle w:val="13"/>
              <w:keepNext/>
              <w:spacing w:line="440" w:lineRule="exact"/>
              <w:ind w:left="63" w:right="63"/>
              <w:rPr>
                <w:rFonts w:eastAsia="仿宋_GB2312"/>
                <w:sz w:val="30"/>
                <w:szCs w:val="30"/>
              </w:rPr>
            </w:pPr>
          </w:p>
        </w:tc>
        <w:tc>
          <w:tcPr>
            <w:tcW w:w="2410" w:type="dxa"/>
            <w:tcBorders>
              <w:top w:val="nil"/>
            </w:tcBorders>
            <w:vAlign w:val="center"/>
          </w:tcPr>
          <w:p w14:paraId="03162312">
            <w:pPr>
              <w:pStyle w:val="13"/>
              <w:keepNext/>
              <w:spacing w:line="440" w:lineRule="exact"/>
              <w:ind w:left="63" w:right="63"/>
              <w:rPr>
                <w:rFonts w:eastAsia="仿宋_GB2312"/>
                <w:sz w:val="30"/>
                <w:szCs w:val="30"/>
              </w:rPr>
            </w:pPr>
          </w:p>
        </w:tc>
        <w:tc>
          <w:tcPr>
            <w:tcW w:w="850" w:type="dxa"/>
            <w:tcBorders>
              <w:top w:val="nil"/>
            </w:tcBorders>
            <w:vAlign w:val="center"/>
          </w:tcPr>
          <w:p w14:paraId="332EB6A3">
            <w:pPr>
              <w:pStyle w:val="13"/>
              <w:keepNext/>
              <w:spacing w:line="440" w:lineRule="exact"/>
              <w:ind w:left="63" w:right="63"/>
              <w:rPr>
                <w:rFonts w:eastAsia="仿宋_GB2312"/>
                <w:sz w:val="30"/>
                <w:szCs w:val="30"/>
              </w:rPr>
            </w:pPr>
          </w:p>
        </w:tc>
        <w:tc>
          <w:tcPr>
            <w:tcW w:w="1560" w:type="dxa"/>
            <w:tcBorders>
              <w:top w:val="nil"/>
            </w:tcBorders>
            <w:vAlign w:val="center"/>
          </w:tcPr>
          <w:p w14:paraId="7D565BB9">
            <w:pPr>
              <w:pStyle w:val="13"/>
              <w:keepNext/>
              <w:spacing w:line="440" w:lineRule="exact"/>
              <w:ind w:left="63" w:right="63"/>
              <w:rPr>
                <w:rFonts w:eastAsia="仿宋_GB2312"/>
                <w:sz w:val="30"/>
                <w:szCs w:val="30"/>
              </w:rPr>
            </w:pPr>
          </w:p>
        </w:tc>
        <w:tc>
          <w:tcPr>
            <w:tcW w:w="2126" w:type="dxa"/>
            <w:tcBorders>
              <w:top w:val="nil"/>
            </w:tcBorders>
            <w:vAlign w:val="center"/>
          </w:tcPr>
          <w:p w14:paraId="561DC827">
            <w:pPr>
              <w:pStyle w:val="13"/>
              <w:keepNext/>
              <w:spacing w:line="440" w:lineRule="exact"/>
              <w:ind w:left="63" w:right="63"/>
              <w:rPr>
                <w:rFonts w:eastAsia="仿宋_GB2312"/>
                <w:sz w:val="30"/>
                <w:szCs w:val="30"/>
              </w:rPr>
            </w:pPr>
          </w:p>
        </w:tc>
        <w:tc>
          <w:tcPr>
            <w:tcW w:w="1417" w:type="dxa"/>
            <w:tcBorders>
              <w:top w:val="nil"/>
            </w:tcBorders>
            <w:vAlign w:val="center"/>
          </w:tcPr>
          <w:p w14:paraId="4D549666">
            <w:pPr>
              <w:pStyle w:val="13"/>
              <w:keepNext/>
              <w:spacing w:line="440" w:lineRule="exact"/>
              <w:ind w:left="63" w:right="63"/>
              <w:rPr>
                <w:rFonts w:eastAsia="仿宋_GB2312"/>
                <w:sz w:val="30"/>
                <w:szCs w:val="30"/>
              </w:rPr>
            </w:pPr>
          </w:p>
        </w:tc>
        <w:tc>
          <w:tcPr>
            <w:tcW w:w="851" w:type="dxa"/>
            <w:tcBorders>
              <w:top w:val="nil"/>
            </w:tcBorders>
            <w:vAlign w:val="center"/>
          </w:tcPr>
          <w:p w14:paraId="532318B0">
            <w:pPr>
              <w:pStyle w:val="13"/>
              <w:keepNext/>
              <w:spacing w:line="440" w:lineRule="exact"/>
              <w:ind w:left="63" w:right="63"/>
              <w:rPr>
                <w:rFonts w:eastAsia="仿宋_GB2312"/>
                <w:sz w:val="30"/>
                <w:szCs w:val="30"/>
              </w:rPr>
            </w:pPr>
          </w:p>
        </w:tc>
        <w:tc>
          <w:tcPr>
            <w:tcW w:w="850" w:type="dxa"/>
            <w:tcBorders>
              <w:top w:val="nil"/>
            </w:tcBorders>
            <w:vAlign w:val="center"/>
          </w:tcPr>
          <w:p w14:paraId="4A6CA959">
            <w:pPr>
              <w:pStyle w:val="13"/>
              <w:keepNext/>
              <w:spacing w:line="440" w:lineRule="exact"/>
              <w:ind w:left="63" w:right="63"/>
              <w:rPr>
                <w:rFonts w:eastAsia="仿宋_GB2312"/>
                <w:sz w:val="30"/>
                <w:szCs w:val="30"/>
              </w:rPr>
            </w:pPr>
          </w:p>
        </w:tc>
      </w:tr>
      <w:tr w14:paraId="6929C83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vAlign w:val="center"/>
          </w:tcPr>
          <w:p w14:paraId="797E0E4C">
            <w:pPr>
              <w:pStyle w:val="13"/>
              <w:keepNext/>
              <w:spacing w:line="440" w:lineRule="exact"/>
              <w:ind w:left="63" w:right="63"/>
              <w:rPr>
                <w:rFonts w:eastAsia="仿宋_GB2312"/>
                <w:sz w:val="30"/>
                <w:szCs w:val="30"/>
              </w:rPr>
            </w:pPr>
          </w:p>
        </w:tc>
        <w:tc>
          <w:tcPr>
            <w:tcW w:w="1843" w:type="dxa"/>
            <w:vAlign w:val="center"/>
          </w:tcPr>
          <w:p w14:paraId="06B852D8">
            <w:pPr>
              <w:pStyle w:val="13"/>
              <w:keepNext/>
              <w:spacing w:line="440" w:lineRule="exact"/>
              <w:ind w:left="63" w:right="63"/>
              <w:rPr>
                <w:rFonts w:eastAsia="仿宋_GB2312"/>
                <w:sz w:val="30"/>
                <w:szCs w:val="30"/>
              </w:rPr>
            </w:pPr>
          </w:p>
        </w:tc>
        <w:tc>
          <w:tcPr>
            <w:tcW w:w="1417" w:type="dxa"/>
            <w:vAlign w:val="center"/>
          </w:tcPr>
          <w:p w14:paraId="3914561F">
            <w:pPr>
              <w:pStyle w:val="13"/>
              <w:keepNext/>
              <w:spacing w:line="440" w:lineRule="exact"/>
              <w:ind w:left="63" w:right="63"/>
              <w:rPr>
                <w:rFonts w:eastAsia="仿宋_GB2312"/>
                <w:sz w:val="30"/>
                <w:szCs w:val="30"/>
              </w:rPr>
            </w:pPr>
          </w:p>
        </w:tc>
        <w:tc>
          <w:tcPr>
            <w:tcW w:w="2410" w:type="dxa"/>
            <w:vAlign w:val="center"/>
          </w:tcPr>
          <w:p w14:paraId="6CFE753A">
            <w:pPr>
              <w:pStyle w:val="13"/>
              <w:keepNext/>
              <w:spacing w:line="440" w:lineRule="exact"/>
              <w:ind w:left="63" w:right="63"/>
              <w:rPr>
                <w:rFonts w:eastAsia="仿宋_GB2312"/>
                <w:sz w:val="30"/>
                <w:szCs w:val="30"/>
              </w:rPr>
            </w:pPr>
          </w:p>
        </w:tc>
        <w:tc>
          <w:tcPr>
            <w:tcW w:w="850" w:type="dxa"/>
            <w:vAlign w:val="center"/>
          </w:tcPr>
          <w:p w14:paraId="67CCDF32">
            <w:pPr>
              <w:pStyle w:val="13"/>
              <w:keepNext/>
              <w:spacing w:line="440" w:lineRule="exact"/>
              <w:ind w:left="63" w:right="63"/>
              <w:rPr>
                <w:rFonts w:eastAsia="仿宋_GB2312"/>
                <w:sz w:val="30"/>
                <w:szCs w:val="30"/>
              </w:rPr>
            </w:pPr>
          </w:p>
        </w:tc>
        <w:tc>
          <w:tcPr>
            <w:tcW w:w="1560" w:type="dxa"/>
            <w:vAlign w:val="center"/>
          </w:tcPr>
          <w:p w14:paraId="03B1EF61">
            <w:pPr>
              <w:pStyle w:val="13"/>
              <w:keepNext/>
              <w:spacing w:line="440" w:lineRule="exact"/>
              <w:ind w:left="63" w:right="63"/>
              <w:rPr>
                <w:rFonts w:eastAsia="仿宋_GB2312"/>
                <w:sz w:val="30"/>
                <w:szCs w:val="30"/>
              </w:rPr>
            </w:pPr>
          </w:p>
        </w:tc>
        <w:tc>
          <w:tcPr>
            <w:tcW w:w="2126" w:type="dxa"/>
            <w:vAlign w:val="center"/>
          </w:tcPr>
          <w:p w14:paraId="1AC0F1DE">
            <w:pPr>
              <w:pStyle w:val="13"/>
              <w:keepNext/>
              <w:spacing w:line="440" w:lineRule="exact"/>
              <w:ind w:left="63" w:right="63"/>
              <w:rPr>
                <w:rFonts w:eastAsia="仿宋_GB2312"/>
                <w:sz w:val="30"/>
                <w:szCs w:val="30"/>
              </w:rPr>
            </w:pPr>
          </w:p>
        </w:tc>
        <w:tc>
          <w:tcPr>
            <w:tcW w:w="1417" w:type="dxa"/>
            <w:vAlign w:val="center"/>
          </w:tcPr>
          <w:p w14:paraId="677ADDBD">
            <w:pPr>
              <w:pStyle w:val="13"/>
              <w:keepNext/>
              <w:spacing w:line="440" w:lineRule="exact"/>
              <w:ind w:left="63" w:right="63"/>
              <w:rPr>
                <w:rFonts w:eastAsia="仿宋_GB2312"/>
                <w:sz w:val="30"/>
                <w:szCs w:val="30"/>
              </w:rPr>
            </w:pPr>
          </w:p>
        </w:tc>
        <w:tc>
          <w:tcPr>
            <w:tcW w:w="851" w:type="dxa"/>
            <w:vAlign w:val="center"/>
          </w:tcPr>
          <w:p w14:paraId="6D983801">
            <w:pPr>
              <w:pStyle w:val="13"/>
              <w:keepNext/>
              <w:spacing w:line="440" w:lineRule="exact"/>
              <w:ind w:left="63" w:right="63"/>
              <w:rPr>
                <w:rFonts w:eastAsia="仿宋_GB2312"/>
                <w:sz w:val="30"/>
                <w:szCs w:val="30"/>
              </w:rPr>
            </w:pPr>
          </w:p>
        </w:tc>
        <w:tc>
          <w:tcPr>
            <w:tcW w:w="850" w:type="dxa"/>
            <w:vAlign w:val="center"/>
          </w:tcPr>
          <w:p w14:paraId="09AF5AC3">
            <w:pPr>
              <w:pStyle w:val="13"/>
              <w:keepNext/>
              <w:spacing w:line="440" w:lineRule="exact"/>
              <w:ind w:left="63" w:right="63"/>
              <w:rPr>
                <w:rFonts w:eastAsia="仿宋_GB2312"/>
                <w:sz w:val="30"/>
                <w:szCs w:val="30"/>
              </w:rPr>
            </w:pPr>
          </w:p>
        </w:tc>
      </w:tr>
      <w:tr w14:paraId="2CD3FFB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vAlign w:val="center"/>
          </w:tcPr>
          <w:p w14:paraId="457F40BE">
            <w:pPr>
              <w:pStyle w:val="13"/>
              <w:keepNext/>
              <w:spacing w:line="440" w:lineRule="exact"/>
              <w:ind w:left="63" w:right="63"/>
              <w:rPr>
                <w:rFonts w:eastAsia="仿宋_GB2312"/>
                <w:sz w:val="30"/>
                <w:szCs w:val="30"/>
              </w:rPr>
            </w:pPr>
          </w:p>
        </w:tc>
        <w:tc>
          <w:tcPr>
            <w:tcW w:w="1843" w:type="dxa"/>
            <w:tcBorders>
              <w:top w:val="nil"/>
            </w:tcBorders>
            <w:vAlign w:val="center"/>
          </w:tcPr>
          <w:p w14:paraId="79252241">
            <w:pPr>
              <w:pStyle w:val="13"/>
              <w:keepNext/>
              <w:spacing w:line="440" w:lineRule="exact"/>
              <w:ind w:left="63" w:right="63"/>
              <w:rPr>
                <w:rFonts w:eastAsia="仿宋_GB2312"/>
                <w:sz w:val="30"/>
                <w:szCs w:val="30"/>
              </w:rPr>
            </w:pPr>
          </w:p>
        </w:tc>
        <w:tc>
          <w:tcPr>
            <w:tcW w:w="1417" w:type="dxa"/>
            <w:tcBorders>
              <w:top w:val="nil"/>
            </w:tcBorders>
            <w:vAlign w:val="center"/>
          </w:tcPr>
          <w:p w14:paraId="55753D80">
            <w:pPr>
              <w:pStyle w:val="13"/>
              <w:keepNext/>
              <w:spacing w:line="440" w:lineRule="exact"/>
              <w:ind w:left="63" w:right="63"/>
              <w:rPr>
                <w:rFonts w:eastAsia="仿宋_GB2312"/>
                <w:sz w:val="30"/>
                <w:szCs w:val="30"/>
              </w:rPr>
            </w:pPr>
          </w:p>
        </w:tc>
        <w:tc>
          <w:tcPr>
            <w:tcW w:w="2410" w:type="dxa"/>
            <w:tcBorders>
              <w:top w:val="nil"/>
            </w:tcBorders>
            <w:vAlign w:val="center"/>
          </w:tcPr>
          <w:p w14:paraId="1514CD63">
            <w:pPr>
              <w:pStyle w:val="13"/>
              <w:keepNext/>
              <w:spacing w:line="440" w:lineRule="exact"/>
              <w:ind w:left="63" w:right="63"/>
              <w:rPr>
                <w:rFonts w:eastAsia="仿宋_GB2312"/>
                <w:sz w:val="30"/>
                <w:szCs w:val="30"/>
              </w:rPr>
            </w:pPr>
          </w:p>
        </w:tc>
        <w:tc>
          <w:tcPr>
            <w:tcW w:w="850" w:type="dxa"/>
            <w:tcBorders>
              <w:top w:val="nil"/>
            </w:tcBorders>
            <w:vAlign w:val="center"/>
          </w:tcPr>
          <w:p w14:paraId="3E101BE9">
            <w:pPr>
              <w:pStyle w:val="13"/>
              <w:keepNext/>
              <w:spacing w:line="440" w:lineRule="exact"/>
              <w:ind w:left="63" w:right="63"/>
              <w:rPr>
                <w:rFonts w:eastAsia="仿宋_GB2312"/>
                <w:sz w:val="30"/>
                <w:szCs w:val="30"/>
              </w:rPr>
            </w:pPr>
          </w:p>
        </w:tc>
        <w:tc>
          <w:tcPr>
            <w:tcW w:w="1560" w:type="dxa"/>
            <w:tcBorders>
              <w:top w:val="nil"/>
            </w:tcBorders>
            <w:vAlign w:val="center"/>
          </w:tcPr>
          <w:p w14:paraId="0ED0BDC7">
            <w:pPr>
              <w:pStyle w:val="13"/>
              <w:keepNext/>
              <w:spacing w:line="440" w:lineRule="exact"/>
              <w:ind w:left="63" w:right="63"/>
              <w:rPr>
                <w:rFonts w:eastAsia="仿宋_GB2312"/>
                <w:sz w:val="30"/>
                <w:szCs w:val="30"/>
              </w:rPr>
            </w:pPr>
          </w:p>
        </w:tc>
        <w:tc>
          <w:tcPr>
            <w:tcW w:w="2126" w:type="dxa"/>
            <w:tcBorders>
              <w:top w:val="nil"/>
            </w:tcBorders>
            <w:vAlign w:val="center"/>
          </w:tcPr>
          <w:p w14:paraId="5CCFAC07">
            <w:pPr>
              <w:pStyle w:val="13"/>
              <w:keepNext/>
              <w:spacing w:line="440" w:lineRule="exact"/>
              <w:ind w:left="63" w:right="63"/>
              <w:rPr>
                <w:rFonts w:eastAsia="仿宋_GB2312"/>
                <w:sz w:val="30"/>
                <w:szCs w:val="30"/>
              </w:rPr>
            </w:pPr>
          </w:p>
        </w:tc>
        <w:tc>
          <w:tcPr>
            <w:tcW w:w="1417" w:type="dxa"/>
            <w:tcBorders>
              <w:top w:val="nil"/>
            </w:tcBorders>
            <w:vAlign w:val="center"/>
          </w:tcPr>
          <w:p w14:paraId="4D452066">
            <w:pPr>
              <w:pStyle w:val="13"/>
              <w:keepNext/>
              <w:spacing w:line="440" w:lineRule="exact"/>
              <w:ind w:left="63" w:right="63"/>
              <w:rPr>
                <w:rFonts w:eastAsia="仿宋_GB2312"/>
                <w:sz w:val="30"/>
                <w:szCs w:val="30"/>
              </w:rPr>
            </w:pPr>
          </w:p>
        </w:tc>
        <w:tc>
          <w:tcPr>
            <w:tcW w:w="851" w:type="dxa"/>
            <w:tcBorders>
              <w:top w:val="nil"/>
            </w:tcBorders>
            <w:vAlign w:val="center"/>
          </w:tcPr>
          <w:p w14:paraId="3D050362">
            <w:pPr>
              <w:pStyle w:val="13"/>
              <w:keepNext/>
              <w:spacing w:line="440" w:lineRule="exact"/>
              <w:ind w:left="63" w:right="63"/>
              <w:rPr>
                <w:rFonts w:eastAsia="仿宋_GB2312"/>
                <w:sz w:val="30"/>
                <w:szCs w:val="30"/>
              </w:rPr>
            </w:pPr>
          </w:p>
        </w:tc>
        <w:tc>
          <w:tcPr>
            <w:tcW w:w="850" w:type="dxa"/>
            <w:tcBorders>
              <w:top w:val="nil"/>
            </w:tcBorders>
            <w:vAlign w:val="center"/>
          </w:tcPr>
          <w:p w14:paraId="6456C415">
            <w:pPr>
              <w:pStyle w:val="13"/>
              <w:keepNext/>
              <w:spacing w:line="440" w:lineRule="exact"/>
              <w:ind w:left="63" w:right="63"/>
              <w:rPr>
                <w:rFonts w:eastAsia="仿宋_GB2312"/>
                <w:sz w:val="30"/>
                <w:szCs w:val="30"/>
              </w:rPr>
            </w:pPr>
          </w:p>
        </w:tc>
      </w:tr>
      <w:tr w14:paraId="30C5CF9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vAlign w:val="center"/>
          </w:tcPr>
          <w:p w14:paraId="6C55C33D">
            <w:pPr>
              <w:pStyle w:val="13"/>
              <w:keepNext/>
              <w:spacing w:line="440" w:lineRule="exact"/>
              <w:ind w:left="63" w:right="63"/>
              <w:rPr>
                <w:rFonts w:eastAsia="仿宋_GB2312"/>
                <w:sz w:val="30"/>
                <w:szCs w:val="30"/>
              </w:rPr>
            </w:pPr>
          </w:p>
        </w:tc>
        <w:tc>
          <w:tcPr>
            <w:tcW w:w="1843" w:type="dxa"/>
            <w:tcBorders>
              <w:top w:val="nil"/>
            </w:tcBorders>
            <w:vAlign w:val="center"/>
          </w:tcPr>
          <w:p w14:paraId="1EA93873">
            <w:pPr>
              <w:pStyle w:val="13"/>
              <w:keepNext/>
              <w:spacing w:line="440" w:lineRule="exact"/>
              <w:ind w:left="63" w:right="63"/>
              <w:rPr>
                <w:rFonts w:eastAsia="仿宋_GB2312"/>
                <w:sz w:val="30"/>
                <w:szCs w:val="30"/>
              </w:rPr>
            </w:pPr>
          </w:p>
        </w:tc>
        <w:tc>
          <w:tcPr>
            <w:tcW w:w="1417" w:type="dxa"/>
            <w:tcBorders>
              <w:top w:val="nil"/>
            </w:tcBorders>
            <w:vAlign w:val="center"/>
          </w:tcPr>
          <w:p w14:paraId="4A08EA9B">
            <w:pPr>
              <w:pStyle w:val="13"/>
              <w:keepNext/>
              <w:spacing w:line="440" w:lineRule="exact"/>
              <w:ind w:left="63" w:right="63"/>
              <w:rPr>
                <w:rFonts w:eastAsia="仿宋_GB2312"/>
                <w:sz w:val="30"/>
                <w:szCs w:val="30"/>
              </w:rPr>
            </w:pPr>
          </w:p>
        </w:tc>
        <w:tc>
          <w:tcPr>
            <w:tcW w:w="2410" w:type="dxa"/>
            <w:tcBorders>
              <w:top w:val="nil"/>
            </w:tcBorders>
            <w:vAlign w:val="center"/>
          </w:tcPr>
          <w:p w14:paraId="1AB37921">
            <w:pPr>
              <w:pStyle w:val="13"/>
              <w:keepNext/>
              <w:spacing w:line="440" w:lineRule="exact"/>
              <w:ind w:left="63" w:right="63"/>
              <w:rPr>
                <w:rFonts w:eastAsia="仿宋_GB2312"/>
                <w:sz w:val="30"/>
                <w:szCs w:val="30"/>
              </w:rPr>
            </w:pPr>
          </w:p>
        </w:tc>
        <w:tc>
          <w:tcPr>
            <w:tcW w:w="850" w:type="dxa"/>
            <w:tcBorders>
              <w:top w:val="nil"/>
            </w:tcBorders>
            <w:vAlign w:val="center"/>
          </w:tcPr>
          <w:p w14:paraId="4EA59FD8">
            <w:pPr>
              <w:pStyle w:val="13"/>
              <w:keepNext/>
              <w:spacing w:line="440" w:lineRule="exact"/>
              <w:ind w:left="63" w:right="63"/>
              <w:rPr>
                <w:rFonts w:eastAsia="仿宋_GB2312"/>
                <w:sz w:val="30"/>
                <w:szCs w:val="30"/>
              </w:rPr>
            </w:pPr>
          </w:p>
        </w:tc>
        <w:tc>
          <w:tcPr>
            <w:tcW w:w="1560" w:type="dxa"/>
            <w:tcBorders>
              <w:top w:val="nil"/>
            </w:tcBorders>
            <w:vAlign w:val="center"/>
          </w:tcPr>
          <w:p w14:paraId="61476569">
            <w:pPr>
              <w:pStyle w:val="13"/>
              <w:keepNext/>
              <w:spacing w:line="440" w:lineRule="exact"/>
              <w:ind w:left="63" w:right="63"/>
              <w:rPr>
                <w:rFonts w:eastAsia="仿宋_GB2312"/>
                <w:sz w:val="30"/>
                <w:szCs w:val="30"/>
              </w:rPr>
            </w:pPr>
          </w:p>
        </w:tc>
        <w:tc>
          <w:tcPr>
            <w:tcW w:w="2126" w:type="dxa"/>
            <w:tcBorders>
              <w:top w:val="nil"/>
            </w:tcBorders>
            <w:vAlign w:val="center"/>
          </w:tcPr>
          <w:p w14:paraId="3F784B78">
            <w:pPr>
              <w:pStyle w:val="13"/>
              <w:keepNext/>
              <w:spacing w:line="440" w:lineRule="exact"/>
              <w:ind w:left="63" w:right="63"/>
              <w:rPr>
                <w:rFonts w:eastAsia="仿宋_GB2312"/>
                <w:sz w:val="30"/>
                <w:szCs w:val="30"/>
              </w:rPr>
            </w:pPr>
          </w:p>
        </w:tc>
        <w:tc>
          <w:tcPr>
            <w:tcW w:w="1417" w:type="dxa"/>
            <w:tcBorders>
              <w:top w:val="nil"/>
            </w:tcBorders>
            <w:vAlign w:val="center"/>
          </w:tcPr>
          <w:p w14:paraId="7122ED25">
            <w:pPr>
              <w:pStyle w:val="13"/>
              <w:keepNext/>
              <w:spacing w:line="440" w:lineRule="exact"/>
              <w:ind w:left="63" w:right="63"/>
              <w:rPr>
                <w:rFonts w:eastAsia="仿宋_GB2312"/>
                <w:sz w:val="30"/>
                <w:szCs w:val="30"/>
              </w:rPr>
            </w:pPr>
          </w:p>
        </w:tc>
        <w:tc>
          <w:tcPr>
            <w:tcW w:w="851" w:type="dxa"/>
            <w:tcBorders>
              <w:top w:val="nil"/>
            </w:tcBorders>
            <w:vAlign w:val="center"/>
          </w:tcPr>
          <w:p w14:paraId="2E79C282">
            <w:pPr>
              <w:pStyle w:val="13"/>
              <w:keepNext/>
              <w:spacing w:line="440" w:lineRule="exact"/>
              <w:ind w:left="63" w:right="63"/>
              <w:rPr>
                <w:rFonts w:eastAsia="仿宋_GB2312"/>
                <w:sz w:val="30"/>
                <w:szCs w:val="30"/>
              </w:rPr>
            </w:pPr>
          </w:p>
        </w:tc>
        <w:tc>
          <w:tcPr>
            <w:tcW w:w="850" w:type="dxa"/>
            <w:tcBorders>
              <w:top w:val="nil"/>
            </w:tcBorders>
            <w:vAlign w:val="center"/>
          </w:tcPr>
          <w:p w14:paraId="38E0BAC6">
            <w:pPr>
              <w:pStyle w:val="13"/>
              <w:keepNext/>
              <w:spacing w:line="440" w:lineRule="exact"/>
              <w:ind w:left="63" w:right="63"/>
              <w:rPr>
                <w:rFonts w:eastAsia="仿宋_GB2312"/>
                <w:sz w:val="30"/>
                <w:szCs w:val="30"/>
              </w:rPr>
            </w:pPr>
          </w:p>
        </w:tc>
      </w:tr>
      <w:tr w14:paraId="4039988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vAlign w:val="center"/>
          </w:tcPr>
          <w:p w14:paraId="71BAF201">
            <w:pPr>
              <w:pStyle w:val="13"/>
              <w:keepNext/>
              <w:spacing w:line="440" w:lineRule="exact"/>
              <w:ind w:left="63" w:right="63"/>
              <w:rPr>
                <w:rFonts w:eastAsia="仿宋_GB2312"/>
                <w:sz w:val="30"/>
                <w:szCs w:val="30"/>
              </w:rPr>
            </w:pPr>
          </w:p>
        </w:tc>
        <w:tc>
          <w:tcPr>
            <w:tcW w:w="1843" w:type="dxa"/>
            <w:vAlign w:val="center"/>
          </w:tcPr>
          <w:p w14:paraId="5176C8AC">
            <w:pPr>
              <w:pStyle w:val="13"/>
              <w:keepNext/>
              <w:spacing w:line="440" w:lineRule="exact"/>
              <w:ind w:left="63" w:right="63"/>
              <w:rPr>
                <w:rFonts w:eastAsia="仿宋_GB2312"/>
                <w:sz w:val="30"/>
                <w:szCs w:val="30"/>
              </w:rPr>
            </w:pPr>
          </w:p>
        </w:tc>
        <w:tc>
          <w:tcPr>
            <w:tcW w:w="1417" w:type="dxa"/>
            <w:vAlign w:val="center"/>
          </w:tcPr>
          <w:p w14:paraId="23436A3E">
            <w:pPr>
              <w:pStyle w:val="13"/>
              <w:keepNext/>
              <w:spacing w:line="440" w:lineRule="exact"/>
              <w:ind w:left="63" w:right="63"/>
              <w:rPr>
                <w:rFonts w:eastAsia="仿宋_GB2312"/>
                <w:sz w:val="30"/>
                <w:szCs w:val="30"/>
              </w:rPr>
            </w:pPr>
          </w:p>
        </w:tc>
        <w:tc>
          <w:tcPr>
            <w:tcW w:w="2410" w:type="dxa"/>
            <w:vAlign w:val="center"/>
          </w:tcPr>
          <w:p w14:paraId="105A9025">
            <w:pPr>
              <w:pStyle w:val="13"/>
              <w:keepNext/>
              <w:spacing w:line="440" w:lineRule="exact"/>
              <w:ind w:left="63" w:right="63"/>
              <w:rPr>
                <w:rFonts w:eastAsia="仿宋_GB2312"/>
                <w:sz w:val="30"/>
                <w:szCs w:val="30"/>
              </w:rPr>
            </w:pPr>
          </w:p>
        </w:tc>
        <w:tc>
          <w:tcPr>
            <w:tcW w:w="850" w:type="dxa"/>
            <w:vAlign w:val="center"/>
          </w:tcPr>
          <w:p w14:paraId="3AD12CDE">
            <w:pPr>
              <w:pStyle w:val="13"/>
              <w:keepNext/>
              <w:spacing w:line="440" w:lineRule="exact"/>
              <w:ind w:left="63" w:right="63"/>
              <w:rPr>
                <w:rFonts w:eastAsia="仿宋_GB2312"/>
                <w:sz w:val="30"/>
                <w:szCs w:val="30"/>
              </w:rPr>
            </w:pPr>
          </w:p>
        </w:tc>
        <w:tc>
          <w:tcPr>
            <w:tcW w:w="1560" w:type="dxa"/>
            <w:vAlign w:val="center"/>
          </w:tcPr>
          <w:p w14:paraId="4A26B18A">
            <w:pPr>
              <w:pStyle w:val="13"/>
              <w:keepNext/>
              <w:spacing w:line="440" w:lineRule="exact"/>
              <w:ind w:left="63" w:right="63"/>
              <w:rPr>
                <w:rFonts w:eastAsia="仿宋_GB2312"/>
                <w:sz w:val="30"/>
                <w:szCs w:val="30"/>
              </w:rPr>
            </w:pPr>
          </w:p>
        </w:tc>
        <w:tc>
          <w:tcPr>
            <w:tcW w:w="2126" w:type="dxa"/>
            <w:vAlign w:val="center"/>
          </w:tcPr>
          <w:p w14:paraId="72B03E7C">
            <w:pPr>
              <w:pStyle w:val="13"/>
              <w:keepNext/>
              <w:spacing w:line="440" w:lineRule="exact"/>
              <w:ind w:left="63" w:right="63"/>
              <w:rPr>
                <w:rFonts w:eastAsia="仿宋_GB2312"/>
                <w:sz w:val="30"/>
                <w:szCs w:val="30"/>
              </w:rPr>
            </w:pPr>
          </w:p>
        </w:tc>
        <w:tc>
          <w:tcPr>
            <w:tcW w:w="1417" w:type="dxa"/>
            <w:vAlign w:val="center"/>
          </w:tcPr>
          <w:p w14:paraId="1E6F60AD">
            <w:pPr>
              <w:pStyle w:val="13"/>
              <w:keepNext/>
              <w:spacing w:line="440" w:lineRule="exact"/>
              <w:ind w:left="63" w:right="63"/>
              <w:rPr>
                <w:rFonts w:eastAsia="仿宋_GB2312"/>
                <w:sz w:val="30"/>
                <w:szCs w:val="30"/>
              </w:rPr>
            </w:pPr>
          </w:p>
        </w:tc>
        <w:tc>
          <w:tcPr>
            <w:tcW w:w="851" w:type="dxa"/>
            <w:vAlign w:val="center"/>
          </w:tcPr>
          <w:p w14:paraId="01FAE9BA">
            <w:pPr>
              <w:pStyle w:val="13"/>
              <w:keepNext/>
              <w:spacing w:line="440" w:lineRule="exact"/>
              <w:ind w:left="63" w:right="63"/>
              <w:rPr>
                <w:rFonts w:eastAsia="仿宋_GB2312"/>
                <w:sz w:val="30"/>
                <w:szCs w:val="30"/>
              </w:rPr>
            </w:pPr>
          </w:p>
        </w:tc>
        <w:tc>
          <w:tcPr>
            <w:tcW w:w="850" w:type="dxa"/>
            <w:vAlign w:val="center"/>
          </w:tcPr>
          <w:p w14:paraId="62052830">
            <w:pPr>
              <w:pStyle w:val="13"/>
              <w:keepNext/>
              <w:spacing w:line="440" w:lineRule="exact"/>
              <w:ind w:left="63" w:right="63"/>
              <w:rPr>
                <w:rFonts w:eastAsia="仿宋_GB2312"/>
                <w:sz w:val="30"/>
                <w:szCs w:val="30"/>
              </w:rPr>
            </w:pPr>
          </w:p>
        </w:tc>
      </w:tr>
      <w:tr w14:paraId="740E525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tcBorders>
              <w:top w:val="nil"/>
            </w:tcBorders>
            <w:vAlign w:val="center"/>
          </w:tcPr>
          <w:p w14:paraId="734E4E50">
            <w:pPr>
              <w:pStyle w:val="13"/>
              <w:keepNext/>
              <w:spacing w:line="440" w:lineRule="exact"/>
              <w:ind w:left="63" w:right="63"/>
              <w:rPr>
                <w:rFonts w:eastAsia="仿宋_GB2312"/>
                <w:sz w:val="30"/>
                <w:szCs w:val="30"/>
              </w:rPr>
            </w:pPr>
          </w:p>
        </w:tc>
        <w:tc>
          <w:tcPr>
            <w:tcW w:w="1843" w:type="dxa"/>
            <w:tcBorders>
              <w:top w:val="nil"/>
            </w:tcBorders>
            <w:vAlign w:val="center"/>
          </w:tcPr>
          <w:p w14:paraId="0F545537">
            <w:pPr>
              <w:pStyle w:val="13"/>
              <w:keepNext/>
              <w:spacing w:line="440" w:lineRule="exact"/>
              <w:ind w:left="63" w:right="63"/>
              <w:rPr>
                <w:rFonts w:eastAsia="仿宋_GB2312"/>
                <w:sz w:val="30"/>
                <w:szCs w:val="30"/>
              </w:rPr>
            </w:pPr>
          </w:p>
        </w:tc>
        <w:tc>
          <w:tcPr>
            <w:tcW w:w="1417" w:type="dxa"/>
            <w:tcBorders>
              <w:top w:val="nil"/>
            </w:tcBorders>
            <w:vAlign w:val="center"/>
          </w:tcPr>
          <w:p w14:paraId="1BE29BD3">
            <w:pPr>
              <w:pStyle w:val="13"/>
              <w:keepNext/>
              <w:spacing w:line="440" w:lineRule="exact"/>
              <w:ind w:left="63" w:right="63"/>
              <w:rPr>
                <w:rFonts w:eastAsia="仿宋_GB2312"/>
                <w:sz w:val="30"/>
                <w:szCs w:val="30"/>
              </w:rPr>
            </w:pPr>
          </w:p>
        </w:tc>
        <w:tc>
          <w:tcPr>
            <w:tcW w:w="2410" w:type="dxa"/>
            <w:tcBorders>
              <w:top w:val="nil"/>
            </w:tcBorders>
            <w:vAlign w:val="center"/>
          </w:tcPr>
          <w:p w14:paraId="569A3640">
            <w:pPr>
              <w:pStyle w:val="13"/>
              <w:keepNext/>
              <w:spacing w:line="440" w:lineRule="exact"/>
              <w:ind w:left="63" w:right="63"/>
              <w:rPr>
                <w:rFonts w:eastAsia="仿宋_GB2312"/>
                <w:sz w:val="30"/>
                <w:szCs w:val="30"/>
              </w:rPr>
            </w:pPr>
          </w:p>
        </w:tc>
        <w:tc>
          <w:tcPr>
            <w:tcW w:w="850" w:type="dxa"/>
            <w:tcBorders>
              <w:top w:val="nil"/>
            </w:tcBorders>
            <w:vAlign w:val="center"/>
          </w:tcPr>
          <w:p w14:paraId="5F5A1E20">
            <w:pPr>
              <w:pStyle w:val="13"/>
              <w:keepNext/>
              <w:spacing w:line="440" w:lineRule="exact"/>
              <w:ind w:left="63" w:right="63"/>
              <w:rPr>
                <w:rFonts w:eastAsia="仿宋_GB2312"/>
                <w:sz w:val="30"/>
                <w:szCs w:val="30"/>
              </w:rPr>
            </w:pPr>
          </w:p>
        </w:tc>
        <w:tc>
          <w:tcPr>
            <w:tcW w:w="1560" w:type="dxa"/>
            <w:tcBorders>
              <w:top w:val="nil"/>
            </w:tcBorders>
            <w:vAlign w:val="center"/>
          </w:tcPr>
          <w:p w14:paraId="1ECC09CE">
            <w:pPr>
              <w:pStyle w:val="13"/>
              <w:keepNext/>
              <w:spacing w:line="440" w:lineRule="exact"/>
              <w:ind w:left="63" w:right="63"/>
              <w:rPr>
                <w:rFonts w:eastAsia="仿宋_GB2312"/>
                <w:sz w:val="30"/>
                <w:szCs w:val="30"/>
              </w:rPr>
            </w:pPr>
          </w:p>
        </w:tc>
        <w:tc>
          <w:tcPr>
            <w:tcW w:w="2126" w:type="dxa"/>
            <w:tcBorders>
              <w:top w:val="nil"/>
            </w:tcBorders>
            <w:vAlign w:val="center"/>
          </w:tcPr>
          <w:p w14:paraId="04AA314A">
            <w:pPr>
              <w:pStyle w:val="13"/>
              <w:keepNext/>
              <w:spacing w:line="440" w:lineRule="exact"/>
              <w:ind w:left="63" w:right="63"/>
              <w:rPr>
                <w:rFonts w:eastAsia="仿宋_GB2312"/>
                <w:sz w:val="30"/>
                <w:szCs w:val="30"/>
              </w:rPr>
            </w:pPr>
          </w:p>
        </w:tc>
        <w:tc>
          <w:tcPr>
            <w:tcW w:w="1417" w:type="dxa"/>
            <w:tcBorders>
              <w:top w:val="nil"/>
            </w:tcBorders>
            <w:vAlign w:val="center"/>
          </w:tcPr>
          <w:p w14:paraId="69DDA884">
            <w:pPr>
              <w:pStyle w:val="13"/>
              <w:keepNext/>
              <w:spacing w:line="440" w:lineRule="exact"/>
              <w:ind w:left="63" w:right="63"/>
              <w:rPr>
                <w:rFonts w:eastAsia="仿宋_GB2312"/>
                <w:sz w:val="30"/>
                <w:szCs w:val="30"/>
              </w:rPr>
            </w:pPr>
          </w:p>
        </w:tc>
        <w:tc>
          <w:tcPr>
            <w:tcW w:w="851" w:type="dxa"/>
            <w:tcBorders>
              <w:top w:val="nil"/>
            </w:tcBorders>
            <w:vAlign w:val="center"/>
          </w:tcPr>
          <w:p w14:paraId="5F40B71E">
            <w:pPr>
              <w:pStyle w:val="13"/>
              <w:keepNext/>
              <w:spacing w:line="440" w:lineRule="exact"/>
              <w:ind w:left="63" w:right="63"/>
              <w:rPr>
                <w:rFonts w:eastAsia="仿宋_GB2312"/>
                <w:sz w:val="30"/>
                <w:szCs w:val="30"/>
              </w:rPr>
            </w:pPr>
          </w:p>
        </w:tc>
        <w:tc>
          <w:tcPr>
            <w:tcW w:w="850" w:type="dxa"/>
            <w:tcBorders>
              <w:top w:val="nil"/>
            </w:tcBorders>
            <w:vAlign w:val="center"/>
          </w:tcPr>
          <w:p w14:paraId="761F2EF6">
            <w:pPr>
              <w:pStyle w:val="13"/>
              <w:keepNext/>
              <w:spacing w:line="440" w:lineRule="exact"/>
              <w:ind w:left="63" w:right="63"/>
              <w:rPr>
                <w:rFonts w:eastAsia="仿宋_GB2312"/>
                <w:sz w:val="30"/>
                <w:szCs w:val="30"/>
              </w:rPr>
            </w:pPr>
          </w:p>
        </w:tc>
      </w:tr>
      <w:tr w14:paraId="01DF8B1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trPr>
        <w:tc>
          <w:tcPr>
            <w:tcW w:w="1277" w:type="dxa"/>
            <w:vAlign w:val="center"/>
          </w:tcPr>
          <w:p w14:paraId="0E964486">
            <w:pPr>
              <w:pStyle w:val="13"/>
              <w:keepNext/>
              <w:spacing w:line="440" w:lineRule="exact"/>
              <w:ind w:left="63" w:right="63"/>
              <w:rPr>
                <w:rFonts w:eastAsia="仿宋_GB2312"/>
                <w:sz w:val="30"/>
                <w:szCs w:val="30"/>
              </w:rPr>
            </w:pPr>
          </w:p>
        </w:tc>
        <w:tc>
          <w:tcPr>
            <w:tcW w:w="1843" w:type="dxa"/>
            <w:vAlign w:val="center"/>
          </w:tcPr>
          <w:p w14:paraId="4DEEF442">
            <w:pPr>
              <w:pStyle w:val="13"/>
              <w:keepNext/>
              <w:spacing w:line="440" w:lineRule="exact"/>
              <w:ind w:left="63" w:right="63"/>
              <w:rPr>
                <w:rFonts w:eastAsia="仿宋_GB2312"/>
                <w:sz w:val="30"/>
                <w:szCs w:val="30"/>
              </w:rPr>
            </w:pPr>
          </w:p>
        </w:tc>
        <w:tc>
          <w:tcPr>
            <w:tcW w:w="1417" w:type="dxa"/>
            <w:vAlign w:val="center"/>
          </w:tcPr>
          <w:p w14:paraId="12D5A47A">
            <w:pPr>
              <w:pStyle w:val="13"/>
              <w:keepNext/>
              <w:spacing w:line="440" w:lineRule="exact"/>
              <w:ind w:left="63" w:right="63"/>
              <w:rPr>
                <w:rFonts w:eastAsia="仿宋_GB2312"/>
                <w:sz w:val="30"/>
                <w:szCs w:val="30"/>
              </w:rPr>
            </w:pPr>
          </w:p>
        </w:tc>
        <w:tc>
          <w:tcPr>
            <w:tcW w:w="2410" w:type="dxa"/>
            <w:vAlign w:val="center"/>
          </w:tcPr>
          <w:p w14:paraId="359E1471">
            <w:pPr>
              <w:pStyle w:val="13"/>
              <w:keepNext/>
              <w:spacing w:line="440" w:lineRule="exact"/>
              <w:ind w:left="63" w:right="63"/>
              <w:rPr>
                <w:rFonts w:eastAsia="仿宋_GB2312"/>
                <w:sz w:val="30"/>
                <w:szCs w:val="30"/>
              </w:rPr>
            </w:pPr>
          </w:p>
        </w:tc>
        <w:tc>
          <w:tcPr>
            <w:tcW w:w="850" w:type="dxa"/>
            <w:vAlign w:val="center"/>
          </w:tcPr>
          <w:p w14:paraId="13BB70F2">
            <w:pPr>
              <w:pStyle w:val="13"/>
              <w:keepNext/>
              <w:spacing w:line="440" w:lineRule="exact"/>
              <w:ind w:left="63" w:right="63"/>
              <w:rPr>
                <w:rFonts w:eastAsia="仿宋_GB2312"/>
                <w:sz w:val="30"/>
                <w:szCs w:val="30"/>
              </w:rPr>
            </w:pPr>
          </w:p>
        </w:tc>
        <w:tc>
          <w:tcPr>
            <w:tcW w:w="1560" w:type="dxa"/>
            <w:vAlign w:val="center"/>
          </w:tcPr>
          <w:p w14:paraId="67BBEF50">
            <w:pPr>
              <w:pStyle w:val="13"/>
              <w:keepNext/>
              <w:spacing w:line="440" w:lineRule="exact"/>
              <w:ind w:left="63" w:right="63"/>
              <w:rPr>
                <w:rFonts w:eastAsia="仿宋_GB2312"/>
                <w:sz w:val="30"/>
                <w:szCs w:val="30"/>
              </w:rPr>
            </w:pPr>
          </w:p>
        </w:tc>
        <w:tc>
          <w:tcPr>
            <w:tcW w:w="2126" w:type="dxa"/>
            <w:vAlign w:val="center"/>
          </w:tcPr>
          <w:p w14:paraId="20C7C5C9">
            <w:pPr>
              <w:pStyle w:val="13"/>
              <w:keepNext/>
              <w:spacing w:line="440" w:lineRule="exact"/>
              <w:ind w:left="63" w:right="63"/>
              <w:rPr>
                <w:rFonts w:eastAsia="仿宋_GB2312"/>
                <w:sz w:val="30"/>
                <w:szCs w:val="30"/>
              </w:rPr>
            </w:pPr>
          </w:p>
        </w:tc>
        <w:tc>
          <w:tcPr>
            <w:tcW w:w="1417" w:type="dxa"/>
            <w:vAlign w:val="center"/>
          </w:tcPr>
          <w:p w14:paraId="381BA7B4">
            <w:pPr>
              <w:pStyle w:val="13"/>
              <w:keepNext/>
              <w:spacing w:line="440" w:lineRule="exact"/>
              <w:ind w:left="63" w:right="63"/>
              <w:rPr>
                <w:rFonts w:eastAsia="仿宋_GB2312"/>
                <w:sz w:val="30"/>
                <w:szCs w:val="30"/>
              </w:rPr>
            </w:pPr>
          </w:p>
        </w:tc>
        <w:tc>
          <w:tcPr>
            <w:tcW w:w="851" w:type="dxa"/>
            <w:vAlign w:val="center"/>
          </w:tcPr>
          <w:p w14:paraId="321B0D06">
            <w:pPr>
              <w:pStyle w:val="13"/>
              <w:keepNext/>
              <w:spacing w:line="440" w:lineRule="exact"/>
              <w:ind w:left="63" w:right="63"/>
              <w:rPr>
                <w:rFonts w:eastAsia="仿宋_GB2312"/>
                <w:sz w:val="30"/>
                <w:szCs w:val="30"/>
              </w:rPr>
            </w:pPr>
          </w:p>
        </w:tc>
        <w:tc>
          <w:tcPr>
            <w:tcW w:w="850" w:type="dxa"/>
            <w:vAlign w:val="center"/>
          </w:tcPr>
          <w:p w14:paraId="494F19E6">
            <w:pPr>
              <w:pStyle w:val="13"/>
              <w:keepNext/>
              <w:spacing w:line="440" w:lineRule="exact"/>
              <w:ind w:left="63" w:right="63"/>
              <w:rPr>
                <w:rFonts w:eastAsia="仿宋_GB2312"/>
                <w:sz w:val="30"/>
                <w:szCs w:val="30"/>
              </w:rPr>
            </w:pPr>
          </w:p>
        </w:tc>
      </w:tr>
    </w:tbl>
    <w:p w14:paraId="61AA5C17">
      <w:pPr>
        <w:spacing w:line="440" w:lineRule="exact"/>
        <w:rPr>
          <w:rFonts w:eastAsia="仿宋_GB2312"/>
          <w:b/>
          <w:sz w:val="30"/>
          <w:szCs w:val="30"/>
        </w:rPr>
        <w:sectPr>
          <w:headerReference r:id="rId13" w:type="first"/>
          <w:footerReference r:id="rId15" w:type="first"/>
          <w:headerReference r:id="rId12" w:type="default"/>
          <w:footerReference r:id="rId14" w:type="default"/>
          <w:pgSz w:w="16838" w:h="11906" w:orient="landscape"/>
          <w:pgMar w:top="1554" w:right="1418" w:bottom="1531" w:left="1418" w:header="851" w:footer="992" w:gutter="0"/>
          <w:cols w:space="720" w:num="1"/>
          <w:titlePg/>
          <w:docGrid w:type="linesAndChars" w:linePitch="312" w:charSpace="0"/>
        </w:sectPr>
      </w:pPr>
    </w:p>
    <w:p w14:paraId="2BB19BCE">
      <w:pPr>
        <w:spacing w:before="120" w:beforeLines="50" w:after="120" w:afterLines="50" w:line="440" w:lineRule="exact"/>
        <w:jc w:val="left"/>
        <w:rPr>
          <w:rFonts w:eastAsia="黑体"/>
          <w:sz w:val="30"/>
          <w:szCs w:val="30"/>
        </w:rPr>
      </w:pPr>
      <w:r>
        <w:rPr>
          <w:rFonts w:hint="eastAsia" w:ascii="黑体" w:hAnsi="黑体" w:eastAsia="黑体" w:cs="黑体"/>
          <w:sz w:val="32"/>
          <w:szCs w:val="32"/>
        </w:rPr>
        <w:t>附</w:t>
      </w:r>
      <w:bookmarkStart w:id="1226" w:name="_Toc296891053"/>
      <w:bookmarkStart w:id="1227" w:name="_Toc296346726"/>
      <w:bookmarkStart w:id="1228" w:name="_Toc267261692"/>
      <w:bookmarkStart w:id="1229" w:name="_Toc296347224"/>
      <w:bookmarkStart w:id="1230" w:name="_Toc296944564"/>
      <w:bookmarkStart w:id="1231" w:name="_Toc296503225"/>
      <w:bookmarkStart w:id="1232" w:name="_Toc296891265"/>
      <w:r>
        <w:rPr>
          <w:rFonts w:hint="eastAsia" w:ascii="黑体" w:hAnsi="黑体" w:eastAsia="黑体" w:cs="黑体"/>
          <w:sz w:val="32"/>
          <w:szCs w:val="32"/>
        </w:rPr>
        <w:t>件2</w:t>
      </w:r>
      <w:bookmarkEnd w:id="1226"/>
      <w:bookmarkEnd w:id="1227"/>
      <w:bookmarkEnd w:id="1228"/>
      <w:bookmarkEnd w:id="1229"/>
      <w:bookmarkEnd w:id="1230"/>
      <w:bookmarkEnd w:id="1231"/>
      <w:bookmarkEnd w:id="1232"/>
      <w:r>
        <w:rPr>
          <w:rFonts w:eastAsia="黑体"/>
          <w:sz w:val="30"/>
          <w:szCs w:val="30"/>
        </w:rPr>
        <w:t xml:space="preserve">  </w:t>
      </w:r>
    </w:p>
    <w:p w14:paraId="488C9B7B">
      <w:pPr>
        <w:spacing w:before="120" w:beforeLines="50" w:after="120" w:afterLines="50" w:line="440" w:lineRule="exact"/>
        <w:jc w:val="center"/>
        <w:rPr>
          <w:rFonts w:eastAsia="黑体"/>
          <w:sz w:val="30"/>
          <w:szCs w:val="30"/>
        </w:rPr>
      </w:pPr>
      <w:r>
        <w:rPr>
          <w:rFonts w:eastAsia="黑体"/>
          <w:sz w:val="30"/>
          <w:szCs w:val="30"/>
        </w:rPr>
        <w:t>工程质量保修书</w:t>
      </w:r>
    </w:p>
    <w:p w14:paraId="32D77349">
      <w:pPr>
        <w:spacing w:line="440" w:lineRule="exact"/>
        <w:ind w:firstLine="600" w:firstLineChars="200"/>
        <w:rPr>
          <w:rFonts w:eastAsia="仿宋_GB2312"/>
          <w:sz w:val="30"/>
          <w:szCs w:val="30"/>
        </w:rPr>
      </w:pPr>
      <w:r>
        <w:rPr>
          <w:rFonts w:eastAsia="仿宋_GB2312"/>
          <w:sz w:val="30"/>
          <w:szCs w:val="30"/>
        </w:rPr>
        <w:t>发包人（全称）：</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p>
    <w:p w14:paraId="3C42B1D1">
      <w:pPr>
        <w:spacing w:line="440" w:lineRule="exact"/>
        <w:rPr>
          <w:rFonts w:eastAsia="仿宋_GB2312"/>
          <w:sz w:val="30"/>
          <w:szCs w:val="30"/>
        </w:rPr>
      </w:pPr>
      <w:r>
        <w:rPr>
          <w:rFonts w:eastAsia="仿宋_GB2312"/>
          <w:sz w:val="30"/>
          <w:szCs w:val="30"/>
        </w:rPr>
        <w:t>　　承包人（全称）：</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 </w:t>
      </w:r>
    </w:p>
    <w:p w14:paraId="08AE9175">
      <w:pPr>
        <w:spacing w:line="440" w:lineRule="exact"/>
        <w:rPr>
          <w:rFonts w:eastAsia="仿宋_GB2312"/>
          <w:sz w:val="30"/>
          <w:szCs w:val="30"/>
        </w:rPr>
      </w:pPr>
    </w:p>
    <w:p w14:paraId="5C9FB133">
      <w:pPr>
        <w:spacing w:line="360" w:lineRule="auto"/>
        <w:ind w:firstLine="600" w:firstLineChars="200"/>
        <w:rPr>
          <w:rFonts w:eastAsia="仿宋_GB2312"/>
          <w:color w:val="000000" w:themeColor="text1"/>
          <w:sz w:val="30"/>
          <w:szCs w:val="30"/>
          <w14:textFill>
            <w14:solidFill>
              <w14:schemeClr w14:val="tx1"/>
            </w14:solidFill>
          </w14:textFill>
        </w:rPr>
      </w:pPr>
      <w:r>
        <w:rPr>
          <w:rFonts w:eastAsia="仿宋_GB2312"/>
          <w:sz w:val="30"/>
          <w:szCs w:val="30"/>
        </w:rPr>
        <w:t>　　</w:t>
      </w:r>
      <w:r>
        <w:rPr>
          <w:rFonts w:hint="eastAsia" w:eastAsia="仿宋_GB2312"/>
          <w:color w:val="000000" w:themeColor="text1"/>
          <w:sz w:val="30"/>
          <w:szCs w:val="30"/>
          <w14:textFill>
            <w14:solidFill>
              <w14:schemeClr w14:val="tx1"/>
            </w14:solidFill>
          </w14:textFill>
        </w:rPr>
        <w:t>发包人和承包人根据《中华人民共和国建筑法》和《建设工程质量管理条例》，经协商一致就</w:t>
      </w:r>
      <w:r>
        <w:rPr>
          <w:rFonts w:eastAsia="仿宋_GB2312"/>
          <w:color w:val="000000" w:themeColor="text1"/>
          <w:sz w:val="30"/>
          <w:szCs w:val="30"/>
          <w:u w:val="single"/>
          <w14:textFill>
            <w14:solidFill>
              <w14:schemeClr w14:val="tx1"/>
            </w14:solidFill>
          </w14:textFill>
        </w:rPr>
        <w:t xml:space="preserve">                </w:t>
      </w:r>
      <w:r>
        <w:rPr>
          <w:rFonts w:hint="eastAsia" w:eastAsia="仿宋_GB2312"/>
          <w:color w:val="000000" w:themeColor="text1"/>
          <w:sz w:val="30"/>
          <w:szCs w:val="30"/>
          <w14:textFill>
            <w14:solidFill>
              <w14:schemeClr w14:val="tx1"/>
            </w14:solidFill>
          </w14:textFill>
        </w:rPr>
        <w:t>（工程全称）签订工程质量保修书。</w:t>
      </w:r>
    </w:p>
    <w:p w14:paraId="18714148">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黑体"/>
          <w:color w:val="000000" w:themeColor="text1"/>
          <w:sz w:val="30"/>
          <w:szCs w:val="30"/>
          <w14:textFill>
            <w14:solidFill>
              <w14:schemeClr w14:val="tx1"/>
            </w14:solidFill>
          </w14:textFill>
        </w:rPr>
        <w:t>一、工程质量保修范围和内容</w:t>
      </w:r>
    </w:p>
    <w:p w14:paraId="4823B251">
      <w:pPr>
        <w:spacing w:line="360" w:lineRule="auto"/>
        <w:ind w:firstLine="600" w:firstLineChars="200"/>
        <w:rPr>
          <w:rFonts w:eastAsia="仿宋_GB2312"/>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承包人在质量保修期内，按照有关法律规定和合同约定，承担工程质量保修责任。</w:t>
      </w:r>
    </w:p>
    <w:p w14:paraId="5452B398">
      <w:pPr>
        <w:spacing w:line="360" w:lineRule="auto"/>
        <w:ind w:firstLine="600" w:firstLineChars="200"/>
        <w:rPr>
          <w:rFonts w:eastAsia="仿宋_GB2312"/>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eastAsia="仿宋_GB2312"/>
          <w:color w:val="000000" w:themeColor="text1"/>
          <w:sz w:val="30"/>
          <w:szCs w:val="30"/>
          <w:u w:val="single"/>
          <w14:textFill>
            <w14:solidFill>
              <w14:schemeClr w14:val="tx1"/>
            </w14:solidFill>
          </w14:textFill>
        </w:rPr>
        <w:t xml:space="preserve"> </w:t>
      </w:r>
      <w:r>
        <w:rPr>
          <w:rFonts w:hint="eastAsia" w:eastAsia="仿宋_GB2312"/>
          <w:color w:val="000000" w:themeColor="text1"/>
          <w:sz w:val="30"/>
          <w:szCs w:val="30"/>
          <w:u w:val="single"/>
          <w14:textFill>
            <w14:solidFill>
              <w14:schemeClr w14:val="tx1"/>
            </w14:solidFill>
          </w14:textFill>
        </w:rPr>
        <w:t>承包人承包范围以内的全部工程内容。若施工合同中有其它保修约定的按约定执行</w:t>
      </w:r>
      <w:r>
        <w:rPr>
          <w:rFonts w:eastAsia="仿宋_GB2312"/>
          <w:color w:val="000000" w:themeColor="text1"/>
          <w:sz w:val="30"/>
          <w:szCs w:val="30"/>
          <w:u w:val="single"/>
          <w14:textFill>
            <w14:solidFill>
              <w14:schemeClr w14:val="tx1"/>
            </w14:solidFill>
          </w14:textFill>
        </w:rPr>
        <w:t xml:space="preserve"> </w:t>
      </w:r>
      <w:r>
        <w:rPr>
          <w:rFonts w:hint="eastAsia" w:eastAsia="仿宋_GB2312"/>
          <w:color w:val="000000" w:themeColor="text1"/>
          <w:sz w:val="30"/>
          <w:szCs w:val="30"/>
          <w14:textFill>
            <w14:solidFill>
              <w14:schemeClr w14:val="tx1"/>
            </w14:solidFill>
          </w14:textFill>
        </w:rPr>
        <w:t>。</w:t>
      </w:r>
    </w:p>
    <w:p w14:paraId="5B6F4ADB">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黑体"/>
          <w:color w:val="000000" w:themeColor="text1"/>
          <w:sz w:val="30"/>
          <w:szCs w:val="30"/>
          <w14:textFill>
            <w14:solidFill>
              <w14:schemeClr w14:val="tx1"/>
            </w14:solidFill>
          </w14:textFill>
        </w:rPr>
        <w:t>二、质量保修期</w:t>
      </w:r>
    </w:p>
    <w:p w14:paraId="5FE8A0B3">
      <w:pPr>
        <w:spacing w:line="360" w:lineRule="auto"/>
        <w:ind w:firstLine="600" w:firstLineChars="200"/>
        <w:rPr>
          <w:rFonts w:eastAsia="仿宋_GB2312"/>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根据《建设工程质量管理条例》及有关规定，工程的质量保修期如下：</w:t>
      </w:r>
    </w:p>
    <w:p w14:paraId="66220681">
      <w:pPr>
        <w:ind w:firstLine="600" w:firstLineChars="200"/>
        <w:rPr>
          <w:rFonts w:ascii="仿宋_GB2312" w:eastAsia="仿宋_GB2312"/>
          <w:color w:val="000000" w:themeColor="text1"/>
          <w:sz w:val="30"/>
          <w:szCs w:val="30"/>
          <w14:textFill>
            <w14:solidFill>
              <w14:schemeClr w14:val="tx1"/>
            </w14:solidFill>
          </w14:textFill>
        </w:rPr>
      </w:pPr>
      <w:r>
        <w:rPr>
          <w:rFonts w:ascii="仿宋_GB2312" w:eastAsia="仿宋_GB2312"/>
          <w:color w:val="000000" w:themeColor="text1"/>
          <w:sz w:val="30"/>
          <w:szCs w:val="30"/>
          <w14:textFill>
            <w14:solidFill>
              <w14:schemeClr w14:val="tx1"/>
            </w14:solidFill>
          </w14:textFill>
        </w:rPr>
        <w:t>1</w:t>
      </w:r>
      <w:r>
        <w:rPr>
          <w:rFonts w:hint="eastAsia" w:eastAsia="仿宋_GB2312"/>
          <w:color w:val="000000" w:themeColor="text1"/>
          <w:sz w:val="30"/>
          <w:szCs w:val="30"/>
          <w14:textFill>
            <w14:solidFill>
              <w14:schemeClr w14:val="tx1"/>
            </w14:solidFill>
          </w14:textFill>
        </w:rPr>
        <w:t>．</w:t>
      </w:r>
      <w:r>
        <w:rPr>
          <w:rFonts w:hint="eastAsia" w:ascii="仿宋_GB2312" w:eastAsia="仿宋_GB2312"/>
          <w:color w:val="000000" w:themeColor="text1"/>
          <w:sz w:val="30"/>
          <w:szCs w:val="30"/>
          <w14:textFill>
            <w14:solidFill>
              <w14:schemeClr w14:val="tx1"/>
            </w14:solidFill>
          </w14:textFill>
        </w:rPr>
        <w:t>地基基础工程和主体结构工程为设计文件规定的工程合理使用年限；</w:t>
      </w:r>
    </w:p>
    <w:p w14:paraId="5497D3FB">
      <w:pPr>
        <w:spacing w:line="360" w:lineRule="auto"/>
        <w:ind w:firstLine="600" w:firstLineChars="20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2</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屋面防水工程、有防水要求的卫生间、房间和外墙面的防渗为</w:t>
      </w:r>
      <w:r>
        <w:rPr>
          <w:rFonts w:eastAsia="仿宋_GB2312"/>
          <w:color w:val="000000" w:themeColor="text1"/>
          <w:sz w:val="30"/>
          <w:szCs w:val="30"/>
          <w:u w:val="single"/>
          <w14:textFill>
            <w14:solidFill>
              <w14:schemeClr w14:val="tx1"/>
            </w14:solidFill>
          </w14:textFill>
        </w:rPr>
        <w:t xml:space="preserve"> 5 </w:t>
      </w:r>
      <w:r>
        <w:rPr>
          <w:rFonts w:hint="eastAsia" w:eastAsia="仿宋_GB2312"/>
          <w:color w:val="000000" w:themeColor="text1"/>
          <w:sz w:val="30"/>
          <w:szCs w:val="30"/>
          <w14:textFill>
            <w14:solidFill>
              <w14:schemeClr w14:val="tx1"/>
            </w14:solidFill>
          </w14:textFill>
        </w:rPr>
        <w:t>年；</w:t>
      </w:r>
    </w:p>
    <w:p w14:paraId="5D013D99">
      <w:pPr>
        <w:spacing w:line="360" w:lineRule="auto"/>
        <w:ind w:left="420" w:leftChars="200" w:firstLine="150" w:firstLineChars="5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3</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装修工程为</w:t>
      </w:r>
      <w:r>
        <w:rPr>
          <w:rFonts w:eastAsia="仿宋_GB2312"/>
          <w:color w:val="000000" w:themeColor="text1"/>
          <w:sz w:val="30"/>
          <w:szCs w:val="30"/>
          <w:u w:val="single"/>
          <w14:textFill>
            <w14:solidFill>
              <w14:schemeClr w14:val="tx1"/>
            </w14:solidFill>
          </w14:textFill>
        </w:rPr>
        <w:t xml:space="preserve">  2  </w:t>
      </w:r>
      <w:r>
        <w:rPr>
          <w:rFonts w:hint="eastAsia" w:eastAsia="仿宋_GB2312"/>
          <w:color w:val="000000" w:themeColor="text1"/>
          <w:sz w:val="30"/>
          <w:szCs w:val="30"/>
          <w14:textFill>
            <w14:solidFill>
              <w14:schemeClr w14:val="tx1"/>
            </w14:solidFill>
          </w14:textFill>
        </w:rPr>
        <w:t>年；</w:t>
      </w:r>
    </w:p>
    <w:p w14:paraId="1C62AB2B">
      <w:pPr>
        <w:spacing w:line="360" w:lineRule="auto"/>
        <w:ind w:left="420" w:leftChars="200" w:firstLine="150" w:firstLineChars="5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4</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电气管线、给排水管道、设备安装工程为</w:t>
      </w:r>
      <w:r>
        <w:rPr>
          <w:rFonts w:eastAsia="仿宋_GB2312"/>
          <w:color w:val="000000" w:themeColor="text1"/>
          <w:sz w:val="30"/>
          <w:szCs w:val="30"/>
          <w:u w:val="single"/>
          <w14:textFill>
            <w14:solidFill>
              <w14:schemeClr w14:val="tx1"/>
            </w14:solidFill>
          </w14:textFill>
        </w:rPr>
        <w:t xml:space="preserve">  2  </w:t>
      </w:r>
      <w:r>
        <w:rPr>
          <w:rFonts w:hint="eastAsia" w:eastAsia="仿宋_GB2312"/>
          <w:color w:val="000000" w:themeColor="text1"/>
          <w:sz w:val="30"/>
          <w:szCs w:val="30"/>
          <w14:textFill>
            <w14:solidFill>
              <w14:schemeClr w14:val="tx1"/>
            </w14:solidFill>
          </w14:textFill>
        </w:rPr>
        <w:t>年；</w:t>
      </w:r>
    </w:p>
    <w:p w14:paraId="1A818F39">
      <w:pPr>
        <w:spacing w:line="360" w:lineRule="auto"/>
        <w:ind w:left="420" w:leftChars="200" w:firstLine="150" w:firstLineChars="5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5</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供热与供冷系统为</w:t>
      </w:r>
      <w:r>
        <w:rPr>
          <w:rFonts w:eastAsia="仿宋_GB2312"/>
          <w:color w:val="000000" w:themeColor="text1"/>
          <w:sz w:val="30"/>
          <w:szCs w:val="30"/>
          <w:u w:val="single"/>
          <w14:textFill>
            <w14:solidFill>
              <w14:schemeClr w14:val="tx1"/>
            </w14:solidFill>
          </w14:textFill>
        </w:rPr>
        <w:t xml:space="preserve">  2  </w:t>
      </w:r>
      <w:r>
        <w:rPr>
          <w:rFonts w:hint="eastAsia" w:eastAsia="仿宋_GB2312"/>
          <w:color w:val="000000" w:themeColor="text1"/>
          <w:sz w:val="30"/>
          <w:szCs w:val="30"/>
          <w14:textFill>
            <w14:solidFill>
              <w14:schemeClr w14:val="tx1"/>
            </w14:solidFill>
          </w14:textFill>
        </w:rPr>
        <w:t>个采暖期、供冷期；</w:t>
      </w:r>
    </w:p>
    <w:p w14:paraId="2E85F078">
      <w:pPr>
        <w:spacing w:line="360" w:lineRule="auto"/>
        <w:ind w:left="420" w:leftChars="200" w:firstLine="150" w:firstLineChars="5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6</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给排水设施、道路等配套工程为</w:t>
      </w:r>
      <w:r>
        <w:rPr>
          <w:rFonts w:eastAsia="仿宋_GB2312"/>
          <w:color w:val="000000" w:themeColor="text1"/>
          <w:sz w:val="30"/>
          <w:szCs w:val="30"/>
          <w:u w:val="single"/>
          <w14:textFill>
            <w14:solidFill>
              <w14:schemeClr w14:val="tx1"/>
            </w14:solidFill>
          </w14:textFill>
        </w:rPr>
        <w:t xml:space="preserve">  2  </w:t>
      </w:r>
      <w:r>
        <w:rPr>
          <w:rFonts w:hint="eastAsia" w:eastAsia="仿宋_GB2312"/>
          <w:color w:val="000000" w:themeColor="text1"/>
          <w:sz w:val="30"/>
          <w:szCs w:val="30"/>
          <w14:textFill>
            <w14:solidFill>
              <w14:schemeClr w14:val="tx1"/>
            </w14:solidFill>
          </w14:textFill>
        </w:rPr>
        <w:t>年；</w:t>
      </w:r>
    </w:p>
    <w:p w14:paraId="18C32BB5">
      <w:pPr>
        <w:spacing w:line="360" w:lineRule="auto"/>
        <w:ind w:left="420" w:leftChars="200" w:firstLine="150" w:firstLineChars="5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7</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其他项目保修期限约定如下：</w:t>
      </w:r>
      <w:r>
        <w:rPr>
          <w:rFonts w:eastAsia="仿宋_GB2312"/>
          <w:color w:val="000000" w:themeColor="text1"/>
          <w:sz w:val="30"/>
          <w:szCs w:val="30"/>
          <w:u w:val="single"/>
          <w14:textFill>
            <w14:solidFill>
              <w14:schemeClr w14:val="tx1"/>
            </w14:solidFill>
          </w14:textFill>
        </w:rPr>
        <w:t xml:space="preserve"> </w:t>
      </w:r>
      <w:r>
        <w:rPr>
          <w:rFonts w:hint="eastAsia" w:eastAsia="仿宋_GB2312"/>
          <w:i/>
          <w:iCs/>
          <w:color w:val="000000" w:themeColor="text1"/>
          <w:sz w:val="30"/>
          <w:szCs w:val="30"/>
          <w:u w:val="single"/>
          <w14:textFill>
            <w14:solidFill>
              <w14:schemeClr w14:val="tx1"/>
            </w14:solidFill>
          </w14:textFill>
        </w:rPr>
        <w:t>依据工程具体情况而定</w:t>
      </w:r>
      <w:r>
        <w:rPr>
          <w:rFonts w:eastAsia="仿宋_GB2312"/>
          <w:i/>
          <w:iCs/>
          <w:color w:val="000000" w:themeColor="text1"/>
          <w:sz w:val="30"/>
          <w:szCs w:val="30"/>
          <w:u w:val="single"/>
          <w14:textFill>
            <w14:solidFill>
              <w14:schemeClr w14:val="tx1"/>
            </w14:solidFill>
          </w14:textFill>
        </w:rPr>
        <w:t xml:space="preserve"> </w:t>
      </w:r>
      <w:r>
        <w:rPr>
          <w:rFonts w:hint="eastAsia" w:eastAsia="仿宋_GB2312"/>
          <w:color w:val="000000" w:themeColor="text1"/>
          <w:sz w:val="30"/>
          <w:szCs w:val="30"/>
          <w14:textFill>
            <w14:solidFill>
              <w14:schemeClr w14:val="tx1"/>
            </w14:solidFill>
          </w14:textFill>
        </w:rPr>
        <w:t>。</w:t>
      </w:r>
    </w:p>
    <w:p w14:paraId="6287E890">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质量保修期自工程竣工验收合格之日起计算。</w:t>
      </w:r>
      <w:r>
        <w:rPr>
          <w:rFonts w:eastAsia="仿宋_GB2312"/>
          <w:color w:val="000000" w:themeColor="text1"/>
          <w:sz w:val="30"/>
          <w:szCs w:val="30"/>
          <w14:textFill>
            <w14:solidFill>
              <w14:schemeClr w14:val="tx1"/>
            </w14:solidFill>
          </w14:textFill>
        </w:rPr>
        <w:t>在保修期内出现</w:t>
      </w:r>
      <w:r>
        <w:rPr>
          <w:i/>
          <w:color w:val="000000" w:themeColor="text1"/>
          <w:sz w:val="30"/>
          <w:u w:val="single"/>
          <w14:textFill>
            <w14:solidFill>
              <w14:schemeClr w14:val="tx1"/>
            </w14:solidFill>
          </w14:textFill>
        </w:rPr>
        <w:t xml:space="preserve"> 防水 </w:t>
      </w:r>
      <w:r>
        <w:rPr>
          <w:rFonts w:eastAsia="仿宋_GB2312"/>
          <w:color w:val="000000" w:themeColor="text1"/>
          <w:sz w:val="30"/>
          <w:szCs w:val="30"/>
          <w14:textFill>
            <w14:solidFill>
              <w14:schemeClr w14:val="tx1"/>
            </w14:solidFill>
          </w14:textFill>
        </w:rPr>
        <w:t>质量问题经修复完成后，相应保修期重新计算。</w:t>
      </w:r>
    </w:p>
    <w:p w14:paraId="457A1359">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黑体"/>
          <w:color w:val="000000" w:themeColor="text1"/>
          <w:sz w:val="30"/>
          <w:szCs w:val="30"/>
          <w14:textFill>
            <w14:solidFill>
              <w14:schemeClr w14:val="tx1"/>
            </w14:solidFill>
          </w14:textFill>
        </w:rPr>
        <w:t>三、质量保修责任</w:t>
      </w:r>
    </w:p>
    <w:p w14:paraId="78DAD220">
      <w:pPr>
        <w:spacing w:line="360" w:lineRule="auto"/>
        <w:ind w:firstLine="600" w:firstLineChars="20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1</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属于保修范围、内容的项目，承包人应当在接到保修通知之日起</w:t>
      </w:r>
      <w:r>
        <w:rPr>
          <w:rFonts w:eastAsia="仿宋_GB2312"/>
          <w:color w:val="000000" w:themeColor="text1"/>
          <w:sz w:val="30"/>
          <w:szCs w:val="30"/>
          <w14:textFill>
            <w14:solidFill>
              <w14:schemeClr w14:val="tx1"/>
            </w14:solidFill>
          </w14:textFill>
        </w:rPr>
        <w:t>24</w:t>
      </w:r>
      <w:r>
        <w:rPr>
          <w:rFonts w:hint="eastAsia" w:eastAsia="仿宋_GB2312"/>
          <w:color w:val="000000" w:themeColor="text1"/>
          <w:sz w:val="30"/>
          <w:szCs w:val="30"/>
          <w14:textFill>
            <w14:solidFill>
              <w14:schemeClr w14:val="tx1"/>
            </w14:solidFill>
          </w14:textFill>
        </w:rPr>
        <w:t>小时内派人保修。承包人不在约定期限内派人保修的，发包人可以委托他人修理；保修费用从质量保修金内双倍扣除。</w:t>
      </w:r>
    </w:p>
    <w:p w14:paraId="4FFDC0F0">
      <w:pPr>
        <w:spacing w:line="360" w:lineRule="auto"/>
        <w:ind w:firstLine="600" w:firstLineChars="20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2</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发生紧急事故需抢修的，承包人在接到事故通知后，应当立即到达事故现场抢修。非承包人施工质量引起的事故，抢修费用由发包人承担。</w:t>
      </w:r>
    </w:p>
    <w:p w14:paraId="43BEDBE0">
      <w:pPr>
        <w:spacing w:line="360" w:lineRule="auto"/>
        <w:ind w:firstLine="600" w:firstLineChars="200"/>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3</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对于涉及结构安全的质量问题，应当按照《建设工程质量管理条例》的规定，立即向当地建设行政主管部门和有关部门报告，采取安全防范措施，并由原设计人或者具有相应资质等级的设计人提出保修方案，承包人实施保修，并应承担损害赔偿责任</w:t>
      </w:r>
      <w:r>
        <w:rPr>
          <w:rFonts w:hint="eastAsia" w:ascii="仿宋_GB2312" w:hAnsi="仿宋_GB2312" w:eastAsia="仿宋_GB2312" w:cs="仿宋_GB2312"/>
          <w:color w:val="000000" w:themeColor="text1"/>
          <w:sz w:val="24"/>
          <w14:textFill>
            <w14:solidFill>
              <w14:schemeClr w14:val="tx1"/>
            </w14:solidFill>
          </w14:textFill>
        </w:rPr>
        <w:t>。</w:t>
      </w:r>
    </w:p>
    <w:p w14:paraId="14F7560C">
      <w:pPr>
        <w:spacing w:line="520" w:lineRule="exact"/>
        <w:ind w:firstLine="588" w:firstLineChars="196"/>
        <w:rPr>
          <w:rFonts w:eastAsia="仿宋_GB2312"/>
          <w:color w:val="000000" w:themeColor="text1"/>
          <w:sz w:val="30"/>
          <w:szCs w:val="30"/>
          <w14:textFill>
            <w14:solidFill>
              <w14:schemeClr w14:val="tx1"/>
            </w14:solidFill>
          </w14:textFill>
        </w:rPr>
      </w:pPr>
      <w:r>
        <w:rPr>
          <w:rFonts w:eastAsia="仿宋_GB2312"/>
          <w:color w:val="000000" w:themeColor="text1"/>
          <w:sz w:val="30"/>
          <w:szCs w:val="30"/>
          <w14:textFill>
            <w14:solidFill>
              <w14:schemeClr w14:val="tx1"/>
            </w14:solidFill>
          </w14:textFill>
        </w:rPr>
        <w:t>4</w:t>
      </w:r>
      <w:r>
        <w:rPr>
          <w:rFonts w:hint="eastAsia" w:ascii="仿宋_GB2312" w:eastAsia="仿宋_GB2312"/>
          <w:color w:val="000000" w:themeColor="text1"/>
          <w:sz w:val="30"/>
          <w:szCs w:val="30"/>
          <w14:textFill>
            <w14:solidFill>
              <w14:schemeClr w14:val="tx1"/>
            </w14:solidFill>
          </w14:textFill>
        </w:rPr>
        <w:t>．</w:t>
      </w:r>
      <w:r>
        <w:rPr>
          <w:rFonts w:hint="eastAsia" w:eastAsia="仿宋_GB2312"/>
          <w:color w:val="000000" w:themeColor="text1"/>
          <w:sz w:val="30"/>
          <w:szCs w:val="30"/>
          <w14:textFill>
            <w14:solidFill>
              <w14:schemeClr w14:val="tx1"/>
            </w14:solidFill>
          </w14:textFill>
        </w:rPr>
        <w:t>质量保修完成后，由发包人组织验收。</w:t>
      </w:r>
    </w:p>
    <w:p w14:paraId="548AFE2C">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黑体"/>
          <w:color w:val="000000" w:themeColor="text1"/>
          <w:sz w:val="30"/>
          <w:szCs w:val="30"/>
          <w14:textFill>
            <w14:solidFill>
              <w14:schemeClr w14:val="tx1"/>
            </w14:solidFill>
          </w14:textFill>
        </w:rPr>
        <w:t>四、质量保修金的支付</w:t>
      </w:r>
    </w:p>
    <w:p w14:paraId="4772A4FF">
      <w:pPr>
        <w:spacing w:line="360" w:lineRule="auto"/>
        <w:ind w:left="105" w:leftChars="50" w:firstLine="615" w:firstLineChars="205"/>
        <w:rPr>
          <w:rFonts w:eastAsia="仿宋_GB2312"/>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本工程双方约定承包人向发包人支付工程质量保修金金额为工程结算款的</w:t>
      </w:r>
      <w:r>
        <w:rPr>
          <w:rFonts w:hint="eastAsia" w:eastAsia="仿宋_GB2312"/>
          <w:color w:val="000000" w:themeColor="text1"/>
          <w:sz w:val="30"/>
          <w:szCs w:val="30"/>
          <w:u w:val="single"/>
          <w14:textFill>
            <w14:solidFill>
              <w14:schemeClr w14:val="tx1"/>
            </w14:solidFill>
          </w14:textFill>
        </w:rPr>
        <w:t>百分之叁（大写）</w:t>
      </w:r>
      <w:r>
        <w:rPr>
          <w:rFonts w:hint="eastAsia" w:eastAsia="仿宋_GB2312"/>
          <w:color w:val="000000" w:themeColor="text1"/>
          <w:sz w:val="30"/>
          <w:szCs w:val="30"/>
          <w14:textFill>
            <w14:solidFill>
              <w14:schemeClr w14:val="tx1"/>
            </w14:solidFill>
          </w14:textFill>
        </w:rPr>
        <w:t>。质量保修金银行利率为</w:t>
      </w:r>
      <w:r>
        <w:rPr>
          <w:rFonts w:eastAsia="仿宋_GB2312"/>
          <w:color w:val="000000" w:themeColor="text1"/>
          <w:sz w:val="30"/>
          <w:szCs w:val="30"/>
          <w14:textFill>
            <w14:solidFill>
              <w14:schemeClr w14:val="tx1"/>
            </w14:solidFill>
          </w14:textFill>
        </w:rPr>
        <w:t xml:space="preserve"> </w:t>
      </w:r>
      <w:r>
        <w:rPr>
          <w:rFonts w:eastAsia="仿宋_GB2312"/>
          <w:color w:val="000000" w:themeColor="text1"/>
          <w:sz w:val="30"/>
          <w:szCs w:val="30"/>
          <w:u w:val="single"/>
          <w14:textFill>
            <w14:solidFill>
              <w14:schemeClr w14:val="tx1"/>
            </w14:solidFill>
          </w14:textFill>
        </w:rPr>
        <w:t xml:space="preserve"> </w:t>
      </w:r>
      <w:r>
        <w:rPr>
          <w:rFonts w:hint="eastAsia" w:eastAsia="仿宋_GB2312"/>
          <w:color w:val="000000" w:themeColor="text1"/>
          <w:sz w:val="30"/>
          <w:szCs w:val="30"/>
          <w:u w:val="single"/>
          <w14:textFill>
            <w14:solidFill>
              <w14:schemeClr w14:val="tx1"/>
            </w14:solidFill>
          </w14:textFill>
        </w:rPr>
        <w:t>无</w:t>
      </w:r>
      <w:r>
        <w:rPr>
          <w:rFonts w:hint="eastAsia" w:eastAsia="仿宋_GB2312"/>
          <w:color w:val="000000" w:themeColor="text1"/>
          <w:sz w:val="30"/>
          <w:szCs w:val="30"/>
          <w14:textFill>
            <w14:solidFill>
              <w14:schemeClr w14:val="tx1"/>
            </w14:solidFill>
          </w14:textFill>
        </w:rPr>
        <w:t>。</w:t>
      </w:r>
    </w:p>
    <w:p w14:paraId="06EBB87E">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黑体"/>
          <w:color w:val="000000" w:themeColor="text1"/>
          <w:sz w:val="30"/>
          <w:szCs w:val="30"/>
          <w14:textFill>
            <w14:solidFill>
              <w14:schemeClr w14:val="tx1"/>
            </w14:solidFill>
          </w14:textFill>
        </w:rPr>
        <w:t>五、质量保修金的返还</w:t>
      </w:r>
    </w:p>
    <w:p w14:paraId="195D508F">
      <w:pPr>
        <w:spacing w:line="360" w:lineRule="auto"/>
        <w:ind w:left="105" w:leftChars="50" w:firstLine="615" w:firstLineChars="205"/>
        <w:rPr>
          <w:rFonts w:eastAsia="仿宋_GB2312"/>
          <w:color w:val="000000" w:themeColor="text1"/>
          <w:sz w:val="30"/>
          <w:szCs w:val="30"/>
          <w:u w:val="single"/>
          <w14:textFill>
            <w14:solidFill>
              <w14:schemeClr w14:val="tx1"/>
            </w14:solidFill>
          </w14:textFill>
        </w:rPr>
      </w:pPr>
      <w:r>
        <w:rPr>
          <w:rFonts w:eastAsia="仿宋_GB2312"/>
          <w:color w:val="000000" w:themeColor="text1"/>
          <w:sz w:val="30"/>
          <w:szCs w:val="30"/>
          <w:u w:val="single"/>
          <w14:textFill>
            <w14:solidFill>
              <w14:schemeClr w14:val="tx1"/>
            </w14:solidFill>
          </w14:textFill>
        </w:rPr>
        <w:sym w:font="Wingdings 2" w:char="0052"/>
      </w:r>
      <w:r>
        <w:rPr>
          <w:rFonts w:hint="eastAsia" w:eastAsia="仿宋_GB2312"/>
          <w:color w:val="000000" w:themeColor="text1"/>
          <w:sz w:val="30"/>
          <w:szCs w:val="30"/>
          <w:u w:val="single"/>
          <w14:textFill>
            <w14:solidFill>
              <w14:schemeClr w14:val="tx1"/>
            </w14:solidFill>
          </w14:textFill>
        </w:rPr>
        <w:t>工程竣工验收合格之日起两年且无质量问题，且经工程使用单位或发包人签署质量保修金支付证明后，无息返还质量保修金的</w:t>
      </w:r>
      <w:r>
        <w:rPr>
          <w:rFonts w:eastAsia="仿宋_GB2312"/>
          <w:color w:val="000000" w:themeColor="text1"/>
          <w:sz w:val="30"/>
          <w:szCs w:val="30"/>
          <w:u w:val="single"/>
          <w14:textFill>
            <w14:solidFill>
              <w14:schemeClr w14:val="tx1"/>
            </w14:solidFill>
          </w14:textFill>
        </w:rPr>
        <w:t>100%</w:t>
      </w:r>
    </w:p>
    <w:p w14:paraId="055B9EAF">
      <w:pPr>
        <w:spacing w:line="360" w:lineRule="auto"/>
        <w:ind w:left="105" w:leftChars="50" w:firstLine="615" w:firstLineChars="205"/>
        <w:rPr>
          <w:rFonts w:eastAsia="仿宋_GB2312"/>
          <w:color w:val="000000" w:themeColor="text1"/>
          <w:sz w:val="30"/>
          <w:szCs w:val="30"/>
          <w:u w:val="single"/>
          <w14:textFill>
            <w14:solidFill>
              <w14:schemeClr w14:val="tx1"/>
            </w14:solidFill>
          </w14:textFill>
        </w:rPr>
      </w:pPr>
      <w:r>
        <w:rPr>
          <w:color w:val="000000" w:themeColor="text1"/>
          <w:sz w:val="30"/>
          <w:u w:val="single"/>
          <w14:textFill>
            <w14:solidFill>
              <w14:schemeClr w14:val="tx1"/>
            </w14:solidFill>
          </w14:textFill>
        </w:rPr>
        <w:sym w:font="Wingdings 2" w:char="00A3"/>
      </w:r>
      <w:r>
        <w:rPr>
          <w:rFonts w:hint="eastAsia" w:eastAsia="仿宋_GB2312"/>
          <w:color w:val="000000" w:themeColor="text1"/>
          <w:sz w:val="30"/>
          <w:szCs w:val="30"/>
          <w:u w:val="single"/>
          <w14:textFill>
            <w14:solidFill>
              <w14:schemeClr w14:val="tx1"/>
            </w14:solidFill>
          </w14:textFill>
        </w:rPr>
        <w:t>工程竣工验收合格之日起两年且无质量问题，经工程使用单位或发包人签署质量保修金支付证明后，无息返还质量保修金的</w:t>
      </w:r>
      <w:r>
        <w:rPr>
          <w:rFonts w:eastAsia="仿宋_GB2312"/>
          <w:color w:val="000000" w:themeColor="text1"/>
          <w:sz w:val="30"/>
          <w:szCs w:val="30"/>
          <w:u w:val="single"/>
          <w14:textFill>
            <w14:solidFill>
              <w14:schemeClr w14:val="tx1"/>
            </w14:solidFill>
          </w14:textFill>
        </w:rPr>
        <w:t>80%</w:t>
      </w:r>
      <w:r>
        <w:rPr>
          <w:rFonts w:hint="eastAsia" w:eastAsia="仿宋_GB2312"/>
          <w:color w:val="000000" w:themeColor="text1"/>
          <w:sz w:val="30"/>
          <w:szCs w:val="30"/>
          <w:u w:val="single"/>
          <w14:textFill>
            <w14:solidFill>
              <w14:schemeClr w14:val="tx1"/>
            </w14:solidFill>
          </w14:textFill>
        </w:rPr>
        <w:t>。自工程竣工验收合格之日起三年且无质量问题，经工程使用单位或发包人签署质量保修金支付证明后，无息返还质量保修金的</w:t>
      </w:r>
      <w:r>
        <w:rPr>
          <w:rFonts w:eastAsia="仿宋_GB2312"/>
          <w:color w:val="000000" w:themeColor="text1"/>
          <w:sz w:val="30"/>
          <w:szCs w:val="30"/>
          <w:u w:val="single"/>
          <w14:textFill>
            <w14:solidFill>
              <w14:schemeClr w14:val="tx1"/>
            </w14:solidFill>
          </w14:textFill>
        </w:rPr>
        <w:t>20%</w:t>
      </w:r>
      <w:r>
        <w:rPr>
          <w:rFonts w:hint="eastAsia" w:eastAsia="仿宋_GB2312"/>
          <w:color w:val="000000" w:themeColor="text1"/>
          <w:sz w:val="30"/>
          <w:szCs w:val="30"/>
          <w:u w:val="single"/>
          <w14:textFill>
            <w14:solidFill>
              <w14:schemeClr w14:val="tx1"/>
            </w14:solidFill>
          </w14:textFill>
        </w:rPr>
        <w:t>。</w:t>
      </w:r>
    </w:p>
    <w:p w14:paraId="0AA02739">
      <w:pPr>
        <w:spacing w:line="360" w:lineRule="auto"/>
        <w:ind w:left="105" w:leftChars="50" w:firstLine="615" w:firstLineChars="205"/>
        <w:rPr>
          <w:rFonts w:eastAsia="仿宋_GB2312"/>
          <w:color w:val="000000" w:themeColor="text1"/>
          <w:sz w:val="30"/>
          <w:szCs w:val="30"/>
          <w:u w:val="single"/>
          <w14:textFill>
            <w14:solidFill>
              <w14:schemeClr w14:val="tx1"/>
            </w14:solidFill>
          </w14:textFill>
        </w:rPr>
      </w:pPr>
      <w:r>
        <w:rPr>
          <w:rFonts w:eastAsia="仿宋_GB2312"/>
          <w:color w:val="000000" w:themeColor="text1"/>
          <w:sz w:val="30"/>
          <w:szCs w:val="30"/>
          <w:u w:val="single"/>
          <w14:textFill>
            <w14:solidFill>
              <w14:schemeClr w14:val="tx1"/>
            </w14:solidFill>
          </w14:textFill>
        </w:rPr>
        <w:sym w:font="Wingdings 2" w:char="00A3"/>
      </w:r>
      <w:r>
        <w:rPr>
          <w:rFonts w:hint="eastAsia" w:eastAsia="仿宋_GB2312"/>
          <w:color w:val="000000" w:themeColor="text1"/>
          <w:sz w:val="30"/>
          <w:szCs w:val="30"/>
          <w:u w:val="single"/>
          <w14:textFill>
            <w14:solidFill>
              <w14:schemeClr w14:val="tx1"/>
            </w14:solidFill>
          </w14:textFill>
        </w:rPr>
        <w:t>自工程竣工验收合格之日起两年且无质量问题，经工程使用单位或发包人签署质量保修金支付证明后，无息返还质量保修金的</w:t>
      </w:r>
      <w:r>
        <w:rPr>
          <w:rFonts w:eastAsia="仿宋_GB2312"/>
          <w:color w:val="000000" w:themeColor="text1"/>
          <w:sz w:val="30"/>
          <w:szCs w:val="30"/>
          <w:u w:val="single"/>
          <w14:textFill>
            <w14:solidFill>
              <w14:schemeClr w14:val="tx1"/>
            </w14:solidFill>
          </w14:textFill>
        </w:rPr>
        <w:t>50%</w:t>
      </w:r>
      <w:r>
        <w:rPr>
          <w:rFonts w:hint="eastAsia" w:eastAsia="仿宋_GB2312"/>
          <w:color w:val="000000" w:themeColor="text1"/>
          <w:sz w:val="30"/>
          <w:szCs w:val="30"/>
          <w:u w:val="single"/>
          <w14:textFill>
            <w14:solidFill>
              <w14:schemeClr w14:val="tx1"/>
            </w14:solidFill>
          </w14:textFill>
        </w:rPr>
        <w:t>。自工程竣工验收合格之日起三年且无质量问题，经工程使用单位或发包人签署质量保修金支付证明后，无息返还质量保修金的</w:t>
      </w:r>
      <w:r>
        <w:rPr>
          <w:rFonts w:eastAsia="仿宋_GB2312"/>
          <w:color w:val="000000" w:themeColor="text1"/>
          <w:sz w:val="30"/>
          <w:szCs w:val="30"/>
          <w:u w:val="single"/>
          <w14:textFill>
            <w14:solidFill>
              <w14:schemeClr w14:val="tx1"/>
            </w14:solidFill>
          </w14:textFill>
        </w:rPr>
        <w:t>30%</w:t>
      </w:r>
      <w:r>
        <w:rPr>
          <w:rFonts w:hint="eastAsia" w:eastAsia="仿宋_GB2312"/>
          <w:color w:val="000000" w:themeColor="text1"/>
          <w:sz w:val="30"/>
          <w:szCs w:val="30"/>
          <w:u w:val="single"/>
          <w14:textFill>
            <w14:solidFill>
              <w14:schemeClr w14:val="tx1"/>
            </w14:solidFill>
          </w14:textFill>
        </w:rPr>
        <w:t>，自工程竣工验收合格之日起五年且无质量问题，经工程使用单位或发包人签署质量保修金支付证明后，无息返还质量保修金的</w:t>
      </w:r>
      <w:r>
        <w:rPr>
          <w:rFonts w:eastAsia="仿宋_GB2312"/>
          <w:color w:val="000000" w:themeColor="text1"/>
          <w:sz w:val="30"/>
          <w:szCs w:val="30"/>
          <w:u w:val="single"/>
          <w14:textFill>
            <w14:solidFill>
              <w14:schemeClr w14:val="tx1"/>
            </w14:solidFill>
          </w14:textFill>
        </w:rPr>
        <w:t>20%</w:t>
      </w:r>
      <w:r>
        <w:rPr>
          <w:rFonts w:hint="eastAsia" w:eastAsia="仿宋_GB2312"/>
          <w:color w:val="000000" w:themeColor="text1"/>
          <w:sz w:val="30"/>
          <w:szCs w:val="30"/>
          <w:u w:val="single"/>
          <w14:textFill>
            <w14:solidFill>
              <w14:schemeClr w14:val="tx1"/>
            </w14:solidFill>
          </w14:textFill>
        </w:rPr>
        <w:t>。</w:t>
      </w:r>
    </w:p>
    <w:p w14:paraId="7D153013">
      <w:pPr>
        <w:spacing w:line="360" w:lineRule="auto"/>
        <w:ind w:left="105" w:leftChars="50" w:firstLine="615" w:firstLineChars="205"/>
        <w:rPr>
          <w:rFonts w:eastAsia="仿宋_GB2312"/>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质量保修期延长的，</w:t>
      </w:r>
      <w:bookmarkStart w:id="1233" w:name="_Hlk185603868"/>
      <w:r>
        <w:rPr>
          <w:rFonts w:hint="eastAsia" w:eastAsia="仿宋_GB2312"/>
          <w:color w:val="000000" w:themeColor="text1"/>
          <w:sz w:val="30"/>
          <w:szCs w:val="30"/>
          <w14:textFill>
            <w14:solidFill>
              <w14:schemeClr w14:val="tx1"/>
            </w14:solidFill>
          </w14:textFill>
        </w:rPr>
        <w:t>最后一笔返还质量保修金</w:t>
      </w:r>
      <w:bookmarkEnd w:id="1233"/>
      <w:r>
        <w:rPr>
          <w:rFonts w:hint="eastAsia" w:eastAsia="仿宋_GB2312"/>
          <w:color w:val="000000" w:themeColor="text1"/>
          <w:sz w:val="30"/>
          <w:szCs w:val="30"/>
          <w14:textFill>
            <w14:solidFill>
              <w14:schemeClr w14:val="tx1"/>
            </w14:solidFill>
          </w14:textFill>
        </w:rPr>
        <w:t>的期限同时顺延。</w:t>
      </w:r>
    </w:p>
    <w:p w14:paraId="69A241F9">
      <w:pPr>
        <w:spacing w:line="360" w:lineRule="auto"/>
        <w:ind w:firstLine="600" w:firstLineChars="200"/>
        <w:rPr>
          <w:rFonts w:eastAsia="黑体"/>
          <w:color w:val="000000" w:themeColor="text1"/>
          <w:sz w:val="30"/>
          <w:szCs w:val="30"/>
          <w14:textFill>
            <w14:solidFill>
              <w14:schemeClr w14:val="tx1"/>
            </w14:solidFill>
          </w14:textFill>
        </w:rPr>
      </w:pPr>
      <w:r>
        <w:rPr>
          <w:rFonts w:hint="eastAsia" w:eastAsia="黑体"/>
          <w:color w:val="000000" w:themeColor="text1"/>
          <w:sz w:val="30"/>
          <w:szCs w:val="30"/>
          <w14:textFill>
            <w14:solidFill>
              <w14:schemeClr w14:val="tx1"/>
            </w14:solidFill>
          </w14:textFill>
        </w:rPr>
        <w:t>六、其它</w:t>
      </w:r>
    </w:p>
    <w:p w14:paraId="6C508885">
      <w:pPr>
        <w:spacing w:line="360" w:lineRule="auto"/>
        <w:ind w:left="105" w:leftChars="50" w:firstLine="615" w:firstLineChars="205"/>
        <w:rPr>
          <w:rFonts w:eastAsia="仿宋_GB2312"/>
          <w:color w:val="000000" w:themeColor="text1"/>
          <w:sz w:val="30"/>
          <w:szCs w:val="30"/>
          <w:highlight w:val="none"/>
          <w14:textFill>
            <w14:solidFill>
              <w14:schemeClr w14:val="tx1"/>
            </w14:solidFill>
          </w14:textFill>
        </w:rPr>
      </w:pPr>
      <w:r>
        <w:rPr>
          <w:rFonts w:eastAsia="仿宋_GB2312"/>
          <w:color w:val="000000" w:themeColor="text1"/>
          <w:sz w:val="30"/>
          <w:szCs w:val="30"/>
          <w14:textFill>
            <w14:solidFill>
              <w14:schemeClr w14:val="tx1"/>
            </w14:solidFill>
          </w14:textFill>
        </w:rPr>
        <w:t>1</w:t>
      </w:r>
      <w:r>
        <w:rPr>
          <w:rFonts w:hint="eastAsia" w:eastAsia="仿宋_GB2312"/>
          <w:color w:val="000000" w:themeColor="text1"/>
          <w:sz w:val="30"/>
          <w:szCs w:val="30"/>
          <w14:textFill>
            <w14:solidFill>
              <w14:schemeClr w14:val="tx1"/>
            </w14:solidFill>
          </w14:textFill>
        </w:rPr>
        <w:t>、本保修书作为施工工程合同的附件，与施工工程合同具有同等法律效力。</w:t>
      </w:r>
    </w:p>
    <w:p w14:paraId="407179F4">
      <w:pPr>
        <w:spacing w:line="360" w:lineRule="auto"/>
        <w:ind w:left="105" w:leftChars="50" w:firstLine="615" w:firstLineChars="205"/>
        <w:rPr>
          <w:rFonts w:eastAsia="仿宋_GB2312"/>
          <w:color w:val="000000" w:themeColor="text1"/>
          <w:sz w:val="30"/>
          <w:szCs w:val="30"/>
          <w:highlight w:val="none"/>
          <w14:textFill>
            <w14:solidFill>
              <w14:schemeClr w14:val="tx1"/>
            </w14:solidFill>
          </w14:textFill>
        </w:rPr>
      </w:pPr>
      <w:r>
        <w:rPr>
          <w:rFonts w:eastAsia="仿宋_GB2312"/>
          <w:color w:val="000000" w:themeColor="text1"/>
          <w:sz w:val="30"/>
          <w:szCs w:val="30"/>
          <w:highlight w:val="none"/>
          <w14:textFill>
            <w14:solidFill>
              <w14:schemeClr w14:val="tx1"/>
            </w14:solidFill>
          </w14:textFill>
        </w:rPr>
        <w:t>2</w:t>
      </w:r>
      <w:r>
        <w:rPr>
          <w:rFonts w:hint="eastAsia" w:eastAsia="仿宋_GB2312"/>
          <w:color w:val="000000" w:themeColor="text1"/>
          <w:sz w:val="30"/>
          <w:szCs w:val="30"/>
          <w:highlight w:val="none"/>
          <w14:textFill>
            <w14:solidFill>
              <w14:schemeClr w14:val="tx1"/>
            </w14:solidFill>
          </w14:textFill>
        </w:rPr>
        <w:t>、双方约定的其它工程质量保修事项：</w:t>
      </w:r>
    </w:p>
    <w:p w14:paraId="6CAA05C6">
      <w:pPr>
        <w:spacing w:line="360" w:lineRule="auto"/>
        <w:ind w:firstLine="600" w:firstLineChars="200"/>
        <w:rPr>
          <w:rFonts w:eastAsia="仿宋_GB2312"/>
          <w:color w:val="000000" w:themeColor="text1"/>
          <w:sz w:val="30"/>
          <w:szCs w:val="30"/>
          <w:highlight w:val="none"/>
          <w14:textFill>
            <w14:solidFill>
              <w14:schemeClr w14:val="tx1"/>
            </w14:solidFill>
          </w14:textFill>
        </w:rPr>
      </w:pPr>
      <w:r>
        <w:rPr>
          <w:rFonts w:hint="eastAsia" w:eastAsia="仿宋_GB2312"/>
          <w:color w:val="000000" w:themeColor="text1"/>
          <w:sz w:val="30"/>
          <w:szCs w:val="30"/>
          <w:highlight w:val="none"/>
          <w14:textFill>
            <w14:solidFill>
              <w14:schemeClr w14:val="tx1"/>
            </w14:solidFill>
          </w14:textFill>
        </w:rPr>
        <w:t>（1）对于属于质量问题及保修范围、内容的项目，承包人应当在接到发包人的《质量维修通知单》（书面形式通过顺丰或EMS向施工单位发送，均为有效）之日起按照通知单载明的限期内派人维修。承包人不在约定期限内派人维修的，发包人可以另委托第三方维修；发生的维修费用，按第三方维修单位向发包人主张的结算报审金额计取，从本合同尾款内双倍扣除。本合同尾款不足部分，仍由承包人承担。从合同尾款中扣除的，承包人承诺配合发包人签订合同补充协议，调整合同额。逾期维修造成的的损失亦由承包人承担。</w:t>
      </w:r>
    </w:p>
    <w:p w14:paraId="3D1AE70C">
      <w:pPr>
        <w:spacing w:line="360" w:lineRule="auto"/>
        <w:ind w:firstLine="570" w:firstLineChars="190"/>
        <w:rPr>
          <w:rFonts w:eastAsia="仿宋_GB2312"/>
          <w:color w:val="000000" w:themeColor="text1"/>
          <w:sz w:val="30"/>
          <w:szCs w:val="30"/>
          <w14:textFill>
            <w14:solidFill>
              <w14:schemeClr w14:val="tx1"/>
            </w14:solidFill>
          </w14:textFill>
        </w:rPr>
      </w:pPr>
      <w:r>
        <w:rPr>
          <w:rFonts w:hint="eastAsia" w:eastAsia="仿宋_GB2312"/>
          <w:color w:val="000000" w:themeColor="text1"/>
          <w:sz w:val="30"/>
          <w:szCs w:val="30"/>
          <w14:textFill>
            <w14:solidFill>
              <w14:schemeClr w14:val="tx1"/>
            </w14:solidFill>
          </w14:textFill>
        </w:rPr>
        <w:t>工程质量保修书由发包人、承包人在工程竣工验收前共同签署，作为施工合同附件，其有效期限至保修期满。</w:t>
      </w:r>
    </w:p>
    <w:p w14:paraId="2E4FC2DB">
      <w:pPr>
        <w:spacing w:line="360" w:lineRule="auto"/>
        <w:ind w:firstLine="570" w:firstLineChars="190"/>
        <w:rPr>
          <w:rFonts w:eastAsia="仿宋_GB2312"/>
          <w:sz w:val="30"/>
          <w:szCs w:val="30"/>
        </w:rPr>
      </w:pPr>
    </w:p>
    <w:p w14:paraId="2901BF63">
      <w:pPr>
        <w:spacing w:line="360" w:lineRule="auto"/>
        <w:ind w:firstLine="420"/>
        <w:rPr>
          <w:rFonts w:eastAsia="仿宋_GB2312"/>
          <w:sz w:val="30"/>
          <w:szCs w:val="30"/>
        </w:rPr>
      </w:pPr>
    </w:p>
    <w:tbl>
      <w:tblPr>
        <w:tblStyle w:val="25"/>
        <w:tblW w:w="10099" w:type="dxa"/>
        <w:tblInd w:w="0" w:type="dxa"/>
        <w:tblLayout w:type="fixed"/>
        <w:tblCellMar>
          <w:top w:w="0" w:type="dxa"/>
          <w:left w:w="108" w:type="dxa"/>
          <w:bottom w:w="0" w:type="dxa"/>
          <w:right w:w="108" w:type="dxa"/>
        </w:tblCellMar>
      </w:tblPr>
      <w:tblGrid>
        <w:gridCol w:w="1682"/>
        <w:gridCol w:w="2962"/>
        <w:gridCol w:w="1658"/>
        <w:gridCol w:w="2986"/>
        <w:gridCol w:w="811"/>
      </w:tblGrid>
      <w:tr w14:paraId="55C02DDF">
        <w:tblPrEx>
          <w:tblCellMar>
            <w:top w:w="0" w:type="dxa"/>
            <w:left w:w="108" w:type="dxa"/>
            <w:bottom w:w="0" w:type="dxa"/>
            <w:right w:w="108" w:type="dxa"/>
          </w:tblCellMar>
        </w:tblPrEx>
        <w:trPr>
          <w:gridAfter w:val="1"/>
          <w:wAfter w:w="811" w:type="dxa"/>
        </w:trPr>
        <w:tc>
          <w:tcPr>
            <w:tcW w:w="4644" w:type="dxa"/>
            <w:gridSpan w:val="2"/>
          </w:tcPr>
          <w:p w14:paraId="7A58AF57">
            <w:pPr>
              <w:spacing w:line="360" w:lineRule="auto"/>
              <w:rPr>
                <w:rFonts w:eastAsia="仿宋_GB2312"/>
                <w:sz w:val="28"/>
                <w:szCs w:val="28"/>
              </w:rPr>
            </w:pPr>
            <w:r>
              <w:rPr>
                <w:rFonts w:eastAsia="仿宋_GB2312"/>
                <w:sz w:val="28"/>
                <w:szCs w:val="28"/>
              </w:rPr>
              <w:t>发包人</w:t>
            </w:r>
            <w:r>
              <w:rPr>
                <w:rFonts w:hint="eastAsia" w:eastAsia="仿宋_GB2312"/>
                <w:sz w:val="28"/>
                <w:szCs w:val="28"/>
              </w:rPr>
              <w:t xml:space="preserve">：  </w:t>
            </w:r>
            <w:r>
              <w:rPr>
                <w:rFonts w:eastAsia="仿宋_GB2312"/>
                <w:sz w:val="28"/>
                <w:szCs w:val="28"/>
              </w:rPr>
              <w:t>(</w:t>
            </w:r>
            <w:r>
              <w:rPr>
                <w:rFonts w:hint="eastAsia" w:eastAsia="仿宋_GB2312"/>
                <w:sz w:val="28"/>
                <w:szCs w:val="28"/>
              </w:rPr>
              <w:t>盖</w:t>
            </w:r>
            <w:r>
              <w:rPr>
                <w:rFonts w:eastAsia="仿宋_GB2312"/>
                <w:sz w:val="28"/>
                <w:szCs w:val="28"/>
              </w:rPr>
              <w:t>章)</w:t>
            </w:r>
          </w:p>
        </w:tc>
        <w:tc>
          <w:tcPr>
            <w:tcW w:w="4644" w:type="dxa"/>
            <w:gridSpan w:val="2"/>
          </w:tcPr>
          <w:p w14:paraId="1E1BFE4E">
            <w:pPr>
              <w:spacing w:line="360" w:lineRule="auto"/>
              <w:rPr>
                <w:rFonts w:eastAsia="仿宋_GB2312"/>
                <w:sz w:val="28"/>
                <w:szCs w:val="28"/>
              </w:rPr>
            </w:pPr>
            <w:r>
              <w:rPr>
                <w:rFonts w:eastAsia="仿宋_GB2312"/>
                <w:sz w:val="28"/>
                <w:szCs w:val="28"/>
              </w:rPr>
              <w:t>承包人</w:t>
            </w:r>
            <w:r>
              <w:rPr>
                <w:rFonts w:hint="eastAsia" w:eastAsia="仿宋_GB2312"/>
                <w:sz w:val="28"/>
                <w:szCs w:val="28"/>
              </w:rPr>
              <w:t xml:space="preserve">：  </w:t>
            </w:r>
            <w:r>
              <w:rPr>
                <w:rFonts w:eastAsia="仿宋_GB2312"/>
                <w:sz w:val="28"/>
                <w:szCs w:val="28"/>
              </w:rPr>
              <w:t>(</w:t>
            </w:r>
            <w:r>
              <w:rPr>
                <w:rFonts w:hint="eastAsia" w:eastAsia="仿宋_GB2312"/>
                <w:sz w:val="28"/>
                <w:szCs w:val="28"/>
              </w:rPr>
              <w:t>盖</w:t>
            </w:r>
            <w:r>
              <w:rPr>
                <w:rFonts w:eastAsia="仿宋_GB2312"/>
                <w:sz w:val="28"/>
                <w:szCs w:val="28"/>
              </w:rPr>
              <w:t>章)</w:t>
            </w:r>
          </w:p>
          <w:p w14:paraId="49A0F671">
            <w:pPr>
              <w:spacing w:line="360" w:lineRule="auto"/>
              <w:rPr>
                <w:rFonts w:eastAsia="仿宋_GB2312"/>
                <w:sz w:val="28"/>
                <w:szCs w:val="28"/>
              </w:rPr>
            </w:pPr>
            <w:r>
              <w:rPr>
                <w:rFonts w:hint="eastAsia" w:eastAsia="仿宋_GB2312"/>
                <w:sz w:val="28"/>
                <w:szCs w:val="28"/>
              </w:rPr>
              <w:t xml:space="preserve"> </w:t>
            </w:r>
          </w:p>
        </w:tc>
      </w:tr>
      <w:tr w14:paraId="28850A2E">
        <w:tblPrEx>
          <w:tblCellMar>
            <w:top w:w="0" w:type="dxa"/>
            <w:left w:w="108" w:type="dxa"/>
            <w:bottom w:w="0" w:type="dxa"/>
            <w:right w:w="108" w:type="dxa"/>
          </w:tblCellMar>
        </w:tblPrEx>
        <w:trPr>
          <w:gridAfter w:val="1"/>
          <w:wAfter w:w="811" w:type="dxa"/>
        </w:trPr>
        <w:tc>
          <w:tcPr>
            <w:tcW w:w="4644" w:type="dxa"/>
            <w:gridSpan w:val="2"/>
          </w:tcPr>
          <w:p w14:paraId="43CAAFD5">
            <w:pPr>
              <w:spacing w:line="360" w:lineRule="auto"/>
              <w:rPr>
                <w:rFonts w:eastAsia="仿宋_GB2312"/>
                <w:sz w:val="28"/>
                <w:szCs w:val="28"/>
              </w:rPr>
            </w:pPr>
            <w:r>
              <w:rPr>
                <w:rFonts w:hint="eastAsia" w:eastAsia="仿宋_GB2312"/>
                <w:sz w:val="28"/>
                <w:szCs w:val="28"/>
              </w:rPr>
              <w:t>法定代表人或其委托代理人：</w:t>
            </w:r>
          </w:p>
          <w:p w14:paraId="2F1E075E">
            <w:pPr>
              <w:spacing w:line="360" w:lineRule="auto"/>
              <w:rPr>
                <w:rFonts w:eastAsia="仿宋_GB2312"/>
                <w:sz w:val="28"/>
                <w:szCs w:val="28"/>
              </w:rPr>
            </w:pPr>
            <w:r>
              <w:rPr>
                <w:rFonts w:hint="eastAsia" w:eastAsia="仿宋_GB2312"/>
                <w:sz w:val="28"/>
                <w:szCs w:val="28"/>
              </w:rPr>
              <w:t xml:space="preserve">（签字）   </w:t>
            </w:r>
          </w:p>
        </w:tc>
        <w:tc>
          <w:tcPr>
            <w:tcW w:w="4644" w:type="dxa"/>
            <w:gridSpan w:val="2"/>
          </w:tcPr>
          <w:p w14:paraId="65060C42">
            <w:pPr>
              <w:spacing w:line="360" w:lineRule="auto"/>
              <w:rPr>
                <w:rFonts w:eastAsia="仿宋_GB2312"/>
                <w:sz w:val="28"/>
                <w:szCs w:val="28"/>
              </w:rPr>
            </w:pPr>
            <w:r>
              <w:rPr>
                <w:rFonts w:hint="eastAsia" w:eastAsia="仿宋_GB2312"/>
                <w:sz w:val="28"/>
                <w:szCs w:val="28"/>
              </w:rPr>
              <w:t>法定代表人或其委托代理人：</w:t>
            </w:r>
          </w:p>
          <w:p w14:paraId="58F748BD">
            <w:pPr>
              <w:spacing w:line="360" w:lineRule="auto"/>
              <w:rPr>
                <w:rFonts w:eastAsia="仿宋_GB2312"/>
                <w:sz w:val="28"/>
                <w:szCs w:val="28"/>
              </w:rPr>
            </w:pPr>
            <w:r>
              <w:rPr>
                <w:rFonts w:hint="eastAsia" w:eastAsia="仿宋_GB2312"/>
                <w:sz w:val="28"/>
                <w:szCs w:val="28"/>
              </w:rPr>
              <w:t xml:space="preserve">（签字）   </w:t>
            </w:r>
          </w:p>
        </w:tc>
      </w:tr>
      <w:tr w14:paraId="39887FB7">
        <w:tblPrEx>
          <w:tblCellMar>
            <w:top w:w="0" w:type="dxa"/>
            <w:left w:w="108" w:type="dxa"/>
            <w:bottom w:w="0" w:type="dxa"/>
            <w:right w:w="108" w:type="dxa"/>
          </w:tblCellMar>
        </w:tblPrEx>
        <w:tc>
          <w:tcPr>
            <w:tcW w:w="1682" w:type="dxa"/>
          </w:tcPr>
          <w:p w14:paraId="36E62A48">
            <w:pPr>
              <w:spacing w:line="360" w:lineRule="auto"/>
              <w:rPr>
                <w:rFonts w:eastAsia="仿宋_GB2312"/>
                <w:sz w:val="28"/>
                <w:szCs w:val="28"/>
              </w:rPr>
            </w:pPr>
            <w:r>
              <w:rPr>
                <w:rFonts w:hint="eastAsia" w:ascii="仿宋" w:hAnsi="仿宋" w:eastAsia="仿宋" w:cs="仿宋"/>
                <w:sz w:val="20"/>
              </w:rPr>
              <w:t>组织机构代码：</w:t>
            </w:r>
          </w:p>
        </w:tc>
        <w:tc>
          <w:tcPr>
            <w:tcW w:w="2962" w:type="dxa"/>
          </w:tcPr>
          <w:p w14:paraId="4BB9FE47">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030BBD3F">
            <w:pPr>
              <w:tabs>
                <w:tab w:val="left" w:pos="4410"/>
              </w:tabs>
              <w:spacing w:line="360" w:lineRule="auto"/>
              <w:rPr>
                <w:rFonts w:hint="eastAsia" w:ascii="仿宋" w:hAnsi="仿宋" w:eastAsia="仿宋" w:cs="仿宋"/>
                <w:sz w:val="20"/>
                <w:u w:val="single"/>
              </w:rPr>
            </w:pPr>
            <w:r>
              <w:rPr>
                <w:rFonts w:hint="eastAsia" w:ascii="仿宋" w:hAnsi="仿宋" w:eastAsia="仿宋" w:cs="仿宋"/>
                <w:sz w:val="20"/>
              </w:rPr>
              <w:t>组织机构代码：</w:t>
            </w:r>
          </w:p>
        </w:tc>
        <w:tc>
          <w:tcPr>
            <w:tcW w:w="2986" w:type="dxa"/>
            <w:vAlign w:val="center"/>
          </w:tcPr>
          <w:p w14:paraId="480532A7">
            <w:pPr>
              <w:spacing w:line="360" w:lineRule="auto"/>
              <w:ind w:left="1000" w:hanging="1000" w:hangingChars="500"/>
              <w:rPr>
                <w:rFonts w:hint="eastAsia" w:ascii="仿宋" w:hAnsi="仿宋" w:eastAsia="仿宋" w:cs="仿宋"/>
                <w:u w:val="single"/>
              </w:rPr>
            </w:pPr>
            <w:r>
              <w:rPr>
                <w:rFonts w:hint="eastAsia" w:ascii="仿宋" w:hAnsi="仿宋" w:eastAsia="仿宋" w:cs="仿宋"/>
                <w:sz w:val="20"/>
                <w:u w:val="single"/>
              </w:rPr>
              <w:t xml:space="preserve">                          </w:t>
            </w:r>
          </w:p>
        </w:tc>
        <w:tc>
          <w:tcPr>
            <w:tcW w:w="811" w:type="dxa"/>
          </w:tcPr>
          <w:p w14:paraId="119BD0D4">
            <w:pPr>
              <w:jc w:val="center"/>
              <w:rPr>
                <w:rFonts w:hint="eastAsia" w:ascii="宋体" w:hAnsi="宋体" w:cs="宋体"/>
                <w:sz w:val="22"/>
              </w:rPr>
            </w:pPr>
          </w:p>
        </w:tc>
      </w:tr>
      <w:tr w14:paraId="359155F0">
        <w:tblPrEx>
          <w:tblCellMar>
            <w:top w:w="0" w:type="dxa"/>
            <w:left w:w="108" w:type="dxa"/>
            <w:bottom w:w="0" w:type="dxa"/>
            <w:right w:w="108" w:type="dxa"/>
          </w:tblCellMar>
        </w:tblPrEx>
        <w:trPr>
          <w:gridAfter w:val="1"/>
          <w:wAfter w:w="811" w:type="dxa"/>
        </w:trPr>
        <w:tc>
          <w:tcPr>
            <w:tcW w:w="1682" w:type="dxa"/>
          </w:tcPr>
          <w:p w14:paraId="611E1B5E">
            <w:pPr>
              <w:spacing w:line="360" w:lineRule="auto"/>
              <w:rPr>
                <w:rFonts w:eastAsia="仿宋_GB2312"/>
                <w:sz w:val="28"/>
                <w:szCs w:val="28"/>
              </w:rPr>
            </w:pPr>
            <w:r>
              <w:rPr>
                <w:rFonts w:hint="eastAsia" w:ascii="仿宋" w:hAnsi="仿宋" w:eastAsia="仿宋" w:cs="仿宋"/>
                <w:sz w:val="20"/>
              </w:rPr>
              <w:t>地        址：</w:t>
            </w:r>
          </w:p>
        </w:tc>
        <w:tc>
          <w:tcPr>
            <w:tcW w:w="2962" w:type="dxa"/>
          </w:tcPr>
          <w:p w14:paraId="6119491F">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5982A91E">
            <w:pPr>
              <w:spacing w:line="360" w:lineRule="auto"/>
              <w:rPr>
                <w:rFonts w:eastAsia="仿宋_GB2312"/>
                <w:sz w:val="28"/>
                <w:szCs w:val="28"/>
              </w:rPr>
            </w:pPr>
            <w:r>
              <w:rPr>
                <w:rFonts w:hint="eastAsia" w:ascii="仿宋" w:hAnsi="仿宋" w:eastAsia="仿宋" w:cs="仿宋"/>
                <w:sz w:val="20"/>
              </w:rPr>
              <w:t>地        址：</w:t>
            </w:r>
          </w:p>
        </w:tc>
        <w:tc>
          <w:tcPr>
            <w:tcW w:w="2986" w:type="dxa"/>
          </w:tcPr>
          <w:p w14:paraId="49C68CE3">
            <w:pPr>
              <w:spacing w:line="360" w:lineRule="auto"/>
              <w:rPr>
                <w:rFonts w:hint="eastAsia" w:ascii="仿宋" w:hAnsi="仿宋" w:eastAsia="仿宋" w:cs="仿宋"/>
                <w:u w:val="single"/>
              </w:rPr>
            </w:pPr>
            <w:r>
              <w:rPr>
                <w:rFonts w:hint="eastAsia" w:ascii="仿宋" w:hAnsi="仿宋" w:eastAsia="仿宋" w:cs="仿宋"/>
                <w:sz w:val="20"/>
                <w:u w:val="single"/>
              </w:rPr>
              <w:t xml:space="preserve">                          </w:t>
            </w:r>
          </w:p>
        </w:tc>
      </w:tr>
      <w:tr w14:paraId="46BC193B">
        <w:tblPrEx>
          <w:tblCellMar>
            <w:top w:w="0" w:type="dxa"/>
            <w:left w:w="108" w:type="dxa"/>
            <w:bottom w:w="0" w:type="dxa"/>
            <w:right w:w="108" w:type="dxa"/>
          </w:tblCellMar>
        </w:tblPrEx>
        <w:trPr>
          <w:gridAfter w:val="1"/>
          <w:wAfter w:w="811" w:type="dxa"/>
        </w:trPr>
        <w:tc>
          <w:tcPr>
            <w:tcW w:w="1682" w:type="dxa"/>
          </w:tcPr>
          <w:p w14:paraId="0967F5E3">
            <w:pPr>
              <w:spacing w:line="360" w:lineRule="auto"/>
              <w:rPr>
                <w:rFonts w:eastAsia="仿宋_GB2312"/>
                <w:sz w:val="28"/>
                <w:szCs w:val="28"/>
              </w:rPr>
            </w:pPr>
            <w:r>
              <w:rPr>
                <w:rFonts w:hint="eastAsia" w:ascii="仿宋" w:hAnsi="仿宋" w:eastAsia="仿宋" w:cs="仿宋"/>
                <w:sz w:val="20"/>
              </w:rPr>
              <w:t>邮 政 编 码：</w:t>
            </w:r>
          </w:p>
        </w:tc>
        <w:tc>
          <w:tcPr>
            <w:tcW w:w="2962" w:type="dxa"/>
          </w:tcPr>
          <w:p w14:paraId="4D0CC3DC">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465920F5">
            <w:pPr>
              <w:spacing w:line="360" w:lineRule="auto"/>
              <w:rPr>
                <w:rFonts w:eastAsia="仿宋_GB2312"/>
                <w:sz w:val="28"/>
                <w:szCs w:val="28"/>
              </w:rPr>
            </w:pPr>
            <w:r>
              <w:rPr>
                <w:rFonts w:hint="eastAsia" w:ascii="仿宋" w:hAnsi="仿宋" w:eastAsia="仿宋" w:cs="仿宋"/>
                <w:sz w:val="20"/>
              </w:rPr>
              <w:t>邮 政 编 码：</w:t>
            </w:r>
          </w:p>
        </w:tc>
        <w:tc>
          <w:tcPr>
            <w:tcW w:w="2986" w:type="dxa"/>
          </w:tcPr>
          <w:p w14:paraId="6D2F7BB1">
            <w:pPr>
              <w:spacing w:line="360" w:lineRule="auto"/>
              <w:rPr>
                <w:rFonts w:hint="eastAsia" w:ascii="仿宋" w:hAnsi="仿宋" w:eastAsia="仿宋" w:cs="仿宋"/>
                <w:u w:val="single"/>
              </w:rPr>
            </w:pPr>
            <w:r>
              <w:rPr>
                <w:rFonts w:hint="eastAsia" w:ascii="仿宋" w:hAnsi="仿宋" w:eastAsia="仿宋" w:cs="仿宋"/>
                <w:sz w:val="20"/>
                <w:u w:val="single"/>
              </w:rPr>
              <w:t xml:space="preserve">                          </w:t>
            </w:r>
          </w:p>
        </w:tc>
      </w:tr>
      <w:tr w14:paraId="29792BD2">
        <w:tblPrEx>
          <w:tblCellMar>
            <w:top w:w="0" w:type="dxa"/>
            <w:left w:w="108" w:type="dxa"/>
            <w:bottom w:w="0" w:type="dxa"/>
            <w:right w:w="108" w:type="dxa"/>
          </w:tblCellMar>
        </w:tblPrEx>
        <w:trPr>
          <w:gridAfter w:val="1"/>
          <w:wAfter w:w="811" w:type="dxa"/>
        </w:trPr>
        <w:tc>
          <w:tcPr>
            <w:tcW w:w="1682" w:type="dxa"/>
          </w:tcPr>
          <w:p w14:paraId="01826B4A">
            <w:pPr>
              <w:spacing w:line="360" w:lineRule="auto"/>
              <w:rPr>
                <w:rFonts w:hint="eastAsia" w:ascii="仿宋" w:hAnsi="仿宋" w:eastAsia="仿宋" w:cs="仿宋"/>
                <w:sz w:val="20"/>
                <w:u w:val="single"/>
              </w:rPr>
            </w:pPr>
            <w:r>
              <w:rPr>
                <w:rFonts w:hint="eastAsia" w:ascii="仿宋" w:hAnsi="仿宋" w:eastAsia="仿宋" w:cs="仿宋"/>
                <w:sz w:val="20"/>
              </w:rPr>
              <w:t>电        话：</w:t>
            </w:r>
          </w:p>
        </w:tc>
        <w:tc>
          <w:tcPr>
            <w:tcW w:w="2962" w:type="dxa"/>
          </w:tcPr>
          <w:p w14:paraId="58A2B584">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235DD25D">
            <w:pPr>
              <w:spacing w:line="360" w:lineRule="auto"/>
              <w:rPr>
                <w:rFonts w:eastAsia="仿宋_GB2312"/>
                <w:sz w:val="28"/>
                <w:szCs w:val="28"/>
              </w:rPr>
            </w:pPr>
            <w:r>
              <w:rPr>
                <w:rFonts w:hint="eastAsia" w:ascii="仿宋" w:hAnsi="仿宋" w:eastAsia="仿宋" w:cs="仿宋"/>
                <w:sz w:val="20"/>
              </w:rPr>
              <w:t>电        话：</w:t>
            </w:r>
          </w:p>
        </w:tc>
        <w:tc>
          <w:tcPr>
            <w:tcW w:w="2986" w:type="dxa"/>
          </w:tcPr>
          <w:p w14:paraId="0FA4896E">
            <w:pPr>
              <w:spacing w:line="360" w:lineRule="auto"/>
              <w:rPr>
                <w:rFonts w:hint="eastAsia" w:ascii="仿宋" w:hAnsi="仿宋" w:eastAsia="仿宋" w:cs="仿宋"/>
                <w:u w:val="single"/>
              </w:rPr>
            </w:pPr>
            <w:r>
              <w:rPr>
                <w:rFonts w:hint="eastAsia" w:ascii="仿宋" w:hAnsi="仿宋" w:eastAsia="仿宋" w:cs="仿宋"/>
                <w:sz w:val="20"/>
                <w:u w:val="single"/>
              </w:rPr>
              <w:t xml:space="preserve">                          </w:t>
            </w:r>
          </w:p>
        </w:tc>
      </w:tr>
      <w:tr w14:paraId="56D42F54">
        <w:tblPrEx>
          <w:tblCellMar>
            <w:top w:w="0" w:type="dxa"/>
            <w:left w:w="108" w:type="dxa"/>
            <w:bottom w:w="0" w:type="dxa"/>
            <w:right w:w="108" w:type="dxa"/>
          </w:tblCellMar>
        </w:tblPrEx>
        <w:trPr>
          <w:gridAfter w:val="1"/>
          <w:wAfter w:w="811" w:type="dxa"/>
        </w:trPr>
        <w:tc>
          <w:tcPr>
            <w:tcW w:w="1682" w:type="dxa"/>
          </w:tcPr>
          <w:p w14:paraId="7A423B43">
            <w:pPr>
              <w:spacing w:line="360" w:lineRule="auto"/>
              <w:rPr>
                <w:rFonts w:hint="eastAsia" w:ascii="仿宋" w:hAnsi="仿宋" w:eastAsia="仿宋" w:cs="仿宋"/>
                <w:sz w:val="20"/>
              </w:rPr>
            </w:pPr>
            <w:r>
              <w:rPr>
                <w:rFonts w:hint="eastAsia" w:ascii="仿宋" w:hAnsi="仿宋" w:eastAsia="仿宋" w:cs="仿宋"/>
                <w:sz w:val="20"/>
              </w:rPr>
              <w:t>传        真：</w:t>
            </w:r>
          </w:p>
        </w:tc>
        <w:tc>
          <w:tcPr>
            <w:tcW w:w="2962" w:type="dxa"/>
          </w:tcPr>
          <w:p w14:paraId="45EAE726">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6EC8C6A8">
            <w:pPr>
              <w:spacing w:line="360" w:lineRule="auto"/>
              <w:rPr>
                <w:rFonts w:eastAsia="仿宋_GB2312"/>
                <w:sz w:val="28"/>
                <w:szCs w:val="28"/>
              </w:rPr>
            </w:pPr>
            <w:r>
              <w:rPr>
                <w:rFonts w:hint="eastAsia" w:ascii="仿宋" w:hAnsi="仿宋" w:eastAsia="仿宋" w:cs="仿宋"/>
                <w:sz w:val="20"/>
              </w:rPr>
              <w:t>传        真：</w:t>
            </w:r>
          </w:p>
        </w:tc>
        <w:tc>
          <w:tcPr>
            <w:tcW w:w="2986" w:type="dxa"/>
          </w:tcPr>
          <w:p w14:paraId="64AFB02D">
            <w:pPr>
              <w:spacing w:line="360" w:lineRule="auto"/>
              <w:rPr>
                <w:rFonts w:hint="eastAsia" w:ascii="仿宋" w:hAnsi="仿宋" w:eastAsia="仿宋" w:cs="仿宋"/>
                <w:u w:val="single"/>
              </w:rPr>
            </w:pPr>
            <w:r>
              <w:rPr>
                <w:rFonts w:hint="eastAsia" w:ascii="仿宋" w:hAnsi="仿宋" w:eastAsia="仿宋" w:cs="仿宋"/>
                <w:sz w:val="20"/>
                <w:u w:val="single"/>
              </w:rPr>
              <w:t xml:space="preserve">                          </w:t>
            </w:r>
          </w:p>
        </w:tc>
      </w:tr>
      <w:tr w14:paraId="1ED338EB">
        <w:tblPrEx>
          <w:tblCellMar>
            <w:top w:w="0" w:type="dxa"/>
            <w:left w:w="108" w:type="dxa"/>
            <w:bottom w:w="0" w:type="dxa"/>
            <w:right w:w="108" w:type="dxa"/>
          </w:tblCellMar>
        </w:tblPrEx>
        <w:trPr>
          <w:gridAfter w:val="1"/>
          <w:wAfter w:w="811" w:type="dxa"/>
        </w:trPr>
        <w:tc>
          <w:tcPr>
            <w:tcW w:w="1682" w:type="dxa"/>
          </w:tcPr>
          <w:p w14:paraId="0309A05D">
            <w:pPr>
              <w:spacing w:line="360" w:lineRule="auto"/>
              <w:rPr>
                <w:rFonts w:hint="eastAsia" w:ascii="仿宋" w:hAnsi="仿宋" w:eastAsia="仿宋" w:cs="仿宋"/>
                <w:sz w:val="20"/>
              </w:rPr>
            </w:pPr>
            <w:r>
              <w:rPr>
                <w:rFonts w:hint="eastAsia" w:ascii="仿宋" w:hAnsi="仿宋" w:eastAsia="仿宋" w:cs="仿宋"/>
                <w:sz w:val="20"/>
              </w:rPr>
              <w:t>开 户 银 行：</w:t>
            </w:r>
          </w:p>
        </w:tc>
        <w:tc>
          <w:tcPr>
            <w:tcW w:w="2962" w:type="dxa"/>
          </w:tcPr>
          <w:p w14:paraId="377270CD">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52E7827A">
            <w:pPr>
              <w:spacing w:line="360" w:lineRule="auto"/>
              <w:rPr>
                <w:rFonts w:eastAsia="仿宋_GB2312"/>
                <w:sz w:val="28"/>
                <w:szCs w:val="28"/>
              </w:rPr>
            </w:pPr>
            <w:r>
              <w:rPr>
                <w:rFonts w:hint="eastAsia" w:ascii="仿宋" w:hAnsi="仿宋" w:eastAsia="仿宋" w:cs="仿宋"/>
                <w:sz w:val="20"/>
              </w:rPr>
              <w:t>开 户 银 行：</w:t>
            </w:r>
          </w:p>
        </w:tc>
        <w:tc>
          <w:tcPr>
            <w:tcW w:w="2986" w:type="dxa"/>
          </w:tcPr>
          <w:p w14:paraId="1BD2E6B6">
            <w:pPr>
              <w:spacing w:line="360" w:lineRule="auto"/>
              <w:rPr>
                <w:rFonts w:hint="eastAsia" w:ascii="仿宋" w:hAnsi="仿宋" w:eastAsia="仿宋" w:cs="仿宋"/>
                <w:u w:val="single"/>
              </w:rPr>
            </w:pPr>
            <w:r>
              <w:rPr>
                <w:rFonts w:hint="eastAsia" w:ascii="仿宋" w:hAnsi="仿宋" w:eastAsia="仿宋" w:cs="仿宋"/>
                <w:sz w:val="20"/>
                <w:u w:val="single"/>
              </w:rPr>
              <w:t xml:space="preserve">                          </w:t>
            </w:r>
          </w:p>
        </w:tc>
      </w:tr>
      <w:tr w14:paraId="60ACC8A8">
        <w:tblPrEx>
          <w:tblCellMar>
            <w:top w:w="0" w:type="dxa"/>
            <w:left w:w="108" w:type="dxa"/>
            <w:bottom w:w="0" w:type="dxa"/>
            <w:right w:w="108" w:type="dxa"/>
          </w:tblCellMar>
        </w:tblPrEx>
        <w:trPr>
          <w:gridAfter w:val="1"/>
          <w:wAfter w:w="811" w:type="dxa"/>
        </w:trPr>
        <w:tc>
          <w:tcPr>
            <w:tcW w:w="1682" w:type="dxa"/>
          </w:tcPr>
          <w:p w14:paraId="1158EF29">
            <w:pPr>
              <w:spacing w:line="360" w:lineRule="auto"/>
              <w:rPr>
                <w:rFonts w:hint="eastAsia" w:ascii="仿宋" w:hAnsi="仿宋" w:eastAsia="仿宋" w:cs="仿宋"/>
                <w:sz w:val="20"/>
              </w:rPr>
            </w:pPr>
            <w:r>
              <w:rPr>
                <w:rFonts w:hint="eastAsia" w:ascii="仿宋" w:hAnsi="仿宋" w:eastAsia="仿宋" w:cs="仿宋"/>
                <w:sz w:val="20"/>
              </w:rPr>
              <w:t>账        号：</w:t>
            </w:r>
          </w:p>
        </w:tc>
        <w:tc>
          <w:tcPr>
            <w:tcW w:w="2962" w:type="dxa"/>
          </w:tcPr>
          <w:p w14:paraId="73FA8551">
            <w:pPr>
              <w:spacing w:line="360" w:lineRule="auto"/>
              <w:rPr>
                <w:rFonts w:hint="eastAsia" w:ascii="仿宋" w:hAnsi="仿宋" w:eastAsia="仿宋" w:cs="仿宋"/>
                <w:sz w:val="20"/>
                <w:u w:val="single"/>
              </w:rPr>
            </w:pPr>
            <w:r>
              <w:rPr>
                <w:rFonts w:hint="eastAsia" w:ascii="仿宋" w:hAnsi="仿宋" w:eastAsia="仿宋" w:cs="仿宋"/>
                <w:sz w:val="20"/>
                <w:u w:val="single"/>
              </w:rPr>
              <w:t xml:space="preserve">                          </w:t>
            </w:r>
          </w:p>
        </w:tc>
        <w:tc>
          <w:tcPr>
            <w:tcW w:w="1658" w:type="dxa"/>
          </w:tcPr>
          <w:p w14:paraId="51D5527C">
            <w:pPr>
              <w:spacing w:line="360" w:lineRule="auto"/>
              <w:rPr>
                <w:rFonts w:eastAsia="仿宋_GB2312"/>
                <w:sz w:val="28"/>
                <w:szCs w:val="28"/>
              </w:rPr>
            </w:pPr>
            <w:r>
              <w:rPr>
                <w:rFonts w:hint="eastAsia" w:ascii="仿宋" w:hAnsi="仿宋" w:eastAsia="仿宋" w:cs="仿宋"/>
                <w:sz w:val="20"/>
              </w:rPr>
              <w:t>账        号：</w:t>
            </w:r>
          </w:p>
        </w:tc>
        <w:tc>
          <w:tcPr>
            <w:tcW w:w="2986" w:type="dxa"/>
          </w:tcPr>
          <w:p w14:paraId="5911A33C">
            <w:pPr>
              <w:spacing w:line="360" w:lineRule="auto"/>
              <w:rPr>
                <w:rFonts w:hint="eastAsia" w:ascii="仿宋" w:hAnsi="仿宋" w:eastAsia="仿宋" w:cs="仿宋"/>
                <w:u w:val="single"/>
              </w:rPr>
            </w:pPr>
            <w:r>
              <w:rPr>
                <w:rFonts w:hint="eastAsia" w:ascii="仿宋" w:hAnsi="仿宋" w:eastAsia="仿宋" w:cs="仿宋"/>
                <w:sz w:val="20"/>
                <w:u w:val="single"/>
              </w:rPr>
              <w:t xml:space="preserve">                          </w:t>
            </w:r>
          </w:p>
        </w:tc>
      </w:tr>
    </w:tbl>
    <w:p w14:paraId="6EDB2282">
      <w:pPr>
        <w:rPr>
          <w:rFonts w:hint="eastAsia" w:ascii="黑体" w:hAnsi="黑体" w:eastAsia="黑体" w:cs="黑体"/>
          <w:sz w:val="32"/>
          <w:szCs w:val="32"/>
        </w:rPr>
      </w:pPr>
      <w:r>
        <w:rPr>
          <w:rFonts w:eastAsia="仿宋_GB2312"/>
          <w:b/>
          <w:sz w:val="30"/>
          <w:szCs w:val="30"/>
        </w:rPr>
        <w:br w:type="page"/>
      </w:r>
    </w:p>
    <w:p w14:paraId="6C4A9E40">
      <w:pPr>
        <w:spacing w:line="440" w:lineRule="exact"/>
        <w:rPr>
          <w:rFonts w:hint="eastAsia" w:ascii="黑体" w:hAnsi="黑体" w:eastAsia="黑体" w:cs="黑体"/>
          <w:sz w:val="32"/>
          <w:szCs w:val="32"/>
          <w:lang w:eastAsia="zh-CN"/>
        </w:rPr>
      </w:pPr>
      <w:r>
        <w:rPr>
          <w:rFonts w:hint="eastAsia" w:ascii="黑体" w:hAnsi="黑体" w:eastAsia="黑体" w:cs="黑体"/>
          <w:sz w:val="32"/>
          <w:szCs w:val="32"/>
        </w:rPr>
        <w:t>附</w:t>
      </w:r>
      <w:bookmarkStart w:id="1234" w:name="_Toc296346729"/>
      <w:bookmarkStart w:id="1235" w:name="_Toc296347227"/>
      <w:bookmarkStart w:id="1236" w:name="_Toc296944567"/>
      <w:bookmarkStart w:id="1237" w:name="_Toc267261699"/>
      <w:bookmarkStart w:id="1238" w:name="_Toc296891056"/>
      <w:bookmarkStart w:id="1239" w:name="_Toc296891268"/>
      <w:bookmarkStart w:id="1240" w:name="_Toc296503228"/>
      <w:r>
        <w:rPr>
          <w:rFonts w:hint="eastAsia" w:ascii="黑体" w:hAnsi="黑体" w:eastAsia="黑体" w:cs="黑体"/>
          <w:sz w:val="32"/>
          <w:szCs w:val="32"/>
        </w:rPr>
        <w:t>件</w:t>
      </w:r>
      <w:r>
        <w:rPr>
          <w:rFonts w:hint="eastAsia" w:ascii="黑体" w:hAnsi="黑体" w:eastAsia="黑体" w:cs="黑体"/>
          <w:sz w:val="32"/>
          <w:szCs w:val="32"/>
          <w:lang w:val="en-US" w:eastAsia="zh-CN"/>
        </w:rPr>
        <w:t>3</w:t>
      </w:r>
    </w:p>
    <w:bookmarkEnd w:id="1234"/>
    <w:bookmarkEnd w:id="1235"/>
    <w:bookmarkEnd w:id="1236"/>
    <w:bookmarkEnd w:id="1237"/>
    <w:bookmarkEnd w:id="1238"/>
    <w:bookmarkEnd w:id="1239"/>
    <w:bookmarkEnd w:id="1240"/>
    <w:p w14:paraId="2360F381">
      <w:pPr>
        <w:spacing w:before="120" w:beforeLines="50" w:after="120" w:afterLines="50" w:line="440" w:lineRule="exact"/>
        <w:jc w:val="center"/>
        <w:rPr>
          <w:rFonts w:eastAsia="黑体"/>
          <w:sz w:val="30"/>
          <w:szCs w:val="30"/>
        </w:rPr>
      </w:pPr>
      <w:r>
        <w:rPr>
          <w:rFonts w:eastAsia="黑体"/>
          <w:sz w:val="30"/>
          <w:szCs w:val="30"/>
        </w:rPr>
        <w:t>承包人主要施工管理人员表</w:t>
      </w:r>
    </w:p>
    <w:tbl>
      <w:tblPr>
        <w:tblStyle w:val="25"/>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871"/>
        <w:gridCol w:w="1418"/>
        <w:gridCol w:w="1134"/>
        <w:gridCol w:w="1134"/>
        <w:gridCol w:w="4252"/>
      </w:tblGrid>
      <w:tr w14:paraId="6882D7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12" w:space="0"/>
              <w:bottom w:val="double" w:color="auto" w:sz="6" w:space="0"/>
            </w:tcBorders>
            <w:vAlign w:val="center"/>
          </w:tcPr>
          <w:p w14:paraId="15528E74">
            <w:pPr>
              <w:pStyle w:val="13"/>
              <w:keepNext/>
              <w:spacing w:line="440" w:lineRule="exact"/>
              <w:ind w:left="63" w:right="63"/>
              <w:rPr>
                <w:rFonts w:eastAsia="仿宋_GB2312"/>
                <w:szCs w:val="30"/>
              </w:rPr>
            </w:pPr>
            <w:r>
              <w:rPr>
                <w:rFonts w:eastAsia="仿宋_GB2312"/>
                <w:szCs w:val="30"/>
              </w:rPr>
              <w:t>名    称</w:t>
            </w:r>
          </w:p>
        </w:tc>
        <w:tc>
          <w:tcPr>
            <w:tcW w:w="1418" w:type="dxa"/>
            <w:tcBorders>
              <w:top w:val="single" w:color="auto" w:sz="12" w:space="0"/>
              <w:bottom w:val="double" w:color="auto" w:sz="6" w:space="0"/>
            </w:tcBorders>
            <w:vAlign w:val="center"/>
          </w:tcPr>
          <w:p w14:paraId="4DE65C89">
            <w:pPr>
              <w:pStyle w:val="13"/>
              <w:keepNext/>
              <w:spacing w:line="440" w:lineRule="exact"/>
              <w:ind w:left="63" w:right="63"/>
              <w:rPr>
                <w:rFonts w:eastAsia="仿宋_GB2312"/>
                <w:szCs w:val="30"/>
              </w:rPr>
            </w:pPr>
            <w:r>
              <w:rPr>
                <w:rFonts w:eastAsia="仿宋_GB2312"/>
                <w:szCs w:val="30"/>
              </w:rPr>
              <w:t>姓名</w:t>
            </w:r>
          </w:p>
        </w:tc>
        <w:tc>
          <w:tcPr>
            <w:tcW w:w="1134" w:type="dxa"/>
            <w:tcBorders>
              <w:top w:val="single" w:color="auto" w:sz="12" w:space="0"/>
              <w:bottom w:val="double" w:color="auto" w:sz="6" w:space="0"/>
            </w:tcBorders>
            <w:vAlign w:val="center"/>
          </w:tcPr>
          <w:p w14:paraId="3057DD9B">
            <w:pPr>
              <w:pStyle w:val="13"/>
              <w:keepNext/>
              <w:spacing w:line="440" w:lineRule="exact"/>
              <w:ind w:left="63" w:right="63"/>
              <w:rPr>
                <w:rFonts w:eastAsia="仿宋_GB2312"/>
                <w:sz w:val="30"/>
                <w:szCs w:val="30"/>
              </w:rPr>
            </w:pPr>
            <w:r>
              <w:rPr>
                <w:rFonts w:eastAsia="仿宋_GB2312"/>
                <w:sz w:val="30"/>
                <w:szCs w:val="30"/>
              </w:rPr>
              <w:t>职务</w:t>
            </w:r>
          </w:p>
        </w:tc>
        <w:tc>
          <w:tcPr>
            <w:tcW w:w="1134" w:type="dxa"/>
            <w:tcBorders>
              <w:top w:val="single" w:color="auto" w:sz="12" w:space="0"/>
              <w:bottom w:val="double" w:color="auto" w:sz="6" w:space="0"/>
            </w:tcBorders>
            <w:vAlign w:val="center"/>
          </w:tcPr>
          <w:p w14:paraId="48F21825">
            <w:pPr>
              <w:pStyle w:val="13"/>
              <w:keepNext/>
              <w:spacing w:line="440" w:lineRule="exact"/>
              <w:ind w:left="63" w:right="63"/>
              <w:rPr>
                <w:rFonts w:eastAsia="仿宋_GB2312"/>
                <w:sz w:val="30"/>
                <w:szCs w:val="30"/>
              </w:rPr>
            </w:pPr>
            <w:r>
              <w:rPr>
                <w:rFonts w:eastAsia="仿宋_GB2312"/>
                <w:sz w:val="30"/>
                <w:szCs w:val="30"/>
              </w:rPr>
              <w:t>职称</w:t>
            </w:r>
          </w:p>
        </w:tc>
        <w:tc>
          <w:tcPr>
            <w:tcW w:w="4252" w:type="dxa"/>
            <w:tcBorders>
              <w:top w:val="single" w:color="auto" w:sz="12" w:space="0"/>
              <w:bottom w:val="double" w:color="auto" w:sz="6" w:space="0"/>
            </w:tcBorders>
            <w:vAlign w:val="center"/>
          </w:tcPr>
          <w:p w14:paraId="77C13392">
            <w:pPr>
              <w:pStyle w:val="13"/>
              <w:keepNext/>
              <w:spacing w:line="440" w:lineRule="exact"/>
              <w:ind w:left="63" w:right="63"/>
              <w:rPr>
                <w:rFonts w:eastAsia="仿宋_GB2312"/>
                <w:sz w:val="30"/>
                <w:szCs w:val="30"/>
              </w:rPr>
            </w:pPr>
            <w:r>
              <w:rPr>
                <w:rFonts w:eastAsia="仿宋_GB2312"/>
                <w:sz w:val="30"/>
                <w:szCs w:val="30"/>
              </w:rPr>
              <w:t>主要资历、经验及承担过的项目</w:t>
            </w:r>
          </w:p>
        </w:tc>
      </w:tr>
      <w:tr w14:paraId="709019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809" w:type="dxa"/>
            <w:gridSpan w:val="5"/>
            <w:tcBorders>
              <w:top w:val="double" w:color="auto" w:sz="6" w:space="0"/>
              <w:bottom w:val="single" w:color="auto" w:sz="6" w:space="0"/>
            </w:tcBorders>
            <w:vAlign w:val="center"/>
          </w:tcPr>
          <w:p w14:paraId="5EA10F3E">
            <w:pPr>
              <w:pStyle w:val="13"/>
              <w:keepNext/>
              <w:spacing w:line="440" w:lineRule="exact"/>
              <w:ind w:left="63" w:right="63"/>
              <w:rPr>
                <w:rFonts w:eastAsia="仿宋_GB2312"/>
                <w:szCs w:val="30"/>
              </w:rPr>
            </w:pPr>
            <w:r>
              <w:rPr>
                <w:rFonts w:eastAsia="仿宋_GB2312"/>
                <w:szCs w:val="30"/>
              </w:rPr>
              <w:t>一、总部人员</w:t>
            </w:r>
          </w:p>
        </w:tc>
      </w:tr>
      <w:tr w14:paraId="7A3115F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vAlign w:val="center"/>
          </w:tcPr>
          <w:p w14:paraId="2AF6F9F5">
            <w:pPr>
              <w:pStyle w:val="13"/>
              <w:keepNext/>
              <w:spacing w:line="440" w:lineRule="exact"/>
              <w:ind w:left="63" w:right="63"/>
              <w:rPr>
                <w:rFonts w:eastAsia="仿宋_GB2312"/>
                <w:szCs w:val="30"/>
              </w:rPr>
            </w:pPr>
            <w:r>
              <w:rPr>
                <w:rFonts w:eastAsia="仿宋_GB2312"/>
                <w:szCs w:val="30"/>
              </w:rPr>
              <w:t>项目主管</w:t>
            </w:r>
          </w:p>
        </w:tc>
        <w:tc>
          <w:tcPr>
            <w:tcW w:w="1418" w:type="dxa"/>
            <w:tcBorders>
              <w:top w:val="nil"/>
            </w:tcBorders>
            <w:vAlign w:val="center"/>
          </w:tcPr>
          <w:p w14:paraId="0CE8932E">
            <w:pPr>
              <w:pStyle w:val="13"/>
              <w:keepNext/>
              <w:spacing w:line="440" w:lineRule="exact"/>
              <w:ind w:left="63" w:right="63"/>
              <w:rPr>
                <w:rFonts w:eastAsia="仿宋_GB2312"/>
                <w:szCs w:val="30"/>
              </w:rPr>
            </w:pPr>
          </w:p>
        </w:tc>
        <w:tc>
          <w:tcPr>
            <w:tcW w:w="1134" w:type="dxa"/>
            <w:tcBorders>
              <w:top w:val="nil"/>
            </w:tcBorders>
            <w:vAlign w:val="center"/>
          </w:tcPr>
          <w:p w14:paraId="66AEE43B">
            <w:pPr>
              <w:pStyle w:val="13"/>
              <w:keepNext/>
              <w:spacing w:line="440" w:lineRule="exact"/>
              <w:ind w:left="63" w:right="63"/>
              <w:rPr>
                <w:rFonts w:eastAsia="仿宋_GB2312"/>
                <w:sz w:val="30"/>
                <w:szCs w:val="30"/>
              </w:rPr>
            </w:pPr>
          </w:p>
        </w:tc>
        <w:tc>
          <w:tcPr>
            <w:tcW w:w="1134" w:type="dxa"/>
            <w:tcBorders>
              <w:top w:val="nil"/>
            </w:tcBorders>
            <w:vAlign w:val="center"/>
          </w:tcPr>
          <w:p w14:paraId="6437BB39">
            <w:pPr>
              <w:pStyle w:val="13"/>
              <w:keepNext/>
              <w:spacing w:line="440" w:lineRule="exact"/>
              <w:ind w:left="63" w:right="63"/>
              <w:rPr>
                <w:rFonts w:eastAsia="仿宋_GB2312"/>
                <w:sz w:val="30"/>
                <w:szCs w:val="30"/>
              </w:rPr>
            </w:pPr>
          </w:p>
        </w:tc>
        <w:tc>
          <w:tcPr>
            <w:tcW w:w="4252" w:type="dxa"/>
            <w:tcBorders>
              <w:top w:val="nil"/>
            </w:tcBorders>
            <w:vAlign w:val="center"/>
          </w:tcPr>
          <w:p w14:paraId="5506D08A">
            <w:pPr>
              <w:pStyle w:val="13"/>
              <w:keepNext/>
              <w:spacing w:line="440" w:lineRule="exact"/>
              <w:ind w:left="63" w:right="63"/>
              <w:rPr>
                <w:rFonts w:eastAsia="仿宋_GB2312"/>
                <w:sz w:val="30"/>
                <w:szCs w:val="30"/>
              </w:rPr>
            </w:pPr>
          </w:p>
        </w:tc>
      </w:tr>
      <w:tr w14:paraId="12B15E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nil"/>
            </w:tcBorders>
            <w:vAlign w:val="center"/>
          </w:tcPr>
          <w:p w14:paraId="69828C17">
            <w:pPr>
              <w:pStyle w:val="13"/>
              <w:keepNext/>
              <w:spacing w:line="440" w:lineRule="exact"/>
              <w:ind w:left="63" w:right="63"/>
              <w:rPr>
                <w:rFonts w:eastAsia="仿宋_GB2312"/>
                <w:szCs w:val="30"/>
              </w:rPr>
            </w:pPr>
          </w:p>
        </w:tc>
        <w:tc>
          <w:tcPr>
            <w:tcW w:w="1418" w:type="dxa"/>
            <w:vAlign w:val="center"/>
          </w:tcPr>
          <w:p w14:paraId="22B73D76">
            <w:pPr>
              <w:pStyle w:val="13"/>
              <w:keepNext/>
              <w:spacing w:line="440" w:lineRule="exact"/>
              <w:ind w:left="63" w:right="63"/>
              <w:rPr>
                <w:rFonts w:eastAsia="仿宋_GB2312"/>
                <w:szCs w:val="30"/>
              </w:rPr>
            </w:pPr>
          </w:p>
        </w:tc>
        <w:tc>
          <w:tcPr>
            <w:tcW w:w="1134" w:type="dxa"/>
            <w:vAlign w:val="center"/>
          </w:tcPr>
          <w:p w14:paraId="7A936D20">
            <w:pPr>
              <w:pStyle w:val="13"/>
              <w:keepNext/>
              <w:spacing w:line="440" w:lineRule="exact"/>
              <w:ind w:left="63" w:right="63"/>
              <w:rPr>
                <w:rFonts w:eastAsia="仿宋_GB2312"/>
                <w:sz w:val="30"/>
                <w:szCs w:val="30"/>
              </w:rPr>
            </w:pPr>
          </w:p>
        </w:tc>
        <w:tc>
          <w:tcPr>
            <w:tcW w:w="1134" w:type="dxa"/>
            <w:vAlign w:val="center"/>
          </w:tcPr>
          <w:p w14:paraId="00830CD3">
            <w:pPr>
              <w:pStyle w:val="13"/>
              <w:keepNext/>
              <w:spacing w:line="440" w:lineRule="exact"/>
              <w:ind w:left="63" w:right="63"/>
              <w:rPr>
                <w:rFonts w:eastAsia="仿宋_GB2312"/>
                <w:sz w:val="30"/>
                <w:szCs w:val="30"/>
              </w:rPr>
            </w:pPr>
          </w:p>
        </w:tc>
        <w:tc>
          <w:tcPr>
            <w:tcW w:w="4252" w:type="dxa"/>
            <w:vAlign w:val="center"/>
          </w:tcPr>
          <w:p w14:paraId="7533AFB7">
            <w:pPr>
              <w:pStyle w:val="13"/>
              <w:keepNext/>
              <w:spacing w:line="440" w:lineRule="exact"/>
              <w:ind w:left="63" w:right="63"/>
              <w:rPr>
                <w:rFonts w:eastAsia="仿宋_GB2312"/>
                <w:sz w:val="30"/>
                <w:szCs w:val="30"/>
              </w:rPr>
            </w:pPr>
          </w:p>
        </w:tc>
      </w:tr>
      <w:tr w14:paraId="57FD28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vAlign w:val="center"/>
          </w:tcPr>
          <w:p w14:paraId="418644E4">
            <w:pPr>
              <w:pStyle w:val="13"/>
              <w:keepNext/>
              <w:spacing w:line="440" w:lineRule="exact"/>
              <w:ind w:left="63" w:right="63"/>
              <w:rPr>
                <w:rFonts w:eastAsia="仿宋_GB2312"/>
                <w:szCs w:val="30"/>
              </w:rPr>
            </w:pPr>
            <w:r>
              <w:rPr>
                <w:rFonts w:eastAsia="仿宋_GB2312"/>
                <w:szCs w:val="30"/>
              </w:rPr>
              <w:t>其他人员</w:t>
            </w:r>
          </w:p>
        </w:tc>
        <w:tc>
          <w:tcPr>
            <w:tcW w:w="1418" w:type="dxa"/>
            <w:vAlign w:val="center"/>
          </w:tcPr>
          <w:p w14:paraId="24CFB47D">
            <w:pPr>
              <w:pStyle w:val="13"/>
              <w:keepNext/>
              <w:spacing w:line="440" w:lineRule="exact"/>
              <w:ind w:left="63" w:right="63"/>
              <w:rPr>
                <w:rFonts w:eastAsia="仿宋_GB2312"/>
                <w:szCs w:val="30"/>
              </w:rPr>
            </w:pPr>
          </w:p>
        </w:tc>
        <w:tc>
          <w:tcPr>
            <w:tcW w:w="1134" w:type="dxa"/>
            <w:vAlign w:val="center"/>
          </w:tcPr>
          <w:p w14:paraId="08EEC35D">
            <w:pPr>
              <w:pStyle w:val="13"/>
              <w:keepNext/>
              <w:spacing w:line="440" w:lineRule="exact"/>
              <w:ind w:left="63" w:right="63"/>
              <w:rPr>
                <w:rFonts w:eastAsia="仿宋_GB2312"/>
                <w:sz w:val="30"/>
                <w:szCs w:val="30"/>
              </w:rPr>
            </w:pPr>
          </w:p>
        </w:tc>
        <w:tc>
          <w:tcPr>
            <w:tcW w:w="1134" w:type="dxa"/>
            <w:vAlign w:val="center"/>
          </w:tcPr>
          <w:p w14:paraId="0A22D821">
            <w:pPr>
              <w:pStyle w:val="13"/>
              <w:keepNext/>
              <w:spacing w:line="440" w:lineRule="exact"/>
              <w:ind w:left="63" w:right="63"/>
              <w:rPr>
                <w:rFonts w:eastAsia="仿宋_GB2312"/>
                <w:sz w:val="30"/>
                <w:szCs w:val="30"/>
              </w:rPr>
            </w:pPr>
          </w:p>
        </w:tc>
        <w:tc>
          <w:tcPr>
            <w:tcW w:w="4252" w:type="dxa"/>
            <w:vAlign w:val="center"/>
          </w:tcPr>
          <w:p w14:paraId="3885EA54">
            <w:pPr>
              <w:pStyle w:val="13"/>
              <w:keepNext/>
              <w:spacing w:line="440" w:lineRule="exact"/>
              <w:ind w:left="63" w:right="63"/>
              <w:rPr>
                <w:rFonts w:eastAsia="仿宋_GB2312"/>
                <w:sz w:val="30"/>
                <w:szCs w:val="30"/>
              </w:rPr>
            </w:pPr>
          </w:p>
        </w:tc>
      </w:tr>
      <w:tr w14:paraId="1A817AE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nil"/>
              <w:bottom w:val="nil"/>
            </w:tcBorders>
            <w:vAlign w:val="center"/>
          </w:tcPr>
          <w:p w14:paraId="3E3B41E6">
            <w:pPr>
              <w:pStyle w:val="13"/>
              <w:keepNext/>
              <w:spacing w:line="440" w:lineRule="exact"/>
              <w:ind w:left="63" w:right="63"/>
              <w:rPr>
                <w:rFonts w:eastAsia="仿宋_GB2312"/>
                <w:szCs w:val="30"/>
              </w:rPr>
            </w:pPr>
          </w:p>
        </w:tc>
        <w:tc>
          <w:tcPr>
            <w:tcW w:w="1418" w:type="dxa"/>
            <w:vAlign w:val="center"/>
          </w:tcPr>
          <w:p w14:paraId="3EFE71D6">
            <w:pPr>
              <w:pStyle w:val="13"/>
              <w:keepNext/>
              <w:spacing w:line="440" w:lineRule="exact"/>
              <w:ind w:left="63" w:right="63"/>
              <w:rPr>
                <w:rFonts w:eastAsia="仿宋_GB2312"/>
                <w:szCs w:val="30"/>
              </w:rPr>
            </w:pPr>
          </w:p>
        </w:tc>
        <w:tc>
          <w:tcPr>
            <w:tcW w:w="1134" w:type="dxa"/>
            <w:vAlign w:val="center"/>
          </w:tcPr>
          <w:p w14:paraId="735230A3">
            <w:pPr>
              <w:pStyle w:val="13"/>
              <w:keepNext/>
              <w:spacing w:line="440" w:lineRule="exact"/>
              <w:ind w:left="63" w:right="63"/>
              <w:rPr>
                <w:rFonts w:eastAsia="仿宋_GB2312"/>
                <w:sz w:val="30"/>
                <w:szCs w:val="30"/>
              </w:rPr>
            </w:pPr>
          </w:p>
        </w:tc>
        <w:tc>
          <w:tcPr>
            <w:tcW w:w="1134" w:type="dxa"/>
            <w:vAlign w:val="center"/>
          </w:tcPr>
          <w:p w14:paraId="6DDEE09E">
            <w:pPr>
              <w:pStyle w:val="13"/>
              <w:keepNext/>
              <w:spacing w:line="440" w:lineRule="exact"/>
              <w:ind w:left="63" w:right="63"/>
              <w:rPr>
                <w:rFonts w:eastAsia="仿宋_GB2312"/>
                <w:sz w:val="30"/>
                <w:szCs w:val="30"/>
              </w:rPr>
            </w:pPr>
          </w:p>
        </w:tc>
        <w:tc>
          <w:tcPr>
            <w:tcW w:w="4252" w:type="dxa"/>
            <w:vAlign w:val="center"/>
          </w:tcPr>
          <w:p w14:paraId="20412198">
            <w:pPr>
              <w:pStyle w:val="13"/>
              <w:keepNext/>
              <w:spacing w:line="440" w:lineRule="exact"/>
              <w:ind w:left="63" w:right="63"/>
              <w:rPr>
                <w:rFonts w:eastAsia="仿宋_GB2312"/>
                <w:sz w:val="30"/>
                <w:szCs w:val="30"/>
              </w:rPr>
            </w:pPr>
          </w:p>
        </w:tc>
      </w:tr>
      <w:tr w14:paraId="5A71CBE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9809" w:type="dxa"/>
            <w:gridSpan w:val="5"/>
            <w:tcBorders>
              <w:top w:val="single" w:color="auto" w:sz="6" w:space="0"/>
              <w:bottom w:val="single" w:color="auto" w:sz="6" w:space="0"/>
            </w:tcBorders>
            <w:vAlign w:val="center"/>
          </w:tcPr>
          <w:p w14:paraId="46F5B826">
            <w:pPr>
              <w:pStyle w:val="13"/>
              <w:keepNext/>
              <w:spacing w:line="440" w:lineRule="exact"/>
              <w:ind w:left="63" w:right="63"/>
              <w:rPr>
                <w:rFonts w:eastAsia="仿宋_GB2312"/>
                <w:szCs w:val="30"/>
              </w:rPr>
            </w:pPr>
            <w:r>
              <w:rPr>
                <w:rFonts w:eastAsia="仿宋_GB2312"/>
                <w:szCs w:val="30"/>
              </w:rPr>
              <w:t>二、现场人员</w:t>
            </w:r>
          </w:p>
        </w:tc>
      </w:tr>
      <w:tr w14:paraId="1168110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5295CF9E">
            <w:pPr>
              <w:pStyle w:val="13"/>
              <w:keepNext/>
              <w:spacing w:line="440" w:lineRule="exact"/>
              <w:ind w:left="63" w:right="63"/>
              <w:rPr>
                <w:rFonts w:eastAsia="仿宋_GB2312"/>
                <w:szCs w:val="30"/>
              </w:rPr>
            </w:pPr>
            <w:r>
              <w:rPr>
                <w:rFonts w:eastAsia="仿宋_GB2312"/>
                <w:szCs w:val="30"/>
              </w:rPr>
              <w:t>项目经理</w:t>
            </w:r>
          </w:p>
        </w:tc>
        <w:tc>
          <w:tcPr>
            <w:tcW w:w="1418" w:type="dxa"/>
            <w:vAlign w:val="center"/>
          </w:tcPr>
          <w:p w14:paraId="250C8ECA">
            <w:pPr>
              <w:pStyle w:val="13"/>
              <w:keepNext/>
              <w:spacing w:line="440" w:lineRule="exact"/>
              <w:ind w:left="63" w:right="63"/>
              <w:rPr>
                <w:rFonts w:eastAsia="仿宋_GB2312"/>
                <w:szCs w:val="30"/>
              </w:rPr>
            </w:pPr>
          </w:p>
        </w:tc>
        <w:tc>
          <w:tcPr>
            <w:tcW w:w="1134" w:type="dxa"/>
            <w:vAlign w:val="center"/>
          </w:tcPr>
          <w:p w14:paraId="1623F338">
            <w:pPr>
              <w:pStyle w:val="13"/>
              <w:keepNext/>
              <w:spacing w:line="440" w:lineRule="exact"/>
              <w:ind w:left="63" w:right="63"/>
              <w:rPr>
                <w:rFonts w:eastAsia="仿宋_GB2312"/>
                <w:sz w:val="30"/>
                <w:szCs w:val="30"/>
              </w:rPr>
            </w:pPr>
          </w:p>
        </w:tc>
        <w:tc>
          <w:tcPr>
            <w:tcW w:w="1134" w:type="dxa"/>
            <w:vAlign w:val="center"/>
          </w:tcPr>
          <w:p w14:paraId="641A0263">
            <w:pPr>
              <w:pStyle w:val="13"/>
              <w:keepNext/>
              <w:spacing w:line="440" w:lineRule="exact"/>
              <w:ind w:left="63" w:right="63"/>
              <w:rPr>
                <w:rFonts w:eastAsia="仿宋_GB2312"/>
                <w:sz w:val="30"/>
                <w:szCs w:val="30"/>
              </w:rPr>
            </w:pPr>
          </w:p>
        </w:tc>
        <w:tc>
          <w:tcPr>
            <w:tcW w:w="4252" w:type="dxa"/>
            <w:vAlign w:val="center"/>
          </w:tcPr>
          <w:p w14:paraId="760C18A2">
            <w:pPr>
              <w:pStyle w:val="13"/>
              <w:keepNext/>
              <w:spacing w:line="440" w:lineRule="exact"/>
              <w:ind w:left="63" w:right="63"/>
              <w:rPr>
                <w:rFonts w:eastAsia="仿宋_GB2312"/>
                <w:sz w:val="30"/>
                <w:szCs w:val="30"/>
              </w:rPr>
            </w:pPr>
          </w:p>
        </w:tc>
      </w:tr>
      <w:tr w14:paraId="355275C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7B989BAF">
            <w:pPr>
              <w:pStyle w:val="13"/>
              <w:keepNext/>
              <w:spacing w:line="440" w:lineRule="exact"/>
              <w:ind w:left="63" w:right="63"/>
              <w:rPr>
                <w:rFonts w:eastAsia="仿宋_GB2312"/>
                <w:szCs w:val="30"/>
              </w:rPr>
            </w:pPr>
            <w:r>
              <w:rPr>
                <w:rFonts w:eastAsia="仿宋_GB2312"/>
                <w:szCs w:val="30"/>
              </w:rPr>
              <w:t>项目副经理</w:t>
            </w:r>
          </w:p>
        </w:tc>
        <w:tc>
          <w:tcPr>
            <w:tcW w:w="1418" w:type="dxa"/>
            <w:vAlign w:val="center"/>
          </w:tcPr>
          <w:p w14:paraId="7BCB7C8D">
            <w:pPr>
              <w:pStyle w:val="13"/>
              <w:keepNext/>
              <w:spacing w:line="440" w:lineRule="exact"/>
              <w:ind w:left="63" w:right="63"/>
              <w:rPr>
                <w:rFonts w:eastAsia="仿宋_GB2312"/>
                <w:szCs w:val="30"/>
              </w:rPr>
            </w:pPr>
          </w:p>
        </w:tc>
        <w:tc>
          <w:tcPr>
            <w:tcW w:w="1134" w:type="dxa"/>
            <w:vAlign w:val="center"/>
          </w:tcPr>
          <w:p w14:paraId="7BBBC96C">
            <w:pPr>
              <w:pStyle w:val="13"/>
              <w:keepNext/>
              <w:spacing w:line="440" w:lineRule="exact"/>
              <w:ind w:left="63" w:right="63"/>
              <w:rPr>
                <w:rFonts w:eastAsia="仿宋_GB2312"/>
                <w:sz w:val="30"/>
                <w:szCs w:val="30"/>
              </w:rPr>
            </w:pPr>
          </w:p>
        </w:tc>
        <w:tc>
          <w:tcPr>
            <w:tcW w:w="1134" w:type="dxa"/>
            <w:vAlign w:val="center"/>
          </w:tcPr>
          <w:p w14:paraId="5F9088F5">
            <w:pPr>
              <w:pStyle w:val="13"/>
              <w:keepNext/>
              <w:spacing w:line="440" w:lineRule="exact"/>
              <w:ind w:left="63" w:right="63"/>
              <w:rPr>
                <w:rFonts w:eastAsia="仿宋_GB2312"/>
                <w:sz w:val="30"/>
                <w:szCs w:val="30"/>
              </w:rPr>
            </w:pPr>
          </w:p>
        </w:tc>
        <w:tc>
          <w:tcPr>
            <w:tcW w:w="4252" w:type="dxa"/>
            <w:vAlign w:val="center"/>
          </w:tcPr>
          <w:p w14:paraId="5E5EACFE">
            <w:pPr>
              <w:pStyle w:val="13"/>
              <w:keepNext/>
              <w:spacing w:line="440" w:lineRule="exact"/>
              <w:ind w:left="63" w:right="63"/>
              <w:rPr>
                <w:rFonts w:eastAsia="仿宋_GB2312"/>
                <w:sz w:val="30"/>
                <w:szCs w:val="30"/>
              </w:rPr>
            </w:pPr>
          </w:p>
        </w:tc>
      </w:tr>
      <w:tr w14:paraId="5BC7F54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14DD64AA">
            <w:pPr>
              <w:pStyle w:val="13"/>
              <w:keepNext/>
              <w:spacing w:line="440" w:lineRule="exact"/>
              <w:ind w:left="63" w:right="63"/>
              <w:rPr>
                <w:rFonts w:eastAsia="仿宋_GB2312"/>
                <w:szCs w:val="30"/>
              </w:rPr>
            </w:pPr>
            <w:r>
              <w:rPr>
                <w:rFonts w:eastAsia="仿宋_GB2312"/>
                <w:szCs w:val="30"/>
              </w:rPr>
              <w:t>技术负责人</w:t>
            </w:r>
          </w:p>
        </w:tc>
        <w:tc>
          <w:tcPr>
            <w:tcW w:w="1418" w:type="dxa"/>
            <w:vAlign w:val="center"/>
          </w:tcPr>
          <w:p w14:paraId="22442268">
            <w:pPr>
              <w:pStyle w:val="13"/>
              <w:keepNext/>
              <w:spacing w:line="440" w:lineRule="exact"/>
              <w:ind w:left="63" w:right="63"/>
              <w:rPr>
                <w:rFonts w:eastAsia="仿宋_GB2312"/>
                <w:szCs w:val="30"/>
              </w:rPr>
            </w:pPr>
          </w:p>
        </w:tc>
        <w:tc>
          <w:tcPr>
            <w:tcW w:w="1134" w:type="dxa"/>
            <w:vAlign w:val="center"/>
          </w:tcPr>
          <w:p w14:paraId="67C63491">
            <w:pPr>
              <w:pStyle w:val="13"/>
              <w:keepNext/>
              <w:spacing w:line="440" w:lineRule="exact"/>
              <w:ind w:left="63" w:right="63"/>
              <w:rPr>
                <w:rFonts w:eastAsia="仿宋_GB2312"/>
                <w:sz w:val="30"/>
                <w:szCs w:val="30"/>
              </w:rPr>
            </w:pPr>
          </w:p>
        </w:tc>
        <w:tc>
          <w:tcPr>
            <w:tcW w:w="1134" w:type="dxa"/>
            <w:vAlign w:val="center"/>
          </w:tcPr>
          <w:p w14:paraId="44D1FBCD">
            <w:pPr>
              <w:pStyle w:val="13"/>
              <w:keepNext/>
              <w:spacing w:line="440" w:lineRule="exact"/>
              <w:ind w:left="63" w:right="63"/>
              <w:rPr>
                <w:rFonts w:eastAsia="仿宋_GB2312"/>
                <w:sz w:val="30"/>
                <w:szCs w:val="30"/>
              </w:rPr>
            </w:pPr>
          </w:p>
        </w:tc>
        <w:tc>
          <w:tcPr>
            <w:tcW w:w="4252" w:type="dxa"/>
            <w:vAlign w:val="center"/>
          </w:tcPr>
          <w:p w14:paraId="4E565C4E">
            <w:pPr>
              <w:pStyle w:val="13"/>
              <w:keepNext/>
              <w:spacing w:line="440" w:lineRule="exact"/>
              <w:ind w:left="63" w:right="63"/>
              <w:rPr>
                <w:rFonts w:eastAsia="仿宋_GB2312"/>
                <w:sz w:val="30"/>
                <w:szCs w:val="30"/>
              </w:rPr>
            </w:pPr>
          </w:p>
        </w:tc>
      </w:tr>
      <w:tr w14:paraId="4F87B89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7B96DCEB">
            <w:pPr>
              <w:pStyle w:val="13"/>
              <w:keepNext/>
              <w:spacing w:line="440" w:lineRule="exact"/>
              <w:ind w:left="63" w:right="63"/>
              <w:rPr>
                <w:rFonts w:eastAsia="仿宋_GB2312"/>
                <w:szCs w:val="30"/>
              </w:rPr>
            </w:pPr>
            <w:r>
              <w:rPr>
                <w:rFonts w:hint="eastAsia" w:eastAsia="仿宋_GB2312"/>
                <w:szCs w:val="30"/>
              </w:rPr>
              <w:t>合同管理</w:t>
            </w:r>
          </w:p>
        </w:tc>
        <w:tc>
          <w:tcPr>
            <w:tcW w:w="1418" w:type="dxa"/>
            <w:vAlign w:val="center"/>
          </w:tcPr>
          <w:p w14:paraId="2FBC8713">
            <w:pPr>
              <w:pStyle w:val="13"/>
              <w:keepNext/>
              <w:spacing w:line="440" w:lineRule="exact"/>
              <w:ind w:left="63" w:right="63"/>
              <w:rPr>
                <w:rFonts w:eastAsia="仿宋_GB2312"/>
                <w:szCs w:val="30"/>
              </w:rPr>
            </w:pPr>
          </w:p>
        </w:tc>
        <w:tc>
          <w:tcPr>
            <w:tcW w:w="1134" w:type="dxa"/>
            <w:vAlign w:val="center"/>
          </w:tcPr>
          <w:p w14:paraId="76897ED0">
            <w:pPr>
              <w:pStyle w:val="13"/>
              <w:keepNext/>
              <w:spacing w:line="440" w:lineRule="exact"/>
              <w:ind w:left="63" w:right="63"/>
              <w:rPr>
                <w:rFonts w:eastAsia="仿宋_GB2312"/>
                <w:sz w:val="30"/>
                <w:szCs w:val="30"/>
              </w:rPr>
            </w:pPr>
          </w:p>
        </w:tc>
        <w:tc>
          <w:tcPr>
            <w:tcW w:w="1134" w:type="dxa"/>
            <w:vAlign w:val="center"/>
          </w:tcPr>
          <w:p w14:paraId="38B31EF5">
            <w:pPr>
              <w:pStyle w:val="13"/>
              <w:keepNext/>
              <w:spacing w:line="440" w:lineRule="exact"/>
              <w:ind w:left="63" w:right="63"/>
              <w:rPr>
                <w:rFonts w:eastAsia="仿宋_GB2312"/>
                <w:sz w:val="30"/>
                <w:szCs w:val="30"/>
              </w:rPr>
            </w:pPr>
          </w:p>
        </w:tc>
        <w:tc>
          <w:tcPr>
            <w:tcW w:w="4252" w:type="dxa"/>
            <w:vAlign w:val="center"/>
          </w:tcPr>
          <w:p w14:paraId="458FA6A3">
            <w:pPr>
              <w:pStyle w:val="13"/>
              <w:keepNext/>
              <w:spacing w:line="440" w:lineRule="exact"/>
              <w:ind w:left="63" w:right="63"/>
              <w:rPr>
                <w:rFonts w:eastAsia="仿宋_GB2312"/>
                <w:sz w:val="30"/>
                <w:szCs w:val="30"/>
              </w:rPr>
            </w:pPr>
          </w:p>
        </w:tc>
      </w:tr>
      <w:tr w14:paraId="3D08B5F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1A2E57EC">
            <w:pPr>
              <w:pStyle w:val="13"/>
              <w:keepNext/>
              <w:spacing w:line="440" w:lineRule="exact"/>
              <w:ind w:left="63" w:right="63"/>
              <w:rPr>
                <w:rFonts w:eastAsia="仿宋_GB2312"/>
                <w:szCs w:val="30"/>
              </w:rPr>
            </w:pPr>
            <w:r>
              <w:rPr>
                <w:rFonts w:hint="eastAsia" w:eastAsia="仿宋_GB2312"/>
                <w:szCs w:val="30"/>
              </w:rPr>
              <w:t>施工</w:t>
            </w:r>
            <w:r>
              <w:rPr>
                <w:rFonts w:eastAsia="仿宋_GB2312"/>
                <w:szCs w:val="30"/>
              </w:rPr>
              <w:t>管理</w:t>
            </w:r>
          </w:p>
        </w:tc>
        <w:tc>
          <w:tcPr>
            <w:tcW w:w="1418" w:type="dxa"/>
            <w:vAlign w:val="center"/>
          </w:tcPr>
          <w:p w14:paraId="2E40F77E">
            <w:pPr>
              <w:pStyle w:val="13"/>
              <w:keepNext/>
              <w:spacing w:line="440" w:lineRule="exact"/>
              <w:ind w:left="63" w:right="63"/>
              <w:rPr>
                <w:rFonts w:eastAsia="仿宋_GB2312"/>
                <w:szCs w:val="30"/>
              </w:rPr>
            </w:pPr>
          </w:p>
        </w:tc>
        <w:tc>
          <w:tcPr>
            <w:tcW w:w="1134" w:type="dxa"/>
            <w:vAlign w:val="center"/>
          </w:tcPr>
          <w:p w14:paraId="7FFCDC62">
            <w:pPr>
              <w:pStyle w:val="13"/>
              <w:keepNext/>
              <w:spacing w:line="440" w:lineRule="exact"/>
              <w:ind w:left="63" w:right="63"/>
              <w:rPr>
                <w:rFonts w:eastAsia="仿宋_GB2312"/>
                <w:sz w:val="30"/>
                <w:szCs w:val="30"/>
              </w:rPr>
            </w:pPr>
          </w:p>
        </w:tc>
        <w:tc>
          <w:tcPr>
            <w:tcW w:w="1134" w:type="dxa"/>
            <w:vAlign w:val="center"/>
          </w:tcPr>
          <w:p w14:paraId="3D094B87">
            <w:pPr>
              <w:pStyle w:val="13"/>
              <w:keepNext/>
              <w:spacing w:line="440" w:lineRule="exact"/>
              <w:ind w:left="63" w:right="63"/>
              <w:rPr>
                <w:rFonts w:eastAsia="仿宋_GB2312"/>
                <w:sz w:val="30"/>
                <w:szCs w:val="30"/>
              </w:rPr>
            </w:pPr>
          </w:p>
        </w:tc>
        <w:tc>
          <w:tcPr>
            <w:tcW w:w="4252" w:type="dxa"/>
            <w:vAlign w:val="center"/>
          </w:tcPr>
          <w:p w14:paraId="003B0FDF">
            <w:pPr>
              <w:pStyle w:val="13"/>
              <w:keepNext/>
              <w:spacing w:line="440" w:lineRule="exact"/>
              <w:ind w:left="63" w:right="63"/>
              <w:rPr>
                <w:rFonts w:eastAsia="仿宋_GB2312"/>
                <w:sz w:val="30"/>
                <w:szCs w:val="30"/>
              </w:rPr>
            </w:pPr>
          </w:p>
        </w:tc>
      </w:tr>
      <w:tr w14:paraId="3BB0E1B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6CBCB1F3">
            <w:pPr>
              <w:pStyle w:val="13"/>
              <w:keepNext/>
              <w:spacing w:line="440" w:lineRule="exact"/>
              <w:ind w:left="63" w:right="63"/>
              <w:rPr>
                <w:rFonts w:eastAsia="仿宋_GB2312"/>
                <w:szCs w:val="30"/>
              </w:rPr>
            </w:pPr>
            <w:r>
              <w:rPr>
                <w:rFonts w:hint="eastAsia" w:eastAsia="仿宋_GB2312"/>
                <w:szCs w:val="30"/>
              </w:rPr>
              <w:t>材料</w:t>
            </w:r>
            <w:r>
              <w:rPr>
                <w:rFonts w:eastAsia="仿宋_GB2312"/>
                <w:szCs w:val="30"/>
              </w:rPr>
              <w:t>管理</w:t>
            </w:r>
          </w:p>
        </w:tc>
        <w:tc>
          <w:tcPr>
            <w:tcW w:w="1418" w:type="dxa"/>
            <w:vAlign w:val="center"/>
          </w:tcPr>
          <w:p w14:paraId="04B3A15C">
            <w:pPr>
              <w:pStyle w:val="13"/>
              <w:keepNext/>
              <w:spacing w:line="440" w:lineRule="exact"/>
              <w:ind w:left="63" w:right="63"/>
              <w:rPr>
                <w:rFonts w:eastAsia="仿宋_GB2312"/>
                <w:szCs w:val="30"/>
              </w:rPr>
            </w:pPr>
          </w:p>
        </w:tc>
        <w:tc>
          <w:tcPr>
            <w:tcW w:w="1134" w:type="dxa"/>
            <w:vAlign w:val="center"/>
          </w:tcPr>
          <w:p w14:paraId="455F1E3C">
            <w:pPr>
              <w:pStyle w:val="13"/>
              <w:keepNext/>
              <w:spacing w:line="440" w:lineRule="exact"/>
              <w:ind w:left="63" w:right="63"/>
              <w:rPr>
                <w:rFonts w:eastAsia="仿宋_GB2312"/>
                <w:sz w:val="30"/>
                <w:szCs w:val="30"/>
              </w:rPr>
            </w:pPr>
          </w:p>
        </w:tc>
        <w:tc>
          <w:tcPr>
            <w:tcW w:w="1134" w:type="dxa"/>
            <w:vAlign w:val="center"/>
          </w:tcPr>
          <w:p w14:paraId="58B4A429">
            <w:pPr>
              <w:pStyle w:val="13"/>
              <w:keepNext/>
              <w:spacing w:line="440" w:lineRule="exact"/>
              <w:ind w:left="63" w:right="63"/>
              <w:rPr>
                <w:rFonts w:eastAsia="仿宋_GB2312"/>
                <w:sz w:val="30"/>
                <w:szCs w:val="30"/>
              </w:rPr>
            </w:pPr>
          </w:p>
        </w:tc>
        <w:tc>
          <w:tcPr>
            <w:tcW w:w="4252" w:type="dxa"/>
            <w:vAlign w:val="center"/>
          </w:tcPr>
          <w:p w14:paraId="26CC13FD">
            <w:pPr>
              <w:pStyle w:val="13"/>
              <w:keepNext/>
              <w:spacing w:line="440" w:lineRule="exact"/>
              <w:ind w:left="63" w:right="63"/>
              <w:rPr>
                <w:rFonts w:eastAsia="仿宋_GB2312"/>
                <w:sz w:val="30"/>
                <w:szCs w:val="30"/>
              </w:rPr>
            </w:pPr>
          </w:p>
        </w:tc>
      </w:tr>
      <w:tr w14:paraId="3685FC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7EA3D73A">
            <w:pPr>
              <w:pStyle w:val="13"/>
              <w:keepNext/>
              <w:spacing w:line="440" w:lineRule="exact"/>
              <w:ind w:left="63" w:right="63"/>
              <w:rPr>
                <w:rFonts w:eastAsia="仿宋_GB2312"/>
                <w:szCs w:val="30"/>
              </w:rPr>
            </w:pPr>
            <w:r>
              <w:rPr>
                <w:rFonts w:eastAsia="仿宋_GB2312"/>
                <w:szCs w:val="30"/>
              </w:rPr>
              <w:t>质量管理</w:t>
            </w:r>
          </w:p>
        </w:tc>
        <w:tc>
          <w:tcPr>
            <w:tcW w:w="1418" w:type="dxa"/>
            <w:vAlign w:val="center"/>
          </w:tcPr>
          <w:p w14:paraId="3852A8FE">
            <w:pPr>
              <w:pStyle w:val="13"/>
              <w:keepNext/>
              <w:spacing w:line="440" w:lineRule="exact"/>
              <w:ind w:left="63" w:right="63"/>
              <w:rPr>
                <w:rFonts w:eastAsia="仿宋_GB2312"/>
                <w:szCs w:val="30"/>
              </w:rPr>
            </w:pPr>
          </w:p>
        </w:tc>
        <w:tc>
          <w:tcPr>
            <w:tcW w:w="1134" w:type="dxa"/>
            <w:vAlign w:val="center"/>
          </w:tcPr>
          <w:p w14:paraId="495BCDFE">
            <w:pPr>
              <w:pStyle w:val="13"/>
              <w:keepNext/>
              <w:spacing w:line="440" w:lineRule="exact"/>
              <w:ind w:left="63" w:right="63"/>
              <w:rPr>
                <w:rFonts w:eastAsia="仿宋_GB2312"/>
                <w:sz w:val="30"/>
                <w:szCs w:val="30"/>
              </w:rPr>
            </w:pPr>
          </w:p>
        </w:tc>
        <w:tc>
          <w:tcPr>
            <w:tcW w:w="1134" w:type="dxa"/>
            <w:vAlign w:val="center"/>
          </w:tcPr>
          <w:p w14:paraId="4FF8C1E8">
            <w:pPr>
              <w:pStyle w:val="13"/>
              <w:keepNext/>
              <w:spacing w:line="440" w:lineRule="exact"/>
              <w:ind w:left="63" w:right="63"/>
              <w:rPr>
                <w:rFonts w:eastAsia="仿宋_GB2312"/>
                <w:sz w:val="30"/>
                <w:szCs w:val="30"/>
              </w:rPr>
            </w:pPr>
          </w:p>
        </w:tc>
        <w:tc>
          <w:tcPr>
            <w:tcW w:w="4252" w:type="dxa"/>
            <w:vAlign w:val="center"/>
          </w:tcPr>
          <w:p w14:paraId="451F0EE7">
            <w:pPr>
              <w:pStyle w:val="13"/>
              <w:keepNext/>
              <w:spacing w:line="440" w:lineRule="exact"/>
              <w:ind w:left="63" w:right="63"/>
              <w:rPr>
                <w:rFonts w:eastAsia="仿宋_GB2312"/>
                <w:sz w:val="30"/>
                <w:szCs w:val="30"/>
              </w:rPr>
            </w:pPr>
          </w:p>
        </w:tc>
      </w:tr>
      <w:tr w14:paraId="519E23A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388896F8">
            <w:pPr>
              <w:pStyle w:val="13"/>
              <w:keepNext/>
              <w:spacing w:line="440" w:lineRule="exact"/>
              <w:ind w:left="63" w:right="63"/>
              <w:rPr>
                <w:rFonts w:eastAsia="仿宋_GB2312"/>
                <w:szCs w:val="30"/>
              </w:rPr>
            </w:pPr>
            <w:r>
              <w:rPr>
                <w:rFonts w:hint="eastAsia" w:eastAsia="仿宋_GB2312"/>
                <w:szCs w:val="30"/>
              </w:rPr>
              <w:t>安全</w:t>
            </w:r>
            <w:r>
              <w:rPr>
                <w:rFonts w:eastAsia="仿宋_GB2312"/>
                <w:szCs w:val="30"/>
              </w:rPr>
              <w:t>管理</w:t>
            </w:r>
          </w:p>
        </w:tc>
        <w:tc>
          <w:tcPr>
            <w:tcW w:w="1418" w:type="dxa"/>
            <w:vAlign w:val="center"/>
          </w:tcPr>
          <w:p w14:paraId="537538DF">
            <w:pPr>
              <w:pStyle w:val="13"/>
              <w:keepNext/>
              <w:spacing w:line="440" w:lineRule="exact"/>
              <w:ind w:left="63" w:right="63"/>
              <w:rPr>
                <w:rFonts w:eastAsia="仿宋_GB2312"/>
                <w:szCs w:val="30"/>
              </w:rPr>
            </w:pPr>
          </w:p>
        </w:tc>
        <w:tc>
          <w:tcPr>
            <w:tcW w:w="1134" w:type="dxa"/>
            <w:vAlign w:val="center"/>
          </w:tcPr>
          <w:p w14:paraId="15CD76A3">
            <w:pPr>
              <w:pStyle w:val="13"/>
              <w:keepNext/>
              <w:spacing w:line="440" w:lineRule="exact"/>
              <w:ind w:left="63" w:right="63"/>
              <w:rPr>
                <w:rFonts w:eastAsia="仿宋_GB2312"/>
                <w:sz w:val="30"/>
                <w:szCs w:val="30"/>
              </w:rPr>
            </w:pPr>
          </w:p>
        </w:tc>
        <w:tc>
          <w:tcPr>
            <w:tcW w:w="1134" w:type="dxa"/>
            <w:vAlign w:val="center"/>
          </w:tcPr>
          <w:p w14:paraId="25ACFF80">
            <w:pPr>
              <w:pStyle w:val="13"/>
              <w:keepNext/>
              <w:spacing w:line="440" w:lineRule="exact"/>
              <w:ind w:left="63" w:right="63"/>
              <w:rPr>
                <w:rFonts w:eastAsia="仿宋_GB2312"/>
                <w:sz w:val="30"/>
                <w:szCs w:val="30"/>
              </w:rPr>
            </w:pPr>
          </w:p>
        </w:tc>
        <w:tc>
          <w:tcPr>
            <w:tcW w:w="4252" w:type="dxa"/>
            <w:vAlign w:val="center"/>
          </w:tcPr>
          <w:p w14:paraId="2C39AD6D">
            <w:pPr>
              <w:pStyle w:val="13"/>
              <w:keepNext/>
              <w:spacing w:line="440" w:lineRule="exact"/>
              <w:ind w:left="63" w:right="63"/>
              <w:rPr>
                <w:rFonts w:eastAsia="仿宋_GB2312"/>
                <w:sz w:val="30"/>
                <w:szCs w:val="30"/>
              </w:rPr>
            </w:pPr>
          </w:p>
        </w:tc>
      </w:tr>
      <w:tr w14:paraId="763C459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7B5D2E18">
            <w:pPr>
              <w:pStyle w:val="13"/>
              <w:keepNext/>
              <w:spacing w:line="440" w:lineRule="exact"/>
              <w:ind w:left="63" w:right="63"/>
              <w:rPr>
                <w:rFonts w:eastAsia="仿宋_GB2312"/>
                <w:szCs w:val="30"/>
              </w:rPr>
            </w:pPr>
            <w:r>
              <w:rPr>
                <w:rFonts w:hint="eastAsia" w:eastAsia="仿宋_GB2312"/>
                <w:szCs w:val="30"/>
              </w:rPr>
              <w:t>财务管理</w:t>
            </w:r>
          </w:p>
        </w:tc>
        <w:tc>
          <w:tcPr>
            <w:tcW w:w="1418" w:type="dxa"/>
            <w:vAlign w:val="center"/>
          </w:tcPr>
          <w:p w14:paraId="6867DE1A">
            <w:pPr>
              <w:pStyle w:val="13"/>
              <w:keepNext/>
              <w:spacing w:line="440" w:lineRule="exact"/>
              <w:ind w:left="63" w:right="63"/>
              <w:rPr>
                <w:rFonts w:eastAsia="仿宋_GB2312"/>
                <w:szCs w:val="30"/>
              </w:rPr>
            </w:pPr>
          </w:p>
        </w:tc>
        <w:tc>
          <w:tcPr>
            <w:tcW w:w="1134" w:type="dxa"/>
            <w:vAlign w:val="center"/>
          </w:tcPr>
          <w:p w14:paraId="1FE6BE41">
            <w:pPr>
              <w:pStyle w:val="13"/>
              <w:keepNext/>
              <w:spacing w:line="440" w:lineRule="exact"/>
              <w:ind w:left="63" w:right="63"/>
              <w:rPr>
                <w:rFonts w:eastAsia="仿宋_GB2312"/>
                <w:sz w:val="30"/>
                <w:szCs w:val="30"/>
              </w:rPr>
            </w:pPr>
          </w:p>
        </w:tc>
        <w:tc>
          <w:tcPr>
            <w:tcW w:w="1134" w:type="dxa"/>
            <w:vAlign w:val="center"/>
          </w:tcPr>
          <w:p w14:paraId="508692EB">
            <w:pPr>
              <w:pStyle w:val="13"/>
              <w:keepNext/>
              <w:spacing w:line="440" w:lineRule="exact"/>
              <w:ind w:left="63" w:right="63"/>
              <w:rPr>
                <w:rFonts w:eastAsia="仿宋_GB2312"/>
                <w:sz w:val="30"/>
                <w:szCs w:val="30"/>
              </w:rPr>
            </w:pPr>
          </w:p>
        </w:tc>
        <w:tc>
          <w:tcPr>
            <w:tcW w:w="4252" w:type="dxa"/>
            <w:vAlign w:val="center"/>
          </w:tcPr>
          <w:p w14:paraId="7DB924B7">
            <w:pPr>
              <w:pStyle w:val="13"/>
              <w:keepNext/>
              <w:spacing w:line="440" w:lineRule="exact"/>
              <w:ind w:left="63" w:right="63"/>
              <w:rPr>
                <w:rFonts w:eastAsia="仿宋_GB2312"/>
                <w:sz w:val="30"/>
                <w:szCs w:val="30"/>
              </w:rPr>
            </w:pPr>
          </w:p>
        </w:tc>
      </w:tr>
      <w:tr w14:paraId="4F14BB4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107058B8">
            <w:pPr>
              <w:pStyle w:val="13"/>
              <w:keepNext/>
              <w:spacing w:line="440" w:lineRule="exact"/>
              <w:ind w:left="63" w:right="63"/>
              <w:rPr>
                <w:rFonts w:eastAsia="仿宋_GB2312"/>
                <w:szCs w:val="30"/>
              </w:rPr>
            </w:pPr>
            <w:r>
              <w:rPr>
                <w:rFonts w:hint="eastAsia" w:eastAsia="仿宋_GB2312"/>
                <w:szCs w:val="30"/>
              </w:rPr>
              <w:t>标准</w:t>
            </w:r>
            <w:r>
              <w:rPr>
                <w:rFonts w:eastAsia="仿宋_GB2312"/>
                <w:szCs w:val="30"/>
              </w:rPr>
              <w:t>管理</w:t>
            </w:r>
          </w:p>
        </w:tc>
        <w:tc>
          <w:tcPr>
            <w:tcW w:w="1418" w:type="dxa"/>
            <w:vAlign w:val="center"/>
          </w:tcPr>
          <w:p w14:paraId="6895BF69">
            <w:pPr>
              <w:pStyle w:val="13"/>
              <w:keepNext/>
              <w:spacing w:line="440" w:lineRule="exact"/>
              <w:ind w:left="63" w:right="63"/>
              <w:rPr>
                <w:rFonts w:eastAsia="仿宋_GB2312"/>
                <w:szCs w:val="30"/>
              </w:rPr>
            </w:pPr>
          </w:p>
        </w:tc>
        <w:tc>
          <w:tcPr>
            <w:tcW w:w="1134" w:type="dxa"/>
            <w:vAlign w:val="center"/>
          </w:tcPr>
          <w:p w14:paraId="199CBA9F">
            <w:pPr>
              <w:pStyle w:val="13"/>
              <w:keepNext/>
              <w:spacing w:line="440" w:lineRule="exact"/>
              <w:ind w:left="63" w:right="63"/>
              <w:rPr>
                <w:rFonts w:eastAsia="仿宋_GB2312"/>
                <w:sz w:val="30"/>
                <w:szCs w:val="30"/>
              </w:rPr>
            </w:pPr>
          </w:p>
        </w:tc>
        <w:tc>
          <w:tcPr>
            <w:tcW w:w="1134" w:type="dxa"/>
            <w:vAlign w:val="center"/>
          </w:tcPr>
          <w:p w14:paraId="01247AB2">
            <w:pPr>
              <w:pStyle w:val="13"/>
              <w:keepNext/>
              <w:spacing w:line="440" w:lineRule="exact"/>
              <w:ind w:left="63" w:right="63"/>
              <w:rPr>
                <w:rFonts w:eastAsia="仿宋_GB2312"/>
                <w:sz w:val="30"/>
                <w:szCs w:val="30"/>
              </w:rPr>
            </w:pPr>
          </w:p>
        </w:tc>
        <w:tc>
          <w:tcPr>
            <w:tcW w:w="4252" w:type="dxa"/>
            <w:vAlign w:val="center"/>
          </w:tcPr>
          <w:p w14:paraId="36FAC4FA">
            <w:pPr>
              <w:pStyle w:val="13"/>
              <w:keepNext/>
              <w:spacing w:line="440" w:lineRule="exact"/>
              <w:ind w:left="63" w:right="63"/>
              <w:rPr>
                <w:rFonts w:eastAsia="仿宋_GB2312"/>
                <w:sz w:val="30"/>
                <w:szCs w:val="30"/>
              </w:rPr>
            </w:pPr>
          </w:p>
        </w:tc>
      </w:tr>
      <w:tr w14:paraId="6E72106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0A556FFA">
            <w:pPr>
              <w:pStyle w:val="13"/>
              <w:keepNext/>
              <w:spacing w:line="440" w:lineRule="exact"/>
              <w:ind w:left="63" w:right="63"/>
              <w:rPr>
                <w:rFonts w:eastAsia="仿宋_GB2312"/>
                <w:szCs w:val="30"/>
              </w:rPr>
            </w:pPr>
            <w:r>
              <w:rPr>
                <w:rFonts w:hint="eastAsia" w:eastAsia="仿宋_GB2312"/>
                <w:szCs w:val="30"/>
              </w:rPr>
              <w:t>机械管理</w:t>
            </w:r>
          </w:p>
        </w:tc>
        <w:tc>
          <w:tcPr>
            <w:tcW w:w="1418" w:type="dxa"/>
            <w:vAlign w:val="center"/>
          </w:tcPr>
          <w:p w14:paraId="5D6CFB6F">
            <w:pPr>
              <w:pStyle w:val="13"/>
              <w:keepNext/>
              <w:spacing w:line="440" w:lineRule="exact"/>
              <w:ind w:left="63" w:right="63"/>
              <w:rPr>
                <w:rFonts w:eastAsia="仿宋_GB2312"/>
                <w:szCs w:val="30"/>
              </w:rPr>
            </w:pPr>
          </w:p>
        </w:tc>
        <w:tc>
          <w:tcPr>
            <w:tcW w:w="1134" w:type="dxa"/>
            <w:vAlign w:val="center"/>
          </w:tcPr>
          <w:p w14:paraId="3DC186F9">
            <w:pPr>
              <w:pStyle w:val="13"/>
              <w:keepNext/>
              <w:spacing w:line="440" w:lineRule="exact"/>
              <w:ind w:left="63" w:right="63"/>
              <w:rPr>
                <w:rFonts w:eastAsia="仿宋_GB2312"/>
                <w:sz w:val="30"/>
                <w:szCs w:val="30"/>
              </w:rPr>
            </w:pPr>
          </w:p>
        </w:tc>
        <w:tc>
          <w:tcPr>
            <w:tcW w:w="1134" w:type="dxa"/>
            <w:vAlign w:val="center"/>
          </w:tcPr>
          <w:p w14:paraId="12B553BE">
            <w:pPr>
              <w:pStyle w:val="13"/>
              <w:keepNext/>
              <w:spacing w:line="440" w:lineRule="exact"/>
              <w:ind w:left="63" w:right="63"/>
              <w:rPr>
                <w:rFonts w:eastAsia="仿宋_GB2312"/>
                <w:sz w:val="30"/>
                <w:szCs w:val="30"/>
              </w:rPr>
            </w:pPr>
          </w:p>
        </w:tc>
        <w:tc>
          <w:tcPr>
            <w:tcW w:w="4252" w:type="dxa"/>
            <w:vAlign w:val="center"/>
          </w:tcPr>
          <w:p w14:paraId="034B75B5">
            <w:pPr>
              <w:pStyle w:val="13"/>
              <w:keepNext/>
              <w:spacing w:line="440" w:lineRule="exact"/>
              <w:ind w:left="63" w:right="63"/>
              <w:rPr>
                <w:rFonts w:eastAsia="仿宋_GB2312"/>
                <w:sz w:val="30"/>
                <w:szCs w:val="30"/>
              </w:rPr>
            </w:pPr>
          </w:p>
        </w:tc>
      </w:tr>
      <w:tr w14:paraId="4DDFC49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5C5F7CE4">
            <w:pPr>
              <w:pStyle w:val="13"/>
              <w:keepNext/>
              <w:spacing w:line="440" w:lineRule="exact"/>
              <w:ind w:left="63" w:right="63"/>
              <w:rPr>
                <w:rFonts w:eastAsia="仿宋_GB2312"/>
                <w:szCs w:val="30"/>
              </w:rPr>
            </w:pPr>
            <w:r>
              <w:rPr>
                <w:rFonts w:hint="eastAsia" w:eastAsia="仿宋_GB2312"/>
                <w:szCs w:val="30"/>
              </w:rPr>
              <w:t>劳务管理</w:t>
            </w:r>
          </w:p>
        </w:tc>
        <w:tc>
          <w:tcPr>
            <w:tcW w:w="1418" w:type="dxa"/>
            <w:vAlign w:val="center"/>
          </w:tcPr>
          <w:p w14:paraId="3F11BA19">
            <w:pPr>
              <w:pStyle w:val="13"/>
              <w:keepNext/>
              <w:spacing w:line="440" w:lineRule="exact"/>
              <w:ind w:left="63" w:right="63"/>
              <w:rPr>
                <w:rFonts w:eastAsia="仿宋_GB2312"/>
                <w:szCs w:val="30"/>
              </w:rPr>
            </w:pPr>
          </w:p>
        </w:tc>
        <w:tc>
          <w:tcPr>
            <w:tcW w:w="1134" w:type="dxa"/>
            <w:vAlign w:val="center"/>
          </w:tcPr>
          <w:p w14:paraId="283BFA4F">
            <w:pPr>
              <w:pStyle w:val="13"/>
              <w:keepNext/>
              <w:spacing w:line="440" w:lineRule="exact"/>
              <w:ind w:left="63" w:right="63"/>
              <w:rPr>
                <w:rFonts w:eastAsia="仿宋_GB2312"/>
                <w:sz w:val="30"/>
                <w:szCs w:val="30"/>
              </w:rPr>
            </w:pPr>
          </w:p>
        </w:tc>
        <w:tc>
          <w:tcPr>
            <w:tcW w:w="1134" w:type="dxa"/>
            <w:vAlign w:val="center"/>
          </w:tcPr>
          <w:p w14:paraId="4578260B">
            <w:pPr>
              <w:pStyle w:val="13"/>
              <w:keepNext/>
              <w:spacing w:line="440" w:lineRule="exact"/>
              <w:ind w:left="63" w:right="63"/>
              <w:rPr>
                <w:rFonts w:eastAsia="仿宋_GB2312"/>
                <w:sz w:val="30"/>
                <w:szCs w:val="30"/>
              </w:rPr>
            </w:pPr>
          </w:p>
        </w:tc>
        <w:tc>
          <w:tcPr>
            <w:tcW w:w="4252" w:type="dxa"/>
            <w:vAlign w:val="center"/>
          </w:tcPr>
          <w:p w14:paraId="64910DF4">
            <w:pPr>
              <w:pStyle w:val="13"/>
              <w:keepNext/>
              <w:spacing w:line="440" w:lineRule="exact"/>
              <w:ind w:left="63" w:right="63"/>
              <w:rPr>
                <w:rFonts w:eastAsia="仿宋_GB2312"/>
                <w:sz w:val="30"/>
                <w:szCs w:val="30"/>
              </w:rPr>
            </w:pPr>
          </w:p>
        </w:tc>
      </w:tr>
      <w:tr w14:paraId="78117C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6" w:space="0"/>
              <w:bottom w:val="single" w:color="auto" w:sz="6" w:space="0"/>
            </w:tcBorders>
            <w:vAlign w:val="center"/>
          </w:tcPr>
          <w:p w14:paraId="7F385949">
            <w:pPr>
              <w:pStyle w:val="13"/>
              <w:keepNext/>
              <w:spacing w:line="440" w:lineRule="exact"/>
              <w:ind w:left="63" w:right="63"/>
              <w:rPr>
                <w:rFonts w:eastAsia="仿宋_GB2312"/>
                <w:szCs w:val="30"/>
              </w:rPr>
            </w:pPr>
            <w:r>
              <w:rPr>
                <w:rFonts w:hint="eastAsia" w:eastAsia="仿宋_GB2312"/>
                <w:szCs w:val="30"/>
              </w:rPr>
              <w:t>资料管理</w:t>
            </w:r>
          </w:p>
        </w:tc>
        <w:tc>
          <w:tcPr>
            <w:tcW w:w="1418" w:type="dxa"/>
            <w:vAlign w:val="center"/>
          </w:tcPr>
          <w:p w14:paraId="77FBD67A">
            <w:pPr>
              <w:pStyle w:val="13"/>
              <w:keepNext/>
              <w:spacing w:line="440" w:lineRule="exact"/>
              <w:ind w:left="63" w:right="63"/>
              <w:rPr>
                <w:rFonts w:eastAsia="仿宋_GB2312"/>
                <w:szCs w:val="30"/>
              </w:rPr>
            </w:pPr>
          </w:p>
        </w:tc>
        <w:tc>
          <w:tcPr>
            <w:tcW w:w="1134" w:type="dxa"/>
            <w:vAlign w:val="center"/>
          </w:tcPr>
          <w:p w14:paraId="6FD03122">
            <w:pPr>
              <w:pStyle w:val="13"/>
              <w:keepNext/>
              <w:spacing w:line="440" w:lineRule="exact"/>
              <w:ind w:left="63" w:right="63"/>
              <w:rPr>
                <w:rFonts w:eastAsia="仿宋_GB2312"/>
                <w:sz w:val="30"/>
                <w:szCs w:val="30"/>
              </w:rPr>
            </w:pPr>
          </w:p>
        </w:tc>
        <w:tc>
          <w:tcPr>
            <w:tcW w:w="1134" w:type="dxa"/>
            <w:vAlign w:val="center"/>
          </w:tcPr>
          <w:p w14:paraId="2E632EBD">
            <w:pPr>
              <w:pStyle w:val="13"/>
              <w:keepNext/>
              <w:spacing w:line="440" w:lineRule="exact"/>
              <w:ind w:left="63" w:right="63"/>
              <w:rPr>
                <w:rFonts w:eastAsia="仿宋_GB2312"/>
                <w:sz w:val="30"/>
                <w:szCs w:val="30"/>
              </w:rPr>
            </w:pPr>
          </w:p>
        </w:tc>
        <w:tc>
          <w:tcPr>
            <w:tcW w:w="4252" w:type="dxa"/>
            <w:vAlign w:val="center"/>
          </w:tcPr>
          <w:p w14:paraId="7CBBB979">
            <w:pPr>
              <w:pStyle w:val="13"/>
              <w:keepNext/>
              <w:spacing w:line="440" w:lineRule="exact"/>
              <w:ind w:left="63" w:right="63"/>
              <w:rPr>
                <w:rFonts w:eastAsia="仿宋_GB2312"/>
                <w:sz w:val="30"/>
                <w:szCs w:val="30"/>
              </w:rPr>
            </w:pPr>
          </w:p>
        </w:tc>
      </w:tr>
      <w:tr w14:paraId="649D283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restart"/>
            <w:tcBorders>
              <w:top w:val="single" w:color="auto" w:sz="6" w:space="0"/>
            </w:tcBorders>
            <w:vAlign w:val="center"/>
          </w:tcPr>
          <w:p w14:paraId="5A6BBEB6">
            <w:pPr>
              <w:pStyle w:val="13"/>
              <w:keepNext/>
              <w:spacing w:line="440" w:lineRule="exact"/>
              <w:ind w:left="63" w:right="63"/>
              <w:rPr>
                <w:rFonts w:eastAsia="仿宋_GB2312"/>
                <w:szCs w:val="30"/>
              </w:rPr>
            </w:pPr>
            <w:r>
              <w:rPr>
                <w:rFonts w:eastAsia="仿宋_GB2312"/>
                <w:szCs w:val="30"/>
              </w:rPr>
              <w:t>其他人员</w:t>
            </w:r>
          </w:p>
        </w:tc>
        <w:tc>
          <w:tcPr>
            <w:tcW w:w="1418" w:type="dxa"/>
            <w:vAlign w:val="center"/>
          </w:tcPr>
          <w:p w14:paraId="5F2803E5">
            <w:pPr>
              <w:pStyle w:val="13"/>
              <w:keepNext/>
              <w:spacing w:line="440" w:lineRule="exact"/>
              <w:ind w:left="63" w:right="63"/>
              <w:rPr>
                <w:rFonts w:eastAsia="仿宋_GB2312"/>
                <w:szCs w:val="30"/>
              </w:rPr>
            </w:pPr>
          </w:p>
        </w:tc>
        <w:tc>
          <w:tcPr>
            <w:tcW w:w="1134" w:type="dxa"/>
            <w:vAlign w:val="center"/>
          </w:tcPr>
          <w:p w14:paraId="52B170FE">
            <w:pPr>
              <w:pStyle w:val="13"/>
              <w:keepNext/>
              <w:spacing w:line="440" w:lineRule="exact"/>
              <w:ind w:left="63" w:right="63"/>
              <w:rPr>
                <w:rFonts w:eastAsia="仿宋_GB2312"/>
                <w:sz w:val="30"/>
                <w:szCs w:val="30"/>
              </w:rPr>
            </w:pPr>
          </w:p>
        </w:tc>
        <w:tc>
          <w:tcPr>
            <w:tcW w:w="1134" w:type="dxa"/>
            <w:vAlign w:val="center"/>
          </w:tcPr>
          <w:p w14:paraId="293B1D49">
            <w:pPr>
              <w:pStyle w:val="13"/>
              <w:keepNext/>
              <w:spacing w:line="440" w:lineRule="exact"/>
              <w:ind w:left="63" w:right="63"/>
              <w:rPr>
                <w:rFonts w:eastAsia="仿宋_GB2312"/>
                <w:sz w:val="30"/>
                <w:szCs w:val="30"/>
              </w:rPr>
            </w:pPr>
          </w:p>
        </w:tc>
        <w:tc>
          <w:tcPr>
            <w:tcW w:w="4252" w:type="dxa"/>
            <w:vAlign w:val="center"/>
          </w:tcPr>
          <w:p w14:paraId="5AF27B56">
            <w:pPr>
              <w:pStyle w:val="13"/>
              <w:keepNext/>
              <w:spacing w:line="440" w:lineRule="exact"/>
              <w:ind w:left="63" w:right="63"/>
              <w:rPr>
                <w:rFonts w:eastAsia="仿宋_GB2312"/>
                <w:sz w:val="30"/>
                <w:szCs w:val="30"/>
              </w:rPr>
            </w:pPr>
          </w:p>
        </w:tc>
      </w:tr>
      <w:tr w14:paraId="41208E0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vAlign w:val="center"/>
          </w:tcPr>
          <w:p w14:paraId="039076C2">
            <w:pPr>
              <w:pStyle w:val="13"/>
              <w:keepNext/>
              <w:spacing w:line="440" w:lineRule="exact"/>
              <w:ind w:left="63" w:right="63"/>
              <w:rPr>
                <w:rFonts w:eastAsia="仿宋_GB2312"/>
                <w:szCs w:val="30"/>
              </w:rPr>
            </w:pPr>
          </w:p>
        </w:tc>
        <w:tc>
          <w:tcPr>
            <w:tcW w:w="1418" w:type="dxa"/>
            <w:tcBorders>
              <w:bottom w:val="nil"/>
            </w:tcBorders>
            <w:vAlign w:val="center"/>
          </w:tcPr>
          <w:p w14:paraId="6BAA642E">
            <w:pPr>
              <w:pStyle w:val="13"/>
              <w:keepNext/>
              <w:spacing w:line="440" w:lineRule="exact"/>
              <w:ind w:left="63" w:right="63"/>
              <w:rPr>
                <w:rFonts w:eastAsia="仿宋_GB2312"/>
                <w:szCs w:val="30"/>
              </w:rPr>
            </w:pPr>
          </w:p>
        </w:tc>
        <w:tc>
          <w:tcPr>
            <w:tcW w:w="1134" w:type="dxa"/>
            <w:tcBorders>
              <w:bottom w:val="nil"/>
            </w:tcBorders>
            <w:vAlign w:val="center"/>
          </w:tcPr>
          <w:p w14:paraId="7250FE2B">
            <w:pPr>
              <w:pStyle w:val="13"/>
              <w:keepNext/>
              <w:spacing w:line="440" w:lineRule="exact"/>
              <w:ind w:left="63" w:right="63"/>
              <w:rPr>
                <w:rFonts w:eastAsia="仿宋_GB2312"/>
                <w:sz w:val="30"/>
                <w:szCs w:val="30"/>
              </w:rPr>
            </w:pPr>
          </w:p>
        </w:tc>
        <w:tc>
          <w:tcPr>
            <w:tcW w:w="1134" w:type="dxa"/>
            <w:tcBorders>
              <w:bottom w:val="nil"/>
            </w:tcBorders>
            <w:vAlign w:val="center"/>
          </w:tcPr>
          <w:p w14:paraId="7762D892">
            <w:pPr>
              <w:pStyle w:val="13"/>
              <w:keepNext/>
              <w:spacing w:line="440" w:lineRule="exact"/>
              <w:ind w:left="63" w:right="63"/>
              <w:rPr>
                <w:rFonts w:eastAsia="仿宋_GB2312"/>
                <w:sz w:val="30"/>
                <w:szCs w:val="30"/>
              </w:rPr>
            </w:pPr>
          </w:p>
        </w:tc>
        <w:tc>
          <w:tcPr>
            <w:tcW w:w="4252" w:type="dxa"/>
            <w:tcBorders>
              <w:bottom w:val="nil"/>
            </w:tcBorders>
            <w:vAlign w:val="center"/>
          </w:tcPr>
          <w:p w14:paraId="13CAFBF4">
            <w:pPr>
              <w:pStyle w:val="13"/>
              <w:keepNext/>
              <w:spacing w:line="440" w:lineRule="exact"/>
              <w:ind w:left="63" w:right="63"/>
              <w:rPr>
                <w:rFonts w:eastAsia="仿宋_GB2312"/>
                <w:sz w:val="30"/>
                <w:szCs w:val="30"/>
              </w:rPr>
            </w:pPr>
          </w:p>
        </w:tc>
      </w:tr>
      <w:tr w14:paraId="19BAF47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vAlign w:val="center"/>
          </w:tcPr>
          <w:p w14:paraId="6BCE720A">
            <w:pPr>
              <w:pStyle w:val="13"/>
              <w:keepNext/>
              <w:spacing w:line="440" w:lineRule="exact"/>
              <w:ind w:left="63" w:right="63"/>
              <w:rPr>
                <w:rFonts w:eastAsia="仿宋_GB2312"/>
                <w:szCs w:val="30"/>
              </w:rPr>
            </w:pPr>
          </w:p>
        </w:tc>
        <w:tc>
          <w:tcPr>
            <w:tcW w:w="1418" w:type="dxa"/>
            <w:vAlign w:val="center"/>
          </w:tcPr>
          <w:p w14:paraId="7A48655C">
            <w:pPr>
              <w:pStyle w:val="13"/>
              <w:keepNext/>
              <w:spacing w:line="440" w:lineRule="exact"/>
              <w:ind w:left="63" w:right="63"/>
              <w:rPr>
                <w:rFonts w:eastAsia="仿宋_GB2312"/>
                <w:szCs w:val="30"/>
              </w:rPr>
            </w:pPr>
          </w:p>
        </w:tc>
        <w:tc>
          <w:tcPr>
            <w:tcW w:w="1134" w:type="dxa"/>
            <w:vAlign w:val="center"/>
          </w:tcPr>
          <w:p w14:paraId="34E2CB66">
            <w:pPr>
              <w:pStyle w:val="13"/>
              <w:keepNext/>
              <w:spacing w:line="440" w:lineRule="exact"/>
              <w:ind w:left="63" w:right="63"/>
              <w:rPr>
                <w:rFonts w:eastAsia="仿宋_GB2312"/>
                <w:sz w:val="30"/>
                <w:szCs w:val="30"/>
              </w:rPr>
            </w:pPr>
          </w:p>
        </w:tc>
        <w:tc>
          <w:tcPr>
            <w:tcW w:w="1134" w:type="dxa"/>
            <w:vAlign w:val="center"/>
          </w:tcPr>
          <w:p w14:paraId="25FB3F16">
            <w:pPr>
              <w:pStyle w:val="13"/>
              <w:keepNext/>
              <w:spacing w:line="440" w:lineRule="exact"/>
              <w:ind w:left="63" w:right="63"/>
              <w:rPr>
                <w:rFonts w:eastAsia="仿宋_GB2312"/>
                <w:sz w:val="30"/>
                <w:szCs w:val="30"/>
              </w:rPr>
            </w:pPr>
          </w:p>
        </w:tc>
        <w:tc>
          <w:tcPr>
            <w:tcW w:w="4252" w:type="dxa"/>
            <w:vAlign w:val="center"/>
          </w:tcPr>
          <w:p w14:paraId="6472204D">
            <w:pPr>
              <w:pStyle w:val="13"/>
              <w:keepNext/>
              <w:spacing w:line="440" w:lineRule="exact"/>
              <w:ind w:left="63" w:right="63"/>
              <w:rPr>
                <w:rFonts w:eastAsia="仿宋_GB2312"/>
                <w:sz w:val="30"/>
                <w:szCs w:val="30"/>
              </w:rPr>
            </w:pPr>
          </w:p>
        </w:tc>
      </w:tr>
      <w:tr w14:paraId="178FE3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vAlign w:val="center"/>
          </w:tcPr>
          <w:p w14:paraId="67E85A38">
            <w:pPr>
              <w:pStyle w:val="13"/>
              <w:keepNext/>
              <w:spacing w:line="440" w:lineRule="exact"/>
              <w:ind w:left="63" w:right="63"/>
              <w:rPr>
                <w:rFonts w:eastAsia="仿宋_GB2312"/>
                <w:szCs w:val="30"/>
              </w:rPr>
            </w:pPr>
          </w:p>
        </w:tc>
        <w:tc>
          <w:tcPr>
            <w:tcW w:w="1418" w:type="dxa"/>
            <w:vAlign w:val="center"/>
          </w:tcPr>
          <w:p w14:paraId="62F60F20">
            <w:pPr>
              <w:pStyle w:val="13"/>
              <w:keepNext/>
              <w:spacing w:line="440" w:lineRule="exact"/>
              <w:ind w:left="63" w:right="63"/>
              <w:rPr>
                <w:rFonts w:eastAsia="仿宋_GB2312"/>
                <w:szCs w:val="30"/>
              </w:rPr>
            </w:pPr>
          </w:p>
        </w:tc>
        <w:tc>
          <w:tcPr>
            <w:tcW w:w="1134" w:type="dxa"/>
            <w:vAlign w:val="center"/>
          </w:tcPr>
          <w:p w14:paraId="5A2E5F35">
            <w:pPr>
              <w:pStyle w:val="13"/>
              <w:keepNext/>
              <w:spacing w:line="440" w:lineRule="exact"/>
              <w:ind w:left="63" w:right="63"/>
              <w:rPr>
                <w:rFonts w:eastAsia="仿宋_GB2312"/>
                <w:sz w:val="30"/>
                <w:szCs w:val="30"/>
              </w:rPr>
            </w:pPr>
          </w:p>
        </w:tc>
        <w:tc>
          <w:tcPr>
            <w:tcW w:w="1134" w:type="dxa"/>
            <w:vAlign w:val="center"/>
          </w:tcPr>
          <w:p w14:paraId="2749D6D1">
            <w:pPr>
              <w:pStyle w:val="13"/>
              <w:keepNext/>
              <w:spacing w:line="440" w:lineRule="exact"/>
              <w:ind w:left="63" w:right="63"/>
              <w:rPr>
                <w:rFonts w:eastAsia="仿宋_GB2312"/>
                <w:sz w:val="30"/>
                <w:szCs w:val="30"/>
              </w:rPr>
            </w:pPr>
          </w:p>
        </w:tc>
        <w:tc>
          <w:tcPr>
            <w:tcW w:w="4252" w:type="dxa"/>
            <w:vAlign w:val="center"/>
          </w:tcPr>
          <w:p w14:paraId="7E9A3DB2">
            <w:pPr>
              <w:pStyle w:val="13"/>
              <w:keepNext/>
              <w:spacing w:line="440" w:lineRule="exact"/>
              <w:ind w:left="63" w:right="63"/>
              <w:rPr>
                <w:rFonts w:eastAsia="仿宋_GB2312"/>
                <w:sz w:val="30"/>
                <w:szCs w:val="30"/>
              </w:rPr>
            </w:pPr>
          </w:p>
        </w:tc>
      </w:tr>
      <w:tr w14:paraId="0BE8FD2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vAlign w:val="center"/>
          </w:tcPr>
          <w:p w14:paraId="24561C6C">
            <w:pPr>
              <w:pStyle w:val="13"/>
              <w:keepNext/>
              <w:spacing w:line="440" w:lineRule="exact"/>
              <w:ind w:left="63" w:right="63"/>
              <w:rPr>
                <w:rFonts w:eastAsia="仿宋_GB2312"/>
                <w:szCs w:val="30"/>
              </w:rPr>
            </w:pPr>
          </w:p>
        </w:tc>
        <w:tc>
          <w:tcPr>
            <w:tcW w:w="1418" w:type="dxa"/>
            <w:vAlign w:val="center"/>
          </w:tcPr>
          <w:p w14:paraId="51C582AA">
            <w:pPr>
              <w:pStyle w:val="13"/>
              <w:keepNext/>
              <w:spacing w:line="440" w:lineRule="exact"/>
              <w:ind w:left="63" w:right="63"/>
              <w:rPr>
                <w:rFonts w:eastAsia="仿宋_GB2312"/>
                <w:szCs w:val="30"/>
              </w:rPr>
            </w:pPr>
          </w:p>
        </w:tc>
        <w:tc>
          <w:tcPr>
            <w:tcW w:w="1134" w:type="dxa"/>
            <w:vAlign w:val="center"/>
          </w:tcPr>
          <w:p w14:paraId="4F1DC6E2">
            <w:pPr>
              <w:pStyle w:val="13"/>
              <w:keepNext/>
              <w:spacing w:line="440" w:lineRule="exact"/>
              <w:ind w:left="63" w:right="63"/>
              <w:rPr>
                <w:rFonts w:eastAsia="仿宋_GB2312"/>
                <w:sz w:val="30"/>
                <w:szCs w:val="30"/>
              </w:rPr>
            </w:pPr>
          </w:p>
        </w:tc>
        <w:tc>
          <w:tcPr>
            <w:tcW w:w="1134" w:type="dxa"/>
            <w:vAlign w:val="center"/>
          </w:tcPr>
          <w:p w14:paraId="3A2FD745">
            <w:pPr>
              <w:pStyle w:val="13"/>
              <w:keepNext/>
              <w:spacing w:line="440" w:lineRule="exact"/>
              <w:ind w:left="63" w:right="63"/>
              <w:rPr>
                <w:rFonts w:eastAsia="仿宋_GB2312"/>
                <w:sz w:val="30"/>
                <w:szCs w:val="30"/>
              </w:rPr>
            </w:pPr>
          </w:p>
        </w:tc>
        <w:tc>
          <w:tcPr>
            <w:tcW w:w="4252" w:type="dxa"/>
            <w:vAlign w:val="center"/>
          </w:tcPr>
          <w:p w14:paraId="5A9E4210">
            <w:pPr>
              <w:pStyle w:val="13"/>
              <w:keepNext/>
              <w:spacing w:line="440" w:lineRule="exact"/>
              <w:ind w:left="63" w:right="63"/>
              <w:rPr>
                <w:rFonts w:eastAsia="仿宋_GB2312"/>
                <w:sz w:val="30"/>
                <w:szCs w:val="30"/>
              </w:rPr>
            </w:pPr>
          </w:p>
        </w:tc>
      </w:tr>
      <w:tr w14:paraId="4D096A4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vMerge w:val="continue"/>
            <w:tcBorders>
              <w:bottom w:val="single" w:color="auto" w:sz="12" w:space="0"/>
            </w:tcBorders>
            <w:vAlign w:val="center"/>
          </w:tcPr>
          <w:p w14:paraId="29F6F953">
            <w:pPr>
              <w:pStyle w:val="13"/>
              <w:keepNext/>
              <w:spacing w:line="440" w:lineRule="exact"/>
              <w:ind w:left="63" w:right="63"/>
              <w:rPr>
                <w:rFonts w:eastAsia="仿宋_GB2312"/>
                <w:szCs w:val="30"/>
              </w:rPr>
            </w:pPr>
          </w:p>
        </w:tc>
        <w:tc>
          <w:tcPr>
            <w:tcW w:w="1418" w:type="dxa"/>
            <w:tcBorders>
              <w:bottom w:val="single" w:color="auto" w:sz="12" w:space="0"/>
            </w:tcBorders>
            <w:vAlign w:val="center"/>
          </w:tcPr>
          <w:p w14:paraId="06C60FBF">
            <w:pPr>
              <w:pStyle w:val="13"/>
              <w:keepNext/>
              <w:spacing w:line="440" w:lineRule="exact"/>
              <w:ind w:left="63" w:right="63"/>
              <w:rPr>
                <w:rFonts w:eastAsia="仿宋_GB2312"/>
                <w:szCs w:val="30"/>
              </w:rPr>
            </w:pPr>
          </w:p>
        </w:tc>
        <w:tc>
          <w:tcPr>
            <w:tcW w:w="1134" w:type="dxa"/>
            <w:tcBorders>
              <w:bottom w:val="single" w:color="auto" w:sz="12" w:space="0"/>
            </w:tcBorders>
            <w:vAlign w:val="center"/>
          </w:tcPr>
          <w:p w14:paraId="137AE9A0">
            <w:pPr>
              <w:pStyle w:val="13"/>
              <w:keepNext/>
              <w:spacing w:line="440" w:lineRule="exact"/>
              <w:ind w:left="63" w:right="63"/>
              <w:rPr>
                <w:rFonts w:eastAsia="仿宋_GB2312"/>
                <w:sz w:val="30"/>
                <w:szCs w:val="30"/>
              </w:rPr>
            </w:pPr>
          </w:p>
        </w:tc>
        <w:tc>
          <w:tcPr>
            <w:tcW w:w="1134" w:type="dxa"/>
            <w:tcBorders>
              <w:bottom w:val="single" w:color="auto" w:sz="12" w:space="0"/>
            </w:tcBorders>
            <w:vAlign w:val="center"/>
          </w:tcPr>
          <w:p w14:paraId="05301D89">
            <w:pPr>
              <w:pStyle w:val="13"/>
              <w:keepNext/>
              <w:spacing w:line="440" w:lineRule="exact"/>
              <w:ind w:left="63" w:right="63"/>
              <w:rPr>
                <w:rFonts w:eastAsia="仿宋_GB2312"/>
                <w:sz w:val="30"/>
                <w:szCs w:val="30"/>
              </w:rPr>
            </w:pPr>
          </w:p>
        </w:tc>
        <w:tc>
          <w:tcPr>
            <w:tcW w:w="4252" w:type="dxa"/>
            <w:tcBorders>
              <w:bottom w:val="single" w:color="auto" w:sz="12" w:space="0"/>
            </w:tcBorders>
            <w:vAlign w:val="center"/>
          </w:tcPr>
          <w:p w14:paraId="2F132CC0">
            <w:pPr>
              <w:pStyle w:val="13"/>
              <w:keepNext/>
              <w:spacing w:line="440" w:lineRule="exact"/>
              <w:ind w:left="63" w:right="63"/>
              <w:rPr>
                <w:rFonts w:eastAsia="仿宋_GB2312"/>
                <w:sz w:val="30"/>
                <w:szCs w:val="30"/>
              </w:rPr>
            </w:pPr>
          </w:p>
        </w:tc>
      </w:tr>
    </w:tbl>
    <w:p w14:paraId="5471C68D">
      <w:pPr>
        <w:spacing w:line="440" w:lineRule="exact"/>
        <w:rPr>
          <w:rFonts w:hint="eastAsia" w:eastAsia="黑体"/>
          <w:sz w:val="30"/>
          <w:szCs w:val="30"/>
          <w:lang w:eastAsia="zh-CN"/>
        </w:rPr>
      </w:pPr>
      <w:r>
        <w:rPr>
          <w:rFonts w:eastAsia="仿宋_GB2312"/>
          <w:sz w:val="30"/>
          <w:szCs w:val="30"/>
        </w:rPr>
        <w:br w:type="page"/>
      </w:r>
      <w:bookmarkStart w:id="1241" w:name="_Toc267261701"/>
      <w:r>
        <w:rPr>
          <w:rFonts w:hint="eastAsia" w:ascii="黑体" w:hAnsi="黑体" w:eastAsia="黑体" w:cs="黑体"/>
          <w:sz w:val="32"/>
          <w:szCs w:val="32"/>
        </w:rPr>
        <w:t>附</w:t>
      </w:r>
      <w:bookmarkStart w:id="1242" w:name="_Toc296944570"/>
      <w:bookmarkStart w:id="1243" w:name="_Toc296347230"/>
      <w:bookmarkStart w:id="1244" w:name="_Toc296891059"/>
      <w:bookmarkStart w:id="1245" w:name="_Toc296346732"/>
      <w:bookmarkStart w:id="1246" w:name="_Toc296503231"/>
      <w:bookmarkStart w:id="1247" w:name="_Toc296891271"/>
      <w:r>
        <w:rPr>
          <w:rFonts w:hint="eastAsia" w:ascii="黑体" w:hAnsi="黑体" w:eastAsia="黑体" w:cs="黑体"/>
          <w:sz w:val="32"/>
          <w:szCs w:val="32"/>
        </w:rPr>
        <w:t>件</w:t>
      </w:r>
      <w:r>
        <w:rPr>
          <w:rFonts w:hint="eastAsia" w:ascii="黑体" w:hAnsi="黑体" w:eastAsia="黑体" w:cs="黑体"/>
          <w:sz w:val="32"/>
          <w:szCs w:val="32"/>
          <w:lang w:val="en-US" w:eastAsia="zh-CN"/>
        </w:rPr>
        <w:t>4</w:t>
      </w:r>
    </w:p>
    <w:bookmarkEnd w:id="1241"/>
    <w:bookmarkEnd w:id="1242"/>
    <w:bookmarkEnd w:id="1243"/>
    <w:bookmarkEnd w:id="1244"/>
    <w:bookmarkEnd w:id="1245"/>
    <w:bookmarkEnd w:id="1246"/>
    <w:bookmarkEnd w:id="1247"/>
    <w:p w14:paraId="5A193A8C">
      <w:pPr>
        <w:spacing w:before="120" w:beforeLines="50" w:after="120" w:afterLines="50" w:line="440" w:lineRule="exact"/>
        <w:jc w:val="center"/>
        <w:rPr>
          <w:rFonts w:eastAsia="黑体"/>
          <w:sz w:val="30"/>
          <w:szCs w:val="30"/>
        </w:rPr>
      </w:pPr>
      <w:r>
        <w:rPr>
          <w:rFonts w:eastAsia="黑体"/>
          <w:sz w:val="30"/>
          <w:szCs w:val="30"/>
        </w:rPr>
        <w:t>履约担保</w:t>
      </w:r>
    </w:p>
    <w:p w14:paraId="39D7CA0D">
      <w:pPr>
        <w:spacing w:line="360" w:lineRule="auto"/>
        <w:jc w:val="center"/>
      </w:pPr>
      <w:r>
        <w:rPr>
          <w:rFonts w:eastAsia="仿宋_GB2312"/>
          <w:sz w:val="28"/>
          <w:szCs w:val="28"/>
        </w:rPr>
        <w:t>(</w:t>
      </w:r>
      <w:r>
        <w:rPr>
          <w:rFonts w:hint="eastAsia" w:eastAsia="仿宋_GB2312"/>
          <w:sz w:val="28"/>
          <w:szCs w:val="28"/>
        </w:rPr>
        <w:t>示例格式，</w:t>
      </w:r>
      <w:r>
        <w:rPr>
          <w:rFonts w:eastAsia="仿宋_GB2312"/>
          <w:sz w:val="28"/>
          <w:szCs w:val="28"/>
        </w:rPr>
        <w:t>以最终</w:t>
      </w:r>
      <w:r>
        <w:rPr>
          <w:rFonts w:hint="eastAsia" w:eastAsia="仿宋_GB2312"/>
          <w:sz w:val="28"/>
          <w:szCs w:val="28"/>
        </w:rPr>
        <w:t>银行开具</w:t>
      </w:r>
      <w:r>
        <w:rPr>
          <w:rFonts w:eastAsia="仿宋_GB2312"/>
          <w:sz w:val="28"/>
          <w:szCs w:val="28"/>
        </w:rPr>
        <w:t>履约担保格式</w:t>
      </w:r>
      <w:r>
        <w:rPr>
          <w:rFonts w:hint="eastAsia" w:eastAsia="仿宋_GB2312"/>
          <w:sz w:val="28"/>
          <w:szCs w:val="28"/>
        </w:rPr>
        <w:t>为准</w:t>
      </w:r>
      <w:r>
        <w:rPr>
          <w:rFonts w:eastAsia="仿宋_GB2312"/>
          <w:sz w:val="28"/>
          <w:szCs w:val="28"/>
        </w:rPr>
        <w:t>）</w:t>
      </w:r>
    </w:p>
    <w:p w14:paraId="7D76D645">
      <w:pPr>
        <w:spacing w:line="440" w:lineRule="exact"/>
        <w:rPr>
          <w:rFonts w:eastAsia="仿宋_GB2312"/>
          <w:sz w:val="30"/>
          <w:szCs w:val="30"/>
        </w:rPr>
      </w:pPr>
      <w:r>
        <w:rPr>
          <w:rFonts w:eastAsia="仿宋_GB2312"/>
          <w:sz w:val="30"/>
          <w:szCs w:val="30"/>
          <w:u w:val="single"/>
        </w:rPr>
        <w:t xml:space="preserve"> </w:t>
      </w:r>
      <w:r>
        <w:rPr>
          <w:rFonts w:hint="eastAsia" w:eastAsia="仿宋_GB2312"/>
          <w:sz w:val="30"/>
          <w:szCs w:val="30"/>
          <w:u w:val="single"/>
        </w:rPr>
        <w:t>中国重汽集团济南卡车股份有限公司</w:t>
      </w:r>
      <w:r>
        <w:rPr>
          <w:rFonts w:eastAsia="仿宋_GB2312"/>
          <w:sz w:val="30"/>
          <w:szCs w:val="30"/>
          <w:u w:val="single"/>
        </w:rPr>
        <w:tab/>
      </w:r>
      <w:r>
        <w:rPr>
          <w:rFonts w:eastAsia="仿宋_GB2312"/>
          <w:sz w:val="30"/>
          <w:szCs w:val="30"/>
        </w:rPr>
        <w:t>（发包人名称）：</w:t>
      </w:r>
    </w:p>
    <w:p w14:paraId="59CB7FD2">
      <w:pPr>
        <w:spacing w:line="440" w:lineRule="exact"/>
        <w:rPr>
          <w:rFonts w:eastAsia="仿宋_GB2312"/>
          <w:sz w:val="30"/>
          <w:szCs w:val="30"/>
        </w:rPr>
      </w:pPr>
    </w:p>
    <w:p w14:paraId="628A8F87">
      <w:pPr>
        <w:spacing w:line="360" w:lineRule="auto"/>
        <w:ind w:firstLine="600" w:firstLineChars="200"/>
        <w:rPr>
          <w:rFonts w:eastAsia="仿宋_GB2312"/>
          <w:sz w:val="30"/>
          <w:szCs w:val="30"/>
        </w:rPr>
      </w:pPr>
      <w:r>
        <w:rPr>
          <w:rFonts w:eastAsia="仿宋_GB2312"/>
          <w:sz w:val="30"/>
          <w:szCs w:val="30"/>
        </w:rPr>
        <w:t>鉴于</w:t>
      </w:r>
      <w:r>
        <w:rPr>
          <w:rFonts w:eastAsia="仿宋_GB2312"/>
          <w:sz w:val="30"/>
          <w:szCs w:val="30"/>
          <w:u w:val="single"/>
        </w:rPr>
        <w:t xml:space="preserve"> </w:t>
      </w:r>
      <w:r>
        <w:rPr>
          <w:rFonts w:hint="eastAsia" w:eastAsia="仿宋_GB2312"/>
          <w:sz w:val="30"/>
          <w:szCs w:val="30"/>
          <w:u w:val="single"/>
        </w:rPr>
        <w:t>中国重汽集团济南卡车股份有限公司</w:t>
      </w:r>
      <w:r>
        <w:rPr>
          <w:rFonts w:eastAsia="仿宋_GB2312"/>
          <w:sz w:val="30"/>
          <w:szCs w:val="30"/>
          <w:u w:val="single"/>
        </w:rPr>
        <w:t xml:space="preserve"> </w:t>
      </w:r>
      <w:r>
        <w:rPr>
          <w:rFonts w:eastAsia="仿宋_GB2312"/>
          <w:sz w:val="30"/>
          <w:szCs w:val="30"/>
        </w:rPr>
        <w:t>（发包人名称，以下简称“发包人”）与</w:t>
      </w:r>
    </w:p>
    <w:p w14:paraId="25C82224">
      <w:pPr>
        <w:spacing w:line="360" w:lineRule="auto"/>
        <w:rPr>
          <w:rFonts w:eastAsia="仿宋_GB2312"/>
          <w:sz w:val="30"/>
          <w:szCs w:val="30"/>
        </w:rPr>
      </w:pP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（承包人名称）（以下称“承包人”）于</w:t>
      </w:r>
      <w:r>
        <w:rPr>
          <w:rFonts w:hint="eastAsia" w:eastAsia="仿宋_GB2312"/>
          <w:sz w:val="30"/>
          <w:szCs w:val="30"/>
          <w:u w:val="single"/>
        </w:rPr>
        <w:t>**</w:t>
      </w:r>
      <w:r>
        <w:rPr>
          <w:rFonts w:eastAsia="仿宋_GB2312"/>
          <w:sz w:val="30"/>
          <w:szCs w:val="30"/>
        </w:rPr>
        <w:t>年</w:t>
      </w:r>
      <w:r>
        <w:rPr>
          <w:rFonts w:hint="eastAsia" w:eastAsia="仿宋_GB2312"/>
          <w:sz w:val="30"/>
          <w:szCs w:val="30"/>
          <w:u w:val="single"/>
        </w:rPr>
        <w:t>**</w:t>
      </w:r>
      <w:r>
        <w:rPr>
          <w:rFonts w:eastAsia="仿宋_GB2312"/>
          <w:sz w:val="30"/>
          <w:szCs w:val="30"/>
        </w:rPr>
        <w:t>月</w:t>
      </w:r>
      <w:r>
        <w:rPr>
          <w:rFonts w:hint="eastAsia" w:eastAsia="仿宋_GB2312"/>
          <w:sz w:val="30"/>
          <w:szCs w:val="30"/>
          <w:u w:val="single"/>
        </w:rPr>
        <w:t>**</w:t>
      </w:r>
      <w:r>
        <w:rPr>
          <w:rFonts w:eastAsia="仿宋_GB2312"/>
          <w:sz w:val="30"/>
          <w:szCs w:val="30"/>
        </w:rPr>
        <w:t>日就</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 xml:space="preserve">（工程名称）施工及有关事项协商一致共同签订《建设工程施工合同》。我方愿意无条件地、不可撤销地就承包人履行与你方签订的合同，向你方提供连带责任担保。 </w:t>
      </w:r>
    </w:p>
    <w:p w14:paraId="5D254FFC">
      <w:pPr>
        <w:spacing w:line="360" w:lineRule="auto"/>
        <w:ind w:firstLine="600" w:firstLineChars="200"/>
        <w:rPr>
          <w:rFonts w:eastAsia="仿宋_GB2312"/>
          <w:sz w:val="30"/>
          <w:szCs w:val="30"/>
        </w:rPr>
      </w:pPr>
      <w:r>
        <w:rPr>
          <w:rFonts w:eastAsia="仿宋_GB2312"/>
          <w:sz w:val="30"/>
          <w:szCs w:val="30"/>
        </w:rPr>
        <w:t>1.担保金额人民币（大写）</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元（¥</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w:t>
      </w:r>
    </w:p>
    <w:p w14:paraId="200780D1">
      <w:pPr>
        <w:spacing w:line="360" w:lineRule="auto"/>
        <w:ind w:firstLine="600" w:firstLineChars="200"/>
        <w:rPr>
          <w:rFonts w:eastAsia="仿宋_GB2312"/>
          <w:sz w:val="30"/>
          <w:szCs w:val="30"/>
        </w:rPr>
      </w:pPr>
      <w:r>
        <w:rPr>
          <w:rFonts w:eastAsia="仿宋_GB2312"/>
          <w:sz w:val="30"/>
          <w:szCs w:val="30"/>
        </w:rPr>
        <w:t>2.担保有效期自你方与承包人签订的合同生效之日起至你方签发或应签发工程接收证书之日止。</w:t>
      </w:r>
    </w:p>
    <w:p w14:paraId="33663A62">
      <w:pPr>
        <w:spacing w:line="360" w:lineRule="auto"/>
        <w:ind w:firstLine="600" w:firstLineChars="200"/>
        <w:rPr>
          <w:rFonts w:eastAsia="仿宋_GB2312"/>
          <w:sz w:val="30"/>
          <w:szCs w:val="30"/>
        </w:rPr>
      </w:pPr>
      <w:r>
        <w:rPr>
          <w:rFonts w:eastAsia="仿宋_GB2312"/>
          <w:sz w:val="30"/>
          <w:szCs w:val="30"/>
        </w:rPr>
        <w:t>3.在本担保有效期内，因承包人违反合同约定的义务给你方造成经济损失时，我方在收到你方以书面形式提出的在担保金额内的赔偿要求后，在7天内无条件支付。</w:t>
      </w:r>
    </w:p>
    <w:p w14:paraId="2690D90F">
      <w:pPr>
        <w:spacing w:line="360" w:lineRule="auto"/>
        <w:ind w:firstLine="600" w:firstLineChars="200"/>
        <w:rPr>
          <w:rFonts w:eastAsia="仿宋_GB2312"/>
          <w:sz w:val="30"/>
          <w:szCs w:val="30"/>
        </w:rPr>
      </w:pPr>
      <w:r>
        <w:rPr>
          <w:rFonts w:eastAsia="仿宋_GB2312"/>
          <w:sz w:val="30"/>
          <w:szCs w:val="30"/>
        </w:rPr>
        <w:t>4.你方和承包人按合同约定变更合同时，我方承担本担保规定的义务不变。</w:t>
      </w:r>
    </w:p>
    <w:p w14:paraId="7C41A79A">
      <w:pPr>
        <w:spacing w:line="360" w:lineRule="auto"/>
        <w:ind w:firstLine="600" w:firstLineChars="200"/>
        <w:rPr>
          <w:rFonts w:eastAsia="仿宋_GB2312"/>
          <w:sz w:val="30"/>
          <w:szCs w:val="30"/>
        </w:rPr>
      </w:pPr>
      <w:r>
        <w:rPr>
          <w:rFonts w:eastAsia="仿宋_GB2312"/>
          <w:sz w:val="30"/>
          <w:szCs w:val="30"/>
        </w:rPr>
        <w:t>5.因本保函发生的纠纷，可由双方协商解决，协商不成的，任何一方均可提请</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仲裁委员会仲裁。</w:t>
      </w:r>
    </w:p>
    <w:p w14:paraId="4DA313FB">
      <w:pPr>
        <w:spacing w:line="360" w:lineRule="auto"/>
        <w:ind w:firstLine="600" w:firstLineChars="200"/>
        <w:rPr>
          <w:rFonts w:eastAsia="仿宋_GB2312"/>
          <w:sz w:val="30"/>
          <w:szCs w:val="30"/>
        </w:rPr>
      </w:pPr>
      <w:r>
        <w:rPr>
          <w:rFonts w:eastAsia="仿宋_GB2312"/>
          <w:sz w:val="30"/>
          <w:szCs w:val="30"/>
        </w:rPr>
        <w:t>6.本保函自我方法定代表人（或其授权代理人）签字并加盖公章之日起生效。</w:t>
      </w:r>
    </w:p>
    <w:p w14:paraId="713E74A5">
      <w:pPr>
        <w:spacing w:line="360" w:lineRule="auto"/>
        <w:rPr>
          <w:rFonts w:eastAsia="仿宋_GB2312"/>
          <w:sz w:val="30"/>
          <w:szCs w:val="30"/>
        </w:rPr>
      </w:pPr>
    </w:p>
    <w:p w14:paraId="544CE73E">
      <w:pPr>
        <w:spacing w:line="360" w:lineRule="auto"/>
        <w:rPr>
          <w:rFonts w:eastAsia="仿宋_GB2312"/>
          <w:sz w:val="30"/>
          <w:szCs w:val="30"/>
        </w:rPr>
      </w:pPr>
      <w:r>
        <w:rPr>
          <w:rFonts w:eastAsia="仿宋_GB2312"/>
          <w:sz w:val="30"/>
          <w:szCs w:val="30"/>
        </w:rPr>
        <w:t>担 保 人：</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（盖单位章）</w:t>
      </w:r>
    </w:p>
    <w:p w14:paraId="1F005557">
      <w:pPr>
        <w:spacing w:line="360" w:lineRule="auto"/>
        <w:rPr>
          <w:rFonts w:eastAsia="仿宋_GB2312"/>
          <w:sz w:val="30"/>
          <w:szCs w:val="30"/>
        </w:rPr>
      </w:pPr>
      <w:r>
        <w:rPr>
          <w:rFonts w:eastAsia="仿宋_GB2312"/>
          <w:sz w:val="30"/>
          <w:szCs w:val="30"/>
        </w:rPr>
        <w:t>法定代表人或其委托代理人：</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（签字）</w:t>
      </w:r>
    </w:p>
    <w:p w14:paraId="00285C14">
      <w:pPr>
        <w:spacing w:line="360" w:lineRule="auto"/>
        <w:rPr>
          <w:rFonts w:eastAsia="仿宋_GB2312"/>
          <w:sz w:val="30"/>
          <w:szCs w:val="30"/>
        </w:rPr>
      </w:pPr>
      <w:r>
        <w:rPr>
          <w:rFonts w:eastAsia="仿宋_GB2312"/>
          <w:sz w:val="30"/>
          <w:szCs w:val="30"/>
        </w:rPr>
        <w:t>地    址：</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2D9FF7F3">
      <w:pPr>
        <w:spacing w:line="360" w:lineRule="auto"/>
        <w:rPr>
          <w:rFonts w:eastAsia="仿宋_GB2312"/>
          <w:sz w:val="30"/>
          <w:szCs w:val="30"/>
        </w:rPr>
      </w:pPr>
      <w:r>
        <w:rPr>
          <w:rFonts w:eastAsia="仿宋_GB2312"/>
          <w:sz w:val="30"/>
          <w:szCs w:val="30"/>
        </w:rPr>
        <w:t>邮政编码：</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198AE780">
      <w:pPr>
        <w:spacing w:line="360" w:lineRule="auto"/>
        <w:rPr>
          <w:rFonts w:eastAsia="仿宋_GB2312"/>
          <w:sz w:val="30"/>
          <w:szCs w:val="30"/>
          <w:u w:val="single"/>
        </w:rPr>
      </w:pPr>
      <w:r>
        <w:rPr>
          <w:rFonts w:eastAsia="仿宋_GB2312"/>
          <w:sz w:val="30"/>
          <w:szCs w:val="30"/>
        </w:rPr>
        <w:t>电    话：</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39CCEDFC">
      <w:pPr>
        <w:spacing w:line="360" w:lineRule="auto"/>
        <w:rPr>
          <w:rFonts w:eastAsia="仿宋_GB2312"/>
          <w:sz w:val="30"/>
          <w:szCs w:val="30"/>
        </w:rPr>
      </w:pPr>
      <w:r>
        <w:rPr>
          <w:rFonts w:eastAsia="仿宋_GB2312"/>
          <w:sz w:val="30"/>
          <w:szCs w:val="30"/>
        </w:rPr>
        <w:t>传    真：</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5ED6EFF9">
      <w:pPr>
        <w:spacing w:line="360" w:lineRule="auto"/>
        <w:jc w:val="left"/>
        <w:rPr>
          <w:rFonts w:eastAsia="仿宋_GB2312"/>
          <w:sz w:val="30"/>
          <w:szCs w:val="30"/>
          <w:u w:val="single"/>
        </w:rPr>
      </w:pPr>
    </w:p>
    <w:p w14:paraId="2F821B95">
      <w:pPr>
        <w:spacing w:line="360" w:lineRule="auto"/>
        <w:ind w:left="1899" w:hanging="1899" w:hangingChars="633"/>
        <w:jc w:val="right"/>
        <w:rPr>
          <w:rFonts w:eastAsia="仿宋_GB2312"/>
          <w:sz w:val="30"/>
          <w:szCs w:val="30"/>
        </w:rPr>
      </w:pPr>
      <w:r>
        <w:rPr>
          <w:rFonts w:eastAsia="仿宋_GB2312"/>
          <w:sz w:val="30"/>
          <w:szCs w:val="30"/>
        </w:rPr>
        <w:t xml:space="preserve">             </w:t>
      </w:r>
      <w:r>
        <w:rPr>
          <w:rFonts w:hint="eastAsia"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年</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月</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日</w:t>
      </w:r>
    </w:p>
    <w:p w14:paraId="24A36043">
      <w:pPr>
        <w:spacing w:line="360" w:lineRule="auto"/>
        <w:ind w:left="1899" w:hanging="1899" w:hangingChars="633"/>
        <w:rPr>
          <w:rFonts w:eastAsia="仿宋_GB2312"/>
          <w:sz w:val="30"/>
          <w:szCs w:val="30"/>
        </w:rPr>
      </w:pPr>
    </w:p>
    <w:p w14:paraId="172916FA">
      <w:pPr>
        <w:spacing w:line="360" w:lineRule="auto"/>
        <w:ind w:left="1899" w:hanging="1899" w:hangingChars="633"/>
        <w:rPr>
          <w:rFonts w:eastAsia="仿宋_GB2312"/>
          <w:sz w:val="30"/>
          <w:szCs w:val="30"/>
        </w:rPr>
      </w:pPr>
    </w:p>
    <w:p w14:paraId="116530BE">
      <w:pPr>
        <w:spacing w:line="360" w:lineRule="auto"/>
        <w:ind w:left="1899" w:hanging="1899" w:hangingChars="633"/>
        <w:rPr>
          <w:rFonts w:eastAsia="仿宋_GB2312"/>
          <w:sz w:val="30"/>
          <w:szCs w:val="30"/>
        </w:rPr>
      </w:pPr>
    </w:p>
    <w:p w14:paraId="52071628">
      <w:pPr>
        <w:spacing w:line="360" w:lineRule="auto"/>
        <w:ind w:left="1899" w:hanging="1899" w:hangingChars="633"/>
        <w:rPr>
          <w:rFonts w:eastAsia="仿宋_GB2312"/>
          <w:sz w:val="30"/>
          <w:szCs w:val="30"/>
        </w:rPr>
      </w:pPr>
    </w:p>
    <w:p w14:paraId="32277627">
      <w:pPr>
        <w:spacing w:line="360" w:lineRule="auto"/>
        <w:ind w:left="1899" w:hanging="1899" w:hangingChars="633"/>
        <w:rPr>
          <w:rFonts w:eastAsia="仿宋_GB2312"/>
          <w:sz w:val="30"/>
          <w:szCs w:val="30"/>
        </w:rPr>
      </w:pPr>
    </w:p>
    <w:p w14:paraId="11CD120D">
      <w:pPr>
        <w:spacing w:line="360" w:lineRule="auto"/>
        <w:ind w:left="1899" w:hanging="1899" w:hangingChars="633"/>
        <w:rPr>
          <w:rFonts w:eastAsia="仿宋_GB2312"/>
          <w:sz w:val="30"/>
          <w:szCs w:val="30"/>
        </w:rPr>
      </w:pPr>
    </w:p>
    <w:p w14:paraId="408A371B">
      <w:pPr>
        <w:spacing w:line="360" w:lineRule="auto"/>
        <w:ind w:left="1899" w:hanging="1899" w:hangingChars="633"/>
        <w:rPr>
          <w:rFonts w:eastAsia="仿宋_GB2312"/>
          <w:sz w:val="30"/>
          <w:szCs w:val="30"/>
        </w:rPr>
      </w:pPr>
    </w:p>
    <w:p w14:paraId="57081B81">
      <w:pPr>
        <w:spacing w:line="360" w:lineRule="auto"/>
        <w:ind w:left="1899" w:hanging="1899" w:hangingChars="633"/>
        <w:rPr>
          <w:rFonts w:eastAsia="仿宋_GB2312"/>
          <w:sz w:val="30"/>
          <w:szCs w:val="30"/>
        </w:rPr>
      </w:pPr>
    </w:p>
    <w:p w14:paraId="7BAD6674">
      <w:pPr>
        <w:spacing w:line="360" w:lineRule="auto"/>
        <w:ind w:left="1899" w:hanging="1899" w:hangingChars="633"/>
        <w:rPr>
          <w:rFonts w:eastAsia="仿宋_GB2312"/>
          <w:sz w:val="30"/>
          <w:szCs w:val="30"/>
        </w:rPr>
      </w:pPr>
    </w:p>
    <w:p w14:paraId="2CCB3B3C">
      <w:pPr>
        <w:spacing w:line="360" w:lineRule="auto"/>
        <w:ind w:left="1899" w:hanging="1899" w:hangingChars="633"/>
        <w:rPr>
          <w:rFonts w:eastAsia="仿宋_GB2312"/>
          <w:sz w:val="30"/>
          <w:szCs w:val="30"/>
        </w:rPr>
      </w:pPr>
    </w:p>
    <w:p w14:paraId="0CD6B02D">
      <w:pPr>
        <w:spacing w:line="360" w:lineRule="auto"/>
        <w:ind w:left="1899" w:hanging="1899" w:hangingChars="633"/>
        <w:rPr>
          <w:rFonts w:eastAsia="仿宋_GB2312"/>
          <w:sz w:val="30"/>
          <w:szCs w:val="30"/>
        </w:rPr>
      </w:pPr>
    </w:p>
    <w:p w14:paraId="78634F63">
      <w:pPr>
        <w:rPr>
          <w:rFonts w:hint="eastAsia" w:ascii="黑体" w:hAnsi="黑体" w:eastAsia="黑体" w:cs="黑体"/>
          <w:sz w:val="32"/>
          <w:szCs w:val="32"/>
        </w:rPr>
      </w:pPr>
      <w:r>
        <w:rPr>
          <w:rFonts w:hint="eastAsia" w:ascii="黑体" w:hAnsi="黑体" w:eastAsia="黑体" w:cs="黑体"/>
          <w:sz w:val="32"/>
          <w:szCs w:val="32"/>
        </w:rPr>
        <w:br w:type="page"/>
      </w:r>
    </w:p>
    <w:p w14:paraId="2AA5D8F2">
      <w:pPr>
        <w:spacing w:line="440" w:lineRule="exact"/>
        <w:rPr>
          <w:rFonts w:hint="eastAsia" w:ascii="黑体" w:hAnsi="黑体" w:eastAsia="黑体" w:cs="黑体"/>
          <w:sz w:val="32"/>
          <w:szCs w:val="32"/>
          <w:lang w:eastAsia="zh-CN"/>
        </w:rPr>
      </w:pPr>
      <w:r>
        <w:rPr>
          <w:rFonts w:hint="eastAsia" w:ascii="黑体" w:hAnsi="黑体" w:eastAsia="黑体" w:cs="黑体"/>
          <w:sz w:val="32"/>
          <w:szCs w:val="32"/>
        </w:rPr>
        <w:t>附</w:t>
      </w:r>
      <w:bookmarkStart w:id="1248" w:name="_Toc296347231"/>
      <w:bookmarkStart w:id="1249" w:name="_Toc267261702"/>
      <w:bookmarkStart w:id="1250" w:name="_Toc296503232"/>
      <w:bookmarkStart w:id="1251" w:name="_Toc296891272"/>
      <w:bookmarkStart w:id="1252" w:name="_Toc296944571"/>
      <w:bookmarkStart w:id="1253" w:name="_Toc296891060"/>
      <w:bookmarkStart w:id="1254" w:name="_Toc296346733"/>
      <w:r>
        <w:rPr>
          <w:rFonts w:hint="eastAsia" w:ascii="黑体" w:hAnsi="黑体" w:eastAsia="黑体" w:cs="黑体"/>
          <w:sz w:val="32"/>
          <w:szCs w:val="32"/>
        </w:rPr>
        <w:t>件</w:t>
      </w:r>
      <w:r>
        <w:rPr>
          <w:rFonts w:hint="eastAsia" w:ascii="黑体" w:hAnsi="黑体" w:eastAsia="黑体" w:cs="黑体"/>
          <w:sz w:val="32"/>
          <w:szCs w:val="32"/>
          <w:lang w:val="en-US" w:eastAsia="zh-CN"/>
        </w:rPr>
        <w:t>5</w:t>
      </w:r>
    </w:p>
    <w:bookmarkEnd w:id="1248"/>
    <w:bookmarkEnd w:id="1249"/>
    <w:bookmarkEnd w:id="1250"/>
    <w:bookmarkEnd w:id="1251"/>
    <w:bookmarkEnd w:id="1252"/>
    <w:bookmarkEnd w:id="1253"/>
    <w:bookmarkEnd w:id="1254"/>
    <w:p w14:paraId="6CE4C0DF">
      <w:pPr>
        <w:spacing w:before="120" w:beforeLines="50" w:after="120" w:afterLines="50" w:line="440" w:lineRule="exact"/>
        <w:jc w:val="center"/>
        <w:rPr>
          <w:rFonts w:eastAsia="黑体"/>
          <w:sz w:val="30"/>
          <w:szCs w:val="30"/>
        </w:rPr>
      </w:pPr>
      <w:r>
        <w:rPr>
          <w:rFonts w:eastAsia="黑体"/>
          <w:sz w:val="30"/>
          <w:szCs w:val="30"/>
        </w:rPr>
        <w:t>预付款担保</w:t>
      </w:r>
      <w:r>
        <w:rPr>
          <w:rFonts w:hint="eastAsia" w:eastAsia="黑体"/>
          <w:sz w:val="30"/>
          <w:szCs w:val="30"/>
        </w:rPr>
        <w:t>（不提供）</w:t>
      </w:r>
    </w:p>
    <w:p w14:paraId="688CCFB9">
      <w:pPr>
        <w:spacing w:line="360" w:lineRule="auto"/>
        <w:jc w:val="center"/>
      </w:pPr>
      <w:r>
        <w:rPr>
          <w:rFonts w:eastAsia="仿宋_GB2312"/>
          <w:sz w:val="28"/>
          <w:szCs w:val="28"/>
        </w:rPr>
        <w:t>(</w:t>
      </w:r>
      <w:r>
        <w:rPr>
          <w:rFonts w:hint="eastAsia" w:eastAsia="仿宋_GB2312"/>
          <w:sz w:val="28"/>
          <w:szCs w:val="28"/>
        </w:rPr>
        <w:t>示例格式，</w:t>
      </w:r>
      <w:r>
        <w:rPr>
          <w:rFonts w:eastAsia="仿宋_GB2312"/>
          <w:sz w:val="28"/>
          <w:szCs w:val="28"/>
        </w:rPr>
        <w:t>以最终</w:t>
      </w:r>
      <w:r>
        <w:rPr>
          <w:rFonts w:hint="eastAsia" w:eastAsia="仿宋_GB2312"/>
          <w:sz w:val="28"/>
          <w:szCs w:val="28"/>
        </w:rPr>
        <w:t>银行开具</w:t>
      </w:r>
      <w:r>
        <w:rPr>
          <w:rFonts w:eastAsia="仿宋_GB2312"/>
          <w:sz w:val="28"/>
          <w:szCs w:val="28"/>
        </w:rPr>
        <w:t>履约担保格式</w:t>
      </w:r>
      <w:r>
        <w:rPr>
          <w:rFonts w:hint="eastAsia" w:eastAsia="仿宋_GB2312"/>
          <w:sz w:val="28"/>
          <w:szCs w:val="28"/>
        </w:rPr>
        <w:t>为准</w:t>
      </w:r>
      <w:r>
        <w:rPr>
          <w:rFonts w:eastAsia="仿宋_GB2312"/>
          <w:sz w:val="28"/>
          <w:szCs w:val="28"/>
        </w:rPr>
        <w:t>）</w:t>
      </w:r>
    </w:p>
    <w:p w14:paraId="280C5D5F">
      <w:pPr>
        <w:spacing w:line="360" w:lineRule="auto"/>
        <w:rPr>
          <w:rFonts w:eastAsia="仿宋_GB2312"/>
          <w:sz w:val="30"/>
          <w:szCs w:val="30"/>
        </w:rPr>
      </w:pPr>
      <w:r>
        <w:rPr>
          <w:rFonts w:eastAsia="仿宋_GB2312"/>
          <w:sz w:val="30"/>
          <w:szCs w:val="30"/>
          <w:u w:val="single"/>
        </w:rPr>
        <w:t xml:space="preserve"> </w:t>
      </w:r>
      <w:r>
        <w:rPr>
          <w:rFonts w:hint="eastAsia" w:eastAsia="仿宋_GB2312"/>
          <w:sz w:val="30"/>
          <w:szCs w:val="30"/>
          <w:u w:val="single"/>
        </w:rPr>
        <w:t>中国重汽集团济南卡车股份有限公司</w:t>
      </w:r>
      <w:r>
        <w:rPr>
          <w:rFonts w:eastAsia="仿宋_GB2312"/>
          <w:sz w:val="30"/>
          <w:szCs w:val="30"/>
          <w:u w:val="single"/>
        </w:rPr>
        <w:t xml:space="preserve"> </w:t>
      </w:r>
      <w:r>
        <w:rPr>
          <w:rFonts w:eastAsia="仿宋_GB2312"/>
          <w:sz w:val="30"/>
          <w:szCs w:val="30"/>
        </w:rPr>
        <w:t xml:space="preserve"> （发包人名称）：</w:t>
      </w:r>
    </w:p>
    <w:p w14:paraId="610727C8">
      <w:pPr>
        <w:spacing w:line="360" w:lineRule="auto"/>
        <w:rPr>
          <w:rFonts w:eastAsia="仿宋_GB2312"/>
          <w:sz w:val="30"/>
          <w:szCs w:val="30"/>
        </w:rPr>
      </w:pPr>
    </w:p>
    <w:p w14:paraId="4A876AE8">
      <w:pPr>
        <w:spacing w:line="360" w:lineRule="auto"/>
        <w:ind w:firstLine="600" w:firstLineChars="200"/>
        <w:rPr>
          <w:rFonts w:eastAsia="仿宋_GB2312"/>
          <w:sz w:val="30"/>
          <w:szCs w:val="30"/>
        </w:rPr>
      </w:pPr>
      <w:r>
        <w:rPr>
          <w:rFonts w:eastAsia="仿宋_GB2312"/>
          <w:sz w:val="30"/>
          <w:szCs w:val="30"/>
        </w:rPr>
        <w:t>根据</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（承包人名称）（以下称</w:t>
      </w:r>
      <w:r>
        <w:rPr>
          <w:rFonts w:hint="eastAsia" w:eastAsia="仿宋_GB2312"/>
          <w:sz w:val="30"/>
          <w:szCs w:val="30"/>
        </w:rPr>
        <w:t>“</w:t>
      </w:r>
      <w:r>
        <w:rPr>
          <w:rFonts w:eastAsia="仿宋_GB2312"/>
          <w:sz w:val="30"/>
          <w:szCs w:val="30"/>
        </w:rPr>
        <w:t>承包人</w:t>
      </w:r>
      <w:r>
        <w:rPr>
          <w:rFonts w:hint="eastAsia" w:eastAsia="仿宋_GB2312"/>
          <w:sz w:val="30"/>
          <w:szCs w:val="30"/>
        </w:rPr>
        <w:t>”</w:t>
      </w:r>
      <w:r>
        <w:rPr>
          <w:rFonts w:eastAsia="仿宋_GB2312"/>
          <w:sz w:val="30"/>
          <w:szCs w:val="30"/>
        </w:rPr>
        <w:t>）与</w:t>
      </w:r>
    </w:p>
    <w:p w14:paraId="2BE77349">
      <w:pPr>
        <w:spacing w:line="360" w:lineRule="auto"/>
        <w:outlineLvl w:val="0"/>
        <w:rPr>
          <w:rFonts w:eastAsia="仿宋_GB2312"/>
          <w:sz w:val="30"/>
          <w:szCs w:val="30"/>
        </w:rPr>
      </w:pPr>
      <w:r>
        <w:rPr>
          <w:rFonts w:eastAsia="仿宋_GB2312"/>
          <w:sz w:val="30"/>
          <w:szCs w:val="30"/>
          <w:u w:val="single"/>
        </w:rPr>
        <w:t xml:space="preserve"> </w:t>
      </w:r>
      <w:bookmarkStart w:id="1255" w:name="_Toc31387"/>
      <w:bookmarkStart w:id="1256" w:name="_Toc75"/>
      <w:bookmarkStart w:id="1257" w:name="_Toc10599"/>
      <w:bookmarkStart w:id="1258" w:name="_Toc22250"/>
      <w:bookmarkStart w:id="1259" w:name="_Toc29499"/>
      <w:r>
        <w:rPr>
          <w:rFonts w:hint="eastAsia" w:eastAsia="仿宋_GB2312"/>
          <w:sz w:val="30"/>
          <w:szCs w:val="30"/>
          <w:u w:val="single"/>
        </w:rPr>
        <w:t>中国重汽集团济南卡车股份有限公司</w:t>
      </w:r>
      <w:r>
        <w:rPr>
          <w:rFonts w:eastAsia="仿宋_GB2312"/>
          <w:sz w:val="30"/>
          <w:szCs w:val="30"/>
          <w:u w:val="single"/>
        </w:rPr>
        <w:t xml:space="preserve"> </w:t>
      </w:r>
      <w:r>
        <w:rPr>
          <w:rFonts w:eastAsia="仿宋_GB2312"/>
          <w:sz w:val="30"/>
          <w:szCs w:val="30"/>
        </w:rPr>
        <w:t>（发包人名称）（以下简称</w:t>
      </w:r>
      <w:r>
        <w:rPr>
          <w:rFonts w:hint="eastAsia" w:eastAsia="仿宋_GB2312"/>
          <w:sz w:val="30"/>
          <w:szCs w:val="30"/>
        </w:rPr>
        <w:t>“</w:t>
      </w:r>
      <w:r>
        <w:rPr>
          <w:rFonts w:eastAsia="仿宋_GB2312"/>
          <w:sz w:val="30"/>
          <w:szCs w:val="30"/>
        </w:rPr>
        <w:t>发包人</w:t>
      </w:r>
      <w:r>
        <w:rPr>
          <w:rFonts w:hint="eastAsia" w:eastAsia="仿宋_GB2312"/>
          <w:sz w:val="30"/>
          <w:szCs w:val="30"/>
        </w:rPr>
        <w:t>”</w:t>
      </w:r>
      <w:r>
        <w:rPr>
          <w:rFonts w:eastAsia="仿宋_GB2312"/>
          <w:sz w:val="30"/>
          <w:szCs w:val="30"/>
        </w:rPr>
        <w:t>）</w:t>
      </w:r>
      <w:bookmarkEnd w:id="1255"/>
      <w:bookmarkEnd w:id="1256"/>
      <w:bookmarkEnd w:id="1257"/>
      <w:bookmarkEnd w:id="1258"/>
      <w:bookmarkEnd w:id="1259"/>
    </w:p>
    <w:p w14:paraId="1ABDE9A2">
      <w:pPr>
        <w:spacing w:line="360" w:lineRule="auto"/>
        <w:rPr>
          <w:rFonts w:eastAsia="仿宋_GB2312"/>
          <w:sz w:val="30"/>
          <w:szCs w:val="30"/>
        </w:rPr>
      </w:pPr>
      <w:r>
        <w:rPr>
          <w:rFonts w:eastAsia="仿宋_GB2312"/>
          <w:sz w:val="30"/>
          <w:szCs w:val="30"/>
        </w:rPr>
        <w:t>于</w:t>
      </w:r>
      <w:r>
        <w:rPr>
          <w:rFonts w:hint="eastAsia" w:eastAsia="仿宋_GB2312"/>
          <w:sz w:val="30"/>
          <w:szCs w:val="30"/>
          <w:u w:val="single"/>
        </w:rPr>
        <w:t>**</w:t>
      </w:r>
      <w:r>
        <w:rPr>
          <w:rFonts w:eastAsia="仿宋_GB2312"/>
          <w:sz w:val="30"/>
          <w:szCs w:val="30"/>
        </w:rPr>
        <w:t>年</w:t>
      </w:r>
      <w:r>
        <w:rPr>
          <w:rFonts w:hint="eastAsia" w:eastAsia="仿宋_GB2312"/>
          <w:sz w:val="30"/>
          <w:szCs w:val="30"/>
          <w:u w:val="single"/>
        </w:rPr>
        <w:t>**</w:t>
      </w:r>
      <w:r>
        <w:rPr>
          <w:rFonts w:eastAsia="仿宋_GB2312"/>
          <w:sz w:val="30"/>
          <w:szCs w:val="30"/>
        </w:rPr>
        <w:t>月</w:t>
      </w:r>
      <w:r>
        <w:rPr>
          <w:rFonts w:hint="eastAsia" w:eastAsia="仿宋_GB2312"/>
          <w:sz w:val="30"/>
          <w:szCs w:val="30"/>
          <w:u w:val="single"/>
        </w:rPr>
        <w:t>**</w:t>
      </w:r>
      <w:r>
        <w:rPr>
          <w:rFonts w:eastAsia="仿宋_GB2312"/>
          <w:sz w:val="30"/>
          <w:szCs w:val="30"/>
        </w:rPr>
        <w:t>日签订的</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（工程名称）《建设工程施工合同》，承包人按约定的金额向</w:t>
      </w:r>
      <w:r>
        <w:rPr>
          <w:rFonts w:hint="eastAsia" w:eastAsia="仿宋_GB2312"/>
          <w:sz w:val="30"/>
          <w:szCs w:val="30"/>
        </w:rPr>
        <w:t>你方</w:t>
      </w:r>
      <w:r>
        <w:rPr>
          <w:rFonts w:eastAsia="仿宋_GB2312"/>
          <w:sz w:val="30"/>
          <w:szCs w:val="30"/>
        </w:rPr>
        <w:t>提交一份预付款担保，即有权得到</w:t>
      </w:r>
      <w:r>
        <w:rPr>
          <w:rFonts w:hint="eastAsia" w:eastAsia="仿宋_GB2312"/>
          <w:sz w:val="30"/>
          <w:szCs w:val="30"/>
        </w:rPr>
        <w:t>你方</w:t>
      </w:r>
      <w:r>
        <w:rPr>
          <w:rFonts w:eastAsia="仿宋_GB2312"/>
          <w:sz w:val="30"/>
          <w:szCs w:val="30"/>
        </w:rPr>
        <w:t>支付相等金额的预付款。我方愿意就你方提供给承包人的预付款</w:t>
      </w:r>
      <w:r>
        <w:rPr>
          <w:rFonts w:hint="eastAsia" w:eastAsia="仿宋_GB2312"/>
          <w:sz w:val="30"/>
          <w:szCs w:val="30"/>
        </w:rPr>
        <w:t>为承包人</w:t>
      </w:r>
      <w:r>
        <w:rPr>
          <w:rFonts w:eastAsia="仿宋_GB2312"/>
          <w:sz w:val="30"/>
          <w:szCs w:val="30"/>
        </w:rPr>
        <w:t>提供连带责任担保。</w:t>
      </w:r>
    </w:p>
    <w:p w14:paraId="7DD2EB83">
      <w:pPr>
        <w:spacing w:line="360" w:lineRule="auto"/>
        <w:ind w:firstLine="600" w:firstLineChars="200"/>
        <w:rPr>
          <w:rFonts w:eastAsia="仿宋_GB2312"/>
          <w:sz w:val="30"/>
          <w:szCs w:val="30"/>
        </w:rPr>
      </w:pPr>
      <w:r>
        <w:rPr>
          <w:rFonts w:hint="eastAsia" w:eastAsia="仿宋_GB2312"/>
          <w:sz w:val="30"/>
          <w:szCs w:val="30"/>
        </w:rPr>
        <w:t>1.</w:t>
      </w:r>
      <w:r>
        <w:rPr>
          <w:rFonts w:eastAsia="仿宋_GB2312"/>
          <w:sz w:val="30"/>
          <w:szCs w:val="30"/>
        </w:rPr>
        <w:t>担保金额人民币（大写）</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hint="eastAsia" w:eastAsia="仿宋_GB2312"/>
          <w:sz w:val="30"/>
          <w:szCs w:val="30"/>
        </w:rPr>
        <w:t>元</w:t>
      </w:r>
      <w:r>
        <w:rPr>
          <w:rFonts w:eastAsia="仿宋_GB2312"/>
          <w:sz w:val="30"/>
          <w:szCs w:val="30"/>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w:t>
      </w:r>
    </w:p>
    <w:p w14:paraId="4B05927B">
      <w:pPr>
        <w:spacing w:line="360" w:lineRule="auto"/>
        <w:ind w:firstLine="600" w:firstLineChars="200"/>
        <w:rPr>
          <w:rFonts w:eastAsia="仿宋_GB2312"/>
          <w:sz w:val="30"/>
          <w:szCs w:val="30"/>
        </w:rPr>
      </w:pPr>
      <w:r>
        <w:rPr>
          <w:rFonts w:hint="eastAsia" w:eastAsia="仿宋_GB2312"/>
          <w:sz w:val="30"/>
          <w:szCs w:val="30"/>
        </w:rPr>
        <w:t>2.</w:t>
      </w:r>
      <w:r>
        <w:rPr>
          <w:rFonts w:eastAsia="仿宋_GB2312"/>
          <w:sz w:val="30"/>
          <w:szCs w:val="30"/>
        </w:rPr>
        <w:t>担保有效期自预付款支付给承包人起生效，至</w:t>
      </w:r>
      <w:r>
        <w:rPr>
          <w:rFonts w:hint="eastAsia" w:eastAsia="仿宋_GB2312"/>
          <w:sz w:val="30"/>
          <w:szCs w:val="30"/>
        </w:rPr>
        <w:t>你方</w:t>
      </w:r>
      <w:r>
        <w:rPr>
          <w:rFonts w:eastAsia="仿宋_GB2312"/>
          <w:sz w:val="30"/>
          <w:szCs w:val="30"/>
        </w:rPr>
        <w:t>签发的</w:t>
      </w:r>
      <w:r>
        <w:rPr>
          <w:rFonts w:hint="eastAsia" w:eastAsia="仿宋_GB2312"/>
          <w:sz w:val="30"/>
          <w:szCs w:val="30"/>
        </w:rPr>
        <w:t>进</w:t>
      </w:r>
      <w:r>
        <w:rPr>
          <w:rFonts w:eastAsia="仿宋_GB2312"/>
          <w:sz w:val="30"/>
          <w:szCs w:val="30"/>
        </w:rPr>
        <w:t>度款支付证书说明已完全扣清止。</w:t>
      </w:r>
    </w:p>
    <w:p w14:paraId="2E4BC189">
      <w:pPr>
        <w:spacing w:line="360" w:lineRule="auto"/>
        <w:ind w:firstLine="600" w:firstLineChars="200"/>
        <w:rPr>
          <w:rFonts w:eastAsia="仿宋_GB2312"/>
          <w:sz w:val="30"/>
          <w:szCs w:val="30"/>
        </w:rPr>
      </w:pPr>
      <w:r>
        <w:rPr>
          <w:rFonts w:hint="eastAsia" w:eastAsia="仿宋_GB2312"/>
          <w:sz w:val="30"/>
          <w:szCs w:val="30"/>
        </w:rPr>
        <w:t>3.</w:t>
      </w:r>
      <w:r>
        <w:rPr>
          <w:rFonts w:eastAsia="仿宋_GB2312"/>
          <w:sz w:val="30"/>
          <w:szCs w:val="30"/>
        </w:rPr>
        <w:t>在本保函有效期内，因承包人违反合同约定的义务而要求</w:t>
      </w:r>
      <w:r>
        <w:rPr>
          <w:rFonts w:hint="eastAsia" w:eastAsia="仿宋_GB2312"/>
          <w:sz w:val="30"/>
          <w:szCs w:val="30"/>
        </w:rPr>
        <w:t>收</w:t>
      </w:r>
      <w:r>
        <w:rPr>
          <w:rFonts w:eastAsia="仿宋_GB2312"/>
          <w:sz w:val="30"/>
          <w:szCs w:val="30"/>
        </w:rPr>
        <w:t>回预付款时，我方在收到你方的书面通知后，在７天内无条件支付。但本保函的担保金额，在任何时候不应超过预付款金额减去</w:t>
      </w:r>
      <w:r>
        <w:rPr>
          <w:rFonts w:hint="eastAsia" w:eastAsia="仿宋_GB2312"/>
          <w:sz w:val="30"/>
          <w:szCs w:val="30"/>
        </w:rPr>
        <w:t>你方</w:t>
      </w:r>
      <w:r>
        <w:rPr>
          <w:rFonts w:eastAsia="仿宋_GB2312"/>
          <w:sz w:val="30"/>
          <w:szCs w:val="30"/>
        </w:rPr>
        <w:t>按合同约定在向承包人签发的进度款支付证书中扣除的金额。</w:t>
      </w:r>
    </w:p>
    <w:p w14:paraId="6E66A9F7">
      <w:pPr>
        <w:spacing w:line="360" w:lineRule="auto"/>
        <w:ind w:firstLine="600" w:firstLineChars="200"/>
        <w:rPr>
          <w:rFonts w:eastAsia="仿宋_GB2312"/>
          <w:sz w:val="30"/>
          <w:szCs w:val="30"/>
        </w:rPr>
      </w:pPr>
      <w:r>
        <w:rPr>
          <w:rFonts w:hint="eastAsia" w:eastAsia="仿宋_GB2312"/>
          <w:sz w:val="30"/>
          <w:szCs w:val="30"/>
        </w:rPr>
        <w:t>4.你方</w:t>
      </w:r>
      <w:r>
        <w:rPr>
          <w:rFonts w:eastAsia="仿宋_GB2312"/>
          <w:sz w:val="30"/>
          <w:szCs w:val="30"/>
        </w:rPr>
        <w:t>和承包人按合同约定变更合同时，我方承担本保函规定的义务不变。</w:t>
      </w:r>
    </w:p>
    <w:p w14:paraId="4B4455D3">
      <w:pPr>
        <w:spacing w:line="360" w:lineRule="auto"/>
        <w:ind w:firstLine="600" w:firstLineChars="200"/>
        <w:jc w:val="left"/>
        <w:rPr>
          <w:rFonts w:eastAsia="仿宋_GB2312"/>
          <w:sz w:val="30"/>
          <w:szCs w:val="30"/>
        </w:rPr>
      </w:pPr>
      <w:r>
        <w:rPr>
          <w:rFonts w:hint="eastAsia" w:eastAsia="仿宋_GB2312"/>
          <w:sz w:val="30"/>
          <w:szCs w:val="30"/>
        </w:rPr>
        <w:t>5.</w:t>
      </w:r>
      <w:r>
        <w:rPr>
          <w:rFonts w:eastAsia="仿宋_GB2312"/>
          <w:sz w:val="30"/>
          <w:szCs w:val="30"/>
        </w:rPr>
        <w:t>因本保函发生的纠纷，可由双方协商解决，协商不成的，任何一方均可提请</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仲裁委员会仲裁。</w:t>
      </w:r>
    </w:p>
    <w:p w14:paraId="26B3EFD9">
      <w:pPr>
        <w:spacing w:line="360" w:lineRule="auto"/>
        <w:ind w:firstLine="600" w:firstLineChars="200"/>
        <w:jc w:val="left"/>
        <w:rPr>
          <w:rFonts w:eastAsia="仿宋_GB2312"/>
          <w:sz w:val="30"/>
          <w:szCs w:val="30"/>
        </w:rPr>
      </w:pPr>
      <w:r>
        <w:rPr>
          <w:rFonts w:hint="eastAsia" w:eastAsia="仿宋_GB2312"/>
          <w:sz w:val="30"/>
          <w:szCs w:val="30"/>
        </w:rPr>
        <w:t>6.</w:t>
      </w:r>
      <w:r>
        <w:rPr>
          <w:rFonts w:eastAsia="仿宋_GB2312"/>
          <w:sz w:val="30"/>
          <w:szCs w:val="30"/>
        </w:rPr>
        <w:t>本保函自我方法定代表人（或其授权代理人）签字并加盖公章之日起生效。</w:t>
      </w:r>
    </w:p>
    <w:p w14:paraId="7EAB11B5">
      <w:pPr>
        <w:spacing w:line="360" w:lineRule="auto"/>
        <w:rPr>
          <w:rFonts w:eastAsia="仿宋_GB2312"/>
          <w:sz w:val="30"/>
          <w:szCs w:val="30"/>
        </w:rPr>
      </w:pPr>
    </w:p>
    <w:p w14:paraId="7F31F38C">
      <w:pPr>
        <w:spacing w:line="360" w:lineRule="auto"/>
        <w:rPr>
          <w:rFonts w:eastAsia="仿宋_GB2312"/>
          <w:sz w:val="30"/>
          <w:szCs w:val="30"/>
        </w:rPr>
      </w:pPr>
    </w:p>
    <w:p w14:paraId="34F4E213">
      <w:pPr>
        <w:spacing w:line="360" w:lineRule="auto"/>
        <w:rPr>
          <w:rFonts w:eastAsia="仿宋_GB2312"/>
          <w:sz w:val="30"/>
          <w:szCs w:val="30"/>
        </w:rPr>
      </w:pPr>
      <w:r>
        <w:rPr>
          <w:rFonts w:eastAsia="仿宋_GB2312"/>
          <w:sz w:val="30"/>
          <w:szCs w:val="30"/>
        </w:rPr>
        <w:t>担保人：</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（盖单位章）</w:t>
      </w:r>
    </w:p>
    <w:p w14:paraId="170C3863">
      <w:pPr>
        <w:spacing w:line="360" w:lineRule="auto"/>
        <w:rPr>
          <w:rFonts w:eastAsia="仿宋_GB2312"/>
          <w:sz w:val="30"/>
          <w:szCs w:val="30"/>
        </w:rPr>
      </w:pPr>
      <w:r>
        <w:rPr>
          <w:rFonts w:eastAsia="仿宋_GB2312"/>
          <w:sz w:val="30"/>
          <w:szCs w:val="30"/>
        </w:rPr>
        <w:t>法定代表人或其委托代理人：</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（签字）</w:t>
      </w:r>
    </w:p>
    <w:p w14:paraId="5453D689">
      <w:pPr>
        <w:spacing w:line="360" w:lineRule="auto"/>
        <w:rPr>
          <w:rFonts w:eastAsia="仿宋_GB2312"/>
          <w:sz w:val="30"/>
          <w:szCs w:val="30"/>
        </w:rPr>
      </w:pPr>
      <w:r>
        <w:rPr>
          <w:rFonts w:eastAsia="仿宋_GB2312"/>
          <w:sz w:val="30"/>
          <w:szCs w:val="30"/>
        </w:rPr>
        <w:t>地    址：</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3B8C4645">
      <w:pPr>
        <w:spacing w:line="360" w:lineRule="auto"/>
        <w:rPr>
          <w:rFonts w:eastAsia="仿宋_GB2312"/>
          <w:sz w:val="30"/>
          <w:szCs w:val="30"/>
          <w:u w:val="single"/>
        </w:rPr>
      </w:pPr>
      <w:r>
        <w:rPr>
          <w:rFonts w:eastAsia="仿宋_GB2312"/>
          <w:sz w:val="30"/>
          <w:szCs w:val="30"/>
        </w:rPr>
        <w:t>邮政编码：</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29FD268A">
      <w:pPr>
        <w:spacing w:line="360" w:lineRule="auto"/>
        <w:rPr>
          <w:rFonts w:eastAsia="仿宋_GB2312"/>
          <w:sz w:val="30"/>
          <w:szCs w:val="30"/>
          <w:u w:val="single"/>
        </w:rPr>
      </w:pPr>
      <w:r>
        <w:rPr>
          <w:rFonts w:eastAsia="仿宋_GB2312"/>
          <w:sz w:val="30"/>
          <w:szCs w:val="30"/>
        </w:rPr>
        <w:t>电    话：</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06D2162A">
      <w:pPr>
        <w:spacing w:line="360" w:lineRule="auto"/>
        <w:rPr>
          <w:rFonts w:eastAsia="仿宋_GB2312"/>
          <w:sz w:val="30"/>
          <w:szCs w:val="30"/>
          <w:u w:val="single"/>
        </w:rPr>
      </w:pPr>
      <w:r>
        <w:rPr>
          <w:rFonts w:eastAsia="仿宋_GB2312"/>
          <w:sz w:val="30"/>
          <w:szCs w:val="30"/>
        </w:rPr>
        <w:t>传    真：</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p>
    <w:p w14:paraId="75201946">
      <w:pPr>
        <w:spacing w:line="360" w:lineRule="auto"/>
        <w:rPr>
          <w:rFonts w:eastAsia="仿宋_GB2312"/>
          <w:sz w:val="30"/>
          <w:szCs w:val="30"/>
        </w:rPr>
      </w:pPr>
      <w:r>
        <w:rPr>
          <w:rFonts w:eastAsia="仿宋_GB2312"/>
          <w:sz w:val="30"/>
          <w:szCs w:val="30"/>
        </w:rPr>
        <w:t xml:space="preserve">  </w:t>
      </w:r>
    </w:p>
    <w:p w14:paraId="10D7ECFE">
      <w:pPr>
        <w:spacing w:line="360" w:lineRule="auto"/>
        <w:rPr>
          <w:rFonts w:eastAsia="仿宋_GB2312"/>
          <w:sz w:val="30"/>
          <w:szCs w:val="30"/>
          <w:u w:val="single"/>
        </w:rPr>
      </w:pPr>
    </w:p>
    <w:p w14:paraId="01444BF5">
      <w:pPr>
        <w:spacing w:line="360" w:lineRule="auto"/>
        <w:jc w:val="right"/>
        <w:rPr>
          <w:rFonts w:eastAsia="仿宋_GB2312"/>
          <w:sz w:val="30"/>
          <w:szCs w:val="30"/>
        </w:rPr>
      </w:pPr>
      <w:r>
        <w:rPr>
          <w:rFonts w:eastAsia="仿宋_GB2312"/>
          <w:sz w:val="30"/>
          <w:szCs w:val="30"/>
        </w:rPr>
        <w:t xml:space="preserve">          </w:t>
      </w:r>
      <w:r>
        <w:rPr>
          <w:rFonts w:hint="eastAsia"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年</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月</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日</w:t>
      </w:r>
    </w:p>
    <w:p w14:paraId="10683D52">
      <w:pPr>
        <w:spacing w:line="440" w:lineRule="exact"/>
        <w:rPr>
          <w:rFonts w:hint="eastAsia" w:eastAsia="黑体"/>
          <w:sz w:val="30"/>
          <w:szCs w:val="30"/>
          <w:lang w:val="en-US" w:eastAsia="zh-CN"/>
        </w:rPr>
      </w:pPr>
      <w:r>
        <w:rPr>
          <w:rFonts w:eastAsia="仿宋_GB2312"/>
          <w:b/>
          <w:sz w:val="30"/>
          <w:szCs w:val="30"/>
        </w:rPr>
        <w:br w:type="page"/>
      </w:r>
      <w:r>
        <w:rPr>
          <w:rFonts w:hint="eastAsia" w:ascii="黑体" w:hAnsi="黑体" w:eastAsia="黑体" w:cs="黑体"/>
          <w:sz w:val="32"/>
          <w:szCs w:val="32"/>
        </w:rPr>
        <w:t>附</w:t>
      </w:r>
      <w:bookmarkStart w:id="1260" w:name="_Toc296891061"/>
      <w:bookmarkStart w:id="1261" w:name="_Toc296503233"/>
      <w:bookmarkStart w:id="1262" w:name="_Toc296346734"/>
      <w:bookmarkStart w:id="1263" w:name="_Toc296347232"/>
      <w:bookmarkStart w:id="1264" w:name="_Toc296891273"/>
      <w:bookmarkStart w:id="1265" w:name="_Toc296944572"/>
      <w:r>
        <w:rPr>
          <w:rFonts w:hint="eastAsia" w:ascii="黑体" w:hAnsi="黑体" w:eastAsia="黑体" w:cs="黑体"/>
          <w:sz w:val="32"/>
          <w:szCs w:val="32"/>
        </w:rPr>
        <w:t>件</w:t>
      </w:r>
      <w:r>
        <w:rPr>
          <w:rFonts w:hint="eastAsia" w:ascii="黑体" w:hAnsi="黑体" w:eastAsia="黑体" w:cs="黑体"/>
          <w:sz w:val="32"/>
          <w:szCs w:val="32"/>
          <w:lang w:val="en-US" w:eastAsia="zh-CN"/>
        </w:rPr>
        <w:t>6</w:t>
      </w:r>
    </w:p>
    <w:bookmarkEnd w:id="1260"/>
    <w:bookmarkEnd w:id="1261"/>
    <w:bookmarkEnd w:id="1262"/>
    <w:bookmarkEnd w:id="1263"/>
    <w:bookmarkEnd w:id="1264"/>
    <w:bookmarkEnd w:id="1265"/>
    <w:p w14:paraId="6ECE6187">
      <w:pPr>
        <w:spacing w:before="120" w:beforeLines="50" w:after="120" w:afterLines="50" w:line="440" w:lineRule="exact"/>
        <w:jc w:val="center"/>
        <w:rPr>
          <w:rFonts w:eastAsia="黑体"/>
          <w:sz w:val="30"/>
          <w:szCs w:val="30"/>
        </w:rPr>
      </w:pPr>
      <w:r>
        <w:rPr>
          <w:rFonts w:eastAsia="黑体"/>
          <w:sz w:val="30"/>
          <w:szCs w:val="30"/>
        </w:rPr>
        <w:t>支付担保</w:t>
      </w:r>
      <w:r>
        <w:rPr>
          <w:rFonts w:hint="eastAsia" w:eastAsia="黑体"/>
          <w:sz w:val="30"/>
          <w:szCs w:val="30"/>
        </w:rPr>
        <w:t>（不提供）</w:t>
      </w:r>
    </w:p>
    <w:p w14:paraId="41E68E80">
      <w:pPr>
        <w:spacing w:line="440" w:lineRule="exact"/>
        <w:jc w:val="left"/>
        <w:rPr>
          <w:rFonts w:eastAsia="仿宋_GB2312"/>
          <w:sz w:val="30"/>
          <w:szCs w:val="30"/>
        </w:rPr>
      </w:pP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（承包人）：</w:t>
      </w:r>
    </w:p>
    <w:p w14:paraId="5D8BECCC">
      <w:pPr>
        <w:spacing w:line="440" w:lineRule="exact"/>
        <w:jc w:val="left"/>
        <w:rPr>
          <w:rFonts w:eastAsia="仿宋_GB2312"/>
          <w:sz w:val="30"/>
          <w:szCs w:val="30"/>
        </w:rPr>
      </w:pPr>
    </w:p>
    <w:p w14:paraId="68B2D08A">
      <w:pPr>
        <w:spacing w:line="360" w:lineRule="auto"/>
        <w:ind w:firstLine="600" w:firstLineChars="200"/>
        <w:jc w:val="left"/>
        <w:rPr>
          <w:rFonts w:eastAsia="仿宋_GB2312"/>
          <w:sz w:val="30"/>
          <w:szCs w:val="30"/>
        </w:rPr>
      </w:pPr>
      <w:r>
        <w:rPr>
          <w:rFonts w:eastAsia="仿宋_GB2312"/>
          <w:sz w:val="30"/>
          <w:szCs w:val="30"/>
        </w:rPr>
        <w:t>鉴于你方作为承包人已经与</w:t>
      </w:r>
      <w:r>
        <w:rPr>
          <w:rFonts w:eastAsia="仿宋_GB2312"/>
          <w:sz w:val="30"/>
          <w:szCs w:val="30"/>
          <w:u w:val="single"/>
        </w:rPr>
        <w:t xml:space="preserve"> </w:t>
      </w:r>
      <w:r>
        <w:rPr>
          <w:rFonts w:hint="eastAsia" w:eastAsia="仿宋_GB2312"/>
          <w:sz w:val="30"/>
          <w:szCs w:val="30"/>
          <w:u w:val="single"/>
        </w:rPr>
        <w:t>中国重汽集团济南卡车股份有限公司</w:t>
      </w:r>
      <w:r>
        <w:rPr>
          <w:rFonts w:eastAsia="仿宋_GB2312"/>
          <w:sz w:val="30"/>
          <w:szCs w:val="30"/>
          <w:u w:val="single"/>
        </w:rPr>
        <w:t xml:space="preserve"> </w:t>
      </w:r>
      <w:r>
        <w:rPr>
          <w:rFonts w:eastAsia="仿宋_GB2312"/>
          <w:sz w:val="30"/>
          <w:szCs w:val="30"/>
        </w:rPr>
        <w:t>（发包人名称）（以下称</w:t>
      </w:r>
      <w:r>
        <w:rPr>
          <w:rFonts w:hint="eastAsia" w:eastAsia="仿宋_GB2312"/>
          <w:sz w:val="30"/>
          <w:szCs w:val="30"/>
        </w:rPr>
        <w:t>“</w:t>
      </w:r>
      <w:r>
        <w:rPr>
          <w:rFonts w:eastAsia="仿宋_GB2312"/>
          <w:sz w:val="30"/>
          <w:szCs w:val="30"/>
        </w:rPr>
        <w:t>发包人</w:t>
      </w:r>
      <w:r>
        <w:rPr>
          <w:rFonts w:hint="eastAsia" w:eastAsia="仿宋_GB2312"/>
          <w:sz w:val="30"/>
          <w:szCs w:val="30"/>
        </w:rPr>
        <w:t>”</w:t>
      </w:r>
      <w:r>
        <w:rPr>
          <w:rFonts w:eastAsia="仿宋_GB2312"/>
          <w:sz w:val="30"/>
          <w:szCs w:val="30"/>
        </w:rPr>
        <w:t>）于</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年</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月</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日签订了</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u w:val="single"/>
        </w:rPr>
        <w:t xml:space="preserve"> </w:t>
      </w:r>
      <w:r>
        <w:rPr>
          <w:rFonts w:eastAsia="仿宋_GB2312"/>
          <w:sz w:val="30"/>
          <w:szCs w:val="30"/>
        </w:rPr>
        <w:t>（工程名称）《建设工程施工合同》（以下称</w:t>
      </w:r>
      <w:r>
        <w:rPr>
          <w:rFonts w:hint="eastAsia" w:eastAsia="仿宋_GB2312"/>
          <w:sz w:val="30"/>
          <w:szCs w:val="30"/>
        </w:rPr>
        <w:t>“</w:t>
      </w:r>
      <w:r>
        <w:rPr>
          <w:rFonts w:eastAsia="仿宋_GB2312"/>
          <w:sz w:val="30"/>
          <w:szCs w:val="30"/>
        </w:rPr>
        <w:t>主合同</w:t>
      </w:r>
      <w:r>
        <w:rPr>
          <w:rFonts w:hint="eastAsia" w:eastAsia="仿宋_GB2312"/>
          <w:sz w:val="30"/>
          <w:szCs w:val="30"/>
        </w:rPr>
        <w:t>”</w:t>
      </w:r>
      <w:r>
        <w:rPr>
          <w:rFonts w:eastAsia="仿宋_GB2312"/>
          <w:sz w:val="30"/>
          <w:szCs w:val="30"/>
        </w:rPr>
        <w:t>），应发包人的申请，我方愿就发包人履行主合同约定的工程款支付义务以保证的方式向你方提供如下担保：</w:t>
      </w:r>
    </w:p>
    <w:p w14:paraId="1CD505BA">
      <w:pPr>
        <w:spacing w:line="360" w:lineRule="auto"/>
        <w:ind w:firstLine="600" w:firstLineChars="200"/>
        <w:jc w:val="left"/>
        <w:outlineLvl w:val="0"/>
        <w:rPr>
          <w:rFonts w:eastAsia="黑体"/>
          <w:sz w:val="30"/>
          <w:szCs w:val="30"/>
        </w:rPr>
      </w:pPr>
      <w:bookmarkStart w:id="1266" w:name="_Toc28845"/>
      <w:bookmarkStart w:id="1267" w:name="_Toc10457"/>
      <w:bookmarkStart w:id="1268" w:name="_Toc24146"/>
      <w:bookmarkStart w:id="1269" w:name="_Toc55"/>
      <w:bookmarkStart w:id="1270" w:name="_Toc4957"/>
      <w:r>
        <w:rPr>
          <w:rFonts w:eastAsia="黑体"/>
          <w:sz w:val="30"/>
          <w:szCs w:val="30"/>
        </w:rPr>
        <w:t>一、保证的范围及保证金额</w:t>
      </w:r>
      <w:bookmarkEnd w:id="1266"/>
      <w:bookmarkEnd w:id="1267"/>
      <w:bookmarkEnd w:id="1268"/>
      <w:bookmarkEnd w:id="1269"/>
      <w:bookmarkEnd w:id="1270"/>
    </w:p>
    <w:p w14:paraId="1FC8A689">
      <w:pPr>
        <w:spacing w:line="360" w:lineRule="auto"/>
        <w:ind w:firstLine="600" w:firstLineChars="200"/>
        <w:jc w:val="left"/>
        <w:rPr>
          <w:rFonts w:eastAsia="仿宋_GB2312"/>
          <w:sz w:val="30"/>
          <w:szCs w:val="30"/>
        </w:rPr>
      </w:pPr>
      <w:r>
        <w:rPr>
          <w:rFonts w:hint="eastAsia" w:eastAsia="仿宋_GB2312"/>
          <w:sz w:val="30"/>
          <w:szCs w:val="30"/>
        </w:rPr>
        <w:t>1.</w:t>
      </w:r>
      <w:r>
        <w:rPr>
          <w:rFonts w:eastAsia="仿宋_GB2312"/>
          <w:sz w:val="30"/>
          <w:szCs w:val="30"/>
        </w:rPr>
        <w:t>我方的保证范围是主合同约定的工程款。</w:t>
      </w:r>
    </w:p>
    <w:p w14:paraId="13BABD13">
      <w:pPr>
        <w:spacing w:line="360" w:lineRule="auto"/>
        <w:ind w:firstLine="600" w:firstLineChars="200"/>
        <w:jc w:val="left"/>
        <w:rPr>
          <w:rFonts w:eastAsia="仿宋_GB2312"/>
          <w:sz w:val="30"/>
          <w:szCs w:val="30"/>
        </w:rPr>
      </w:pPr>
      <w:r>
        <w:rPr>
          <w:rFonts w:hint="eastAsia" w:eastAsia="仿宋_GB2312"/>
          <w:sz w:val="30"/>
          <w:szCs w:val="30"/>
        </w:rPr>
        <w:t>2.</w:t>
      </w:r>
      <w:r>
        <w:rPr>
          <w:rFonts w:eastAsia="仿宋_GB2312"/>
          <w:sz w:val="30"/>
          <w:szCs w:val="30"/>
        </w:rPr>
        <w:t>本保函所称主合同约定的工程款是指主合同约定的除工程质量保证金以外的合同价款</w:t>
      </w:r>
      <w:r>
        <w:rPr>
          <w:rFonts w:hint="eastAsia" w:eastAsia="仿宋_GB2312"/>
          <w:iCs/>
          <w:sz w:val="30"/>
          <w:szCs w:val="30"/>
        </w:rPr>
        <w:t>，包括人工费与其他工程款</w:t>
      </w:r>
      <w:r>
        <w:rPr>
          <w:rFonts w:eastAsia="仿宋_GB2312"/>
          <w:sz w:val="30"/>
          <w:szCs w:val="30"/>
        </w:rPr>
        <w:t>。</w:t>
      </w:r>
    </w:p>
    <w:p w14:paraId="37163F67">
      <w:pPr>
        <w:spacing w:line="360" w:lineRule="auto"/>
        <w:ind w:firstLine="600" w:firstLineChars="200"/>
        <w:jc w:val="left"/>
        <w:rPr>
          <w:rFonts w:eastAsia="仿宋_GB2312"/>
          <w:sz w:val="30"/>
          <w:szCs w:val="30"/>
        </w:rPr>
      </w:pPr>
      <w:r>
        <w:rPr>
          <w:rFonts w:hint="eastAsia" w:eastAsia="仿宋_GB2312"/>
          <w:sz w:val="30"/>
          <w:szCs w:val="30"/>
        </w:rPr>
        <w:t>3.</w:t>
      </w:r>
      <w:r>
        <w:rPr>
          <w:rFonts w:eastAsia="仿宋_GB2312"/>
          <w:sz w:val="30"/>
          <w:szCs w:val="30"/>
        </w:rPr>
        <w:t>我方保证的金额是主合同约定的工程款的</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%，数额最高不超过人民币元（大写：</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w:t>
      </w:r>
    </w:p>
    <w:p w14:paraId="331E7A8E">
      <w:pPr>
        <w:spacing w:line="360" w:lineRule="auto"/>
        <w:ind w:firstLine="600" w:firstLineChars="200"/>
        <w:jc w:val="left"/>
        <w:rPr>
          <w:rFonts w:eastAsia="仿宋_GB2312"/>
          <w:iCs/>
          <w:sz w:val="30"/>
          <w:szCs w:val="30"/>
        </w:rPr>
      </w:pPr>
      <w:r>
        <w:rPr>
          <w:rFonts w:hint="eastAsia" w:eastAsia="仿宋_GB2312"/>
          <w:iCs/>
          <w:sz w:val="30"/>
          <w:szCs w:val="30"/>
        </w:rPr>
        <w:t>4.我方保证范围内主合同约定的人工费支付采用以下第</w:t>
      </w:r>
      <w:r>
        <w:rPr>
          <w:rFonts w:hint="eastAsia" w:eastAsia="仿宋_GB2312"/>
          <w:iCs/>
          <w:sz w:val="30"/>
          <w:szCs w:val="30"/>
          <w:u w:val="single"/>
        </w:rPr>
        <w:t xml:space="preserve"> </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iCs/>
          <w:sz w:val="30"/>
          <w:szCs w:val="30"/>
          <w:u w:val="single"/>
        </w:rPr>
        <w:t xml:space="preserve"> </w:t>
      </w:r>
      <w:r>
        <w:rPr>
          <w:rFonts w:hint="eastAsia" w:eastAsia="仿宋_GB2312"/>
          <w:iCs/>
          <w:sz w:val="30"/>
          <w:szCs w:val="30"/>
        </w:rPr>
        <w:t>种方式：</w:t>
      </w:r>
    </w:p>
    <w:p w14:paraId="3DE470FA">
      <w:pPr>
        <w:spacing w:line="360" w:lineRule="auto"/>
        <w:ind w:firstLine="600" w:firstLineChars="200"/>
        <w:jc w:val="left"/>
        <w:rPr>
          <w:rFonts w:eastAsia="仿宋_GB2312"/>
          <w:iCs/>
          <w:sz w:val="30"/>
          <w:szCs w:val="30"/>
        </w:rPr>
      </w:pPr>
      <w:r>
        <w:rPr>
          <w:rFonts w:hint="eastAsia" w:eastAsia="仿宋_GB2312"/>
          <w:iCs/>
          <w:sz w:val="30"/>
          <w:szCs w:val="30"/>
        </w:rPr>
        <w:t>（1）一次性预付；</w:t>
      </w:r>
    </w:p>
    <w:p w14:paraId="161F4F9A">
      <w:pPr>
        <w:spacing w:line="360" w:lineRule="auto"/>
        <w:ind w:firstLine="600" w:firstLineChars="200"/>
        <w:jc w:val="left"/>
        <w:rPr>
          <w:rFonts w:eastAsia="仿宋_GB2312"/>
          <w:iCs/>
          <w:sz w:val="30"/>
          <w:szCs w:val="30"/>
        </w:rPr>
      </w:pPr>
      <w:r>
        <w:rPr>
          <w:rFonts w:hint="eastAsia" w:eastAsia="仿宋_GB2312"/>
          <w:iCs/>
          <w:sz w:val="30"/>
          <w:szCs w:val="30"/>
        </w:rPr>
        <w:t>（2）按月预付；</w:t>
      </w:r>
    </w:p>
    <w:p w14:paraId="184B1821">
      <w:pPr>
        <w:spacing w:line="360" w:lineRule="auto"/>
        <w:ind w:firstLine="600" w:firstLineChars="200"/>
        <w:jc w:val="left"/>
        <w:rPr>
          <w:rFonts w:eastAsia="仿宋_GB2312"/>
          <w:iCs/>
          <w:sz w:val="30"/>
          <w:szCs w:val="30"/>
        </w:rPr>
      </w:pPr>
      <w:r>
        <w:rPr>
          <w:rFonts w:hint="eastAsia" w:eastAsia="仿宋_GB2312"/>
          <w:iCs/>
          <w:sz w:val="30"/>
          <w:szCs w:val="30"/>
        </w:rPr>
        <w:t>（3）按节点预付；</w:t>
      </w:r>
    </w:p>
    <w:p w14:paraId="24F01F36">
      <w:pPr>
        <w:spacing w:line="360" w:lineRule="auto"/>
        <w:ind w:firstLine="600" w:firstLineChars="200"/>
        <w:jc w:val="left"/>
        <w:rPr>
          <w:rFonts w:eastAsia="仿宋_GB2312"/>
          <w:iCs/>
          <w:sz w:val="30"/>
          <w:szCs w:val="30"/>
        </w:rPr>
      </w:pPr>
      <w:r>
        <w:rPr>
          <w:rFonts w:hint="eastAsia" w:eastAsia="仿宋_GB2312"/>
          <w:iCs/>
          <w:sz w:val="30"/>
          <w:szCs w:val="30"/>
        </w:rPr>
        <w:t>（4）按月支付。</w:t>
      </w:r>
    </w:p>
    <w:p w14:paraId="3E552715">
      <w:pPr>
        <w:spacing w:line="360" w:lineRule="auto"/>
        <w:ind w:firstLine="600" w:firstLineChars="200"/>
        <w:jc w:val="left"/>
        <w:outlineLvl w:val="0"/>
        <w:rPr>
          <w:rFonts w:eastAsia="黑体"/>
          <w:sz w:val="30"/>
          <w:szCs w:val="30"/>
        </w:rPr>
      </w:pPr>
      <w:bookmarkStart w:id="1271" w:name="_Toc5142"/>
      <w:bookmarkStart w:id="1272" w:name="_Toc13820"/>
      <w:bookmarkStart w:id="1273" w:name="_Toc9368"/>
      <w:bookmarkStart w:id="1274" w:name="_Toc19017"/>
      <w:bookmarkStart w:id="1275" w:name="_Toc27528"/>
      <w:r>
        <w:rPr>
          <w:rFonts w:eastAsia="黑体"/>
          <w:sz w:val="30"/>
          <w:szCs w:val="30"/>
        </w:rPr>
        <w:t>二、保证的方式及保证期间</w:t>
      </w:r>
      <w:bookmarkEnd w:id="1271"/>
      <w:bookmarkEnd w:id="1272"/>
      <w:bookmarkEnd w:id="1273"/>
      <w:bookmarkEnd w:id="1274"/>
      <w:bookmarkEnd w:id="1275"/>
    </w:p>
    <w:p w14:paraId="572DD4C2">
      <w:pPr>
        <w:spacing w:line="360" w:lineRule="auto"/>
        <w:ind w:firstLine="600" w:firstLineChars="200"/>
        <w:jc w:val="left"/>
        <w:rPr>
          <w:rFonts w:eastAsia="仿宋_GB2312"/>
          <w:sz w:val="30"/>
          <w:szCs w:val="30"/>
        </w:rPr>
      </w:pPr>
      <w:r>
        <w:rPr>
          <w:rFonts w:hint="eastAsia" w:eastAsia="仿宋_GB2312"/>
          <w:sz w:val="30"/>
          <w:szCs w:val="30"/>
        </w:rPr>
        <w:t>1.</w:t>
      </w:r>
      <w:r>
        <w:rPr>
          <w:rFonts w:eastAsia="仿宋_GB2312"/>
          <w:sz w:val="30"/>
          <w:szCs w:val="30"/>
        </w:rPr>
        <w:t>我方保证的方式为：连带责任保证。</w:t>
      </w:r>
    </w:p>
    <w:p w14:paraId="0B4E9E05">
      <w:pPr>
        <w:spacing w:line="360" w:lineRule="auto"/>
        <w:ind w:firstLine="600" w:firstLineChars="200"/>
        <w:jc w:val="left"/>
        <w:rPr>
          <w:rFonts w:eastAsia="仿宋_GB2312"/>
          <w:sz w:val="30"/>
          <w:szCs w:val="30"/>
        </w:rPr>
      </w:pPr>
      <w:r>
        <w:rPr>
          <w:rFonts w:hint="eastAsia" w:eastAsia="仿宋_GB2312"/>
          <w:sz w:val="30"/>
          <w:szCs w:val="30"/>
        </w:rPr>
        <w:t>2.</w:t>
      </w:r>
      <w:r>
        <w:rPr>
          <w:rFonts w:eastAsia="仿宋_GB2312"/>
          <w:sz w:val="30"/>
          <w:szCs w:val="30"/>
        </w:rPr>
        <w:t>我方保证的期间为：自本合同生效之日起至主合同约定的工程款支付完毕之日后</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日内。</w:t>
      </w:r>
    </w:p>
    <w:p w14:paraId="17ADA595">
      <w:pPr>
        <w:spacing w:line="360" w:lineRule="auto"/>
        <w:ind w:firstLine="600" w:firstLineChars="200"/>
        <w:jc w:val="left"/>
        <w:rPr>
          <w:rFonts w:eastAsia="仿宋_GB2312"/>
          <w:sz w:val="30"/>
          <w:szCs w:val="30"/>
        </w:rPr>
      </w:pPr>
      <w:r>
        <w:rPr>
          <w:rFonts w:hint="eastAsia" w:eastAsia="仿宋_GB2312"/>
          <w:sz w:val="30"/>
          <w:szCs w:val="30"/>
        </w:rPr>
        <w:t>3.</w:t>
      </w:r>
      <w:r>
        <w:rPr>
          <w:rFonts w:eastAsia="仿宋_GB2312"/>
          <w:sz w:val="30"/>
          <w:szCs w:val="30"/>
        </w:rPr>
        <w:t>你方与发包人协议变更工程款支付日期的，经我方书面同意后，保证期间按照变更后的支付日期做相应调整。</w:t>
      </w:r>
    </w:p>
    <w:p w14:paraId="61B885D4">
      <w:pPr>
        <w:spacing w:line="360" w:lineRule="auto"/>
        <w:ind w:firstLine="600" w:firstLineChars="200"/>
        <w:jc w:val="left"/>
        <w:outlineLvl w:val="0"/>
        <w:rPr>
          <w:rFonts w:eastAsia="黑体"/>
          <w:sz w:val="30"/>
          <w:szCs w:val="30"/>
        </w:rPr>
      </w:pPr>
      <w:bookmarkStart w:id="1276" w:name="_Toc16254"/>
      <w:bookmarkStart w:id="1277" w:name="_Toc31021"/>
      <w:bookmarkStart w:id="1278" w:name="_Toc25842"/>
      <w:bookmarkStart w:id="1279" w:name="_Toc3898"/>
      <w:bookmarkStart w:id="1280" w:name="_Toc12269"/>
      <w:r>
        <w:rPr>
          <w:rFonts w:eastAsia="黑体"/>
          <w:sz w:val="30"/>
          <w:szCs w:val="30"/>
        </w:rPr>
        <w:t>三、承担保证责任的形式</w:t>
      </w:r>
      <w:bookmarkEnd w:id="1276"/>
      <w:bookmarkEnd w:id="1277"/>
      <w:bookmarkEnd w:id="1278"/>
      <w:bookmarkEnd w:id="1279"/>
      <w:bookmarkEnd w:id="1280"/>
    </w:p>
    <w:p w14:paraId="73D93023">
      <w:pPr>
        <w:spacing w:line="360" w:lineRule="auto"/>
        <w:ind w:firstLine="600" w:firstLineChars="200"/>
        <w:jc w:val="left"/>
        <w:rPr>
          <w:rFonts w:eastAsia="仿宋_GB2312"/>
          <w:sz w:val="30"/>
          <w:szCs w:val="30"/>
        </w:rPr>
      </w:pPr>
      <w:r>
        <w:rPr>
          <w:rFonts w:eastAsia="仿宋_GB2312"/>
          <w:sz w:val="30"/>
          <w:szCs w:val="30"/>
        </w:rPr>
        <w:t>我方承担保证责任的形式是代为支付。发包人未按主合同约定向你方支付工程款的，由我方在保证金额内代为支付。</w:t>
      </w:r>
    </w:p>
    <w:p w14:paraId="147C6440">
      <w:pPr>
        <w:spacing w:line="360" w:lineRule="auto"/>
        <w:ind w:firstLine="600" w:firstLineChars="200"/>
        <w:jc w:val="left"/>
        <w:outlineLvl w:val="0"/>
        <w:rPr>
          <w:rFonts w:eastAsia="黑体"/>
          <w:sz w:val="30"/>
          <w:szCs w:val="30"/>
        </w:rPr>
      </w:pPr>
      <w:bookmarkStart w:id="1281" w:name="_Toc13188"/>
      <w:bookmarkStart w:id="1282" w:name="_Toc447"/>
      <w:bookmarkStart w:id="1283" w:name="_Toc15220"/>
      <w:bookmarkStart w:id="1284" w:name="_Toc11203"/>
      <w:bookmarkStart w:id="1285" w:name="_Toc21184"/>
      <w:r>
        <w:rPr>
          <w:rFonts w:eastAsia="黑体"/>
          <w:sz w:val="30"/>
          <w:szCs w:val="30"/>
        </w:rPr>
        <w:t>四、代偿的安排</w:t>
      </w:r>
      <w:bookmarkEnd w:id="1281"/>
      <w:bookmarkEnd w:id="1282"/>
      <w:bookmarkEnd w:id="1283"/>
      <w:bookmarkEnd w:id="1284"/>
      <w:bookmarkEnd w:id="1285"/>
    </w:p>
    <w:p w14:paraId="2E7E9463">
      <w:pPr>
        <w:spacing w:line="360" w:lineRule="auto"/>
        <w:ind w:firstLine="600" w:firstLineChars="200"/>
        <w:jc w:val="left"/>
        <w:rPr>
          <w:rFonts w:eastAsia="仿宋_GB2312"/>
          <w:sz w:val="30"/>
          <w:szCs w:val="30"/>
        </w:rPr>
      </w:pPr>
      <w:r>
        <w:rPr>
          <w:rFonts w:hint="eastAsia" w:eastAsia="仿宋_GB2312"/>
          <w:sz w:val="30"/>
          <w:szCs w:val="30"/>
        </w:rPr>
        <w:t>1.</w:t>
      </w:r>
      <w:r>
        <w:rPr>
          <w:rFonts w:eastAsia="仿宋_GB2312"/>
          <w:sz w:val="30"/>
          <w:szCs w:val="30"/>
        </w:rPr>
        <w:t>你方要求我方承担保证责任的，应向我方发出书面索赔通知及发包人未支付主合同约定工程款的证明材料。索赔通知应写明要求索赔的金额，支付款项应到达的账号。</w:t>
      </w:r>
    </w:p>
    <w:p w14:paraId="7BE0C9A9">
      <w:pPr>
        <w:spacing w:line="360" w:lineRule="auto"/>
        <w:ind w:firstLine="600" w:firstLineChars="200"/>
        <w:jc w:val="left"/>
        <w:rPr>
          <w:rFonts w:eastAsia="仿宋_GB2312"/>
          <w:sz w:val="30"/>
          <w:szCs w:val="30"/>
        </w:rPr>
      </w:pPr>
      <w:r>
        <w:rPr>
          <w:rFonts w:hint="eastAsia" w:eastAsia="仿宋_GB2312"/>
          <w:sz w:val="30"/>
          <w:szCs w:val="30"/>
        </w:rPr>
        <w:t>2.</w:t>
      </w:r>
      <w:r>
        <w:rPr>
          <w:rFonts w:eastAsia="仿宋_GB2312"/>
          <w:sz w:val="30"/>
          <w:szCs w:val="30"/>
        </w:rPr>
        <w:t>在出现你方与发包人因工程质量发生争议，发包人拒绝向你方支付工程款的情形时，你方要求我方履行保证责任代为支付的，需提供符合相应条件要求的工程质量检测机构出具的质量说明材料。</w:t>
      </w:r>
    </w:p>
    <w:p w14:paraId="20F48CFA">
      <w:pPr>
        <w:spacing w:line="360" w:lineRule="auto"/>
        <w:ind w:firstLine="600" w:firstLineChars="200"/>
        <w:jc w:val="left"/>
        <w:rPr>
          <w:rFonts w:eastAsia="仿宋_GB2312"/>
          <w:sz w:val="30"/>
          <w:szCs w:val="30"/>
        </w:rPr>
      </w:pPr>
      <w:r>
        <w:rPr>
          <w:rFonts w:hint="eastAsia" w:eastAsia="仿宋_GB2312"/>
          <w:sz w:val="30"/>
          <w:szCs w:val="30"/>
        </w:rPr>
        <w:t>3.</w:t>
      </w:r>
      <w:r>
        <w:rPr>
          <w:rFonts w:eastAsia="仿宋_GB2312"/>
          <w:sz w:val="30"/>
          <w:szCs w:val="30"/>
        </w:rPr>
        <w:t>我方收到你方的书面索赔通知及相应的证明材料后７天内无条件支付。</w:t>
      </w:r>
    </w:p>
    <w:p w14:paraId="034ADDBC">
      <w:pPr>
        <w:spacing w:line="360" w:lineRule="auto"/>
        <w:ind w:firstLine="600" w:firstLineChars="200"/>
        <w:jc w:val="left"/>
        <w:outlineLvl w:val="0"/>
        <w:rPr>
          <w:rFonts w:eastAsia="黑体"/>
          <w:sz w:val="30"/>
          <w:szCs w:val="30"/>
        </w:rPr>
      </w:pPr>
      <w:bookmarkStart w:id="1286" w:name="_Toc22996"/>
      <w:bookmarkStart w:id="1287" w:name="_Toc16107"/>
      <w:bookmarkStart w:id="1288" w:name="_Toc3839"/>
      <w:bookmarkStart w:id="1289" w:name="_Toc22556"/>
      <w:bookmarkStart w:id="1290" w:name="_Toc15877"/>
      <w:r>
        <w:rPr>
          <w:rFonts w:eastAsia="黑体"/>
          <w:sz w:val="30"/>
          <w:szCs w:val="30"/>
        </w:rPr>
        <w:t>五、保证责任的解除</w:t>
      </w:r>
      <w:bookmarkEnd w:id="1286"/>
      <w:bookmarkEnd w:id="1287"/>
      <w:bookmarkEnd w:id="1288"/>
      <w:bookmarkEnd w:id="1289"/>
      <w:bookmarkEnd w:id="1290"/>
    </w:p>
    <w:p w14:paraId="7E17F5B0">
      <w:pPr>
        <w:spacing w:line="360" w:lineRule="auto"/>
        <w:ind w:firstLine="600" w:firstLineChars="200"/>
        <w:jc w:val="left"/>
        <w:rPr>
          <w:rFonts w:eastAsia="仿宋_GB2312"/>
          <w:sz w:val="30"/>
          <w:szCs w:val="30"/>
        </w:rPr>
      </w:pPr>
      <w:r>
        <w:rPr>
          <w:rFonts w:hint="eastAsia" w:eastAsia="仿宋_GB2312"/>
          <w:sz w:val="30"/>
          <w:szCs w:val="30"/>
        </w:rPr>
        <w:t>1.</w:t>
      </w:r>
      <w:r>
        <w:rPr>
          <w:rFonts w:eastAsia="仿宋_GB2312"/>
          <w:sz w:val="30"/>
          <w:szCs w:val="30"/>
        </w:rPr>
        <w:t>在本保函承诺的保证期间内，你方未书面向我方主张保证责任的，自保证期间届满次日起，我方保证责任解除。</w:t>
      </w:r>
    </w:p>
    <w:p w14:paraId="1D1E3384">
      <w:pPr>
        <w:spacing w:line="360" w:lineRule="auto"/>
        <w:ind w:firstLine="600" w:firstLineChars="200"/>
        <w:jc w:val="left"/>
        <w:rPr>
          <w:rFonts w:eastAsia="仿宋_GB2312"/>
          <w:sz w:val="30"/>
          <w:szCs w:val="30"/>
        </w:rPr>
      </w:pPr>
      <w:r>
        <w:rPr>
          <w:rFonts w:hint="eastAsia" w:eastAsia="仿宋_GB2312"/>
          <w:sz w:val="30"/>
          <w:szCs w:val="30"/>
        </w:rPr>
        <w:t>2.</w:t>
      </w:r>
      <w:r>
        <w:rPr>
          <w:rFonts w:eastAsia="仿宋_GB2312"/>
          <w:sz w:val="30"/>
          <w:szCs w:val="30"/>
        </w:rPr>
        <w:t>发包人按主合同约定履行了工程款的全部支付义务的，自本保函承诺的保证期间届满次日起，我方保证责任解除。</w:t>
      </w:r>
    </w:p>
    <w:p w14:paraId="1063849E">
      <w:pPr>
        <w:spacing w:line="360" w:lineRule="auto"/>
        <w:ind w:firstLine="600" w:firstLineChars="200"/>
        <w:jc w:val="left"/>
        <w:rPr>
          <w:rFonts w:eastAsia="仿宋_GB2312"/>
          <w:sz w:val="30"/>
          <w:szCs w:val="30"/>
        </w:rPr>
      </w:pPr>
      <w:r>
        <w:rPr>
          <w:rFonts w:hint="eastAsia" w:eastAsia="仿宋_GB2312"/>
          <w:sz w:val="30"/>
          <w:szCs w:val="30"/>
        </w:rPr>
        <w:t>3.</w:t>
      </w:r>
      <w:r>
        <w:rPr>
          <w:rFonts w:eastAsia="仿宋_GB2312"/>
          <w:sz w:val="30"/>
          <w:szCs w:val="30"/>
        </w:rPr>
        <w:t>我方按照本保函向你方履行保证责任所支付金额达到本保函保证金额时，自我方向你方支付（支付款项从我方账户划出）之日起，保证责任即解除。</w:t>
      </w:r>
    </w:p>
    <w:p w14:paraId="1AC99ECE">
      <w:pPr>
        <w:spacing w:line="360" w:lineRule="auto"/>
        <w:ind w:firstLine="600" w:firstLineChars="200"/>
        <w:jc w:val="left"/>
        <w:rPr>
          <w:rFonts w:eastAsia="仿宋_GB2312"/>
          <w:sz w:val="30"/>
          <w:szCs w:val="30"/>
        </w:rPr>
      </w:pPr>
      <w:r>
        <w:rPr>
          <w:rFonts w:hint="eastAsia" w:eastAsia="仿宋_GB2312"/>
          <w:sz w:val="30"/>
          <w:szCs w:val="30"/>
        </w:rPr>
        <w:t>4.</w:t>
      </w:r>
      <w:r>
        <w:rPr>
          <w:rFonts w:eastAsia="仿宋_GB2312"/>
          <w:sz w:val="30"/>
          <w:szCs w:val="30"/>
        </w:rPr>
        <w:t>按照法律法规的规定或出现应解除我方保证责任的其他情形的，我方在本保函项下的保证责任亦解除。</w:t>
      </w:r>
    </w:p>
    <w:p w14:paraId="0A80D633">
      <w:pPr>
        <w:spacing w:line="360" w:lineRule="auto"/>
        <w:ind w:firstLine="600" w:firstLineChars="200"/>
        <w:jc w:val="left"/>
        <w:rPr>
          <w:rFonts w:eastAsia="仿宋_GB2312"/>
          <w:sz w:val="30"/>
          <w:szCs w:val="30"/>
        </w:rPr>
      </w:pPr>
      <w:r>
        <w:rPr>
          <w:rFonts w:hint="eastAsia" w:eastAsia="仿宋_GB2312"/>
          <w:sz w:val="30"/>
          <w:szCs w:val="30"/>
        </w:rPr>
        <w:t>5.</w:t>
      </w:r>
      <w:r>
        <w:rPr>
          <w:rFonts w:eastAsia="仿宋_GB2312"/>
          <w:sz w:val="30"/>
          <w:szCs w:val="30"/>
        </w:rPr>
        <w:t>我方解除保证责任后，你方应自我方保证责任解除之日起</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个工作日内，将本保函原件返还我方。</w:t>
      </w:r>
    </w:p>
    <w:p w14:paraId="1B6F617F">
      <w:pPr>
        <w:spacing w:line="360" w:lineRule="auto"/>
        <w:ind w:firstLine="600" w:firstLineChars="200"/>
        <w:jc w:val="left"/>
        <w:outlineLvl w:val="0"/>
        <w:rPr>
          <w:rFonts w:eastAsia="黑体"/>
          <w:sz w:val="30"/>
          <w:szCs w:val="30"/>
        </w:rPr>
      </w:pPr>
      <w:bookmarkStart w:id="1291" w:name="_Toc2730"/>
      <w:bookmarkStart w:id="1292" w:name="_Toc3774"/>
      <w:bookmarkStart w:id="1293" w:name="_Toc11533"/>
      <w:bookmarkStart w:id="1294" w:name="_Toc10624"/>
      <w:bookmarkStart w:id="1295" w:name="_Toc12267"/>
      <w:r>
        <w:rPr>
          <w:rFonts w:eastAsia="黑体"/>
          <w:sz w:val="30"/>
          <w:szCs w:val="30"/>
        </w:rPr>
        <w:t>六、免责条款</w:t>
      </w:r>
      <w:bookmarkEnd w:id="1291"/>
      <w:bookmarkEnd w:id="1292"/>
      <w:bookmarkEnd w:id="1293"/>
      <w:bookmarkEnd w:id="1294"/>
      <w:bookmarkEnd w:id="1295"/>
    </w:p>
    <w:p w14:paraId="549129ED">
      <w:pPr>
        <w:spacing w:line="360" w:lineRule="auto"/>
        <w:ind w:firstLine="600" w:firstLineChars="200"/>
        <w:jc w:val="left"/>
        <w:rPr>
          <w:rFonts w:eastAsia="仿宋_GB2312"/>
          <w:sz w:val="30"/>
          <w:szCs w:val="30"/>
        </w:rPr>
      </w:pPr>
      <w:r>
        <w:rPr>
          <w:rFonts w:hint="eastAsia" w:eastAsia="仿宋_GB2312"/>
          <w:sz w:val="30"/>
          <w:szCs w:val="30"/>
        </w:rPr>
        <w:t>1.</w:t>
      </w:r>
      <w:r>
        <w:rPr>
          <w:rFonts w:eastAsia="仿宋_GB2312"/>
          <w:sz w:val="30"/>
          <w:szCs w:val="30"/>
        </w:rPr>
        <w:t>因你方违约致使发包人不能履行义务的，我方不承担保证责任。</w:t>
      </w:r>
    </w:p>
    <w:p w14:paraId="481257B6">
      <w:pPr>
        <w:spacing w:line="360" w:lineRule="auto"/>
        <w:ind w:firstLine="600" w:firstLineChars="200"/>
        <w:jc w:val="left"/>
        <w:rPr>
          <w:rFonts w:eastAsia="仿宋_GB2312"/>
          <w:sz w:val="30"/>
          <w:szCs w:val="30"/>
        </w:rPr>
      </w:pPr>
      <w:r>
        <w:rPr>
          <w:rFonts w:hint="eastAsia" w:eastAsia="仿宋_GB2312"/>
          <w:sz w:val="30"/>
          <w:szCs w:val="30"/>
        </w:rPr>
        <w:t>2.</w:t>
      </w:r>
      <w:r>
        <w:rPr>
          <w:rFonts w:eastAsia="仿宋_GB2312"/>
          <w:sz w:val="30"/>
          <w:szCs w:val="30"/>
        </w:rPr>
        <w:t>依照法律法规的规定或你方与发包人的另行约定，免除发包人部分或全部义务的，我方亦免除其相应的保证责任。</w:t>
      </w:r>
    </w:p>
    <w:p w14:paraId="6203D3A0">
      <w:pPr>
        <w:spacing w:line="360" w:lineRule="auto"/>
        <w:ind w:firstLine="600" w:firstLineChars="200"/>
        <w:jc w:val="left"/>
        <w:rPr>
          <w:rFonts w:eastAsia="仿宋_GB2312"/>
          <w:sz w:val="30"/>
          <w:szCs w:val="30"/>
        </w:rPr>
      </w:pPr>
      <w:r>
        <w:rPr>
          <w:rFonts w:hint="eastAsia" w:eastAsia="仿宋_GB2312"/>
          <w:sz w:val="30"/>
          <w:szCs w:val="30"/>
        </w:rPr>
        <w:t>3.</w:t>
      </w:r>
      <w:r>
        <w:rPr>
          <w:rFonts w:eastAsia="仿宋_GB2312"/>
          <w:sz w:val="30"/>
          <w:szCs w:val="30"/>
        </w:rPr>
        <w:t>你方与发包人协议变更主合同的，如加重发包人责任致使我方保证责任加重的，需征得我方书面同意，否则我方不再承担因此而加重部分的保证责任，但主合同第10条</w:t>
      </w:r>
      <w:r>
        <w:rPr>
          <w:rFonts w:hint="eastAsia" w:eastAsia="仿宋_GB2312"/>
          <w:sz w:val="30"/>
          <w:szCs w:val="30"/>
        </w:rPr>
        <w:t>〔</w:t>
      </w:r>
      <w:r>
        <w:rPr>
          <w:rFonts w:eastAsia="仿宋_GB2312"/>
          <w:sz w:val="30"/>
          <w:szCs w:val="30"/>
        </w:rPr>
        <w:t>变更</w:t>
      </w:r>
      <w:r>
        <w:rPr>
          <w:rFonts w:hint="eastAsia" w:eastAsia="仿宋_GB2312"/>
          <w:sz w:val="30"/>
          <w:szCs w:val="30"/>
        </w:rPr>
        <w:t>〕</w:t>
      </w:r>
      <w:r>
        <w:rPr>
          <w:rFonts w:eastAsia="仿宋_GB2312"/>
          <w:sz w:val="30"/>
          <w:szCs w:val="30"/>
        </w:rPr>
        <w:t>约定的变更不受本款限制。</w:t>
      </w:r>
    </w:p>
    <w:p w14:paraId="3DF26C04">
      <w:pPr>
        <w:spacing w:line="360" w:lineRule="auto"/>
        <w:ind w:firstLine="600" w:firstLineChars="200"/>
        <w:jc w:val="left"/>
        <w:rPr>
          <w:rFonts w:eastAsia="仿宋_GB2312"/>
          <w:sz w:val="30"/>
          <w:szCs w:val="30"/>
        </w:rPr>
      </w:pPr>
      <w:r>
        <w:rPr>
          <w:rFonts w:hint="eastAsia" w:eastAsia="仿宋_GB2312"/>
          <w:sz w:val="30"/>
          <w:szCs w:val="30"/>
        </w:rPr>
        <w:t>4.</w:t>
      </w:r>
      <w:r>
        <w:rPr>
          <w:rFonts w:eastAsia="仿宋_GB2312"/>
          <w:sz w:val="30"/>
          <w:szCs w:val="30"/>
        </w:rPr>
        <w:t>因不可抗力造成发包人不能履行义务的，我方不承担保证责任。</w:t>
      </w:r>
    </w:p>
    <w:p w14:paraId="1C6FF6BE">
      <w:pPr>
        <w:spacing w:line="360" w:lineRule="auto"/>
        <w:ind w:firstLine="600" w:firstLineChars="200"/>
        <w:jc w:val="left"/>
        <w:outlineLvl w:val="0"/>
        <w:rPr>
          <w:rFonts w:eastAsia="黑体"/>
          <w:sz w:val="30"/>
          <w:szCs w:val="30"/>
        </w:rPr>
      </w:pPr>
      <w:bookmarkStart w:id="1296" w:name="_Toc17914"/>
      <w:bookmarkStart w:id="1297" w:name="_Toc29263"/>
      <w:bookmarkStart w:id="1298" w:name="_Toc18581"/>
      <w:bookmarkStart w:id="1299" w:name="_Toc16554"/>
      <w:bookmarkStart w:id="1300" w:name="_Toc27466"/>
      <w:r>
        <w:rPr>
          <w:rFonts w:eastAsia="黑体"/>
          <w:sz w:val="30"/>
          <w:szCs w:val="30"/>
        </w:rPr>
        <w:t>七、争议解决</w:t>
      </w:r>
      <w:bookmarkEnd w:id="1296"/>
      <w:bookmarkEnd w:id="1297"/>
      <w:bookmarkEnd w:id="1298"/>
      <w:bookmarkEnd w:id="1299"/>
      <w:bookmarkEnd w:id="1300"/>
    </w:p>
    <w:p w14:paraId="03EC2C7F">
      <w:pPr>
        <w:spacing w:after="120" w:line="360" w:lineRule="auto"/>
        <w:ind w:firstLine="600" w:firstLineChars="200"/>
        <w:rPr>
          <w:rFonts w:eastAsia="黑体"/>
          <w:sz w:val="30"/>
          <w:szCs w:val="32"/>
        </w:rPr>
      </w:pPr>
      <w:r>
        <w:rPr>
          <w:rFonts w:eastAsia="仿宋_GB2312"/>
          <w:sz w:val="30"/>
          <w:szCs w:val="30"/>
        </w:rPr>
        <w:t>因本保函</w:t>
      </w:r>
      <w:r>
        <w:rPr>
          <w:rFonts w:hint="eastAsia" w:eastAsia="仿宋_GB2312"/>
          <w:sz w:val="30"/>
          <w:szCs w:val="30"/>
        </w:rPr>
        <w:t>或本保函相关事项</w:t>
      </w:r>
      <w:r>
        <w:rPr>
          <w:rFonts w:eastAsia="仿宋_GB2312"/>
          <w:sz w:val="30"/>
          <w:szCs w:val="30"/>
        </w:rPr>
        <w:t>发生的纠纷，可由双方协商解决，协商不成的，</w:t>
      </w:r>
      <w:r>
        <w:rPr>
          <w:rFonts w:eastAsia="仿宋_GB2312"/>
          <w:sz w:val="30"/>
          <w:szCs w:val="32"/>
        </w:rPr>
        <w:t>按下列第</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2"/>
        </w:rPr>
        <w:t>种方式</w:t>
      </w:r>
      <w:r>
        <w:rPr>
          <w:rFonts w:hint="eastAsia" w:eastAsia="仿宋_GB2312"/>
          <w:sz w:val="30"/>
          <w:szCs w:val="32"/>
        </w:rPr>
        <w:t>解</w:t>
      </w:r>
      <w:r>
        <w:rPr>
          <w:rFonts w:eastAsia="仿宋_GB2312"/>
          <w:sz w:val="30"/>
          <w:szCs w:val="32"/>
        </w:rPr>
        <w:t>决：</w:t>
      </w:r>
    </w:p>
    <w:p w14:paraId="1DF414DE">
      <w:pPr>
        <w:spacing w:line="360" w:lineRule="auto"/>
        <w:ind w:firstLine="600" w:firstLineChars="200"/>
        <w:jc w:val="left"/>
        <w:rPr>
          <w:rFonts w:eastAsia="仿宋_GB2312"/>
          <w:sz w:val="30"/>
          <w:szCs w:val="32"/>
        </w:rPr>
      </w:pPr>
      <w:r>
        <w:rPr>
          <w:rFonts w:eastAsia="仿宋_GB2312"/>
          <w:sz w:val="30"/>
          <w:szCs w:val="32"/>
        </w:rPr>
        <w:t>（1）向</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2"/>
        </w:rPr>
        <w:t>仲裁委员会申请仲裁；</w:t>
      </w:r>
    </w:p>
    <w:p w14:paraId="31A9117E">
      <w:pPr>
        <w:spacing w:line="360" w:lineRule="auto"/>
        <w:ind w:firstLine="600" w:firstLineChars="200"/>
        <w:jc w:val="left"/>
        <w:rPr>
          <w:rFonts w:eastAsia="仿宋_GB2312"/>
          <w:sz w:val="30"/>
          <w:szCs w:val="30"/>
        </w:rPr>
      </w:pPr>
      <w:r>
        <w:rPr>
          <w:rFonts w:eastAsia="仿宋_GB2312"/>
          <w:sz w:val="30"/>
          <w:szCs w:val="32"/>
        </w:rPr>
        <w:t>（2）向</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2"/>
        </w:rPr>
        <w:t>人民法院起诉。</w:t>
      </w:r>
    </w:p>
    <w:p w14:paraId="61F3011E">
      <w:pPr>
        <w:spacing w:line="360" w:lineRule="auto"/>
        <w:ind w:firstLine="600" w:firstLineChars="200"/>
        <w:jc w:val="left"/>
        <w:outlineLvl w:val="0"/>
        <w:rPr>
          <w:rFonts w:eastAsia="黑体"/>
          <w:sz w:val="30"/>
          <w:szCs w:val="30"/>
        </w:rPr>
      </w:pPr>
      <w:bookmarkStart w:id="1301" w:name="_Toc21751"/>
      <w:bookmarkStart w:id="1302" w:name="_Toc15806"/>
      <w:bookmarkStart w:id="1303" w:name="_Toc2380"/>
      <w:bookmarkStart w:id="1304" w:name="_Toc28112"/>
      <w:bookmarkStart w:id="1305" w:name="_Toc32569"/>
      <w:r>
        <w:rPr>
          <w:rFonts w:eastAsia="黑体"/>
          <w:sz w:val="30"/>
          <w:szCs w:val="30"/>
        </w:rPr>
        <w:t>八、保函的生效</w:t>
      </w:r>
      <w:bookmarkEnd w:id="1301"/>
      <w:bookmarkEnd w:id="1302"/>
      <w:bookmarkEnd w:id="1303"/>
      <w:bookmarkEnd w:id="1304"/>
      <w:bookmarkEnd w:id="1305"/>
    </w:p>
    <w:p w14:paraId="53D70C42">
      <w:pPr>
        <w:spacing w:line="360" w:lineRule="auto"/>
        <w:ind w:firstLine="600" w:firstLineChars="200"/>
        <w:jc w:val="left"/>
        <w:rPr>
          <w:rFonts w:eastAsia="仿宋_GB2312"/>
          <w:sz w:val="30"/>
          <w:szCs w:val="30"/>
        </w:rPr>
      </w:pPr>
      <w:r>
        <w:rPr>
          <w:rFonts w:eastAsia="仿宋_GB2312"/>
          <w:sz w:val="30"/>
          <w:szCs w:val="30"/>
        </w:rPr>
        <w:t>本保函自我方法定代表人（或其授权代理人）签字并加盖公章之日起生效。</w:t>
      </w:r>
    </w:p>
    <w:p w14:paraId="78D26789">
      <w:pPr>
        <w:spacing w:line="360" w:lineRule="auto"/>
        <w:ind w:firstLine="600" w:firstLineChars="200"/>
        <w:jc w:val="left"/>
        <w:rPr>
          <w:rFonts w:eastAsia="仿宋_GB2312"/>
          <w:sz w:val="30"/>
          <w:szCs w:val="30"/>
        </w:rPr>
      </w:pPr>
    </w:p>
    <w:p w14:paraId="551B01C1">
      <w:pPr>
        <w:spacing w:line="360" w:lineRule="auto"/>
        <w:ind w:right="600"/>
        <w:jc w:val="left"/>
        <w:rPr>
          <w:rFonts w:eastAsia="仿宋_GB2312"/>
          <w:sz w:val="30"/>
          <w:szCs w:val="30"/>
        </w:rPr>
      </w:pPr>
    </w:p>
    <w:p w14:paraId="091FFD43">
      <w:pPr>
        <w:spacing w:line="360" w:lineRule="auto"/>
        <w:ind w:right="600"/>
        <w:jc w:val="left"/>
        <w:rPr>
          <w:rFonts w:eastAsia="仿宋_GB2312"/>
          <w:sz w:val="30"/>
          <w:szCs w:val="30"/>
        </w:rPr>
      </w:pPr>
    </w:p>
    <w:p w14:paraId="1A43A816">
      <w:pPr>
        <w:spacing w:line="360" w:lineRule="auto"/>
        <w:ind w:right="600"/>
        <w:jc w:val="left"/>
        <w:rPr>
          <w:rFonts w:eastAsia="仿宋_GB2312"/>
          <w:sz w:val="30"/>
          <w:szCs w:val="30"/>
        </w:rPr>
      </w:pPr>
    </w:p>
    <w:p w14:paraId="0B61C0D6">
      <w:pPr>
        <w:spacing w:line="360" w:lineRule="auto"/>
        <w:ind w:right="600"/>
        <w:jc w:val="left"/>
        <w:rPr>
          <w:rFonts w:eastAsia="仿宋_GB2312"/>
          <w:sz w:val="30"/>
          <w:szCs w:val="30"/>
        </w:rPr>
      </w:pPr>
      <w:r>
        <w:rPr>
          <w:rFonts w:eastAsia="仿宋_GB2312"/>
          <w:sz w:val="30"/>
          <w:szCs w:val="30"/>
        </w:rPr>
        <w:t>担保人：</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（盖章）</w:t>
      </w:r>
    </w:p>
    <w:p w14:paraId="42D4C78A">
      <w:pPr>
        <w:spacing w:line="360" w:lineRule="auto"/>
        <w:ind w:right="1200"/>
        <w:rPr>
          <w:rFonts w:eastAsia="仿宋_GB2312"/>
          <w:sz w:val="30"/>
          <w:szCs w:val="30"/>
        </w:rPr>
      </w:pPr>
      <w:r>
        <w:rPr>
          <w:rFonts w:eastAsia="仿宋_GB2312"/>
          <w:sz w:val="30"/>
          <w:szCs w:val="30"/>
        </w:rPr>
        <w:t>法定代表人或委托代理人：</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eastAsia="仿宋_GB2312"/>
          <w:sz w:val="30"/>
          <w:szCs w:val="30"/>
        </w:rPr>
        <w:t>（签字）</w:t>
      </w:r>
    </w:p>
    <w:p w14:paraId="52234684">
      <w:pPr>
        <w:spacing w:line="360" w:lineRule="auto"/>
        <w:jc w:val="left"/>
        <w:rPr>
          <w:rFonts w:eastAsia="仿宋_GB2312"/>
          <w:sz w:val="30"/>
          <w:szCs w:val="30"/>
        </w:rPr>
      </w:pPr>
      <w:r>
        <w:rPr>
          <w:rFonts w:eastAsia="仿宋_GB2312"/>
          <w:sz w:val="30"/>
          <w:szCs w:val="30"/>
        </w:rPr>
        <w:t>地    址：</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p>
    <w:p w14:paraId="1E79AA25">
      <w:pPr>
        <w:spacing w:line="360" w:lineRule="auto"/>
        <w:jc w:val="left"/>
        <w:rPr>
          <w:rFonts w:eastAsia="仿宋_GB2312"/>
          <w:sz w:val="30"/>
          <w:szCs w:val="30"/>
        </w:rPr>
      </w:pPr>
      <w:r>
        <w:rPr>
          <w:rFonts w:eastAsia="仿宋_GB2312"/>
          <w:sz w:val="30"/>
          <w:szCs w:val="30"/>
        </w:rPr>
        <w:t>邮政编码：</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p>
    <w:p w14:paraId="51F30D6F">
      <w:pPr>
        <w:spacing w:line="360" w:lineRule="auto"/>
        <w:jc w:val="left"/>
        <w:rPr>
          <w:rFonts w:eastAsia="仿宋_GB2312"/>
          <w:sz w:val="30"/>
          <w:szCs w:val="30"/>
        </w:rPr>
      </w:pPr>
      <w:r>
        <w:rPr>
          <w:rFonts w:eastAsia="仿宋_GB2312"/>
          <w:sz w:val="30"/>
          <w:szCs w:val="30"/>
        </w:rPr>
        <w:t>传    真：</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r>
        <w:rPr>
          <w:rFonts w:hint="eastAsia" w:eastAsia="仿宋_GB2312"/>
          <w:sz w:val="30"/>
          <w:szCs w:val="30"/>
          <w:u w:val="single"/>
        </w:rPr>
        <w:t>**</w:t>
      </w:r>
      <w:r>
        <w:rPr>
          <w:rFonts w:eastAsia="仿宋_GB2312"/>
          <w:sz w:val="30"/>
          <w:szCs w:val="30"/>
          <w:u w:val="single"/>
        </w:rPr>
        <w:t xml:space="preserve"> </w:t>
      </w:r>
    </w:p>
    <w:p w14:paraId="7E446676">
      <w:pPr>
        <w:spacing w:line="360" w:lineRule="auto"/>
        <w:ind w:right="150" w:firstLine="600" w:firstLineChars="200"/>
        <w:jc w:val="left"/>
        <w:rPr>
          <w:rFonts w:eastAsia="仿宋_GB2312"/>
          <w:sz w:val="30"/>
          <w:szCs w:val="30"/>
          <w:u w:val="single"/>
        </w:rPr>
      </w:pPr>
    </w:p>
    <w:p w14:paraId="6CC2B867">
      <w:pPr>
        <w:spacing w:line="360" w:lineRule="auto"/>
        <w:ind w:right="150" w:firstLine="600" w:firstLineChars="200"/>
        <w:jc w:val="right"/>
        <w:rPr>
          <w:rFonts w:eastAsia="仿宋_GB2312"/>
          <w:sz w:val="30"/>
          <w:szCs w:val="30"/>
        </w:rPr>
      </w:pPr>
      <w:r>
        <w:rPr>
          <w:rFonts w:eastAsia="仿宋_GB2312"/>
          <w:sz w:val="30"/>
          <w:szCs w:val="30"/>
        </w:rPr>
        <w:t xml:space="preserve">            </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年</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月</w:t>
      </w:r>
      <w:r>
        <w:rPr>
          <w:rFonts w:eastAsia="仿宋_GB2312"/>
          <w:sz w:val="30"/>
          <w:szCs w:val="30"/>
          <w:u w:val="single"/>
        </w:rPr>
        <w:t xml:space="preserve">   </w:t>
      </w:r>
      <w:r>
        <w:rPr>
          <w:rFonts w:hint="eastAsia" w:eastAsia="仿宋_GB2312"/>
          <w:sz w:val="30"/>
          <w:szCs w:val="30"/>
          <w:u w:val="single"/>
        </w:rPr>
        <w:t xml:space="preserve">**  </w:t>
      </w:r>
      <w:r>
        <w:rPr>
          <w:rFonts w:eastAsia="仿宋_GB2312"/>
          <w:sz w:val="30"/>
          <w:szCs w:val="30"/>
        </w:rPr>
        <w:t>日</w:t>
      </w:r>
    </w:p>
    <w:p w14:paraId="4945EF4B">
      <w:pPr>
        <w:rPr>
          <w:rFonts w:hint="eastAsia" w:ascii="黑体" w:hAnsi="黑体" w:eastAsia="黑体" w:cs="黑体"/>
          <w:sz w:val="32"/>
          <w:szCs w:val="32"/>
        </w:rPr>
      </w:pPr>
      <w:r>
        <w:rPr>
          <w:rFonts w:eastAsia="仿宋_GB2312"/>
          <w:sz w:val="30"/>
          <w:szCs w:val="30"/>
        </w:rPr>
        <w:br w:type="page"/>
      </w:r>
    </w:p>
    <w:p w14:paraId="0D60E1A4">
      <w:pPr>
        <w:rPr>
          <w:rFonts w:hint="eastAsia" w:ascii="黑体" w:hAnsi="黑体" w:eastAsia="黑体" w:cs="黑体"/>
          <w:sz w:val="32"/>
          <w:szCs w:val="32"/>
          <w:lang w:eastAsia="zh-CN"/>
        </w:rPr>
      </w:pPr>
      <w:r>
        <w:rPr>
          <w:rFonts w:hint="eastAsia" w:ascii="黑体" w:hAnsi="黑体" w:eastAsia="黑体" w:cs="黑体"/>
          <w:sz w:val="32"/>
          <w:szCs w:val="32"/>
        </w:rPr>
        <w:t>附件</w:t>
      </w:r>
      <w:r>
        <w:rPr>
          <w:rFonts w:hint="eastAsia" w:ascii="黑体" w:hAnsi="黑体" w:eastAsia="黑体" w:cs="黑体"/>
          <w:sz w:val="32"/>
          <w:szCs w:val="32"/>
          <w:lang w:val="en-US" w:eastAsia="zh-CN"/>
        </w:rPr>
        <w:t>7</w:t>
      </w:r>
    </w:p>
    <w:p w14:paraId="7D196684">
      <w:pPr>
        <w:spacing w:before="120" w:beforeLines="50" w:after="120" w:afterLines="50" w:line="440" w:lineRule="exact"/>
        <w:jc w:val="center"/>
        <w:rPr>
          <w:rFonts w:hint="eastAsia" w:ascii="黑体" w:hAnsi="黑体" w:eastAsia="黑体" w:cs="黑体"/>
          <w:sz w:val="32"/>
          <w:szCs w:val="32"/>
        </w:rPr>
      </w:pPr>
      <w:r>
        <w:rPr>
          <w:rFonts w:hint="eastAsia" w:eastAsia="黑体"/>
          <w:sz w:val="30"/>
          <w:szCs w:val="30"/>
        </w:rPr>
        <w:t>甲限乙购材料品牌表（以招标文件为准）</w:t>
      </w:r>
    </w:p>
    <w:p w14:paraId="5CE8EF06">
      <w:pPr>
        <w:pStyle w:val="13"/>
        <w:ind w:left="63" w:right="63"/>
      </w:pPr>
    </w:p>
    <w:tbl>
      <w:tblPr>
        <w:tblStyle w:val="25"/>
        <w:tblW w:w="8726" w:type="dxa"/>
        <w:tblInd w:w="93" w:type="dxa"/>
        <w:tblLayout w:type="autofit"/>
        <w:tblCellMar>
          <w:top w:w="0" w:type="dxa"/>
          <w:left w:w="108" w:type="dxa"/>
          <w:bottom w:w="0" w:type="dxa"/>
          <w:right w:w="108" w:type="dxa"/>
        </w:tblCellMar>
      </w:tblPr>
      <w:tblGrid>
        <w:gridCol w:w="576"/>
        <w:gridCol w:w="3774"/>
        <w:gridCol w:w="1999"/>
        <w:gridCol w:w="2377"/>
      </w:tblGrid>
      <w:tr w14:paraId="59E79DE5">
        <w:tblPrEx>
          <w:tblCellMar>
            <w:top w:w="0" w:type="dxa"/>
            <w:left w:w="108" w:type="dxa"/>
            <w:bottom w:w="0" w:type="dxa"/>
            <w:right w:w="108" w:type="dxa"/>
          </w:tblCellMar>
        </w:tblPrEx>
        <w:trPr>
          <w:trHeight w:val="54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32092E3B">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序号</w:t>
            </w:r>
          </w:p>
        </w:tc>
        <w:tc>
          <w:tcPr>
            <w:tcW w:w="3774" w:type="dxa"/>
            <w:tcBorders>
              <w:top w:val="single" w:color="000000" w:sz="4" w:space="0"/>
              <w:left w:val="single" w:color="000000" w:sz="4" w:space="0"/>
              <w:bottom w:val="single" w:color="000000" w:sz="4" w:space="0"/>
              <w:right w:val="single" w:color="000000" w:sz="4" w:space="0"/>
            </w:tcBorders>
            <w:vAlign w:val="center"/>
          </w:tcPr>
          <w:p w14:paraId="4EAED131">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材料名称</w:t>
            </w:r>
          </w:p>
        </w:tc>
        <w:tc>
          <w:tcPr>
            <w:tcW w:w="1999" w:type="dxa"/>
            <w:tcBorders>
              <w:top w:val="single" w:color="000000" w:sz="4" w:space="0"/>
              <w:left w:val="single" w:color="000000" w:sz="4" w:space="0"/>
              <w:bottom w:val="single" w:color="000000" w:sz="4" w:space="0"/>
              <w:right w:val="single" w:color="000000" w:sz="4" w:space="0"/>
            </w:tcBorders>
            <w:vAlign w:val="center"/>
          </w:tcPr>
          <w:p w14:paraId="69526104">
            <w:pPr>
              <w:widowControl/>
              <w:jc w:val="left"/>
              <w:textAlignment w:val="center"/>
              <w:rPr>
                <w:rFonts w:hint="eastAsia" w:ascii="宋体" w:hAnsi="宋体" w:cs="宋体"/>
                <w:color w:val="000000"/>
                <w:sz w:val="24"/>
              </w:rPr>
            </w:pPr>
            <w:r>
              <w:rPr>
                <w:rFonts w:hint="eastAsia" w:ascii="宋体" w:hAnsi="宋体" w:cs="宋体"/>
                <w:color w:val="000000"/>
                <w:kern w:val="0"/>
                <w:sz w:val="24"/>
                <w:lang w:bidi="ar"/>
              </w:rPr>
              <w:t>甲限品牌范围</w:t>
            </w:r>
          </w:p>
        </w:tc>
        <w:tc>
          <w:tcPr>
            <w:tcW w:w="2377" w:type="dxa"/>
            <w:tcBorders>
              <w:top w:val="single" w:color="000000" w:sz="4" w:space="0"/>
              <w:left w:val="single" w:color="000000" w:sz="4" w:space="0"/>
              <w:bottom w:val="single" w:color="000000" w:sz="4" w:space="0"/>
              <w:right w:val="single" w:color="000000" w:sz="4" w:space="0"/>
            </w:tcBorders>
            <w:vAlign w:val="center"/>
          </w:tcPr>
          <w:p w14:paraId="1536A2CB">
            <w:pPr>
              <w:widowControl/>
              <w:jc w:val="center"/>
              <w:textAlignment w:val="center"/>
              <w:rPr>
                <w:rFonts w:hint="eastAsia" w:ascii="宋体" w:hAnsi="宋体" w:cs="宋体"/>
                <w:color w:val="000000"/>
                <w:kern w:val="0"/>
                <w:sz w:val="24"/>
                <w:lang w:bidi="ar"/>
              </w:rPr>
            </w:pPr>
            <w:r>
              <w:rPr>
                <w:rFonts w:hint="eastAsia" w:ascii="宋体" w:hAnsi="宋体" w:cs="宋体"/>
                <w:color w:val="000000"/>
                <w:kern w:val="0"/>
                <w:sz w:val="24"/>
                <w:lang w:bidi="ar"/>
              </w:rPr>
              <w:t>乙购选定品牌</w:t>
            </w:r>
          </w:p>
        </w:tc>
      </w:tr>
      <w:tr w14:paraId="439C17C3">
        <w:tblPrEx>
          <w:tblCellMar>
            <w:top w:w="0" w:type="dxa"/>
            <w:left w:w="108" w:type="dxa"/>
            <w:bottom w:w="0" w:type="dxa"/>
            <w:right w:w="108" w:type="dxa"/>
          </w:tblCellMar>
        </w:tblPrEx>
        <w:trPr>
          <w:trHeight w:val="600" w:hRule="atLeast"/>
        </w:trPr>
        <w:tc>
          <w:tcPr>
            <w:tcW w:w="8726" w:type="dxa"/>
            <w:gridSpan w:val="4"/>
            <w:tcBorders>
              <w:top w:val="single" w:color="000000" w:sz="4" w:space="0"/>
              <w:left w:val="single" w:color="000000" w:sz="4" w:space="0"/>
              <w:bottom w:val="single" w:color="000000" w:sz="4" w:space="0"/>
              <w:right w:val="single" w:color="000000" w:sz="4" w:space="0"/>
            </w:tcBorders>
            <w:vAlign w:val="center"/>
          </w:tcPr>
          <w:p w14:paraId="00AA76C5">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土建、钢结构专业</w:t>
            </w:r>
          </w:p>
        </w:tc>
      </w:tr>
      <w:tr w14:paraId="4E1B6C4D">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0D8DDEBF">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1</w:t>
            </w:r>
          </w:p>
        </w:tc>
        <w:tc>
          <w:tcPr>
            <w:tcW w:w="3774" w:type="dxa"/>
            <w:tcBorders>
              <w:top w:val="single" w:color="000000" w:sz="4" w:space="0"/>
              <w:left w:val="single" w:color="000000" w:sz="4" w:space="0"/>
              <w:bottom w:val="single" w:color="000000" w:sz="4" w:space="0"/>
              <w:right w:val="single" w:color="000000" w:sz="4" w:space="0"/>
            </w:tcBorders>
            <w:vAlign w:val="center"/>
          </w:tcPr>
          <w:p w14:paraId="010BF5C8">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34CB582A">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4C0EC255">
            <w:pPr>
              <w:jc w:val="center"/>
              <w:rPr>
                <w:rFonts w:hint="eastAsia" w:ascii="宋体" w:hAnsi="宋体" w:cs="宋体"/>
                <w:color w:val="000000"/>
                <w:sz w:val="24"/>
              </w:rPr>
            </w:pPr>
          </w:p>
        </w:tc>
      </w:tr>
      <w:tr w14:paraId="02220F8E">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2663A27F">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2</w:t>
            </w:r>
          </w:p>
        </w:tc>
        <w:tc>
          <w:tcPr>
            <w:tcW w:w="3774" w:type="dxa"/>
            <w:tcBorders>
              <w:top w:val="single" w:color="000000" w:sz="4" w:space="0"/>
              <w:left w:val="single" w:color="000000" w:sz="4" w:space="0"/>
              <w:bottom w:val="single" w:color="000000" w:sz="4" w:space="0"/>
              <w:right w:val="single" w:color="000000" w:sz="4" w:space="0"/>
            </w:tcBorders>
            <w:vAlign w:val="center"/>
          </w:tcPr>
          <w:p w14:paraId="7314BFAD">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061A7B00">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2B9ABE43">
            <w:pPr>
              <w:jc w:val="center"/>
              <w:rPr>
                <w:rFonts w:hint="eastAsia" w:ascii="宋体" w:hAnsi="宋体" w:cs="宋体"/>
                <w:color w:val="000000"/>
                <w:sz w:val="24"/>
              </w:rPr>
            </w:pPr>
          </w:p>
        </w:tc>
      </w:tr>
      <w:tr w14:paraId="588159C0">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6738C4B7">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3</w:t>
            </w:r>
          </w:p>
        </w:tc>
        <w:tc>
          <w:tcPr>
            <w:tcW w:w="3774" w:type="dxa"/>
            <w:tcBorders>
              <w:top w:val="single" w:color="000000" w:sz="4" w:space="0"/>
              <w:left w:val="single" w:color="000000" w:sz="4" w:space="0"/>
              <w:bottom w:val="single" w:color="000000" w:sz="4" w:space="0"/>
              <w:right w:val="single" w:color="000000" w:sz="4" w:space="0"/>
            </w:tcBorders>
            <w:vAlign w:val="center"/>
          </w:tcPr>
          <w:p w14:paraId="661952A6">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77C1CC96">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12E9A680">
            <w:pPr>
              <w:jc w:val="center"/>
              <w:rPr>
                <w:rFonts w:hint="eastAsia" w:ascii="宋体" w:hAnsi="宋体" w:cs="宋体"/>
                <w:color w:val="000000"/>
                <w:sz w:val="24"/>
              </w:rPr>
            </w:pPr>
          </w:p>
        </w:tc>
      </w:tr>
      <w:tr w14:paraId="322270C3">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012FD113">
            <w:pPr>
              <w:widowControl/>
              <w:jc w:val="center"/>
              <w:textAlignment w:val="center"/>
              <w:rPr>
                <w:rFonts w:hint="eastAsia" w:ascii="宋体" w:hAnsi="宋体" w:cs="宋体"/>
                <w:color w:val="000000"/>
                <w:kern w:val="0"/>
                <w:sz w:val="24"/>
                <w:lang w:bidi="ar"/>
              </w:rPr>
            </w:pPr>
            <w:r>
              <w:rPr>
                <w:rFonts w:hint="eastAsia" w:ascii="宋体" w:hAnsi="宋体" w:cs="宋体"/>
                <w:color w:val="000000"/>
                <w:kern w:val="0"/>
                <w:sz w:val="24"/>
                <w:lang w:bidi="ar"/>
              </w:rPr>
              <w:t>...</w:t>
            </w:r>
          </w:p>
        </w:tc>
        <w:tc>
          <w:tcPr>
            <w:tcW w:w="3774" w:type="dxa"/>
            <w:tcBorders>
              <w:top w:val="single" w:color="000000" w:sz="4" w:space="0"/>
              <w:left w:val="single" w:color="000000" w:sz="4" w:space="0"/>
              <w:bottom w:val="single" w:color="000000" w:sz="4" w:space="0"/>
              <w:right w:val="single" w:color="000000" w:sz="4" w:space="0"/>
            </w:tcBorders>
            <w:vAlign w:val="center"/>
          </w:tcPr>
          <w:p w14:paraId="20E070C9">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40147DAD">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488B7EB4">
            <w:pPr>
              <w:jc w:val="center"/>
              <w:rPr>
                <w:rFonts w:hint="eastAsia" w:ascii="宋体" w:hAnsi="宋体" w:cs="宋体"/>
                <w:color w:val="000000"/>
                <w:sz w:val="24"/>
              </w:rPr>
            </w:pPr>
          </w:p>
        </w:tc>
      </w:tr>
      <w:tr w14:paraId="1C0FDE5A">
        <w:tblPrEx>
          <w:tblCellMar>
            <w:top w:w="0" w:type="dxa"/>
            <w:left w:w="108" w:type="dxa"/>
            <w:bottom w:w="0" w:type="dxa"/>
            <w:right w:w="108" w:type="dxa"/>
          </w:tblCellMar>
        </w:tblPrEx>
        <w:trPr>
          <w:trHeight w:val="600" w:hRule="atLeast"/>
        </w:trPr>
        <w:tc>
          <w:tcPr>
            <w:tcW w:w="8726" w:type="dxa"/>
            <w:gridSpan w:val="4"/>
            <w:tcBorders>
              <w:top w:val="single" w:color="000000" w:sz="4" w:space="0"/>
              <w:left w:val="single" w:color="000000" w:sz="4" w:space="0"/>
              <w:bottom w:val="single" w:color="000000" w:sz="4" w:space="0"/>
              <w:right w:val="single" w:color="000000" w:sz="4" w:space="0"/>
            </w:tcBorders>
            <w:vAlign w:val="center"/>
          </w:tcPr>
          <w:p w14:paraId="35A2D536">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安装专业</w:t>
            </w:r>
          </w:p>
        </w:tc>
      </w:tr>
      <w:tr w14:paraId="09173715">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4F4A4340">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1</w:t>
            </w:r>
          </w:p>
        </w:tc>
        <w:tc>
          <w:tcPr>
            <w:tcW w:w="3774" w:type="dxa"/>
            <w:tcBorders>
              <w:top w:val="single" w:color="000000" w:sz="4" w:space="0"/>
              <w:left w:val="single" w:color="000000" w:sz="4" w:space="0"/>
              <w:bottom w:val="single" w:color="000000" w:sz="4" w:space="0"/>
              <w:right w:val="single" w:color="000000" w:sz="4" w:space="0"/>
            </w:tcBorders>
            <w:vAlign w:val="center"/>
          </w:tcPr>
          <w:p w14:paraId="524159B5">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061190BE">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085EBA05">
            <w:pPr>
              <w:jc w:val="center"/>
              <w:rPr>
                <w:rFonts w:hint="eastAsia" w:ascii="宋体" w:hAnsi="宋体" w:cs="宋体"/>
                <w:color w:val="000000"/>
                <w:sz w:val="24"/>
              </w:rPr>
            </w:pPr>
          </w:p>
        </w:tc>
      </w:tr>
      <w:tr w14:paraId="1C6D0EFC">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319C55AA">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2</w:t>
            </w:r>
          </w:p>
        </w:tc>
        <w:tc>
          <w:tcPr>
            <w:tcW w:w="3774" w:type="dxa"/>
            <w:tcBorders>
              <w:top w:val="single" w:color="000000" w:sz="4" w:space="0"/>
              <w:left w:val="single" w:color="000000" w:sz="4" w:space="0"/>
              <w:bottom w:val="single" w:color="000000" w:sz="4" w:space="0"/>
              <w:right w:val="single" w:color="000000" w:sz="4" w:space="0"/>
            </w:tcBorders>
            <w:vAlign w:val="center"/>
          </w:tcPr>
          <w:p w14:paraId="6A5AB898">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517AD47C">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6A5198AB">
            <w:pPr>
              <w:jc w:val="center"/>
              <w:rPr>
                <w:rFonts w:hint="eastAsia" w:ascii="宋体" w:hAnsi="宋体" w:cs="宋体"/>
                <w:color w:val="000000"/>
                <w:sz w:val="24"/>
              </w:rPr>
            </w:pPr>
          </w:p>
        </w:tc>
      </w:tr>
      <w:tr w14:paraId="28C564C4">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04392117">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3</w:t>
            </w:r>
          </w:p>
        </w:tc>
        <w:tc>
          <w:tcPr>
            <w:tcW w:w="3774" w:type="dxa"/>
            <w:tcBorders>
              <w:top w:val="single" w:color="000000" w:sz="4" w:space="0"/>
              <w:left w:val="single" w:color="000000" w:sz="4" w:space="0"/>
              <w:bottom w:val="single" w:color="000000" w:sz="4" w:space="0"/>
              <w:right w:val="single" w:color="000000" w:sz="4" w:space="0"/>
            </w:tcBorders>
            <w:vAlign w:val="center"/>
          </w:tcPr>
          <w:p w14:paraId="2E663559">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0432BAF0">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4168FBB8">
            <w:pPr>
              <w:jc w:val="center"/>
              <w:rPr>
                <w:rFonts w:hint="eastAsia" w:ascii="宋体" w:hAnsi="宋体" w:cs="宋体"/>
                <w:color w:val="000000"/>
                <w:sz w:val="24"/>
              </w:rPr>
            </w:pPr>
          </w:p>
        </w:tc>
      </w:tr>
      <w:tr w14:paraId="44D2F184">
        <w:tblPrEx>
          <w:tblCellMar>
            <w:top w:w="0" w:type="dxa"/>
            <w:left w:w="108" w:type="dxa"/>
            <w:bottom w:w="0" w:type="dxa"/>
            <w:right w:w="108" w:type="dxa"/>
          </w:tblCellMar>
        </w:tblPrEx>
        <w:trPr>
          <w:trHeight w:val="600" w:hRule="atLeast"/>
        </w:trPr>
        <w:tc>
          <w:tcPr>
            <w:tcW w:w="576" w:type="dxa"/>
            <w:tcBorders>
              <w:top w:val="single" w:color="000000" w:sz="4" w:space="0"/>
              <w:left w:val="single" w:color="000000" w:sz="4" w:space="0"/>
              <w:bottom w:val="single" w:color="000000" w:sz="4" w:space="0"/>
              <w:right w:val="single" w:color="000000" w:sz="4" w:space="0"/>
            </w:tcBorders>
            <w:vAlign w:val="center"/>
          </w:tcPr>
          <w:p w14:paraId="7E0C68B3">
            <w:pPr>
              <w:widowControl/>
              <w:jc w:val="center"/>
              <w:textAlignment w:val="center"/>
              <w:rPr>
                <w:rFonts w:hint="eastAsia" w:ascii="宋体" w:hAnsi="宋体" w:cs="宋体"/>
                <w:color w:val="000000"/>
                <w:sz w:val="24"/>
              </w:rPr>
            </w:pPr>
            <w:r>
              <w:rPr>
                <w:rFonts w:hint="eastAsia" w:ascii="宋体" w:hAnsi="宋体" w:cs="宋体"/>
                <w:color w:val="000000"/>
                <w:kern w:val="0"/>
                <w:sz w:val="24"/>
                <w:lang w:bidi="ar"/>
              </w:rPr>
              <w:t>...</w:t>
            </w:r>
          </w:p>
        </w:tc>
        <w:tc>
          <w:tcPr>
            <w:tcW w:w="3774" w:type="dxa"/>
            <w:tcBorders>
              <w:top w:val="single" w:color="000000" w:sz="4" w:space="0"/>
              <w:left w:val="single" w:color="000000" w:sz="4" w:space="0"/>
              <w:bottom w:val="single" w:color="000000" w:sz="4" w:space="0"/>
              <w:right w:val="single" w:color="000000" w:sz="4" w:space="0"/>
            </w:tcBorders>
            <w:vAlign w:val="center"/>
          </w:tcPr>
          <w:p w14:paraId="49B81445">
            <w:pPr>
              <w:widowControl/>
              <w:jc w:val="center"/>
              <w:textAlignment w:val="center"/>
              <w:rPr>
                <w:rFonts w:hint="eastAsia" w:ascii="宋体" w:hAnsi="宋体" w:cs="宋体"/>
                <w:color w:val="000000"/>
                <w:sz w:val="24"/>
              </w:rPr>
            </w:pPr>
          </w:p>
        </w:tc>
        <w:tc>
          <w:tcPr>
            <w:tcW w:w="1999" w:type="dxa"/>
            <w:tcBorders>
              <w:top w:val="single" w:color="000000" w:sz="4" w:space="0"/>
              <w:left w:val="single" w:color="000000" w:sz="4" w:space="0"/>
              <w:bottom w:val="single" w:color="000000" w:sz="4" w:space="0"/>
              <w:right w:val="single" w:color="000000" w:sz="4" w:space="0"/>
            </w:tcBorders>
            <w:vAlign w:val="center"/>
          </w:tcPr>
          <w:p w14:paraId="61211E79">
            <w:pPr>
              <w:jc w:val="center"/>
              <w:rPr>
                <w:rFonts w:hint="eastAsia" w:ascii="宋体" w:hAnsi="宋体" w:cs="宋体"/>
                <w:color w:val="000000"/>
                <w:sz w:val="24"/>
              </w:rPr>
            </w:pPr>
          </w:p>
        </w:tc>
        <w:tc>
          <w:tcPr>
            <w:tcW w:w="2377" w:type="dxa"/>
            <w:tcBorders>
              <w:top w:val="single" w:color="000000" w:sz="4" w:space="0"/>
              <w:left w:val="single" w:color="000000" w:sz="4" w:space="0"/>
              <w:bottom w:val="single" w:color="000000" w:sz="4" w:space="0"/>
              <w:right w:val="single" w:color="000000" w:sz="4" w:space="0"/>
            </w:tcBorders>
            <w:vAlign w:val="center"/>
          </w:tcPr>
          <w:p w14:paraId="24039B39">
            <w:pPr>
              <w:jc w:val="center"/>
              <w:rPr>
                <w:rFonts w:hint="eastAsia" w:ascii="宋体" w:hAnsi="宋体" w:cs="宋体"/>
                <w:color w:val="000000"/>
                <w:sz w:val="24"/>
              </w:rPr>
            </w:pPr>
          </w:p>
        </w:tc>
      </w:tr>
    </w:tbl>
    <w:p w14:paraId="535C4A10">
      <w:pPr>
        <w:rPr>
          <w:rFonts w:hint="eastAsia" w:ascii="黑体" w:hAnsi="黑体" w:eastAsia="黑体" w:cs="黑体"/>
          <w:sz w:val="32"/>
          <w:szCs w:val="32"/>
        </w:rPr>
      </w:pPr>
    </w:p>
    <w:p w14:paraId="2149649D">
      <w:pPr>
        <w:rPr>
          <w:rFonts w:hint="eastAsia" w:ascii="黑体" w:hAnsi="黑体" w:eastAsia="黑体" w:cs="黑体"/>
          <w:sz w:val="32"/>
          <w:szCs w:val="32"/>
        </w:rPr>
      </w:pPr>
    </w:p>
    <w:p w14:paraId="1CF1D039">
      <w:pPr>
        <w:pStyle w:val="13"/>
      </w:pPr>
    </w:p>
    <w:p w14:paraId="35CE2BF8">
      <w:pPr>
        <w:rPr>
          <w:rFonts w:hint="eastAsia" w:ascii="黑体" w:hAnsi="黑体" w:eastAsia="黑体" w:cs="黑体"/>
          <w:sz w:val="32"/>
          <w:szCs w:val="32"/>
          <w:lang w:eastAsia="zh-CN"/>
        </w:rPr>
      </w:pPr>
      <w:r>
        <w:rPr>
          <w:rFonts w:hint="eastAsia" w:ascii="黑体" w:hAnsi="黑体" w:eastAsia="黑体" w:cs="黑体"/>
          <w:sz w:val="32"/>
          <w:szCs w:val="32"/>
        </w:rPr>
        <w:br w:type="page"/>
      </w:r>
      <w:r>
        <w:rPr>
          <w:rFonts w:hint="eastAsia" w:ascii="黑体" w:hAnsi="黑体" w:eastAsia="黑体" w:cs="黑体"/>
          <w:sz w:val="32"/>
          <w:szCs w:val="32"/>
        </w:rPr>
        <w:t>附件</w:t>
      </w:r>
      <w:r>
        <w:rPr>
          <w:rFonts w:hint="eastAsia" w:ascii="黑体" w:hAnsi="黑体" w:eastAsia="黑体" w:cs="黑体"/>
          <w:sz w:val="32"/>
          <w:szCs w:val="32"/>
          <w:lang w:val="en-US" w:eastAsia="zh-CN"/>
        </w:rPr>
        <w:t>8</w:t>
      </w:r>
    </w:p>
    <w:p w14:paraId="129C6E38">
      <w:pPr>
        <w:rPr>
          <w:rFonts w:hint="eastAsia" w:ascii="黑体" w:hAnsi="黑体" w:eastAsia="黑体" w:cs="黑体"/>
          <w:sz w:val="32"/>
          <w:szCs w:val="32"/>
        </w:rPr>
      </w:pPr>
    </w:p>
    <w:p w14:paraId="263F4DC9">
      <w:pPr>
        <w:spacing w:before="120" w:beforeLines="50" w:after="120" w:afterLines="50" w:line="440" w:lineRule="exact"/>
        <w:jc w:val="center"/>
        <w:rPr>
          <w:rFonts w:eastAsia="黑体"/>
          <w:sz w:val="30"/>
          <w:szCs w:val="30"/>
        </w:rPr>
      </w:pPr>
      <w:r>
        <w:rPr>
          <w:rFonts w:hint="eastAsia" w:eastAsia="黑体"/>
          <w:sz w:val="30"/>
          <w:szCs w:val="30"/>
        </w:rPr>
        <w:t>施工现场管理协议</w:t>
      </w:r>
    </w:p>
    <w:p w14:paraId="70608046">
      <w:pPr>
        <w:adjustRightInd w:val="0"/>
        <w:snapToGrid w:val="0"/>
        <w:spacing w:line="300" w:lineRule="auto"/>
        <w:rPr>
          <w:rFonts w:ascii="仿宋_GB2312" w:eastAsia="仿宋_GB2312"/>
          <w:color w:val="000000"/>
          <w:sz w:val="28"/>
          <w:szCs w:val="28"/>
          <w:u w:val="single"/>
        </w:rPr>
      </w:pPr>
      <w:r>
        <w:rPr>
          <w:rFonts w:hint="eastAsia" w:ascii="仿宋_GB2312" w:eastAsia="仿宋_GB2312"/>
          <w:color w:val="000000"/>
          <w:sz w:val="28"/>
          <w:szCs w:val="28"/>
        </w:rPr>
        <w:t>发包人：</w:t>
      </w:r>
      <w:r>
        <w:rPr>
          <w:rFonts w:hint="eastAsia" w:ascii="仿宋_GB2312" w:eastAsia="仿宋_GB2312"/>
          <w:color w:val="000000"/>
          <w:sz w:val="28"/>
          <w:szCs w:val="28"/>
          <w:u w:val="single"/>
        </w:rPr>
        <w:t xml:space="preserve">  中国重汽集团济南卡车股份有限公司  </w:t>
      </w:r>
    </w:p>
    <w:p w14:paraId="7F8B3C1A">
      <w:pPr>
        <w:adjustRightInd w:val="0"/>
        <w:snapToGrid w:val="0"/>
        <w:spacing w:line="300" w:lineRule="auto"/>
        <w:rPr>
          <w:rFonts w:ascii="仿宋_GB2312" w:eastAsia="仿宋_GB2312"/>
          <w:color w:val="000000"/>
          <w:sz w:val="28"/>
          <w:szCs w:val="28"/>
          <w:u w:val="single"/>
        </w:rPr>
      </w:pPr>
      <w:r>
        <w:rPr>
          <w:rFonts w:hint="eastAsia" w:ascii="仿宋_GB2312" w:eastAsia="仿宋_GB2312"/>
          <w:color w:val="000000"/>
          <w:sz w:val="28"/>
          <w:szCs w:val="28"/>
        </w:rPr>
        <w:t>承包人：</w:t>
      </w:r>
      <w:r>
        <w:rPr>
          <w:rFonts w:hint="eastAsia" w:ascii="仿宋_GB2312" w:eastAsia="仿宋_GB2312"/>
          <w:color w:val="000000"/>
          <w:sz w:val="28"/>
          <w:szCs w:val="28"/>
          <w:u w:val="single"/>
        </w:rPr>
        <w:t xml:space="preserve">                                    </w:t>
      </w:r>
    </w:p>
    <w:p w14:paraId="6D4B6977">
      <w:pPr>
        <w:adjustRightInd w:val="0"/>
        <w:snapToGrid w:val="0"/>
        <w:spacing w:line="300" w:lineRule="auto"/>
        <w:ind w:firstLine="600" w:firstLineChars="200"/>
        <w:rPr>
          <w:rFonts w:eastAsia="仿宋_GB2312"/>
          <w:color w:val="000000"/>
          <w:sz w:val="30"/>
          <w:szCs w:val="30"/>
        </w:rPr>
      </w:pPr>
      <w:r>
        <w:rPr>
          <w:rFonts w:hint="eastAsia" w:eastAsia="仿宋_GB2312"/>
          <w:color w:val="000000"/>
          <w:sz w:val="30"/>
          <w:szCs w:val="30"/>
        </w:rPr>
        <w:t>为了切实加强施工现场管理，依照双方签订的《建设工程施工合同》，本着平等、自愿的原则，签订本协议书。甲、乙双方均须严格遵守本协议书规定的权利、责任和义务，确保现场安全文明施工。</w:t>
      </w:r>
    </w:p>
    <w:p w14:paraId="127A4104">
      <w:pPr>
        <w:adjustRightInd w:val="0"/>
        <w:snapToGrid w:val="0"/>
        <w:spacing w:line="300" w:lineRule="auto"/>
        <w:ind w:firstLine="600" w:firstLineChars="200"/>
        <w:rPr>
          <w:rFonts w:eastAsia="仿宋_GB2312"/>
          <w:color w:val="000000"/>
          <w:sz w:val="30"/>
          <w:szCs w:val="30"/>
        </w:rPr>
      </w:pPr>
      <w:r>
        <w:rPr>
          <w:rFonts w:hint="eastAsia" w:eastAsia="仿宋_GB2312"/>
          <w:color w:val="000000"/>
          <w:sz w:val="30"/>
          <w:szCs w:val="30"/>
        </w:rPr>
        <w:t>一、管理要求</w:t>
      </w:r>
    </w:p>
    <w:p w14:paraId="05106E4B">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1</w:t>
      </w:r>
      <w:r>
        <w:rPr>
          <w:rFonts w:hint="eastAsia" w:eastAsia="仿宋_GB2312"/>
          <w:color w:val="000000"/>
          <w:sz w:val="30"/>
          <w:szCs w:val="30"/>
        </w:rPr>
        <w:t>、施工现场周围设置封闭式硬质围挡，并做到坚固、稳定、整洁美观，将施工区域和非施工区域封闭隔离，原则上应设置不少于两个施工出入口。</w:t>
      </w:r>
    </w:p>
    <w:p w14:paraId="7271BAEF">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2</w:t>
      </w:r>
      <w:r>
        <w:rPr>
          <w:rFonts w:hint="eastAsia" w:eastAsia="仿宋_GB2312"/>
          <w:color w:val="000000"/>
          <w:sz w:val="30"/>
          <w:szCs w:val="30"/>
        </w:rPr>
        <w:t>、在施工区出入口及重点醒目位置，统一设置工程概况牌、施工公示牌（标明项目名称、施工单位、监理单位、建设单位负责人姓名及电话，施工工期起止日期等）、安全生产牌、文明施工牌和施工现场总平面布置图。</w:t>
      </w:r>
    </w:p>
    <w:p w14:paraId="64679B3E">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3</w:t>
      </w:r>
      <w:r>
        <w:rPr>
          <w:rFonts w:hint="eastAsia" w:eastAsia="仿宋_GB2312"/>
          <w:color w:val="000000"/>
          <w:sz w:val="30"/>
          <w:szCs w:val="30"/>
        </w:rPr>
        <w:t>、进场劳务工人及现场管理人员，应配合办理人员出入证，统一着装工作反光马甲，便于区分所属单位。进入施工现场的各类人员须戴好安全帽、系好帽带，否则不得准予进场；非施工人员不得擅自进入施工现场。</w:t>
      </w:r>
    </w:p>
    <w:p w14:paraId="6628EE13">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4</w:t>
      </w:r>
      <w:r>
        <w:rPr>
          <w:rFonts w:hint="eastAsia" w:eastAsia="仿宋_GB2312"/>
          <w:color w:val="000000"/>
          <w:sz w:val="30"/>
          <w:szCs w:val="30"/>
        </w:rPr>
        <w:t>、在施工现场禁烟区设立禁烟标志，禁烟区内严禁吸烟，保证地面无烟头。</w:t>
      </w:r>
    </w:p>
    <w:p w14:paraId="5BDF08C1">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5</w:t>
      </w:r>
      <w:r>
        <w:rPr>
          <w:rFonts w:hint="eastAsia" w:eastAsia="仿宋_GB2312"/>
          <w:color w:val="000000"/>
          <w:sz w:val="30"/>
          <w:szCs w:val="30"/>
        </w:rPr>
        <w:t>、施工出入口处应设洗车台、沉淀池，不具备设置洗车台的施工现场应根据需要设置高压水枪冲洗车辆，确保驶出车辆冲洗干净，不得污染场区及市政路面。施工途经的厂区道路，按照谁使用谁负责的原则，每日安排及时清扫，常态化保持道路清洁。</w:t>
      </w:r>
    </w:p>
    <w:p w14:paraId="119B937D">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6</w:t>
      </w:r>
      <w:r>
        <w:rPr>
          <w:rFonts w:hint="eastAsia" w:eastAsia="仿宋_GB2312"/>
          <w:color w:val="000000"/>
          <w:sz w:val="30"/>
          <w:szCs w:val="30"/>
        </w:rPr>
        <w:t>、办公区、生活区、材料堆放场、加工场、仓库区地面、工地内外通道必须作混凝土硬化处理。</w:t>
      </w:r>
    </w:p>
    <w:p w14:paraId="501893B5">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7</w:t>
      </w:r>
      <w:r>
        <w:rPr>
          <w:rFonts w:hint="eastAsia" w:eastAsia="仿宋_GB2312"/>
          <w:color w:val="000000"/>
          <w:sz w:val="30"/>
          <w:szCs w:val="30"/>
        </w:rPr>
        <w:t>、施工现场应按照施工总平面布置图搭设各项临时设施，定位堆放各种材料、成品、半成品和机械设备并进行标识，并码放整齐、限宽限高、上架入箱、分类挂牌标识，不得侵占场内道路及安全防护等设施。</w:t>
      </w:r>
    </w:p>
    <w:p w14:paraId="14B08739">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8</w:t>
      </w:r>
      <w:r>
        <w:rPr>
          <w:rFonts w:hint="eastAsia" w:eastAsia="仿宋_GB2312"/>
          <w:color w:val="000000"/>
          <w:sz w:val="30"/>
          <w:szCs w:val="30"/>
        </w:rPr>
        <w:t>、施工现场重要和危险部位必须设置明显的安全警示标志及围挡设施。施工现场的楼梯、电梯、预留口、通道、深基础、坑井、平台、屋面、楼面等一切容易坠落的临边临口必须设置有效的防护和警示设施。</w:t>
      </w:r>
    </w:p>
    <w:p w14:paraId="35EEEC9F">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9</w:t>
      </w:r>
      <w:r>
        <w:rPr>
          <w:rFonts w:hint="eastAsia" w:eastAsia="仿宋_GB2312"/>
          <w:color w:val="000000"/>
          <w:sz w:val="30"/>
          <w:szCs w:val="30"/>
        </w:rPr>
        <w:t>、建筑垃圾要及时清理，并设置垃圾池指定地点集中堆放；每日下班以前，施工区域必须进行清洁整理，物料码放整齐，废料及时清运，保证现场环境卫生整洁。</w:t>
      </w:r>
    </w:p>
    <w:p w14:paraId="6AB5E570">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10</w:t>
      </w:r>
      <w:r>
        <w:rPr>
          <w:rFonts w:hint="eastAsia" w:eastAsia="仿宋_GB2312"/>
          <w:color w:val="000000"/>
          <w:sz w:val="30"/>
          <w:szCs w:val="30"/>
        </w:rPr>
        <w:t>、施工土方作业时必须采取湿法作业，配备雾炮、洒水车、喷淋等抑尘设施。装载建筑材料、垃圾或渣土的车辆，必须采取环保车型，防止尘土飞扬、洒落或流溢。施工裸土区域必须百分百密目网覆盖，施工完毕后当日及时覆盖恢复到位。</w:t>
      </w:r>
    </w:p>
    <w:p w14:paraId="2301DAAD">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11</w:t>
      </w:r>
      <w:r>
        <w:rPr>
          <w:rFonts w:hint="eastAsia" w:eastAsia="仿宋_GB2312"/>
          <w:color w:val="000000"/>
          <w:sz w:val="30"/>
          <w:szCs w:val="30"/>
        </w:rPr>
        <w:t>、项目内必须实行“三级配电三级保护”，即总漏电保护、分配电箱漏电保护和开关箱漏电保护。临时用电设施的安装和使用必须符合安装规范和安全操作规程。</w:t>
      </w:r>
    </w:p>
    <w:p w14:paraId="4BB64BD1">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12</w:t>
      </w:r>
      <w:r>
        <w:rPr>
          <w:rFonts w:hint="eastAsia" w:eastAsia="仿宋_GB2312"/>
          <w:color w:val="000000"/>
          <w:sz w:val="30"/>
          <w:szCs w:val="30"/>
        </w:rPr>
        <w:t>、施工现场应严格建立和执行消防管理制度，设置消防设施，并使其保持完好的备用状态。在容易发生火灾的区域储存、使用易燃、易爆物品时应采取特殊的消防安全措施。现场动火时必须执行动火审批手续和动火监护。</w:t>
      </w:r>
    </w:p>
    <w:p w14:paraId="7F790170">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13</w:t>
      </w:r>
      <w:r>
        <w:rPr>
          <w:rFonts w:hint="eastAsia" w:eastAsia="仿宋_GB2312"/>
          <w:color w:val="000000"/>
          <w:sz w:val="30"/>
          <w:szCs w:val="30"/>
        </w:rPr>
        <w:t>、施工现场的已有设备设施、地下管线、已完工程等，须采取成品保护措施，施工前提前告知报备，施工过程安排人员旁站监督，施工结束及时与相关方交接见证，严禁野蛮施工。</w:t>
      </w:r>
    </w:p>
    <w:p w14:paraId="2C209D20">
      <w:pPr>
        <w:adjustRightInd w:val="0"/>
        <w:snapToGrid w:val="0"/>
        <w:spacing w:line="300" w:lineRule="auto"/>
        <w:ind w:firstLine="600" w:firstLineChars="200"/>
        <w:rPr>
          <w:rFonts w:eastAsia="仿宋_GB2312"/>
          <w:color w:val="000000"/>
          <w:sz w:val="30"/>
          <w:szCs w:val="30"/>
        </w:rPr>
      </w:pPr>
      <w:r>
        <w:rPr>
          <w:rFonts w:eastAsia="仿宋_GB2312"/>
          <w:color w:val="000000"/>
          <w:sz w:val="30"/>
          <w:szCs w:val="30"/>
        </w:rPr>
        <w:t>14</w:t>
      </w:r>
      <w:r>
        <w:rPr>
          <w:rFonts w:hint="eastAsia" w:eastAsia="仿宋_GB2312"/>
          <w:color w:val="000000"/>
          <w:sz w:val="30"/>
          <w:szCs w:val="30"/>
        </w:rPr>
        <w:t>、工程竣工后，施工单位应当在一周内拆除围挡及临时设施，恢复场地原状，做到“工完料净、场地清”</w:t>
      </w:r>
    </w:p>
    <w:p w14:paraId="7B297583">
      <w:pPr>
        <w:adjustRightInd w:val="0"/>
        <w:snapToGrid w:val="0"/>
        <w:spacing w:line="300" w:lineRule="auto"/>
        <w:rPr>
          <w:rFonts w:eastAsia="仿宋_GB2312"/>
          <w:color w:val="000000"/>
          <w:sz w:val="30"/>
          <w:szCs w:val="30"/>
        </w:rPr>
      </w:pPr>
      <w:r>
        <w:rPr>
          <w:rFonts w:hint="eastAsia" w:eastAsia="仿宋_GB2312"/>
          <w:color w:val="000000"/>
          <w:sz w:val="30"/>
          <w:szCs w:val="30"/>
        </w:rPr>
        <w:t>二、责任考核</w:t>
      </w:r>
    </w:p>
    <w:p w14:paraId="2A890312">
      <w:pPr>
        <w:adjustRightInd w:val="0"/>
        <w:snapToGrid w:val="0"/>
        <w:spacing w:line="300" w:lineRule="auto"/>
        <w:ind w:firstLine="600" w:firstLineChars="200"/>
        <w:rPr>
          <w:rFonts w:eastAsia="仿宋_GB2312"/>
          <w:color w:val="000000"/>
          <w:sz w:val="30"/>
          <w:szCs w:val="30"/>
        </w:rPr>
      </w:pPr>
      <w:r>
        <w:rPr>
          <w:rFonts w:hint="eastAsia" w:eastAsia="仿宋_GB2312"/>
          <w:color w:val="000000"/>
          <w:sz w:val="30"/>
          <w:szCs w:val="30"/>
        </w:rPr>
        <w:t>对于违反上述施工现场管理标准的，发包人将视情节严重情况，依据双方《建设工程施工合同》和《基建项目考核管理办法》，给予承包人</w:t>
      </w:r>
      <w:r>
        <w:rPr>
          <w:rFonts w:eastAsia="仿宋_GB2312"/>
          <w:color w:val="000000"/>
          <w:sz w:val="30"/>
          <w:szCs w:val="30"/>
        </w:rPr>
        <w:t>1000</w:t>
      </w:r>
      <w:r>
        <w:rPr>
          <w:rFonts w:hint="eastAsia" w:eastAsia="仿宋_GB2312"/>
          <w:color w:val="000000"/>
          <w:sz w:val="30"/>
          <w:szCs w:val="30"/>
        </w:rPr>
        <w:t>-</w:t>
      </w:r>
      <w:r>
        <w:rPr>
          <w:rFonts w:eastAsia="仿宋_GB2312"/>
          <w:color w:val="000000"/>
          <w:sz w:val="30"/>
          <w:szCs w:val="30"/>
        </w:rPr>
        <w:t>20000</w:t>
      </w:r>
      <w:r>
        <w:rPr>
          <w:rFonts w:hint="eastAsia" w:eastAsia="仿宋_GB2312"/>
          <w:color w:val="000000"/>
          <w:sz w:val="30"/>
          <w:szCs w:val="30"/>
        </w:rPr>
        <w:t>元/项的</w:t>
      </w:r>
      <w:r>
        <w:rPr>
          <w:rFonts w:eastAsia="仿宋_GB2312"/>
          <w:color w:val="000000"/>
          <w:sz w:val="30"/>
          <w:szCs w:val="30"/>
        </w:rPr>
        <w:t>扣除</w:t>
      </w:r>
      <w:r>
        <w:rPr>
          <w:rFonts w:hint="eastAsia" w:eastAsia="仿宋_GB2312"/>
          <w:color w:val="000000"/>
          <w:sz w:val="30"/>
          <w:szCs w:val="30"/>
        </w:rPr>
        <w:t>。</w:t>
      </w:r>
    </w:p>
    <w:p w14:paraId="2E1B8638">
      <w:pPr>
        <w:rPr>
          <w:rFonts w:hint="eastAsia" w:ascii="黑体" w:hAnsi="黑体" w:eastAsia="黑体" w:cs="黑体"/>
          <w:sz w:val="32"/>
          <w:szCs w:val="32"/>
          <w:lang w:eastAsia="zh-CN"/>
        </w:rPr>
      </w:pPr>
      <w:r>
        <w:rPr>
          <w:rFonts w:hint="eastAsia" w:ascii="黑体" w:hAnsi="黑体" w:eastAsia="黑体" w:cs="黑体"/>
          <w:sz w:val="32"/>
          <w:szCs w:val="32"/>
        </w:rPr>
        <w:br w:type="page"/>
      </w:r>
      <w:r>
        <w:rPr>
          <w:rFonts w:hint="eastAsia" w:ascii="黑体" w:hAnsi="黑体" w:eastAsia="黑体" w:cs="黑体"/>
          <w:sz w:val="32"/>
          <w:szCs w:val="32"/>
        </w:rPr>
        <w:t>附件</w:t>
      </w:r>
      <w:r>
        <w:rPr>
          <w:rFonts w:hint="eastAsia" w:ascii="黑体" w:hAnsi="黑体" w:eastAsia="黑体" w:cs="黑体"/>
          <w:sz w:val="32"/>
          <w:szCs w:val="32"/>
          <w:lang w:val="en-US" w:eastAsia="zh-CN"/>
        </w:rPr>
        <w:t>9</w:t>
      </w:r>
    </w:p>
    <w:p w14:paraId="7B624C09">
      <w:pPr>
        <w:spacing w:before="120" w:beforeLines="50" w:after="120" w:afterLines="50" w:line="440" w:lineRule="exact"/>
        <w:jc w:val="center"/>
        <w:rPr>
          <w:rFonts w:eastAsia="黑体"/>
          <w:sz w:val="30"/>
          <w:szCs w:val="30"/>
        </w:rPr>
      </w:pPr>
      <w:r>
        <w:rPr>
          <w:rFonts w:hint="eastAsia" w:eastAsia="黑体"/>
          <w:sz w:val="30"/>
          <w:szCs w:val="30"/>
        </w:rPr>
        <w:t>考核管理（细则）协议</w:t>
      </w:r>
    </w:p>
    <w:p w14:paraId="3A908369">
      <w:pPr>
        <w:adjustRightInd w:val="0"/>
        <w:snapToGrid w:val="0"/>
        <w:spacing w:line="300" w:lineRule="auto"/>
        <w:rPr>
          <w:rFonts w:ascii="仿宋_GB2312" w:eastAsia="仿宋_GB2312"/>
          <w:color w:val="000000"/>
          <w:sz w:val="28"/>
          <w:szCs w:val="28"/>
          <w:u w:val="single"/>
        </w:rPr>
      </w:pPr>
      <w:r>
        <w:rPr>
          <w:rFonts w:hint="eastAsia" w:ascii="仿宋_GB2312" w:eastAsia="仿宋_GB2312"/>
          <w:color w:val="000000"/>
          <w:sz w:val="28"/>
          <w:szCs w:val="28"/>
        </w:rPr>
        <w:t>发包人：</w:t>
      </w:r>
      <w:r>
        <w:rPr>
          <w:rFonts w:hint="eastAsia" w:ascii="仿宋_GB2312" w:eastAsia="仿宋_GB2312"/>
          <w:color w:val="000000"/>
          <w:sz w:val="28"/>
          <w:szCs w:val="28"/>
          <w:u w:val="single"/>
        </w:rPr>
        <w:t xml:space="preserve">  中国重汽集团济南卡车股份有限公司  </w:t>
      </w:r>
    </w:p>
    <w:p w14:paraId="1948C9E5">
      <w:pPr>
        <w:adjustRightInd w:val="0"/>
        <w:snapToGrid w:val="0"/>
        <w:spacing w:line="300" w:lineRule="auto"/>
        <w:rPr>
          <w:rFonts w:ascii="仿宋_GB2312" w:eastAsia="仿宋_GB2312"/>
          <w:color w:val="000000"/>
          <w:sz w:val="28"/>
          <w:szCs w:val="28"/>
          <w:u w:val="single"/>
        </w:rPr>
      </w:pPr>
      <w:r>
        <w:rPr>
          <w:rFonts w:hint="eastAsia" w:ascii="仿宋_GB2312" w:eastAsia="仿宋_GB2312"/>
          <w:color w:val="000000"/>
          <w:sz w:val="28"/>
          <w:szCs w:val="28"/>
        </w:rPr>
        <w:t>承包人：</w:t>
      </w:r>
      <w:r>
        <w:rPr>
          <w:rFonts w:hint="eastAsia" w:ascii="仿宋_GB2312" w:eastAsia="仿宋_GB2312"/>
          <w:color w:val="000000"/>
          <w:sz w:val="28"/>
          <w:szCs w:val="28"/>
          <w:u w:val="single"/>
        </w:rPr>
        <w:t xml:space="preserve">                                    </w:t>
      </w:r>
    </w:p>
    <w:p w14:paraId="6D973FED">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双方同意执行以下考核细则，承包人同意按照下述约定由发包人扣除相应费用作为罚金，具体如下：</w:t>
      </w:r>
    </w:p>
    <w:p w14:paraId="65F893F1">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一、施工进度考核</w:t>
      </w:r>
    </w:p>
    <w:p w14:paraId="5A05C960">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1.1施工单位须向监理、项目指挥部按时提交总进度计划、周计划、专项计划以及各节点的控制计划，提交的计划必须经项目经理签字加盖项目章，否则视为无效提交。对未按要求时间提交的，每拖延一天处以2000-10000元罚金。</w:t>
      </w:r>
    </w:p>
    <w:p w14:paraId="7A1CA358">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1.2施工计划编制质量差，屡次整改达不到要求的，处以2000-5000元/次罚金。</w:t>
      </w:r>
    </w:p>
    <w:p w14:paraId="617D9F3B">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1.3周计划进度、专项计划进度、各控制点进度的子项任务未按计划完成，且无正当理由延期的，每一项拖延一天，处以2000-10000元/天/项罚金。</w:t>
      </w:r>
    </w:p>
    <w:p w14:paraId="34B2BA9C">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1.4里程碑节点滞后的，按照合同约定的违约条款，处以不低于合同额的万分之三/天且不低于1万元/天罚金。</w:t>
      </w:r>
    </w:p>
    <w:p w14:paraId="4951B1C8">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1.5施工单位为完成进度计划应制定有效的保证措施，包括人、料、机等资源投入，作业时间调整等，对人、料、机投入不能满足施工进度计划要求并对工程进度造成潜在影响的，处以5000-10000元罚金。</w:t>
      </w:r>
    </w:p>
    <w:p w14:paraId="521DE4F2">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1.6工程进度滞后，现场项目部安排加班抢工，对施工单位不响应抢工要求的，不组织工人机械加班抢工的，处以20000-50000元/天罚金。</w:t>
      </w:r>
    </w:p>
    <w:p w14:paraId="5DF6C0CC">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1.7对于临时工作任务，经现场项目部以书面工作联系单的形式向施工单位发出工作指令，要求限期完成，施工单位无正当理由未按期完成的，每拖延一天处以5000-20000元/天罚金。</w:t>
      </w:r>
      <w:r>
        <w:rPr>
          <w:rFonts w:ascii="Calibri" w:hAnsi="Calibri" w:eastAsia="仿宋_GB2312" w:cs="Calibri"/>
          <w:color w:val="000000"/>
          <w:sz w:val="30"/>
          <w:szCs w:val="30"/>
        </w:rPr>
        <w:t> </w:t>
      </w:r>
    </w:p>
    <w:p w14:paraId="4633DDE5">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1.8在周例会或专题会议上，现场项目部要求限期完成的工作任务，施工单位无正当理由未按时完成的，每拖延一天处以5000-20000元/天/项罚金。</w:t>
      </w:r>
    </w:p>
    <w:p w14:paraId="24BDBFB8">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1.9施工进度滞后，对组织抢工措施不力，消极应对、采取考核措施仍不见效的施工单位，将采取公司发函、约谈责任单位企业负责人，情节严重的将列入黑名单，取消今后项目招标入围资格。</w:t>
      </w:r>
    </w:p>
    <w:p w14:paraId="067114F2">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二、施工安全文明考核</w:t>
      </w:r>
    </w:p>
    <w:p w14:paraId="0A4F5E53">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2.1目部或监理单位下达的书面整改文件（包括各类通知单、联系单、会议要求等）未按要求时间整改完毕的，每拖延一天处以5000-20000元/天罚金。</w:t>
      </w:r>
    </w:p>
    <w:p w14:paraId="19A8607B">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2.2对不按时参加现场组织的安全周、月及专项检查的，处以2000-5000元/次罚金。</w:t>
      </w:r>
    </w:p>
    <w:p w14:paraId="000C0C0A">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 xml:space="preserve">2.3“三宝四口”措施不到位，对不正确使用或不使用安全帽、安全带的，予以500元/人·次考核。对“四口”存在的安全隐患，督促后仍未整改的，予以5000元/处考核，并每拖延一天处以10000元罚金。        </w:t>
      </w:r>
    </w:p>
    <w:p w14:paraId="0C95666F">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2.4特种作业未能持证上岗、未办理动火审批手续、消防器材未配备到位、施工人员未佩戴安全帽、安全绳、高空作业防护不到位、施工现场吸烟等违规行为，每发现一处，处以2000-5000元罚金。</w:t>
      </w:r>
    </w:p>
    <w:p w14:paraId="5A7429BF">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2.5施工单位应每日工完料净，施工垃圾集中清运，道路遗撒污染、施工垃圾及包装物乱堆乱弃等现象，每发现一处，处以2000-10000元罚金。</w:t>
      </w:r>
    </w:p>
    <w:p w14:paraId="2A5C8340">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2.6对抑尘措施不到位，发生扬尘现象的，处以2000-10000元/次罚金；对被环保、渣土办部门处罚的，除相关处罚所有费用均由施工单位承担外，建设单位对施工单位予以加倍处罚。</w:t>
      </w:r>
    </w:p>
    <w:p w14:paraId="02786D3F">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2.7若施工方对现场存在的安全隐患不予整改或迟迟整改不到位，且采取考核措施后仍不见效的，现场项目部将要求停工整改，并书面通报施工单位企业负责人现场处理，对整改效果仍达不到各方满意的，将上报建设行政主管部门。</w:t>
      </w:r>
    </w:p>
    <w:p w14:paraId="76A1D09C">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三、施工质量考核</w:t>
      </w:r>
    </w:p>
    <w:p w14:paraId="4554CC75">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3.1未按要求执行样板开路的，处以5000-50000元/次罚金。</w:t>
      </w:r>
    </w:p>
    <w:p w14:paraId="3DEA4B47">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3.2进场材料不合格，进行退场处理并予以警告，重新进场后经检查仍不合格的或材料进场发生两次及以上不合格的，处以5000-20000元/次罚金。</w:t>
      </w:r>
    </w:p>
    <w:p w14:paraId="05B131D1">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3.3未经验收，擅自进入下道工序施工的，处以5000～20000元/次罚金。</w:t>
      </w:r>
    </w:p>
    <w:p w14:paraId="283B08A5">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3.4对于质量问题不按监理工程师通知单要求整改，擅自进行下一步施工的处以5000～10000元/项罚金。在接到监理通知后未在通知时间内完成整改的，处以2000～10000元/项罚金。</w:t>
      </w:r>
    </w:p>
    <w:p w14:paraId="397CFD80">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3.5隐蔽工程未经监理单位检查验收擅自隐蔽的，须打开或拆除后重新检查，并处以5000～20000元/次罚金。</w:t>
      </w:r>
    </w:p>
    <w:p w14:paraId="338BAD75">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3.6同一部位、同一施工质量问题，签发第二份整改通知单的，予以加倍处罚，处以20000～50000元/项罚金。</w:t>
      </w:r>
    </w:p>
    <w:p w14:paraId="661D2AD9">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 xml:space="preserve">3.7对于发生较大、重大质量事故的造成严重影响的，除限期整改、返工并承担损失责任外，另处以10万-20万元/项罚金。     </w:t>
      </w:r>
    </w:p>
    <w:p w14:paraId="61209AB7">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四、其他事项</w:t>
      </w:r>
    </w:p>
    <w:p w14:paraId="1ADB0BF7">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4.1对未按时参加会议、工作执行不力、工作质量不达要求的，视情节严重程度，对责任单位处以1000-5000元/次罚金。</w:t>
      </w:r>
    </w:p>
    <w:p w14:paraId="58B00072">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4.2现场施工的质量、进度、安全等发生的考核，由监理单位（如有）出具，经总监理工程师签字盖章后报送现场项目部负责人签字盖章后即为生效</w:t>
      </w:r>
    </w:p>
    <w:p w14:paraId="56ED9DFD">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4.3监理单位或技改项目部应于每月20日汇总当月累计考核单，并在各单位当月形象进度款中扣除或从合同履约保函（保证金）中扣除。</w:t>
      </w:r>
    </w:p>
    <w:p w14:paraId="36F7FE78">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4.4对已经发生的考核，若经积极采取措施，最终完成进度节点或整改结果满足合同及项目部要求的，可视情况予以减免、取消。</w:t>
      </w:r>
    </w:p>
    <w:p w14:paraId="042049D4">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4.5若经采取考核措施后责任单位仍然消极应对、效果不明显，发包人项目部将采取约谈企业负责人、书面发函等措施，情节严重的将列入发包人供方黑名单。</w:t>
      </w:r>
    </w:p>
    <w:p w14:paraId="6A5F88D3">
      <w:pPr>
        <w:snapToGrid w:val="0"/>
        <w:spacing w:line="520" w:lineRule="exact"/>
        <w:ind w:firstLine="600" w:firstLineChars="200"/>
        <w:rPr>
          <w:rFonts w:hint="eastAsia" w:ascii="仿宋_GB2312" w:hAnsi="仿宋_GB2312" w:eastAsia="仿宋_GB2312" w:cs="仿宋_GB2312"/>
          <w:color w:val="000000"/>
          <w:sz w:val="30"/>
          <w:szCs w:val="30"/>
        </w:rPr>
      </w:pPr>
      <w:r>
        <w:rPr>
          <w:rFonts w:hint="eastAsia" w:ascii="仿宋_GB2312" w:hAnsi="仿宋_GB2312" w:eastAsia="仿宋_GB2312" w:cs="仿宋_GB2312"/>
          <w:color w:val="000000"/>
          <w:sz w:val="30"/>
          <w:szCs w:val="30"/>
        </w:rPr>
        <w:t>4.6各单位按本规定受处罚后并不免除按法律法规和合同应承担的有关责任。</w:t>
      </w:r>
    </w:p>
    <w:p w14:paraId="6D448B36">
      <w:pPr>
        <w:rPr>
          <w:rFonts w:hint="default" w:ascii="黑体" w:hAnsi="黑体" w:eastAsia="黑体" w:cs="黑体"/>
          <w:sz w:val="32"/>
          <w:szCs w:val="32"/>
          <w:lang w:val="en-US" w:eastAsia="zh-CN"/>
        </w:rPr>
      </w:pPr>
      <w:r>
        <w:rPr>
          <w:rFonts w:hint="eastAsia" w:ascii="黑体" w:hAnsi="黑体" w:eastAsia="黑体" w:cs="黑体"/>
          <w:sz w:val="32"/>
          <w:szCs w:val="32"/>
        </w:rPr>
        <w:br w:type="page"/>
      </w:r>
      <w:r>
        <w:rPr>
          <w:rFonts w:hint="eastAsia" w:ascii="黑体" w:hAnsi="黑体" w:eastAsia="黑体" w:cs="黑体"/>
          <w:sz w:val="32"/>
          <w:szCs w:val="32"/>
        </w:rPr>
        <w:t>附件</w:t>
      </w:r>
      <w:r>
        <w:rPr>
          <w:rFonts w:hint="eastAsia" w:ascii="黑体" w:hAnsi="黑体" w:eastAsia="黑体" w:cs="黑体"/>
          <w:sz w:val="32"/>
          <w:szCs w:val="32"/>
          <w:lang w:val="en-US" w:eastAsia="zh-CN"/>
        </w:rPr>
        <w:t>10</w:t>
      </w:r>
    </w:p>
    <w:p w14:paraId="11E2F8D0">
      <w:pPr>
        <w:spacing w:before="120" w:beforeLines="50" w:after="120" w:afterLines="50" w:line="440" w:lineRule="exact"/>
        <w:jc w:val="center"/>
        <w:rPr>
          <w:rFonts w:eastAsia="黑体"/>
          <w:sz w:val="30"/>
          <w:szCs w:val="30"/>
        </w:rPr>
      </w:pPr>
      <w:r>
        <w:rPr>
          <w:rFonts w:hint="eastAsia" w:eastAsia="黑体"/>
          <w:sz w:val="30"/>
          <w:szCs w:val="30"/>
        </w:rPr>
        <w:t>保密协议</w:t>
      </w:r>
    </w:p>
    <w:p w14:paraId="71280817">
      <w:pPr>
        <w:spacing w:line="360" w:lineRule="auto"/>
        <w:rPr>
          <w:rFonts w:hint="eastAsia" w:ascii="仿宋_GB2312" w:eastAsia="仿宋_GB2312" w:hAnsiTheme="minorEastAsia" w:cstheme="minorEastAsia"/>
          <w:sz w:val="24"/>
        </w:rPr>
      </w:pPr>
      <w:r>
        <w:rPr>
          <w:rFonts w:hint="eastAsia" w:ascii="仿宋_GB2312" w:eastAsia="仿宋_GB2312" w:hAnsiTheme="minorEastAsia" w:cstheme="minorEastAsia"/>
          <w:sz w:val="24"/>
        </w:rPr>
        <w:t>本协议由以下双方于</w:t>
      </w:r>
      <w:r>
        <w:rPr>
          <w:rFonts w:hint="eastAsia" w:ascii="仿宋_GB2312" w:eastAsia="仿宋_GB2312" w:hAnsiTheme="minorEastAsia" w:cstheme="minorEastAsia"/>
          <w:sz w:val="24"/>
          <w:u w:val="single"/>
        </w:rPr>
        <w:t xml:space="preserve"> </w:t>
      </w:r>
      <w:r>
        <w:rPr>
          <w:rFonts w:ascii="仿宋_GB2312" w:eastAsia="仿宋_GB2312" w:hAnsiTheme="minorEastAsia" w:cstheme="minorEastAsia"/>
          <w:sz w:val="24"/>
          <w:u w:val="single"/>
        </w:rPr>
        <w:t xml:space="preserve">      </w:t>
      </w:r>
      <w:r>
        <w:rPr>
          <w:rFonts w:hint="eastAsia" w:ascii="仿宋_GB2312" w:eastAsia="仿宋_GB2312" w:hAnsiTheme="minorEastAsia" w:cstheme="minorEastAsia"/>
          <w:sz w:val="24"/>
        </w:rPr>
        <w:t>共同签署：</w:t>
      </w:r>
    </w:p>
    <w:p w14:paraId="7DFEC0E7">
      <w:pPr>
        <w:spacing w:line="360" w:lineRule="auto"/>
        <w:rPr>
          <w:rFonts w:hint="eastAsia" w:ascii="仿宋_GB2312" w:hAnsi="宋体" w:eastAsia="仿宋_GB2312" w:cs="宋体"/>
          <w:sz w:val="24"/>
        </w:rPr>
      </w:pPr>
      <w:r>
        <w:rPr>
          <w:rFonts w:hint="eastAsia" w:ascii="仿宋_GB2312" w:hAnsi="宋体" w:eastAsia="仿宋_GB2312" w:cs="宋体"/>
          <w:sz w:val="24"/>
        </w:rPr>
        <w:t>甲方：中国重汽集团</w:t>
      </w:r>
      <w:r>
        <w:rPr>
          <w:rFonts w:hint="eastAsia" w:ascii="仿宋_GB2312" w:hAnsi="宋体" w:eastAsia="仿宋_GB2312" w:cs="宋体"/>
          <w:sz w:val="24"/>
          <w:u w:val="single"/>
        </w:rPr>
        <w:t xml:space="preserve">         </w:t>
      </w:r>
      <w:r>
        <w:rPr>
          <w:rFonts w:hint="eastAsia" w:ascii="仿宋_GB2312" w:hAnsi="宋体" w:eastAsia="仿宋_GB2312" w:cs="宋体"/>
          <w:sz w:val="24"/>
        </w:rPr>
        <w:t>有限公司</w:t>
      </w:r>
    </w:p>
    <w:p w14:paraId="24CE4A78">
      <w:pPr>
        <w:spacing w:line="360" w:lineRule="auto"/>
        <w:rPr>
          <w:rFonts w:hint="eastAsia" w:ascii="仿宋_GB2312" w:hAnsi="宋体" w:eastAsia="仿宋_GB2312" w:cs="宋体"/>
          <w:sz w:val="24"/>
        </w:rPr>
      </w:pPr>
      <w:r>
        <w:rPr>
          <w:rFonts w:hint="eastAsia" w:ascii="仿宋_GB2312" w:hAnsi="宋体" w:eastAsia="仿宋_GB2312" w:cs="宋体"/>
          <w:sz w:val="24"/>
        </w:rPr>
        <w:t>公司住所：</w:t>
      </w:r>
    </w:p>
    <w:p w14:paraId="6675BE4E">
      <w:pPr>
        <w:spacing w:line="360" w:lineRule="auto"/>
        <w:rPr>
          <w:rFonts w:hint="eastAsia" w:ascii="仿宋_GB2312" w:hAnsi="宋体" w:eastAsia="仿宋_GB2312" w:cs="宋体"/>
          <w:sz w:val="24"/>
        </w:rPr>
      </w:pPr>
      <w:r>
        <w:rPr>
          <w:rFonts w:hint="eastAsia" w:ascii="仿宋_GB2312" w:hAnsi="宋体" w:eastAsia="仿宋_GB2312" w:cs="宋体"/>
          <w:sz w:val="24"/>
        </w:rPr>
        <w:t xml:space="preserve">法定代表人： </w:t>
      </w:r>
    </w:p>
    <w:p w14:paraId="2033F5C1">
      <w:pPr>
        <w:spacing w:line="360" w:lineRule="auto"/>
        <w:rPr>
          <w:rFonts w:hint="eastAsia" w:ascii="仿宋_GB2312" w:hAnsi="宋体" w:eastAsia="仿宋_GB2312" w:cs="宋体"/>
          <w:sz w:val="24"/>
        </w:rPr>
      </w:pPr>
    </w:p>
    <w:p w14:paraId="5CB9E6E5">
      <w:pPr>
        <w:spacing w:line="360" w:lineRule="auto"/>
        <w:rPr>
          <w:rFonts w:hint="eastAsia" w:ascii="仿宋_GB2312" w:hAnsi="宋体" w:eastAsia="仿宋_GB2312" w:cs="宋体"/>
          <w:sz w:val="24"/>
        </w:rPr>
      </w:pPr>
      <w:r>
        <w:rPr>
          <w:rFonts w:hint="eastAsia" w:ascii="仿宋_GB2312" w:hAnsi="宋体" w:eastAsia="仿宋_GB2312" w:cs="宋体"/>
          <w:sz w:val="24"/>
        </w:rPr>
        <w:t xml:space="preserve">乙方： </w:t>
      </w:r>
    </w:p>
    <w:p w14:paraId="27C6CB0E">
      <w:pPr>
        <w:spacing w:line="360" w:lineRule="auto"/>
        <w:rPr>
          <w:rFonts w:hint="eastAsia" w:ascii="仿宋_GB2312" w:hAnsi="宋体" w:eastAsia="仿宋_GB2312" w:cs="宋体"/>
          <w:sz w:val="24"/>
        </w:rPr>
      </w:pPr>
      <w:r>
        <w:rPr>
          <w:rFonts w:hint="eastAsia" w:ascii="仿宋_GB2312" w:hAnsi="宋体" w:eastAsia="仿宋_GB2312" w:cs="宋体"/>
          <w:sz w:val="24"/>
        </w:rPr>
        <w:t>公司住所：</w:t>
      </w:r>
    </w:p>
    <w:p w14:paraId="4AE13652">
      <w:pPr>
        <w:spacing w:line="360" w:lineRule="auto"/>
        <w:rPr>
          <w:rFonts w:hint="eastAsia" w:ascii="仿宋_GB2312" w:hAnsi="宋体" w:eastAsia="仿宋_GB2312" w:cs="宋体"/>
          <w:sz w:val="24"/>
        </w:rPr>
      </w:pPr>
      <w:r>
        <w:rPr>
          <w:rFonts w:hint="eastAsia" w:ascii="仿宋_GB2312" w:hAnsi="宋体" w:eastAsia="仿宋_GB2312" w:cs="宋体"/>
          <w:sz w:val="24"/>
        </w:rPr>
        <w:t>法定代表人：</w:t>
      </w:r>
    </w:p>
    <w:p w14:paraId="7E536A36">
      <w:pPr>
        <w:spacing w:line="360" w:lineRule="auto"/>
        <w:rPr>
          <w:rFonts w:hint="eastAsia" w:ascii="仿宋_GB2312" w:hAnsi="宋体" w:eastAsia="仿宋_GB2312" w:cs="宋体"/>
          <w:sz w:val="24"/>
          <w:lang w:val="en-GB"/>
        </w:rPr>
      </w:pPr>
    </w:p>
    <w:p w14:paraId="3F047E3C">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甲乙双方需开展</w:t>
      </w:r>
      <w:r>
        <w:rPr>
          <w:rFonts w:hint="eastAsia" w:ascii="仿宋_GB2312" w:eastAsia="仿宋_GB2312" w:hAnsiTheme="minorEastAsia" w:cstheme="minorEastAsia"/>
          <w:sz w:val="24"/>
          <w:u w:val="single"/>
        </w:rPr>
        <w:t xml:space="preserve"> </w:t>
      </w:r>
      <w:r>
        <w:rPr>
          <w:rFonts w:ascii="仿宋_GB2312" w:eastAsia="仿宋_GB2312" w:hAnsiTheme="minorEastAsia" w:cstheme="minorEastAsia"/>
          <w:sz w:val="24"/>
          <w:u w:val="single"/>
        </w:rPr>
        <w:t xml:space="preserve">       </w:t>
      </w:r>
      <w:r>
        <w:rPr>
          <w:rFonts w:hint="eastAsia" w:ascii="仿宋_GB2312" w:eastAsia="仿宋_GB2312" w:hAnsiTheme="minorEastAsia" w:cstheme="minorEastAsia"/>
          <w:sz w:val="24"/>
        </w:rPr>
        <w:t>项目合作。出于该合作目的，甲方已经或将要向乙方提供有关项目的保密信息。经平等协商，双方自愿签订协议如下：</w:t>
      </w:r>
    </w:p>
    <w:p w14:paraId="2F60A974">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第一条 定义</w:t>
      </w:r>
    </w:p>
    <w:p w14:paraId="1D6ED9F2">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1、“保密信息”指甲方现在或将来向乙方提供的</w:t>
      </w:r>
      <w:r>
        <w:rPr>
          <w:rFonts w:hint="eastAsia" w:ascii="仿宋_GB2312" w:eastAsia="仿宋_GB2312" w:hAnsiTheme="minorEastAsia" w:cstheme="minorEastAsia"/>
          <w:sz w:val="24"/>
          <w:lang w:val="en-GB"/>
        </w:rPr>
        <w:t>与本协议有关的任何信息和数据，包括但不限于任何类型的</w:t>
      </w:r>
      <w:r>
        <w:rPr>
          <w:rFonts w:hint="eastAsia" w:ascii="仿宋_GB2312" w:eastAsia="仿宋_GB2312" w:hAnsiTheme="minorEastAsia" w:cstheme="minorEastAsia"/>
          <w:sz w:val="24"/>
        </w:rPr>
        <w:t>经营信息、技术信息</w:t>
      </w:r>
      <w:r>
        <w:rPr>
          <w:rFonts w:hint="eastAsia" w:ascii="仿宋_GB2312" w:eastAsia="仿宋_GB2312" w:hAnsiTheme="minorEastAsia" w:cstheme="minorEastAsia"/>
          <w:sz w:val="24"/>
          <w:lang w:val="en-GB"/>
        </w:rPr>
        <w:t>、</w:t>
      </w:r>
      <w:r>
        <w:rPr>
          <w:rFonts w:hint="eastAsia" w:ascii="仿宋_GB2312" w:eastAsia="仿宋_GB2312" w:hAnsiTheme="minorEastAsia" w:cstheme="minorEastAsia"/>
          <w:sz w:val="24"/>
        </w:rPr>
        <w:t>商务信息、人力资源管理信息及财务信息等，无论该等信息以何种形式提供，如纸质文件、录音、录像、照片、磁（光）盘、数据电文（包括电传、电报、传真、电子数据交换、电子邮件、电子文档）或其他，也无论该信息是以口头还是书面方式、是否标识为保密、也无论该等信息储存于何种载体（包括电子信息）。</w:t>
      </w:r>
    </w:p>
    <w:p w14:paraId="2465943F">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2、信息提供方：甲方</w:t>
      </w:r>
    </w:p>
    <w:p w14:paraId="5B0736AD">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3、信息接受方：乙方</w:t>
      </w:r>
    </w:p>
    <w:p w14:paraId="4EEC1738">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4、第三方：指本协议双方之外的任何第三方。</w:t>
      </w:r>
    </w:p>
    <w:p w14:paraId="3A7149D6">
      <w:pPr>
        <w:spacing w:line="360" w:lineRule="auto"/>
        <w:ind w:firstLine="480" w:firstLineChars="200"/>
        <w:rPr>
          <w:rFonts w:hint="eastAsia" w:ascii="仿宋_GB2312" w:eastAsia="仿宋_GB2312" w:hAnsiTheme="minorEastAsia" w:cstheme="minorEastAsia"/>
          <w:sz w:val="24"/>
        </w:rPr>
      </w:pPr>
      <w:r>
        <w:rPr>
          <w:rFonts w:hint="eastAsia" w:ascii="仿宋_GB2312" w:hAnsi="宋体" w:eastAsia="仿宋_GB2312" w:cs="宋体"/>
          <w:sz w:val="24"/>
        </w:rPr>
        <w:t>5、</w:t>
      </w:r>
      <w:r>
        <w:rPr>
          <w:rFonts w:hint="eastAsia" w:ascii="仿宋_GB2312" w:hAnsi="宋体" w:eastAsia="仿宋_GB2312" w:cs="宋体"/>
          <w:sz w:val="24"/>
          <w:lang w:val="en-GB"/>
        </w:rPr>
        <w:t>关联</w:t>
      </w:r>
      <w:r>
        <w:rPr>
          <w:rFonts w:hint="eastAsia" w:ascii="仿宋_GB2312" w:hAnsi="宋体" w:eastAsia="仿宋_GB2312" w:cs="宋体"/>
          <w:sz w:val="24"/>
        </w:rPr>
        <w:t>公司</w:t>
      </w:r>
      <w:r>
        <w:rPr>
          <w:rFonts w:hint="eastAsia" w:ascii="仿宋_GB2312" w:hAnsi="宋体" w:eastAsia="仿宋_GB2312" w:cs="宋体"/>
          <w:sz w:val="24"/>
          <w:lang w:val="en-GB"/>
        </w:rPr>
        <w:t>：直接或间接控制</w:t>
      </w:r>
      <w:r>
        <w:rPr>
          <w:rFonts w:hint="eastAsia" w:ascii="仿宋_GB2312" w:hAnsi="宋体" w:eastAsia="仿宋_GB2312" w:cs="宋体"/>
          <w:sz w:val="24"/>
        </w:rPr>
        <w:t>一</w:t>
      </w:r>
      <w:r>
        <w:rPr>
          <w:rFonts w:hint="eastAsia" w:ascii="仿宋_GB2312" w:hAnsi="宋体" w:eastAsia="仿宋_GB2312" w:cs="宋体"/>
          <w:sz w:val="24"/>
          <w:lang w:val="en-GB"/>
        </w:rPr>
        <w:t>方，或者受控于</w:t>
      </w:r>
      <w:r>
        <w:rPr>
          <w:rFonts w:hint="eastAsia" w:ascii="仿宋_GB2312" w:hAnsi="宋体" w:eastAsia="仿宋_GB2312" w:cs="宋体"/>
          <w:sz w:val="24"/>
        </w:rPr>
        <w:t>该</w:t>
      </w:r>
      <w:r>
        <w:rPr>
          <w:rFonts w:hint="eastAsia" w:ascii="仿宋_GB2312" w:hAnsi="宋体" w:eastAsia="仿宋_GB2312" w:cs="宋体"/>
          <w:sz w:val="24"/>
          <w:lang w:val="en-GB"/>
        </w:rPr>
        <w:t>方，或者与</w:t>
      </w:r>
      <w:r>
        <w:rPr>
          <w:rFonts w:hint="eastAsia" w:ascii="仿宋_GB2312" w:hAnsi="宋体" w:eastAsia="仿宋_GB2312" w:cs="宋体"/>
          <w:sz w:val="24"/>
        </w:rPr>
        <w:t>该</w:t>
      </w:r>
      <w:r>
        <w:rPr>
          <w:rFonts w:hint="eastAsia" w:ascii="仿宋_GB2312" w:hAnsi="宋体" w:eastAsia="仿宋_GB2312" w:cs="宋体"/>
          <w:sz w:val="24"/>
          <w:lang w:val="en-GB"/>
        </w:rPr>
        <w:t>方共同处于控制之下的任何</w:t>
      </w:r>
      <w:r>
        <w:rPr>
          <w:rFonts w:hint="eastAsia" w:ascii="仿宋_GB2312" w:eastAsia="仿宋_GB2312" w:hAnsiTheme="minorEastAsia" w:cstheme="minorEastAsia"/>
          <w:sz w:val="24"/>
        </w:rPr>
        <w:t>第三方。</w:t>
      </w:r>
    </w:p>
    <w:p w14:paraId="53AFAF7A">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第二条 保密信息的提供</w:t>
      </w:r>
    </w:p>
    <w:p w14:paraId="1A4637B6">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1、本协议所述之保密信息均由协议双方为洽谈合作事项之目的而提供。</w:t>
      </w:r>
    </w:p>
    <w:p w14:paraId="676977A6">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2、保密信息的所有权及知识产权归属于甲方或甲方具有合法来源。</w:t>
      </w:r>
    </w:p>
    <w:p w14:paraId="31554C75">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3、本协议任何条款均不视为将保密信息的所有权和其他权利转让给乙方。</w:t>
      </w:r>
    </w:p>
    <w:p w14:paraId="461CD5C8">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第三条 保密义务</w:t>
      </w:r>
    </w:p>
    <w:p w14:paraId="4E2BB93E">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1、乙方仅能将甲方提供的保密信息用于本协议所约定的项目并承担保密义务。</w:t>
      </w:r>
    </w:p>
    <w:p w14:paraId="598435D9">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2、乙方将采取有效措施使用甲方提供的保密信息，只将该等保密信息提供给本方负责决策或实施合作事项的具体参与人员，乙方及其相关人员不得以任何方式或形式散布、披露或传播给该范围以外的人（包括乙方关联机构），也不得允许任何保密信息被泄漏、被披露、被交流。</w:t>
      </w:r>
    </w:p>
    <w:p w14:paraId="7BF117F7">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3、如果乙方为项目需要，而不得不向该第三方披露保密信息，则乙方应事先从甲方得到书面同意。乙方应在披露保密信息之前，按照与本协议相同的保护程度与该第三方签署一份保密协议。若上述第三方（包括其股东、高管、雇员）发生泄密，乙方应与该第三方承担连带责任。</w:t>
      </w:r>
    </w:p>
    <w:p w14:paraId="57496AFE">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 xml:space="preserve">4、如乙方得悉甲方的任何保密信息遭侵犯或疑似侵权，乙方应立即通知甲方。如果甲方决定就侵权行为进行起诉，或以其他方式停止或阻止该实际或可能发生的侵权行为，乙方尽最大限度予以协助。 </w:t>
      </w:r>
    </w:p>
    <w:p w14:paraId="7FB3A375">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5、乙方不得在世界任何地方就保密信息进行升级、变更和/或改进，亦不得直接或间接提交或促使提交专利或著作权或其它权利的申请，也不得以其名义取得或促使以其他人名义取得任何专利或其它权利注册。</w:t>
      </w:r>
    </w:p>
    <w:p w14:paraId="2EE2528C">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 xml:space="preserve">6、乙方应遵从甲方不时发出的有关使用、处理和保管保密信息的任何指令或政策，并按照甲方的要求将本协议项下保密信息的使用情况向甲方汇报。 </w:t>
      </w:r>
    </w:p>
    <w:p w14:paraId="16E58CE6">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7、乙方不得为第三方利益使用保密信息，不得非为实现双方合作目的使用保密信息，不得对保密信息采取任何反向工程、反向编译或反向分解等行为。</w:t>
      </w:r>
    </w:p>
    <w:p w14:paraId="02D454F9">
      <w:pPr>
        <w:spacing w:line="360" w:lineRule="auto"/>
        <w:ind w:firstLine="480" w:firstLineChars="200"/>
        <w:rPr>
          <w:rFonts w:hint="eastAsia" w:ascii="仿宋_GB2312" w:eastAsia="仿宋_GB2312" w:hAnsiTheme="minorEastAsia" w:cstheme="minorEastAsia"/>
          <w:sz w:val="24"/>
          <w:highlight w:val="yellow"/>
        </w:rPr>
      </w:pPr>
      <w:r>
        <w:rPr>
          <w:rFonts w:hint="eastAsia" w:ascii="仿宋_GB2312" w:eastAsia="仿宋_GB2312" w:hAnsiTheme="minorEastAsia" w:cstheme="minorEastAsia"/>
          <w:sz w:val="24"/>
        </w:rPr>
        <w:t>8、双方合作期间形成的与本协议有关的任何信息和数据受本协议约束。</w:t>
      </w:r>
    </w:p>
    <w:p w14:paraId="264BE754">
      <w:pPr>
        <w:tabs>
          <w:tab w:val="left" w:pos="567"/>
        </w:tabs>
        <w:spacing w:line="360" w:lineRule="auto"/>
        <w:ind w:firstLine="480" w:firstLineChars="200"/>
        <w:rPr>
          <w:rFonts w:hint="eastAsia" w:ascii="仿宋_GB2312" w:hAnsi="宋体" w:eastAsia="仿宋_GB2312" w:cs="宋体"/>
          <w:sz w:val="24"/>
          <w:lang w:val="en-GB"/>
        </w:rPr>
      </w:pPr>
      <w:r>
        <w:rPr>
          <w:rFonts w:hint="eastAsia" w:ascii="仿宋_GB2312" w:hAnsi="宋体" w:eastAsia="仿宋_GB2312" w:cs="宋体"/>
          <w:sz w:val="24"/>
          <w:lang w:val="en-GB"/>
        </w:rPr>
        <w:t>在本协议签订后，</w:t>
      </w:r>
      <w:r>
        <w:rPr>
          <w:rFonts w:hint="eastAsia" w:ascii="仿宋_GB2312" w:hAnsi="宋体" w:eastAsia="仿宋_GB2312" w:cs="宋体"/>
          <w:sz w:val="24"/>
        </w:rPr>
        <w:t>甲方仅将保密信息向乙</w:t>
      </w:r>
      <w:r>
        <w:rPr>
          <w:rFonts w:hint="eastAsia" w:ascii="仿宋_GB2312" w:hAnsi="宋体" w:eastAsia="仿宋_GB2312" w:cs="宋体"/>
          <w:sz w:val="24"/>
          <w:lang w:val="en-GB"/>
        </w:rPr>
        <w:t>方</w:t>
      </w:r>
      <w:r>
        <w:rPr>
          <w:rFonts w:hint="eastAsia" w:ascii="仿宋_GB2312" w:hAnsi="宋体" w:eastAsia="仿宋_GB2312" w:cs="宋体"/>
          <w:sz w:val="24"/>
        </w:rPr>
        <w:t>指定联系人：</w:t>
      </w:r>
      <w:r>
        <w:rPr>
          <w:rFonts w:hint="eastAsia" w:ascii="仿宋_GB2312" w:hAnsi="宋体" w:eastAsia="仿宋_GB2312" w:cs="宋体"/>
          <w:sz w:val="24"/>
          <w:u w:val="single"/>
        </w:rPr>
        <w:t xml:space="preserve">     </w:t>
      </w:r>
      <w:r>
        <w:rPr>
          <w:rFonts w:hint="eastAsia" w:ascii="仿宋_GB2312" w:hAnsi="宋体" w:eastAsia="仿宋_GB2312" w:cs="宋体"/>
          <w:sz w:val="24"/>
        </w:rPr>
        <w:t>进行披露，如乙方联系人发生变更，应立即书面通知甲方并做出新的授权。</w:t>
      </w:r>
    </w:p>
    <w:p w14:paraId="48DDEBB5">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第四条 保密义务的例外</w:t>
      </w:r>
    </w:p>
    <w:p w14:paraId="36915040">
      <w:pPr>
        <w:spacing w:line="360" w:lineRule="auto"/>
        <w:ind w:firstLine="480" w:firstLineChars="200"/>
        <w:rPr>
          <w:rFonts w:hint="eastAsia" w:ascii="仿宋_GB2312" w:eastAsia="仿宋_GB2312" w:hAnsiTheme="minorEastAsia" w:cstheme="minorEastAsia"/>
          <w:sz w:val="24"/>
          <w:lang w:val="en-GB"/>
        </w:rPr>
      </w:pPr>
      <w:r>
        <w:rPr>
          <w:rFonts w:hint="eastAsia" w:ascii="仿宋_GB2312" w:eastAsia="仿宋_GB2312" w:hAnsiTheme="minorEastAsia" w:cstheme="minorEastAsia"/>
          <w:sz w:val="24"/>
        </w:rPr>
        <w:t>1、</w:t>
      </w:r>
      <w:r>
        <w:rPr>
          <w:rFonts w:hint="eastAsia" w:ascii="仿宋_GB2312" w:eastAsia="仿宋_GB2312" w:hAnsiTheme="minorEastAsia" w:cstheme="minorEastAsia"/>
          <w:sz w:val="24"/>
          <w:lang w:val="en-GB"/>
        </w:rPr>
        <w:t>根据有关法律或有管辖权的法院、仲裁机构、交易所或政府机构</w:t>
      </w:r>
      <w:r>
        <w:rPr>
          <w:rFonts w:hint="eastAsia" w:ascii="仿宋_GB2312" w:eastAsia="仿宋_GB2312" w:hAnsiTheme="minorEastAsia" w:cstheme="minorEastAsia"/>
          <w:sz w:val="24"/>
        </w:rPr>
        <w:t>的</w:t>
      </w:r>
      <w:r>
        <w:rPr>
          <w:rFonts w:hint="eastAsia" w:ascii="仿宋_GB2312" w:eastAsia="仿宋_GB2312" w:hAnsiTheme="minorEastAsia" w:cstheme="minorEastAsia"/>
          <w:sz w:val="24"/>
          <w:lang w:val="en-GB"/>
        </w:rPr>
        <w:t>要求而披露保密信息。</w:t>
      </w:r>
    </w:p>
    <w:p w14:paraId="1942BF1F">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2、事先取得甲方书面同意而公开的信息。</w:t>
      </w:r>
    </w:p>
    <w:p w14:paraId="349A2D37">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披露该等保密信息之前，乙方应当立即通知甲方，并提供有关该等命令的通知，协同甲方采取有效措施防范风险。</w:t>
      </w:r>
    </w:p>
    <w:p w14:paraId="44C1FE7F">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第五条 保密信息的返还</w:t>
      </w:r>
    </w:p>
    <w:p w14:paraId="243D1BB5">
      <w:pPr>
        <w:tabs>
          <w:tab w:val="left" w:pos="990"/>
        </w:tabs>
        <w:spacing w:line="360" w:lineRule="auto"/>
        <w:ind w:firstLine="480" w:firstLineChars="200"/>
        <w:rPr>
          <w:rFonts w:hint="eastAsia" w:ascii="仿宋_GB2312" w:hAnsi="宋体" w:eastAsia="仿宋_GB2312" w:cs="宋体"/>
          <w:sz w:val="24"/>
        </w:rPr>
      </w:pPr>
      <w:r>
        <w:rPr>
          <w:rFonts w:hint="eastAsia" w:ascii="仿宋_GB2312" w:eastAsia="仿宋_GB2312" w:hAnsiTheme="minorEastAsia" w:cstheme="minorEastAsia"/>
          <w:sz w:val="24"/>
        </w:rPr>
        <w:t>根据</w:t>
      </w:r>
      <w:r>
        <w:rPr>
          <w:rFonts w:hint="eastAsia" w:ascii="仿宋_GB2312" w:hAnsi="宋体" w:eastAsia="仿宋_GB2312" w:cs="宋体"/>
          <w:sz w:val="24"/>
        </w:rPr>
        <w:t>甲方要求或乙方违约时</w:t>
      </w:r>
      <w:r>
        <w:rPr>
          <w:rFonts w:hint="eastAsia" w:ascii="仿宋_GB2312" w:hAnsi="宋体" w:eastAsia="仿宋_GB2312" w:cs="宋体"/>
          <w:sz w:val="24"/>
          <w:lang w:val="en-GB"/>
        </w:rPr>
        <w:t>，</w:t>
      </w:r>
      <w:r>
        <w:rPr>
          <w:rFonts w:hint="eastAsia" w:ascii="仿宋_GB2312" w:hAnsi="宋体" w:eastAsia="仿宋_GB2312" w:cs="宋体"/>
          <w:sz w:val="24"/>
        </w:rPr>
        <w:t>乙方应</w:t>
      </w:r>
      <w:r>
        <w:rPr>
          <w:rFonts w:hint="eastAsia" w:ascii="仿宋_GB2312" w:hAnsi="宋体" w:eastAsia="仿宋_GB2312" w:cs="宋体"/>
          <w:sz w:val="24"/>
          <w:lang w:val="en-GB"/>
        </w:rPr>
        <w:t>立即</w:t>
      </w:r>
      <w:r>
        <w:rPr>
          <w:rFonts w:hint="eastAsia" w:ascii="仿宋_GB2312" w:hAnsi="宋体" w:eastAsia="仿宋_GB2312" w:cs="宋体"/>
          <w:sz w:val="24"/>
        </w:rPr>
        <w:t>在甲方要求的时间内</w:t>
      </w:r>
      <w:r>
        <w:rPr>
          <w:rFonts w:hint="eastAsia" w:ascii="仿宋_GB2312" w:hAnsi="宋体" w:eastAsia="仿宋_GB2312" w:cs="宋体"/>
          <w:sz w:val="24"/>
          <w:lang w:val="en-GB"/>
        </w:rPr>
        <w:t>向甲方返还所有保密信息并不得保存副本，</w:t>
      </w:r>
      <w:r>
        <w:rPr>
          <w:rFonts w:hint="eastAsia" w:ascii="仿宋_GB2312" w:hAnsi="宋体" w:eastAsia="仿宋_GB2312" w:cs="宋体"/>
          <w:sz w:val="24"/>
        </w:rPr>
        <w:t>包括但不限于储存于</w:t>
      </w:r>
      <w:r>
        <w:rPr>
          <w:rFonts w:hint="eastAsia" w:ascii="仿宋_GB2312" w:hAnsi="宋体" w:eastAsia="仿宋_GB2312" w:cs="宋体"/>
          <w:sz w:val="24"/>
          <w:lang w:val="en-GB"/>
        </w:rPr>
        <w:t>计算机磁盘、CD-ROM驱动、CD-ROM、硬盘、软件或任何纸质媒介的材料</w:t>
      </w:r>
      <w:r>
        <w:rPr>
          <w:rFonts w:hint="eastAsia" w:ascii="仿宋_GB2312" w:hAnsi="宋体" w:eastAsia="仿宋_GB2312" w:cs="宋体"/>
          <w:sz w:val="24"/>
        </w:rPr>
        <w:t>及其</w:t>
      </w:r>
      <w:r>
        <w:rPr>
          <w:rFonts w:hint="eastAsia" w:ascii="仿宋_GB2312" w:hAnsi="宋体" w:eastAsia="仿宋_GB2312" w:cs="宋体"/>
          <w:sz w:val="24"/>
          <w:lang w:val="en-GB"/>
        </w:rPr>
        <w:t>备份。</w:t>
      </w:r>
      <w:r>
        <w:rPr>
          <w:rFonts w:hint="eastAsia" w:ascii="仿宋_GB2312" w:hAnsi="宋体" w:eastAsia="仿宋_GB2312" w:cs="宋体"/>
          <w:sz w:val="24"/>
        </w:rPr>
        <w:t>因</w:t>
      </w:r>
      <w:r>
        <w:rPr>
          <w:rFonts w:hint="eastAsia" w:ascii="仿宋_GB2312" w:hAnsi="宋体" w:eastAsia="仿宋_GB2312" w:cs="宋体"/>
          <w:sz w:val="24"/>
          <w:lang w:val="en-GB"/>
        </w:rPr>
        <w:t>保密信息载体及保密信息介质的特性导致客观上无法返还甲方的，乙方应当于甲方要求的时间内将载有保密信息的载体或介质销毁，或对其进行处理使其不具有保密信息保存和传递功能，以达到乙方不保存任何保密信息的目的，</w:t>
      </w:r>
      <w:r>
        <w:rPr>
          <w:rFonts w:hint="eastAsia" w:ascii="仿宋_GB2312" w:hAnsi="宋体" w:eastAsia="仿宋_GB2312" w:cs="宋体"/>
          <w:sz w:val="24"/>
        </w:rPr>
        <w:t>同时乙方应</w:t>
      </w:r>
      <w:r>
        <w:rPr>
          <w:rFonts w:hint="eastAsia" w:ascii="仿宋_GB2312" w:hAnsi="宋体" w:eastAsia="仿宋_GB2312" w:cs="宋体"/>
          <w:sz w:val="24"/>
          <w:lang w:val="en-GB"/>
        </w:rPr>
        <w:t>向</w:t>
      </w:r>
      <w:r>
        <w:rPr>
          <w:rFonts w:hint="eastAsia" w:ascii="仿宋_GB2312" w:hAnsi="宋体" w:eastAsia="仿宋_GB2312" w:cs="宋体"/>
          <w:sz w:val="24"/>
        </w:rPr>
        <w:t>甲</w:t>
      </w:r>
      <w:r>
        <w:rPr>
          <w:rFonts w:hint="eastAsia" w:ascii="仿宋_GB2312" w:hAnsi="宋体" w:eastAsia="仿宋_GB2312" w:cs="宋体"/>
          <w:sz w:val="24"/>
          <w:lang w:val="en-GB"/>
        </w:rPr>
        <w:t>方出具已经归还或销毁</w:t>
      </w:r>
      <w:r>
        <w:rPr>
          <w:rFonts w:hint="eastAsia" w:ascii="仿宋_GB2312" w:hAnsi="宋体" w:eastAsia="仿宋_GB2312" w:cs="宋体"/>
          <w:sz w:val="24"/>
        </w:rPr>
        <w:t>全部</w:t>
      </w:r>
      <w:r>
        <w:rPr>
          <w:rFonts w:hint="eastAsia" w:ascii="仿宋_GB2312" w:hAnsi="宋体" w:eastAsia="仿宋_GB2312" w:cs="宋体"/>
          <w:sz w:val="24"/>
          <w:lang w:val="en-GB"/>
        </w:rPr>
        <w:t>材料的书面</w:t>
      </w:r>
      <w:r>
        <w:rPr>
          <w:rFonts w:hint="eastAsia" w:ascii="仿宋_GB2312" w:hAnsi="宋体" w:eastAsia="仿宋_GB2312" w:cs="宋体"/>
          <w:sz w:val="24"/>
        </w:rPr>
        <w:t>承诺。</w:t>
      </w:r>
    </w:p>
    <w:p w14:paraId="335B41D4">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第六条 保密期限</w:t>
      </w:r>
    </w:p>
    <w:p w14:paraId="2A836A52">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除本协议双方另有约定外，本协议的保密期限自甲方提供保密信息之日起至本协议所述保密信息向公众披露或为公众所知悉之日止。</w:t>
      </w:r>
    </w:p>
    <w:p w14:paraId="48CD9D9D">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第七条 违约责任</w:t>
      </w:r>
    </w:p>
    <w:p w14:paraId="0342B1F2">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 xml:space="preserve">1、如乙方违反本协议约定，应立即停止使用保密信息。如果乙方董事、监事 、高级管理人员、员工、股东、关联机构、代理、顾问、参与项目谈判的人员以及其他利益相关人的行为与本协议相违背，均视为乙方违反本协议。 </w:t>
      </w:r>
    </w:p>
    <w:p w14:paraId="6CBA5A3B">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2、双方确认，基于保密信息的性质，乙方任何违反本协议的行为将对甲方造成不可弥补的损害，乙方（包括乙方董事、监事 、高级管理人员、员工、股东、关联机构、代理、顾问、参与项目谈判的人员以及其他利益相关人），应当对于因违反本协议而给甲方及甲方关联公司造成的全部损失承担赔偿责任及可期待的商业利益损失。</w:t>
      </w:r>
    </w:p>
    <w:p w14:paraId="28CE418F">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3、在各种情况下，双方一致认为甲方的损失均应被视为最少不低于</w:t>
      </w:r>
      <w:r>
        <w:rPr>
          <w:rFonts w:hint="eastAsia" w:ascii="仿宋_GB2312" w:eastAsia="仿宋_GB2312" w:hAnsiTheme="minorEastAsia" w:cstheme="minorEastAsia"/>
          <w:sz w:val="24"/>
          <w:u w:val="single"/>
        </w:rPr>
        <w:t xml:space="preserve"> </w:t>
      </w:r>
      <w:r>
        <w:rPr>
          <w:rFonts w:ascii="仿宋_GB2312" w:eastAsia="仿宋_GB2312" w:hAnsiTheme="minorEastAsia" w:cstheme="minorEastAsia"/>
          <w:sz w:val="24"/>
          <w:u w:val="single"/>
        </w:rPr>
        <w:t xml:space="preserve">   </w:t>
      </w:r>
      <w:r>
        <w:rPr>
          <w:rFonts w:hint="eastAsia" w:ascii="仿宋_GB2312" w:eastAsia="仿宋_GB2312" w:hAnsiTheme="minorEastAsia" w:cstheme="minorEastAsia"/>
          <w:sz w:val="24"/>
        </w:rPr>
        <w:t xml:space="preserve">万元。 </w:t>
      </w:r>
    </w:p>
    <w:p w14:paraId="59BE90AF">
      <w:pPr>
        <w:spacing w:line="360" w:lineRule="auto"/>
        <w:ind w:firstLine="480" w:firstLineChars="200"/>
        <w:rPr>
          <w:rFonts w:ascii="仿宋_GB2312" w:eastAsia="仿宋_GB2312"/>
          <w:sz w:val="24"/>
        </w:rPr>
      </w:pPr>
      <w:r>
        <w:rPr>
          <w:rFonts w:hint="eastAsia" w:ascii="仿宋_GB2312" w:eastAsia="仿宋_GB2312" w:hAnsiTheme="minorEastAsia" w:cstheme="minorEastAsia"/>
          <w:sz w:val="24"/>
        </w:rPr>
        <w:t>4、</w:t>
      </w:r>
      <w:r>
        <w:rPr>
          <w:rFonts w:hint="eastAsia" w:ascii="仿宋_GB2312" w:eastAsia="仿宋_GB2312"/>
          <w:sz w:val="24"/>
        </w:rPr>
        <w:t xml:space="preserve">如乙方违反第三条第5项的约定提交了申请或取得专利或著作权或其他权利注册，则乙方除应按本协议的约定承担违约责任外，还应根据甲方要求，毫不延迟地将该等申请、注册的权利无偿转让给甲方。该等转让或变更涉及所有费用由乙方承担。 </w:t>
      </w:r>
    </w:p>
    <w:p w14:paraId="3685808F">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第八条 适用法律及争议的解决</w:t>
      </w:r>
    </w:p>
    <w:p w14:paraId="7C9B1F96">
      <w:pPr>
        <w:tabs>
          <w:tab w:val="left" w:pos="567"/>
        </w:tabs>
        <w:spacing w:line="360" w:lineRule="auto"/>
        <w:ind w:firstLine="480" w:firstLineChars="200"/>
        <w:rPr>
          <w:rFonts w:hint="eastAsia" w:ascii="仿宋_GB2312" w:hAnsi="宋体" w:eastAsia="仿宋_GB2312" w:cs="宋体"/>
          <w:sz w:val="24"/>
          <w:lang w:val="en-GB"/>
        </w:rPr>
      </w:pPr>
      <w:r>
        <w:rPr>
          <w:rFonts w:hint="eastAsia" w:ascii="仿宋_GB2312" w:hAnsi="宋体" w:eastAsia="仿宋_GB2312" w:cs="宋体"/>
          <w:sz w:val="24"/>
          <w:lang w:val="en-GB"/>
        </w:rPr>
        <w:t>本协议受中国现行</w:t>
      </w:r>
      <w:r>
        <w:rPr>
          <w:rFonts w:hint="eastAsia" w:ascii="仿宋_GB2312" w:hAnsi="宋体" w:eastAsia="仿宋_GB2312" w:cs="宋体"/>
          <w:sz w:val="24"/>
        </w:rPr>
        <w:t>有效的法律</w:t>
      </w:r>
      <w:r>
        <w:rPr>
          <w:rFonts w:hint="eastAsia" w:ascii="仿宋_GB2312" w:hAnsi="宋体" w:eastAsia="仿宋_GB2312" w:cs="宋体"/>
          <w:sz w:val="24"/>
          <w:lang w:val="en-GB"/>
        </w:rPr>
        <w:t>管辖，因本协议引起的或与本协议有关的任何争议，应由双方先行协商解决，协商不成的，由甲方所在地法院诉讼解决。</w:t>
      </w:r>
    </w:p>
    <w:p w14:paraId="1FFC04CA">
      <w:pPr>
        <w:spacing w:line="360" w:lineRule="auto"/>
        <w:ind w:firstLine="560" w:firstLineChars="200"/>
        <w:rPr>
          <w:rFonts w:hint="eastAsia" w:ascii="黑体" w:hAnsi="黑体" w:eastAsia="黑体" w:cstheme="minorEastAsia"/>
          <w:bCs/>
          <w:sz w:val="28"/>
          <w:szCs w:val="28"/>
        </w:rPr>
      </w:pPr>
      <w:r>
        <w:rPr>
          <w:rFonts w:hint="eastAsia" w:ascii="黑体" w:hAnsi="黑体" w:eastAsia="黑体" w:cstheme="minorEastAsia"/>
          <w:bCs/>
          <w:sz w:val="28"/>
          <w:szCs w:val="28"/>
        </w:rPr>
        <w:t xml:space="preserve">第九条 继续有效 </w:t>
      </w:r>
    </w:p>
    <w:p w14:paraId="10E05F6F">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如果本协议有任何条款或部分因任何原因被判定为无效或不可执行，本协议其他条款不应受到影响，在法律允许的范围内继续具有完全效力。</w:t>
      </w:r>
    </w:p>
    <w:p w14:paraId="4768547F">
      <w:pPr>
        <w:spacing w:line="360" w:lineRule="auto"/>
        <w:ind w:firstLine="560" w:firstLineChars="200"/>
        <w:rPr>
          <w:rFonts w:hint="eastAsia" w:ascii="仿宋_GB2312" w:eastAsia="仿宋_GB2312" w:hAnsiTheme="minorEastAsia" w:cstheme="minorEastAsia"/>
          <w:sz w:val="24"/>
        </w:rPr>
      </w:pPr>
      <w:r>
        <w:rPr>
          <w:rFonts w:hint="eastAsia" w:ascii="黑体" w:hAnsi="黑体" w:eastAsia="黑体" w:cstheme="minorEastAsia"/>
          <w:bCs/>
          <w:sz w:val="28"/>
          <w:szCs w:val="28"/>
        </w:rPr>
        <w:t>第十条 协议生效</w:t>
      </w:r>
    </w:p>
    <w:p w14:paraId="43980342">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1、协议双方同意，本协议于双方签署之日起生效。但是如果本协议签订前存在甲方向乙方提供保密信息的，也适用本协议。</w:t>
      </w:r>
      <w:r>
        <w:rPr>
          <w:rFonts w:ascii="仿宋_GB2312" w:eastAsia="仿宋_GB2312" w:hAnsiTheme="minorEastAsia" w:cstheme="minorEastAsia"/>
          <w:sz w:val="24"/>
        </w:rPr>
        <w:t xml:space="preserve"> </w:t>
      </w:r>
    </w:p>
    <w:p w14:paraId="17F1F73D">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2、协议双方对本协议内容的修改或补充，应采用书面形式订立补充协议，补充协议经双方签署生效，成为本协议的有效组成部份、与本协议具有同等法律效力。</w:t>
      </w:r>
    </w:p>
    <w:p w14:paraId="7A38368D">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3、本协议正本一式三份，甲方执两份，乙方执一份，具有同等法律效力。</w:t>
      </w:r>
    </w:p>
    <w:p w14:paraId="22AE2E66">
      <w:pPr>
        <w:spacing w:line="360" w:lineRule="auto"/>
        <w:ind w:firstLine="480" w:firstLineChars="200"/>
        <w:rPr>
          <w:rFonts w:hint="eastAsia" w:ascii="仿宋_GB2312" w:eastAsia="仿宋_GB2312" w:hAnsiTheme="minorEastAsia" w:cstheme="minorEastAsia"/>
          <w:sz w:val="24"/>
        </w:rPr>
      </w:pPr>
      <w:r>
        <w:rPr>
          <w:rFonts w:hint="eastAsia" w:ascii="仿宋_GB2312" w:eastAsia="仿宋_GB2312" w:hAnsiTheme="minorEastAsia" w:cstheme="minorEastAsia"/>
          <w:sz w:val="24"/>
        </w:rPr>
        <w:t>兹此，双方已促使本协议由各自正式授权代表签署或加盖双方公章或合同专用章。</w:t>
      </w:r>
    </w:p>
    <w:p w14:paraId="735EDFE9">
      <w:pPr>
        <w:spacing w:line="360" w:lineRule="auto"/>
        <w:ind w:firstLine="480" w:firstLineChars="200"/>
        <w:rPr>
          <w:rFonts w:hint="eastAsia" w:ascii="仿宋_GB2312" w:eastAsia="仿宋_GB2312" w:hAnsiTheme="minorEastAsia" w:cstheme="minorEastAsia"/>
          <w:sz w:val="24"/>
        </w:rPr>
      </w:pPr>
    </w:p>
    <w:p w14:paraId="13082BBA">
      <w:pPr>
        <w:ind w:firstLine="422" w:firstLineChars="200"/>
        <w:rPr>
          <w:rFonts w:hint="eastAsia" w:ascii="宋体" w:hAnsi="宋体" w:cs="宋体"/>
          <w:b/>
          <w:szCs w:val="21"/>
        </w:rPr>
      </w:pPr>
      <w:r>
        <w:rPr>
          <w:rFonts w:hint="eastAsia" w:ascii="宋体" w:hAnsi="宋体" w:cs="宋体"/>
          <w:b/>
          <w:szCs w:val="21"/>
        </w:rPr>
        <w:t>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一方擅自增加、删改、篡改部分无效（个人手写签名除外）。</w:t>
      </w:r>
    </w:p>
    <w:p w14:paraId="1990CD84">
      <w:pPr>
        <w:ind w:firstLine="422" w:firstLineChars="200"/>
        <w:rPr>
          <w:rFonts w:hint="eastAsia" w:ascii="宋体" w:hAnsi="宋体" w:cs="宋体"/>
          <w:b/>
          <w:szCs w:val="21"/>
        </w:rPr>
      </w:pPr>
      <w:r>
        <w:rPr>
          <w:rFonts w:hint="eastAsia" w:ascii="宋体" w:hAnsi="宋体" w:cs="宋体"/>
          <w:b/>
          <w:szCs w:val="21"/>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各方已签署完毕。</w:t>
      </w:r>
    </w:p>
    <w:p w14:paraId="0E32187A">
      <w:pPr>
        <w:spacing w:line="360" w:lineRule="auto"/>
        <w:ind w:firstLine="480" w:firstLineChars="200"/>
        <w:rPr>
          <w:rFonts w:hint="eastAsia" w:ascii="仿宋_GB2312" w:eastAsia="仿宋_GB2312" w:hAnsiTheme="minorEastAsia" w:cstheme="minorEastAsia"/>
          <w:sz w:val="24"/>
        </w:rPr>
      </w:pPr>
    </w:p>
    <w:p w14:paraId="7608A754">
      <w:pPr>
        <w:spacing w:line="360" w:lineRule="auto"/>
        <w:ind w:firstLine="480" w:firstLineChars="200"/>
        <w:rPr>
          <w:rFonts w:hint="eastAsia" w:ascii="仿宋_GB2312" w:eastAsia="仿宋_GB2312" w:hAnsiTheme="minorEastAsia" w:cstheme="minorEastAsia"/>
          <w:sz w:val="24"/>
        </w:rPr>
      </w:pPr>
    </w:p>
    <w:p w14:paraId="21D8A19C">
      <w:pPr>
        <w:spacing w:line="360" w:lineRule="auto"/>
        <w:rPr>
          <w:rFonts w:hint="eastAsia" w:ascii="仿宋_GB2312" w:eastAsia="仿宋_GB2312" w:hAnsiTheme="minorEastAsia" w:cstheme="minorEastAsia"/>
          <w:sz w:val="24"/>
        </w:rPr>
      </w:pPr>
      <w:r>
        <w:rPr>
          <w:rFonts w:hint="eastAsia" w:ascii="仿宋_GB2312" w:eastAsia="仿宋_GB2312" w:hAnsiTheme="minorEastAsia" w:cstheme="minorEastAsia"/>
          <w:sz w:val="24"/>
        </w:rPr>
        <w:t>甲方：中国重汽集团</w:t>
      </w:r>
      <w:r>
        <w:rPr>
          <w:rFonts w:hint="eastAsia" w:ascii="仿宋_GB2312" w:eastAsia="仿宋_GB2312" w:hAnsiTheme="minorEastAsia" w:cstheme="minorEastAsia"/>
          <w:sz w:val="24"/>
          <w:u w:val="single"/>
        </w:rPr>
        <w:t xml:space="preserve">                </w:t>
      </w:r>
      <w:r>
        <w:rPr>
          <w:rFonts w:hint="eastAsia" w:ascii="仿宋_GB2312" w:eastAsia="仿宋_GB2312" w:hAnsiTheme="minorEastAsia" w:cstheme="minorEastAsia"/>
          <w:sz w:val="24"/>
        </w:rPr>
        <w:t>有限公司（盖章）</w:t>
      </w:r>
    </w:p>
    <w:p w14:paraId="55922577">
      <w:pPr>
        <w:spacing w:line="360" w:lineRule="auto"/>
        <w:rPr>
          <w:rFonts w:hint="eastAsia" w:ascii="仿宋_GB2312" w:eastAsia="仿宋_GB2312" w:hAnsiTheme="minorEastAsia" w:cstheme="minorEastAsia"/>
          <w:sz w:val="24"/>
        </w:rPr>
      </w:pPr>
      <w:r>
        <w:rPr>
          <w:rFonts w:hint="eastAsia" w:ascii="仿宋_GB2312" w:eastAsia="仿宋_GB2312" w:hAnsiTheme="minorEastAsia" w:cstheme="minorEastAsia"/>
          <w:sz w:val="24"/>
        </w:rPr>
        <w:t>法定代表人或授权代表：</w:t>
      </w:r>
      <w:r>
        <w:rPr>
          <w:rFonts w:hint="eastAsia" w:ascii="仿宋_GB2312" w:eastAsia="仿宋_GB2312" w:hAnsiTheme="minorEastAsia" w:cstheme="minorEastAsia"/>
          <w:sz w:val="24"/>
          <w:u w:val="single"/>
        </w:rPr>
        <w:t xml:space="preserve">                </w:t>
      </w:r>
      <w:r>
        <w:rPr>
          <w:rFonts w:hint="eastAsia" w:ascii="仿宋_GB2312" w:eastAsia="仿宋_GB2312" w:hAnsiTheme="minorEastAsia" w:cstheme="minorEastAsia"/>
          <w:sz w:val="24"/>
        </w:rPr>
        <w:t>（签字）</w:t>
      </w:r>
    </w:p>
    <w:p w14:paraId="590A93C6">
      <w:pPr>
        <w:spacing w:line="360" w:lineRule="auto"/>
        <w:ind w:firstLine="5520" w:firstLineChars="2300"/>
        <w:rPr>
          <w:rFonts w:hint="eastAsia" w:ascii="仿宋_GB2312" w:eastAsia="仿宋_GB2312" w:hAnsiTheme="minorEastAsia" w:cstheme="minorEastAsia"/>
          <w:sz w:val="24"/>
        </w:rPr>
      </w:pPr>
      <w:r>
        <w:rPr>
          <w:rFonts w:hint="eastAsia" w:ascii="仿宋_GB2312" w:eastAsia="仿宋_GB2312" w:hAnsiTheme="minorEastAsia" w:cstheme="minorEastAsia"/>
          <w:sz w:val="24"/>
        </w:rPr>
        <w:t>年  月  日</w:t>
      </w:r>
    </w:p>
    <w:p w14:paraId="196C16C1">
      <w:pPr>
        <w:spacing w:line="360" w:lineRule="auto"/>
        <w:rPr>
          <w:rFonts w:hint="eastAsia" w:ascii="仿宋_GB2312" w:eastAsia="仿宋_GB2312" w:hAnsiTheme="minorEastAsia" w:cstheme="minorEastAsia"/>
          <w:sz w:val="24"/>
        </w:rPr>
      </w:pPr>
    </w:p>
    <w:p w14:paraId="42F63461">
      <w:pPr>
        <w:spacing w:line="360" w:lineRule="auto"/>
        <w:rPr>
          <w:rFonts w:hint="eastAsia" w:ascii="仿宋_GB2312" w:eastAsia="仿宋_GB2312" w:hAnsiTheme="minorEastAsia" w:cstheme="minorEastAsia"/>
          <w:sz w:val="24"/>
        </w:rPr>
      </w:pPr>
    </w:p>
    <w:p w14:paraId="133AC761">
      <w:pPr>
        <w:spacing w:line="360" w:lineRule="auto"/>
        <w:rPr>
          <w:rFonts w:hint="eastAsia" w:ascii="仿宋_GB2312" w:eastAsia="仿宋_GB2312" w:hAnsiTheme="minorEastAsia" w:cstheme="minorEastAsia"/>
          <w:sz w:val="24"/>
        </w:rPr>
      </w:pPr>
    </w:p>
    <w:p w14:paraId="17C318B9">
      <w:pPr>
        <w:spacing w:line="360" w:lineRule="auto"/>
        <w:rPr>
          <w:rFonts w:hint="eastAsia" w:ascii="仿宋_GB2312" w:eastAsia="仿宋_GB2312" w:hAnsiTheme="minorEastAsia" w:cstheme="minorEastAsia"/>
          <w:sz w:val="24"/>
        </w:rPr>
      </w:pPr>
      <w:r>
        <w:rPr>
          <w:rFonts w:hint="eastAsia" w:ascii="仿宋_GB2312" w:eastAsia="仿宋_GB2312" w:hAnsiTheme="minorEastAsia" w:cstheme="minorEastAsia"/>
          <w:sz w:val="24"/>
        </w:rPr>
        <w:t xml:space="preserve">乙方： </w:t>
      </w:r>
    </w:p>
    <w:p w14:paraId="5B9F27ED">
      <w:pPr>
        <w:spacing w:line="360" w:lineRule="auto"/>
        <w:rPr>
          <w:rFonts w:hint="eastAsia" w:ascii="仿宋_GB2312" w:eastAsia="仿宋_GB2312" w:hAnsiTheme="minorEastAsia" w:cstheme="minorEastAsia"/>
          <w:sz w:val="24"/>
        </w:rPr>
      </w:pPr>
      <w:r>
        <w:rPr>
          <w:rFonts w:hint="eastAsia" w:ascii="仿宋_GB2312" w:eastAsia="仿宋_GB2312" w:hAnsiTheme="minorEastAsia" w:cstheme="minorEastAsia"/>
          <w:sz w:val="24"/>
        </w:rPr>
        <w:t>法定代表人或授权代表：</w:t>
      </w:r>
      <w:r>
        <w:rPr>
          <w:rFonts w:hint="eastAsia" w:ascii="仿宋_GB2312" w:eastAsia="仿宋_GB2312" w:hAnsiTheme="minorEastAsia" w:cstheme="minorEastAsia"/>
          <w:sz w:val="24"/>
          <w:u w:val="single"/>
        </w:rPr>
        <w:t xml:space="preserve">                </w:t>
      </w:r>
      <w:r>
        <w:rPr>
          <w:rFonts w:hint="eastAsia" w:ascii="仿宋_GB2312" w:eastAsia="仿宋_GB2312" w:hAnsiTheme="minorEastAsia" w:cstheme="minorEastAsia"/>
          <w:sz w:val="24"/>
        </w:rPr>
        <w:t>（签字）</w:t>
      </w:r>
    </w:p>
    <w:p w14:paraId="3305A610">
      <w:pPr>
        <w:spacing w:line="360" w:lineRule="auto"/>
        <w:ind w:firstLine="5520" w:firstLineChars="2300"/>
      </w:pPr>
      <w:r>
        <w:rPr>
          <w:rFonts w:hint="eastAsia" w:ascii="仿宋_GB2312" w:eastAsia="仿宋_GB2312" w:hAnsiTheme="minorEastAsia" w:cstheme="minorEastAsia"/>
          <w:sz w:val="24"/>
        </w:rPr>
        <w:t>年  月  日</w:t>
      </w:r>
    </w:p>
    <w:p w14:paraId="745799FC">
      <w:pPr>
        <w:rPr>
          <w:rFonts w:hint="eastAsia" w:ascii="黑体" w:hAnsi="黑体" w:eastAsia="黑体" w:cs="黑体"/>
          <w:sz w:val="32"/>
          <w:szCs w:val="32"/>
          <w:lang w:eastAsia="zh-CN"/>
        </w:rPr>
      </w:pPr>
      <w:r>
        <w:rPr>
          <w:rFonts w:hint="eastAsia" w:ascii="黑体" w:hAnsi="黑体" w:eastAsia="黑体" w:cs="黑体"/>
          <w:sz w:val="32"/>
          <w:szCs w:val="32"/>
        </w:rPr>
        <w:t>附件1</w:t>
      </w:r>
      <w:r>
        <w:rPr>
          <w:rFonts w:hint="eastAsia" w:ascii="黑体" w:hAnsi="黑体" w:eastAsia="黑体" w:cs="黑体"/>
          <w:sz w:val="32"/>
          <w:szCs w:val="32"/>
          <w:lang w:val="en-US" w:eastAsia="zh-CN"/>
        </w:rPr>
        <w:t>1</w:t>
      </w:r>
    </w:p>
    <w:p w14:paraId="51E2CDE5">
      <w:pPr>
        <w:spacing w:before="118"/>
        <w:ind w:right="2435"/>
        <w:jc w:val="center"/>
        <w:rPr>
          <w:rFonts w:hint="eastAsia" w:ascii="楷体" w:hAnsi="楷体" w:eastAsia="楷体" w:cs="楷体"/>
          <w:sz w:val="40"/>
          <w:szCs w:val="21"/>
        </w:rPr>
      </w:pPr>
      <w:r>
        <w:rPr>
          <w:rFonts w:hint="eastAsia" w:eastAsia="黑体"/>
          <w:sz w:val="30"/>
          <w:szCs w:val="30"/>
        </w:rPr>
        <w:t>廉洁诚信协议</w:t>
      </w:r>
    </w:p>
    <w:p w14:paraId="052358B5">
      <w:pPr>
        <w:pStyle w:val="13"/>
        <w:spacing w:before="8"/>
        <w:rPr>
          <w:rFonts w:hint="eastAsia" w:ascii="楷体" w:hAnsi="楷体" w:eastAsia="楷体" w:cs="楷体"/>
          <w:sz w:val="44"/>
          <w:szCs w:val="28"/>
        </w:rPr>
      </w:pPr>
    </w:p>
    <w:p w14:paraId="0C2C9FC7">
      <w:pPr>
        <w:spacing w:line="607" w:lineRule="auto"/>
        <w:ind w:left="117" w:right="3769"/>
        <w:rPr>
          <w:rFonts w:hint="eastAsia" w:ascii="楷体" w:hAnsi="楷体" w:eastAsia="楷体" w:cs="楷体"/>
          <w:b/>
          <w:sz w:val="28"/>
          <w:szCs w:val="21"/>
        </w:rPr>
      </w:pPr>
      <w:r>
        <w:rPr>
          <w:rFonts w:hint="eastAsia" w:ascii="楷体" w:hAnsi="楷体" w:eastAsia="楷体" w:cs="楷体"/>
          <w:b/>
          <w:sz w:val="28"/>
          <w:szCs w:val="21"/>
        </w:rPr>
        <w:t>甲方：</w:t>
      </w:r>
    </w:p>
    <w:p w14:paraId="70C74F26">
      <w:pPr>
        <w:spacing w:line="607" w:lineRule="auto"/>
        <w:ind w:left="117" w:right="3769"/>
        <w:rPr>
          <w:rFonts w:hint="eastAsia" w:ascii="楷体" w:hAnsi="楷体" w:eastAsia="楷体" w:cs="楷体"/>
          <w:b/>
          <w:sz w:val="28"/>
          <w:szCs w:val="21"/>
        </w:rPr>
      </w:pPr>
      <w:r>
        <w:rPr>
          <w:rFonts w:hint="eastAsia" w:ascii="楷体" w:hAnsi="楷体" w:eastAsia="楷体" w:cs="楷体"/>
          <w:b/>
          <w:sz w:val="28"/>
          <w:szCs w:val="21"/>
        </w:rPr>
        <w:t>乙方：</w:t>
      </w:r>
    </w:p>
    <w:p w14:paraId="4D02B788">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乙方是甲方或甲方全资、控股、参股企业的供应商、服务商或采购商、经销商，甲方作为采购方或销售方（包含甲方及其关联企业，以下统称甲方），为保证双方长期稳定合作和健康发展，保证各合作主体之间公平、公正、公开的良性竞争，共同抵制商业贿赂等一切不正当行为，营造诚实信用的商业氛围，积极维护双方信誉</w:t>
      </w:r>
      <w:r>
        <w:rPr>
          <w:rFonts w:ascii="楷体" w:hAnsi="楷体" w:eastAsia="楷体" w:cs="楷体"/>
          <w:spacing w:val="-2"/>
          <w:sz w:val="28"/>
          <w:szCs w:val="28"/>
        </w:rPr>
        <w:t>,共同加强廉洁自律建设，甲乙双方在平等、自愿、协商一致的原则下，签订本协议。</w:t>
      </w:r>
    </w:p>
    <w:p w14:paraId="4D202BDE">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1.甲乙双方应当共同遵守国家、地方法律法规以及本协议的约定，在合同的订立、履行过程中廉洁自律，绝不弄虚作假、以次充好，虚结虚算。</w:t>
      </w:r>
    </w:p>
    <w:p w14:paraId="7AAA0301">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2.乙方声明并承诺甲方人员或其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和其他特定关系人（甲方人员为领导干部的，其他特定关系人包含身边工作人员）</w:t>
      </w:r>
      <w:r>
        <w:rPr>
          <w:rFonts w:ascii="楷体" w:hAnsi="楷体" w:eastAsia="楷体" w:cs="楷体"/>
          <w:spacing w:val="-2"/>
          <w:sz w:val="28"/>
          <w:szCs w:val="28"/>
        </w:rPr>
        <w:t>没有直接或间接投资乙方或持有乙方股权，没有直接或间接投资乙方关联企业或持有乙方关联企业股权。</w:t>
      </w:r>
    </w:p>
    <w:p w14:paraId="0444B187">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3.乙方承诺乙方或乙方关联企业股东、实际出资人或持股人、高管、主要业务人员不得与甲方人员或其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共同成立公司，不得聘请甲方人员或其</w:t>
      </w:r>
      <w:r>
        <w:rPr>
          <w:rFonts w:hint="eastAsia" w:ascii="楷体" w:hAnsi="楷体" w:eastAsia="楷体" w:cs="楷体"/>
          <w:spacing w:val="-2"/>
          <w:sz w:val="28"/>
          <w:szCs w:val="28"/>
        </w:rPr>
        <w:t>配偶、子女及其配偶等</w:t>
      </w:r>
      <w:r>
        <w:rPr>
          <w:rFonts w:ascii="楷体" w:hAnsi="楷体" w:eastAsia="楷体" w:cs="楷体"/>
          <w:spacing w:val="-2"/>
          <w:sz w:val="28"/>
          <w:szCs w:val="28"/>
        </w:rPr>
        <w:t>亲属</w:t>
      </w:r>
      <w:r>
        <w:rPr>
          <w:rFonts w:hint="eastAsia" w:ascii="楷体" w:hAnsi="楷体" w:eastAsia="楷体" w:cs="楷体"/>
          <w:spacing w:val="-2"/>
          <w:sz w:val="28"/>
          <w:szCs w:val="28"/>
        </w:rPr>
        <w:t>和其他特定关系人</w:t>
      </w:r>
      <w:r>
        <w:rPr>
          <w:rFonts w:ascii="楷体" w:hAnsi="楷体" w:eastAsia="楷体" w:cs="楷体"/>
          <w:spacing w:val="-2"/>
          <w:sz w:val="28"/>
          <w:szCs w:val="28"/>
        </w:rPr>
        <w:t>在乙方或乙方关联企业股东或实际出资人或高管或主要业务人员成立的企业中担任高管或为其</w:t>
      </w:r>
      <w:r>
        <w:rPr>
          <w:rFonts w:hint="eastAsia" w:ascii="楷体" w:hAnsi="楷体" w:eastAsia="楷体" w:cs="楷体"/>
          <w:spacing w:val="-2"/>
          <w:sz w:val="28"/>
          <w:szCs w:val="28"/>
        </w:rPr>
        <w:t>违规</w:t>
      </w:r>
      <w:r>
        <w:rPr>
          <w:rFonts w:ascii="楷体" w:hAnsi="楷体" w:eastAsia="楷体" w:cs="楷体"/>
          <w:spacing w:val="-2"/>
          <w:sz w:val="28"/>
          <w:szCs w:val="28"/>
        </w:rPr>
        <w:t>发放薪酬。</w:t>
      </w:r>
      <w:r>
        <w:rPr>
          <w:rFonts w:hint="eastAsia" w:ascii="楷体" w:hAnsi="楷体" w:eastAsia="楷体" w:cs="楷体"/>
          <w:spacing w:val="-2"/>
          <w:sz w:val="28"/>
          <w:szCs w:val="28"/>
        </w:rPr>
        <w:t>违规发放薪酬包括不实际工作而获取薪酬或者虽实际工作但领取明显超出同职级标准薪酬。</w:t>
      </w:r>
      <w:r>
        <w:rPr>
          <w:rFonts w:ascii="楷体" w:hAnsi="楷体" w:eastAsia="楷体" w:cs="楷体"/>
          <w:spacing w:val="-2"/>
          <w:sz w:val="28"/>
          <w:szCs w:val="28"/>
        </w:rPr>
        <w:t>（</w:t>
      </w:r>
      <w:r>
        <w:rPr>
          <w:rFonts w:hint="eastAsia" w:ascii="楷体" w:hAnsi="楷体" w:eastAsia="楷体" w:cs="楷体"/>
          <w:spacing w:val="-2"/>
          <w:sz w:val="28"/>
          <w:szCs w:val="28"/>
        </w:rPr>
        <w:t>若乙方为甲方</w:t>
      </w:r>
      <w:r>
        <w:rPr>
          <w:rFonts w:ascii="楷体" w:hAnsi="楷体" w:eastAsia="楷体" w:cs="楷体"/>
          <w:spacing w:val="-2"/>
          <w:sz w:val="28"/>
          <w:szCs w:val="28"/>
        </w:rPr>
        <w:t>新</w:t>
      </w:r>
      <w:r>
        <w:rPr>
          <w:rFonts w:hint="eastAsia" w:ascii="楷体" w:hAnsi="楷体" w:eastAsia="楷体" w:cs="楷体"/>
          <w:spacing w:val="-2"/>
          <w:sz w:val="28"/>
          <w:szCs w:val="28"/>
        </w:rPr>
        <w:t>合作伙伴</w:t>
      </w:r>
      <w:r>
        <w:rPr>
          <w:rFonts w:ascii="楷体" w:hAnsi="楷体" w:eastAsia="楷体" w:cs="楷体"/>
          <w:spacing w:val="-2"/>
          <w:sz w:val="28"/>
          <w:szCs w:val="28"/>
        </w:rPr>
        <w:t>，如在本协议签订前乙方存在本条规定情形的，需在本协议签订后30日内，将相关情况报</w:t>
      </w:r>
      <w:r>
        <w:rPr>
          <w:rFonts w:hint="eastAsia" w:ascii="楷体" w:hAnsi="楷体" w:eastAsia="楷体" w:cs="楷体"/>
          <w:spacing w:val="-2"/>
          <w:sz w:val="28"/>
          <w:szCs w:val="28"/>
        </w:rPr>
        <w:t>甲方所属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w:t>
      </w:r>
      <w:r>
        <w:rPr>
          <w:rFonts w:hint="eastAsia" w:ascii="楷体" w:hAnsi="楷体" w:eastAsia="楷体" w:cs="楷体"/>
          <w:spacing w:val="-2"/>
          <w:sz w:val="28"/>
          <w:szCs w:val="28"/>
        </w:rPr>
        <w:t>检</w:t>
      </w:r>
      <w:r>
        <w:rPr>
          <w:rFonts w:ascii="楷体" w:hAnsi="楷体" w:eastAsia="楷体" w:cs="楷体"/>
          <w:spacing w:val="-2"/>
          <w:sz w:val="28"/>
          <w:szCs w:val="28"/>
        </w:rPr>
        <w:t>监察部</w:t>
      </w:r>
      <w:r>
        <w:rPr>
          <w:rFonts w:hint="eastAsia" w:ascii="楷体" w:hAnsi="楷体" w:eastAsia="楷体" w:cs="楷体"/>
          <w:spacing w:val="-2"/>
          <w:sz w:val="28"/>
          <w:szCs w:val="28"/>
        </w:rPr>
        <w:t>门</w:t>
      </w:r>
      <w:r>
        <w:rPr>
          <w:rFonts w:ascii="楷体" w:hAnsi="楷体" w:eastAsia="楷体" w:cs="楷体"/>
          <w:spacing w:val="-2"/>
          <w:sz w:val="28"/>
          <w:szCs w:val="28"/>
        </w:rPr>
        <w:t>备案）。</w:t>
      </w:r>
    </w:p>
    <w:p w14:paraId="4F663D57">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4.乙方承诺依法开展经营活动，不得有任何形式的商业贿赂行为。乙方一经发现其员工或其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存在任何商业贿赂行为，应立即通知甲方并自行进行查处和整改。若甲方认为上述行为严重影响到甲方的利益，则甲方有权单方解除双方</w:t>
      </w:r>
      <w:r>
        <w:rPr>
          <w:rFonts w:hint="eastAsia" w:ascii="楷体" w:hAnsi="楷体" w:eastAsia="楷体" w:cs="楷体"/>
          <w:spacing w:val="-2"/>
          <w:sz w:val="28"/>
          <w:szCs w:val="28"/>
        </w:rPr>
        <w:t>已</w:t>
      </w:r>
      <w:r>
        <w:rPr>
          <w:rFonts w:ascii="楷体" w:hAnsi="楷体" w:eastAsia="楷体" w:cs="楷体"/>
          <w:spacing w:val="-2"/>
          <w:sz w:val="28"/>
          <w:szCs w:val="28"/>
        </w:rPr>
        <w:t>签订的</w:t>
      </w:r>
      <w:r>
        <w:rPr>
          <w:rFonts w:hint="eastAsia" w:ascii="楷体" w:hAnsi="楷体" w:eastAsia="楷体" w:cs="楷体"/>
          <w:spacing w:val="-2"/>
          <w:sz w:val="28"/>
          <w:szCs w:val="28"/>
        </w:rPr>
        <w:t>所有合同</w:t>
      </w:r>
      <w:r>
        <w:rPr>
          <w:rFonts w:ascii="楷体" w:hAnsi="楷体" w:eastAsia="楷体" w:cs="楷体"/>
          <w:spacing w:val="-2"/>
          <w:sz w:val="28"/>
          <w:szCs w:val="28"/>
        </w:rPr>
        <w:t>协议，并要求乙方赔偿。</w:t>
      </w:r>
    </w:p>
    <w:p w14:paraId="7277C317">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5.乙方承诺不以任何理由为甲方人员及其</w:t>
      </w:r>
      <w:r>
        <w:rPr>
          <w:rFonts w:hint="eastAsia" w:ascii="楷体" w:hAnsi="楷体" w:eastAsia="楷体" w:cs="楷体"/>
          <w:spacing w:val="-2"/>
          <w:sz w:val="28"/>
          <w:szCs w:val="28"/>
        </w:rPr>
        <w:t>配偶、子女及其配偶等亲属和其他特定关系人提供如下：</w:t>
      </w:r>
    </w:p>
    <w:p w14:paraId="2E709496">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a)</w:t>
      </w:r>
      <w:r>
        <w:rPr>
          <w:rFonts w:ascii="楷体" w:hAnsi="楷体" w:eastAsia="楷体" w:cs="楷体"/>
          <w:spacing w:val="-2"/>
          <w:sz w:val="28"/>
          <w:szCs w:val="28"/>
        </w:rPr>
        <w:t>赠送</w:t>
      </w:r>
      <w:r>
        <w:rPr>
          <w:rFonts w:hint="eastAsia" w:ascii="楷体" w:hAnsi="楷体" w:eastAsia="楷体" w:cs="楷体"/>
          <w:spacing w:val="-2"/>
          <w:sz w:val="28"/>
          <w:szCs w:val="28"/>
        </w:rPr>
        <w:t>礼品、</w:t>
      </w:r>
      <w:r>
        <w:rPr>
          <w:rFonts w:ascii="楷体" w:hAnsi="楷体" w:eastAsia="楷体" w:cs="楷体"/>
          <w:spacing w:val="-2"/>
          <w:sz w:val="28"/>
          <w:szCs w:val="28"/>
        </w:rPr>
        <w:t>礼金、</w:t>
      </w:r>
      <w:r>
        <w:rPr>
          <w:rFonts w:hint="eastAsia" w:ascii="楷体" w:hAnsi="楷体" w:eastAsia="楷体" w:cs="楷体"/>
          <w:spacing w:val="-2"/>
          <w:sz w:val="28"/>
          <w:szCs w:val="28"/>
        </w:rPr>
        <w:t>消费卡（券）、</w:t>
      </w:r>
      <w:r>
        <w:rPr>
          <w:rFonts w:ascii="楷体" w:hAnsi="楷体" w:eastAsia="楷体" w:cs="楷体"/>
          <w:spacing w:val="-2"/>
          <w:sz w:val="28"/>
          <w:szCs w:val="28"/>
        </w:rPr>
        <w:t>购物卡、充值卡、信用卡</w:t>
      </w:r>
      <w:r>
        <w:rPr>
          <w:rFonts w:hint="eastAsia" w:ascii="楷体" w:hAnsi="楷体" w:eastAsia="楷体" w:cs="楷体"/>
          <w:spacing w:val="-2"/>
          <w:sz w:val="28"/>
          <w:szCs w:val="28"/>
        </w:rPr>
        <w:t>和</w:t>
      </w:r>
      <w:r>
        <w:rPr>
          <w:rFonts w:ascii="楷体" w:hAnsi="楷体" w:eastAsia="楷体" w:cs="楷体"/>
          <w:spacing w:val="-2"/>
          <w:sz w:val="28"/>
          <w:szCs w:val="28"/>
        </w:rPr>
        <w:t>有价证券</w:t>
      </w:r>
      <w:r>
        <w:rPr>
          <w:rFonts w:hint="eastAsia" w:ascii="楷体" w:hAnsi="楷体" w:eastAsia="楷体" w:cs="楷体"/>
          <w:spacing w:val="-2"/>
          <w:sz w:val="28"/>
          <w:szCs w:val="28"/>
        </w:rPr>
        <w:t>、股权、其他金融产品等财物</w:t>
      </w:r>
      <w:r>
        <w:rPr>
          <w:rFonts w:ascii="楷体" w:hAnsi="楷体" w:eastAsia="楷体" w:cs="楷体"/>
          <w:spacing w:val="-2"/>
          <w:sz w:val="28"/>
          <w:szCs w:val="28"/>
        </w:rPr>
        <w:t>和其他贵重物品；</w:t>
      </w:r>
    </w:p>
    <w:p w14:paraId="6962070D">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b)</w:t>
      </w:r>
      <w:r>
        <w:rPr>
          <w:rFonts w:ascii="楷体" w:hAnsi="楷体" w:eastAsia="楷体" w:cs="楷体"/>
          <w:spacing w:val="-2"/>
          <w:sz w:val="28"/>
          <w:szCs w:val="28"/>
        </w:rPr>
        <w:t>报销个人费用</w:t>
      </w:r>
      <w:r>
        <w:rPr>
          <w:rFonts w:hint="eastAsia" w:ascii="楷体" w:hAnsi="楷体" w:eastAsia="楷体" w:cs="楷体"/>
          <w:spacing w:val="-2"/>
          <w:sz w:val="28"/>
          <w:szCs w:val="28"/>
        </w:rPr>
        <w:t>或以讲课费、课题费、咨询费等名义支付费用</w:t>
      </w:r>
      <w:r>
        <w:rPr>
          <w:rFonts w:ascii="楷体" w:hAnsi="楷体" w:eastAsia="楷体" w:cs="楷体"/>
          <w:spacing w:val="-2"/>
          <w:sz w:val="28"/>
          <w:szCs w:val="28"/>
        </w:rPr>
        <w:t>；</w:t>
      </w:r>
    </w:p>
    <w:p w14:paraId="177DFDFD">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c)</w:t>
      </w:r>
      <w:r>
        <w:rPr>
          <w:rFonts w:ascii="楷体" w:hAnsi="楷体" w:eastAsia="楷体" w:cs="楷体"/>
          <w:spacing w:val="-2"/>
          <w:sz w:val="28"/>
          <w:szCs w:val="28"/>
        </w:rPr>
        <w:t>以洽谈业务、签订合同等为借口宴请或邀请外出旅游</w:t>
      </w:r>
      <w:r>
        <w:rPr>
          <w:rFonts w:hint="eastAsia" w:ascii="楷体" w:hAnsi="楷体" w:eastAsia="楷体" w:cs="楷体"/>
          <w:spacing w:val="-2"/>
          <w:sz w:val="28"/>
          <w:szCs w:val="28"/>
        </w:rPr>
        <w:t>、健身、娱乐</w:t>
      </w:r>
      <w:r>
        <w:rPr>
          <w:rFonts w:ascii="楷体" w:hAnsi="楷体" w:eastAsia="楷体" w:cs="楷体"/>
          <w:spacing w:val="-2"/>
          <w:sz w:val="28"/>
          <w:szCs w:val="28"/>
        </w:rPr>
        <w:t>和进入营业性娱乐场所；</w:t>
      </w:r>
    </w:p>
    <w:p w14:paraId="0F575CBA">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d)</w:t>
      </w:r>
      <w:r>
        <w:rPr>
          <w:rFonts w:ascii="楷体" w:hAnsi="楷体" w:eastAsia="楷体" w:cs="楷体"/>
          <w:spacing w:val="-2"/>
          <w:sz w:val="28"/>
          <w:szCs w:val="28"/>
        </w:rPr>
        <w:t>购置或提供通讯、交通工具</w:t>
      </w:r>
      <w:r>
        <w:rPr>
          <w:rFonts w:hint="eastAsia" w:ascii="楷体" w:hAnsi="楷体" w:eastAsia="楷体" w:cs="楷体"/>
          <w:spacing w:val="-2"/>
          <w:sz w:val="28"/>
          <w:szCs w:val="28"/>
        </w:rPr>
        <w:t>、钱款、住房、车辆等或提供通过民间借贷等金融助其获得大额回报</w:t>
      </w:r>
      <w:r>
        <w:rPr>
          <w:rFonts w:ascii="楷体" w:hAnsi="楷体" w:eastAsia="楷体" w:cs="楷体"/>
          <w:spacing w:val="-2"/>
          <w:sz w:val="28"/>
          <w:szCs w:val="28"/>
        </w:rPr>
        <w:t>；</w:t>
      </w:r>
    </w:p>
    <w:p w14:paraId="16033FA9">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e)</w:t>
      </w:r>
      <w:r>
        <w:rPr>
          <w:rFonts w:ascii="楷体" w:hAnsi="楷体" w:eastAsia="楷体" w:cs="楷体"/>
          <w:spacing w:val="-2"/>
          <w:sz w:val="28"/>
          <w:szCs w:val="28"/>
        </w:rPr>
        <w:t>住房装修、婚丧嫁娶、家属和子女的工作安排以及出国等提供任何金钱或非金钱方式的资助或帮助</w:t>
      </w:r>
      <w:r>
        <w:rPr>
          <w:rFonts w:hint="eastAsia" w:ascii="楷体" w:hAnsi="楷体" w:eastAsia="楷体" w:cs="楷体"/>
          <w:spacing w:val="-2"/>
          <w:sz w:val="28"/>
          <w:szCs w:val="28"/>
        </w:rPr>
        <w:t>；</w:t>
      </w:r>
    </w:p>
    <w:p w14:paraId="193651E6">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f)吸收存款、推销金融产品、经营名贵特产类资源等提供帮助谋取利益；</w:t>
      </w:r>
    </w:p>
    <w:p w14:paraId="4D470838">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g)其他可能影响甲方人员公平、公正的履行职权或者履行职责的情形</w:t>
      </w:r>
      <w:r>
        <w:rPr>
          <w:rFonts w:ascii="楷体" w:hAnsi="楷体" w:eastAsia="楷体" w:cs="楷体"/>
          <w:spacing w:val="-2"/>
          <w:sz w:val="28"/>
          <w:szCs w:val="28"/>
        </w:rPr>
        <w:t>。</w:t>
      </w:r>
    </w:p>
    <w:p w14:paraId="0C5BA30B">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6.乙方应当通过正常途径开展相关业务，决不为谋取不正当利益诱使甲方人员就</w:t>
      </w:r>
      <w:r>
        <w:rPr>
          <w:rFonts w:hint="eastAsia" w:ascii="楷体" w:hAnsi="楷体" w:eastAsia="楷体" w:cs="楷体"/>
          <w:spacing w:val="-2"/>
          <w:sz w:val="28"/>
          <w:szCs w:val="28"/>
        </w:rPr>
        <w:t>采购、服务或销售、经销的物项种类</w:t>
      </w:r>
      <w:r>
        <w:rPr>
          <w:rFonts w:ascii="楷体" w:hAnsi="楷体" w:eastAsia="楷体" w:cs="楷体"/>
          <w:spacing w:val="-2"/>
          <w:sz w:val="28"/>
          <w:szCs w:val="28"/>
        </w:rPr>
        <w:t>、</w:t>
      </w:r>
      <w:r>
        <w:rPr>
          <w:rFonts w:hint="eastAsia" w:ascii="楷体" w:hAnsi="楷体" w:eastAsia="楷体" w:cs="楷体"/>
          <w:spacing w:val="-2"/>
          <w:sz w:val="28"/>
          <w:szCs w:val="28"/>
        </w:rPr>
        <w:t>物项</w:t>
      </w:r>
      <w:r>
        <w:rPr>
          <w:rFonts w:ascii="楷体" w:hAnsi="楷体" w:eastAsia="楷体" w:cs="楷体"/>
          <w:spacing w:val="-2"/>
          <w:sz w:val="28"/>
          <w:szCs w:val="28"/>
        </w:rPr>
        <w:t>数量、价格</w:t>
      </w:r>
      <w:r>
        <w:rPr>
          <w:rFonts w:hint="eastAsia" w:ascii="楷体" w:hAnsi="楷体" w:eastAsia="楷体" w:cs="楷体"/>
          <w:spacing w:val="-2"/>
          <w:sz w:val="28"/>
          <w:szCs w:val="28"/>
        </w:rPr>
        <w:t>条件</w:t>
      </w:r>
      <w:r>
        <w:rPr>
          <w:rFonts w:ascii="楷体" w:hAnsi="楷体" w:eastAsia="楷体" w:cs="楷体"/>
          <w:spacing w:val="-2"/>
          <w:sz w:val="28"/>
          <w:szCs w:val="28"/>
        </w:rPr>
        <w:t>、</w:t>
      </w:r>
      <w:r>
        <w:rPr>
          <w:rFonts w:hint="eastAsia" w:ascii="楷体" w:hAnsi="楷体" w:eastAsia="楷体" w:cs="楷体"/>
          <w:spacing w:val="-2"/>
          <w:sz w:val="28"/>
          <w:szCs w:val="28"/>
        </w:rPr>
        <w:t>付款条件、</w:t>
      </w:r>
      <w:r>
        <w:rPr>
          <w:rFonts w:ascii="楷体" w:hAnsi="楷体" w:eastAsia="楷体" w:cs="楷体"/>
          <w:spacing w:val="-2"/>
          <w:sz w:val="28"/>
          <w:szCs w:val="28"/>
        </w:rPr>
        <w:t>质量问题处理等方面私下商谈或达成默契</w:t>
      </w:r>
      <w:r>
        <w:rPr>
          <w:rFonts w:hint="eastAsia" w:ascii="楷体" w:hAnsi="楷体" w:eastAsia="楷体" w:cs="楷体"/>
          <w:spacing w:val="-2"/>
          <w:sz w:val="28"/>
          <w:szCs w:val="28"/>
        </w:rPr>
        <w:t>；</w:t>
      </w:r>
      <w:r>
        <w:rPr>
          <w:rFonts w:ascii="楷体" w:hAnsi="楷体" w:eastAsia="楷体" w:cs="楷体"/>
          <w:spacing w:val="-2"/>
          <w:sz w:val="28"/>
          <w:szCs w:val="28"/>
        </w:rPr>
        <w:t>决不以任何方式诱使甲方人员接受或共同编造虚假议价及质量资料、影响交易价格或交易之达成、违背职务、将合同权利义务转让给第三方及其它损害甲方利益的行为。</w:t>
      </w:r>
    </w:p>
    <w:p w14:paraId="54F50C79">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7.若乙方发现甲方人员或其</w:t>
      </w:r>
      <w:r>
        <w:rPr>
          <w:rFonts w:hint="eastAsia" w:ascii="楷体" w:hAnsi="楷体" w:eastAsia="楷体" w:cs="楷体"/>
          <w:spacing w:val="-2"/>
          <w:sz w:val="28"/>
          <w:szCs w:val="28"/>
        </w:rPr>
        <w:t>配偶、子女及其配偶等亲属和其他特定关系人</w:t>
      </w:r>
      <w:r>
        <w:rPr>
          <w:rFonts w:ascii="楷体" w:hAnsi="楷体" w:eastAsia="楷体" w:cs="楷体"/>
          <w:spacing w:val="-2"/>
          <w:sz w:val="28"/>
          <w:szCs w:val="28"/>
        </w:rPr>
        <w:t>有任何形式的索贿受贿行为，乙方有责任向甲方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w:t>
      </w:r>
      <w:r>
        <w:rPr>
          <w:rFonts w:hint="eastAsia" w:ascii="楷体" w:hAnsi="楷体" w:eastAsia="楷体" w:cs="楷体"/>
          <w:spacing w:val="-2"/>
          <w:sz w:val="28"/>
          <w:szCs w:val="28"/>
        </w:rPr>
        <w:t>检</w:t>
      </w:r>
      <w:r>
        <w:rPr>
          <w:rFonts w:ascii="楷体" w:hAnsi="楷体" w:eastAsia="楷体" w:cs="楷体"/>
          <w:spacing w:val="-2"/>
          <w:sz w:val="28"/>
          <w:szCs w:val="28"/>
        </w:rPr>
        <w:t>监察部门举报（举报电话：0531-58062233，举报邮箱：zgzqjw@sinotruk.com）。甲方不得</w:t>
      </w:r>
      <w:r>
        <w:rPr>
          <w:rFonts w:hint="eastAsia" w:ascii="楷体" w:hAnsi="楷体" w:eastAsia="楷体" w:cs="楷体"/>
          <w:spacing w:val="-2"/>
          <w:sz w:val="28"/>
          <w:szCs w:val="28"/>
        </w:rPr>
        <w:t>以</w:t>
      </w:r>
      <w:r>
        <w:rPr>
          <w:rFonts w:ascii="楷体" w:hAnsi="楷体" w:eastAsia="楷体" w:cs="楷体"/>
          <w:spacing w:val="-2"/>
          <w:sz w:val="28"/>
          <w:szCs w:val="28"/>
        </w:rPr>
        <w:t>任何借口对乙方进行报复。对举报属实和严格遵守廉洁协议的乙方，在同等条件下甲方优先考虑与乙方继续合作并给予更优惠的商务合作条件。</w:t>
      </w:r>
    </w:p>
    <w:p w14:paraId="551300C9">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8.若乙方知悉其它与甲方合作的供应商</w:t>
      </w:r>
      <w:r>
        <w:rPr>
          <w:rFonts w:hint="eastAsia" w:ascii="楷体" w:hAnsi="楷体" w:eastAsia="楷体" w:cs="楷体"/>
          <w:spacing w:val="-2"/>
          <w:sz w:val="28"/>
          <w:szCs w:val="28"/>
        </w:rPr>
        <w:t>、服务商或采购商、经销商等合作伙伴</w:t>
      </w:r>
      <w:r>
        <w:rPr>
          <w:rFonts w:ascii="楷体" w:hAnsi="楷体" w:eastAsia="楷体" w:cs="楷体"/>
          <w:spacing w:val="-2"/>
          <w:sz w:val="28"/>
          <w:szCs w:val="28"/>
        </w:rPr>
        <w:t>存在违反本协议规定之行为，乙方应向甲方</w:t>
      </w:r>
      <w:r>
        <w:rPr>
          <w:rFonts w:hint="eastAsia" w:ascii="楷体" w:hAnsi="楷体" w:eastAsia="楷体" w:cs="楷体"/>
          <w:spacing w:val="-2"/>
          <w:sz w:val="28"/>
          <w:szCs w:val="28"/>
        </w:rPr>
        <w:t>或</w:t>
      </w:r>
      <w:r>
        <w:rPr>
          <w:rFonts w:ascii="楷体" w:hAnsi="楷体" w:eastAsia="楷体" w:cs="楷体"/>
          <w:spacing w:val="-2"/>
          <w:sz w:val="28"/>
          <w:szCs w:val="28"/>
        </w:rPr>
        <w:t>甲方</w:t>
      </w:r>
      <w:r>
        <w:rPr>
          <w:rFonts w:hint="eastAsia" w:ascii="楷体" w:hAnsi="楷体" w:eastAsia="楷体" w:cs="楷体"/>
          <w:spacing w:val="-2"/>
          <w:sz w:val="28"/>
          <w:szCs w:val="28"/>
        </w:rPr>
        <w:t>所属</w:t>
      </w:r>
      <w:r>
        <w:rPr>
          <w:rFonts w:ascii="楷体" w:hAnsi="楷体" w:eastAsia="楷体" w:cs="楷体"/>
          <w:spacing w:val="-2"/>
          <w:sz w:val="28"/>
          <w:szCs w:val="28"/>
        </w:rPr>
        <w:t>重汽集团</w:t>
      </w:r>
      <w:r>
        <w:rPr>
          <w:rFonts w:hint="eastAsia" w:ascii="楷体" w:hAnsi="楷体" w:eastAsia="楷体" w:cs="楷体"/>
          <w:spacing w:val="-2"/>
          <w:sz w:val="28"/>
          <w:szCs w:val="28"/>
        </w:rPr>
        <w:t>的</w:t>
      </w:r>
      <w:r>
        <w:rPr>
          <w:rFonts w:ascii="楷体" w:hAnsi="楷体" w:eastAsia="楷体" w:cs="楷体"/>
          <w:spacing w:val="-2"/>
          <w:sz w:val="28"/>
          <w:szCs w:val="28"/>
        </w:rPr>
        <w:t>纪</w:t>
      </w:r>
      <w:r>
        <w:rPr>
          <w:rFonts w:hint="eastAsia" w:ascii="楷体" w:hAnsi="楷体" w:eastAsia="楷体" w:cs="楷体"/>
          <w:spacing w:val="-2"/>
          <w:sz w:val="28"/>
          <w:szCs w:val="28"/>
        </w:rPr>
        <w:t>检</w:t>
      </w:r>
      <w:r>
        <w:rPr>
          <w:rFonts w:ascii="楷体" w:hAnsi="楷体" w:eastAsia="楷体" w:cs="楷体"/>
          <w:spacing w:val="-2"/>
          <w:sz w:val="28"/>
          <w:szCs w:val="28"/>
        </w:rPr>
        <w:t>监察部门检举并提供证据。</w:t>
      </w:r>
    </w:p>
    <w:p w14:paraId="1AD994F7">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9.乙方承诺在双方业务往来期间，不得对甲方人员采取任何手段使其离开甲方到乙方或乙方关联企业任职，若出现上述情况，则属于乙方违约，应承担给甲方造成的一切损失。</w:t>
      </w:r>
    </w:p>
    <w:p w14:paraId="1A5EACC5">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10.乙方承诺不聘任甲方内退领导干部或其他人员在乙方或乙方关联企业工作；乙方承诺不聘任甲方离职或退休三年内的领导干部或其他人员在乙方或乙方关联企业工作。</w:t>
      </w:r>
    </w:p>
    <w:p w14:paraId="659D14D1">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11.若乙方违反本协议约定的任何一项，乙方自愿向甲方支付5万元至50万元人民币或违反协议约定事件发现的上年度采购额的10%作为违约金，给甲方造成损失的，还应承担全部赔偿责任。另外甲方还有权对乙方采取降低供货比例、取消供货资格、单方解除采购合同等措施。情节特别严重或触犯法律法规的，将交由甲方住所地司法机关依法进行处理。</w:t>
      </w:r>
    </w:p>
    <w:p w14:paraId="1B2D74A4">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12.关联企业是指：a）本企业的实际控制人，如甲方的实际控制人中国重型汽车集团有限公司或山东重工集团有限公司等；b）本企业实际控制人对外出资，拥有股权超过50%的各级子公司；c）本企业实际控制人直接或间接持股比例虽未超过50%，但为第一大股东，并且通过股东协议、公司章程、董事会决议或者其他协议安排</w:t>
      </w:r>
      <w:r>
        <w:rPr>
          <w:rFonts w:hint="eastAsia" w:ascii="楷体" w:hAnsi="楷体" w:eastAsia="楷体" w:cs="楷体"/>
          <w:spacing w:val="-2"/>
          <w:sz w:val="28"/>
          <w:szCs w:val="28"/>
        </w:rPr>
        <w:t>等</w:t>
      </w:r>
      <w:r>
        <w:rPr>
          <w:rFonts w:ascii="楷体" w:hAnsi="楷体" w:eastAsia="楷体" w:cs="楷体"/>
          <w:spacing w:val="-2"/>
          <w:sz w:val="28"/>
          <w:szCs w:val="28"/>
        </w:rPr>
        <w:t>能够对其实际支配的企业或单位。</w:t>
      </w:r>
    </w:p>
    <w:p w14:paraId="32D1A15E">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本企业股东、管理人员及其配偶、子女及其配偶等亲属和其他特定关系人以及本企业实际控制人、实际控制人持股超过50%的各级子公司、实际控制人持股未超过50%但能够实际支配的企业或单位的股东、管理人员及其配偶、子女及其配偶等亲属和其他特定关系人，直接持股、间接持股或以其他形式投资的企业或单位，视同本企业的关联企业。</w:t>
      </w:r>
    </w:p>
    <w:p w14:paraId="42FBFD92">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13.</w:t>
      </w:r>
      <w:r>
        <w:rPr>
          <w:rFonts w:hint="eastAsia" w:ascii="楷体" w:hAnsi="楷体" w:eastAsia="楷体" w:cs="楷体"/>
          <w:spacing w:val="-2"/>
          <w:sz w:val="28"/>
          <w:szCs w:val="28"/>
        </w:rPr>
        <w:t>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一方擅自增加、删改、篡改部分无效（个人手写签名除外）。</w:t>
      </w:r>
    </w:p>
    <w:p w14:paraId="18EEFA40">
      <w:pPr>
        <w:pStyle w:val="48"/>
        <w:tabs>
          <w:tab w:val="left" w:pos="1244"/>
        </w:tabs>
        <w:adjustRightInd w:val="0"/>
        <w:spacing w:line="305" w:lineRule="auto"/>
        <w:ind w:firstLine="552"/>
        <w:rPr>
          <w:rFonts w:hint="eastAsia" w:ascii="楷体" w:hAnsi="楷体" w:eastAsia="楷体" w:cs="楷体"/>
          <w:spacing w:val="-2"/>
          <w:sz w:val="28"/>
          <w:szCs w:val="28"/>
        </w:rPr>
      </w:pPr>
      <w:r>
        <w:rPr>
          <w:rFonts w:hint="eastAsia" w:ascii="楷体" w:hAnsi="楷体" w:eastAsia="楷体" w:cs="楷体"/>
          <w:spacing w:val="-2"/>
          <w:sz w:val="28"/>
          <w:szCs w:val="28"/>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各方已签署完毕。</w:t>
      </w:r>
    </w:p>
    <w:p w14:paraId="22EB8A6C">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14.本协议作为执行</w:t>
      </w:r>
      <w:r>
        <w:rPr>
          <w:rFonts w:hint="eastAsia" w:ascii="楷体" w:hAnsi="楷体" w:eastAsia="楷体" w:cs="楷体"/>
          <w:spacing w:val="-2"/>
          <w:sz w:val="28"/>
          <w:szCs w:val="28"/>
        </w:rPr>
        <w:t>甲乙双方</w:t>
      </w:r>
      <w:r>
        <w:rPr>
          <w:rFonts w:ascii="楷体" w:hAnsi="楷体" w:eastAsia="楷体" w:cs="楷体"/>
          <w:spacing w:val="-2"/>
          <w:sz w:val="28"/>
          <w:szCs w:val="28"/>
        </w:rPr>
        <w:t>采购协议</w:t>
      </w:r>
      <w:r>
        <w:rPr>
          <w:rFonts w:hint="eastAsia" w:ascii="楷体" w:hAnsi="楷体" w:eastAsia="楷体" w:cs="楷体"/>
          <w:spacing w:val="-2"/>
          <w:sz w:val="28"/>
          <w:szCs w:val="28"/>
        </w:rPr>
        <w:t>或其他合作合同、协议</w:t>
      </w:r>
      <w:r>
        <w:rPr>
          <w:rFonts w:ascii="楷体" w:hAnsi="楷体" w:eastAsia="楷体" w:cs="楷体"/>
          <w:spacing w:val="-2"/>
          <w:sz w:val="28"/>
          <w:szCs w:val="28"/>
        </w:rPr>
        <w:t>的附件，自双方签署之日起生效，此协议在</w:t>
      </w:r>
      <w:r>
        <w:rPr>
          <w:rFonts w:hint="eastAsia" w:ascii="楷体" w:hAnsi="楷体" w:eastAsia="楷体" w:cs="楷体"/>
          <w:spacing w:val="-2"/>
          <w:sz w:val="28"/>
          <w:szCs w:val="28"/>
        </w:rPr>
        <w:t>甲乙</w:t>
      </w:r>
      <w:r>
        <w:rPr>
          <w:rFonts w:ascii="楷体" w:hAnsi="楷体" w:eastAsia="楷体" w:cs="楷体"/>
          <w:spacing w:val="-2"/>
          <w:sz w:val="28"/>
          <w:szCs w:val="28"/>
        </w:rPr>
        <w:t>双方</w:t>
      </w:r>
      <w:r>
        <w:rPr>
          <w:rFonts w:hint="eastAsia" w:ascii="楷体" w:hAnsi="楷体" w:eastAsia="楷体" w:cs="楷体"/>
          <w:spacing w:val="-2"/>
          <w:sz w:val="28"/>
          <w:szCs w:val="28"/>
        </w:rPr>
        <w:t>业务</w:t>
      </w:r>
      <w:r>
        <w:rPr>
          <w:rFonts w:ascii="楷体" w:hAnsi="楷体" w:eastAsia="楷体" w:cs="楷体"/>
          <w:spacing w:val="-2"/>
          <w:sz w:val="28"/>
          <w:szCs w:val="28"/>
        </w:rPr>
        <w:t>合作期间有效</w:t>
      </w:r>
      <w:r>
        <w:rPr>
          <w:rFonts w:hint="eastAsia" w:ascii="楷体" w:hAnsi="楷体" w:eastAsia="楷体" w:cs="楷体"/>
          <w:spacing w:val="-2"/>
          <w:sz w:val="28"/>
          <w:szCs w:val="28"/>
        </w:rPr>
        <w:t>；本协议生效后将自动替代生效日之前双方已签订的《供应商廉洁诚信协议》或类同协议约定；本协议生效前甲乙双方未签署《供应商廉洁诚信协议》或类同协议约定等但实际已存在供应采购等业务合作关系的，甲乙双方同意有关业务合作适用本协议的所有条款约定。</w:t>
      </w:r>
    </w:p>
    <w:p w14:paraId="7D9509BF">
      <w:pPr>
        <w:pStyle w:val="48"/>
        <w:tabs>
          <w:tab w:val="left" w:pos="1244"/>
        </w:tabs>
        <w:adjustRightInd w:val="0"/>
        <w:spacing w:line="305" w:lineRule="auto"/>
        <w:ind w:firstLine="552"/>
        <w:rPr>
          <w:rFonts w:hint="eastAsia" w:ascii="楷体" w:hAnsi="楷体" w:eastAsia="楷体" w:cs="楷体"/>
          <w:spacing w:val="-2"/>
          <w:sz w:val="28"/>
          <w:szCs w:val="28"/>
        </w:rPr>
      </w:pPr>
      <w:r>
        <w:rPr>
          <w:rFonts w:ascii="楷体" w:hAnsi="楷体" w:eastAsia="楷体" w:cs="楷体"/>
          <w:spacing w:val="-2"/>
          <w:sz w:val="28"/>
          <w:szCs w:val="28"/>
        </w:rPr>
        <w:t>1</w:t>
      </w:r>
      <w:r>
        <w:rPr>
          <w:rFonts w:hint="eastAsia" w:ascii="楷体" w:hAnsi="楷体" w:eastAsia="楷体" w:cs="楷体"/>
          <w:spacing w:val="-2"/>
          <w:sz w:val="28"/>
          <w:szCs w:val="28"/>
        </w:rPr>
        <w:t>5</w:t>
      </w:r>
      <w:r>
        <w:rPr>
          <w:rFonts w:ascii="楷体" w:hAnsi="楷体" w:eastAsia="楷体" w:cs="楷体"/>
          <w:spacing w:val="-2"/>
          <w:sz w:val="28"/>
          <w:szCs w:val="28"/>
        </w:rPr>
        <w:t>.本协议一式二份，双方各执一份，具有同等法律效力。若产生争议，双方协商解决，协商不成的在甲方所在地有管辖权的法院诉讼解决。</w:t>
      </w:r>
    </w:p>
    <w:p w14:paraId="4253211B">
      <w:pPr>
        <w:pStyle w:val="13"/>
        <w:spacing w:before="9"/>
        <w:rPr>
          <w:rFonts w:hint="eastAsia" w:ascii="楷体" w:hAnsi="楷体" w:eastAsia="楷体" w:cs="楷体"/>
          <w:sz w:val="40"/>
          <w:szCs w:val="28"/>
        </w:rPr>
      </w:pPr>
    </w:p>
    <w:p w14:paraId="6F47B034">
      <w:pPr>
        <w:tabs>
          <w:tab w:val="left" w:pos="5457"/>
        </w:tabs>
        <w:spacing w:before="1"/>
        <w:ind w:left="117"/>
        <w:rPr>
          <w:rFonts w:hint="eastAsia" w:ascii="楷体" w:hAnsi="楷体" w:eastAsia="楷体" w:cs="楷体"/>
          <w:b/>
          <w:sz w:val="24"/>
          <w:szCs w:val="21"/>
        </w:rPr>
      </w:pPr>
      <w:r>
        <w:rPr>
          <w:rFonts w:hint="eastAsia" w:ascii="楷体" w:hAnsi="楷体" w:eastAsia="楷体" w:cs="楷体"/>
          <w:b/>
          <w:spacing w:val="-1"/>
          <w:w w:val="99"/>
          <w:sz w:val="24"/>
          <w:szCs w:val="21"/>
        </w:rPr>
        <w:t>甲方（盖章</w:t>
      </w:r>
      <w:r>
        <w:rPr>
          <w:rFonts w:hint="eastAsia" w:ascii="楷体" w:hAnsi="楷体" w:eastAsia="楷体" w:cs="楷体"/>
          <w:b/>
          <w:spacing w:val="-140"/>
          <w:w w:val="99"/>
          <w:sz w:val="24"/>
          <w:szCs w:val="21"/>
        </w:rPr>
        <w:t>）</w:t>
      </w:r>
      <w:r>
        <w:rPr>
          <w:rFonts w:hint="eastAsia" w:ascii="楷体" w:hAnsi="楷体" w:eastAsia="楷体" w:cs="楷体"/>
          <w:b/>
          <w:w w:val="99"/>
          <w:sz w:val="24"/>
          <w:szCs w:val="21"/>
        </w:rPr>
        <w:t>：</w:t>
      </w:r>
      <w:r>
        <w:rPr>
          <w:rFonts w:hint="eastAsia" w:ascii="楷体" w:hAnsi="楷体" w:eastAsia="楷体" w:cs="楷体"/>
          <w:b/>
          <w:sz w:val="24"/>
          <w:szCs w:val="21"/>
        </w:rPr>
        <w:tab/>
      </w:r>
      <w:r>
        <w:rPr>
          <w:rFonts w:hint="eastAsia" w:ascii="楷体" w:hAnsi="楷体" w:eastAsia="楷体" w:cs="楷体"/>
          <w:b/>
          <w:spacing w:val="-1"/>
          <w:w w:val="99"/>
          <w:sz w:val="24"/>
          <w:szCs w:val="21"/>
        </w:rPr>
        <w:t>乙方（盖</w:t>
      </w:r>
      <w:r>
        <w:rPr>
          <w:rFonts w:hint="eastAsia" w:ascii="楷体" w:hAnsi="楷体" w:eastAsia="楷体" w:cs="楷体"/>
          <w:b/>
          <w:spacing w:val="2"/>
          <w:w w:val="99"/>
          <w:sz w:val="24"/>
          <w:szCs w:val="21"/>
        </w:rPr>
        <w:t>章</w:t>
      </w:r>
      <w:r>
        <w:rPr>
          <w:rFonts w:hint="eastAsia" w:ascii="楷体" w:hAnsi="楷体" w:eastAsia="楷体" w:cs="楷体"/>
          <w:b/>
          <w:spacing w:val="-142"/>
          <w:w w:val="99"/>
          <w:sz w:val="24"/>
          <w:szCs w:val="21"/>
        </w:rPr>
        <w:t>）</w:t>
      </w:r>
      <w:r>
        <w:rPr>
          <w:rFonts w:hint="eastAsia" w:ascii="楷体" w:hAnsi="楷体" w:eastAsia="楷体" w:cs="楷体"/>
          <w:b/>
          <w:w w:val="99"/>
          <w:sz w:val="24"/>
          <w:szCs w:val="21"/>
        </w:rPr>
        <w:t>：</w:t>
      </w:r>
    </w:p>
    <w:p w14:paraId="6B48F4DA">
      <w:pPr>
        <w:pStyle w:val="13"/>
        <w:rPr>
          <w:rFonts w:hint="eastAsia" w:ascii="楷体" w:hAnsi="楷体" w:eastAsia="楷体" w:cs="楷体"/>
          <w:b/>
          <w:sz w:val="24"/>
          <w:szCs w:val="28"/>
        </w:rPr>
      </w:pPr>
    </w:p>
    <w:p w14:paraId="585DD014">
      <w:pPr>
        <w:pStyle w:val="13"/>
        <w:spacing w:before="1"/>
        <w:rPr>
          <w:rFonts w:hint="eastAsia" w:ascii="楷体" w:hAnsi="楷体" w:eastAsia="楷体" w:cs="楷体"/>
          <w:b/>
          <w:sz w:val="24"/>
          <w:szCs w:val="28"/>
        </w:rPr>
      </w:pPr>
    </w:p>
    <w:p w14:paraId="2B783710">
      <w:pPr>
        <w:tabs>
          <w:tab w:val="left" w:pos="5457"/>
        </w:tabs>
        <w:ind w:left="117"/>
        <w:rPr>
          <w:rFonts w:hint="eastAsia" w:ascii="楷体" w:hAnsi="楷体" w:eastAsia="楷体" w:cs="楷体"/>
          <w:b/>
          <w:sz w:val="24"/>
          <w:szCs w:val="21"/>
        </w:rPr>
      </w:pPr>
      <w:r>
        <w:rPr>
          <w:rFonts w:hint="eastAsia" w:ascii="楷体" w:hAnsi="楷体" w:eastAsia="楷体" w:cs="楷体"/>
          <w:b/>
          <w:sz w:val="24"/>
          <w:szCs w:val="21"/>
        </w:rPr>
        <w:t>法定代表/授权代表</w:t>
      </w:r>
      <w:r>
        <w:rPr>
          <w:rFonts w:hint="eastAsia" w:ascii="楷体" w:hAnsi="楷体" w:eastAsia="楷体" w:cs="楷体"/>
          <w:b/>
          <w:sz w:val="24"/>
          <w:szCs w:val="21"/>
        </w:rPr>
        <w:tab/>
      </w:r>
      <w:r>
        <w:rPr>
          <w:rFonts w:hint="eastAsia" w:ascii="楷体" w:hAnsi="楷体" w:eastAsia="楷体" w:cs="楷体"/>
          <w:b/>
          <w:sz w:val="24"/>
          <w:szCs w:val="21"/>
        </w:rPr>
        <w:t>法定代表/授权代表</w:t>
      </w:r>
    </w:p>
    <w:p w14:paraId="24D553B0">
      <w:pPr>
        <w:pStyle w:val="13"/>
        <w:rPr>
          <w:rFonts w:hint="eastAsia" w:ascii="楷体" w:hAnsi="楷体" w:eastAsia="楷体" w:cs="楷体"/>
          <w:b/>
          <w:sz w:val="24"/>
          <w:szCs w:val="28"/>
        </w:rPr>
      </w:pPr>
    </w:p>
    <w:p w14:paraId="03F80BB2">
      <w:pPr>
        <w:pStyle w:val="13"/>
        <w:spacing w:before="4"/>
        <w:rPr>
          <w:rFonts w:hint="eastAsia" w:ascii="楷体" w:hAnsi="楷体" w:eastAsia="楷体" w:cs="楷体"/>
          <w:b/>
          <w:sz w:val="24"/>
          <w:szCs w:val="28"/>
        </w:rPr>
      </w:pPr>
    </w:p>
    <w:p w14:paraId="745955EE">
      <w:pPr>
        <w:tabs>
          <w:tab w:val="left" w:pos="5457"/>
        </w:tabs>
        <w:ind w:left="117"/>
        <w:rPr>
          <w:rFonts w:hint="eastAsia" w:ascii="楷体" w:hAnsi="楷体" w:eastAsia="楷体" w:cs="楷体"/>
          <w:b/>
          <w:sz w:val="24"/>
          <w:szCs w:val="21"/>
        </w:rPr>
      </w:pPr>
      <w:r>
        <w:rPr>
          <w:rFonts w:hint="eastAsia" w:ascii="楷体" w:hAnsi="楷体" w:eastAsia="楷体" w:cs="楷体"/>
          <w:b/>
          <w:sz w:val="24"/>
          <w:szCs w:val="21"/>
        </w:rPr>
        <w:t>日</w:t>
      </w:r>
      <w:r>
        <w:rPr>
          <w:rFonts w:hint="eastAsia" w:ascii="楷体" w:hAnsi="楷体" w:eastAsia="楷体" w:cs="楷体"/>
          <w:b/>
          <w:spacing w:val="-4"/>
          <w:sz w:val="24"/>
          <w:szCs w:val="21"/>
        </w:rPr>
        <w:t xml:space="preserve"> </w:t>
      </w:r>
      <w:r>
        <w:rPr>
          <w:rFonts w:hint="eastAsia" w:ascii="楷体" w:hAnsi="楷体" w:eastAsia="楷体" w:cs="楷体"/>
          <w:b/>
          <w:sz w:val="24"/>
          <w:szCs w:val="21"/>
        </w:rPr>
        <w:t>期:</w:t>
      </w:r>
      <w:r>
        <w:rPr>
          <w:rFonts w:hint="eastAsia" w:ascii="楷体" w:hAnsi="楷体" w:eastAsia="楷体" w:cs="楷体"/>
          <w:b/>
          <w:sz w:val="24"/>
          <w:szCs w:val="21"/>
        </w:rPr>
        <w:tab/>
      </w:r>
      <w:r>
        <w:rPr>
          <w:rFonts w:hint="eastAsia" w:ascii="楷体" w:hAnsi="楷体" w:eastAsia="楷体" w:cs="楷体"/>
          <w:b/>
          <w:sz w:val="24"/>
          <w:szCs w:val="21"/>
        </w:rPr>
        <w:t>日 期:</w:t>
      </w:r>
    </w:p>
    <w:p w14:paraId="768FE775">
      <w:pPr>
        <w:spacing w:before="120" w:beforeLines="50" w:after="120" w:afterLines="50" w:line="440" w:lineRule="exact"/>
        <w:jc w:val="center"/>
        <w:rPr>
          <w:rFonts w:eastAsia="黑体"/>
          <w:sz w:val="30"/>
          <w:szCs w:val="30"/>
        </w:rPr>
      </w:pPr>
    </w:p>
    <w:p w14:paraId="33BE600E">
      <w:pPr>
        <w:rPr>
          <w:rFonts w:hint="eastAsia" w:ascii="宋体" w:hAnsi="宋体"/>
        </w:rPr>
      </w:pPr>
      <w:r>
        <w:rPr>
          <w:rFonts w:hint="eastAsia" w:ascii="宋体" w:hAnsi="宋体"/>
        </w:rPr>
        <w:br w:type="page"/>
      </w:r>
    </w:p>
    <w:p w14:paraId="0210BFA4">
      <w:pPr>
        <w:rPr>
          <w:rFonts w:hint="eastAsia" w:ascii="黑体" w:hAnsi="黑体" w:eastAsia="黑体" w:cs="黑体"/>
          <w:sz w:val="32"/>
          <w:szCs w:val="32"/>
          <w:lang w:eastAsia="zh-CN"/>
        </w:rPr>
      </w:pPr>
      <w:r>
        <w:rPr>
          <w:rFonts w:hint="eastAsia" w:ascii="黑体" w:hAnsi="黑体" w:eastAsia="黑体" w:cs="黑体"/>
          <w:sz w:val="32"/>
          <w:szCs w:val="32"/>
        </w:rPr>
        <w:t>附件1</w:t>
      </w:r>
      <w:r>
        <w:rPr>
          <w:rFonts w:hint="eastAsia" w:ascii="黑体" w:hAnsi="黑体" w:eastAsia="黑体" w:cs="黑体"/>
          <w:sz w:val="32"/>
          <w:szCs w:val="32"/>
          <w:lang w:val="en-US" w:eastAsia="zh-CN"/>
        </w:rPr>
        <w:t>2</w:t>
      </w:r>
    </w:p>
    <w:p w14:paraId="29519CCE">
      <w:pPr>
        <w:pStyle w:val="7"/>
        <w:spacing w:beforeLines="100" w:after="240" w:afterLines="100"/>
        <w:jc w:val="center"/>
        <w:rPr>
          <w:rFonts w:hint="eastAsia" w:ascii="方正小标宋简体" w:hAnsi="方正小标宋简体" w:eastAsia="方正小标宋简体" w:cs="方正小标宋简体"/>
          <w:b w:val="0"/>
          <w:bCs w:val="0"/>
          <w:sz w:val="44"/>
          <w:szCs w:val="44"/>
        </w:rPr>
      </w:pPr>
      <w:bookmarkStart w:id="1306" w:name="_Toc25042"/>
      <w:bookmarkStart w:id="1307" w:name="_Toc29253"/>
      <w:bookmarkStart w:id="1308" w:name="_Toc19546"/>
      <w:bookmarkStart w:id="1309" w:name="_Toc1493"/>
      <w:bookmarkStart w:id="1310" w:name="_Toc6232"/>
      <w:r>
        <w:rPr>
          <w:rFonts w:hint="eastAsia" w:ascii="方正小标宋简体" w:hAnsi="方正小标宋简体" w:eastAsia="方正小标宋简体" w:cs="方正小标宋简体"/>
          <w:b w:val="0"/>
          <w:bCs w:val="0"/>
          <w:sz w:val="44"/>
          <w:szCs w:val="44"/>
        </w:rPr>
        <w:t>相 关 方 安 全 协 议</w:t>
      </w:r>
      <w:bookmarkEnd w:id="1306"/>
      <w:bookmarkEnd w:id="1307"/>
      <w:bookmarkEnd w:id="1308"/>
      <w:bookmarkEnd w:id="1309"/>
      <w:bookmarkEnd w:id="1310"/>
    </w:p>
    <w:p w14:paraId="56538026">
      <w:pPr>
        <w:pStyle w:val="48"/>
        <w:spacing w:line="300" w:lineRule="auto"/>
        <w:ind w:firstLine="480"/>
        <w:rPr>
          <w:rFonts w:hint="eastAsia" w:ascii="仿宋_GB2312" w:hAnsi="仿宋_GB2312" w:eastAsia="仿宋_GB2312" w:cs="仿宋_GB2312"/>
          <w:sz w:val="24"/>
        </w:rPr>
      </w:pPr>
      <w:r>
        <w:rPr>
          <w:rFonts w:ascii="仿宋_GB2312" w:hAnsi="仿宋_GB2312" w:eastAsia="仿宋_GB2312" w:cs="仿宋_GB2312"/>
          <w:sz w:val="24"/>
        </w:rPr>
        <w:t>甲方：</w:t>
      </w:r>
    </w:p>
    <w:p w14:paraId="4FC2803F">
      <w:pPr>
        <w:pStyle w:val="48"/>
        <w:spacing w:line="300" w:lineRule="auto"/>
        <w:ind w:firstLine="480"/>
        <w:rPr>
          <w:rFonts w:hint="eastAsia" w:ascii="仿宋_GB2312" w:hAnsi="仿宋_GB2312" w:eastAsia="仿宋_GB2312" w:cs="仿宋_GB2312"/>
          <w:sz w:val="24"/>
        </w:rPr>
      </w:pPr>
      <w:r>
        <w:rPr>
          <w:rFonts w:ascii="仿宋_GB2312" w:hAnsi="仿宋_GB2312" w:eastAsia="仿宋_GB2312" w:cs="仿宋_GB2312"/>
          <w:sz w:val="24"/>
        </w:rPr>
        <w:t>乙方：</w:t>
      </w:r>
    </w:p>
    <w:p w14:paraId="515F79F4">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乙方在甲方厂区（含园区）开展</w:t>
      </w:r>
      <w:r>
        <w:rPr>
          <w:rFonts w:hint="eastAsia" w:ascii="仿宋_GB2312" w:hAnsi="仿宋_GB2312" w:eastAsia="仿宋_GB2312" w:cs="仿宋_GB2312"/>
          <w:sz w:val="24"/>
          <w:u w:val="single"/>
        </w:rPr>
        <w:t xml:space="preserve">           </w:t>
      </w:r>
      <w:r>
        <w:rPr>
          <w:rFonts w:ascii="仿宋_GB2312" w:hAnsi="仿宋_GB2312" w:eastAsia="仿宋_GB2312" w:cs="仿宋_GB2312"/>
          <w:sz w:val="24"/>
        </w:rPr>
        <w:t>项目</w:t>
      </w:r>
      <w:r>
        <w:rPr>
          <w:rFonts w:hint="eastAsia" w:ascii="仿宋_GB2312" w:hAnsi="仿宋_GB2312" w:eastAsia="仿宋_GB2312" w:cs="仿宋_GB2312"/>
          <w:sz w:val="24"/>
        </w:rPr>
        <w:t>，</w:t>
      </w:r>
      <w:r>
        <w:rPr>
          <w:rFonts w:ascii="仿宋_GB2312" w:hAnsi="仿宋_GB2312" w:eastAsia="仿宋_GB2312" w:cs="仿宋_GB2312"/>
          <w:sz w:val="24"/>
        </w:rPr>
        <w:t>根据国</w:t>
      </w:r>
      <w:r>
        <w:rPr>
          <w:rFonts w:hint="eastAsia" w:ascii="仿宋_GB2312" w:hAnsi="仿宋_GB2312" w:eastAsia="仿宋_GB2312" w:cs="仿宋_GB2312"/>
          <w:sz w:val="24"/>
        </w:rPr>
        <w:t>家、地方</w:t>
      </w:r>
      <w:r>
        <w:rPr>
          <w:rFonts w:ascii="仿宋_GB2312" w:hAnsi="仿宋_GB2312" w:eastAsia="仿宋_GB2312" w:cs="仿宋_GB2312"/>
          <w:sz w:val="24"/>
        </w:rPr>
        <w:t>有关安全生产的法律、法规、条例</w:t>
      </w:r>
      <w:r>
        <w:rPr>
          <w:rFonts w:hint="eastAsia" w:ascii="仿宋_GB2312" w:hAnsi="仿宋_GB2312" w:eastAsia="仿宋_GB2312" w:cs="仿宋_GB2312"/>
          <w:sz w:val="24"/>
        </w:rPr>
        <w:t>、规章、政策等规范性文件的要求</w:t>
      </w:r>
      <w:r>
        <w:rPr>
          <w:rFonts w:ascii="仿宋_GB2312" w:hAnsi="仿宋_GB2312" w:eastAsia="仿宋_GB2312" w:cs="仿宋_GB2312"/>
          <w:sz w:val="24"/>
        </w:rPr>
        <w:t>，为明确甲乙双方安全管理职责与权利，预防各类事故的发生，经甲乙双方协商一致，同意签订本协议，并</w:t>
      </w:r>
      <w:r>
        <w:rPr>
          <w:rFonts w:hint="eastAsia" w:ascii="仿宋_GB2312" w:hAnsi="仿宋_GB2312" w:eastAsia="仿宋_GB2312" w:cs="仿宋_GB2312"/>
          <w:sz w:val="24"/>
        </w:rPr>
        <w:t>共同</w:t>
      </w:r>
      <w:r>
        <w:rPr>
          <w:rFonts w:ascii="仿宋_GB2312" w:hAnsi="仿宋_GB2312" w:eastAsia="仿宋_GB2312" w:cs="仿宋_GB2312"/>
          <w:sz w:val="24"/>
        </w:rPr>
        <w:t>遵守。</w:t>
      </w:r>
    </w:p>
    <w:p w14:paraId="4A2447DA">
      <w:pPr>
        <w:pStyle w:val="48"/>
        <w:spacing w:line="300" w:lineRule="auto"/>
        <w:ind w:firstLine="480"/>
        <w:rPr>
          <w:rFonts w:hint="eastAsia" w:ascii="黑体" w:hAnsi="黑体" w:eastAsia="黑体" w:cs="黑体"/>
          <w:sz w:val="24"/>
        </w:rPr>
      </w:pPr>
      <w:r>
        <w:rPr>
          <w:rFonts w:hint="eastAsia" w:ascii="黑体" w:hAnsi="黑体" w:eastAsia="黑体" w:cs="黑体"/>
          <w:sz w:val="24"/>
        </w:rPr>
        <w:t>一、甲乙双方安全管理职责与权利：</w:t>
      </w:r>
    </w:p>
    <w:p w14:paraId="1C83A9B5">
      <w:pPr>
        <w:pStyle w:val="48"/>
        <w:numPr>
          <w:ilvl w:val="255"/>
          <w:numId w:val="0"/>
        </w:numPr>
        <w:spacing w:line="300" w:lineRule="auto"/>
        <w:ind w:firstLine="482" w:firstLineChars="200"/>
        <w:rPr>
          <w:rFonts w:hint="eastAsia" w:ascii="楷体_GB2312" w:hAnsi="楷体_GB2312" w:eastAsia="楷体_GB2312" w:cs="楷体_GB2312"/>
          <w:b/>
          <w:bCs/>
          <w:sz w:val="24"/>
        </w:rPr>
      </w:pPr>
      <w:r>
        <w:rPr>
          <w:rFonts w:hint="eastAsia" w:ascii="楷体_GB2312" w:hAnsi="楷体_GB2312" w:eastAsia="楷体_GB2312" w:cs="楷体_GB2312"/>
          <w:b/>
          <w:bCs/>
          <w:sz w:val="24"/>
        </w:rPr>
        <w:t>（一）甲方职责与权利</w:t>
      </w:r>
    </w:p>
    <w:p w14:paraId="502CA056">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1.甲方根据协作需求，负责为乙方提供作业场地及必要的风、水、电、气等能源。</w:t>
      </w:r>
    </w:p>
    <w:p w14:paraId="33A9C15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甲方有权督促乙方遵守国家有关安全的法规、标准和甲方的安全管理规章制度，有权对乙方作业过程中的安全管理工作、安全防范措施的落实进行监督检查，有权向乙方询问有关安全措施的落实情况，调阅有关安全资料，并落实为书面记录。</w:t>
      </w:r>
    </w:p>
    <w:p w14:paraId="45DC1839">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3.甲方有权对乙方作业过程中出现的事故隐患、违章、冒险行为进行制止和纠正，有权要求乙方立即整改和排除风险。乙方出现重大安全隐患不进行整改的或管理混乱不服从甲方监督和协调的情况，甲方有权停止其作业，并给予警告和经济考核，直至终止本合同及具体业务合同。</w:t>
      </w:r>
    </w:p>
    <w:p w14:paraId="21601461">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4.甲方对乙方不得违章指挥、强令冒险作业，因甲方人员人为原因造成乙方人员发生事故的，由乙方负责处理，甲方予以协助并赔偿乙方的合理损失。</w:t>
      </w:r>
    </w:p>
    <w:p w14:paraId="7F53B870">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5.甲方对乙方在甲方发生安全事故时，将尽量协助救护、保护事故现场，并有权开展或参加对事故的调查处理。因乙方原因导致的生产安全事故，由乙方承担相应责任。</w:t>
      </w:r>
    </w:p>
    <w:p w14:paraId="24C1535E">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6.当物资供应类的物品中含有危险化学品以及其他对甲方职业安全健康有影响的产品时，甲方有权要求乙方提供相关产品的中文版化学品安全技术说明书、产品标准、使用说明书、化学性能参数表等文件。</w:t>
      </w:r>
    </w:p>
    <w:p w14:paraId="3C531E2D">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7.对于提供生活物质、食品的乙方，甲方有权要求乙方提供乙方工作人员的健康证明。在甲方服务时，乙方要严格遵守甲方的相关安全管理制度和卫生、健康管理制度。</w:t>
      </w:r>
    </w:p>
    <w:p w14:paraId="5B6C1353">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8、甲方有权要求乙方提供作业人员的工伤保险及意外保险缴纳证明。</w:t>
      </w:r>
    </w:p>
    <w:p w14:paraId="3C4EDC3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9、甲方指定专人（联系人、安全员：        ；联系方式：        ）负责乙方业务和安全管理，乙方出现各类问题都应及时与甲方联系人、安全员联系。</w:t>
      </w:r>
    </w:p>
    <w:p w14:paraId="2F558155">
      <w:pPr>
        <w:pStyle w:val="48"/>
        <w:numPr>
          <w:ilvl w:val="255"/>
          <w:numId w:val="0"/>
        </w:numPr>
        <w:spacing w:line="300" w:lineRule="auto"/>
        <w:ind w:firstLine="482" w:firstLineChars="200"/>
        <w:rPr>
          <w:rFonts w:hint="eastAsia" w:ascii="楷体_GB2312" w:hAnsi="楷体_GB2312" w:eastAsia="楷体_GB2312" w:cs="楷体_GB2312"/>
          <w:b/>
          <w:bCs/>
          <w:sz w:val="24"/>
        </w:rPr>
      </w:pPr>
      <w:r>
        <w:rPr>
          <w:rFonts w:hint="eastAsia" w:ascii="楷体_GB2312" w:hAnsi="楷体_GB2312" w:eastAsia="楷体_GB2312" w:cs="楷体_GB2312"/>
          <w:b/>
          <w:bCs/>
          <w:sz w:val="24"/>
        </w:rPr>
        <w:t>（二）乙方职责与权利</w:t>
      </w:r>
    </w:p>
    <w:p w14:paraId="36779396">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1.乙方进入甲方生产现场的车辆、人员必须执行甲方的各项安全管理规定，接受甲方安全管理人员的监督和管理。乙方应在进入现场前充分了解并知悉甲方的各项安全管理规定。</w:t>
      </w:r>
    </w:p>
    <w:p w14:paraId="14E14B9A">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乙方在甲方现场作业应指定安全负责人，佩戴安全管理标识负责本方的安全管理工作，乙方安全管理人员要定期开展隐患排查，并将检查及处理情况如实记录存档”。乙方应于本协议签订前，将该负责人姓名及其相关资料送至甲方审核、备案，当负责人发生变动时，乙方应在变动后5个工作日内书面通知甲方并将变动后的人员姓名及相关资料送至甲方备案。</w:t>
      </w:r>
    </w:p>
    <w:p w14:paraId="207862B4">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3.在甲方厂区内行驶的各类机动车辆，必须保证车辆的安全性能良好，并挂有公安部门或国家相关管理部门办理的有效牌照并按时审验，特种车辆设有环保码。牌照须按规定位置安装，并保持牢固、清晰、不得损坏，货物必须按规定装载和捆绑固定牢固，严禁超载、超速行驶。</w:t>
      </w:r>
    </w:p>
    <w:p w14:paraId="7B0EB06C">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4.乙方应当保证在其派往甲方厂区的人员进入生产区域作业前，将甲方各项安全管理规章制度告知作业人员，熟知相关安全制度、作业过程存在的风险及预防控制措施并对其进行安全培训及保存相关记录备查。乙方进入甲方现场从事特种作业的工作人员，必须持有国家相关部门颁发的特种作业操作证，熟知相关安全制度、作业过程存在的风险及预防控制措施严禁无证作业。</w:t>
      </w:r>
    </w:p>
    <w:p w14:paraId="682063D7">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5.乙方进入甲方厂区行驶的各类机动车辆，必须遵守靠右行驶的原则，并遵守相关禁行规定，禁止逆向行驶，禁止行车过程中使用手机。车辆停放时驾驶员不得长时间离开车辆，确需离开应将车辆熄火拉紧手制动器并在停车线内停放，启动钥匙随身携带。</w:t>
      </w:r>
    </w:p>
    <w:p w14:paraId="00273004">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6.各类机动车辆在甲方厂区主干道行驶速度不超过30公里/小时，其他道路不得超过20公里/小时；结冰、积雪、积水的道路和恶劣天气能见度在30m以内时不超过10公里/小时，恶劣天气能见度在5m以内或能见度在10m以内、道路最大纵坡在6%以上时,应停止行驶；车间内行驶速度不超过5公里/小时；进出车间大门行驶速度不超过3公里/小时。</w:t>
      </w:r>
    </w:p>
    <w:p w14:paraId="3AA5DCC8">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7.除叉车、装载机、厂内物流农用车、托头、电瓶板车等生产现场所需车辆，其余各类车辆原则上禁止进入厂房内部；确因生产需要车辆进入生产车间现场的，需报甲方需进入加工部的安全管理人员批准，并指定专人指挥、负责车辆的安全。</w:t>
      </w:r>
    </w:p>
    <w:p w14:paraId="77CD604B">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8.乙方项目中涉及有限空间的作业，乙方应按照《工贸企业有限空间作业安全规定》及甲方安全规章制度要求，严格按照监测、作业、审批及应急管理要求执行，安排经专项培训的作业人员、监护人员等进行作业。</w:t>
      </w:r>
    </w:p>
    <w:p w14:paraId="0C3C954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9.因乙方人员不遵守相关安全法律法规及甲方的规章制度造成安全生产事故的，乙方应负责处理相关事宜，并承担相应责任和损失，甲方予以协助。</w:t>
      </w:r>
    </w:p>
    <w:p w14:paraId="3CE6E67D">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10.乙方负责处理其工作人员在甲方现场工作期间发生的工伤事故，并承担相应费用及责任，甲方予以积极配合。</w:t>
      </w:r>
    </w:p>
    <w:p w14:paraId="578E2F47">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11.乙方人员在甲方现场造成甲方工作人员或第三方人员人身伤害、财产损失或甲方产品、设备等财产损失的，由乙方承担相应费用及责任。</w:t>
      </w:r>
    </w:p>
    <w:p w14:paraId="333DDAFB">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12.乙方人员及车辆在甲方厂区范围内发生安全生产、交通等事故的，在安监部门、公安、司法机关未结案时，所有费用均由乙方先行全额垫付。待安监部门、公安、司法机关处理完毕后，由国家机关认定的责任人承担相关责任。相关责任人赔偿前，由乙方负责先行全额垫付。</w:t>
      </w:r>
    </w:p>
    <w:p w14:paraId="0E7C757B">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13.乙方应当根据《中华人民共和国职业病防治法》的要求，对其所属员工组织进行岗前、岗中、离岗职业健康查体，妥善保存查体报告，杜绝职业禁忌证、职业病人员进入甲方厂区从事相关工作，对进入甲方厂区工作的人员，按照接害因素配备相应的符合国家规范要求的劳动防护用品。乙方出现的职业病、禁忌证人员，由乙方全权负责。</w:t>
      </w:r>
    </w:p>
    <w:p w14:paraId="3ECFAFA2">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14.乙方所使用的机械设施、各类机器等设备，必须是经过检测且合格可靠的，各类设备设施的合格证、检测证和安全防护装置等必须齐全、完好。严禁使用不安全的设备设施进行作业。</w:t>
      </w:r>
    </w:p>
    <w:p w14:paraId="035E8AEC">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15.乙方负责按照相关要求为作业现场配备所需的安全防护设施、消防设施，负责为乙方作业人员配备合格、可靠的安全防护用品（特殊劳动防护用品需提供采购单位相应资质）。</w:t>
      </w:r>
    </w:p>
    <w:p w14:paraId="2C947DA5">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16.乙方作业完成后，负责清理现场并恢复作业前的正常环境。对于作业过程中产生的废水、废料、废渣、建筑垃圾等（不包含危险废物），由乙方负责按照环保法律法规要求合法处理，因乙方违规处置产生的后果由乙方承担。</w:t>
      </w:r>
    </w:p>
    <w:p w14:paraId="508CFB15">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17.乙方承诺，不将承租的项目部分或全部转包给其他单位，因违规转包而导致的一切后果由乙方自行承担。</w:t>
      </w:r>
    </w:p>
    <w:p w14:paraId="09C0A4F9">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18.积极支持配合和参加甲方组织的消防安全防范活动，自觉培养消防意识宣传消防重要性。进行经常性的防火安全检查，对发现的火险隐患必须采取应急措施。</w:t>
      </w:r>
    </w:p>
    <w:p w14:paraId="3FFB89A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19.乙方不违规使用电器、不超容量用电和不违规使用液化气、管道煤气等燃气具；禁止私接电源插座，乱拉临时电线，私自拆修开关和更换灯管，灯泡，保险丝等。不在所属住宅房屋、厂房、仓库或车辆内违规贮藏保存易燃易爆危险物品。</w:t>
      </w:r>
    </w:p>
    <w:p w14:paraId="65C327BE">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20.乙方应遵守装修工程消防安全管理规定和工程施工安全技术规范，在作业范围内消防灭火器材的配备及日常的维护由乙方负责，应确保消防器材及设施完好有效。</w:t>
      </w:r>
    </w:p>
    <w:p w14:paraId="20D33EB7">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21.乙方作业区域发生火灾事故时能冷静准确向119报警，并能灭火、指引和协助他人逃生。必须立即采取有效措施防止事故扩大，组织人员抢救并保护现场，并立即向甲方报告。</w:t>
      </w:r>
    </w:p>
    <w:p w14:paraId="78E4B0B1">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22.乙方在作业过程中发生安全生产事故，事故现场有关人员应当立即向乙方单位及项目负责人报告。乙方单位及项目负责人接到事故报告后，应当立即如实地向甲方单位报告，并启动相应的应急预案，采取有效措施，组织抢救，防止事故扩大。</w:t>
      </w:r>
    </w:p>
    <w:p w14:paraId="6C6D3BF7">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23.乙方承诺指定专人（联系人、安全员：        ；联系方式：        ）负责作业过程中的安全管理，负责与甲方进行安全管理工作的对接，配合甲方统一协调管理。</w:t>
      </w:r>
    </w:p>
    <w:p w14:paraId="3F12CCA4">
      <w:pPr>
        <w:pStyle w:val="48"/>
        <w:spacing w:line="300" w:lineRule="auto"/>
        <w:ind w:firstLine="480"/>
        <w:rPr>
          <w:rFonts w:hint="eastAsia" w:ascii="黑体" w:hAnsi="黑体" w:eastAsia="黑体" w:cs="黑体"/>
          <w:sz w:val="24"/>
        </w:rPr>
      </w:pPr>
      <w:r>
        <w:rPr>
          <w:rFonts w:hint="eastAsia" w:ascii="黑体" w:hAnsi="黑体" w:eastAsia="黑体" w:cs="黑体"/>
          <w:sz w:val="24"/>
        </w:rPr>
        <w:t>二、其他相关手续办理</w:t>
      </w:r>
    </w:p>
    <w:p w14:paraId="618A29B3">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乙方进入甲方厂区进行施工，办理其他相关手续，应遵守以下约定：</w:t>
      </w:r>
    </w:p>
    <w:p w14:paraId="1E555B8A">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1.进厂手续：甲方与乙方的施工合同签订后，乙方单位持相关的资质材料，按照甲方管理制度办理施工手续后 ,方可进行作业。</w:t>
      </w:r>
    </w:p>
    <w:p w14:paraId="0B88F00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施工需进行临时用电、动火作业、高处作业、进入受限空间时，作业方案经甲方审核同意后，办理完成全部审批手续方能开展作业。作业过程中，应当设置好安全警示，严禁违章指挥、违章作业，严格做好监护和应急救援工作。</w:t>
      </w:r>
    </w:p>
    <w:p w14:paraId="4627DD48">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3.入厂安全教育：乙方进入甲方厂区前应对其施工人员进行安全教育并提供教育培训的相关资料，到甲方办理《施工许可证》。</w:t>
      </w:r>
    </w:p>
    <w:p w14:paraId="456975BD">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4.乙方要保持施工现场的环境卫生，文明施工；当日的废物、边角料当日清除；施工所用的材料、物品应摆放整齐，不得随地乱放；如因工程需要必须占用车间通道，须经项目施工组织部门与车间及有关科室协调同意，由施工单位做好标示护栏，加以警示。</w:t>
      </w:r>
    </w:p>
    <w:p w14:paraId="195844D0">
      <w:pPr>
        <w:pStyle w:val="48"/>
        <w:spacing w:line="300" w:lineRule="auto"/>
        <w:ind w:firstLine="480"/>
        <w:rPr>
          <w:rFonts w:hint="eastAsia" w:ascii="黑体" w:hAnsi="黑体" w:eastAsia="黑体" w:cs="黑体"/>
          <w:sz w:val="24"/>
        </w:rPr>
      </w:pPr>
      <w:r>
        <w:rPr>
          <w:rFonts w:hint="eastAsia" w:ascii="黑体" w:hAnsi="黑体" w:eastAsia="黑体" w:cs="黑体"/>
          <w:sz w:val="24"/>
        </w:rPr>
        <w:t>三、违约责任</w:t>
      </w:r>
    </w:p>
    <w:p w14:paraId="6DE8FAF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因乙方人员或车辆违反有关法律、法规、规章、规范性文件、甲方有关管理规定以及本协议约定，造成的一切后果和损失，由乙方承担全部责任并赔偿甲方之损失。</w:t>
      </w:r>
    </w:p>
    <w:p w14:paraId="2306AF5C">
      <w:pPr>
        <w:pStyle w:val="48"/>
        <w:spacing w:line="300" w:lineRule="auto"/>
        <w:ind w:firstLine="480"/>
        <w:rPr>
          <w:rFonts w:hint="eastAsia" w:ascii="黑体" w:hAnsi="黑体" w:eastAsia="黑体" w:cs="黑体"/>
          <w:sz w:val="24"/>
        </w:rPr>
      </w:pPr>
      <w:r>
        <w:rPr>
          <w:rFonts w:hint="eastAsia" w:ascii="黑体" w:hAnsi="黑体" w:eastAsia="黑体" w:cs="黑体"/>
          <w:sz w:val="24"/>
        </w:rPr>
        <w:t>四、争议解决</w:t>
      </w:r>
    </w:p>
    <w:p w14:paraId="04FF77E1">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本协议履行过程中产生的争议，双方协商解决，协商不成的提交甲方所在地法院诉讼解决。</w:t>
      </w:r>
    </w:p>
    <w:p w14:paraId="4C01DA70">
      <w:pPr>
        <w:pStyle w:val="48"/>
        <w:spacing w:line="300" w:lineRule="auto"/>
        <w:ind w:firstLine="480"/>
        <w:rPr>
          <w:rFonts w:hint="eastAsia" w:ascii="黑体" w:hAnsi="黑体" w:eastAsia="黑体" w:cs="黑体"/>
          <w:sz w:val="24"/>
        </w:rPr>
      </w:pPr>
      <w:r>
        <w:rPr>
          <w:rFonts w:hint="eastAsia" w:ascii="黑体" w:hAnsi="黑体" w:eastAsia="黑体" w:cs="黑体"/>
          <w:sz w:val="24"/>
        </w:rPr>
        <w:t>五、附则</w:t>
      </w:r>
    </w:p>
    <w:p w14:paraId="03EFB8EA">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1.本协议自双方签署后生效，本协议作为执行甲乙双方采购协议或其他合作协议的附件，此协议在双方合作期间有效；本协议生效前甲乙双方未签署《相关方安全协议》但实际已存在供应采购等业务合作关系并进入甲方厂区/园区的，甲乙双方同意有关业务合作适用本协议的所有条款约定。</w:t>
      </w:r>
    </w:p>
    <w:p w14:paraId="5B33BF99">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2.本协议附件与主协议具有相同的法律效力。在本协议有效期内，双方就未尽事宜达成补充协议的，补充协议与本协议具有同等法律效力。</w:t>
      </w:r>
    </w:p>
    <w:p w14:paraId="63D5BD74">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3.甲方与乙方签订本协议时，已向乙方告知甲方的各项安全管理规定。乙方已充分了解并知悉甲方的各项安全管理规定及内容，并承诺严格遵守。</w:t>
      </w:r>
    </w:p>
    <w:p w14:paraId="42E247C8">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4.按照《安全生产法》规定，乙方如有不签订本协议和未执行协议擅自在甲方厂区内施工的情况，乙方均属违章作业。</w:t>
      </w:r>
    </w:p>
    <w:p w14:paraId="4DC9E289">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5.本合同的各签约方选择使用电子签约的，已由法定代表人本人或授权其代理人在电子签约平台进行了实名注册，并通过CA证书进行签约。电子签约的任一方均已知晓且同意通过代理人密码登录账户后的所有操作视为该方的行为，并自愿承担由此产生的一切法律后果。电子签约方的代理人包括在平台完成认证并具有相应盖章、签字权限的管理员、盖章人或签名人。电子签约方在相关电子合同通过CA证书进行电子签章的，视为该方有效签署合同。如各方签章时间不一致的，以最后签章的时间为准。本合同所有的手写涂改、一方擅自增加、删改、篡改部分无效（个人手写签名除外）。</w:t>
      </w:r>
    </w:p>
    <w:p w14:paraId="2CB815DC">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若一方不使用电子签约，此情形下各方认可并同意电子签章与在纸质合同上手写签名或者盖章具有同等的法律效力，一方在合同上使用电子签章，另一方将已完成电子签章的合同打印为纸质合同后，再于合同签署处加盖实物印章、手写签名视为各方已签署完毕。</w:t>
      </w:r>
    </w:p>
    <w:p w14:paraId="4B74583F">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6.本协议应与具体项目合同同时签订。一式四份，甲乙双方各两份。</w:t>
      </w:r>
    </w:p>
    <w:p w14:paraId="382FAEDE">
      <w:pPr>
        <w:pStyle w:val="48"/>
        <w:spacing w:line="300" w:lineRule="auto"/>
        <w:ind w:firstLine="600"/>
        <w:rPr>
          <w:rFonts w:hint="eastAsia" w:ascii="仿宋_GB2312" w:hAnsi="仿宋_GB2312"/>
          <w:sz w:val="30"/>
        </w:rPr>
      </w:pPr>
    </w:p>
    <w:p w14:paraId="1E52596F">
      <w:pPr>
        <w:pStyle w:val="48"/>
        <w:spacing w:line="300" w:lineRule="auto"/>
        <w:ind w:firstLine="600"/>
        <w:rPr>
          <w:rFonts w:hint="eastAsia" w:ascii="仿宋_GB2312" w:hAnsi="仿宋_GB2312"/>
          <w:sz w:val="30"/>
        </w:rPr>
      </w:pPr>
    </w:p>
    <w:p w14:paraId="51E750D6">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甲方（盖章）：                    乙方（盖章）：</w:t>
      </w:r>
    </w:p>
    <w:p w14:paraId="41C9ED1F">
      <w:pPr>
        <w:pStyle w:val="48"/>
        <w:spacing w:line="300" w:lineRule="auto"/>
        <w:ind w:firstLine="480"/>
        <w:rPr>
          <w:rFonts w:hint="eastAsia" w:ascii="仿宋_GB2312" w:hAnsi="仿宋_GB2312" w:eastAsia="仿宋_GB2312" w:cs="仿宋_GB2312"/>
          <w:sz w:val="24"/>
        </w:rPr>
      </w:pPr>
    </w:p>
    <w:p w14:paraId="0373D19B">
      <w:pPr>
        <w:pStyle w:val="48"/>
        <w:spacing w:line="300" w:lineRule="auto"/>
        <w:ind w:firstLine="480"/>
        <w:rPr>
          <w:rFonts w:hint="eastAsia" w:ascii="仿宋_GB2312" w:hAnsi="仿宋_GB2312" w:eastAsia="仿宋_GB2312" w:cs="仿宋_GB2312"/>
          <w:sz w:val="24"/>
        </w:rPr>
      </w:pPr>
      <w:r>
        <w:rPr>
          <w:rFonts w:hint="eastAsia" w:ascii="仿宋_GB2312" w:hAnsi="仿宋_GB2312" w:eastAsia="仿宋_GB2312" w:cs="仿宋_GB2312"/>
          <w:sz w:val="24"/>
        </w:rPr>
        <w:t>授权代表（签字）：                授权代表（签字）：</w:t>
      </w:r>
    </w:p>
    <w:p w14:paraId="48ADE0BE">
      <w:pPr>
        <w:pStyle w:val="48"/>
        <w:spacing w:line="300" w:lineRule="auto"/>
        <w:ind w:firstLine="480"/>
        <w:rPr>
          <w:rFonts w:hint="eastAsia" w:ascii="仿宋_GB2312" w:hAnsi="仿宋_GB2312" w:eastAsia="仿宋_GB2312" w:cs="仿宋_GB2312"/>
          <w:sz w:val="24"/>
        </w:rPr>
      </w:pPr>
    </w:p>
    <w:p w14:paraId="15AF28B1">
      <w:pPr>
        <w:spacing w:line="300" w:lineRule="auto"/>
        <w:ind w:firstLine="480" w:firstLineChars="200"/>
        <w:rPr>
          <w:rFonts w:hint="eastAsia" w:ascii="仿宋_GB2312" w:hAnsi="仿宋_GB2312" w:eastAsia="仿宋_GB2312" w:cs="仿宋_GB2312"/>
          <w:sz w:val="24"/>
        </w:rPr>
      </w:pPr>
      <w:r>
        <w:rPr>
          <w:rFonts w:hint="eastAsia" w:ascii="仿宋_GB2312" w:hAnsi="仿宋_GB2312" w:eastAsia="仿宋_GB2312" w:cs="仿宋_GB2312"/>
          <w:sz w:val="24"/>
        </w:rPr>
        <w:t>年   月   日                     年   月   日</w:t>
      </w:r>
    </w:p>
    <w:p w14:paraId="5D351D2A">
      <w:pPr>
        <w:rPr>
          <w:rFonts w:hint="eastAsia" w:ascii="黑体" w:hAnsi="黑体" w:eastAsia="黑体" w:cs="黑体"/>
          <w:sz w:val="32"/>
          <w:szCs w:val="32"/>
          <w:lang w:eastAsia="zh-CN"/>
        </w:rPr>
      </w:pPr>
      <w:r>
        <w:rPr>
          <w:rFonts w:hint="eastAsia" w:ascii="宋体" w:hAnsi="宋体"/>
        </w:rPr>
        <w:br w:type="page"/>
      </w:r>
      <w:r>
        <w:rPr>
          <w:rFonts w:hint="eastAsia" w:ascii="黑体" w:hAnsi="黑体" w:eastAsia="黑体" w:cs="黑体"/>
          <w:sz w:val="32"/>
          <w:szCs w:val="32"/>
        </w:rPr>
        <w:t>附件1</w:t>
      </w:r>
      <w:r>
        <w:rPr>
          <w:rFonts w:hint="eastAsia" w:ascii="黑体" w:hAnsi="黑体" w:eastAsia="黑体" w:cs="黑体"/>
          <w:sz w:val="32"/>
          <w:szCs w:val="32"/>
          <w:lang w:val="en-US" w:eastAsia="zh-CN"/>
        </w:rPr>
        <w:t>3</w:t>
      </w:r>
    </w:p>
    <w:p w14:paraId="1B2625BE">
      <w:pPr>
        <w:jc w:val="center"/>
        <w:rPr>
          <w:rFonts w:hint="eastAsia" w:ascii="黑体" w:hAnsi="黑体" w:eastAsia="黑体" w:cs="黑体"/>
          <w:sz w:val="32"/>
          <w:szCs w:val="32"/>
        </w:rPr>
      </w:pPr>
      <w:r>
        <w:rPr>
          <w:rFonts w:hint="eastAsia" w:ascii="黑体" w:hAnsi="黑体" w:eastAsia="黑体" w:cs="黑体"/>
          <w:sz w:val="32"/>
          <w:szCs w:val="32"/>
        </w:rPr>
        <w:t>工程建设领域农民工工资专用账户资金管理协议</w:t>
      </w:r>
    </w:p>
    <w:p w14:paraId="7F866036">
      <w:pPr>
        <w:spacing w:line="360" w:lineRule="auto"/>
        <w:jc w:val="center"/>
        <w:rPr>
          <w:rFonts w:eastAsia="仿宋_GB2312"/>
          <w:sz w:val="28"/>
          <w:szCs w:val="28"/>
        </w:rPr>
      </w:pPr>
      <w:r>
        <w:rPr>
          <w:rFonts w:hint="eastAsia" w:eastAsia="仿宋_GB2312"/>
          <w:sz w:val="28"/>
          <w:szCs w:val="28"/>
        </w:rPr>
        <w:t>（示例格式，以最终银行开具格式为准）</w:t>
      </w:r>
    </w:p>
    <w:p w14:paraId="70A6EAAD">
      <w:pPr>
        <w:snapToGrid w:val="0"/>
        <w:spacing w:line="360" w:lineRule="auto"/>
        <w:jc w:val="center"/>
        <w:textAlignment w:val="baseline"/>
        <w:rPr>
          <w:rFonts w:hint="eastAsia" w:ascii="楷体" w:hAnsi="楷体" w:eastAsia="楷体" w:cs="楷体"/>
          <w:color w:val="000000"/>
          <w:sz w:val="20"/>
        </w:rPr>
      </w:pPr>
    </w:p>
    <w:p w14:paraId="7CAC5384">
      <w:pPr>
        <w:snapToGrid w:val="0"/>
        <w:spacing w:line="360" w:lineRule="auto"/>
        <w:textAlignment w:val="baseline"/>
        <w:rPr>
          <w:rFonts w:ascii="仿宋_GB2312" w:eastAsia="仿宋_GB2312"/>
          <w:color w:val="000000"/>
          <w:sz w:val="20"/>
          <w:u w:val="single" w:color="000000"/>
        </w:rPr>
      </w:pPr>
      <w:r>
        <w:rPr>
          <w:rFonts w:hint="eastAsia" w:ascii="仿宋_GB2312" w:eastAsia="仿宋_GB2312"/>
          <w:color w:val="000000"/>
          <w:sz w:val="32"/>
        </w:rPr>
        <w:t>甲方（建设单位）：</w:t>
      </w:r>
      <w:r>
        <w:rPr>
          <w:rFonts w:hint="eastAsia" w:ascii="仿宋_GB2312" w:eastAsia="仿宋_GB2312"/>
          <w:color w:val="000000"/>
          <w:sz w:val="32"/>
          <w:u w:val="single" w:color="000000"/>
        </w:rPr>
        <w:t xml:space="preserve"> </w:t>
      </w:r>
      <w:r>
        <w:rPr>
          <w:rFonts w:hint="eastAsia" w:ascii="仿宋_GB2312" w:eastAsia="仿宋_GB2312"/>
          <w:color w:val="000000"/>
          <w:sz w:val="32"/>
          <w:u w:val="single"/>
        </w:rPr>
        <w:t xml:space="preserve">                          </w:t>
      </w:r>
      <w:r>
        <w:rPr>
          <w:rFonts w:hint="eastAsia" w:ascii="仿宋_GB2312" w:eastAsia="仿宋_GB2312"/>
          <w:color w:val="000000"/>
          <w:sz w:val="32"/>
          <w:u w:val="single" w:color="000000"/>
        </w:rPr>
        <w:t xml:space="preserve">  </w:t>
      </w:r>
    </w:p>
    <w:p w14:paraId="5F306036">
      <w:pPr>
        <w:snapToGrid w:val="0"/>
        <w:spacing w:line="360" w:lineRule="auto"/>
        <w:textAlignment w:val="baseline"/>
        <w:rPr>
          <w:rFonts w:ascii="仿宋_GB2312" w:eastAsia="仿宋_GB2312"/>
          <w:color w:val="000000"/>
          <w:sz w:val="32"/>
          <w:u w:val="single"/>
        </w:rPr>
      </w:pPr>
      <w:r>
        <w:rPr>
          <w:rFonts w:hint="eastAsia" w:ascii="仿宋_GB2312" w:eastAsia="仿宋_GB2312"/>
          <w:color w:val="000000"/>
          <w:sz w:val="32"/>
        </w:rPr>
        <w:t>乙方（总包单位）：</w:t>
      </w:r>
      <w:r>
        <w:rPr>
          <w:rFonts w:hint="eastAsia" w:ascii="仿宋_GB2312" w:eastAsia="仿宋_GB2312"/>
          <w:color w:val="000000"/>
          <w:sz w:val="32"/>
          <w:u w:val="single" w:color="000000"/>
        </w:rPr>
        <w:t xml:space="preserve"> </w:t>
      </w:r>
      <w:r>
        <w:rPr>
          <w:rFonts w:hint="eastAsia" w:ascii="仿宋_GB2312" w:eastAsia="仿宋_GB2312"/>
          <w:color w:val="000000"/>
          <w:sz w:val="32"/>
          <w:u w:val="single"/>
        </w:rPr>
        <w:t xml:space="preserve">                            </w:t>
      </w:r>
    </w:p>
    <w:p w14:paraId="297C112F">
      <w:pPr>
        <w:snapToGrid w:val="0"/>
        <w:spacing w:line="360" w:lineRule="auto"/>
        <w:textAlignment w:val="baseline"/>
        <w:rPr>
          <w:rFonts w:ascii="仿宋_GB2312" w:eastAsia="仿宋_GB2312"/>
          <w:color w:val="000000"/>
          <w:sz w:val="20"/>
        </w:rPr>
      </w:pPr>
      <w:r>
        <w:rPr>
          <w:rFonts w:hint="eastAsia" w:ascii="仿宋_GB2312" w:eastAsia="仿宋_GB2312"/>
          <w:color w:val="000000"/>
          <w:sz w:val="32"/>
        </w:rPr>
        <w:t>丙方（开户银行）：</w:t>
      </w:r>
      <w:r>
        <w:rPr>
          <w:rFonts w:hint="eastAsia" w:ascii="仿宋_GB2312" w:eastAsia="仿宋_GB2312"/>
          <w:color w:val="000000"/>
          <w:sz w:val="32"/>
          <w:u w:val="single" w:color="000000"/>
        </w:rPr>
        <w:t xml:space="preserve">                             </w:t>
      </w:r>
    </w:p>
    <w:p w14:paraId="3BE40951">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根据《山东省工程建设领域农民工工资专用账户管理实施细则》等规定，为保证农民工工资专用账户（以下简称专用账户）资金专款专用及农民工工资及时足额支付，甲、乙双方委托丙方为项目(以下简称该项目)专用账户资金监管人，为该项目专用账户资金提供管理，并按照本协议约定履行相关信息披露、报告等职责。甲、乙、丙三方经友好协商，达成以下协议，并共同遵守。</w:t>
      </w:r>
    </w:p>
    <w:p w14:paraId="17288442">
      <w:pPr>
        <w:snapToGrid w:val="0"/>
        <w:spacing w:line="360" w:lineRule="auto"/>
        <w:ind w:firstLine="400" w:firstLineChars="200"/>
        <w:textAlignment w:val="baseline"/>
        <w:rPr>
          <w:rFonts w:ascii="仿宋_GB2312" w:eastAsia="仿宋_GB2312"/>
          <w:color w:val="000000"/>
          <w:sz w:val="20"/>
        </w:rPr>
      </w:pPr>
    </w:p>
    <w:p w14:paraId="218764E4">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第一章  专用账户开立及管理</w:t>
      </w:r>
    </w:p>
    <w:p w14:paraId="0A2ADDC9">
      <w:pPr>
        <w:snapToGrid w:val="0"/>
        <w:spacing w:line="360" w:lineRule="auto"/>
        <w:jc w:val="center"/>
        <w:textAlignment w:val="baseline"/>
        <w:rPr>
          <w:rFonts w:hint="eastAsia" w:ascii="黑体" w:hAnsi="黑体" w:eastAsia="黑体"/>
          <w:color w:val="000000"/>
          <w:sz w:val="20"/>
        </w:rPr>
      </w:pPr>
    </w:p>
    <w:p w14:paraId="5EF3FEDD">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第一条  乙方须按《山东省工程建设领域农民工工资专用账户管理实施细则》等规定，在丙方处开立专用账户，专项用于支付该项目农民工工资，不得擅自动用专用账户资金。</w:t>
      </w:r>
    </w:p>
    <w:p w14:paraId="7552E076">
      <w:pPr>
        <w:snapToGrid w:val="0"/>
        <w:spacing w:line="360" w:lineRule="auto"/>
        <w:ind w:left="638" w:leftChars="304"/>
        <w:textAlignment w:val="baseline"/>
        <w:rPr>
          <w:rFonts w:ascii="仿宋_GB2312" w:eastAsia="仿宋_GB2312"/>
          <w:color w:val="000000"/>
          <w:sz w:val="20"/>
          <w:u w:val="single" w:color="000000"/>
        </w:rPr>
      </w:pPr>
      <w:r>
        <w:rPr>
          <w:rFonts w:hint="eastAsia" w:ascii="仿宋_GB2312" w:eastAsia="仿宋_GB2312"/>
          <w:color w:val="000000"/>
          <w:sz w:val="32"/>
        </w:rPr>
        <w:t>专用账户开户行（支行）：</w:t>
      </w:r>
      <w:r>
        <w:rPr>
          <w:rFonts w:hint="eastAsia" w:ascii="仿宋_GB2312" w:eastAsia="仿宋_GB2312"/>
          <w:color w:val="000000"/>
          <w:sz w:val="32"/>
          <w:u w:val="single" w:color="000000"/>
        </w:rPr>
        <w:t xml:space="preserve">                        </w:t>
      </w:r>
    </w:p>
    <w:p w14:paraId="481D5384">
      <w:pPr>
        <w:snapToGrid w:val="0"/>
        <w:spacing w:line="360" w:lineRule="auto"/>
        <w:ind w:left="638" w:leftChars="304"/>
        <w:textAlignment w:val="baseline"/>
        <w:rPr>
          <w:rFonts w:ascii="仿宋_GB2312" w:eastAsia="仿宋_GB2312"/>
          <w:color w:val="000000"/>
          <w:sz w:val="20"/>
          <w:u w:val="single" w:color="000000"/>
        </w:rPr>
      </w:pPr>
      <w:r>
        <w:rPr>
          <w:rFonts w:hint="eastAsia" w:ascii="仿宋_GB2312" w:eastAsia="仿宋_GB2312"/>
          <w:color w:val="000000"/>
          <w:sz w:val="32"/>
        </w:rPr>
        <w:t>专用账户名称：</w:t>
      </w:r>
      <w:r>
        <w:rPr>
          <w:rFonts w:hint="eastAsia" w:ascii="仿宋_GB2312" w:eastAsia="仿宋_GB2312"/>
          <w:color w:val="000000"/>
          <w:sz w:val="32"/>
          <w:u w:val="single" w:color="000000"/>
        </w:rPr>
        <w:t xml:space="preserve">                                 </w:t>
      </w:r>
    </w:p>
    <w:p w14:paraId="6AD73A14">
      <w:pPr>
        <w:snapToGrid w:val="0"/>
        <w:spacing w:line="360" w:lineRule="auto"/>
        <w:ind w:left="638" w:leftChars="304"/>
        <w:textAlignment w:val="baseline"/>
        <w:rPr>
          <w:rFonts w:ascii="仿宋_GB2312" w:eastAsia="仿宋_GB2312"/>
          <w:color w:val="000000"/>
          <w:sz w:val="20"/>
          <w:u w:val="single" w:color="000000"/>
        </w:rPr>
      </w:pPr>
      <w:r>
        <w:rPr>
          <w:rFonts w:hint="eastAsia" w:ascii="仿宋_GB2312" w:eastAsia="仿宋_GB2312"/>
          <w:color w:val="000000"/>
          <w:sz w:val="32"/>
        </w:rPr>
        <w:t>专用账户账号：</w:t>
      </w:r>
      <w:r>
        <w:rPr>
          <w:rFonts w:hint="eastAsia" w:ascii="仿宋_GB2312" w:eastAsia="仿宋_GB2312"/>
          <w:color w:val="000000"/>
          <w:sz w:val="32"/>
          <w:u w:val="single" w:color="000000"/>
        </w:rPr>
        <w:t xml:space="preserve">                                 </w:t>
      </w:r>
    </w:p>
    <w:p w14:paraId="6EA3C3A4">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第二条  专用账户存续期间，丙方负责对专用账户进行管理，根据本协议约定的条件和有关规定办理资金支付，在业务系统中对账户进行特殊标识，并在相关网络查控平台、电子化专线信息传输系统等作出整体限制查封、冻结或者划拨设置。</w:t>
      </w:r>
    </w:p>
    <w:p w14:paraId="02373D51">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第三条  甲方、乙方授权丙方将专用账户基本信息、专用账户进出账信息、工资支付信息等，于实际业务发生后及时准确上传至农民工工资支付监管平台。</w:t>
      </w:r>
    </w:p>
    <w:p w14:paraId="29878A9B">
      <w:pPr>
        <w:snapToGrid w:val="0"/>
        <w:spacing w:line="360" w:lineRule="auto"/>
        <w:ind w:firstLine="400" w:firstLineChars="200"/>
        <w:textAlignment w:val="baseline"/>
        <w:rPr>
          <w:rFonts w:ascii="仿宋_GB2312" w:eastAsia="仿宋_GB2312"/>
          <w:color w:val="000000"/>
          <w:sz w:val="20"/>
        </w:rPr>
      </w:pPr>
    </w:p>
    <w:p w14:paraId="48D3876D">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第二章  托管职责、期限</w:t>
      </w:r>
    </w:p>
    <w:p w14:paraId="2FE24DFE">
      <w:pPr>
        <w:snapToGrid w:val="0"/>
        <w:spacing w:line="360" w:lineRule="auto"/>
        <w:jc w:val="center"/>
        <w:textAlignment w:val="baseline"/>
        <w:rPr>
          <w:rFonts w:hint="eastAsia" w:ascii="黑体" w:hAnsi="黑体" w:eastAsia="黑体"/>
          <w:color w:val="000000"/>
          <w:sz w:val="20"/>
        </w:rPr>
      </w:pPr>
    </w:p>
    <w:p w14:paraId="722F3A11">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第四条  丙方作为受托银行，应履行以下职责：</w:t>
      </w:r>
    </w:p>
    <w:p w14:paraId="2F83BC40">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（一）开立专用账户，保管托管资金，确保资金安全；</w:t>
      </w:r>
    </w:p>
    <w:p w14:paraId="0EB252D0">
      <w:pPr>
        <w:snapToGrid w:val="0"/>
        <w:spacing w:line="360" w:lineRule="auto"/>
        <w:ind w:firstLine="640" w:firstLineChars="200"/>
        <w:jc w:val="left"/>
        <w:textAlignment w:val="baseline"/>
        <w:rPr>
          <w:rFonts w:ascii="仿宋_GB2312" w:eastAsia="仿宋_GB2312"/>
          <w:color w:val="000000"/>
          <w:sz w:val="20"/>
        </w:rPr>
      </w:pPr>
      <w:r>
        <w:rPr>
          <w:rFonts w:hint="eastAsia" w:ascii="仿宋_GB2312" w:eastAsia="仿宋_GB2312"/>
          <w:color w:val="000000"/>
          <w:sz w:val="32"/>
        </w:rPr>
        <w:t>（二）每月将专用账户对账单报甲方、乙方。</w:t>
      </w:r>
    </w:p>
    <w:p w14:paraId="2F0608BD">
      <w:pPr>
        <w:snapToGrid w:val="0"/>
        <w:spacing w:line="360" w:lineRule="auto"/>
        <w:ind w:firstLine="640" w:firstLineChars="200"/>
        <w:jc w:val="left"/>
        <w:textAlignment w:val="baseline"/>
        <w:rPr>
          <w:rFonts w:ascii="仿宋_GB2312" w:eastAsia="仿宋_GB2312"/>
          <w:color w:val="000000"/>
          <w:sz w:val="20"/>
        </w:rPr>
      </w:pPr>
      <w:r>
        <w:rPr>
          <w:rFonts w:hint="eastAsia" w:ascii="仿宋_GB2312" w:eastAsia="仿宋_GB2312"/>
          <w:color w:val="000000"/>
          <w:sz w:val="32"/>
        </w:rPr>
        <w:t>甲方联系人：</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p>
    <w:p w14:paraId="37EE76C8">
      <w:pPr>
        <w:snapToGrid w:val="0"/>
        <w:spacing w:line="360" w:lineRule="auto"/>
        <w:ind w:firstLine="960" w:firstLineChars="300"/>
        <w:jc w:val="left"/>
        <w:textAlignment w:val="baseline"/>
        <w:rPr>
          <w:rFonts w:ascii="仿宋_GB2312" w:eastAsia="仿宋_GB2312"/>
          <w:color w:val="000000"/>
          <w:sz w:val="20"/>
        </w:rPr>
      </w:pPr>
      <w:r>
        <w:rPr>
          <w:rFonts w:hint="eastAsia" w:ascii="仿宋_GB2312" w:eastAsia="仿宋_GB2312"/>
          <w:color w:val="000000"/>
          <w:sz w:val="32"/>
        </w:rPr>
        <w:t>联系电话：</w:t>
      </w:r>
      <w:r>
        <w:rPr>
          <w:rFonts w:hint="eastAsia" w:ascii="仿宋_GB2312" w:eastAsia="仿宋_GB2312"/>
          <w:color w:val="000000"/>
          <w:sz w:val="32"/>
          <w:u w:val="single" w:color="000000"/>
        </w:rPr>
        <w:t xml:space="preserve">                                   </w:t>
      </w:r>
    </w:p>
    <w:p w14:paraId="2A73D4A3">
      <w:pPr>
        <w:snapToGrid w:val="0"/>
        <w:spacing w:line="360" w:lineRule="auto"/>
        <w:ind w:firstLine="960" w:firstLineChars="300"/>
        <w:jc w:val="left"/>
        <w:textAlignment w:val="baseline"/>
        <w:rPr>
          <w:rFonts w:ascii="仿宋_GB2312" w:eastAsia="仿宋_GB2312"/>
          <w:color w:val="000000"/>
          <w:sz w:val="20"/>
        </w:rPr>
      </w:pPr>
      <w:r>
        <w:rPr>
          <w:rFonts w:hint="eastAsia" w:ascii="仿宋_GB2312" w:eastAsia="仿宋_GB2312"/>
          <w:color w:val="000000"/>
          <w:sz w:val="32"/>
        </w:rPr>
        <w:t>地址：</w:t>
      </w:r>
      <w:r>
        <w:rPr>
          <w:rFonts w:hint="eastAsia" w:ascii="仿宋_GB2312" w:eastAsia="仿宋_GB2312"/>
          <w:color w:val="000000"/>
          <w:sz w:val="32"/>
          <w:u w:val="single" w:color="000000"/>
        </w:rPr>
        <w:t xml:space="preserve">                                       </w:t>
      </w:r>
    </w:p>
    <w:p w14:paraId="782307F3">
      <w:pPr>
        <w:snapToGrid w:val="0"/>
        <w:spacing w:line="360" w:lineRule="auto"/>
        <w:ind w:firstLine="960" w:firstLineChars="300"/>
        <w:jc w:val="left"/>
        <w:textAlignment w:val="baseline"/>
        <w:rPr>
          <w:rFonts w:ascii="仿宋_GB2312" w:eastAsia="仿宋_GB2312"/>
          <w:color w:val="000000"/>
          <w:sz w:val="20"/>
        </w:rPr>
      </w:pPr>
      <w:r>
        <w:rPr>
          <w:rFonts w:hint="eastAsia" w:ascii="仿宋_GB2312" w:eastAsia="仿宋_GB2312"/>
          <w:color w:val="000000"/>
          <w:sz w:val="32"/>
        </w:rPr>
        <w:t>电子邮箱：</w:t>
      </w:r>
      <w:r>
        <w:rPr>
          <w:rFonts w:hint="eastAsia" w:ascii="仿宋_GB2312" w:eastAsia="仿宋_GB2312"/>
          <w:color w:val="000000"/>
          <w:sz w:val="32"/>
          <w:u w:val="single" w:color="000000"/>
        </w:rPr>
        <w:t xml:space="preserve">                                   </w:t>
      </w:r>
    </w:p>
    <w:p w14:paraId="70CA6D9B">
      <w:pPr>
        <w:snapToGrid w:val="0"/>
        <w:spacing w:line="360" w:lineRule="auto"/>
        <w:ind w:firstLine="640" w:firstLineChars="200"/>
        <w:jc w:val="left"/>
        <w:textAlignment w:val="baseline"/>
        <w:rPr>
          <w:rFonts w:ascii="仿宋_GB2312" w:eastAsia="仿宋_GB2312"/>
          <w:color w:val="000000"/>
          <w:sz w:val="20"/>
        </w:rPr>
      </w:pPr>
      <w:r>
        <w:rPr>
          <w:rFonts w:hint="eastAsia" w:ascii="仿宋_GB2312" w:eastAsia="仿宋_GB2312"/>
          <w:color w:val="000000"/>
          <w:sz w:val="32"/>
        </w:rPr>
        <w:t>乙方联系人：</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p>
    <w:p w14:paraId="5634DBCF">
      <w:pPr>
        <w:snapToGrid w:val="0"/>
        <w:spacing w:line="360" w:lineRule="auto"/>
        <w:ind w:firstLine="960" w:firstLineChars="300"/>
        <w:jc w:val="left"/>
        <w:textAlignment w:val="baseline"/>
        <w:rPr>
          <w:rFonts w:ascii="仿宋_GB2312" w:eastAsia="仿宋_GB2312"/>
          <w:color w:val="000000"/>
          <w:sz w:val="20"/>
        </w:rPr>
      </w:pPr>
      <w:r>
        <w:rPr>
          <w:rFonts w:hint="eastAsia" w:ascii="仿宋_GB2312" w:eastAsia="仿宋_GB2312"/>
          <w:color w:val="000000"/>
          <w:sz w:val="32"/>
        </w:rPr>
        <w:t>联系电话：</w:t>
      </w:r>
      <w:r>
        <w:rPr>
          <w:rFonts w:hint="eastAsia" w:ascii="仿宋_GB2312" w:eastAsia="仿宋_GB2312"/>
          <w:color w:val="000000"/>
          <w:sz w:val="32"/>
          <w:u w:val="single" w:color="000000"/>
        </w:rPr>
        <w:t xml:space="preserve">                                   </w:t>
      </w:r>
    </w:p>
    <w:p w14:paraId="4E879C48">
      <w:pPr>
        <w:snapToGrid w:val="0"/>
        <w:spacing w:line="360" w:lineRule="auto"/>
        <w:ind w:firstLine="960" w:firstLineChars="300"/>
        <w:jc w:val="left"/>
        <w:textAlignment w:val="baseline"/>
        <w:rPr>
          <w:rFonts w:ascii="仿宋_GB2312" w:eastAsia="仿宋_GB2312"/>
          <w:color w:val="000000"/>
          <w:sz w:val="20"/>
        </w:rPr>
      </w:pPr>
      <w:r>
        <w:rPr>
          <w:rFonts w:hint="eastAsia" w:ascii="仿宋_GB2312" w:eastAsia="仿宋_GB2312"/>
          <w:color w:val="000000"/>
          <w:sz w:val="32"/>
        </w:rPr>
        <w:t>地址：</w:t>
      </w:r>
      <w:r>
        <w:rPr>
          <w:rFonts w:hint="eastAsia" w:ascii="仿宋_GB2312" w:eastAsia="仿宋_GB2312"/>
          <w:color w:val="000000"/>
          <w:sz w:val="32"/>
          <w:u w:val="single" w:color="000000"/>
        </w:rPr>
        <w:t xml:space="preserve">                                       </w:t>
      </w:r>
    </w:p>
    <w:p w14:paraId="347E3802">
      <w:pPr>
        <w:snapToGrid w:val="0"/>
        <w:spacing w:line="360" w:lineRule="auto"/>
        <w:ind w:firstLine="960" w:firstLineChars="300"/>
        <w:jc w:val="left"/>
        <w:textAlignment w:val="baseline"/>
        <w:rPr>
          <w:rFonts w:ascii="仿宋_GB2312" w:eastAsia="仿宋_GB2312"/>
          <w:color w:val="000000"/>
          <w:sz w:val="20"/>
        </w:rPr>
      </w:pPr>
      <w:r>
        <w:rPr>
          <w:rFonts w:hint="eastAsia" w:ascii="仿宋_GB2312" w:eastAsia="仿宋_GB2312"/>
          <w:color w:val="000000"/>
          <w:sz w:val="32"/>
        </w:rPr>
        <w:t>电子邮箱：</w:t>
      </w:r>
      <w:r>
        <w:rPr>
          <w:rFonts w:hint="eastAsia" w:ascii="仿宋_GB2312" w:eastAsia="仿宋_GB2312"/>
          <w:color w:val="000000"/>
          <w:sz w:val="32"/>
          <w:u w:val="single" w:color="000000"/>
        </w:rPr>
        <w:t xml:space="preserve">                                   </w:t>
      </w:r>
    </w:p>
    <w:p w14:paraId="32475458">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（三）按有关规定将专用账户基本信息、专用账户进出账信息、工资支付信息等，及时准确上传至农民工工资支付监管平台。</w:t>
      </w:r>
    </w:p>
    <w:p w14:paraId="134DDB8D">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（四）在资金到位且乙方提供审核后的工资支付表等工资发放资料后，丙方在2个工作日内，将农民工工资发放到位。</w:t>
      </w:r>
    </w:p>
    <w:p w14:paraId="23D72F26">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五）支持农民工使用本人具有金融功能的社会保障卡或者现有银行卡领取工资，不得拒绝其使用他行社会保障卡银行账户或他行银行卡，不得强制要求农民工重新办理工资卡。农民工使用他行社会保障卡银行账户或他行银行卡的，鼓励执行优惠的跨行代发工资手续费率。农民工本人确需办理新工资卡的，免费为农民工办理，农民工工资卡不收取成本费和年费。</w:t>
      </w:r>
    </w:p>
    <w:p w14:paraId="00888685">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第五条  丙方对专用账户内资金履行监督职责的期限自专用账户设立之日起至该专户撤销止。</w:t>
      </w:r>
    </w:p>
    <w:p w14:paraId="57C780C2">
      <w:pPr>
        <w:snapToGrid w:val="0"/>
        <w:spacing w:line="360" w:lineRule="auto"/>
        <w:ind w:firstLine="400" w:firstLineChars="200"/>
        <w:textAlignment w:val="baseline"/>
        <w:rPr>
          <w:rFonts w:ascii="仿宋_GB2312" w:eastAsia="仿宋_GB2312"/>
          <w:color w:val="000000"/>
          <w:sz w:val="20"/>
        </w:rPr>
      </w:pPr>
    </w:p>
    <w:p w14:paraId="7754E1C7">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第三章  资金托管应提供的资料</w:t>
      </w:r>
    </w:p>
    <w:p w14:paraId="314A9855">
      <w:pPr>
        <w:snapToGrid w:val="0"/>
        <w:spacing w:line="360" w:lineRule="auto"/>
        <w:jc w:val="center"/>
        <w:textAlignment w:val="baseline"/>
        <w:rPr>
          <w:rFonts w:hint="eastAsia" w:ascii="黑体" w:hAnsi="黑体" w:eastAsia="黑体"/>
          <w:color w:val="000000"/>
          <w:sz w:val="20"/>
        </w:rPr>
      </w:pPr>
    </w:p>
    <w:p w14:paraId="7AF786F0">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第六条  乙方须向丙方提供《建设工程施工合同》、每月农民工工资支付表等工资发放材料。</w:t>
      </w:r>
    </w:p>
    <w:p w14:paraId="4F9C5C30">
      <w:pPr>
        <w:snapToGrid w:val="0"/>
        <w:spacing w:line="360" w:lineRule="auto"/>
        <w:ind w:firstLine="400" w:firstLineChars="200"/>
        <w:textAlignment w:val="baseline"/>
        <w:rPr>
          <w:rFonts w:ascii="仿宋_GB2312" w:eastAsia="仿宋_GB2312"/>
          <w:color w:val="000000"/>
          <w:sz w:val="20"/>
        </w:rPr>
      </w:pPr>
    </w:p>
    <w:p w14:paraId="403DB210">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第四章  托管资金收付</w:t>
      </w:r>
    </w:p>
    <w:p w14:paraId="0C3B5BCA">
      <w:pPr>
        <w:snapToGrid w:val="0"/>
        <w:spacing w:line="360" w:lineRule="auto"/>
        <w:jc w:val="center"/>
        <w:textAlignment w:val="baseline"/>
        <w:rPr>
          <w:rFonts w:hint="eastAsia" w:ascii="黑体" w:hAnsi="黑体" w:eastAsia="黑体"/>
          <w:color w:val="000000"/>
          <w:sz w:val="20"/>
        </w:rPr>
      </w:pPr>
    </w:p>
    <w:p w14:paraId="6E993BC2">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第七条  甲方应按施工合同（或补充协议）约定，按时足额将人工费用划入专用账户（划入形式不限），人工费用的拨付周期不超过一个月。甲方未按约定拨付人工费用时，丙方应当及时通知甲方和乙方。</w:t>
      </w:r>
    </w:p>
    <w:p w14:paraId="585D86E6">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第八条  乙方委托丙方代发农民工工资，代发的农民工个人银行账户信息由乙方提供。乙方负责将农民工工资支付表等工资发放材料按丙方通用代发格式报丙方，由丙方从专用账户（在人工费用拨付累计额度内）直接划拨至农民工个人银行卡上。工资支付表、农民工个人银行账户信息等的真实性及准确性由乙方负责。</w:t>
      </w:r>
    </w:p>
    <w:p w14:paraId="307FC806">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第九条  专用账户资金实行专款专用，不得挪作他用。丙方不得将专用账户资金转入除本项目农民工本人银行账户以外的账户，不得为专用账户提供现金支取和其他转账结算服务。</w:t>
      </w:r>
    </w:p>
    <w:p w14:paraId="643879AB">
      <w:pPr>
        <w:snapToGrid w:val="0"/>
        <w:spacing w:line="360" w:lineRule="auto"/>
        <w:ind w:firstLine="400" w:firstLineChars="200"/>
        <w:textAlignment w:val="baseline"/>
        <w:rPr>
          <w:rFonts w:ascii="仿宋_GB2312" w:eastAsia="仿宋_GB2312"/>
          <w:color w:val="000000"/>
          <w:sz w:val="20"/>
        </w:rPr>
      </w:pPr>
    </w:p>
    <w:p w14:paraId="08182253">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第五章  专用账户的撤销</w:t>
      </w:r>
    </w:p>
    <w:p w14:paraId="39F9A2FF">
      <w:pPr>
        <w:snapToGrid w:val="0"/>
        <w:spacing w:line="360" w:lineRule="auto"/>
        <w:jc w:val="center"/>
        <w:textAlignment w:val="baseline"/>
        <w:rPr>
          <w:rFonts w:hint="eastAsia" w:ascii="黑体" w:hAnsi="黑体" w:eastAsia="黑体"/>
          <w:color w:val="000000"/>
          <w:sz w:val="20"/>
        </w:rPr>
      </w:pPr>
    </w:p>
    <w:p w14:paraId="536CB7CF">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第十条  丙方在收到专用账户监管部门取消账户特殊标识的通知后取消标识。乙方配合提供相关资料后，及时完成专用账户撤销手续。专用账户余额由丙方划至乙方账户。</w:t>
      </w:r>
    </w:p>
    <w:p w14:paraId="55120D9E">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账户开户行：</w:t>
      </w:r>
      <w:r>
        <w:rPr>
          <w:rFonts w:hint="eastAsia" w:ascii="仿宋_GB2312" w:eastAsia="仿宋_GB2312"/>
          <w:color w:val="000000"/>
          <w:sz w:val="32"/>
          <w:u w:val="single" w:color="000000"/>
        </w:rPr>
        <w:t xml:space="preserve">                                    </w:t>
      </w:r>
    </w:p>
    <w:p w14:paraId="588D2CF7">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账户名称：</w:t>
      </w:r>
      <w:r>
        <w:rPr>
          <w:rFonts w:hint="eastAsia" w:ascii="仿宋_GB2312" w:eastAsia="仿宋_GB2312"/>
          <w:color w:val="000000"/>
          <w:sz w:val="32"/>
          <w:u w:val="single" w:color="000000"/>
        </w:rPr>
        <w:t xml:space="preserve">                                      </w:t>
      </w:r>
    </w:p>
    <w:p w14:paraId="1F69F671">
      <w:pPr>
        <w:snapToGrid w:val="0"/>
        <w:spacing w:line="360" w:lineRule="auto"/>
        <w:ind w:firstLine="640" w:firstLineChars="200"/>
        <w:textAlignment w:val="baseline"/>
        <w:rPr>
          <w:rFonts w:ascii="仿宋_GB2312" w:eastAsia="仿宋_GB2312"/>
          <w:color w:val="000000"/>
          <w:sz w:val="20"/>
          <w:u w:val="single"/>
        </w:rPr>
      </w:pPr>
      <w:r>
        <w:rPr>
          <w:rFonts w:hint="eastAsia" w:ascii="仿宋_GB2312" w:eastAsia="仿宋_GB2312"/>
          <w:color w:val="000000"/>
          <w:sz w:val="32"/>
        </w:rPr>
        <w:t>账号：</w:t>
      </w:r>
      <w:r>
        <w:rPr>
          <w:rFonts w:hint="eastAsia" w:ascii="仿宋_GB2312" w:eastAsia="仿宋_GB2312"/>
          <w:color w:val="000000"/>
          <w:sz w:val="32"/>
          <w:u w:val="single"/>
        </w:rPr>
        <w:t xml:space="preserve">                                          </w:t>
      </w:r>
    </w:p>
    <w:p w14:paraId="0D4C9BB3">
      <w:pPr>
        <w:snapToGrid w:val="0"/>
        <w:spacing w:line="360" w:lineRule="auto"/>
        <w:ind w:firstLine="400" w:firstLineChars="200"/>
        <w:textAlignment w:val="baseline"/>
        <w:rPr>
          <w:rFonts w:ascii="仿宋_GB2312" w:eastAsia="仿宋_GB2312"/>
          <w:color w:val="000000"/>
          <w:sz w:val="20"/>
        </w:rPr>
      </w:pPr>
    </w:p>
    <w:p w14:paraId="41C6EE34">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第六章  协议生效与终止</w:t>
      </w:r>
    </w:p>
    <w:p w14:paraId="71348865">
      <w:pPr>
        <w:snapToGrid w:val="0"/>
        <w:spacing w:line="360" w:lineRule="auto"/>
        <w:jc w:val="center"/>
        <w:textAlignment w:val="baseline"/>
        <w:rPr>
          <w:rFonts w:hint="eastAsia" w:ascii="黑体" w:hAnsi="黑体" w:eastAsia="黑体"/>
          <w:color w:val="000000"/>
          <w:sz w:val="20"/>
        </w:rPr>
      </w:pPr>
    </w:p>
    <w:p w14:paraId="2A5B39C4">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第十一条  本协议经甲、乙、丙方法定代表人或其委托人签字并加盖公章之日起生效。专用账户撤销后该协议终止。</w:t>
      </w:r>
    </w:p>
    <w:p w14:paraId="721629ED">
      <w:pPr>
        <w:snapToGrid w:val="0"/>
        <w:spacing w:line="360" w:lineRule="auto"/>
        <w:ind w:firstLine="400" w:firstLineChars="200"/>
        <w:textAlignment w:val="baseline"/>
        <w:rPr>
          <w:rFonts w:ascii="仿宋_GB2312" w:eastAsia="仿宋_GB2312"/>
          <w:color w:val="000000"/>
          <w:sz w:val="20"/>
        </w:rPr>
      </w:pPr>
    </w:p>
    <w:p w14:paraId="3EA382C6">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第七章  违约责任和免责条件</w:t>
      </w:r>
    </w:p>
    <w:p w14:paraId="4ED0F1E9">
      <w:pPr>
        <w:snapToGrid w:val="0"/>
        <w:spacing w:line="360" w:lineRule="auto"/>
        <w:jc w:val="center"/>
        <w:textAlignment w:val="baseline"/>
        <w:rPr>
          <w:rFonts w:hint="eastAsia" w:ascii="黑体" w:hAnsi="黑体" w:eastAsia="黑体"/>
          <w:color w:val="000000"/>
          <w:sz w:val="20"/>
        </w:rPr>
      </w:pPr>
    </w:p>
    <w:p w14:paraId="0D9060CC">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第十二条  丙方未按照协议约定的支付条件办理资金支付而形成的直接损失，丙方应承担赔偿责任。</w:t>
      </w:r>
    </w:p>
    <w:p w14:paraId="7C8C4F12">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第十三条  如果本协议任何一方因不可抗力不能履行本协议的，可根据不可抗力的影响部分或全部免除该方的责任。任何一方遭到不可抗力时，应及时通知其他方在合理期限内提供到不可抗力影响的证明，并采取适当措施防止其他方损失的扩大和保护资金的完整。</w:t>
      </w:r>
    </w:p>
    <w:p w14:paraId="4C7F83C4">
      <w:pPr>
        <w:snapToGrid w:val="0"/>
        <w:spacing w:line="360" w:lineRule="auto"/>
        <w:ind w:firstLine="400" w:firstLineChars="200"/>
        <w:textAlignment w:val="baseline"/>
        <w:rPr>
          <w:rFonts w:ascii="仿宋_GB2312" w:eastAsia="仿宋_GB2312"/>
          <w:color w:val="000000"/>
          <w:sz w:val="20"/>
        </w:rPr>
      </w:pPr>
    </w:p>
    <w:p w14:paraId="49680DD1">
      <w:pPr>
        <w:snapToGrid w:val="0"/>
        <w:spacing w:line="360" w:lineRule="auto"/>
        <w:jc w:val="center"/>
        <w:textAlignment w:val="baseline"/>
        <w:rPr>
          <w:rFonts w:hint="eastAsia" w:ascii="黑体" w:hAnsi="黑体" w:eastAsia="黑体"/>
          <w:color w:val="000000"/>
          <w:sz w:val="20"/>
        </w:rPr>
      </w:pPr>
      <w:r>
        <w:rPr>
          <w:rFonts w:hint="eastAsia" w:ascii="黑体" w:hAnsi="黑体" w:eastAsia="黑体"/>
          <w:color w:val="000000"/>
          <w:sz w:val="32"/>
        </w:rPr>
        <w:t>第八章  其他</w:t>
      </w:r>
    </w:p>
    <w:p w14:paraId="2A643D13">
      <w:pPr>
        <w:snapToGrid w:val="0"/>
        <w:spacing w:line="360" w:lineRule="auto"/>
        <w:jc w:val="center"/>
        <w:textAlignment w:val="baseline"/>
        <w:rPr>
          <w:rFonts w:hint="eastAsia" w:ascii="黑体" w:hAnsi="黑体" w:eastAsia="黑体"/>
          <w:color w:val="000000"/>
          <w:sz w:val="20"/>
        </w:rPr>
      </w:pPr>
    </w:p>
    <w:p w14:paraId="3A2ADC4D">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第十四条  除法律、法规规定，以及因本项目专用账户资金托管业务的需要和三方特别约定外，未经三方同意，协议任何一方不得向外提供涉及甲、乙、丙方商业秘密的资料。</w:t>
      </w:r>
    </w:p>
    <w:p w14:paraId="77D2B906">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第十五条  本协议生效后，甲、乙、丙三方中任何一方需要变更协议条款时，应经三方协商一致，并签订补充协议，补充协议与本协议具有同等法律效力。</w:t>
      </w:r>
    </w:p>
    <w:p w14:paraId="304ABC24">
      <w:pPr>
        <w:snapToGrid w:val="0"/>
        <w:spacing w:line="360" w:lineRule="auto"/>
        <w:ind w:firstLine="640" w:firstLineChars="200"/>
        <w:textAlignment w:val="baseline"/>
        <w:rPr>
          <w:rFonts w:ascii="仿宋_GB2312" w:eastAsia="仿宋_GB2312"/>
          <w:color w:val="000000"/>
          <w:sz w:val="20"/>
        </w:rPr>
      </w:pPr>
      <w:r>
        <w:rPr>
          <w:rFonts w:hint="eastAsia" w:ascii="仿宋_GB2312" w:eastAsia="仿宋_GB2312"/>
          <w:color w:val="000000"/>
          <w:sz w:val="32"/>
        </w:rPr>
        <w:t>第十六条  本协议一式六份，甲方、乙方、丙方各执两份，每份具有同等法律效力。</w:t>
      </w:r>
    </w:p>
    <w:p w14:paraId="51D143E8">
      <w:pPr>
        <w:snapToGrid w:val="0"/>
        <w:spacing w:line="360" w:lineRule="auto"/>
        <w:textAlignment w:val="baseline"/>
        <w:rPr>
          <w:rFonts w:ascii="仿宋_GB2312" w:eastAsia="仿宋_GB2312"/>
          <w:color w:val="000000"/>
          <w:sz w:val="20"/>
        </w:rPr>
      </w:pPr>
    </w:p>
    <w:p w14:paraId="2AFAB11E">
      <w:pPr>
        <w:snapToGrid w:val="0"/>
        <w:spacing w:line="360" w:lineRule="auto"/>
        <w:ind w:firstLine="643" w:firstLineChars="201"/>
        <w:textAlignment w:val="baseline"/>
        <w:rPr>
          <w:rFonts w:ascii="仿宋_GB2312" w:eastAsia="仿宋_GB2312"/>
          <w:color w:val="000000"/>
          <w:sz w:val="20"/>
        </w:rPr>
      </w:pPr>
      <w:r>
        <w:rPr>
          <w:rFonts w:hint="eastAsia" w:ascii="仿宋_GB2312" w:eastAsia="仿宋_GB2312"/>
          <w:color w:val="000000"/>
          <w:sz w:val="32"/>
        </w:rPr>
        <w:t>甲方：（签章）</w:t>
      </w:r>
    </w:p>
    <w:p w14:paraId="3038C6CA">
      <w:pPr>
        <w:snapToGrid w:val="0"/>
        <w:spacing w:line="360" w:lineRule="auto"/>
        <w:ind w:firstLine="963" w:firstLineChars="301"/>
        <w:textAlignment w:val="baseline"/>
        <w:rPr>
          <w:rFonts w:ascii="仿宋_GB2312" w:eastAsia="仿宋_GB2312"/>
          <w:color w:val="000000"/>
          <w:sz w:val="20"/>
        </w:rPr>
      </w:pPr>
      <w:r>
        <w:rPr>
          <w:rFonts w:hint="eastAsia" w:ascii="仿宋_GB2312" w:eastAsia="仿宋_GB2312"/>
          <w:color w:val="000000"/>
          <w:sz w:val="32"/>
        </w:rPr>
        <w:t>法定代表人（委托代理人）：</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p>
    <w:p w14:paraId="48BD6716">
      <w:pPr>
        <w:snapToGrid w:val="0"/>
        <w:spacing w:line="360" w:lineRule="auto"/>
        <w:ind w:firstLine="963" w:firstLineChars="301"/>
        <w:textAlignment w:val="baseline"/>
        <w:rPr>
          <w:rFonts w:ascii="仿宋_GB2312" w:eastAsia="仿宋_GB2312"/>
          <w:color w:val="000000"/>
          <w:sz w:val="20"/>
        </w:rPr>
      </w:pPr>
      <w:r>
        <w:rPr>
          <w:rFonts w:hint="eastAsia" w:ascii="仿宋_GB2312" w:eastAsia="仿宋_GB2312"/>
          <w:color w:val="000000"/>
          <w:sz w:val="32"/>
        </w:rPr>
        <w:t>签订日期：</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年</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月</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日</w:t>
      </w:r>
    </w:p>
    <w:p w14:paraId="4E767A7E">
      <w:pPr>
        <w:snapToGrid w:val="0"/>
        <w:spacing w:line="360" w:lineRule="auto"/>
        <w:ind w:firstLine="401" w:firstLineChars="201"/>
        <w:textAlignment w:val="baseline"/>
        <w:rPr>
          <w:rFonts w:ascii="仿宋_GB2312" w:eastAsia="仿宋_GB2312"/>
          <w:color w:val="000000"/>
          <w:sz w:val="20"/>
        </w:rPr>
      </w:pPr>
    </w:p>
    <w:p w14:paraId="4EE9366B">
      <w:pPr>
        <w:snapToGrid w:val="0"/>
        <w:spacing w:line="360" w:lineRule="auto"/>
        <w:ind w:firstLine="643" w:firstLineChars="201"/>
        <w:textAlignment w:val="baseline"/>
        <w:rPr>
          <w:rFonts w:ascii="仿宋_GB2312" w:eastAsia="仿宋_GB2312"/>
          <w:color w:val="000000"/>
          <w:sz w:val="20"/>
        </w:rPr>
      </w:pPr>
      <w:r>
        <w:rPr>
          <w:rFonts w:hint="eastAsia" w:ascii="仿宋_GB2312" w:eastAsia="仿宋_GB2312"/>
          <w:color w:val="000000"/>
          <w:sz w:val="32"/>
        </w:rPr>
        <w:t>乙方：（签章）</w:t>
      </w:r>
    </w:p>
    <w:p w14:paraId="52C2E582">
      <w:pPr>
        <w:snapToGrid w:val="0"/>
        <w:spacing w:line="360" w:lineRule="auto"/>
        <w:ind w:firstLine="963" w:firstLineChars="301"/>
        <w:textAlignment w:val="baseline"/>
        <w:rPr>
          <w:rFonts w:ascii="仿宋_GB2312" w:eastAsia="仿宋_GB2312"/>
          <w:color w:val="000000"/>
          <w:sz w:val="20"/>
        </w:rPr>
      </w:pPr>
      <w:r>
        <w:rPr>
          <w:rFonts w:hint="eastAsia" w:ascii="仿宋_GB2312" w:eastAsia="仿宋_GB2312"/>
          <w:color w:val="000000"/>
          <w:sz w:val="32"/>
        </w:rPr>
        <w:t>法定代表人（委托代理人）：</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p>
    <w:p w14:paraId="03AD5812">
      <w:pPr>
        <w:snapToGrid w:val="0"/>
        <w:spacing w:line="360" w:lineRule="auto"/>
        <w:ind w:firstLine="963" w:firstLineChars="301"/>
        <w:textAlignment w:val="baseline"/>
        <w:rPr>
          <w:rFonts w:ascii="仿宋_GB2312" w:eastAsia="仿宋_GB2312"/>
          <w:color w:val="000000"/>
          <w:sz w:val="20"/>
        </w:rPr>
      </w:pPr>
      <w:r>
        <w:rPr>
          <w:rFonts w:hint="eastAsia" w:ascii="仿宋_GB2312" w:eastAsia="仿宋_GB2312"/>
          <w:color w:val="000000"/>
          <w:sz w:val="32"/>
        </w:rPr>
        <w:t>签订日期：</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年</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月</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日</w:t>
      </w:r>
    </w:p>
    <w:p w14:paraId="35816B89">
      <w:pPr>
        <w:snapToGrid w:val="0"/>
        <w:spacing w:line="360" w:lineRule="auto"/>
        <w:ind w:firstLine="401" w:firstLineChars="201"/>
        <w:textAlignment w:val="baseline"/>
        <w:rPr>
          <w:rFonts w:ascii="仿宋_GB2312" w:eastAsia="仿宋_GB2312"/>
          <w:color w:val="000000"/>
          <w:sz w:val="20"/>
        </w:rPr>
      </w:pPr>
    </w:p>
    <w:p w14:paraId="57E93F6A">
      <w:pPr>
        <w:snapToGrid w:val="0"/>
        <w:spacing w:line="360" w:lineRule="auto"/>
        <w:ind w:firstLine="643" w:firstLineChars="201"/>
        <w:textAlignment w:val="baseline"/>
        <w:rPr>
          <w:rFonts w:ascii="仿宋_GB2312" w:eastAsia="仿宋_GB2312"/>
          <w:color w:val="000000"/>
          <w:sz w:val="20"/>
        </w:rPr>
      </w:pPr>
      <w:r>
        <w:rPr>
          <w:rFonts w:hint="eastAsia" w:ascii="仿宋_GB2312" w:eastAsia="仿宋_GB2312"/>
          <w:color w:val="000000"/>
          <w:sz w:val="32"/>
        </w:rPr>
        <w:t>丙方：（签章）</w:t>
      </w:r>
    </w:p>
    <w:p w14:paraId="36FA7B86">
      <w:pPr>
        <w:snapToGrid w:val="0"/>
        <w:spacing w:line="360" w:lineRule="auto"/>
        <w:ind w:firstLine="963" w:firstLineChars="301"/>
        <w:textAlignment w:val="baseline"/>
        <w:rPr>
          <w:rFonts w:ascii="仿宋_GB2312" w:eastAsia="仿宋_GB2312"/>
          <w:color w:val="000000"/>
          <w:sz w:val="20"/>
        </w:rPr>
      </w:pPr>
      <w:r>
        <w:rPr>
          <w:rFonts w:hint="eastAsia" w:ascii="仿宋_GB2312" w:eastAsia="仿宋_GB2312"/>
          <w:color w:val="000000"/>
          <w:sz w:val="32"/>
        </w:rPr>
        <w:t>法定代表人（委托代理人）：</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p>
    <w:p w14:paraId="121687FC">
      <w:pPr>
        <w:pStyle w:val="21"/>
        <w:shd w:val="clear" w:color="auto" w:fill="FFFFFF"/>
        <w:snapToGrid w:val="0"/>
        <w:spacing w:before="0" w:beforeAutospacing="0" w:after="0" w:afterAutospacing="0" w:line="360" w:lineRule="auto"/>
        <w:ind w:firstLine="640"/>
        <w:textAlignment w:val="baseline"/>
        <w:rPr>
          <w:rFonts w:hint="eastAsia" w:eastAsia="仿宋_GB2312"/>
          <w:color w:val="000000"/>
        </w:rPr>
      </w:pPr>
      <w:r>
        <w:rPr>
          <w:rFonts w:hint="eastAsia" w:ascii="仿宋_GB2312" w:eastAsia="仿宋_GB2312"/>
          <w:color w:val="000000"/>
          <w:sz w:val="32"/>
        </w:rPr>
        <w:t>签订日期：</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年</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月</w:t>
      </w:r>
      <w:r>
        <w:rPr>
          <w:rFonts w:hint="eastAsia" w:ascii="仿宋_GB2312" w:eastAsia="仿宋_GB2312"/>
          <w:color w:val="000000"/>
          <w:sz w:val="32"/>
          <w:u w:val="single" w:color="000000"/>
        </w:rPr>
        <w:t xml:space="preserve"> </w:t>
      </w:r>
      <w:r>
        <w:rPr>
          <w:rFonts w:ascii="仿宋_GB2312" w:eastAsia="仿宋_GB2312"/>
          <w:color w:val="000000"/>
          <w:sz w:val="32"/>
          <w:u w:val="single" w:color="000000"/>
        </w:rPr>
        <w:t xml:space="preserve"> </w:t>
      </w:r>
      <w:r>
        <w:rPr>
          <w:rFonts w:hint="eastAsia" w:ascii="仿宋_GB2312" w:eastAsia="仿宋_GB2312"/>
          <w:color w:val="000000"/>
          <w:sz w:val="32"/>
          <w:u w:val="single" w:color="000000"/>
        </w:rPr>
        <w:t xml:space="preserve"> </w:t>
      </w:r>
      <w:r>
        <w:rPr>
          <w:rFonts w:hint="eastAsia" w:ascii="仿宋_GB2312" w:eastAsia="仿宋_GB2312"/>
          <w:color w:val="000000"/>
          <w:sz w:val="32"/>
        </w:rPr>
        <w:t>日</w:t>
      </w:r>
    </w:p>
    <w:p w14:paraId="67AC00FD">
      <w:pPr>
        <w:rPr>
          <w:rFonts w:hint="eastAsia" w:ascii="黑体" w:hAnsi="黑体" w:eastAsia="黑体" w:cs="黑体"/>
          <w:sz w:val="32"/>
          <w:szCs w:val="32"/>
        </w:rPr>
      </w:pPr>
      <w:r>
        <w:rPr>
          <w:rFonts w:ascii="黑体" w:hAnsi="黑体" w:eastAsia="黑体" w:cs="黑体"/>
          <w:sz w:val="32"/>
          <w:szCs w:val="32"/>
        </w:rPr>
        <w:br w:type="page"/>
      </w:r>
    </w:p>
    <w:p w14:paraId="5EF45D0B">
      <w:pPr>
        <w:pStyle w:val="2"/>
        <w:ind w:left="420" w:firstLine="420"/>
      </w:pPr>
    </w:p>
    <w:p w14:paraId="23DB9F63">
      <w:pPr>
        <w:pStyle w:val="6"/>
        <w:spacing w:before="0" w:after="0" w:line="360" w:lineRule="auto"/>
        <w:jc w:val="center"/>
        <w:rPr>
          <w:rFonts w:hint="eastAsia" w:ascii="宋体" w:hAnsi="宋体"/>
          <w:i w:val="0"/>
          <w:iCs w:val="0"/>
        </w:rPr>
      </w:pPr>
      <w:r>
        <w:rPr>
          <w:rFonts w:hint="eastAsia" w:ascii="宋体" w:hAnsi="宋体"/>
          <w:i w:val="0"/>
          <w:iCs w:val="0"/>
        </w:rPr>
        <w:t xml:space="preserve">第五章 </w:t>
      </w:r>
      <w:bookmarkEnd w:id="155"/>
      <w:bookmarkEnd w:id="156"/>
      <w:r>
        <w:rPr>
          <w:rFonts w:hint="eastAsia" w:ascii="宋体" w:hAnsi="宋体"/>
          <w:i w:val="0"/>
          <w:iCs w:val="0"/>
        </w:rPr>
        <w:t>投标报价要求</w:t>
      </w:r>
      <w:bookmarkEnd w:id="157"/>
      <w:bookmarkEnd w:id="158"/>
      <w:bookmarkEnd w:id="159"/>
      <w:bookmarkEnd w:id="160"/>
      <w:bookmarkEnd w:id="161"/>
      <w:bookmarkEnd w:id="162"/>
      <w:bookmarkEnd w:id="163"/>
      <w:bookmarkEnd w:id="164"/>
      <w:bookmarkEnd w:id="165"/>
      <w:bookmarkEnd w:id="166"/>
      <w:bookmarkEnd w:id="167"/>
      <w:bookmarkEnd w:id="168"/>
    </w:p>
    <w:p w14:paraId="1A4DDA2C">
      <w:pPr>
        <w:pStyle w:val="6"/>
        <w:spacing w:line="440" w:lineRule="exact"/>
        <w:rPr>
          <w:rFonts w:hint="eastAsia" w:ascii="宋体" w:hAnsi="宋体" w:cs="TimesNewRomanPSMT"/>
          <w:bCs w:val="0"/>
          <w:i w:val="0"/>
          <w:iCs w:val="0"/>
          <w:sz w:val="24"/>
          <w:szCs w:val="24"/>
        </w:rPr>
      </w:pPr>
      <w:bookmarkStart w:id="1311" w:name="_Toc22002"/>
      <w:bookmarkStart w:id="1312" w:name="_Toc29049"/>
      <w:bookmarkStart w:id="1313" w:name="_Toc10292"/>
      <w:bookmarkStart w:id="1314" w:name="_Toc12962"/>
      <w:bookmarkStart w:id="1315" w:name="_Toc32090"/>
      <w:bookmarkStart w:id="1316" w:name="_Toc31115"/>
      <w:bookmarkStart w:id="1317" w:name="_Toc30645"/>
      <w:bookmarkStart w:id="1318" w:name="_Toc13861"/>
      <w:bookmarkStart w:id="1319" w:name="_Toc15712"/>
      <w:bookmarkStart w:id="1320" w:name="_Toc13478"/>
      <w:bookmarkStart w:id="1321" w:name="_Toc13043"/>
      <w:bookmarkStart w:id="1322" w:name="_Toc16069"/>
      <w:bookmarkStart w:id="1323" w:name="_Toc460268094"/>
      <w:bookmarkStart w:id="1324" w:name="_Toc144974836"/>
      <w:bookmarkStart w:id="1325" w:name="_Toc179632791"/>
      <w:bookmarkStart w:id="1326" w:name="_Toc152045774"/>
      <w:bookmarkStart w:id="1327" w:name="_Toc246997085"/>
      <w:bookmarkStart w:id="1328" w:name="_Toc446768885"/>
      <w:bookmarkStart w:id="1329" w:name="_Toc294124225"/>
      <w:bookmarkStart w:id="1330" w:name="_Toc247085857"/>
      <w:bookmarkStart w:id="1331" w:name="_Toc246996342"/>
      <w:bookmarkStart w:id="1332" w:name="_Toc483482271"/>
      <w:bookmarkStart w:id="1333" w:name="_Toc152042556"/>
      <w:bookmarkStart w:id="1334" w:name="_Toc485293292"/>
      <w:r>
        <w:rPr>
          <w:rFonts w:hint="eastAsia" w:ascii="宋体" w:hAnsi="宋体" w:cs="TimesNewRomanPSMT"/>
          <w:bCs w:val="0"/>
          <w:i w:val="0"/>
          <w:iCs w:val="0"/>
          <w:sz w:val="24"/>
          <w:szCs w:val="24"/>
        </w:rPr>
        <w:t>1 工程量清单部分</w:t>
      </w:r>
      <w:bookmarkEnd w:id="1311"/>
      <w:bookmarkEnd w:id="1312"/>
      <w:bookmarkEnd w:id="1313"/>
      <w:bookmarkEnd w:id="1314"/>
      <w:bookmarkEnd w:id="1315"/>
      <w:bookmarkEnd w:id="1316"/>
      <w:bookmarkEnd w:id="1317"/>
      <w:bookmarkEnd w:id="1318"/>
      <w:bookmarkEnd w:id="1319"/>
      <w:bookmarkEnd w:id="1320"/>
      <w:bookmarkEnd w:id="1321"/>
      <w:bookmarkEnd w:id="1322"/>
    </w:p>
    <w:p w14:paraId="405FF6E3">
      <w:pPr>
        <w:spacing w:after="120" w:line="360" w:lineRule="auto"/>
        <w:ind w:firstLine="422" w:firstLineChars="200"/>
        <w:rPr>
          <w:b/>
          <w:bCs/>
        </w:rPr>
      </w:pPr>
      <w:r>
        <w:rPr>
          <w:rFonts w:hint="eastAsia"/>
          <w:b/>
          <w:bCs/>
        </w:rPr>
        <w:t>1.1工程量清单说明</w:t>
      </w:r>
    </w:p>
    <w:p w14:paraId="4EFF56FC">
      <w:pPr>
        <w:snapToGrid w:val="0"/>
        <w:spacing w:line="440" w:lineRule="exact"/>
        <w:ind w:firstLine="525" w:firstLineChars="250"/>
        <w:rPr>
          <w:rFonts w:hint="eastAsia" w:ascii="宋体" w:hAnsi="宋体"/>
          <w:szCs w:val="21"/>
        </w:rPr>
      </w:pPr>
      <w:r>
        <w:rPr>
          <w:rFonts w:hint="eastAsia" w:ascii="宋体" w:hAnsi="宋体"/>
          <w:szCs w:val="21"/>
        </w:rPr>
        <w:t>1.1.1本工程量清单是依据中华人民共和国国家标准《建设工程工程量清单计价规范》（GB50500-2013）(以下简称“计价规范”)、中华人民共和国国家标准《房屋建筑与装饰工程工程量计算规范》（GB50854-2013）、中华人民共和国国家标准《通用安装工程工程量计算规范》（GB50856-2013）、2016版《山东省建设工程费用项目组成及计算规则》、《山东省建筑工程消耗量定额》（SD 01-31-2016）、《山东省安装工程消耗量定额》（SD 02-31-2016）以及招标文件中包括的设计施工图纸及施工现场情况等编制计价规范中规定的工程量计算规则中没有的子目，应在本章第1.4款约定；计价规范中规定的工程量计算规则中没有且本章第1.4款也未约定的，双方协商确定；协商不成的，可向省级或行业工程造价管理机构申请裁定或按照有合同约束力的图纸所标示尺寸的理论净量计算。计量采用中华人民共和国法定的基本计量单位。</w:t>
      </w:r>
    </w:p>
    <w:p w14:paraId="0F9FD245">
      <w:pPr>
        <w:snapToGrid w:val="0"/>
        <w:spacing w:line="440" w:lineRule="exact"/>
        <w:ind w:firstLine="525" w:firstLineChars="250"/>
        <w:rPr>
          <w:rFonts w:hint="eastAsia" w:ascii="宋体" w:hAnsi="宋体"/>
          <w:szCs w:val="21"/>
        </w:rPr>
      </w:pPr>
      <w:r>
        <w:rPr>
          <w:rFonts w:hint="eastAsia" w:ascii="宋体" w:hAnsi="宋体"/>
          <w:szCs w:val="21"/>
        </w:rPr>
        <w:t>1.1.2本工程量清单应与招标文件中的投标人须知、通用合同条款、专用合同条款、技术标准和要求及图纸等章节内容一起阅读和理解。</w:t>
      </w:r>
    </w:p>
    <w:p w14:paraId="0663627C">
      <w:pPr>
        <w:snapToGrid w:val="0"/>
        <w:spacing w:line="440" w:lineRule="exact"/>
        <w:ind w:firstLine="525" w:firstLineChars="250"/>
        <w:rPr>
          <w:rFonts w:hint="eastAsia" w:ascii="宋体" w:hAnsi="宋体"/>
          <w:szCs w:val="21"/>
        </w:rPr>
      </w:pPr>
      <w:r>
        <w:rPr>
          <w:rFonts w:hint="eastAsia" w:ascii="宋体" w:hAnsi="宋体"/>
          <w:szCs w:val="21"/>
        </w:rPr>
        <w:t>1.1.3本工程量清单仅是投标报价的共同基础，竣工结算的工程量按合同约定确定。合同价格的确定以及价款支付应遵循合同条款(包括通用合同条款和专用合同条款)、技术标准和要求以及本章的有关约定。</w:t>
      </w:r>
    </w:p>
    <w:p w14:paraId="6BC221AF">
      <w:pPr>
        <w:snapToGrid w:val="0"/>
        <w:spacing w:line="440" w:lineRule="exact"/>
        <w:ind w:firstLine="525" w:firstLineChars="250"/>
        <w:rPr>
          <w:rFonts w:hint="eastAsia" w:ascii="宋体" w:hAnsi="宋体"/>
          <w:szCs w:val="21"/>
        </w:rPr>
      </w:pPr>
      <w:r>
        <w:rPr>
          <w:rFonts w:hint="eastAsia" w:ascii="宋体" w:hAnsi="宋体"/>
          <w:szCs w:val="21"/>
        </w:rPr>
        <w:t>1.1.4补充子目的子目特征、计量单位、工程量计算规则及工作内容说明如下：</w:t>
      </w:r>
    </w:p>
    <w:p w14:paraId="27636F96">
      <w:pPr>
        <w:snapToGrid w:val="0"/>
        <w:spacing w:line="440" w:lineRule="exact"/>
        <w:ind w:firstLine="525" w:firstLineChars="250"/>
        <w:rPr>
          <w:rFonts w:hint="eastAsia" w:ascii="宋体" w:hAnsi="宋体"/>
          <w:szCs w:val="21"/>
        </w:rPr>
      </w:pPr>
      <w:r>
        <w:rPr>
          <w:rFonts w:hint="eastAsia" w:ascii="宋体" w:hAnsi="宋体"/>
          <w:szCs w:val="21"/>
          <w:u w:val="single"/>
        </w:rPr>
        <w:t xml:space="preserve">                     详见招标工程量清单                      </w:t>
      </w:r>
      <w:r>
        <w:rPr>
          <w:rFonts w:hint="eastAsia" w:ascii="宋体" w:hAnsi="宋体"/>
          <w:szCs w:val="21"/>
        </w:rPr>
        <w:t>。</w:t>
      </w:r>
    </w:p>
    <w:p w14:paraId="6FD35281">
      <w:pPr>
        <w:snapToGrid w:val="0"/>
        <w:spacing w:line="440" w:lineRule="exact"/>
        <w:ind w:firstLine="525" w:firstLineChars="250"/>
        <w:rPr>
          <w:rFonts w:hint="eastAsia" w:ascii="宋体" w:hAnsi="宋体"/>
          <w:szCs w:val="21"/>
        </w:rPr>
      </w:pPr>
      <w:r>
        <w:rPr>
          <w:rFonts w:hint="eastAsia" w:ascii="宋体" w:hAnsi="宋体"/>
          <w:szCs w:val="21"/>
        </w:rPr>
        <w:t>1.1.5本条第1.1款中约定的计量和计价规则适用于合同履约过程中工程量计量与价款支付、工程变更、索赔和工程结算。</w:t>
      </w:r>
    </w:p>
    <w:p w14:paraId="6D6F1E56">
      <w:pPr>
        <w:snapToGrid w:val="0"/>
        <w:spacing w:line="440" w:lineRule="exact"/>
        <w:ind w:firstLine="525" w:firstLineChars="250"/>
        <w:rPr>
          <w:rFonts w:hint="eastAsia" w:ascii="宋体" w:hAnsi="宋体"/>
          <w:szCs w:val="21"/>
        </w:rPr>
      </w:pPr>
      <w:r>
        <w:rPr>
          <w:rFonts w:hint="eastAsia" w:ascii="宋体" w:hAnsi="宋体"/>
          <w:szCs w:val="21"/>
        </w:rPr>
        <w:t>1.1.6本条与下述第2条、第3条和第4条的说明内容是构成合同文件的已标价工程量清单的组成部分。</w:t>
      </w:r>
    </w:p>
    <w:p w14:paraId="424A1993">
      <w:pPr>
        <w:pStyle w:val="13"/>
      </w:pPr>
    </w:p>
    <w:p w14:paraId="2C09532E">
      <w:pPr>
        <w:spacing w:after="120" w:line="360" w:lineRule="auto"/>
        <w:ind w:firstLine="422" w:firstLineChars="200"/>
        <w:rPr>
          <w:b/>
          <w:bCs/>
        </w:rPr>
      </w:pPr>
      <w:bookmarkStart w:id="1335" w:name="_Toc483482272"/>
      <w:r>
        <w:rPr>
          <w:rFonts w:hint="eastAsia"/>
          <w:b/>
          <w:bCs/>
        </w:rPr>
        <w:t>1.2投标报价说明</w:t>
      </w:r>
      <w:bookmarkEnd w:id="1335"/>
    </w:p>
    <w:p w14:paraId="438939D8">
      <w:pPr>
        <w:snapToGrid w:val="0"/>
        <w:spacing w:line="440" w:lineRule="exact"/>
        <w:ind w:firstLine="527" w:firstLineChars="250"/>
        <w:rPr>
          <w:rFonts w:hint="eastAsia" w:ascii="宋体" w:hAnsi="宋体"/>
          <w:szCs w:val="21"/>
        </w:rPr>
      </w:pPr>
      <w:r>
        <w:rPr>
          <w:rFonts w:hint="eastAsia" w:ascii="宋体" w:hAnsi="宋体"/>
          <w:b/>
          <w:bCs/>
          <w:szCs w:val="21"/>
        </w:rPr>
        <w:t>1.2.1投标报价应根据招标文件中的有关计价要求，并按照下列依据自主报价。</w:t>
      </w:r>
    </w:p>
    <w:p w14:paraId="06AFE5B4">
      <w:pPr>
        <w:numPr>
          <w:ilvl w:val="0"/>
          <w:numId w:val="14"/>
        </w:numPr>
        <w:snapToGrid w:val="0"/>
        <w:spacing w:line="440" w:lineRule="exact"/>
        <w:ind w:firstLine="525" w:firstLineChars="250"/>
        <w:rPr>
          <w:rFonts w:hint="eastAsia" w:ascii="宋体" w:hAnsi="宋体"/>
          <w:szCs w:val="21"/>
        </w:rPr>
      </w:pPr>
      <w:r>
        <w:rPr>
          <w:rFonts w:hint="eastAsia" w:ascii="宋体" w:hAnsi="宋体"/>
          <w:szCs w:val="21"/>
        </w:rPr>
        <w:t>本招标文件；</w:t>
      </w:r>
    </w:p>
    <w:p w14:paraId="06FA40D9">
      <w:pPr>
        <w:snapToGrid w:val="0"/>
        <w:spacing w:line="440" w:lineRule="exact"/>
        <w:ind w:firstLine="525" w:firstLineChars="250"/>
        <w:rPr>
          <w:rFonts w:hint="eastAsia" w:ascii="宋体" w:hAnsi="宋体"/>
          <w:szCs w:val="21"/>
        </w:rPr>
      </w:pPr>
      <w:r>
        <w:rPr>
          <w:rFonts w:hint="eastAsia" w:ascii="宋体" w:hAnsi="宋体"/>
          <w:szCs w:val="21"/>
        </w:rPr>
        <w:t>(2)《建设工程工程量清单计价规范》（GB50500-2013）；</w:t>
      </w:r>
    </w:p>
    <w:p w14:paraId="6677B529">
      <w:pPr>
        <w:snapToGrid w:val="0"/>
        <w:spacing w:line="440" w:lineRule="exact"/>
        <w:ind w:firstLine="525" w:firstLineChars="250"/>
        <w:rPr>
          <w:rFonts w:hint="eastAsia" w:ascii="宋体" w:hAnsi="宋体"/>
          <w:szCs w:val="21"/>
        </w:rPr>
      </w:pPr>
      <w:r>
        <w:rPr>
          <w:rFonts w:ascii="宋体" w:hAnsi="宋体"/>
          <w:szCs w:val="21"/>
        </w:rPr>
        <w:t>(3)</w:t>
      </w:r>
      <w:r>
        <w:rPr>
          <w:rFonts w:hint="eastAsia" w:ascii="宋体" w:hAnsi="宋体"/>
          <w:szCs w:val="21"/>
        </w:rPr>
        <w:t xml:space="preserve"> 2016版《山东省建设工程费用项目组成及计算规则》；</w:t>
      </w:r>
    </w:p>
    <w:p w14:paraId="0754EEE2">
      <w:pPr>
        <w:snapToGrid w:val="0"/>
        <w:spacing w:line="440" w:lineRule="exact"/>
        <w:ind w:firstLine="525" w:firstLineChars="250"/>
        <w:rPr>
          <w:rFonts w:hint="eastAsia" w:ascii="宋体" w:hAnsi="宋体"/>
          <w:szCs w:val="21"/>
        </w:rPr>
      </w:pPr>
      <w:r>
        <w:rPr>
          <w:rFonts w:hint="eastAsia" w:ascii="宋体" w:hAnsi="宋体"/>
          <w:szCs w:val="21"/>
        </w:rPr>
        <w:t>(4)招标文件(包括工程量清单)的澄清、补充和修改文件；</w:t>
      </w:r>
    </w:p>
    <w:p w14:paraId="43360538">
      <w:pPr>
        <w:snapToGrid w:val="0"/>
        <w:spacing w:line="440" w:lineRule="exact"/>
        <w:ind w:firstLine="525" w:firstLineChars="250"/>
        <w:rPr>
          <w:rFonts w:hint="eastAsia" w:ascii="宋体" w:hAnsi="宋体"/>
          <w:szCs w:val="21"/>
        </w:rPr>
      </w:pPr>
      <w:r>
        <w:rPr>
          <w:rFonts w:hint="eastAsia" w:ascii="宋体" w:hAnsi="宋体"/>
          <w:szCs w:val="21"/>
        </w:rPr>
        <w:t>(5)施工现场情况、工程特点及拟定的投标施工组织设计或施工方案；</w:t>
      </w:r>
    </w:p>
    <w:p w14:paraId="4FCA2190">
      <w:pPr>
        <w:snapToGrid w:val="0"/>
        <w:spacing w:line="440" w:lineRule="exact"/>
        <w:ind w:firstLine="525" w:firstLineChars="250"/>
        <w:rPr>
          <w:rFonts w:hint="eastAsia" w:ascii="宋体" w:hAnsi="宋体"/>
          <w:szCs w:val="21"/>
        </w:rPr>
      </w:pPr>
      <w:r>
        <w:rPr>
          <w:rFonts w:hint="eastAsia" w:ascii="宋体" w:hAnsi="宋体"/>
          <w:szCs w:val="21"/>
        </w:rPr>
        <w:t>(6)市场价格信息或工程造价管理机构发布的工程造价信息；</w:t>
      </w:r>
    </w:p>
    <w:p w14:paraId="7B957866">
      <w:pPr>
        <w:snapToGrid w:val="0"/>
        <w:spacing w:line="440" w:lineRule="exact"/>
        <w:ind w:firstLine="525" w:firstLineChars="250"/>
        <w:rPr>
          <w:rFonts w:hint="eastAsia" w:ascii="宋体" w:hAnsi="宋体"/>
          <w:szCs w:val="21"/>
        </w:rPr>
      </w:pPr>
      <w:r>
        <w:rPr>
          <w:rFonts w:hint="eastAsia" w:ascii="宋体" w:hAnsi="宋体"/>
          <w:szCs w:val="21"/>
        </w:rPr>
        <w:t>(7)济南市现行有关规定。</w:t>
      </w:r>
    </w:p>
    <w:p w14:paraId="1ED3E8D8">
      <w:pPr>
        <w:snapToGrid w:val="0"/>
        <w:spacing w:line="440" w:lineRule="exact"/>
        <w:ind w:firstLine="525" w:firstLineChars="250"/>
        <w:rPr>
          <w:rFonts w:hint="eastAsia" w:ascii="宋体" w:hAnsi="宋体"/>
          <w:szCs w:val="21"/>
        </w:rPr>
      </w:pPr>
      <w:r>
        <w:rPr>
          <w:rFonts w:hint="eastAsia" w:ascii="宋体" w:hAnsi="宋体"/>
          <w:szCs w:val="21"/>
        </w:rPr>
        <w:t>(8)其他注意事项：</w:t>
      </w:r>
    </w:p>
    <w:p w14:paraId="247FE7D4">
      <w:pPr>
        <w:snapToGrid w:val="0"/>
        <w:spacing w:line="440" w:lineRule="exact"/>
        <w:ind w:firstLine="525" w:firstLineChars="250"/>
        <w:rPr>
          <w:rFonts w:hint="eastAsia" w:ascii="宋体" w:hAnsi="宋体"/>
          <w:szCs w:val="21"/>
        </w:rPr>
      </w:pPr>
      <w:r>
        <w:rPr>
          <w:rFonts w:hint="eastAsia" w:ascii="宋体" w:hAnsi="宋体"/>
          <w:szCs w:val="21"/>
        </w:rPr>
        <w:t>1）投标人一旦参加投标，就意味着已承认招标文件中所有条款及要求，并受其约束。</w:t>
      </w:r>
    </w:p>
    <w:p w14:paraId="0F441BF3">
      <w:pPr>
        <w:snapToGrid w:val="0"/>
        <w:spacing w:line="440" w:lineRule="exact"/>
        <w:ind w:firstLine="525" w:firstLineChars="250"/>
        <w:rPr>
          <w:rFonts w:hint="eastAsia" w:ascii="宋体" w:hAnsi="宋体"/>
          <w:szCs w:val="21"/>
        </w:rPr>
      </w:pPr>
      <w:r>
        <w:rPr>
          <w:rFonts w:hint="eastAsia" w:ascii="宋体" w:hAnsi="宋体"/>
          <w:szCs w:val="21"/>
        </w:rPr>
        <w:t>2）</w:t>
      </w:r>
      <w:r>
        <w:rPr>
          <w:rFonts w:hint="eastAsia" w:ascii="宋体" w:hAnsi="宋体"/>
          <w:b/>
          <w:bCs/>
          <w:szCs w:val="21"/>
        </w:rPr>
        <w:t>在工程建设过程中发生一切安全及质量责任事故均由中标单位承担，并支付所发生的一切费用。</w:t>
      </w:r>
    </w:p>
    <w:p w14:paraId="708735E1">
      <w:pPr>
        <w:snapToGrid w:val="0"/>
        <w:spacing w:line="440" w:lineRule="exact"/>
        <w:ind w:firstLine="527" w:firstLineChars="250"/>
        <w:rPr>
          <w:rFonts w:hint="eastAsia" w:ascii="宋体" w:hAnsi="宋体"/>
          <w:b/>
          <w:bCs/>
          <w:szCs w:val="21"/>
        </w:rPr>
      </w:pPr>
      <w:bookmarkStart w:id="1336" w:name="_Toc483482273"/>
      <w:bookmarkStart w:id="1337" w:name="_Toc2530"/>
      <w:bookmarkStart w:id="1338" w:name="_Toc32311"/>
      <w:r>
        <w:rPr>
          <w:rFonts w:hint="eastAsia" w:ascii="宋体" w:hAnsi="宋体"/>
          <w:b/>
          <w:bCs/>
          <w:szCs w:val="21"/>
        </w:rPr>
        <w:t>1.2.2投标人报价须知</w:t>
      </w:r>
      <w:bookmarkEnd w:id="1336"/>
    </w:p>
    <w:p w14:paraId="6BD3D5ED">
      <w:pPr>
        <w:snapToGrid w:val="0"/>
        <w:spacing w:line="440" w:lineRule="exact"/>
        <w:ind w:firstLine="525" w:firstLineChars="250"/>
        <w:rPr>
          <w:rFonts w:hint="eastAsia" w:ascii="宋体" w:hAnsi="宋体"/>
          <w:szCs w:val="21"/>
        </w:rPr>
      </w:pPr>
      <w:r>
        <w:rPr>
          <w:rFonts w:hint="eastAsia" w:ascii="宋体" w:hAnsi="宋体"/>
          <w:szCs w:val="21"/>
        </w:rPr>
        <w:t>（1）应按工程量清单报价格式规定的内容进行编制、填写、签字、盖章。</w:t>
      </w:r>
    </w:p>
    <w:p w14:paraId="54C2261A">
      <w:pPr>
        <w:snapToGrid w:val="0"/>
        <w:spacing w:line="440" w:lineRule="exact"/>
        <w:ind w:firstLine="525" w:firstLineChars="250"/>
        <w:rPr>
          <w:rFonts w:hint="eastAsia" w:ascii="宋体" w:hAnsi="宋体"/>
          <w:szCs w:val="21"/>
        </w:rPr>
      </w:pPr>
      <w:r>
        <w:rPr>
          <w:rFonts w:hint="eastAsia" w:ascii="宋体" w:hAnsi="宋体"/>
          <w:szCs w:val="21"/>
        </w:rPr>
        <w:t>（2）工程量清单及其报价格式中的任何内容不得随意删除或修改。</w:t>
      </w:r>
    </w:p>
    <w:p w14:paraId="59919AB8">
      <w:pPr>
        <w:snapToGrid w:val="0"/>
        <w:spacing w:line="440" w:lineRule="exact"/>
        <w:ind w:firstLine="525" w:firstLineChars="250"/>
        <w:rPr>
          <w:rFonts w:hint="eastAsia" w:ascii="宋体" w:hAnsi="宋体"/>
          <w:b/>
          <w:bCs/>
          <w:szCs w:val="21"/>
        </w:rPr>
      </w:pPr>
      <w:r>
        <w:rPr>
          <w:rFonts w:hint="eastAsia" w:ascii="宋体" w:hAnsi="宋体"/>
          <w:szCs w:val="21"/>
        </w:rPr>
        <w:t>（3）工程量清单报价格式中所有需要填报的单价和合价，投标人均应填报，每一项目只允许有一个报价，</w:t>
      </w:r>
      <w:r>
        <w:rPr>
          <w:rFonts w:hint="eastAsia" w:ascii="宋体" w:hAnsi="宋体"/>
          <w:b/>
          <w:bCs/>
          <w:szCs w:val="21"/>
        </w:rPr>
        <w:t>未填报的单价和合价视为此项费用已包含在工程量清单的其他单价或合价中。</w:t>
      </w:r>
    </w:p>
    <w:p w14:paraId="46107E91">
      <w:pPr>
        <w:snapToGrid w:val="0"/>
        <w:spacing w:line="440" w:lineRule="exact"/>
        <w:ind w:firstLine="525" w:firstLineChars="250"/>
        <w:rPr>
          <w:rFonts w:hint="eastAsia" w:ascii="宋体" w:hAnsi="宋体"/>
          <w:szCs w:val="21"/>
        </w:rPr>
      </w:pPr>
      <w:r>
        <w:rPr>
          <w:rFonts w:hint="eastAsia" w:ascii="宋体" w:hAnsi="宋体"/>
          <w:szCs w:val="21"/>
        </w:rPr>
        <w:t>（4）金额（价格）均应以人民币表示。</w:t>
      </w:r>
    </w:p>
    <w:p w14:paraId="5CD1647D">
      <w:pPr>
        <w:snapToGrid w:val="0"/>
        <w:spacing w:line="440" w:lineRule="exact"/>
        <w:ind w:firstLine="525" w:firstLineChars="250"/>
        <w:rPr>
          <w:rFonts w:hint="eastAsia" w:ascii="宋体" w:hAnsi="宋体"/>
          <w:szCs w:val="21"/>
        </w:rPr>
      </w:pPr>
      <w:r>
        <w:rPr>
          <w:rFonts w:hint="eastAsia" w:ascii="宋体" w:hAnsi="宋体"/>
          <w:szCs w:val="21"/>
        </w:rPr>
        <w:t>（5）各分项工程量清单的编制详见各分项专业的编制说明。</w:t>
      </w:r>
    </w:p>
    <w:p w14:paraId="25721101">
      <w:pPr>
        <w:snapToGrid w:val="0"/>
        <w:spacing w:line="440" w:lineRule="exact"/>
        <w:ind w:firstLine="525" w:firstLineChars="250"/>
        <w:rPr>
          <w:rFonts w:hint="eastAsia" w:ascii="宋体" w:hAnsi="宋体"/>
          <w:szCs w:val="21"/>
        </w:rPr>
      </w:pPr>
      <w:r>
        <w:rPr>
          <w:rFonts w:hint="eastAsia" w:ascii="宋体" w:hAnsi="宋体"/>
          <w:szCs w:val="21"/>
        </w:rPr>
        <w:t>（6）工程质量：合格标准。</w:t>
      </w:r>
    </w:p>
    <w:p w14:paraId="58A4B2FC">
      <w:pPr>
        <w:snapToGrid w:val="0"/>
        <w:spacing w:line="440" w:lineRule="exact"/>
        <w:ind w:firstLine="527" w:firstLineChars="250"/>
        <w:rPr>
          <w:rFonts w:hint="eastAsia" w:ascii="宋体" w:hAnsi="宋体"/>
          <w:b/>
          <w:szCs w:val="21"/>
        </w:rPr>
      </w:pPr>
      <w:r>
        <w:rPr>
          <w:rFonts w:hint="eastAsia" w:ascii="宋体" w:hAnsi="宋体"/>
          <w:b/>
          <w:szCs w:val="21"/>
        </w:rPr>
        <w:t>（7）投标人的报价不得改变工程量清单中的“序号、项目编码、项目名称、项目特征描述、计量单位、工程量”等内容，且不得有缺漏报价表的情况，否则按评分细则相关约定处理。</w:t>
      </w:r>
    </w:p>
    <w:p w14:paraId="07B729D1">
      <w:pPr>
        <w:snapToGrid w:val="0"/>
        <w:spacing w:line="440" w:lineRule="exact"/>
        <w:ind w:firstLine="527" w:firstLineChars="250"/>
        <w:rPr>
          <w:rFonts w:hint="eastAsia" w:ascii="宋体" w:hAnsi="宋体"/>
          <w:b/>
          <w:bCs/>
          <w:szCs w:val="21"/>
        </w:rPr>
      </w:pPr>
      <w:bookmarkStart w:id="1339" w:name="_Toc483482274"/>
      <w:r>
        <w:rPr>
          <w:rFonts w:hint="eastAsia" w:ascii="宋体" w:hAnsi="宋体"/>
          <w:b/>
          <w:bCs/>
          <w:szCs w:val="21"/>
        </w:rPr>
        <w:t>1.2.3投标报价的一般规定（报价要求包括但不限于）：</w:t>
      </w:r>
      <w:bookmarkEnd w:id="1339"/>
    </w:p>
    <w:p w14:paraId="1277BBB0">
      <w:pPr>
        <w:snapToGrid w:val="0"/>
        <w:spacing w:line="440" w:lineRule="exact"/>
        <w:ind w:firstLine="525" w:firstLineChars="250"/>
        <w:rPr>
          <w:rFonts w:hint="eastAsia" w:ascii="宋体" w:hAnsi="宋体"/>
          <w:szCs w:val="21"/>
        </w:rPr>
      </w:pPr>
      <w:r>
        <w:rPr>
          <w:rFonts w:hint="eastAsia" w:ascii="宋体" w:hAnsi="宋体"/>
          <w:szCs w:val="21"/>
        </w:rPr>
        <w:t>（1）投标报价为投标人在投标文件中提出的各项支付金额的总和。</w:t>
      </w:r>
    </w:p>
    <w:p w14:paraId="61681D34">
      <w:pPr>
        <w:snapToGrid w:val="0"/>
        <w:spacing w:line="440" w:lineRule="exact"/>
        <w:ind w:firstLine="525" w:firstLineChars="250"/>
        <w:rPr>
          <w:rFonts w:hint="eastAsia" w:ascii="宋体" w:hAnsi="宋体"/>
          <w:szCs w:val="21"/>
        </w:rPr>
      </w:pPr>
      <w:r>
        <w:rPr>
          <w:rFonts w:hint="eastAsia" w:ascii="宋体" w:hAnsi="宋体"/>
          <w:szCs w:val="21"/>
        </w:rPr>
        <w:t>（2）投标人的投标报价，应是完成本投标须知和合同条款上所列招标工程范围及要求工期（含质保期）的全部工作所需费用总和，各种费用不得以任何理由予以重复，作为投标人计算单价或总价的依据。</w:t>
      </w:r>
    </w:p>
    <w:p w14:paraId="4F41F650">
      <w:pPr>
        <w:snapToGrid w:val="0"/>
        <w:spacing w:line="440" w:lineRule="exact"/>
        <w:ind w:firstLine="525" w:firstLineChars="250"/>
        <w:rPr>
          <w:rFonts w:hint="eastAsia" w:ascii="宋体" w:hAnsi="宋体"/>
          <w:szCs w:val="21"/>
        </w:rPr>
      </w:pPr>
      <w:r>
        <w:rPr>
          <w:rFonts w:hint="eastAsia" w:ascii="宋体" w:hAnsi="宋体"/>
          <w:szCs w:val="21"/>
        </w:rPr>
        <w:t>（3）各投标人须根据下发的图纸，依据招标文件中提供的技术要求、工程量清单，进行自主市场报价，投标人任何漏项、漏报、少报、错报所产生的后果，投标人承担全部责任。</w:t>
      </w:r>
    </w:p>
    <w:p w14:paraId="5D5308DB">
      <w:pPr>
        <w:snapToGrid w:val="0"/>
        <w:spacing w:line="440" w:lineRule="exact"/>
        <w:ind w:firstLine="525" w:firstLineChars="250"/>
        <w:rPr>
          <w:rFonts w:hint="eastAsia" w:ascii="宋体" w:hAnsi="宋体"/>
          <w:szCs w:val="21"/>
        </w:rPr>
      </w:pPr>
      <w:r>
        <w:rPr>
          <w:rFonts w:hint="eastAsia" w:ascii="宋体" w:hAnsi="宋体"/>
          <w:szCs w:val="21"/>
        </w:rPr>
        <w:t>工程量清单应按综合单价报价。综合单价应包括为</w:t>
      </w:r>
      <w:r>
        <w:t>完成一个规定清单项目所需的人工费</w:t>
      </w:r>
      <w:r>
        <w:rPr>
          <w:rFonts w:hint="eastAsia"/>
        </w:rPr>
        <w:t>、</w:t>
      </w:r>
      <w:r>
        <w:t>材料</w:t>
      </w:r>
      <w:r>
        <w:rPr>
          <w:rFonts w:hint="eastAsia"/>
        </w:rPr>
        <w:t>、</w:t>
      </w:r>
      <w:r>
        <w:t>施工机具使用费和企业管理费</w:t>
      </w:r>
      <w:r>
        <w:rPr>
          <w:rFonts w:hint="eastAsia"/>
        </w:rPr>
        <w:t>、</w:t>
      </w:r>
      <w:r>
        <w:t>利润以及一定范围的风险费用</w:t>
      </w:r>
      <w:r>
        <w:rPr>
          <w:rFonts w:hint="eastAsia"/>
        </w:rPr>
        <w:t>等</w:t>
      </w:r>
      <w:r>
        <w:rPr>
          <w:rFonts w:hint="eastAsia" w:ascii="宋体" w:hAnsi="宋体"/>
          <w:szCs w:val="21"/>
        </w:rPr>
        <w:t>，招标人的特殊要求等而增加的费用</w:t>
      </w:r>
      <w:r>
        <w:rPr>
          <w:rFonts w:hint="eastAsia" w:ascii="宋体" w:hAnsi="宋体"/>
        </w:rPr>
        <w:t>（中标的综合单价在合同期内不得调整）</w:t>
      </w:r>
      <w:r>
        <w:rPr>
          <w:rFonts w:hint="eastAsia" w:ascii="宋体" w:hAnsi="宋体"/>
          <w:szCs w:val="21"/>
        </w:rPr>
        <w:t>。</w:t>
      </w:r>
    </w:p>
    <w:p w14:paraId="19E4B574">
      <w:pPr>
        <w:snapToGrid w:val="0"/>
        <w:spacing w:line="440" w:lineRule="exact"/>
        <w:ind w:firstLine="525" w:firstLineChars="250"/>
        <w:rPr>
          <w:rFonts w:hint="eastAsia" w:ascii="宋体" w:hAnsi="宋体"/>
          <w:i/>
          <w:iCs/>
          <w:szCs w:val="21"/>
          <w:u w:val="single"/>
        </w:rPr>
      </w:pPr>
      <w:r>
        <w:rPr>
          <w:rFonts w:hint="eastAsia" w:ascii="宋体" w:hAnsi="宋体"/>
          <w:szCs w:val="21"/>
        </w:rPr>
        <w:t>（4）投标人所报综合单价在合同有效期内，不随</w:t>
      </w:r>
      <w:r>
        <w:rPr>
          <w:rFonts w:hint="eastAsia" w:ascii="宋体" w:hAnsi="宋体"/>
          <w:i/>
          <w:iCs/>
          <w:szCs w:val="21"/>
          <w:u w:val="single"/>
        </w:rPr>
        <w:t>除合同条款约定之外的政策调整而变化，且不随量的调整而变化</w:t>
      </w:r>
      <w:r>
        <w:rPr>
          <w:rFonts w:hint="eastAsia" w:ascii="宋体" w:hAnsi="宋体"/>
          <w:szCs w:val="21"/>
        </w:rPr>
        <w:t>，并作为结算的依据，除双方另有约定外结算时不得调整，投标人报价时综合考虑。投标人不得以报价时对现场实际情况了解不充分、报价时设计不完善、按主管部门要求必须进行设计修改或方案变更</w:t>
      </w:r>
      <w:r>
        <w:rPr>
          <w:rFonts w:hint="eastAsia" w:ascii="宋体" w:hAnsi="宋体"/>
          <w:i/>
          <w:iCs/>
          <w:szCs w:val="21"/>
          <w:u w:val="single"/>
        </w:rPr>
        <w:t>、</w:t>
      </w:r>
      <w:r>
        <w:rPr>
          <w:rFonts w:hint="eastAsia" w:ascii="宋体" w:hAnsi="宋体"/>
          <w:szCs w:val="21"/>
        </w:rPr>
        <w:t>或其他政策性因素等情况为由，要求招标人调整合同单价。</w:t>
      </w:r>
    </w:p>
    <w:p w14:paraId="21AE11D5">
      <w:pPr>
        <w:snapToGrid w:val="0"/>
        <w:spacing w:line="440" w:lineRule="exact"/>
        <w:ind w:firstLine="525" w:firstLineChars="250"/>
        <w:rPr>
          <w:rFonts w:hint="eastAsia" w:ascii="宋体" w:hAnsi="宋体"/>
          <w:szCs w:val="21"/>
        </w:rPr>
      </w:pPr>
      <w:r>
        <w:rPr>
          <w:rFonts w:hint="eastAsia" w:ascii="宋体" w:hAnsi="宋体"/>
          <w:szCs w:val="21"/>
        </w:rPr>
        <w:t>（5）本工程承包范围内的材料设备，按图纸设计要求和招标文件要求竞报。未做要求的其它材料设备由投标单位竞报,均必须标明相应产地、品牌、规格、型号、质量等级等，未填报质量层次的，现场以国标优等品验收（送检的时间在工期范围内）。</w:t>
      </w:r>
    </w:p>
    <w:p w14:paraId="5E5CAAEE">
      <w:pPr>
        <w:snapToGrid w:val="0"/>
        <w:spacing w:line="440" w:lineRule="exact"/>
        <w:ind w:firstLine="525" w:firstLineChars="250"/>
        <w:rPr>
          <w:rFonts w:hint="eastAsia" w:ascii="宋体" w:hAnsi="宋体"/>
          <w:szCs w:val="21"/>
        </w:rPr>
      </w:pPr>
      <w:r>
        <w:rPr>
          <w:rFonts w:hint="eastAsia" w:ascii="宋体" w:hAnsi="宋体"/>
          <w:szCs w:val="21"/>
        </w:rPr>
        <w:t>（6）工程量清单与招标文件一起发至投标人。</w:t>
      </w:r>
    </w:p>
    <w:p w14:paraId="1A26F6F1">
      <w:pPr>
        <w:snapToGrid w:val="0"/>
        <w:spacing w:line="440" w:lineRule="exact"/>
        <w:ind w:firstLine="525" w:firstLineChars="250"/>
        <w:rPr>
          <w:rFonts w:hint="eastAsia" w:ascii="宋体" w:hAnsi="宋体"/>
          <w:szCs w:val="21"/>
        </w:rPr>
      </w:pPr>
      <w:r>
        <w:rPr>
          <w:rFonts w:hint="eastAsia" w:ascii="宋体" w:hAnsi="宋体"/>
          <w:szCs w:val="21"/>
        </w:rPr>
        <w:t>（7）投标人可应先到工地踏勘以充分理解工地位置、情况、道路、储存空间、装卸限制及任何其他足以影响承包价的情况，任何因忽视或误解工地情况而导致的索赔或工期延长申请将不被批准。</w:t>
      </w:r>
    </w:p>
    <w:p w14:paraId="0D4C6B54">
      <w:pPr>
        <w:snapToGrid w:val="0"/>
        <w:spacing w:line="440" w:lineRule="exact"/>
        <w:ind w:firstLine="525" w:firstLineChars="250"/>
        <w:rPr>
          <w:rFonts w:hint="eastAsia" w:ascii="宋体" w:hAnsi="宋体"/>
          <w:szCs w:val="21"/>
        </w:rPr>
      </w:pPr>
      <w:r>
        <w:rPr>
          <w:rFonts w:hint="eastAsia" w:ascii="宋体" w:hAnsi="宋体"/>
          <w:szCs w:val="21"/>
        </w:rPr>
        <w:t>（8）其他注意事项：</w:t>
      </w:r>
    </w:p>
    <w:p w14:paraId="089D1CA3">
      <w:pPr>
        <w:snapToGrid w:val="0"/>
        <w:spacing w:line="440" w:lineRule="exact"/>
        <w:ind w:firstLine="525" w:firstLineChars="250"/>
        <w:rPr>
          <w:rFonts w:hint="eastAsia" w:ascii="宋体" w:hAnsi="宋体"/>
          <w:szCs w:val="21"/>
        </w:rPr>
      </w:pPr>
      <w:r>
        <w:rPr>
          <w:rFonts w:hint="eastAsia" w:ascii="宋体" w:hAnsi="宋体"/>
          <w:szCs w:val="21"/>
        </w:rPr>
        <w:t>1）投标人一旦参加投标，就意味着已承认招标文件中所有条款及要求，并受其约束。</w:t>
      </w:r>
    </w:p>
    <w:p w14:paraId="3307578E">
      <w:pPr>
        <w:snapToGrid w:val="0"/>
        <w:spacing w:line="440" w:lineRule="exact"/>
        <w:ind w:firstLine="525" w:firstLineChars="250"/>
        <w:rPr>
          <w:rFonts w:hint="eastAsia" w:ascii="宋体" w:hAnsi="宋体"/>
          <w:szCs w:val="21"/>
        </w:rPr>
      </w:pPr>
      <w:r>
        <w:rPr>
          <w:rFonts w:hint="eastAsia" w:ascii="宋体" w:hAnsi="宋体"/>
          <w:szCs w:val="21"/>
        </w:rPr>
        <w:t>2）在工程建设过程中发生一切安全及质量责任事故均由中标单位承担，并支付所发生的一切费用。</w:t>
      </w:r>
    </w:p>
    <w:p w14:paraId="276ED00E">
      <w:pPr>
        <w:snapToGrid w:val="0"/>
        <w:spacing w:line="440" w:lineRule="exact"/>
        <w:ind w:firstLine="525" w:firstLineChars="250"/>
        <w:rPr>
          <w:rFonts w:hint="eastAsia" w:ascii="宋体" w:hAnsi="宋体"/>
          <w:szCs w:val="21"/>
        </w:rPr>
      </w:pPr>
      <w:r>
        <w:rPr>
          <w:rFonts w:hint="eastAsia" w:ascii="宋体" w:hAnsi="宋体"/>
          <w:szCs w:val="21"/>
        </w:rPr>
        <w:t>（9）投标人在投标报价时应综合考虑以下费用：</w:t>
      </w:r>
    </w:p>
    <w:p w14:paraId="0A69DBBF">
      <w:pPr>
        <w:snapToGrid w:val="0"/>
        <w:spacing w:line="440" w:lineRule="exact"/>
        <w:ind w:firstLine="525" w:firstLineChars="250"/>
        <w:rPr>
          <w:rFonts w:hint="eastAsia" w:ascii="宋体" w:hAnsi="宋体"/>
          <w:szCs w:val="21"/>
        </w:rPr>
      </w:pPr>
      <w:r>
        <w:rPr>
          <w:rFonts w:hint="eastAsia" w:ascii="宋体" w:hAnsi="宋体"/>
          <w:szCs w:val="21"/>
        </w:rPr>
        <w:t>1）因招标文件及合同特殊要求而发生的费用；</w:t>
      </w:r>
    </w:p>
    <w:p w14:paraId="3F925CAB">
      <w:pPr>
        <w:snapToGrid w:val="0"/>
        <w:spacing w:line="440" w:lineRule="exact"/>
        <w:ind w:firstLine="525" w:firstLineChars="250"/>
        <w:rPr>
          <w:rFonts w:hint="eastAsia" w:ascii="宋体" w:hAnsi="宋体"/>
          <w:szCs w:val="21"/>
        </w:rPr>
      </w:pPr>
      <w:r>
        <w:rPr>
          <w:rFonts w:hint="eastAsia" w:ascii="宋体" w:hAnsi="宋体"/>
          <w:szCs w:val="21"/>
        </w:rPr>
        <w:t>2）工程量清单没有体现而施工中又必然发生的费用；</w:t>
      </w:r>
    </w:p>
    <w:p w14:paraId="236C5997">
      <w:pPr>
        <w:snapToGrid w:val="0"/>
        <w:spacing w:line="440" w:lineRule="exact"/>
        <w:ind w:firstLine="525" w:firstLineChars="250"/>
        <w:rPr>
          <w:rFonts w:hint="eastAsia" w:ascii="宋体" w:hAnsi="宋体"/>
          <w:szCs w:val="21"/>
        </w:rPr>
      </w:pPr>
      <w:r>
        <w:rPr>
          <w:rFonts w:hint="eastAsia" w:ascii="宋体" w:hAnsi="宋体"/>
          <w:szCs w:val="21"/>
        </w:rPr>
        <w:t>3）投标人投标报价时应充分考虑招标文件\第四章 合同主要条款中相关约定；</w:t>
      </w:r>
    </w:p>
    <w:p w14:paraId="0EF442FF">
      <w:pPr>
        <w:snapToGrid w:val="0"/>
        <w:spacing w:line="440" w:lineRule="exact"/>
        <w:ind w:firstLine="525" w:firstLineChars="250"/>
        <w:rPr>
          <w:rFonts w:hint="eastAsia" w:ascii="宋体" w:hAnsi="宋体"/>
          <w:szCs w:val="21"/>
        </w:rPr>
      </w:pPr>
      <w:r>
        <w:rPr>
          <w:rFonts w:hint="eastAsia" w:ascii="宋体" w:hAnsi="宋体"/>
          <w:szCs w:val="21"/>
        </w:rPr>
        <w:t>4）施工过程中政府部门向承包人收取的相应费用和保证金等，以及政府部门要求的工地周边道路扬尘治理、环境卫生、城市美化等费用；</w:t>
      </w:r>
    </w:p>
    <w:p w14:paraId="192ED558">
      <w:pPr>
        <w:snapToGrid w:val="0"/>
        <w:spacing w:line="440" w:lineRule="exact"/>
        <w:ind w:firstLine="525" w:firstLineChars="250"/>
        <w:rPr>
          <w:rFonts w:hint="eastAsia" w:ascii="宋体" w:hAnsi="宋体"/>
          <w:szCs w:val="21"/>
        </w:rPr>
      </w:pPr>
      <w:r>
        <w:rPr>
          <w:rFonts w:hint="eastAsia" w:ascii="宋体" w:hAnsi="宋体"/>
          <w:szCs w:val="21"/>
        </w:rPr>
        <w:t>5）考虑合同明示和暗示的所有责任、义务及不可抗力以外的一切风险因素等所发生的所有费用；</w:t>
      </w:r>
    </w:p>
    <w:p w14:paraId="0836A00D">
      <w:pPr>
        <w:snapToGrid w:val="0"/>
        <w:spacing w:line="440" w:lineRule="exact"/>
        <w:ind w:firstLine="525" w:firstLineChars="250"/>
        <w:rPr>
          <w:rFonts w:hint="eastAsia" w:ascii="宋体" w:hAnsi="宋体"/>
          <w:szCs w:val="21"/>
        </w:rPr>
      </w:pPr>
      <w:r>
        <w:rPr>
          <w:rFonts w:hint="eastAsia" w:ascii="宋体" w:hAnsi="宋体"/>
          <w:szCs w:val="21"/>
        </w:rPr>
        <w:t>6）投标单位应自行考虑临时停水、停电的应急预案，并在投标报价中综合考虑；</w:t>
      </w:r>
    </w:p>
    <w:p w14:paraId="6C22AB4A">
      <w:pPr>
        <w:snapToGrid w:val="0"/>
        <w:spacing w:line="440" w:lineRule="exact"/>
        <w:ind w:firstLine="527" w:firstLineChars="250"/>
        <w:rPr>
          <w:rFonts w:hint="eastAsia" w:ascii="宋体" w:hAnsi="宋体"/>
          <w:b/>
          <w:bCs/>
          <w:szCs w:val="21"/>
        </w:rPr>
      </w:pPr>
      <w:r>
        <w:rPr>
          <w:rFonts w:hint="eastAsia" w:ascii="宋体" w:hAnsi="宋体"/>
          <w:b/>
          <w:bCs/>
          <w:szCs w:val="21"/>
        </w:rPr>
        <w:t>7）不允许投标单位采用不平衡报价，如发现非客观因素不平衡报价，招标人有权对其高报价部分予以调低价格</w:t>
      </w:r>
      <w:r>
        <w:rPr>
          <w:rFonts w:hint="eastAsia"/>
          <w:b/>
          <w:bCs/>
        </w:rPr>
        <w:t>，结算时按不利于投标人的方式结算</w:t>
      </w:r>
      <w:r>
        <w:rPr>
          <w:rFonts w:hint="eastAsia" w:ascii="宋体" w:hAnsi="宋体"/>
          <w:b/>
          <w:bCs/>
          <w:szCs w:val="21"/>
        </w:rPr>
        <w:t>。</w:t>
      </w:r>
    </w:p>
    <w:p w14:paraId="5897942E">
      <w:pPr>
        <w:snapToGrid w:val="0"/>
        <w:spacing w:line="440" w:lineRule="exact"/>
        <w:ind w:firstLine="527" w:firstLineChars="250"/>
        <w:rPr>
          <w:rFonts w:hint="eastAsia" w:ascii="宋体" w:hAnsi="宋体"/>
          <w:b/>
          <w:bCs/>
          <w:szCs w:val="21"/>
        </w:rPr>
      </w:pPr>
      <w:bookmarkStart w:id="1340" w:name="_Toc483482275"/>
      <w:r>
        <w:rPr>
          <w:rFonts w:hint="eastAsia" w:ascii="宋体" w:hAnsi="宋体"/>
          <w:b/>
          <w:bCs/>
          <w:szCs w:val="21"/>
        </w:rPr>
        <w:t>1.2.4工程量清单报价格式：（详见最终发出的工程量清单及报价格式）</w:t>
      </w:r>
      <w:bookmarkEnd w:id="1340"/>
    </w:p>
    <w:p w14:paraId="10DC2542">
      <w:pPr>
        <w:snapToGrid w:val="0"/>
        <w:spacing w:line="440" w:lineRule="exact"/>
        <w:ind w:firstLine="527" w:firstLineChars="250"/>
        <w:rPr>
          <w:rFonts w:hint="eastAsia" w:ascii="宋体" w:hAnsi="宋体"/>
          <w:b/>
          <w:bCs/>
          <w:szCs w:val="21"/>
        </w:rPr>
      </w:pPr>
      <w:bookmarkStart w:id="1341" w:name="_Toc483482276"/>
      <w:r>
        <w:rPr>
          <w:rFonts w:hint="eastAsia" w:ascii="宋体" w:hAnsi="宋体"/>
          <w:b/>
          <w:bCs/>
          <w:szCs w:val="21"/>
        </w:rPr>
        <w:t>1.2.5工程量清单报价须知：</w:t>
      </w:r>
      <w:bookmarkEnd w:id="1341"/>
    </w:p>
    <w:p w14:paraId="7DB2D994">
      <w:pPr>
        <w:snapToGrid w:val="0"/>
        <w:spacing w:line="440" w:lineRule="exact"/>
        <w:ind w:firstLine="525" w:firstLineChars="250"/>
        <w:rPr>
          <w:rFonts w:hint="eastAsia" w:ascii="宋体" w:hAnsi="宋体"/>
          <w:szCs w:val="21"/>
        </w:rPr>
      </w:pPr>
      <w:r>
        <w:rPr>
          <w:rFonts w:hint="eastAsia" w:ascii="宋体" w:hAnsi="宋体"/>
          <w:szCs w:val="21"/>
        </w:rPr>
        <w:t>1）招标人对本次招标工程量清单准确性负责，工程量清单给各投标人价格竞争提供了统一的平台，投标人应按照守法、诚信、合理原则报价，并且承担报价的风险。本次招标投标人应特别注意：投标单位应依据山东省住房和城乡建设厅关于调整建设工程计价依据增值税税率的通知(鲁建标字〔2019〕10号文)、社会保障费按照鲁政办发〔2017〕57号执行。规费和税金为不可竞争费用，应计入投标报价中（规费取费标准详见最终发出的工程量清单；税金按“一般计税”法），工程价款结算执行财政部建设部关于印发《建设工程价款结算暂行办法》的通知</w:t>
      </w:r>
      <w:r>
        <w:rPr>
          <w:rFonts w:ascii="宋体" w:hAnsi="宋体"/>
          <w:szCs w:val="21"/>
        </w:rPr>
        <w:t>(</w:t>
      </w:r>
      <w:r>
        <w:rPr>
          <w:rFonts w:hint="eastAsia" w:ascii="宋体" w:hAnsi="宋体"/>
          <w:szCs w:val="21"/>
        </w:rPr>
        <w:t>财建</w:t>
      </w:r>
      <w:r>
        <w:rPr>
          <w:rFonts w:ascii="宋体" w:hAnsi="宋体"/>
          <w:szCs w:val="21"/>
        </w:rPr>
        <w:t>[2004]369</w:t>
      </w:r>
      <w:r>
        <w:rPr>
          <w:rFonts w:hint="eastAsia" w:ascii="宋体" w:hAnsi="宋体"/>
          <w:szCs w:val="21"/>
        </w:rPr>
        <w:t>号文件</w:t>
      </w:r>
      <w:r>
        <w:rPr>
          <w:rFonts w:ascii="宋体" w:hAnsi="宋体"/>
          <w:szCs w:val="21"/>
        </w:rPr>
        <w:t>)</w:t>
      </w:r>
      <w:r>
        <w:rPr>
          <w:rFonts w:hint="eastAsia" w:ascii="宋体" w:hAnsi="宋体"/>
          <w:szCs w:val="21"/>
        </w:rPr>
        <w:t>规定。</w:t>
      </w:r>
    </w:p>
    <w:p w14:paraId="493C7255">
      <w:pPr>
        <w:tabs>
          <w:tab w:val="left" w:pos="2310"/>
        </w:tabs>
        <w:spacing w:line="440" w:lineRule="exact"/>
        <w:ind w:left="1" w:firstLine="413" w:firstLineChars="196"/>
        <w:rPr>
          <w:rFonts w:hint="eastAsia" w:ascii="宋体" w:hAnsi="宋体" w:cs="TimesNewRomanPSMT"/>
          <w:b/>
          <w:szCs w:val="21"/>
          <w:u w:val="single"/>
        </w:rPr>
      </w:pPr>
      <w:r>
        <w:rPr>
          <w:rFonts w:hint="eastAsia" w:ascii="宋体" w:hAnsi="宋体" w:cs="TimesNewRomanPSMT"/>
          <w:b/>
          <w:szCs w:val="21"/>
          <w:u w:val="single"/>
        </w:rPr>
        <w:t>2）</w:t>
      </w:r>
      <w:r>
        <w:rPr>
          <w:rFonts w:hint="eastAsia" w:ascii="宋体" w:hAnsi="宋体" w:cs="TimesNewRomanPSMT"/>
          <w:b/>
          <w:szCs w:val="21"/>
          <w:u w:val="single"/>
        </w:rPr>
        <w:sym w:font="Wingdings 2" w:char="0052"/>
      </w:r>
      <w:r>
        <w:rPr>
          <w:rFonts w:hint="eastAsia" w:ascii="宋体" w:hAnsi="宋体" w:cs="TimesNewRomanPSMT"/>
          <w:b/>
          <w:szCs w:val="21"/>
          <w:u w:val="single"/>
        </w:rPr>
        <w:t>本项目无暂估价材料、设备。</w:t>
      </w:r>
    </w:p>
    <w:p w14:paraId="24F045E9">
      <w:pPr>
        <w:snapToGrid w:val="0"/>
        <w:spacing w:line="440" w:lineRule="exact"/>
        <w:ind w:firstLine="422" w:firstLineChars="200"/>
        <w:rPr>
          <w:rFonts w:hint="eastAsia" w:ascii="宋体" w:hAnsi="宋体"/>
          <w:b/>
          <w:szCs w:val="21"/>
          <w:u w:val="single"/>
        </w:rPr>
      </w:pPr>
      <w:r>
        <w:rPr>
          <w:rFonts w:hint="eastAsia" w:ascii="宋体" w:hAnsi="宋体" w:cs="TimesNewRomanPSMT"/>
          <w:b/>
          <w:szCs w:val="21"/>
          <w:u w:val="single"/>
        </w:rPr>
        <w:t>3）投标人自购</w:t>
      </w:r>
      <w:r>
        <w:rPr>
          <w:rFonts w:hint="eastAsia" w:ascii="宋体" w:hAnsi="宋体"/>
          <w:b/>
          <w:szCs w:val="21"/>
          <w:u w:val="single"/>
        </w:rPr>
        <w:t>工程设备费、暂估价设备计入设备费，不计入清单综合单价（材料和设备划分标准执行《建筑工程计价设备材料划分标准》GB/T50531-2009）。</w:t>
      </w:r>
    </w:p>
    <w:p w14:paraId="6A19C93B">
      <w:pPr>
        <w:snapToGrid w:val="0"/>
        <w:spacing w:line="440" w:lineRule="exact"/>
        <w:ind w:firstLine="420" w:firstLineChars="200"/>
        <w:rPr>
          <w:rFonts w:hint="eastAsia" w:ascii="宋体" w:hAnsi="宋体"/>
          <w:b/>
          <w:szCs w:val="28"/>
          <w:u w:val="single"/>
        </w:rPr>
      </w:pPr>
      <w:r>
        <w:rPr>
          <w:rFonts w:hint="eastAsia" w:ascii="宋体" w:hAnsi="宋体"/>
          <w:bCs/>
          <w:szCs w:val="21"/>
        </w:rPr>
        <w:t>4）</w:t>
      </w:r>
      <w:r>
        <w:rPr>
          <w:rFonts w:hint="eastAsia" w:ascii="宋体" w:hAnsi="宋体"/>
          <w:bCs/>
          <w:szCs w:val="28"/>
        </w:rPr>
        <w:t>按照2016版《山东省建设工程费用项目组成及计算规则》规定，</w:t>
      </w:r>
      <w:r>
        <w:rPr>
          <w:rFonts w:hint="eastAsia" w:ascii="宋体" w:hAnsi="宋体"/>
          <w:b/>
          <w:szCs w:val="28"/>
          <w:u w:val="single"/>
        </w:rPr>
        <w:t>专业工程暂估价（本清单无专业工程暂估价）仅作为计取总包管理费的基数，不计入投标总报价。</w:t>
      </w:r>
    </w:p>
    <w:p w14:paraId="12554BD3">
      <w:pPr>
        <w:tabs>
          <w:tab w:val="left" w:pos="2310"/>
        </w:tabs>
        <w:spacing w:line="440" w:lineRule="exact"/>
        <w:ind w:left="1" w:firstLine="422" w:firstLineChars="200"/>
        <w:rPr>
          <w:rFonts w:hint="eastAsia" w:ascii="宋体" w:hAnsi="宋体" w:cs="TimesNewRomanPSMT"/>
          <w:b/>
          <w:szCs w:val="21"/>
          <w:u w:val="single"/>
        </w:rPr>
      </w:pPr>
      <w:r>
        <w:rPr>
          <w:rFonts w:hint="eastAsia" w:ascii="宋体" w:hAnsi="宋体" w:cs="TimesNewRomanPSMT"/>
          <w:b/>
          <w:szCs w:val="21"/>
        </w:rPr>
        <w:t>5）</w:t>
      </w:r>
      <w:r>
        <w:rPr>
          <w:rFonts w:hint="eastAsia" w:ascii="宋体" w:hAnsi="宋体" w:cs="TimesNewRomanPSMT"/>
          <w:bCs/>
          <w:szCs w:val="21"/>
        </w:rPr>
        <w:t>暂列金额是用于施工合同签订时尚未确定或者不可预见的所需材料、工程设备、服务的采购，施工中可能发生的工程变更、合同约定调整因素出现时的工程价款调整以及发生的索赔、现场签证等确认的费用</w:t>
      </w:r>
      <w:r>
        <w:rPr>
          <w:rFonts w:hint="eastAsia" w:ascii="宋体" w:hAnsi="宋体" w:cs="TimesNewRomanPSMT"/>
          <w:b/>
          <w:szCs w:val="21"/>
        </w:rPr>
        <w:t>。</w:t>
      </w:r>
      <w:r>
        <w:rPr>
          <w:rFonts w:hint="eastAsia" w:ascii="宋体" w:hAnsi="宋体" w:cs="TimesNewRomanPSMT"/>
          <w:b/>
          <w:szCs w:val="21"/>
          <w:u w:val="single"/>
        </w:rPr>
        <w:t>暂列金额及应计取的相关规费、税金在投标报价中考虑。暂列金额由招标人确定,投标人不得调整，并在合同中明确。</w:t>
      </w:r>
    </w:p>
    <w:p w14:paraId="219D175D">
      <w:pPr>
        <w:snapToGrid w:val="0"/>
        <w:spacing w:line="440" w:lineRule="exact"/>
        <w:ind w:firstLine="420" w:firstLineChars="200"/>
        <w:rPr>
          <w:rFonts w:hint="eastAsia" w:ascii="宋体" w:hAnsi="宋体"/>
          <w:b/>
          <w:szCs w:val="21"/>
        </w:rPr>
      </w:pPr>
      <w:r>
        <w:rPr>
          <w:rFonts w:hint="eastAsia" w:ascii="宋体" w:hAnsi="宋体"/>
          <w:bCs/>
          <w:szCs w:val="21"/>
        </w:rPr>
        <w:t>6）税金</w:t>
      </w:r>
      <w:r>
        <w:rPr>
          <w:rFonts w:hint="eastAsia" w:ascii="宋体" w:hAnsi="宋体"/>
          <w:bCs/>
        </w:rPr>
        <w:t>：本工程增值税税率为</w:t>
      </w:r>
      <w:r>
        <w:rPr>
          <w:rFonts w:ascii="宋体" w:hAnsi="宋体"/>
          <w:bCs/>
        </w:rPr>
        <w:t>9</w:t>
      </w:r>
      <w:r>
        <w:rPr>
          <w:rFonts w:hint="eastAsia" w:ascii="宋体" w:hAnsi="宋体"/>
          <w:bCs/>
        </w:rPr>
        <w:t>%</w:t>
      </w:r>
      <w:r>
        <w:rPr>
          <w:rFonts w:hint="eastAsia" w:ascii="宋体" w:hAnsi="宋体"/>
          <w:bCs/>
          <w:szCs w:val="21"/>
        </w:rPr>
        <w:t>。</w:t>
      </w:r>
      <w:r>
        <w:rPr>
          <w:rFonts w:hint="eastAsia" w:ascii="宋体" w:hAnsi="宋体" w:cs="TimesNewRomanPSMT"/>
          <w:b/>
          <w:szCs w:val="21"/>
        </w:rPr>
        <w:t xml:space="preserve"> </w:t>
      </w:r>
    </w:p>
    <w:p w14:paraId="67FAD9D0">
      <w:pPr>
        <w:pStyle w:val="6"/>
        <w:spacing w:line="440" w:lineRule="exact"/>
        <w:rPr>
          <w:rFonts w:hint="eastAsia" w:ascii="宋体" w:hAnsi="宋体" w:cs="TimesNewRomanPSMT"/>
          <w:bCs w:val="0"/>
          <w:i w:val="0"/>
          <w:iCs w:val="0"/>
          <w:sz w:val="24"/>
          <w:szCs w:val="24"/>
        </w:rPr>
      </w:pPr>
      <w:bookmarkStart w:id="1342" w:name="_Toc11150"/>
      <w:bookmarkStart w:id="1343" w:name="_Toc15878"/>
      <w:bookmarkStart w:id="1344" w:name="_Toc5747"/>
      <w:bookmarkStart w:id="1345" w:name="_Toc11051"/>
      <w:bookmarkStart w:id="1346" w:name="_Toc357"/>
      <w:bookmarkStart w:id="1347" w:name="_Toc28390"/>
      <w:bookmarkStart w:id="1348" w:name="_Toc21712"/>
      <w:bookmarkStart w:id="1349" w:name="_Toc16763"/>
      <w:bookmarkStart w:id="1350" w:name="_Toc26291"/>
      <w:bookmarkStart w:id="1351" w:name="_Toc7120"/>
      <w:bookmarkStart w:id="1352" w:name="_Toc10417"/>
      <w:bookmarkStart w:id="1353" w:name="_Toc15995"/>
      <w:bookmarkStart w:id="1354" w:name="_Toc483482277"/>
      <w:r>
        <w:rPr>
          <w:rFonts w:hint="eastAsia" w:ascii="宋体" w:hAnsi="宋体" w:cs="TimesNewRomanPSMT"/>
          <w:bCs w:val="0"/>
          <w:i w:val="0"/>
          <w:iCs w:val="0"/>
          <w:sz w:val="24"/>
          <w:szCs w:val="24"/>
        </w:rPr>
        <w:t>2 清单以外项目</w:t>
      </w:r>
      <w:bookmarkEnd w:id="1342"/>
      <w:bookmarkEnd w:id="1343"/>
      <w:bookmarkEnd w:id="1344"/>
      <w:bookmarkEnd w:id="1345"/>
      <w:bookmarkEnd w:id="1346"/>
      <w:bookmarkEnd w:id="1347"/>
      <w:bookmarkEnd w:id="1348"/>
      <w:bookmarkEnd w:id="1349"/>
      <w:bookmarkEnd w:id="1350"/>
      <w:bookmarkEnd w:id="1351"/>
      <w:bookmarkEnd w:id="1352"/>
      <w:bookmarkEnd w:id="1353"/>
    </w:p>
    <w:p w14:paraId="05C709BF">
      <w:pPr>
        <w:tabs>
          <w:tab w:val="left" w:pos="2310"/>
        </w:tabs>
        <w:spacing w:line="440" w:lineRule="exact"/>
        <w:ind w:left="1" w:firstLine="422" w:firstLineChars="200"/>
        <w:rPr>
          <w:rFonts w:hint="eastAsia" w:ascii="宋体" w:hAnsi="宋体" w:cs="TimesNewRomanPSMT"/>
          <w:bCs/>
          <w:szCs w:val="21"/>
        </w:rPr>
      </w:pPr>
      <w:r>
        <w:rPr>
          <w:rFonts w:hint="eastAsia" w:ascii="宋体" w:hAnsi="宋体" w:cs="TimesNewRomanPSMT"/>
          <w:b/>
          <w:szCs w:val="21"/>
        </w:rPr>
        <w:t xml:space="preserve"> </w:t>
      </w:r>
      <w:r>
        <w:rPr>
          <w:rFonts w:hint="eastAsia" w:ascii="宋体" w:hAnsi="宋体" w:cs="TimesNewRomanPSMT"/>
          <w:bCs/>
          <w:szCs w:val="21"/>
        </w:rPr>
        <w:t xml:space="preserve"> 清单以外项目是指结算时不适用合同专用条款10.4 .1《变更估价》（1）、（2）进行结算的项目。</w:t>
      </w:r>
    </w:p>
    <w:p w14:paraId="742A2664">
      <w:pPr>
        <w:snapToGrid w:val="0"/>
        <w:spacing w:line="440" w:lineRule="exact"/>
        <w:ind w:firstLine="525" w:firstLineChars="250"/>
        <w:rPr>
          <w:rFonts w:hint="eastAsia" w:ascii="宋体" w:hAnsi="宋体" w:cs="TimesNewRomanPSMT"/>
          <w:bCs/>
        </w:rPr>
      </w:pPr>
      <w:r>
        <w:rPr>
          <w:rFonts w:hint="eastAsia" w:ascii="宋体" w:hAnsi="宋体" w:cs="TimesNewRomanPSMT"/>
          <w:bCs/>
        </w:rPr>
        <w:t>2.1计价依据：</w:t>
      </w:r>
    </w:p>
    <w:p w14:paraId="06D13DE5">
      <w:pPr>
        <w:snapToGrid w:val="0"/>
        <w:spacing w:line="440" w:lineRule="exact"/>
        <w:ind w:firstLine="420" w:firstLineChars="200"/>
        <w:rPr>
          <w:rFonts w:hint="eastAsia" w:ascii="宋体" w:hAnsi="宋体" w:cs="TimesNewRomanPSMT"/>
          <w:bCs/>
        </w:rPr>
      </w:pPr>
      <w:r>
        <w:rPr>
          <w:rFonts w:hint="eastAsia" w:ascii="宋体" w:hAnsi="宋体" w:cs="TimesNewRomanPSMT"/>
          <w:bCs/>
        </w:rPr>
        <w:t xml:space="preserve"> </w:t>
      </w:r>
      <w:r>
        <w:rPr>
          <w:rFonts w:hint="eastAsia" w:ascii="宋体" w:hAnsi="宋体" w:cs="TimesNewRomanPSMT"/>
          <w:bCs/>
        </w:rPr>
        <w:fldChar w:fldCharType="begin"/>
      </w:r>
      <w:r>
        <w:rPr>
          <w:rFonts w:hint="eastAsia" w:ascii="宋体" w:hAnsi="宋体" w:cs="TimesNewRomanPSMT"/>
          <w:bCs/>
        </w:rPr>
        <w:instrText xml:space="preserve"> = 1 \* GB3 \* MERGEFORMAT </w:instrText>
      </w:r>
      <w:r>
        <w:rPr>
          <w:rFonts w:hint="eastAsia" w:ascii="宋体" w:hAnsi="宋体" w:cs="TimesNewRomanPSMT"/>
          <w:bCs/>
        </w:rPr>
        <w:fldChar w:fldCharType="separate"/>
      </w:r>
      <w:r>
        <w:rPr>
          <w:rFonts w:hint="eastAsia" w:ascii="宋体" w:hAnsi="宋体" w:cs="TimesNewRomanPSMT"/>
          <w:bCs/>
        </w:rPr>
        <w:t>①</w:t>
      </w:r>
      <w:r>
        <w:rPr>
          <w:rFonts w:hint="eastAsia" w:ascii="宋体" w:hAnsi="宋体" w:cs="TimesNewRomanPSMT"/>
          <w:bCs/>
        </w:rPr>
        <w:fldChar w:fldCharType="end"/>
      </w:r>
      <w:r>
        <w:rPr>
          <w:rFonts w:hint="eastAsia" w:ascii="宋体" w:hAnsi="宋体" w:cs="TimesNewRomanPSMT"/>
          <w:bCs/>
        </w:rPr>
        <w:t>计价依据：2016版《山东省建筑工程消耗量定额》、2016版《山东省安装工程消耗量定额》、2016版《山东省市政工程消耗量定额》、2016版《山东省园林绿化工程消耗量定额》、2020版《山东省房屋修缮工程消耗量定额》及其补充定额，2021版价目表；</w:t>
      </w:r>
    </w:p>
    <w:p w14:paraId="7D639FA1">
      <w:pPr>
        <w:snapToGrid w:val="0"/>
        <w:spacing w:line="440" w:lineRule="exact"/>
        <w:ind w:firstLine="525" w:firstLineChars="250"/>
        <w:rPr>
          <w:rFonts w:hint="eastAsia" w:ascii="宋体" w:hAnsi="宋体" w:cs="TimesNewRomanPSMT"/>
          <w:bCs/>
        </w:rPr>
      </w:pPr>
      <w:r>
        <w:rPr>
          <w:rFonts w:hint="eastAsia" w:ascii="宋体" w:hAnsi="宋体" w:cs="TimesNewRomanPSMT"/>
          <w:bCs/>
        </w:rPr>
        <w:fldChar w:fldCharType="begin"/>
      </w:r>
      <w:r>
        <w:rPr>
          <w:rFonts w:hint="eastAsia" w:ascii="宋体" w:hAnsi="宋体" w:cs="TimesNewRomanPSMT"/>
          <w:bCs/>
        </w:rPr>
        <w:instrText xml:space="preserve"> = 2 \* GB3 \* MERGEFORMAT </w:instrText>
      </w:r>
      <w:r>
        <w:rPr>
          <w:rFonts w:hint="eastAsia" w:ascii="宋体" w:hAnsi="宋体" w:cs="TimesNewRomanPSMT"/>
          <w:bCs/>
        </w:rPr>
        <w:fldChar w:fldCharType="separate"/>
      </w:r>
      <w:r>
        <w:rPr>
          <w:rFonts w:hint="eastAsia" w:ascii="宋体" w:hAnsi="宋体" w:cs="TimesNewRomanPSMT"/>
          <w:bCs/>
        </w:rPr>
        <w:t>②</w:t>
      </w:r>
      <w:r>
        <w:rPr>
          <w:rFonts w:hint="eastAsia" w:ascii="宋体" w:hAnsi="宋体" w:cs="TimesNewRomanPSMT"/>
          <w:bCs/>
        </w:rPr>
        <w:fldChar w:fldCharType="end"/>
      </w:r>
      <w:r>
        <w:rPr>
          <w:rFonts w:hint="eastAsia" w:ascii="宋体" w:hAnsi="宋体" w:cs="TimesNewRomanPSMT"/>
          <w:bCs/>
        </w:rPr>
        <w:t>工程类别：建筑执行Ⅲ类取费，安装执行工业安装取费，装饰执行Ⅲ类取费，市政执行Ⅲ类取费；</w:t>
      </w:r>
    </w:p>
    <w:p w14:paraId="4E49622D">
      <w:pPr>
        <w:snapToGrid w:val="0"/>
        <w:spacing w:line="440" w:lineRule="exact"/>
        <w:ind w:firstLine="525" w:firstLineChars="250"/>
        <w:rPr>
          <w:rFonts w:hint="eastAsia" w:ascii="宋体" w:hAnsi="宋体" w:cs="TimesNewRomanPSMT"/>
          <w:bCs/>
        </w:rPr>
      </w:pPr>
      <w:r>
        <w:rPr>
          <w:rFonts w:hint="eastAsia" w:ascii="宋体" w:hAnsi="宋体" w:cs="TimesNewRomanPSMT"/>
          <w:bCs/>
        </w:rPr>
        <w:fldChar w:fldCharType="begin"/>
      </w:r>
      <w:r>
        <w:rPr>
          <w:rFonts w:hint="eastAsia" w:ascii="宋体" w:hAnsi="宋体" w:cs="TimesNewRomanPSMT"/>
          <w:bCs/>
        </w:rPr>
        <w:instrText xml:space="preserve"> = 3 \* GB3 \* MERGEFORMAT </w:instrText>
      </w:r>
      <w:r>
        <w:rPr>
          <w:rFonts w:hint="eastAsia" w:ascii="宋体" w:hAnsi="宋体" w:cs="TimesNewRomanPSMT"/>
          <w:bCs/>
        </w:rPr>
        <w:fldChar w:fldCharType="separate"/>
      </w:r>
      <w:r>
        <w:rPr>
          <w:rFonts w:hint="eastAsia" w:ascii="宋体" w:hAnsi="宋体" w:cs="TimesNewRomanPSMT"/>
          <w:bCs/>
        </w:rPr>
        <w:t>③</w:t>
      </w:r>
      <w:r>
        <w:rPr>
          <w:rFonts w:hint="eastAsia" w:ascii="宋体" w:hAnsi="宋体" w:cs="TimesNewRomanPSMT"/>
          <w:bCs/>
        </w:rPr>
        <w:fldChar w:fldCharType="end"/>
      </w:r>
      <w:r>
        <w:rPr>
          <w:rFonts w:hint="eastAsia" w:ascii="宋体" w:hAnsi="宋体" w:cs="TimesNewRomanPSMT"/>
          <w:bCs/>
        </w:rPr>
        <w:t>人工费建筑工程128元/工日，装饰工程138元/工日，安装工程138元/工日，市政工程117元/工日，园林绿化工程117元/工日；《山东省建设工程施工机械台班费用编制规则》（鲁建标字〔2016〕39号）中的人工单价调整为130元/工日；材料费投标文件中已有价格的材料执行投标价格，投标文件中没有价格的主要材料按照监理方、发包人书面确定的价格执行，其中清单已有价格的材料（如电线电缆、管材、雨水斗等），材质不变仅规格型号发生变更的，变更后仅调整不同规格型号的材料市场价差；</w:t>
      </w:r>
    </w:p>
    <w:p w14:paraId="3B2733FA">
      <w:pPr>
        <w:snapToGrid w:val="0"/>
        <w:spacing w:line="440" w:lineRule="exact"/>
        <w:ind w:firstLine="525" w:firstLineChars="250"/>
        <w:rPr>
          <w:rFonts w:hint="eastAsia" w:ascii="宋体" w:hAnsi="宋体" w:cs="TimesNewRomanPSMT"/>
          <w:bCs/>
        </w:rPr>
      </w:pPr>
      <w:r>
        <w:rPr>
          <w:rFonts w:hint="eastAsia" w:ascii="宋体" w:hAnsi="宋体" w:cs="TimesNewRomanPSMT"/>
          <w:bCs/>
        </w:rPr>
        <w:fldChar w:fldCharType="begin"/>
      </w:r>
      <w:r>
        <w:rPr>
          <w:rFonts w:hint="eastAsia" w:ascii="宋体" w:hAnsi="宋体" w:cs="TimesNewRomanPSMT"/>
          <w:bCs/>
        </w:rPr>
        <w:instrText xml:space="preserve"> = 4 \* GB3 \* MERGEFORMAT </w:instrText>
      </w:r>
      <w:r>
        <w:rPr>
          <w:rFonts w:hint="eastAsia" w:ascii="宋体" w:hAnsi="宋体" w:cs="TimesNewRomanPSMT"/>
          <w:bCs/>
        </w:rPr>
        <w:fldChar w:fldCharType="separate"/>
      </w:r>
      <w:r>
        <w:rPr>
          <w:rFonts w:hint="eastAsia" w:ascii="宋体" w:hAnsi="宋体" w:cs="TimesNewRomanPSMT"/>
          <w:bCs/>
        </w:rPr>
        <w:t>④</w:t>
      </w:r>
      <w:r>
        <w:rPr>
          <w:rFonts w:hint="eastAsia" w:ascii="宋体" w:hAnsi="宋体" w:cs="TimesNewRomanPSMT"/>
          <w:bCs/>
        </w:rPr>
        <w:fldChar w:fldCharType="end"/>
      </w:r>
      <w:r>
        <w:rPr>
          <w:rFonts w:hint="eastAsia" w:ascii="宋体" w:hAnsi="宋体" w:cs="TimesNewRomanPSMT"/>
          <w:bCs/>
        </w:rPr>
        <w:t>承包人按上述原则就清单外工作内容按总造价统一让利</w:t>
      </w:r>
      <w:r>
        <w:rPr>
          <w:rFonts w:hint="eastAsia" w:ascii="宋体" w:hAnsi="宋体" w:cs="TimesNewRomanPSMT"/>
          <w:bCs/>
          <w:u w:val="single"/>
        </w:rPr>
        <w:t xml:space="preserve">  5  </w:t>
      </w:r>
      <w:r>
        <w:rPr>
          <w:rFonts w:hint="eastAsia" w:ascii="宋体" w:hAnsi="宋体" w:cs="TimesNewRomanPSMT"/>
          <w:bCs/>
        </w:rPr>
        <w:t>%</w:t>
      </w:r>
    </w:p>
    <w:p w14:paraId="0C3ABDF3">
      <w:pPr>
        <w:snapToGrid w:val="0"/>
        <w:spacing w:line="440" w:lineRule="exact"/>
        <w:ind w:firstLine="420" w:firstLineChars="200"/>
        <w:rPr>
          <w:bCs/>
        </w:rPr>
      </w:pPr>
      <w:r>
        <w:rPr>
          <w:rFonts w:hint="eastAsia" w:ascii="宋体" w:hAnsi="宋体" w:cs="TimesNewRomanPSMT"/>
          <w:bCs/>
        </w:rPr>
        <w:t>（但经招标人审核签认的计入设备费的设备价格不参与让利。）</w:t>
      </w:r>
    </w:p>
    <w:p w14:paraId="4EABFF7D">
      <w:pPr>
        <w:snapToGrid w:val="0"/>
        <w:spacing w:line="440" w:lineRule="exact"/>
        <w:ind w:firstLine="525" w:firstLineChars="250"/>
        <w:rPr>
          <w:rFonts w:hint="eastAsia" w:ascii="宋体" w:hAnsi="宋体"/>
        </w:rPr>
      </w:pPr>
      <w:r>
        <w:rPr>
          <w:rFonts w:hint="eastAsia" w:ascii="宋体" w:hAnsi="宋体"/>
        </w:rPr>
        <w:t>2.2补充说明</w:t>
      </w:r>
    </w:p>
    <w:p w14:paraId="329B0303">
      <w:pPr>
        <w:snapToGrid w:val="0"/>
        <w:spacing w:line="440" w:lineRule="exact"/>
        <w:ind w:firstLine="525" w:firstLineChars="250"/>
        <w:rPr>
          <w:rFonts w:hint="eastAsia" w:ascii="宋体" w:hAnsi="宋体"/>
        </w:rPr>
      </w:pPr>
      <w:r>
        <w:rPr>
          <w:rFonts w:hint="eastAsia" w:ascii="宋体" w:hAnsi="宋体"/>
        </w:rPr>
        <w:t>2.2.1本工程的投标报价应是投标须知所确定工程招标范围内完成全部工作所需的费用。其中包括施工设备、劳务、管理、材料、运输、试验、完工、维护、利润、保险、税金及政策性文件规定等各项应有费用，及中标人作为本工程项目的总承包人，配合招标方办理建设手续消防验收、环评验收等相关费用（包括但不限于公证费等）。</w:t>
      </w:r>
    </w:p>
    <w:p w14:paraId="7302EFA0">
      <w:pPr>
        <w:snapToGrid w:val="0"/>
        <w:spacing w:line="440" w:lineRule="exact"/>
        <w:ind w:firstLine="525" w:firstLineChars="250"/>
        <w:rPr>
          <w:rFonts w:hint="eastAsia" w:ascii="宋体" w:hAnsi="宋体"/>
        </w:rPr>
      </w:pPr>
      <w:r>
        <w:rPr>
          <w:rFonts w:hint="eastAsia" w:ascii="宋体" w:hAnsi="宋体"/>
        </w:rPr>
        <w:t>2.2.2投标人应到工地踏勘以充分了解工地位置、情况、道路、储存空间、装卸限制及任何其他足以影响结算系数的情况，应充分考虑招标项目内容、施工特点以及市场变化、政策性调整、风险等所有因素，结合自身综合实力对项目建设进行竞争，任何忽视或误解工地情况而导致的索赔或工期延长申请将不被批准。</w:t>
      </w:r>
    </w:p>
    <w:p w14:paraId="088D1AEF">
      <w:pPr>
        <w:snapToGrid w:val="0"/>
        <w:spacing w:line="440" w:lineRule="exact"/>
        <w:ind w:firstLine="525" w:firstLineChars="250"/>
        <w:rPr>
          <w:rFonts w:hint="eastAsia" w:ascii="宋体" w:hAnsi="宋体" w:cs="TimesNewRomanPSMT"/>
          <w:b/>
        </w:rPr>
      </w:pPr>
      <w:r>
        <w:rPr>
          <w:rFonts w:hint="eastAsia" w:ascii="宋体" w:hAnsi="宋体"/>
        </w:rPr>
        <w:t>2.2.3计日工</w:t>
      </w:r>
      <w:r>
        <w:rPr>
          <w:rFonts w:hint="eastAsia" w:ascii="宋体" w:hAnsi="宋体"/>
          <w:u w:val="single"/>
        </w:rPr>
        <w:t xml:space="preserve">  220   </w:t>
      </w:r>
      <w:r>
        <w:rPr>
          <w:rFonts w:hint="eastAsia" w:ascii="宋体" w:hAnsi="宋体"/>
        </w:rPr>
        <w:t>元/工日</w:t>
      </w:r>
      <w:r>
        <w:rPr>
          <w:rFonts w:hint="eastAsia" w:ascii="宋体" w:hAnsi="宋体" w:cs="TimesNewRomanPSMT"/>
          <w:b/>
        </w:rPr>
        <w:t>（含全费用）。</w:t>
      </w:r>
    </w:p>
    <w:bookmarkEnd w:id="1354"/>
    <w:p w14:paraId="5BC2C4FE">
      <w:pPr>
        <w:pStyle w:val="6"/>
        <w:spacing w:line="440" w:lineRule="exact"/>
        <w:rPr>
          <w:rFonts w:hint="eastAsia" w:ascii="宋体" w:hAnsi="宋体" w:cs="TimesNewRomanPSMT"/>
          <w:bCs w:val="0"/>
          <w:i w:val="0"/>
          <w:iCs w:val="0"/>
          <w:sz w:val="24"/>
          <w:szCs w:val="24"/>
        </w:rPr>
      </w:pPr>
      <w:bookmarkStart w:id="1355" w:name="_Toc7392"/>
      <w:bookmarkStart w:id="1356" w:name="_Toc8694"/>
      <w:r>
        <w:rPr>
          <w:rFonts w:hint="eastAsia" w:ascii="宋体" w:hAnsi="宋体" w:cs="TimesNewRomanPSMT"/>
          <w:bCs w:val="0"/>
          <w:i w:val="0"/>
          <w:iCs w:val="0"/>
          <w:sz w:val="24"/>
          <w:szCs w:val="24"/>
        </w:rPr>
        <w:t>3 其他说明</w:t>
      </w:r>
      <w:bookmarkEnd w:id="1337"/>
      <w:bookmarkEnd w:id="1338"/>
      <w:bookmarkEnd w:id="1355"/>
      <w:bookmarkEnd w:id="1356"/>
    </w:p>
    <w:p w14:paraId="6D468CDC">
      <w:pPr>
        <w:snapToGrid w:val="0"/>
        <w:spacing w:line="440" w:lineRule="exact"/>
        <w:ind w:firstLine="527" w:firstLineChars="250"/>
        <w:rPr>
          <w:rFonts w:hint="eastAsia" w:ascii="宋体" w:hAnsi="宋体" w:cs="TimesNewRomanPSMT"/>
          <w:b/>
        </w:rPr>
      </w:pPr>
      <w:r>
        <w:rPr>
          <w:rFonts w:hint="eastAsia" w:ascii="宋体" w:hAnsi="宋体" w:cs="TimesNewRomanPSMT"/>
          <w:b/>
        </w:rPr>
        <w:t>3.1词语和定义</w:t>
      </w:r>
    </w:p>
    <w:p w14:paraId="46B65B5C">
      <w:pPr>
        <w:snapToGrid w:val="0"/>
        <w:spacing w:line="440" w:lineRule="exact"/>
        <w:ind w:firstLine="525" w:firstLineChars="250"/>
        <w:rPr>
          <w:rFonts w:hint="eastAsia" w:ascii="宋体" w:hAnsi="宋体"/>
        </w:rPr>
      </w:pPr>
      <w:r>
        <w:rPr>
          <w:rFonts w:hint="eastAsia" w:ascii="宋体" w:hAnsi="宋体"/>
        </w:rPr>
        <w:t>3.1.1  工程量清单</w:t>
      </w:r>
    </w:p>
    <w:p w14:paraId="1461FE46">
      <w:pPr>
        <w:snapToGrid w:val="0"/>
        <w:spacing w:line="440" w:lineRule="exact"/>
        <w:ind w:firstLine="525" w:firstLineChars="250"/>
        <w:rPr>
          <w:rFonts w:hint="eastAsia" w:ascii="宋体" w:hAnsi="宋体"/>
          <w:szCs w:val="21"/>
        </w:rPr>
      </w:pPr>
      <w:r>
        <w:rPr>
          <w:rFonts w:hint="eastAsia" w:ascii="宋体" w:hAnsi="宋体"/>
        </w:rPr>
        <w:t>是表现本工程分部分项工</w:t>
      </w:r>
      <w:r>
        <w:rPr>
          <w:rFonts w:hint="eastAsia" w:ascii="宋体" w:hAnsi="宋体"/>
          <w:szCs w:val="21"/>
        </w:rPr>
        <w:t>程项目、措施项目、其他项目、规费项目和税金的名称和相应数量等的明细清单。</w:t>
      </w:r>
    </w:p>
    <w:p w14:paraId="602D0E44">
      <w:pPr>
        <w:snapToGrid w:val="0"/>
        <w:spacing w:line="440" w:lineRule="exact"/>
        <w:ind w:firstLine="525" w:firstLineChars="250"/>
        <w:rPr>
          <w:rFonts w:hint="eastAsia" w:ascii="宋体" w:hAnsi="宋体"/>
          <w:szCs w:val="21"/>
        </w:rPr>
      </w:pPr>
      <w:r>
        <w:rPr>
          <w:rFonts w:hint="eastAsia" w:ascii="宋体" w:hAnsi="宋体"/>
          <w:szCs w:val="21"/>
        </w:rPr>
        <w:t>3.1.2  总价子目</w:t>
      </w:r>
    </w:p>
    <w:p w14:paraId="424F6FF7">
      <w:pPr>
        <w:snapToGrid w:val="0"/>
        <w:spacing w:line="440" w:lineRule="exact"/>
        <w:ind w:firstLine="525" w:firstLineChars="250"/>
        <w:rPr>
          <w:rFonts w:hint="eastAsia" w:ascii="宋体" w:hAnsi="宋体"/>
          <w:szCs w:val="21"/>
        </w:rPr>
      </w:pPr>
      <w:r>
        <w:rPr>
          <w:rFonts w:hint="eastAsia" w:ascii="宋体" w:hAnsi="宋体"/>
          <w:szCs w:val="21"/>
        </w:rPr>
        <w:t>工程量清单中以总价计价，以“项”为计量单位，工程量为整数1的子目，除专用合同条款另有约定外，总价固定包干。采用总价合同形式时，合同订立后，已标价工程量清单中的工程量均没有合同约束力，所有子目均是总价子目，视同按项计量(合同条款约定的变更除外)。</w:t>
      </w:r>
    </w:p>
    <w:p w14:paraId="71BF9F3C">
      <w:pPr>
        <w:snapToGrid w:val="0"/>
        <w:spacing w:line="440" w:lineRule="exact"/>
        <w:ind w:firstLine="525" w:firstLineChars="250"/>
        <w:rPr>
          <w:rFonts w:hint="eastAsia" w:ascii="宋体" w:hAnsi="宋体"/>
          <w:szCs w:val="21"/>
        </w:rPr>
      </w:pPr>
      <w:r>
        <w:rPr>
          <w:rFonts w:hint="eastAsia" w:ascii="宋体" w:hAnsi="宋体"/>
          <w:szCs w:val="21"/>
        </w:rPr>
        <w:t>3.1.3  单价子目</w:t>
      </w:r>
    </w:p>
    <w:p w14:paraId="4E75EB15">
      <w:pPr>
        <w:snapToGrid w:val="0"/>
        <w:spacing w:line="440" w:lineRule="exact"/>
        <w:ind w:firstLine="525" w:firstLineChars="250"/>
        <w:rPr>
          <w:rFonts w:hint="eastAsia" w:ascii="宋体" w:hAnsi="宋体"/>
          <w:szCs w:val="21"/>
        </w:rPr>
      </w:pPr>
      <w:r>
        <w:rPr>
          <w:rFonts w:hint="eastAsia" w:ascii="宋体" w:hAnsi="宋体"/>
          <w:szCs w:val="21"/>
        </w:rPr>
        <w:t>工程量清单中以单价计价，根据有合同约束力的图纸和工程量计算规则进行计量，以实际完成数量乘以相应单价进行结算的子目。</w:t>
      </w:r>
    </w:p>
    <w:p w14:paraId="3BD64F52">
      <w:pPr>
        <w:snapToGrid w:val="0"/>
        <w:spacing w:line="440" w:lineRule="exact"/>
        <w:ind w:firstLine="525" w:firstLineChars="250"/>
        <w:rPr>
          <w:rFonts w:hint="eastAsia" w:ascii="宋体" w:hAnsi="宋体"/>
          <w:szCs w:val="21"/>
        </w:rPr>
      </w:pPr>
      <w:r>
        <w:rPr>
          <w:rFonts w:hint="eastAsia" w:ascii="宋体" w:hAnsi="宋体"/>
          <w:szCs w:val="21"/>
        </w:rPr>
        <w:t>3.1.4  子目编码</w:t>
      </w:r>
    </w:p>
    <w:p w14:paraId="7F503AA8">
      <w:pPr>
        <w:snapToGrid w:val="0"/>
        <w:spacing w:line="440" w:lineRule="exact"/>
        <w:ind w:firstLine="525" w:firstLineChars="250"/>
        <w:rPr>
          <w:rFonts w:hint="eastAsia" w:ascii="宋体" w:hAnsi="宋体"/>
          <w:szCs w:val="21"/>
        </w:rPr>
      </w:pPr>
      <w:r>
        <w:rPr>
          <w:rFonts w:hint="eastAsia" w:ascii="宋体" w:hAnsi="宋体"/>
          <w:szCs w:val="21"/>
        </w:rPr>
        <w:t>分部分项工程项目清单中所列的子目名称的数字标识和代码，子目编码与项目编码同义。</w:t>
      </w:r>
    </w:p>
    <w:p w14:paraId="0F334382">
      <w:pPr>
        <w:snapToGrid w:val="0"/>
        <w:spacing w:line="440" w:lineRule="exact"/>
        <w:ind w:firstLine="525" w:firstLineChars="250"/>
        <w:rPr>
          <w:rFonts w:hint="eastAsia" w:ascii="宋体" w:hAnsi="宋体"/>
          <w:szCs w:val="21"/>
        </w:rPr>
      </w:pPr>
      <w:r>
        <w:rPr>
          <w:rFonts w:hint="eastAsia" w:ascii="宋体" w:hAnsi="宋体"/>
          <w:szCs w:val="21"/>
        </w:rPr>
        <w:t>3.1.5  子目特征</w:t>
      </w:r>
    </w:p>
    <w:p w14:paraId="06319718">
      <w:pPr>
        <w:snapToGrid w:val="0"/>
        <w:spacing w:line="440" w:lineRule="exact"/>
        <w:ind w:firstLine="525" w:firstLineChars="250"/>
        <w:rPr>
          <w:rFonts w:hint="eastAsia" w:ascii="宋体" w:hAnsi="宋体"/>
          <w:szCs w:val="21"/>
        </w:rPr>
      </w:pPr>
      <w:r>
        <w:rPr>
          <w:rFonts w:hint="eastAsia" w:ascii="宋体" w:hAnsi="宋体"/>
          <w:szCs w:val="21"/>
        </w:rPr>
        <w:t>构成分部分项工程项目清单子目、措施项目的实质内容、决定其自身价值的本质特征，子目特征与项目特征同义。</w:t>
      </w:r>
    </w:p>
    <w:p w14:paraId="54F31B5D">
      <w:pPr>
        <w:snapToGrid w:val="0"/>
        <w:spacing w:line="440" w:lineRule="exact"/>
        <w:ind w:firstLine="525" w:firstLineChars="250"/>
        <w:rPr>
          <w:rFonts w:hint="eastAsia" w:ascii="宋体" w:hAnsi="宋体"/>
          <w:szCs w:val="21"/>
        </w:rPr>
      </w:pPr>
      <w:r>
        <w:rPr>
          <w:rFonts w:hint="eastAsia" w:ascii="宋体" w:hAnsi="宋体"/>
          <w:szCs w:val="21"/>
        </w:rPr>
        <w:t>3.1.6  规费</w:t>
      </w:r>
    </w:p>
    <w:p w14:paraId="06CA1E45">
      <w:pPr>
        <w:snapToGrid w:val="0"/>
        <w:spacing w:line="440" w:lineRule="exact"/>
        <w:ind w:firstLine="525" w:firstLineChars="250"/>
        <w:rPr>
          <w:rFonts w:hint="eastAsia" w:ascii="宋体" w:hAnsi="宋体"/>
          <w:szCs w:val="21"/>
        </w:rPr>
      </w:pPr>
      <w:r>
        <w:rPr>
          <w:rFonts w:hint="eastAsia" w:ascii="宋体" w:hAnsi="宋体"/>
          <w:szCs w:val="21"/>
        </w:rPr>
        <w:t>承包人根据省级政府或省级有关权力部门规定必须缴纳的，应计入建筑安装工程造价的费用。</w:t>
      </w:r>
    </w:p>
    <w:p w14:paraId="3382CC96">
      <w:pPr>
        <w:snapToGrid w:val="0"/>
        <w:spacing w:line="440" w:lineRule="exact"/>
        <w:ind w:firstLine="525" w:firstLineChars="250"/>
        <w:rPr>
          <w:rFonts w:hint="eastAsia" w:ascii="宋体" w:hAnsi="宋体"/>
          <w:szCs w:val="21"/>
        </w:rPr>
      </w:pPr>
      <w:r>
        <w:rPr>
          <w:rFonts w:hint="eastAsia" w:ascii="宋体" w:hAnsi="宋体"/>
          <w:szCs w:val="21"/>
        </w:rPr>
        <w:t>3.1.7  税金</w:t>
      </w:r>
    </w:p>
    <w:p w14:paraId="5AB5A293">
      <w:pPr>
        <w:snapToGrid w:val="0"/>
        <w:spacing w:line="440" w:lineRule="exact"/>
        <w:ind w:firstLine="525" w:firstLineChars="250"/>
        <w:rPr>
          <w:rFonts w:hint="eastAsia" w:ascii="宋体" w:hAnsi="宋体"/>
          <w:szCs w:val="21"/>
        </w:rPr>
      </w:pPr>
      <w:r>
        <w:rPr>
          <w:rFonts w:hint="eastAsia" w:ascii="宋体" w:hAnsi="宋体"/>
          <w:szCs w:val="21"/>
        </w:rPr>
        <w:t>国家税法规定的应计入建筑安装工程造价内的营业税、城市维护建设税及教育费附加等。</w:t>
      </w:r>
    </w:p>
    <w:p w14:paraId="5545F312">
      <w:pPr>
        <w:snapToGrid w:val="0"/>
        <w:spacing w:line="440" w:lineRule="exact"/>
        <w:ind w:firstLine="525" w:firstLineChars="250"/>
        <w:rPr>
          <w:rFonts w:hint="eastAsia" w:ascii="宋体" w:hAnsi="宋体"/>
          <w:szCs w:val="21"/>
        </w:rPr>
      </w:pPr>
      <w:r>
        <w:rPr>
          <w:rFonts w:hint="eastAsia" w:ascii="宋体" w:hAnsi="宋体"/>
          <w:szCs w:val="21"/>
        </w:rPr>
        <w:t>3.1.8  总承包服务费</w:t>
      </w:r>
    </w:p>
    <w:p w14:paraId="26A9F982">
      <w:pPr>
        <w:snapToGrid w:val="0"/>
        <w:spacing w:line="440" w:lineRule="exact"/>
        <w:ind w:firstLine="525" w:firstLineChars="250"/>
        <w:rPr>
          <w:rFonts w:hint="eastAsia" w:ascii="宋体" w:hAnsi="宋体"/>
          <w:szCs w:val="21"/>
        </w:rPr>
      </w:pPr>
      <w:r>
        <w:rPr>
          <w:rFonts w:hint="eastAsia" w:ascii="宋体" w:hAnsi="宋体"/>
          <w:szCs w:val="21"/>
        </w:rPr>
        <w:t>总承包人为配合协调发包人发包的专业工程以及发包人采购的材料和工程设备等进行管理、服务以及施工现场管理、竣工资料汇总整理等所需的费用。</w:t>
      </w:r>
    </w:p>
    <w:p w14:paraId="42D67EC6">
      <w:pPr>
        <w:snapToGrid w:val="0"/>
        <w:spacing w:line="440" w:lineRule="exact"/>
        <w:ind w:firstLine="525" w:firstLineChars="250"/>
        <w:rPr>
          <w:rFonts w:hint="eastAsia" w:ascii="宋体" w:hAnsi="宋体"/>
          <w:szCs w:val="21"/>
        </w:rPr>
      </w:pPr>
      <w:r>
        <w:rPr>
          <w:rFonts w:hint="eastAsia" w:ascii="宋体" w:hAnsi="宋体"/>
          <w:szCs w:val="21"/>
        </w:rPr>
        <w:t>3.1.9  同义词语</w:t>
      </w:r>
    </w:p>
    <w:p w14:paraId="06B4668B">
      <w:pPr>
        <w:snapToGrid w:val="0"/>
        <w:spacing w:line="440" w:lineRule="exact"/>
        <w:ind w:firstLine="525" w:firstLineChars="250"/>
        <w:rPr>
          <w:rFonts w:hint="eastAsia" w:ascii="宋体" w:hAnsi="宋体"/>
          <w:szCs w:val="21"/>
        </w:rPr>
      </w:pPr>
      <w:r>
        <w:rPr>
          <w:rFonts w:hint="eastAsia" w:ascii="宋体" w:hAnsi="宋体"/>
          <w:szCs w:val="21"/>
        </w:rPr>
        <w:t>本章中使用的词语“招标人”和“投标人”分别与合同条款中定义的“发包人”和“承包人”同义；就工程量清单而言，“子目”与“项目”同义。</w:t>
      </w:r>
    </w:p>
    <w:p w14:paraId="21199E3D">
      <w:pPr>
        <w:snapToGrid w:val="0"/>
        <w:spacing w:line="440" w:lineRule="exact"/>
        <w:ind w:firstLine="527" w:firstLineChars="250"/>
        <w:rPr>
          <w:rFonts w:hint="eastAsia" w:ascii="宋体" w:hAnsi="宋体" w:cs="TimesNewRomanPSMT"/>
          <w:b/>
        </w:rPr>
      </w:pPr>
      <w:r>
        <w:rPr>
          <w:rFonts w:hint="eastAsia" w:ascii="宋体" w:hAnsi="宋体" w:cs="TimesNewRomanPSMT"/>
          <w:b/>
        </w:rPr>
        <w:t>3.2暂列金额和暂估价</w:t>
      </w:r>
    </w:p>
    <w:p w14:paraId="3BD6F267">
      <w:pPr>
        <w:snapToGrid w:val="0"/>
        <w:spacing w:line="440" w:lineRule="exact"/>
        <w:ind w:firstLine="525" w:firstLineChars="250"/>
        <w:rPr>
          <w:rFonts w:hint="eastAsia" w:ascii="宋体" w:hAnsi="宋体"/>
          <w:szCs w:val="21"/>
        </w:rPr>
      </w:pPr>
      <w:r>
        <w:rPr>
          <w:rFonts w:hint="eastAsia" w:ascii="宋体" w:hAnsi="宋体"/>
          <w:szCs w:val="21"/>
        </w:rPr>
        <w:t>3.2.1  “暂列金额明细表”中所列暂列金额(不包括计日工金额)中已经包含与其对应的管理费、利润，但不含规费、税金。投标人应按本招标文件规定将此类暂列金额直接纳入其他项目清单的投标价格，不需要考虑除规费、税金以外的其他任何费用。</w:t>
      </w:r>
    </w:p>
    <w:p w14:paraId="10C5E2EB">
      <w:pPr>
        <w:snapToGrid w:val="0"/>
        <w:spacing w:line="440" w:lineRule="exact"/>
        <w:ind w:firstLine="525" w:firstLineChars="250"/>
        <w:rPr>
          <w:rFonts w:hint="eastAsia" w:ascii="宋体" w:hAnsi="宋体"/>
          <w:szCs w:val="21"/>
        </w:rPr>
      </w:pPr>
      <w:r>
        <w:rPr>
          <w:rFonts w:hint="eastAsia" w:ascii="宋体" w:hAnsi="宋体"/>
          <w:szCs w:val="21"/>
        </w:rPr>
        <w:t>3.2.2  “材料和工程设备暂估价表”中所列的材料和工程设备暂估价是此类材料、工程设备本身运至施工现场内的工地地面价，不包括其本身所对应的管理费、利润、规费、税金以及这些材料和工程设备的安装、安装所需要的辅助材料、安装损耗、驻厂监造以及发生在现场内的验收、存储、保管、开箱、二次倒运、从存放地点运至安装地点以及其他任何必要的辅助工作(以下简称“暂估价材料和工程设备的安装及辅助工作”)所发生的费用及其对应的管理费、利润、规费和税金。暂估价材料应按工程量清单中提供的暂估价格计入分部分项工程量清单相应子目的综合单价，暂估价设备按工程量清单中提供的暂估价格计入设备费，除此以外投标人还应将上述材料和工程设备的安装及辅助工作所发生的费用以及与此类费用有关的管理费和利润计入在分部分项工程量清单相应子目的综合单价中。</w:t>
      </w:r>
    </w:p>
    <w:p w14:paraId="19E39983">
      <w:pPr>
        <w:snapToGrid w:val="0"/>
        <w:spacing w:line="440" w:lineRule="exact"/>
        <w:ind w:firstLine="527" w:firstLineChars="250"/>
        <w:rPr>
          <w:rFonts w:hint="eastAsia" w:ascii="宋体" w:hAnsi="宋体"/>
          <w:b/>
          <w:bCs/>
          <w:szCs w:val="21"/>
        </w:rPr>
      </w:pPr>
      <w:r>
        <w:rPr>
          <w:rFonts w:hint="eastAsia" w:ascii="宋体" w:hAnsi="宋体"/>
          <w:b/>
          <w:bCs/>
          <w:szCs w:val="21"/>
        </w:rPr>
        <w:t>3.3 其他补充说明</w:t>
      </w:r>
    </w:p>
    <w:p w14:paraId="309FCE2B">
      <w:pPr>
        <w:snapToGrid w:val="0"/>
        <w:spacing w:line="360" w:lineRule="auto"/>
        <w:ind w:firstLine="525" w:firstLineChars="250"/>
        <w:rPr>
          <w:rFonts w:hint="eastAsia" w:ascii="宋体" w:hAnsi="宋体"/>
          <w:szCs w:val="21"/>
        </w:rPr>
      </w:pPr>
      <w:r>
        <w:rPr>
          <w:rFonts w:hint="eastAsia" w:ascii="宋体" w:hAnsi="宋体"/>
          <w:szCs w:val="21"/>
        </w:rPr>
        <w:t>3.3.1完成招标范围中所需的各项费用应综合考虑在投标总报价及分部分项清单综合单价中，不再单独列项填报、结算。</w:t>
      </w:r>
    </w:p>
    <w:p w14:paraId="05052E7E">
      <w:pPr>
        <w:snapToGrid w:val="0"/>
        <w:spacing w:line="360" w:lineRule="auto"/>
        <w:ind w:firstLine="525" w:firstLineChars="250"/>
        <w:rPr>
          <w:rFonts w:hint="eastAsia" w:ascii="宋体" w:hAnsi="宋体"/>
          <w:bCs/>
          <w:szCs w:val="21"/>
        </w:rPr>
      </w:pPr>
      <w:r>
        <w:rPr>
          <w:rFonts w:hint="eastAsia" w:ascii="宋体" w:hAnsi="宋体"/>
          <w:szCs w:val="21"/>
        </w:rPr>
        <w:t>3.3</w:t>
      </w:r>
      <w:r>
        <w:rPr>
          <w:rFonts w:hint="eastAsia" w:ascii="宋体" w:hAnsi="宋体"/>
          <w:bCs/>
          <w:szCs w:val="21"/>
        </w:rPr>
        <w:t>.2</w:t>
      </w:r>
      <w:r>
        <w:rPr>
          <w:rFonts w:hint="eastAsia" w:ascii="宋体" w:hAnsi="宋体"/>
          <w:b/>
          <w:bCs/>
          <w:szCs w:val="21"/>
        </w:rPr>
        <w:t>根据山东省住房和城乡建设厅关于调整建设项目工伤保险费率的通知（鲁建标字〔2020〕17号）建设项目工伤保险按省统一发布费率进行计算，一般计税法下为0.105%，简易计税法下为0.1%。承包人应按照相关规定办理工伤保险并缴纳该部分费用。</w:t>
      </w:r>
    </w:p>
    <w:p w14:paraId="75606141">
      <w:pPr>
        <w:snapToGrid w:val="0"/>
        <w:spacing w:line="360" w:lineRule="auto"/>
        <w:ind w:firstLine="527" w:firstLineChars="250"/>
        <w:rPr>
          <w:rFonts w:hint="eastAsia" w:ascii="宋体" w:hAnsi="宋体"/>
          <w:b/>
          <w:bCs/>
          <w:szCs w:val="21"/>
        </w:rPr>
      </w:pPr>
      <w:r>
        <w:rPr>
          <w:rFonts w:hint="eastAsia" w:ascii="宋体" w:hAnsi="宋体"/>
          <w:b/>
          <w:bCs/>
          <w:szCs w:val="21"/>
        </w:rPr>
        <w:t>3.3.3项目描述及工作内容相同的清单子项综合单价必须相同，若有不同报价，结算时招标人有权按照较低报价确定该子项的综合单价。</w:t>
      </w:r>
    </w:p>
    <w:p w14:paraId="3F1E4948">
      <w:pPr>
        <w:pStyle w:val="13"/>
        <w:tabs>
          <w:tab w:val="left" w:pos="3780"/>
        </w:tabs>
        <w:spacing w:line="360" w:lineRule="auto"/>
        <w:ind w:left="63" w:right="63" w:firstLine="422" w:firstLineChars="200"/>
        <w:jc w:val="left"/>
      </w:pPr>
      <w:r>
        <w:rPr>
          <w:rFonts w:hint="eastAsia" w:asciiTheme="minorEastAsia" w:hAnsiTheme="minorEastAsia" w:eastAsiaTheme="minorEastAsia" w:cstheme="minorEastAsia"/>
          <w:b/>
          <w:bCs/>
          <w:sz w:val="21"/>
          <w:szCs w:val="21"/>
        </w:rPr>
        <w:t>3.3.4投标人要对拟建工程可能发生（含设计变更及工程量变化）的措施项目和措施费用作通盘考虑，清单计价一经报出即被认为是包括了所有应该发生的措施项目的全部费用。如果报出的清单中没有列项，而施工中又必须发生的项目，业主有权认为，其已经综合在分部分项工程量清单的综合单价中。将来措施项目发生时投标人不得以任何借口提出索赔与调整，中标清单措施费包干使用。</w:t>
      </w:r>
    </w:p>
    <w:p w14:paraId="568F4FF7">
      <w:pPr>
        <w:snapToGrid w:val="0"/>
        <w:spacing w:line="360" w:lineRule="auto"/>
        <w:ind w:firstLine="525" w:firstLineChars="250"/>
        <w:rPr>
          <w:rFonts w:hint="eastAsia" w:ascii="宋体" w:hAnsi="宋体"/>
          <w:bCs/>
          <w:szCs w:val="21"/>
        </w:rPr>
      </w:pPr>
      <w:r>
        <w:rPr>
          <w:rFonts w:hint="eastAsia" w:ascii="宋体" w:hAnsi="宋体"/>
          <w:szCs w:val="21"/>
        </w:rPr>
        <w:t>3.3</w:t>
      </w:r>
      <w:r>
        <w:rPr>
          <w:rFonts w:hint="eastAsia" w:ascii="宋体" w:hAnsi="宋体"/>
          <w:bCs/>
          <w:szCs w:val="21"/>
        </w:rPr>
        <w:t>.5工程量清单另册提供。投标人报价时按给定的工程量清单格式报价。</w:t>
      </w:r>
      <w:bookmarkEnd w:id="1323"/>
      <w:bookmarkEnd w:id="1324"/>
      <w:bookmarkEnd w:id="1325"/>
      <w:bookmarkEnd w:id="1326"/>
      <w:bookmarkEnd w:id="1327"/>
      <w:bookmarkEnd w:id="1328"/>
      <w:bookmarkEnd w:id="1329"/>
      <w:bookmarkEnd w:id="1330"/>
      <w:bookmarkEnd w:id="1331"/>
      <w:bookmarkEnd w:id="1332"/>
      <w:bookmarkEnd w:id="1333"/>
      <w:bookmarkEnd w:id="1334"/>
    </w:p>
    <w:p w14:paraId="3D9BF842">
      <w:pPr>
        <w:snapToGrid w:val="0"/>
        <w:spacing w:line="360" w:lineRule="auto"/>
        <w:ind w:firstLine="525" w:firstLineChars="250"/>
        <w:rPr>
          <w:rFonts w:hint="eastAsia" w:ascii="宋体" w:hAnsi="宋体"/>
          <w:bCs/>
          <w:szCs w:val="21"/>
        </w:rPr>
      </w:pPr>
      <w:r>
        <w:rPr>
          <w:rFonts w:hint="eastAsia" w:ascii="宋体" w:hAnsi="宋体"/>
          <w:szCs w:val="21"/>
        </w:rPr>
        <w:t>3.3</w:t>
      </w:r>
      <w:r>
        <w:rPr>
          <w:rFonts w:hint="eastAsia" w:ascii="宋体" w:hAnsi="宋体"/>
          <w:bCs/>
          <w:szCs w:val="21"/>
        </w:rPr>
        <w:t>.6施工中因承包人私自变更施工组织设计引起的造价变动一律不计入结算，造成所有损失均有承包人自行负责。</w:t>
      </w:r>
    </w:p>
    <w:p w14:paraId="611B3E9C">
      <w:pPr>
        <w:snapToGrid w:val="0"/>
        <w:spacing w:line="360" w:lineRule="auto"/>
        <w:ind w:firstLine="525" w:firstLineChars="250"/>
        <w:rPr>
          <w:rFonts w:hint="eastAsia" w:ascii="宋体" w:hAnsi="宋体"/>
          <w:bCs/>
          <w:szCs w:val="21"/>
        </w:rPr>
      </w:pPr>
      <w:r>
        <w:rPr>
          <w:rFonts w:hint="eastAsia" w:ascii="宋体" w:hAnsi="宋体"/>
          <w:szCs w:val="21"/>
        </w:rPr>
        <w:t>3.3</w:t>
      </w:r>
      <w:r>
        <w:rPr>
          <w:rFonts w:hint="eastAsia" w:ascii="宋体" w:hAnsi="宋体"/>
          <w:bCs/>
          <w:szCs w:val="21"/>
        </w:rPr>
        <w:t>.7发包人有权就发包人直接发包的专业工程要求承包人与专业工程承包人签订分包合同，承包人不得有任何异议并应积极配合，否则，发包人有权拒绝支付工程款。</w:t>
      </w:r>
    </w:p>
    <w:p w14:paraId="64E4BA27">
      <w:pPr>
        <w:snapToGrid w:val="0"/>
        <w:spacing w:line="360" w:lineRule="auto"/>
        <w:ind w:firstLine="525" w:firstLineChars="250"/>
        <w:rPr>
          <w:rFonts w:hint="eastAsia" w:ascii="宋体" w:hAnsi="宋体"/>
          <w:bCs/>
          <w:szCs w:val="21"/>
        </w:rPr>
      </w:pPr>
      <w:r>
        <w:rPr>
          <w:rFonts w:hint="eastAsia" w:ascii="宋体" w:hAnsi="宋体"/>
          <w:szCs w:val="21"/>
        </w:rPr>
        <w:t>3.3</w:t>
      </w:r>
      <w:r>
        <w:rPr>
          <w:rFonts w:hint="eastAsia" w:ascii="宋体" w:hAnsi="宋体"/>
          <w:bCs/>
          <w:szCs w:val="21"/>
        </w:rPr>
        <w:t>.8发包人应遵守我国现行的关于保护劳动者的法规，其中包括不得雇佣强迫劳动力和童工；确保工作场所健康、安全，进一步提高和改善工作环境；确保劳动者获得有法律效力并受法律保障的相应报酬。如承包人拖欠劳动者（包含为承包人提供劳动的一切书面或非书面雇佣的工人）工资，造成群体性事件或上访的,承包人须立即出面解决，疏散人群，否则发包人有权从工程款中直接扣除发包人因此遭受的损失。拖欠工资经有关部门调查属实的，发包人有权从工程款中扣除直接向劳动者支付，折抵承包人的工程款。</w:t>
      </w:r>
    </w:p>
    <w:p w14:paraId="265A4282">
      <w:pPr>
        <w:snapToGrid w:val="0"/>
        <w:spacing w:line="360" w:lineRule="auto"/>
        <w:ind w:firstLine="525" w:firstLineChars="250"/>
        <w:rPr>
          <w:rFonts w:hint="eastAsia" w:ascii="宋体" w:hAnsi="宋体"/>
          <w:bCs/>
          <w:szCs w:val="21"/>
        </w:rPr>
      </w:pPr>
      <w:r>
        <w:rPr>
          <w:rFonts w:hint="eastAsia" w:ascii="宋体" w:hAnsi="宋体"/>
          <w:bCs/>
          <w:szCs w:val="21"/>
        </w:rPr>
        <w:t>由于承包人或其管理的分包单位拖欠劳动者工资致使发包人被投诉或起诉并被判令先行垫付劳动者工资的，承包人除承担1次严重违约责任外，还应向发包人支付发包人先行垫付的劳动者工资金额的两倍作为补偿。</w:t>
      </w:r>
    </w:p>
    <w:p w14:paraId="0D7F6797">
      <w:pPr>
        <w:snapToGrid w:val="0"/>
        <w:spacing w:line="360" w:lineRule="auto"/>
        <w:ind w:firstLine="525" w:firstLineChars="250"/>
        <w:rPr>
          <w:rFonts w:hint="eastAsia" w:ascii="宋体" w:hAnsi="宋体"/>
          <w:bCs/>
          <w:szCs w:val="21"/>
        </w:rPr>
      </w:pPr>
      <w:r>
        <w:rPr>
          <w:rFonts w:hint="eastAsia" w:ascii="宋体" w:hAnsi="宋体"/>
          <w:bCs/>
          <w:szCs w:val="21"/>
        </w:rPr>
        <w:t>因承包人违约导致发包人暂停支付工程款时，承包人不得以此为理由拖欠工资，在发包人和承包人就暂停支付工程款问题解决之前，承包人有义务先行支付其所属工人工资。</w:t>
      </w:r>
    </w:p>
    <w:p w14:paraId="32ACB3F7">
      <w:pPr>
        <w:snapToGrid w:val="0"/>
        <w:spacing w:line="360" w:lineRule="auto"/>
        <w:ind w:firstLine="525" w:firstLineChars="250"/>
        <w:rPr>
          <w:rFonts w:hint="eastAsia" w:ascii="宋体" w:hAnsi="宋体"/>
          <w:bCs/>
          <w:szCs w:val="21"/>
        </w:rPr>
      </w:pPr>
      <w:r>
        <w:rPr>
          <w:rFonts w:hint="eastAsia" w:ascii="宋体" w:hAnsi="宋体"/>
          <w:szCs w:val="21"/>
        </w:rPr>
        <w:t>3.3</w:t>
      </w:r>
      <w:r>
        <w:rPr>
          <w:rFonts w:hint="eastAsia" w:ascii="宋体" w:hAnsi="宋体"/>
          <w:bCs/>
          <w:szCs w:val="21"/>
        </w:rPr>
        <w:t>.9发包人有权在工程款内扣留30万元群体事件保证金，若发生因承包人原因造成的群体上访事件或拖欠工人工资的情形，经发包人核实后，发包人有权在该笔保证金内扣除相应金额的款项代为支付；若未发生因承包人原因造成的群体上访事件或拖欠工人工资的情形，该保证金无息返还或冲抵工程款。</w:t>
      </w:r>
    </w:p>
    <w:p w14:paraId="332187AA">
      <w:pPr>
        <w:snapToGrid w:val="0"/>
        <w:spacing w:line="360" w:lineRule="auto"/>
        <w:ind w:firstLine="527" w:firstLineChars="250"/>
        <w:rPr>
          <w:rFonts w:hint="eastAsia" w:ascii="宋体" w:hAnsi="宋体"/>
          <w:b/>
          <w:bCs/>
          <w:szCs w:val="21"/>
        </w:rPr>
      </w:pPr>
      <w:r>
        <w:rPr>
          <w:rFonts w:hint="eastAsia" w:ascii="宋体" w:hAnsi="宋体"/>
          <w:b/>
          <w:bCs/>
          <w:szCs w:val="21"/>
        </w:rPr>
        <w:t>3.3.10工程结算审计，由发包人委托造价咨询单位审计或自行审计，基本审计费由发包人支付。对审减额超过5%的部分，按审减额的5%计取审计费，由承包人支付;审增部分按实际审增额的5%计取审计费，由承包人支付。承包人应支付的审计费，由发包人在工程款中代扣代缴或者由承包人直接支付。</w:t>
      </w:r>
    </w:p>
    <w:p w14:paraId="6EC37E58">
      <w:pPr>
        <w:pStyle w:val="4"/>
        <w:ind w:left="420"/>
      </w:pPr>
    </w:p>
    <w:p w14:paraId="00413724">
      <w:pPr>
        <w:snapToGrid w:val="0"/>
        <w:spacing w:line="360" w:lineRule="auto"/>
        <w:ind w:firstLine="527" w:firstLineChars="250"/>
        <w:rPr>
          <w:rFonts w:hint="eastAsia" w:ascii="宋体" w:hAnsi="宋体"/>
          <w:b/>
          <w:bCs/>
          <w:szCs w:val="21"/>
        </w:rPr>
      </w:pPr>
      <w:r>
        <w:rPr>
          <w:rFonts w:hint="eastAsia" w:ascii="宋体" w:hAnsi="宋体"/>
          <w:b/>
          <w:bCs/>
          <w:szCs w:val="21"/>
        </w:rPr>
        <w:t>3.3.11中标人需严格按照发包人的设计变更、一单一结、月清月结等制度执行。</w:t>
      </w:r>
    </w:p>
    <w:p w14:paraId="41BC2FFD">
      <w:pPr>
        <w:snapToGrid w:val="0"/>
        <w:spacing w:line="360" w:lineRule="auto"/>
        <w:ind w:firstLine="527" w:firstLineChars="250"/>
      </w:pPr>
      <w:r>
        <w:rPr>
          <w:rFonts w:hint="eastAsia" w:ascii="宋体" w:hAnsi="宋体"/>
          <w:b/>
          <w:bCs/>
          <w:szCs w:val="21"/>
        </w:rPr>
        <w:t>3.3.12本项目不计取总承包服务费及甲供材料（设备）采保费。</w:t>
      </w:r>
    </w:p>
    <w:p w14:paraId="0C1FCD75">
      <w:pPr>
        <w:snapToGrid w:val="0"/>
        <w:spacing w:line="360" w:lineRule="auto"/>
        <w:ind w:firstLine="527" w:firstLineChars="250"/>
        <w:rPr>
          <w:rFonts w:hint="eastAsia" w:ascii="宋体" w:hAnsi="宋体"/>
          <w:b/>
          <w:bCs/>
          <w:szCs w:val="21"/>
        </w:rPr>
      </w:pPr>
      <w:r>
        <w:rPr>
          <w:rFonts w:hint="eastAsia" w:ascii="宋体" w:hAnsi="宋体"/>
          <w:b/>
          <w:bCs/>
          <w:szCs w:val="21"/>
        </w:rPr>
        <w:t>3.3.13主要设备及主要材料品牌按照附表中选择。投标文件中已按附表选择主要设备及主要材料品牌的，按投标文件所报品牌执行；未按此选择的，施工过程中必须按此表选择品牌；附表外其他材料承包人在投标时明确品牌的必须使用投标品牌。材料及设备必须是原厂生产，禁止使用委托第三人生产后贴牌的材料和设备，否则按不合格材料处理，承包人按合同条款承担违约责任。</w:t>
      </w:r>
    </w:p>
    <w:p w14:paraId="7ED2A19E">
      <w:pPr>
        <w:snapToGrid w:val="0"/>
        <w:spacing w:line="360" w:lineRule="auto"/>
        <w:ind w:firstLine="527" w:firstLineChars="250"/>
        <w:rPr>
          <w:rFonts w:hint="eastAsia" w:ascii="宋体" w:hAnsi="宋体"/>
          <w:b/>
          <w:bCs/>
          <w:szCs w:val="21"/>
        </w:rPr>
      </w:pPr>
      <w:r>
        <w:rPr>
          <w:rFonts w:hint="eastAsia" w:ascii="宋体" w:hAnsi="宋体"/>
          <w:b/>
          <w:bCs/>
          <w:szCs w:val="21"/>
        </w:rPr>
        <w:t>承包人未按照上述约定执行的，一经发现应按照合同约定使用材料及设备总价的2倍向发包人承担违约金，同时应按照监理人发包人要求予以整改，替换成合格的材料和设备，因整改造成工期延误的承包人承担工期延误的违约责任。</w:t>
      </w:r>
    </w:p>
    <w:p w14:paraId="70C8BDA1">
      <w:pPr>
        <w:snapToGrid w:val="0"/>
        <w:spacing w:line="360" w:lineRule="auto"/>
        <w:ind w:firstLine="527" w:firstLineChars="250"/>
        <w:rPr>
          <w:rFonts w:hint="eastAsia" w:ascii="宋体" w:hAnsi="宋体"/>
          <w:b/>
          <w:bCs/>
          <w:szCs w:val="21"/>
        </w:rPr>
      </w:pPr>
      <w:r>
        <w:rPr>
          <w:rFonts w:hint="eastAsia" w:ascii="宋体" w:hAnsi="宋体"/>
          <w:b/>
          <w:bCs/>
          <w:szCs w:val="21"/>
        </w:rPr>
        <w:t>若因市场货源不足或供货时间原因确需采用其他品牌、厂家同类产品替代的，承包人必须报发包人审核批准，并同时核定替代产品的单价。若替代产品的市场单价高于合同约定（投标）品牌市场单价，不予调整；若低于合同约定（投标）品牌市场单价，按实调整价差。</w:t>
      </w:r>
    </w:p>
    <w:p w14:paraId="7B504A86">
      <w:pPr>
        <w:snapToGrid w:val="0"/>
        <w:spacing w:line="360" w:lineRule="auto"/>
        <w:ind w:firstLine="527" w:firstLineChars="250"/>
        <w:rPr>
          <w:rFonts w:hint="eastAsia" w:ascii="宋体" w:hAnsi="宋体"/>
          <w:b/>
          <w:bCs/>
          <w:szCs w:val="21"/>
        </w:rPr>
      </w:pPr>
      <w:r>
        <w:rPr>
          <w:rFonts w:hint="eastAsia" w:ascii="宋体" w:hAnsi="宋体"/>
          <w:b/>
          <w:bCs/>
          <w:szCs w:val="21"/>
        </w:rPr>
        <w:t>若未经发包人同意而使用其他品牌的，视为使用不合格材料，承包人按合同条款承担违约责任。</w:t>
      </w:r>
    </w:p>
    <w:p w14:paraId="1A2E3F46">
      <w:pPr>
        <w:snapToGrid w:val="0"/>
        <w:spacing w:line="360" w:lineRule="auto"/>
        <w:ind w:firstLine="527" w:firstLineChars="250"/>
        <w:rPr>
          <w:rFonts w:hint="eastAsia" w:ascii="宋体" w:hAnsi="宋体"/>
          <w:b/>
          <w:bCs/>
          <w:szCs w:val="21"/>
        </w:rPr>
      </w:pPr>
      <w:r>
        <w:rPr>
          <w:rFonts w:hint="eastAsia" w:ascii="宋体" w:hAnsi="宋体"/>
          <w:b/>
          <w:bCs/>
          <w:szCs w:val="21"/>
        </w:rPr>
        <w:t>3.3.14本项目中建设单位有特别要求的建筑材料、设备设施或构配件，需在订货前征得建设单位同意后方可采购。</w:t>
      </w:r>
    </w:p>
    <w:p w14:paraId="60809349">
      <w:pPr>
        <w:snapToGrid w:val="0"/>
        <w:spacing w:line="360" w:lineRule="auto"/>
        <w:ind w:firstLine="527" w:firstLineChars="250"/>
        <w:rPr>
          <w:rFonts w:hint="eastAsia" w:ascii="宋体" w:hAnsi="宋体"/>
          <w:b/>
          <w:bCs/>
          <w:szCs w:val="21"/>
        </w:rPr>
      </w:pPr>
      <w:r>
        <w:rPr>
          <w:rFonts w:hint="eastAsia" w:ascii="宋体" w:hAnsi="宋体"/>
          <w:b/>
          <w:bCs/>
          <w:szCs w:val="21"/>
        </w:rPr>
        <w:t>3.3.15本项目中所有使用的主要关键材料等均须经过建设单位和监理单位对样品进行书面审批同意后方可采购进场。</w:t>
      </w:r>
    </w:p>
    <w:p w14:paraId="635C6A2A">
      <w:pPr>
        <w:snapToGrid w:val="0"/>
        <w:spacing w:line="360" w:lineRule="auto"/>
        <w:ind w:firstLine="527" w:firstLineChars="250"/>
        <w:rPr>
          <w:rFonts w:hint="eastAsia" w:ascii="宋体" w:hAnsi="宋体"/>
          <w:b/>
          <w:bCs/>
          <w:szCs w:val="21"/>
        </w:rPr>
      </w:pPr>
      <w:r>
        <w:rPr>
          <w:rFonts w:hint="eastAsia" w:ascii="宋体" w:hAnsi="宋体"/>
          <w:b/>
          <w:bCs/>
          <w:szCs w:val="21"/>
        </w:rPr>
        <w:t>3.3.16农民工工资保证金由中标方按相关项目属地政府规定按期自行办理。</w:t>
      </w:r>
      <w:r>
        <w:rPr>
          <w:rFonts w:hint="eastAsia" w:ascii="宋体" w:hAnsi="宋体"/>
          <w:b/>
          <w:bCs/>
          <w:szCs w:val="21"/>
        </w:rPr>
        <w:tab/>
      </w:r>
    </w:p>
    <w:p w14:paraId="18A4F7AA">
      <w:pPr>
        <w:snapToGrid w:val="0"/>
        <w:spacing w:line="360" w:lineRule="auto"/>
        <w:ind w:firstLine="527" w:firstLineChars="250"/>
        <w:rPr>
          <w:rFonts w:hint="eastAsia" w:ascii="宋体" w:hAnsi="宋体"/>
          <w:b/>
          <w:bCs/>
          <w:szCs w:val="21"/>
        </w:rPr>
      </w:pPr>
      <w:r>
        <w:rPr>
          <w:rFonts w:hint="eastAsia" w:ascii="宋体" w:hAnsi="宋体"/>
          <w:b/>
          <w:bCs/>
          <w:szCs w:val="21"/>
        </w:rPr>
        <w:t>3.3.17工伤保险由中标方按相关政府标准规定缴纳。</w:t>
      </w:r>
    </w:p>
    <w:bookmarkEnd w:id="169"/>
    <w:bookmarkEnd w:id="170"/>
    <w:p w14:paraId="33D46FB9">
      <w:pPr>
        <w:snapToGrid w:val="0"/>
        <w:spacing w:line="360" w:lineRule="auto"/>
        <w:ind w:firstLine="527" w:firstLineChars="250"/>
        <w:rPr>
          <w:rFonts w:hint="eastAsia" w:ascii="宋体" w:hAnsi="宋体"/>
          <w:b/>
          <w:bCs/>
          <w:szCs w:val="21"/>
        </w:rPr>
      </w:pPr>
      <w:r>
        <w:rPr>
          <w:rFonts w:hint="eastAsia" w:ascii="宋体" w:hAnsi="宋体"/>
          <w:b/>
          <w:bCs/>
          <w:szCs w:val="21"/>
        </w:rPr>
        <w:t>3.3.18投标人在投标前应进行现场踏勘，充分了解现场情况，投标报价一经报出，即认为是包含了为完成本项施工内容进行的所有工作，相关的施工费用不再单独计取。</w:t>
      </w:r>
    </w:p>
    <w:p w14:paraId="5C69A248">
      <w:pPr>
        <w:pStyle w:val="13"/>
        <w:rPr>
          <w:rStyle w:val="39"/>
          <w:rFonts w:hint="eastAsia" w:ascii="宋体" w:hAnsi="宋体"/>
          <w:szCs w:val="21"/>
        </w:rPr>
      </w:pPr>
    </w:p>
    <w:p w14:paraId="1FDD0772">
      <w:pPr>
        <w:pStyle w:val="13"/>
        <w:rPr>
          <w:rStyle w:val="39"/>
          <w:rFonts w:hint="eastAsia" w:ascii="宋体" w:hAnsi="宋体"/>
          <w:szCs w:val="21"/>
        </w:rPr>
      </w:pPr>
    </w:p>
    <w:p w14:paraId="2C368387">
      <w:pPr>
        <w:pStyle w:val="13"/>
        <w:rPr>
          <w:rStyle w:val="39"/>
          <w:rFonts w:hint="eastAsia" w:ascii="宋体" w:hAnsi="宋体"/>
          <w:szCs w:val="21"/>
        </w:rPr>
      </w:pPr>
    </w:p>
    <w:p w14:paraId="6265730E">
      <w:pPr>
        <w:pStyle w:val="7"/>
        <w:rPr>
          <w:rStyle w:val="39"/>
          <w:rFonts w:hint="eastAsia" w:ascii="宋体" w:hAnsi="宋体"/>
          <w:szCs w:val="21"/>
        </w:rPr>
      </w:pPr>
    </w:p>
    <w:p w14:paraId="20497112"/>
    <w:p w14:paraId="02A62F71">
      <w:pPr>
        <w:pStyle w:val="13"/>
        <w:rPr>
          <w:rStyle w:val="39"/>
          <w:rFonts w:hint="eastAsia" w:ascii="宋体" w:hAnsi="宋体"/>
          <w:szCs w:val="21"/>
        </w:rPr>
      </w:pPr>
    </w:p>
    <w:p w14:paraId="22A498AA">
      <w:pPr>
        <w:rPr>
          <w:rStyle w:val="39"/>
          <w:rFonts w:hint="eastAsia" w:ascii="宋体" w:hAnsi="宋体"/>
          <w:szCs w:val="21"/>
        </w:rPr>
      </w:pPr>
    </w:p>
    <w:p w14:paraId="12503453">
      <w:pPr>
        <w:pStyle w:val="5"/>
        <w:rPr>
          <w:sz w:val="48"/>
          <w:szCs w:val="48"/>
        </w:rPr>
      </w:pPr>
      <w:bookmarkStart w:id="1357" w:name="_Toc28237"/>
    </w:p>
    <w:p w14:paraId="0E5CF2B1">
      <w:pPr>
        <w:pStyle w:val="5"/>
        <w:jc w:val="center"/>
        <w:rPr>
          <w:sz w:val="48"/>
          <w:szCs w:val="48"/>
        </w:rPr>
      </w:pPr>
    </w:p>
    <w:p w14:paraId="31912C0E">
      <w:pPr>
        <w:pStyle w:val="5"/>
        <w:jc w:val="center"/>
        <w:rPr>
          <w:sz w:val="48"/>
          <w:szCs w:val="48"/>
        </w:rPr>
      </w:pPr>
    </w:p>
    <w:p w14:paraId="3210D45A">
      <w:pPr>
        <w:pStyle w:val="5"/>
        <w:jc w:val="center"/>
        <w:rPr>
          <w:sz w:val="48"/>
          <w:szCs w:val="48"/>
        </w:rPr>
      </w:pPr>
      <w:bookmarkStart w:id="1358" w:name="_Toc15614"/>
      <w:bookmarkStart w:id="1359" w:name="_Toc19259"/>
      <w:r>
        <w:rPr>
          <w:sz w:val="48"/>
          <w:szCs w:val="48"/>
        </w:rPr>
        <w:t>第二卷</w:t>
      </w:r>
      <w:bookmarkEnd w:id="1357"/>
      <w:bookmarkEnd w:id="1358"/>
      <w:bookmarkEnd w:id="1359"/>
    </w:p>
    <w:p w14:paraId="7F9567F0">
      <w:pPr>
        <w:rPr>
          <w:rStyle w:val="39"/>
          <w:rFonts w:hint="eastAsia" w:ascii="宋体" w:hAnsi="宋体"/>
          <w:szCs w:val="21"/>
        </w:rPr>
      </w:pPr>
    </w:p>
    <w:p w14:paraId="23AD2ED4">
      <w:pPr>
        <w:rPr>
          <w:rStyle w:val="39"/>
          <w:rFonts w:hint="eastAsia" w:ascii="宋体" w:hAnsi="宋体"/>
          <w:szCs w:val="21"/>
        </w:rPr>
      </w:pPr>
    </w:p>
    <w:p w14:paraId="4C70A5CB">
      <w:pPr>
        <w:rPr>
          <w:rStyle w:val="39"/>
          <w:rFonts w:hint="eastAsia" w:ascii="宋体" w:hAnsi="宋体"/>
          <w:szCs w:val="21"/>
        </w:rPr>
      </w:pPr>
    </w:p>
    <w:p w14:paraId="4DC60CF6">
      <w:pPr>
        <w:rPr>
          <w:rStyle w:val="39"/>
          <w:rFonts w:hint="eastAsia" w:ascii="宋体" w:hAnsi="宋体"/>
          <w:szCs w:val="21"/>
        </w:rPr>
      </w:pPr>
    </w:p>
    <w:p w14:paraId="2F7D9A36">
      <w:pPr>
        <w:rPr>
          <w:sz w:val="32"/>
          <w:szCs w:val="32"/>
        </w:rPr>
      </w:pPr>
      <w:bookmarkStart w:id="1360" w:name="_Toc10358"/>
      <w:bookmarkStart w:id="1361" w:name="_Toc17817345"/>
      <w:r>
        <w:rPr>
          <w:sz w:val="32"/>
          <w:szCs w:val="32"/>
        </w:rPr>
        <w:br w:type="page"/>
      </w:r>
    </w:p>
    <w:p w14:paraId="5266B32E">
      <w:pPr>
        <w:pStyle w:val="6"/>
        <w:jc w:val="center"/>
        <w:rPr>
          <w:i w:val="0"/>
          <w:iCs w:val="0"/>
          <w:sz w:val="32"/>
          <w:szCs w:val="32"/>
        </w:rPr>
      </w:pPr>
      <w:bookmarkStart w:id="1362" w:name="_Toc8604"/>
      <w:bookmarkStart w:id="1363" w:name="_Toc24803"/>
      <w:r>
        <w:rPr>
          <w:i w:val="0"/>
          <w:iCs w:val="0"/>
          <w:sz w:val="32"/>
          <w:szCs w:val="32"/>
        </w:rPr>
        <w:t>第六章  图  纸</w:t>
      </w:r>
      <w:bookmarkEnd w:id="1360"/>
      <w:bookmarkEnd w:id="1361"/>
      <w:bookmarkEnd w:id="1362"/>
      <w:bookmarkEnd w:id="1363"/>
    </w:p>
    <w:p w14:paraId="6E4948C3">
      <w:pPr>
        <w:spacing w:line="500" w:lineRule="exact"/>
        <w:ind w:firstLine="422" w:firstLineChars="200"/>
        <w:rPr>
          <w:rStyle w:val="39"/>
          <w:rFonts w:hint="eastAsia" w:ascii="宋体" w:hAnsi="宋体"/>
          <w:b/>
          <w:bCs/>
        </w:rPr>
      </w:pPr>
      <w:r>
        <w:rPr>
          <w:rStyle w:val="39"/>
          <w:rFonts w:ascii="宋体" w:hAnsi="宋体"/>
          <w:b/>
          <w:bCs/>
        </w:rPr>
        <w:t>图纸以</w:t>
      </w:r>
      <w:r>
        <w:rPr>
          <w:rStyle w:val="39"/>
          <w:rFonts w:hint="eastAsia" w:ascii="宋体" w:hAnsi="宋体"/>
          <w:b/>
          <w:bCs/>
        </w:rPr>
        <w:t>与招标工程量清单一同发出的电子版</w:t>
      </w:r>
      <w:r>
        <w:rPr>
          <w:rStyle w:val="39"/>
          <w:rFonts w:ascii="宋体" w:hAnsi="宋体"/>
          <w:b/>
          <w:bCs/>
        </w:rPr>
        <w:t>为准。具体施工范围请对应工程量清单及招标文件要求。</w:t>
      </w:r>
    </w:p>
    <w:p w14:paraId="49D103AE">
      <w:pPr>
        <w:rPr>
          <w:rStyle w:val="39"/>
          <w:rFonts w:hint="eastAsia" w:ascii="宋体" w:hAnsi="宋体"/>
          <w:szCs w:val="21"/>
        </w:rPr>
      </w:pPr>
    </w:p>
    <w:p w14:paraId="38F42D67">
      <w:pPr>
        <w:rPr>
          <w:rStyle w:val="39"/>
          <w:rFonts w:hint="eastAsia" w:ascii="宋体" w:hAnsi="宋体"/>
          <w:szCs w:val="21"/>
        </w:rPr>
      </w:pPr>
    </w:p>
    <w:p w14:paraId="32B9A3EF">
      <w:pPr>
        <w:rPr>
          <w:rStyle w:val="39"/>
          <w:rFonts w:hint="eastAsia" w:ascii="宋体" w:hAnsi="宋体"/>
          <w:szCs w:val="21"/>
        </w:rPr>
      </w:pPr>
    </w:p>
    <w:p w14:paraId="49487850">
      <w:pPr>
        <w:spacing w:line="500" w:lineRule="exact"/>
        <w:ind w:firstLine="422" w:firstLineChars="200"/>
        <w:rPr>
          <w:rStyle w:val="39"/>
          <w:rFonts w:hint="eastAsia" w:ascii="宋体" w:hAnsi="宋体"/>
          <w:b/>
          <w:bCs/>
        </w:rPr>
      </w:pPr>
    </w:p>
    <w:p w14:paraId="6F47CC91">
      <w:pPr>
        <w:rPr>
          <w:rStyle w:val="39"/>
          <w:rFonts w:hint="eastAsia" w:ascii="宋体" w:hAnsi="宋体"/>
          <w:szCs w:val="21"/>
        </w:rPr>
      </w:pPr>
    </w:p>
    <w:p w14:paraId="1EA96EB9">
      <w:pPr>
        <w:rPr>
          <w:rStyle w:val="39"/>
          <w:rFonts w:hint="eastAsia" w:ascii="宋体" w:hAnsi="宋体"/>
          <w:szCs w:val="21"/>
        </w:rPr>
      </w:pPr>
    </w:p>
    <w:p w14:paraId="382021CE">
      <w:pPr>
        <w:rPr>
          <w:rStyle w:val="39"/>
          <w:rFonts w:hint="eastAsia" w:ascii="宋体" w:hAnsi="宋体"/>
          <w:szCs w:val="21"/>
        </w:rPr>
      </w:pPr>
    </w:p>
    <w:p w14:paraId="152F935D">
      <w:pPr>
        <w:rPr>
          <w:rStyle w:val="39"/>
          <w:rFonts w:hint="eastAsia" w:ascii="宋体" w:hAnsi="宋体"/>
          <w:szCs w:val="21"/>
        </w:rPr>
      </w:pPr>
    </w:p>
    <w:p w14:paraId="71BB1BE8">
      <w:pPr>
        <w:rPr>
          <w:rStyle w:val="39"/>
          <w:rFonts w:hint="eastAsia" w:ascii="宋体" w:hAnsi="宋体"/>
          <w:szCs w:val="21"/>
        </w:rPr>
      </w:pPr>
    </w:p>
    <w:p w14:paraId="4367EA15">
      <w:pPr>
        <w:jc w:val="center"/>
        <w:rPr>
          <w:rStyle w:val="39"/>
          <w:rFonts w:hint="eastAsia" w:ascii="宋体" w:hAnsi="宋体"/>
          <w:sz w:val="48"/>
          <w:szCs w:val="48"/>
        </w:rPr>
      </w:pPr>
    </w:p>
    <w:p w14:paraId="53B418C9">
      <w:pPr>
        <w:jc w:val="center"/>
        <w:rPr>
          <w:rStyle w:val="39"/>
          <w:rFonts w:hint="eastAsia" w:ascii="宋体" w:hAnsi="宋体"/>
          <w:sz w:val="48"/>
          <w:szCs w:val="48"/>
        </w:rPr>
      </w:pPr>
    </w:p>
    <w:p w14:paraId="2804DF02">
      <w:pPr>
        <w:jc w:val="center"/>
        <w:rPr>
          <w:rStyle w:val="39"/>
          <w:rFonts w:hint="eastAsia" w:ascii="宋体" w:hAnsi="宋体"/>
          <w:sz w:val="44"/>
          <w:szCs w:val="44"/>
        </w:rPr>
      </w:pPr>
    </w:p>
    <w:p w14:paraId="2CA102C6">
      <w:pPr>
        <w:spacing w:after="240"/>
        <w:rPr>
          <w:rStyle w:val="39"/>
          <w:rFonts w:hint="eastAsia" w:ascii="宋体" w:hAnsi="宋体"/>
          <w:sz w:val="44"/>
          <w:szCs w:val="44"/>
        </w:rPr>
      </w:pPr>
    </w:p>
    <w:p w14:paraId="5A8FD548">
      <w:pPr>
        <w:spacing w:after="240"/>
        <w:rPr>
          <w:rStyle w:val="39"/>
          <w:rFonts w:hint="eastAsia" w:ascii="宋体" w:hAnsi="宋体"/>
          <w:sz w:val="44"/>
          <w:szCs w:val="44"/>
        </w:rPr>
      </w:pPr>
    </w:p>
    <w:p w14:paraId="4D04A111">
      <w:pPr>
        <w:rPr>
          <w:rStyle w:val="39"/>
          <w:rFonts w:hint="eastAsia" w:ascii="宋体" w:hAnsi="宋体"/>
        </w:rPr>
      </w:pPr>
    </w:p>
    <w:p w14:paraId="0B3F00BC">
      <w:pPr>
        <w:rPr>
          <w:rStyle w:val="39"/>
          <w:rFonts w:hint="eastAsia" w:ascii="宋体" w:hAnsi="宋体"/>
        </w:rPr>
      </w:pPr>
      <w:r>
        <w:rPr>
          <w:rStyle w:val="39"/>
          <w:rFonts w:ascii="宋体" w:hAnsi="宋体"/>
        </w:rPr>
        <w:br w:type="page"/>
      </w:r>
    </w:p>
    <w:p w14:paraId="192E26E5">
      <w:pPr>
        <w:rPr>
          <w:rStyle w:val="39"/>
          <w:rFonts w:hint="eastAsia" w:ascii="宋体" w:hAnsi="宋体"/>
        </w:rPr>
      </w:pPr>
    </w:p>
    <w:p w14:paraId="302FE8EE">
      <w:pPr>
        <w:rPr>
          <w:rStyle w:val="39"/>
          <w:rFonts w:hint="eastAsia" w:ascii="宋体" w:hAnsi="宋体"/>
        </w:rPr>
      </w:pPr>
    </w:p>
    <w:p w14:paraId="42AE8ED5">
      <w:pPr>
        <w:rPr>
          <w:rStyle w:val="39"/>
          <w:rFonts w:hint="eastAsia" w:ascii="宋体" w:hAnsi="宋体"/>
        </w:rPr>
      </w:pPr>
    </w:p>
    <w:p w14:paraId="102AC8A1">
      <w:pPr>
        <w:rPr>
          <w:rStyle w:val="39"/>
          <w:rFonts w:hint="eastAsia" w:ascii="宋体" w:hAnsi="宋体"/>
        </w:rPr>
      </w:pPr>
    </w:p>
    <w:p w14:paraId="7DE11A40">
      <w:pPr>
        <w:rPr>
          <w:rStyle w:val="39"/>
          <w:rFonts w:hint="eastAsia" w:ascii="宋体" w:hAnsi="宋体"/>
        </w:rPr>
      </w:pPr>
    </w:p>
    <w:p w14:paraId="150679AC">
      <w:pPr>
        <w:rPr>
          <w:rStyle w:val="39"/>
          <w:rFonts w:hint="eastAsia" w:ascii="宋体" w:hAnsi="宋体"/>
        </w:rPr>
      </w:pPr>
    </w:p>
    <w:p w14:paraId="0C9BD1FF">
      <w:pPr>
        <w:rPr>
          <w:rStyle w:val="39"/>
          <w:rFonts w:hint="eastAsia" w:ascii="宋体" w:hAnsi="宋体"/>
        </w:rPr>
      </w:pPr>
    </w:p>
    <w:p w14:paraId="1EEC3EDB">
      <w:pPr>
        <w:rPr>
          <w:rStyle w:val="39"/>
          <w:rFonts w:hint="eastAsia" w:ascii="宋体" w:hAnsi="宋体"/>
        </w:rPr>
      </w:pPr>
    </w:p>
    <w:p w14:paraId="4696F536">
      <w:pPr>
        <w:rPr>
          <w:rStyle w:val="39"/>
          <w:rFonts w:hint="eastAsia" w:ascii="宋体" w:hAnsi="宋体"/>
        </w:rPr>
      </w:pPr>
    </w:p>
    <w:p w14:paraId="33EBEDB1">
      <w:pPr>
        <w:rPr>
          <w:rStyle w:val="39"/>
          <w:rFonts w:hint="eastAsia" w:ascii="宋体" w:hAnsi="宋体"/>
        </w:rPr>
      </w:pPr>
    </w:p>
    <w:p w14:paraId="67DFD497">
      <w:pPr>
        <w:rPr>
          <w:rStyle w:val="39"/>
          <w:rFonts w:hint="eastAsia" w:ascii="宋体" w:hAnsi="宋体"/>
          <w:szCs w:val="21"/>
        </w:rPr>
      </w:pPr>
    </w:p>
    <w:p w14:paraId="3E55246F">
      <w:pPr>
        <w:pStyle w:val="5"/>
        <w:jc w:val="center"/>
        <w:rPr>
          <w:sz w:val="48"/>
          <w:szCs w:val="48"/>
        </w:rPr>
      </w:pPr>
      <w:bookmarkStart w:id="1364" w:name="_Toc17381"/>
      <w:bookmarkStart w:id="1365" w:name="_Toc3146"/>
      <w:bookmarkStart w:id="1366" w:name="_Toc13210"/>
      <w:r>
        <w:rPr>
          <w:sz w:val="48"/>
          <w:szCs w:val="48"/>
        </w:rPr>
        <w:t>第三卷</w:t>
      </w:r>
      <w:bookmarkEnd w:id="1364"/>
      <w:bookmarkEnd w:id="1365"/>
      <w:bookmarkEnd w:id="1366"/>
    </w:p>
    <w:p w14:paraId="633C93B7">
      <w:pPr>
        <w:rPr>
          <w:rStyle w:val="39"/>
          <w:rFonts w:hint="eastAsia" w:ascii="宋体" w:hAnsi="宋体"/>
        </w:rPr>
      </w:pPr>
    </w:p>
    <w:p w14:paraId="5108E330">
      <w:pPr>
        <w:rPr>
          <w:rStyle w:val="39"/>
          <w:rFonts w:hint="eastAsia" w:ascii="宋体" w:hAnsi="宋体"/>
        </w:rPr>
      </w:pPr>
    </w:p>
    <w:p w14:paraId="43FB8C96">
      <w:pPr>
        <w:rPr>
          <w:rStyle w:val="39"/>
          <w:rFonts w:hint="eastAsia" w:ascii="宋体" w:hAnsi="宋体"/>
        </w:rPr>
      </w:pPr>
    </w:p>
    <w:p w14:paraId="2C8D9F61">
      <w:pPr>
        <w:rPr>
          <w:rStyle w:val="39"/>
          <w:rFonts w:hint="eastAsia" w:ascii="宋体" w:hAnsi="宋体"/>
        </w:rPr>
      </w:pPr>
    </w:p>
    <w:p w14:paraId="6300A6FB">
      <w:pPr>
        <w:rPr>
          <w:rStyle w:val="39"/>
          <w:rFonts w:hint="eastAsia" w:ascii="宋体" w:hAnsi="宋体"/>
        </w:rPr>
      </w:pPr>
    </w:p>
    <w:p w14:paraId="2EC8DDFE">
      <w:pPr>
        <w:rPr>
          <w:rStyle w:val="39"/>
          <w:rFonts w:hint="eastAsia" w:ascii="宋体" w:hAnsi="宋体"/>
        </w:rPr>
      </w:pPr>
    </w:p>
    <w:p w14:paraId="7F1C9569">
      <w:pPr>
        <w:rPr>
          <w:rStyle w:val="39"/>
          <w:rFonts w:hint="eastAsia" w:ascii="宋体" w:hAnsi="宋体"/>
        </w:rPr>
      </w:pPr>
    </w:p>
    <w:p w14:paraId="446FCD99">
      <w:pPr>
        <w:rPr>
          <w:rStyle w:val="39"/>
          <w:rFonts w:hint="eastAsia" w:ascii="宋体" w:hAnsi="宋体"/>
        </w:rPr>
      </w:pPr>
    </w:p>
    <w:p w14:paraId="597908FE">
      <w:pPr>
        <w:rPr>
          <w:rStyle w:val="39"/>
          <w:rFonts w:hint="eastAsia" w:ascii="宋体" w:hAnsi="宋体"/>
        </w:rPr>
      </w:pPr>
    </w:p>
    <w:p w14:paraId="4133D6F7">
      <w:pPr>
        <w:rPr>
          <w:rStyle w:val="39"/>
          <w:rFonts w:hint="eastAsia" w:ascii="宋体" w:hAnsi="宋体"/>
        </w:rPr>
      </w:pPr>
    </w:p>
    <w:p w14:paraId="0A9933B8">
      <w:pPr>
        <w:rPr>
          <w:rStyle w:val="39"/>
          <w:rFonts w:hint="eastAsia" w:ascii="宋体" w:hAnsi="宋体"/>
        </w:rPr>
      </w:pPr>
    </w:p>
    <w:p w14:paraId="2DB248FC">
      <w:pPr>
        <w:rPr>
          <w:rStyle w:val="39"/>
          <w:rFonts w:hint="eastAsia" w:ascii="宋体" w:hAnsi="宋体"/>
        </w:rPr>
      </w:pPr>
    </w:p>
    <w:p w14:paraId="5AB69C52">
      <w:pPr>
        <w:rPr>
          <w:rStyle w:val="39"/>
          <w:rFonts w:hint="eastAsia" w:ascii="宋体" w:hAnsi="宋体"/>
        </w:rPr>
      </w:pPr>
    </w:p>
    <w:p w14:paraId="622607BA">
      <w:pPr>
        <w:rPr>
          <w:rStyle w:val="39"/>
          <w:rFonts w:hint="eastAsia" w:ascii="宋体" w:hAnsi="宋体"/>
        </w:rPr>
      </w:pPr>
    </w:p>
    <w:p w14:paraId="2E287669">
      <w:pPr>
        <w:rPr>
          <w:rStyle w:val="39"/>
          <w:rFonts w:hint="eastAsia" w:ascii="宋体" w:hAnsi="宋体"/>
        </w:rPr>
      </w:pPr>
    </w:p>
    <w:p w14:paraId="368207D9">
      <w:pPr>
        <w:rPr>
          <w:rStyle w:val="39"/>
          <w:rFonts w:hint="eastAsia" w:ascii="宋体" w:hAnsi="宋体"/>
        </w:rPr>
      </w:pPr>
    </w:p>
    <w:p w14:paraId="1A4422B4">
      <w:pPr>
        <w:rPr>
          <w:rStyle w:val="39"/>
          <w:rFonts w:hint="eastAsia" w:ascii="宋体" w:hAnsi="宋体"/>
        </w:rPr>
      </w:pPr>
    </w:p>
    <w:p w14:paraId="2D2F2364">
      <w:pPr>
        <w:rPr>
          <w:rStyle w:val="39"/>
          <w:rFonts w:hint="eastAsia" w:ascii="宋体" w:hAnsi="宋体"/>
        </w:rPr>
      </w:pPr>
    </w:p>
    <w:p w14:paraId="45B3A799">
      <w:pPr>
        <w:rPr>
          <w:rStyle w:val="39"/>
          <w:rFonts w:hint="eastAsia" w:ascii="宋体" w:hAnsi="宋体"/>
        </w:rPr>
      </w:pPr>
    </w:p>
    <w:p w14:paraId="18E6ACB4">
      <w:pPr>
        <w:rPr>
          <w:rStyle w:val="39"/>
          <w:rFonts w:hint="eastAsia" w:ascii="宋体" w:hAnsi="宋体"/>
        </w:rPr>
      </w:pPr>
    </w:p>
    <w:p w14:paraId="7177F71D">
      <w:pPr>
        <w:rPr>
          <w:rStyle w:val="39"/>
          <w:rFonts w:hint="eastAsia" w:ascii="宋体" w:hAnsi="宋体"/>
        </w:rPr>
      </w:pPr>
    </w:p>
    <w:p w14:paraId="567F2BBC">
      <w:pPr>
        <w:rPr>
          <w:rStyle w:val="39"/>
          <w:rFonts w:hint="eastAsia" w:ascii="宋体" w:hAnsi="宋体"/>
        </w:rPr>
      </w:pPr>
    </w:p>
    <w:p w14:paraId="4386899C">
      <w:pPr>
        <w:rPr>
          <w:rStyle w:val="39"/>
          <w:rFonts w:hint="eastAsia" w:ascii="宋体" w:hAnsi="宋体"/>
        </w:rPr>
      </w:pPr>
    </w:p>
    <w:p w14:paraId="1BCADEF1">
      <w:pPr>
        <w:rPr>
          <w:rStyle w:val="39"/>
          <w:rFonts w:hint="eastAsia" w:ascii="宋体" w:hAnsi="宋体"/>
        </w:rPr>
      </w:pPr>
    </w:p>
    <w:p w14:paraId="098B412C">
      <w:pPr>
        <w:rPr>
          <w:rStyle w:val="39"/>
          <w:rFonts w:hint="eastAsia" w:ascii="宋体" w:hAnsi="宋体"/>
        </w:rPr>
      </w:pPr>
    </w:p>
    <w:p w14:paraId="33A1142A">
      <w:pPr>
        <w:pStyle w:val="13"/>
      </w:pPr>
    </w:p>
    <w:p w14:paraId="50AA90C6">
      <w:pPr>
        <w:rPr>
          <w:rStyle w:val="39"/>
          <w:rFonts w:hint="eastAsia" w:ascii="宋体" w:hAnsi="宋体"/>
        </w:rPr>
      </w:pPr>
    </w:p>
    <w:p w14:paraId="188A63F9">
      <w:pPr>
        <w:rPr>
          <w:rStyle w:val="39"/>
          <w:rFonts w:hint="eastAsia" w:ascii="宋体" w:hAnsi="宋体"/>
        </w:rPr>
      </w:pPr>
    </w:p>
    <w:p w14:paraId="0F03A344">
      <w:pPr>
        <w:pStyle w:val="6"/>
        <w:jc w:val="center"/>
        <w:rPr>
          <w:i w:val="0"/>
          <w:iCs w:val="0"/>
          <w:sz w:val="32"/>
          <w:szCs w:val="32"/>
        </w:rPr>
      </w:pPr>
      <w:bookmarkStart w:id="1367" w:name="_Toc23337"/>
      <w:bookmarkStart w:id="1368" w:name="_Toc4366"/>
      <w:bookmarkStart w:id="1369" w:name="_Toc23681"/>
      <w:bookmarkStart w:id="1370" w:name="_Toc17817346"/>
      <w:r>
        <w:rPr>
          <w:i w:val="0"/>
          <w:iCs w:val="0"/>
          <w:sz w:val="32"/>
          <w:szCs w:val="32"/>
        </w:rPr>
        <w:t>第七章  技术标准和要求</w:t>
      </w:r>
      <w:bookmarkEnd w:id="1367"/>
      <w:bookmarkEnd w:id="1368"/>
      <w:bookmarkEnd w:id="1369"/>
      <w:bookmarkEnd w:id="1370"/>
    </w:p>
    <w:p w14:paraId="74DF6F0B">
      <w:pPr>
        <w:spacing w:line="520" w:lineRule="exact"/>
        <w:ind w:firstLine="420" w:firstLineChars="200"/>
        <w:rPr>
          <w:rStyle w:val="39"/>
          <w:rFonts w:hint="eastAsia" w:ascii="宋体" w:hAnsi="宋体"/>
          <w:szCs w:val="20"/>
        </w:rPr>
      </w:pPr>
    </w:p>
    <w:p w14:paraId="079FBA4D">
      <w:pPr>
        <w:snapToGrid w:val="0"/>
        <w:spacing w:line="440" w:lineRule="exact"/>
        <w:ind w:firstLine="525" w:firstLineChars="250"/>
        <w:rPr>
          <w:rStyle w:val="39"/>
          <w:rFonts w:hint="eastAsia" w:ascii="宋体" w:hAnsi="宋体"/>
        </w:rPr>
      </w:pPr>
      <w:bookmarkStart w:id="1371" w:name="_Toc31859"/>
      <w:r>
        <w:rPr>
          <w:rStyle w:val="39"/>
          <w:rFonts w:hint="eastAsia" w:ascii="宋体" w:hAnsi="宋体"/>
        </w:rPr>
        <w:t>1、依据设计施工图纸和技术文件要求，本工程项目的材料、设备、施工必须达到现行中华人民共和国及省、市、行业的一切有关法规、规范的要求，如各标准及规范要求有出入则以较严格者为准。</w:t>
      </w:r>
    </w:p>
    <w:p w14:paraId="504A41C1">
      <w:pPr>
        <w:snapToGrid w:val="0"/>
        <w:spacing w:line="440" w:lineRule="exact"/>
        <w:ind w:firstLine="525" w:firstLineChars="250"/>
        <w:rPr>
          <w:rStyle w:val="39"/>
          <w:rFonts w:hint="eastAsia" w:ascii="宋体" w:hAnsi="宋体"/>
        </w:rPr>
      </w:pPr>
      <w:r>
        <w:rPr>
          <w:rStyle w:val="39"/>
          <w:rFonts w:hint="eastAsia" w:ascii="宋体" w:hAnsi="宋体"/>
        </w:rPr>
        <w:t>2、执行国家、省市现行的建设工程施工及工程质量验收规范、施工技术标准、程序，建设工程施工操作规程、“建设工程质量管理条例”、“工程建设强制性标准”、“工程建设标准强制性条文”、“建筑工程安全生产管理条理”、“建筑施工安全检查标准”以及有关建筑质量、安全施工建筑材料及半成品备案证制度等有关文件、规定、施工图纸、技术交底、地质勘察等有关技术说明和“建筑工程质量检验评定标准”，“建筑安装工程质量检验评定统一标准”等。</w:t>
      </w:r>
      <w:r>
        <w:rPr>
          <w:rStyle w:val="39"/>
          <w:rFonts w:hint="eastAsia" w:ascii="宋体" w:hAnsi="宋体"/>
        </w:rPr>
        <w:tab/>
      </w:r>
    </w:p>
    <w:p w14:paraId="73B0A7D5">
      <w:pPr>
        <w:snapToGrid w:val="0"/>
        <w:spacing w:line="440" w:lineRule="exact"/>
        <w:ind w:firstLine="420" w:firstLineChars="200"/>
        <w:rPr>
          <w:rStyle w:val="39"/>
          <w:rFonts w:hint="eastAsia" w:ascii="宋体" w:hAnsi="宋体" w:eastAsia="宋体" w:cs="Times New Roman"/>
          <w:highlight w:val="none"/>
          <w:lang w:val="en-US" w:eastAsia="zh-CN"/>
        </w:rPr>
      </w:pPr>
      <w:r>
        <w:rPr>
          <w:rStyle w:val="39"/>
          <w:rFonts w:hint="eastAsia" w:ascii="宋体" w:hAnsi="宋体" w:eastAsia="宋体" w:cs="Times New Roman"/>
          <w:highlight w:val="none"/>
          <w:lang w:val="en-US" w:eastAsia="zh-CN"/>
        </w:rPr>
        <w:t>3、甲限材料品牌范围</w:t>
      </w:r>
    </w:p>
    <w:p w14:paraId="6512BA8E">
      <w:pPr>
        <w:snapToGrid w:val="0"/>
        <w:spacing w:line="440" w:lineRule="exact"/>
        <w:ind w:firstLine="420" w:firstLineChars="200"/>
        <w:rPr>
          <w:rStyle w:val="39"/>
          <w:rFonts w:hint="eastAsia" w:ascii="宋体" w:hAnsi="宋体"/>
          <w:highlight w:val="none"/>
        </w:rPr>
      </w:pPr>
      <w:r>
        <w:rPr>
          <w:rStyle w:val="39"/>
          <w:rFonts w:hint="eastAsia" w:ascii="宋体" w:hAnsi="宋体" w:cs="Times New Roman"/>
          <w:highlight w:val="none"/>
          <w:lang w:val="en-US" w:eastAsia="zh-CN"/>
        </w:rPr>
        <w:t>因工期要求，需在甲限品牌范围外选择其他品牌的应选择同档次品牌并技术标书中作出偏离说明提请评标小组进行评审。</w:t>
      </w:r>
    </w:p>
    <w:tbl>
      <w:tblPr>
        <w:tblStyle w:val="25"/>
        <w:tblpPr w:leftFromText="180" w:rightFromText="180" w:vertAnchor="text" w:horzAnchor="page" w:tblpX="1510" w:tblpY="461"/>
        <w:tblOverlap w:val="never"/>
        <w:tblW w:w="8588" w:type="dxa"/>
        <w:tblInd w:w="0" w:type="dxa"/>
        <w:tblLayout w:type="autofit"/>
        <w:tblCellMar>
          <w:top w:w="0" w:type="dxa"/>
          <w:left w:w="0" w:type="dxa"/>
          <w:bottom w:w="0" w:type="dxa"/>
          <w:right w:w="0" w:type="dxa"/>
        </w:tblCellMar>
      </w:tblPr>
      <w:tblGrid>
        <w:gridCol w:w="413"/>
        <w:gridCol w:w="1508"/>
        <w:gridCol w:w="6074"/>
        <w:gridCol w:w="593"/>
      </w:tblGrid>
      <w:tr w14:paraId="1EFE79F4">
        <w:tblPrEx>
          <w:tblCellMar>
            <w:top w:w="0" w:type="dxa"/>
            <w:left w:w="0" w:type="dxa"/>
            <w:bottom w:w="0" w:type="dxa"/>
            <w:right w:w="0" w:type="dxa"/>
          </w:tblCellMar>
        </w:tblPrEx>
        <w:trPr>
          <w:trHeight w:val="668"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2CE4E9">
            <w:pPr>
              <w:spacing w:before="120" w:beforeLines="50" w:after="120" w:afterLines="50" w:line="440" w:lineRule="exact"/>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序号</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A0388D4">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材料名称</w:t>
            </w:r>
          </w:p>
        </w:tc>
        <w:tc>
          <w:tcPr>
            <w:tcW w:w="0" w:type="auto"/>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4D7290A4">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甲限品牌范围</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5D76AE3F">
            <w:pPr>
              <w:spacing w:before="120" w:beforeLines="50" w:after="120" w:afterLines="50" w:line="440" w:lineRule="exact"/>
              <w:jc w:val="center"/>
              <w:rPr>
                <w:rFonts w:hint="eastAsia" w:ascii="仿宋" w:hAnsi="仿宋" w:eastAsia="仿宋" w:cs="仿宋"/>
                <w:sz w:val="24"/>
                <w:szCs w:val="24"/>
              </w:rPr>
            </w:pPr>
          </w:p>
        </w:tc>
      </w:tr>
      <w:tr w14:paraId="5A6F2C37">
        <w:tblPrEx>
          <w:tblCellMar>
            <w:top w:w="0" w:type="dxa"/>
            <w:left w:w="0" w:type="dxa"/>
            <w:bottom w:w="0" w:type="dxa"/>
            <w:right w:w="0" w:type="dxa"/>
          </w:tblCellMar>
        </w:tblPrEx>
        <w:trPr>
          <w:trHeight w:val="668" w:hRule="atLeast"/>
        </w:trPr>
        <w:tc>
          <w:tcPr>
            <w:tcW w:w="0" w:type="auto"/>
            <w:gridSpan w:val="3"/>
            <w:tcBorders>
              <w:top w:val="single" w:color="000000" w:sz="4" w:space="0"/>
              <w:left w:val="single" w:color="auto" w:sz="4" w:space="0"/>
              <w:bottom w:val="single" w:color="000000" w:sz="4" w:space="0"/>
              <w:right w:val="single" w:color="auto" w:sz="4" w:space="0"/>
            </w:tcBorders>
            <w:tcMar>
              <w:top w:w="15" w:type="dxa"/>
              <w:left w:w="15" w:type="dxa"/>
              <w:right w:w="15" w:type="dxa"/>
            </w:tcMar>
            <w:vAlign w:val="center"/>
          </w:tcPr>
          <w:p w14:paraId="76D9E69D">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b/>
                <w:bCs/>
                <w:sz w:val="24"/>
                <w:szCs w:val="24"/>
              </w:rPr>
              <w:t>土建、钢结构专业</w:t>
            </w:r>
          </w:p>
        </w:tc>
        <w:tc>
          <w:tcPr>
            <w:tcW w:w="594" w:type="dxa"/>
            <w:tcBorders>
              <w:top w:val="single" w:color="000000" w:sz="4" w:space="0"/>
              <w:left w:val="single" w:color="auto" w:sz="4" w:space="0"/>
              <w:bottom w:val="single" w:color="000000" w:sz="4" w:space="0"/>
              <w:right w:val="single" w:color="auto" w:sz="4" w:space="0"/>
            </w:tcBorders>
            <w:tcMar>
              <w:top w:w="15" w:type="dxa"/>
              <w:left w:w="15" w:type="dxa"/>
              <w:right w:w="15" w:type="dxa"/>
            </w:tcMar>
            <w:vAlign w:val="center"/>
          </w:tcPr>
          <w:p w14:paraId="691321EC">
            <w:pPr>
              <w:spacing w:before="120" w:beforeLines="50" w:after="120" w:afterLines="50" w:line="440" w:lineRule="exact"/>
              <w:jc w:val="center"/>
              <w:rPr>
                <w:rFonts w:hint="eastAsia" w:ascii="仿宋" w:hAnsi="仿宋" w:eastAsia="仿宋" w:cs="仿宋"/>
                <w:b/>
                <w:bCs/>
                <w:sz w:val="24"/>
                <w:szCs w:val="24"/>
              </w:rPr>
            </w:pPr>
          </w:p>
        </w:tc>
      </w:tr>
      <w:tr w14:paraId="57D3BF20">
        <w:tblPrEx>
          <w:tblCellMar>
            <w:top w:w="0" w:type="dxa"/>
            <w:left w:w="0" w:type="dxa"/>
            <w:bottom w:w="0" w:type="dxa"/>
            <w:right w:w="0" w:type="dxa"/>
          </w:tblCellMar>
        </w:tblPrEx>
        <w:trPr>
          <w:trHeight w:val="806" w:hRule="atLeast"/>
        </w:trPr>
        <w:tc>
          <w:tcPr>
            <w:tcW w:w="0" w:type="auto"/>
            <w:tcBorders>
              <w:left w:val="single" w:color="000000" w:sz="4" w:space="0"/>
              <w:bottom w:val="single" w:color="auto" w:sz="4" w:space="0"/>
              <w:right w:val="single" w:color="000000" w:sz="4" w:space="0"/>
            </w:tcBorders>
            <w:tcMar>
              <w:top w:w="15" w:type="dxa"/>
              <w:left w:w="15" w:type="dxa"/>
              <w:right w:w="15" w:type="dxa"/>
            </w:tcMar>
            <w:vAlign w:val="center"/>
          </w:tcPr>
          <w:p w14:paraId="522FE192">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1</w:t>
            </w:r>
          </w:p>
        </w:tc>
        <w:tc>
          <w:tcPr>
            <w:tcW w:w="0" w:type="auto"/>
            <w:tcBorders>
              <w:left w:val="single" w:color="000000" w:sz="4" w:space="0"/>
              <w:bottom w:val="single" w:color="auto" w:sz="4" w:space="0"/>
              <w:right w:val="single" w:color="000000" w:sz="4" w:space="0"/>
            </w:tcBorders>
            <w:tcMar>
              <w:top w:w="15" w:type="dxa"/>
              <w:left w:w="15" w:type="dxa"/>
              <w:right w:w="15" w:type="dxa"/>
            </w:tcMar>
            <w:vAlign w:val="center"/>
          </w:tcPr>
          <w:p w14:paraId="1BCD602C">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彩钢板</w:t>
            </w:r>
          </w:p>
        </w:tc>
        <w:tc>
          <w:tcPr>
            <w:tcW w:w="0" w:type="auto"/>
            <w:tcBorders>
              <w:top w:val="single" w:color="000000" w:sz="4" w:space="0"/>
              <w:left w:val="single" w:color="000000" w:sz="4" w:space="0"/>
              <w:bottom w:val="single" w:color="auto" w:sz="4" w:space="0"/>
              <w:right w:val="single" w:color="000000" w:sz="4" w:space="0"/>
            </w:tcBorders>
            <w:tcMar>
              <w:top w:w="15" w:type="dxa"/>
              <w:left w:w="15" w:type="dxa"/>
              <w:right w:w="15" w:type="dxa"/>
            </w:tcMar>
            <w:vAlign w:val="center"/>
          </w:tcPr>
          <w:p w14:paraId="134F9D58">
            <w:pPr>
              <w:spacing w:before="120" w:beforeLines="50" w:after="120" w:afterLines="50" w:line="440" w:lineRule="exact"/>
              <w:jc w:val="center"/>
              <w:rPr>
                <w:rFonts w:hint="default" w:ascii="仿宋" w:hAnsi="仿宋" w:eastAsia="仿宋" w:cs="仿宋"/>
                <w:sz w:val="24"/>
                <w:szCs w:val="24"/>
                <w:lang w:val="en-US"/>
              </w:rPr>
            </w:pPr>
            <w:r>
              <w:rPr>
                <w:rFonts w:hint="eastAsia" w:ascii="仿宋" w:hAnsi="仿宋" w:eastAsia="仿宋" w:cs="仿宋"/>
                <w:sz w:val="24"/>
                <w:szCs w:val="24"/>
                <w:lang w:val="en-US" w:eastAsia="zh-CN"/>
              </w:rPr>
              <w:t>宝钢、YPC烨辉（常熟）、首钢</w:t>
            </w:r>
          </w:p>
        </w:tc>
        <w:tc>
          <w:tcPr>
            <w:tcW w:w="0" w:type="auto"/>
            <w:tcBorders>
              <w:top w:val="single" w:color="000000" w:sz="4" w:space="0"/>
              <w:left w:val="single" w:color="000000" w:sz="4" w:space="0"/>
              <w:bottom w:val="single" w:color="auto" w:sz="4" w:space="0"/>
              <w:right w:val="single" w:color="000000" w:sz="4" w:space="0"/>
            </w:tcBorders>
            <w:tcMar>
              <w:top w:w="15" w:type="dxa"/>
              <w:left w:w="15" w:type="dxa"/>
              <w:right w:w="15" w:type="dxa"/>
            </w:tcMar>
            <w:vAlign w:val="center"/>
          </w:tcPr>
          <w:p w14:paraId="5F5E6855">
            <w:pPr>
              <w:spacing w:before="120" w:beforeLines="50" w:after="120" w:afterLines="50" w:line="440" w:lineRule="exact"/>
              <w:jc w:val="center"/>
              <w:rPr>
                <w:rFonts w:hint="eastAsia" w:ascii="仿宋" w:hAnsi="仿宋" w:eastAsia="仿宋" w:cs="仿宋"/>
                <w:sz w:val="24"/>
                <w:szCs w:val="24"/>
                <w:lang w:val="en-US" w:eastAsia="zh-CN"/>
              </w:rPr>
            </w:pPr>
          </w:p>
        </w:tc>
      </w:tr>
      <w:tr w14:paraId="45FFACAA">
        <w:tblPrEx>
          <w:tblCellMar>
            <w:top w:w="0" w:type="dxa"/>
            <w:left w:w="0" w:type="dxa"/>
            <w:bottom w:w="0" w:type="dxa"/>
            <w:right w:w="0" w:type="dxa"/>
          </w:tblCellMar>
        </w:tblPrEx>
        <w:trPr>
          <w:trHeight w:val="1084"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EBAB03">
            <w:pPr>
              <w:spacing w:before="120" w:beforeLines="50" w:after="120" w:afterLines="50" w:line="44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2</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742152">
            <w:pPr>
              <w:spacing w:before="120" w:beforeLines="50" w:after="120" w:afterLines="50" w:line="440" w:lineRule="exact"/>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卷帘门</w:t>
            </w:r>
          </w:p>
        </w:tc>
        <w:tc>
          <w:tcPr>
            <w:tcW w:w="0" w:type="auto"/>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21DBE36B">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DOORHAN道翰、KOPRON高浦龙、上海快联、SEPPES西朗门业、江苏金秋竹、青岛拉斐特</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73D1774A">
            <w:pPr>
              <w:spacing w:before="120" w:beforeLines="50" w:after="120" w:afterLines="50" w:line="440" w:lineRule="exact"/>
              <w:jc w:val="center"/>
              <w:rPr>
                <w:rFonts w:hint="eastAsia" w:ascii="仿宋" w:hAnsi="仿宋" w:eastAsia="仿宋" w:cs="仿宋"/>
                <w:sz w:val="24"/>
                <w:szCs w:val="24"/>
              </w:rPr>
            </w:pPr>
          </w:p>
        </w:tc>
      </w:tr>
      <w:tr w14:paraId="1CE6957C">
        <w:tblPrEx>
          <w:tblCellMar>
            <w:top w:w="0" w:type="dxa"/>
            <w:left w:w="0" w:type="dxa"/>
            <w:bottom w:w="0" w:type="dxa"/>
            <w:right w:w="0" w:type="dxa"/>
          </w:tblCellMar>
        </w:tblPrEx>
        <w:trPr>
          <w:trHeight w:val="1084"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9C50B6B">
            <w:pPr>
              <w:spacing w:before="120" w:beforeLines="50" w:after="120" w:afterLines="50" w:line="44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3</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E963E5">
            <w:pPr>
              <w:spacing w:before="120" w:beforeLines="50" w:after="120" w:afterLines="50" w:line="44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岩棉夹芯板</w:t>
            </w:r>
          </w:p>
        </w:tc>
        <w:tc>
          <w:tcPr>
            <w:tcW w:w="0" w:type="auto"/>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5813A6CF">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东方诚建设集团有限公司、森特士兴集团股份有限公司、山东万事达建筑钢品股份有限公司</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16B786E1">
            <w:pPr>
              <w:spacing w:before="120" w:beforeLines="50" w:after="120" w:afterLines="50" w:line="440" w:lineRule="exact"/>
              <w:jc w:val="center"/>
              <w:rPr>
                <w:rFonts w:hint="eastAsia" w:ascii="仿宋" w:hAnsi="仿宋" w:eastAsia="仿宋" w:cs="仿宋"/>
                <w:sz w:val="24"/>
                <w:szCs w:val="24"/>
              </w:rPr>
            </w:pPr>
          </w:p>
        </w:tc>
      </w:tr>
      <w:tr w14:paraId="48EDC374">
        <w:tblPrEx>
          <w:tblCellMar>
            <w:top w:w="0" w:type="dxa"/>
            <w:left w:w="0" w:type="dxa"/>
            <w:bottom w:w="0" w:type="dxa"/>
            <w:right w:w="0" w:type="dxa"/>
          </w:tblCellMar>
        </w:tblPrEx>
        <w:trPr>
          <w:trHeight w:val="1084"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107913D">
            <w:pPr>
              <w:spacing w:before="120" w:beforeLines="50" w:after="120" w:afterLines="50" w:line="44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4</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9E0C16F">
            <w:pPr>
              <w:spacing w:before="120" w:beforeLines="50" w:after="120" w:afterLines="50" w:line="44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岩棉板</w:t>
            </w:r>
          </w:p>
        </w:tc>
        <w:tc>
          <w:tcPr>
            <w:tcW w:w="0" w:type="auto"/>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266F0678">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ABM（上海樱花）、山东鲁阳</w:t>
            </w:r>
            <w:r>
              <w:rPr>
                <w:rFonts w:hint="eastAsia" w:ascii="仿宋" w:hAnsi="仿宋" w:eastAsia="仿宋" w:cs="仿宋"/>
                <w:sz w:val="24"/>
                <w:szCs w:val="24"/>
                <w:lang w:eastAsia="zh-CN"/>
              </w:rPr>
              <w:t>（</w:t>
            </w:r>
            <w:r>
              <w:rPr>
                <w:rFonts w:hint="eastAsia" w:ascii="仿宋" w:hAnsi="仿宋" w:eastAsia="仿宋" w:cs="仿宋"/>
                <w:sz w:val="24"/>
                <w:szCs w:val="24"/>
                <w:lang w:val="en-US" w:eastAsia="zh-CN"/>
              </w:rPr>
              <w:t>淄博</w:t>
            </w:r>
            <w:r>
              <w:rPr>
                <w:rFonts w:ascii="宋体" w:hAnsi="宋体" w:eastAsia="宋体" w:cs="宋体"/>
                <w:sz w:val="24"/>
                <w:szCs w:val="24"/>
              </w:rPr>
              <w:t>华源</w:t>
            </w:r>
            <w:r>
              <w:rPr>
                <w:rFonts w:hint="eastAsia" w:ascii="仿宋" w:hAnsi="仿宋" w:eastAsia="仿宋" w:cs="仿宋"/>
                <w:sz w:val="24"/>
                <w:szCs w:val="24"/>
                <w:lang w:eastAsia="zh-CN"/>
              </w:rPr>
              <w:t>）</w:t>
            </w:r>
            <w:r>
              <w:rPr>
                <w:rFonts w:hint="eastAsia" w:ascii="仿宋" w:hAnsi="仿宋" w:eastAsia="仿宋" w:cs="仿宋"/>
                <w:sz w:val="24"/>
                <w:szCs w:val="24"/>
              </w:rPr>
              <w:t>、泰安泰石、凯华岩棉（南京恒翔）、南京彤天</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526B20DC">
            <w:pPr>
              <w:spacing w:before="120" w:beforeLines="50" w:after="120" w:afterLines="50" w:line="440" w:lineRule="exact"/>
              <w:jc w:val="center"/>
              <w:rPr>
                <w:rFonts w:hint="eastAsia" w:ascii="仿宋" w:hAnsi="仿宋" w:eastAsia="仿宋" w:cs="仿宋"/>
                <w:sz w:val="24"/>
                <w:szCs w:val="24"/>
              </w:rPr>
            </w:pPr>
          </w:p>
        </w:tc>
      </w:tr>
      <w:tr w14:paraId="617AF73F">
        <w:tblPrEx>
          <w:tblCellMar>
            <w:top w:w="0" w:type="dxa"/>
            <w:left w:w="0" w:type="dxa"/>
            <w:bottom w:w="0" w:type="dxa"/>
            <w:right w:w="0" w:type="dxa"/>
          </w:tblCellMar>
        </w:tblPrEx>
        <w:trPr>
          <w:trHeight w:val="668" w:hRule="atLeast"/>
        </w:trPr>
        <w:tc>
          <w:tcPr>
            <w:tcW w:w="0" w:type="auto"/>
            <w:gridSpan w:val="3"/>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2FF20109">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b/>
                <w:bCs/>
                <w:sz w:val="24"/>
                <w:szCs w:val="24"/>
              </w:rPr>
              <w:t>电气专业</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5252F442">
            <w:pPr>
              <w:spacing w:before="120" w:beforeLines="50" w:after="120" w:afterLines="50" w:line="440" w:lineRule="exact"/>
              <w:jc w:val="center"/>
              <w:rPr>
                <w:rFonts w:hint="eastAsia" w:ascii="仿宋" w:hAnsi="仿宋" w:eastAsia="仿宋" w:cs="仿宋"/>
                <w:b/>
                <w:bCs/>
                <w:sz w:val="24"/>
                <w:szCs w:val="24"/>
              </w:rPr>
            </w:pPr>
          </w:p>
        </w:tc>
      </w:tr>
      <w:tr w14:paraId="2E9F1D29">
        <w:tblPrEx>
          <w:tblCellMar>
            <w:top w:w="0" w:type="dxa"/>
            <w:left w:w="0" w:type="dxa"/>
            <w:bottom w:w="0" w:type="dxa"/>
            <w:right w:w="0" w:type="dxa"/>
          </w:tblCellMar>
        </w:tblPrEx>
        <w:trPr>
          <w:trHeight w:val="1084"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9252210">
            <w:pPr>
              <w:spacing w:before="120" w:beforeLines="50" w:after="120" w:afterLines="50" w:line="440" w:lineRule="exact"/>
              <w:jc w:val="center"/>
              <w:rPr>
                <w:rFonts w:hint="eastAsia" w:ascii="仿宋" w:hAnsi="仿宋" w:eastAsia="仿宋" w:cs="仿宋"/>
                <w:sz w:val="24"/>
                <w:szCs w:val="24"/>
              </w:rPr>
            </w:pPr>
            <w:r>
              <w:rPr>
                <w:rFonts w:hint="eastAsia" w:ascii="仿宋" w:hAnsi="仿宋" w:eastAsia="仿宋" w:cs="仿宋"/>
                <w:sz w:val="24"/>
                <w:szCs w:val="24"/>
              </w:rPr>
              <w:t>1</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3C0F643">
            <w:pPr>
              <w:spacing w:before="120" w:beforeLines="50" w:after="120" w:afterLines="50" w:line="44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电线电缆</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F4C407">
            <w:pPr>
              <w:spacing w:before="120" w:beforeLines="50" w:after="120" w:afterLines="50" w:line="44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江苏上上、中航宝胜（扬州厂）、无锡江南、中天科技海缆、汉河（青岛汉缆）</w:t>
            </w:r>
          </w:p>
        </w:tc>
        <w:tc>
          <w:tcPr>
            <w:tcW w:w="59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5B36E7C">
            <w:pPr>
              <w:spacing w:before="120" w:beforeLines="50" w:after="120" w:afterLines="50" w:line="440" w:lineRule="exact"/>
              <w:jc w:val="center"/>
              <w:rPr>
                <w:rFonts w:hint="eastAsia" w:ascii="仿宋" w:hAnsi="仿宋" w:eastAsia="仿宋" w:cs="仿宋"/>
                <w:sz w:val="24"/>
                <w:szCs w:val="24"/>
                <w:highlight w:val="none"/>
              </w:rPr>
            </w:pPr>
          </w:p>
        </w:tc>
      </w:tr>
      <w:tr w14:paraId="6A735FD6">
        <w:tblPrEx>
          <w:tblCellMar>
            <w:top w:w="0" w:type="dxa"/>
            <w:left w:w="0" w:type="dxa"/>
            <w:bottom w:w="0" w:type="dxa"/>
            <w:right w:w="0" w:type="dxa"/>
          </w:tblCellMar>
        </w:tblPrEx>
        <w:trPr>
          <w:trHeight w:val="814"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4044F87">
            <w:pPr>
              <w:spacing w:before="120" w:beforeLines="50" w:after="120" w:afterLines="50" w:line="440" w:lineRule="exact"/>
              <w:jc w:val="center"/>
              <w:rPr>
                <w:rFonts w:hint="eastAsia" w:ascii="仿宋" w:hAnsi="仿宋" w:eastAsia="仿宋" w:cs="仿宋"/>
                <w:sz w:val="24"/>
                <w:szCs w:val="24"/>
                <w:lang w:eastAsia="zh-CN"/>
              </w:rPr>
            </w:pPr>
            <w:r>
              <w:rPr>
                <w:rFonts w:hint="eastAsia" w:ascii="仿宋" w:hAnsi="仿宋" w:eastAsia="仿宋" w:cs="仿宋"/>
                <w:sz w:val="24"/>
                <w:szCs w:val="24"/>
                <w:lang w:val="en-US" w:eastAsia="zh-CN"/>
              </w:rPr>
              <w:t>2</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344966">
            <w:pPr>
              <w:spacing w:before="120" w:beforeLines="50" w:after="120" w:afterLines="50" w:line="440" w:lineRule="exact"/>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灯具</w:t>
            </w:r>
          </w:p>
        </w:tc>
        <w:tc>
          <w:tcPr>
            <w:tcW w:w="0" w:type="auto"/>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57BC46D6">
            <w:pPr>
              <w:pStyle w:val="2"/>
              <w:ind w:left="0" w:leftChars="0" w:firstLine="0" w:firstLineChars="0"/>
              <w:jc w:val="center"/>
              <w:rPr>
                <w:rFonts w:hint="eastAsia" w:ascii="仿宋" w:hAnsi="仿宋" w:eastAsia="仿宋" w:cs="仿宋"/>
                <w:sz w:val="24"/>
                <w:szCs w:val="24"/>
                <w:highlight w:val="none"/>
              </w:rPr>
            </w:pPr>
            <w:r>
              <w:rPr>
                <w:rFonts w:hint="eastAsia" w:ascii="仿宋" w:hAnsi="仿宋" w:eastAsia="仿宋" w:cs="仿宋"/>
                <w:kern w:val="2"/>
                <w:sz w:val="24"/>
                <w:szCs w:val="24"/>
                <w:highlight w:val="none"/>
                <w:lang w:val="en-US" w:eastAsia="zh-CN" w:bidi="ar-SA"/>
              </w:rPr>
              <w:t>OPPLE欧普、FSL佛山照明、TCL、上海亚明、雷士NVC、深圳海洋王照明</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5D5389BC">
            <w:pPr>
              <w:pStyle w:val="2"/>
              <w:ind w:left="0" w:leftChars="0" w:firstLine="0" w:firstLineChars="0"/>
              <w:jc w:val="center"/>
              <w:rPr>
                <w:rFonts w:hint="eastAsia" w:ascii="仿宋" w:hAnsi="仿宋" w:eastAsia="仿宋" w:cs="仿宋"/>
                <w:kern w:val="2"/>
                <w:sz w:val="24"/>
                <w:szCs w:val="24"/>
                <w:highlight w:val="none"/>
                <w:lang w:val="en-US" w:eastAsia="zh-CN" w:bidi="ar-SA"/>
              </w:rPr>
            </w:pPr>
          </w:p>
        </w:tc>
      </w:tr>
      <w:tr w14:paraId="326BE8BE">
        <w:tblPrEx>
          <w:tblCellMar>
            <w:top w:w="0" w:type="dxa"/>
            <w:left w:w="0" w:type="dxa"/>
            <w:bottom w:w="0" w:type="dxa"/>
            <w:right w:w="0" w:type="dxa"/>
          </w:tblCellMar>
        </w:tblPrEx>
        <w:trPr>
          <w:trHeight w:val="814" w:hRule="atLeast"/>
        </w:trPr>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B083C5">
            <w:pPr>
              <w:spacing w:before="120" w:beforeLines="50" w:after="120" w:afterLines="50" w:line="44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3</w:t>
            </w:r>
          </w:p>
        </w:tc>
        <w:tc>
          <w:tcPr>
            <w:tcW w:w="0" w:type="auto"/>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1BD44C">
            <w:pPr>
              <w:spacing w:before="120" w:beforeLines="50" w:after="120" w:afterLines="50" w:line="440" w:lineRule="exact"/>
              <w:jc w:val="center"/>
              <w:rPr>
                <w:rFonts w:hint="eastAsia" w:ascii="仿宋" w:hAnsi="仿宋" w:eastAsia="仿宋" w:cs="仿宋"/>
                <w:sz w:val="24"/>
                <w:szCs w:val="24"/>
                <w:highlight w:val="none"/>
              </w:rPr>
            </w:pPr>
            <w:r>
              <w:rPr>
                <w:rFonts w:hint="default" w:ascii="仿宋" w:hAnsi="仿宋" w:eastAsia="仿宋" w:cs="仿宋"/>
                <w:sz w:val="24"/>
                <w:szCs w:val="24"/>
                <w:highlight w:val="none"/>
                <w:lang w:val="en-US" w:eastAsia="zh-CN"/>
              </w:rPr>
              <w:t>低压断路器（交流）</w:t>
            </w:r>
          </w:p>
        </w:tc>
        <w:tc>
          <w:tcPr>
            <w:tcW w:w="0" w:type="auto"/>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0D132114">
            <w:pPr>
              <w:spacing w:before="120" w:beforeLines="50" w:after="120" w:afterLines="50" w:line="440" w:lineRule="exact"/>
              <w:jc w:val="center"/>
              <w:rPr>
                <w:rFonts w:hint="eastAsia" w:ascii="仿宋" w:hAnsi="仿宋" w:eastAsia="仿宋" w:cs="仿宋"/>
                <w:sz w:val="24"/>
                <w:szCs w:val="24"/>
                <w:highlight w:val="none"/>
                <w:lang w:val="en-US" w:eastAsia="zh-CN"/>
              </w:rPr>
            </w:pPr>
            <w:r>
              <w:rPr>
                <w:rFonts w:hint="default" w:ascii="仿宋" w:hAnsi="仿宋" w:eastAsia="仿宋" w:cs="仿宋"/>
                <w:sz w:val="24"/>
                <w:szCs w:val="24"/>
                <w:highlight w:val="none"/>
                <w:lang w:val="en-US" w:eastAsia="zh-CN"/>
              </w:rPr>
              <w:t>常熟开关、上海人民(上联RM)、上海良信</w:t>
            </w:r>
          </w:p>
        </w:tc>
        <w:tc>
          <w:tcPr>
            <w:tcW w:w="594" w:type="dxa"/>
            <w:tcBorders>
              <w:top w:val="single" w:color="000000" w:sz="4" w:space="0"/>
              <w:left w:val="single" w:color="000000" w:sz="4" w:space="0"/>
              <w:bottom w:val="single" w:color="000000" w:sz="4" w:space="0"/>
              <w:right w:val="single" w:color="auto" w:sz="4" w:space="0"/>
            </w:tcBorders>
            <w:tcMar>
              <w:top w:w="15" w:type="dxa"/>
              <w:left w:w="15" w:type="dxa"/>
              <w:right w:w="15" w:type="dxa"/>
            </w:tcMar>
            <w:vAlign w:val="center"/>
          </w:tcPr>
          <w:p w14:paraId="16996344">
            <w:pPr>
              <w:spacing w:before="120" w:beforeLines="50" w:after="120" w:afterLines="50" w:line="440" w:lineRule="exact"/>
              <w:jc w:val="center"/>
              <w:rPr>
                <w:rFonts w:hint="default" w:ascii="仿宋" w:hAnsi="仿宋" w:eastAsia="仿宋" w:cs="仿宋"/>
                <w:sz w:val="24"/>
                <w:szCs w:val="24"/>
                <w:highlight w:val="none"/>
                <w:lang w:val="en-US" w:eastAsia="zh-CN"/>
              </w:rPr>
            </w:pPr>
          </w:p>
        </w:tc>
      </w:tr>
    </w:tbl>
    <w:p w14:paraId="322775D4">
      <w:pPr>
        <w:spacing w:before="120" w:after="120" w:line="480" w:lineRule="exact"/>
        <w:rPr>
          <w:rStyle w:val="39"/>
          <w:rFonts w:ascii="宋体" w:hAnsi="宋体"/>
          <w:highlight w:val="none"/>
        </w:rPr>
      </w:pPr>
    </w:p>
    <w:p w14:paraId="6BB4530F">
      <w:pPr>
        <w:pStyle w:val="5"/>
        <w:jc w:val="center"/>
        <w:rPr>
          <w:sz w:val="48"/>
          <w:szCs w:val="48"/>
        </w:rPr>
      </w:pPr>
    </w:p>
    <w:p w14:paraId="7D210BE4">
      <w:pPr>
        <w:pStyle w:val="5"/>
        <w:jc w:val="center"/>
        <w:rPr>
          <w:sz w:val="48"/>
          <w:szCs w:val="48"/>
        </w:rPr>
      </w:pPr>
    </w:p>
    <w:p w14:paraId="3BFB4C92">
      <w:pPr>
        <w:rPr>
          <w:sz w:val="48"/>
          <w:szCs w:val="48"/>
        </w:rPr>
      </w:pPr>
      <w:bookmarkStart w:id="1372" w:name="_Toc13586"/>
      <w:bookmarkStart w:id="1373" w:name="_Toc1209"/>
      <w:r>
        <w:rPr>
          <w:sz w:val="48"/>
          <w:szCs w:val="48"/>
        </w:rPr>
        <w:br w:type="page"/>
      </w:r>
    </w:p>
    <w:p w14:paraId="1FF44838">
      <w:pPr>
        <w:pStyle w:val="5"/>
        <w:jc w:val="center"/>
        <w:rPr>
          <w:sz w:val="48"/>
          <w:szCs w:val="48"/>
        </w:rPr>
      </w:pPr>
      <w:r>
        <w:rPr>
          <w:sz w:val="48"/>
          <w:szCs w:val="48"/>
        </w:rPr>
        <w:t>第四卷</w:t>
      </w:r>
      <w:bookmarkEnd w:id="1371"/>
      <w:bookmarkEnd w:id="1372"/>
      <w:bookmarkEnd w:id="1373"/>
    </w:p>
    <w:p w14:paraId="7E280DC6">
      <w:pPr>
        <w:spacing w:before="120" w:after="120" w:line="480" w:lineRule="exact"/>
        <w:rPr>
          <w:rStyle w:val="39"/>
          <w:rFonts w:hint="eastAsia" w:ascii="宋体" w:hAnsi="宋体"/>
        </w:rPr>
      </w:pPr>
    </w:p>
    <w:p w14:paraId="4154F12F">
      <w:pPr>
        <w:spacing w:before="120" w:after="120" w:line="480" w:lineRule="exact"/>
        <w:rPr>
          <w:rStyle w:val="39"/>
          <w:rFonts w:hint="eastAsia" w:ascii="宋体" w:hAnsi="宋体"/>
        </w:rPr>
      </w:pPr>
    </w:p>
    <w:p w14:paraId="7C51FC70">
      <w:pPr>
        <w:spacing w:before="120" w:after="120" w:line="480" w:lineRule="exact"/>
        <w:rPr>
          <w:rStyle w:val="39"/>
          <w:rFonts w:hint="eastAsia" w:ascii="宋体" w:hAnsi="宋体"/>
        </w:rPr>
      </w:pPr>
    </w:p>
    <w:p w14:paraId="02DBEAA7">
      <w:pPr>
        <w:spacing w:before="120" w:after="120" w:line="480" w:lineRule="exact"/>
        <w:rPr>
          <w:rStyle w:val="39"/>
          <w:rFonts w:hint="eastAsia" w:ascii="宋体" w:hAnsi="宋体"/>
        </w:rPr>
      </w:pPr>
    </w:p>
    <w:p w14:paraId="404454C4">
      <w:pPr>
        <w:spacing w:before="120" w:after="120" w:line="480" w:lineRule="exact"/>
        <w:rPr>
          <w:rStyle w:val="39"/>
          <w:rFonts w:hint="eastAsia" w:ascii="宋体" w:hAnsi="宋体"/>
        </w:rPr>
      </w:pPr>
    </w:p>
    <w:p w14:paraId="48E67A10">
      <w:pPr>
        <w:rPr>
          <w:sz w:val="32"/>
          <w:szCs w:val="32"/>
        </w:rPr>
      </w:pPr>
      <w:bookmarkStart w:id="1374" w:name="_Toc20760"/>
      <w:bookmarkStart w:id="1375" w:name="_Toc17817347"/>
      <w:bookmarkStart w:id="1376" w:name="_Toc28132"/>
      <w:r>
        <w:rPr>
          <w:sz w:val="32"/>
          <w:szCs w:val="32"/>
        </w:rPr>
        <w:br w:type="page"/>
      </w:r>
    </w:p>
    <w:p w14:paraId="3CF7DC51">
      <w:pPr>
        <w:pStyle w:val="6"/>
        <w:jc w:val="center"/>
        <w:rPr>
          <w:i w:val="0"/>
          <w:iCs w:val="0"/>
          <w:sz w:val="32"/>
          <w:szCs w:val="32"/>
        </w:rPr>
      </w:pPr>
      <w:bookmarkStart w:id="1377" w:name="_Toc14852"/>
      <w:r>
        <w:rPr>
          <w:i w:val="0"/>
          <w:iCs w:val="0"/>
          <w:sz w:val="32"/>
          <w:szCs w:val="32"/>
        </w:rPr>
        <w:t>第八章  投标文件格式</w:t>
      </w:r>
      <w:bookmarkEnd w:id="1374"/>
      <w:bookmarkEnd w:id="1375"/>
      <w:bookmarkEnd w:id="1376"/>
      <w:bookmarkEnd w:id="1377"/>
    </w:p>
    <w:p w14:paraId="4438598D">
      <w:pPr>
        <w:spacing w:before="120" w:after="120" w:line="480" w:lineRule="exact"/>
        <w:rPr>
          <w:rStyle w:val="39"/>
          <w:rFonts w:hint="eastAsia" w:ascii="宋体" w:hAnsi="宋体"/>
        </w:rPr>
      </w:pPr>
    </w:p>
    <w:p w14:paraId="079E063E">
      <w:pPr>
        <w:spacing w:before="120" w:after="120" w:line="480" w:lineRule="exact"/>
        <w:rPr>
          <w:rStyle w:val="39"/>
          <w:rFonts w:hint="eastAsia" w:ascii="宋体" w:hAnsi="宋体"/>
        </w:rPr>
      </w:pPr>
    </w:p>
    <w:p w14:paraId="39F37ECB">
      <w:pPr>
        <w:jc w:val="center"/>
        <w:rPr>
          <w:rStyle w:val="39"/>
          <w:rFonts w:hint="eastAsia" w:ascii="宋体" w:hAnsi="宋体"/>
          <w:sz w:val="28"/>
          <w:szCs w:val="28"/>
          <w:u w:val="single"/>
        </w:rPr>
      </w:pPr>
      <w:r>
        <w:rPr>
          <w:rStyle w:val="39"/>
          <w:rFonts w:ascii="宋体" w:hAnsi="宋体"/>
          <w:sz w:val="28"/>
          <w:szCs w:val="28"/>
        </w:rPr>
        <w:t>（项目名称）</w:t>
      </w:r>
    </w:p>
    <w:p w14:paraId="7C2C8509">
      <w:pPr>
        <w:spacing w:before="240"/>
        <w:jc w:val="center"/>
        <w:rPr>
          <w:rStyle w:val="39"/>
          <w:rFonts w:hint="eastAsia" w:ascii="宋体" w:hAnsi="宋体"/>
          <w:sz w:val="44"/>
          <w:szCs w:val="44"/>
        </w:rPr>
      </w:pPr>
      <w:r>
        <w:rPr>
          <w:rStyle w:val="39"/>
          <w:rFonts w:ascii="宋体" w:hAnsi="宋体"/>
          <w:sz w:val="44"/>
          <w:szCs w:val="44"/>
        </w:rPr>
        <w:t>投  标  文  件</w:t>
      </w:r>
    </w:p>
    <w:p w14:paraId="097A868E">
      <w:pPr>
        <w:jc w:val="center"/>
        <w:rPr>
          <w:rStyle w:val="39"/>
          <w:rFonts w:hint="eastAsia" w:ascii="宋体" w:hAnsi="宋体"/>
          <w:sz w:val="32"/>
          <w:szCs w:val="32"/>
        </w:rPr>
      </w:pPr>
    </w:p>
    <w:p w14:paraId="3130383A">
      <w:pPr>
        <w:jc w:val="center"/>
        <w:rPr>
          <w:rStyle w:val="39"/>
          <w:rFonts w:hint="eastAsia" w:ascii="宋体" w:hAnsi="宋体"/>
          <w:sz w:val="32"/>
          <w:szCs w:val="32"/>
        </w:rPr>
      </w:pPr>
    </w:p>
    <w:p w14:paraId="2739F6A9">
      <w:pPr>
        <w:jc w:val="center"/>
        <w:rPr>
          <w:rStyle w:val="39"/>
          <w:rFonts w:hint="eastAsia" w:ascii="宋体" w:hAnsi="宋体"/>
          <w:sz w:val="32"/>
          <w:szCs w:val="32"/>
        </w:rPr>
      </w:pPr>
    </w:p>
    <w:p w14:paraId="3FEA3C8F">
      <w:pPr>
        <w:jc w:val="center"/>
        <w:rPr>
          <w:rStyle w:val="39"/>
          <w:rFonts w:hint="eastAsia" w:ascii="宋体" w:hAnsi="宋体"/>
          <w:sz w:val="32"/>
          <w:szCs w:val="32"/>
        </w:rPr>
      </w:pPr>
    </w:p>
    <w:p w14:paraId="79107D3E">
      <w:pPr>
        <w:jc w:val="center"/>
        <w:rPr>
          <w:rStyle w:val="39"/>
          <w:rFonts w:hint="eastAsia" w:ascii="宋体" w:hAnsi="宋体"/>
          <w:sz w:val="32"/>
          <w:szCs w:val="32"/>
        </w:rPr>
      </w:pPr>
    </w:p>
    <w:p w14:paraId="3A6A3112">
      <w:pPr>
        <w:jc w:val="center"/>
        <w:rPr>
          <w:rStyle w:val="39"/>
          <w:rFonts w:hint="eastAsia" w:ascii="宋体" w:hAnsi="宋体"/>
          <w:sz w:val="32"/>
          <w:szCs w:val="32"/>
        </w:rPr>
      </w:pPr>
    </w:p>
    <w:p w14:paraId="6126A0B2">
      <w:pPr>
        <w:jc w:val="center"/>
        <w:rPr>
          <w:rStyle w:val="39"/>
          <w:rFonts w:hint="eastAsia" w:ascii="宋体" w:hAnsi="宋体"/>
          <w:sz w:val="32"/>
          <w:szCs w:val="32"/>
        </w:rPr>
      </w:pPr>
    </w:p>
    <w:p w14:paraId="62E68D49">
      <w:pPr>
        <w:jc w:val="center"/>
        <w:rPr>
          <w:rStyle w:val="39"/>
          <w:rFonts w:hint="eastAsia" w:ascii="宋体" w:hAnsi="宋体"/>
          <w:sz w:val="32"/>
          <w:szCs w:val="32"/>
        </w:rPr>
      </w:pPr>
    </w:p>
    <w:p w14:paraId="4EB2AF70">
      <w:pPr>
        <w:jc w:val="center"/>
        <w:rPr>
          <w:rStyle w:val="39"/>
          <w:rFonts w:hint="eastAsia" w:ascii="宋体" w:hAnsi="宋体"/>
          <w:sz w:val="32"/>
          <w:szCs w:val="32"/>
        </w:rPr>
      </w:pPr>
    </w:p>
    <w:p w14:paraId="2EE1927F">
      <w:pPr>
        <w:jc w:val="center"/>
        <w:rPr>
          <w:rStyle w:val="39"/>
          <w:rFonts w:hint="eastAsia" w:ascii="宋体" w:hAnsi="宋体"/>
          <w:sz w:val="32"/>
          <w:szCs w:val="32"/>
        </w:rPr>
      </w:pPr>
    </w:p>
    <w:p w14:paraId="47C09485">
      <w:pPr>
        <w:jc w:val="center"/>
        <w:rPr>
          <w:rStyle w:val="39"/>
          <w:rFonts w:hint="eastAsia" w:ascii="宋体" w:hAnsi="宋体"/>
          <w:sz w:val="32"/>
          <w:szCs w:val="32"/>
        </w:rPr>
      </w:pPr>
    </w:p>
    <w:p w14:paraId="69C0AC98">
      <w:pPr>
        <w:jc w:val="center"/>
        <w:rPr>
          <w:rStyle w:val="39"/>
          <w:rFonts w:hint="eastAsia" w:ascii="宋体" w:hAnsi="宋体"/>
          <w:sz w:val="32"/>
          <w:szCs w:val="32"/>
        </w:rPr>
      </w:pPr>
    </w:p>
    <w:p w14:paraId="63CD74C0">
      <w:pPr>
        <w:jc w:val="center"/>
        <w:rPr>
          <w:rStyle w:val="39"/>
          <w:rFonts w:hint="eastAsia" w:ascii="宋体" w:hAnsi="宋体"/>
          <w:sz w:val="32"/>
          <w:szCs w:val="32"/>
        </w:rPr>
      </w:pPr>
    </w:p>
    <w:p w14:paraId="39732820">
      <w:pPr>
        <w:jc w:val="center"/>
        <w:rPr>
          <w:rStyle w:val="39"/>
          <w:rFonts w:hint="eastAsia" w:ascii="宋体" w:hAnsi="宋体"/>
          <w:sz w:val="32"/>
          <w:szCs w:val="32"/>
        </w:rPr>
      </w:pPr>
    </w:p>
    <w:p w14:paraId="4BA4857F">
      <w:pPr>
        <w:jc w:val="center"/>
        <w:rPr>
          <w:rStyle w:val="39"/>
          <w:rFonts w:hint="eastAsia" w:ascii="宋体" w:hAnsi="宋体"/>
          <w:sz w:val="32"/>
          <w:szCs w:val="32"/>
        </w:rPr>
      </w:pPr>
    </w:p>
    <w:p w14:paraId="46C40C62">
      <w:pPr>
        <w:jc w:val="center"/>
        <w:rPr>
          <w:rStyle w:val="39"/>
          <w:rFonts w:hint="eastAsia" w:ascii="宋体" w:hAnsi="宋体"/>
          <w:sz w:val="32"/>
          <w:szCs w:val="32"/>
        </w:rPr>
      </w:pPr>
    </w:p>
    <w:p w14:paraId="7A4B2F03">
      <w:pPr>
        <w:jc w:val="center"/>
        <w:rPr>
          <w:rStyle w:val="39"/>
          <w:rFonts w:hint="eastAsia" w:ascii="宋体" w:hAnsi="宋体"/>
          <w:sz w:val="32"/>
          <w:szCs w:val="32"/>
        </w:rPr>
      </w:pPr>
    </w:p>
    <w:p w14:paraId="1B4D5461">
      <w:pPr>
        <w:jc w:val="center"/>
        <w:rPr>
          <w:rStyle w:val="39"/>
          <w:rFonts w:hint="eastAsia" w:ascii="宋体" w:hAnsi="宋体"/>
          <w:sz w:val="32"/>
          <w:szCs w:val="32"/>
        </w:rPr>
      </w:pPr>
    </w:p>
    <w:p w14:paraId="4C44782C">
      <w:pPr>
        <w:jc w:val="center"/>
        <w:rPr>
          <w:rStyle w:val="39"/>
          <w:rFonts w:hint="eastAsia" w:ascii="宋体" w:hAnsi="宋体"/>
          <w:sz w:val="32"/>
          <w:szCs w:val="32"/>
        </w:rPr>
      </w:pPr>
    </w:p>
    <w:p w14:paraId="2B8341F9">
      <w:pPr>
        <w:spacing w:line="360" w:lineRule="auto"/>
        <w:jc w:val="center"/>
        <w:rPr>
          <w:rStyle w:val="39"/>
          <w:rFonts w:hint="eastAsia" w:ascii="宋体" w:hAnsi="宋体"/>
          <w:sz w:val="28"/>
          <w:szCs w:val="28"/>
        </w:rPr>
      </w:pPr>
      <w:r>
        <w:rPr>
          <w:rStyle w:val="39"/>
          <w:rFonts w:ascii="宋体" w:hAnsi="宋体"/>
          <w:sz w:val="28"/>
          <w:szCs w:val="28"/>
        </w:rPr>
        <w:t>投标人：（盖单位公章）</w:t>
      </w:r>
    </w:p>
    <w:p w14:paraId="13FEBEE1">
      <w:pPr>
        <w:spacing w:line="360" w:lineRule="auto"/>
        <w:ind w:firstLine="980" w:firstLineChars="350"/>
        <w:rPr>
          <w:rStyle w:val="39"/>
          <w:rFonts w:hint="eastAsia" w:ascii="宋体" w:hAnsi="宋体"/>
          <w:sz w:val="28"/>
          <w:szCs w:val="28"/>
        </w:rPr>
      </w:pPr>
      <w:r>
        <w:rPr>
          <w:rStyle w:val="39"/>
          <w:rFonts w:ascii="宋体" w:hAnsi="宋体"/>
          <w:sz w:val="28"/>
          <w:szCs w:val="28"/>
        </w:rPr>
        <w:t>法定代表人或其委托代理人：（签字或盖章）</w:t>
      </w:r>
    </w:p>
    <w:p w14:paraId="4D7568F0">
      <w:pPr>
        <w:jc w:val="center"/>
        <w:rPr>
          <w:rStyle w:val="39"/>
          <w:rFonts w:hint="eastAsia" w:ascii="宋体" w:hAnsi="宋体"/>
          <w:sz w:val="28"/>
          <w:szCs w:val="28"/>
        </w:rPr>
      </w:pPr>
    </w:p>
    <w:p w14:paraId="26B2409B">
      <w:pPr>
        <w:jc w:val="center"/>
        <w:rPr>
          <w:rStyle w:val="39"/>
          <w:rFonts w:hint="eastAsia" w:ascii="宋体" w:hAnsi="宋体"/>
          <w:sz w:val="28"/>
          <w:szCs w:val="28"/>
        </w:rPr>
      </w:pPr>
    </w:p>
    <w:p w14:paraId="4580CA2B">
      <w:pPr>
        <w:jc w:val="center"/>
        <w:rPr>
          <w:rStyle w:val="39"/>
          <w:rFonts w:hint="eastAsia" w:ascii="宋体" w:hAnsi="宋体"/>
          <w:sz w:val="28"/>
          <w:szCs w:val="28"/>
        </w:rPr>
      </w:pPr>
      <w:r>
        <w:rPr>
          <w:rStyle w:val="39"/>
          <w:rFonts w:ascii="宋体" w:hAnsi="宋体"/>
          <w:sz w:val="28"/>
          <w:szCs w:val="28"/>
        </w:rPr>
        <w:t>年月日</w:t>
      </w:r>
    </w:p>
    <w:p w14:paraId="6F085E64">
      <w:pPr>
        <w:jc w:val="center"/>
        <w:rPr>
          <w:rStyle w:val="39"/>
          <w:rFonts w:hint="eastAsia" w:ascii="宋体" w:hAnsi="宋体"/>
          <w:sz w:val="28"/>
          <w:szCs w:val="28"/>
        </w:rPr>
      </w:pPr>
    </w:p>
    <w:p w14:paraId="79DB0555">
      <w:pPr>
        <w:jc w:val="center"/>
        <w:rPr>
          <w:rStyle w:val="39"/>
          <w:rFonts w:hint="eastAsia" w:ascii="宋体" w:hAnsi="宋体"/>
          <w:sz w:val="28"/>
          <w:szCs w:val="28"/>
        </w:rPr>
      </w:pPr>
    </w:p>
    <w:p w14:paraId="42A9C338">
      <w:pPr>
        <w:jc w:val="center"/>
        <w:rPr>
          <w:rStyle w:val="39"/>
          <w:rFonts w:hint="eastAsia" w:ascii="宋体" w:hAnsi="宋体"/>
          <w:sz w:val="28"/>
          <w:szCs w:val="28"/>
        </w:rPr>
      </w:pPr>
    </w:p>
    <w:p w14:paraId="26247A4F">
      <w:pPr>
        <w:jc w:val="center"/>
        <w:rPr>
          <w:rStyle w:val="39"/>
          <w:rFonts w:hint="eastAsia" w:ascii="宋体" w:hAnsi="宋体"/>
          <w:sz w:val="28"/>
          <w:szCs w:val="28"/>
        </w:rPr>
      </w:pPr>
    </w:p>
    <w:p w14:paraId="7F57D6FE">
      <w:pPr>
        <w:jc w:val="center"/>
        <w:rPr>
          <w:rStyle w:val="39"/>
          <w:rFonts w:hint="eastAsia" w:ascii="宋体" w:hAnsi="宋体"/>
          <w:sz w:val="28"/>
          <w:szCs w:val="28"/>
        </w:rPr>
      </w:pPr>
    </w:p>
    <w:p w14:paraId="5D6CE25A">
      <w:pPr>
        <w:jc w:val="center"/>
        <w:rPr>
          <w:rStyle w:val="39"/>
          <w:rFonts w:hint="eastAsia" w:ascii="宋体" w:hAnsi="宋体"/>
          <w:sz w:val="28"/>
          <w:szCs w:val="28"/>
        </w:rPr>
      </w:pPr>
      <w:r>
        <w:rPr>
          <w:rStyle w:val="39"/>
          <w:rFonts w:ascii="宋体" w:hAnsi="宋体"/>
          <w:sz w:val="28"/>
          <w:szCs w:val="28"/>
        </w:rPr>
        <w:t>目    录</w:t>
      </w:r>
    </w:p>
    <w:p w14:paraId="457F37F8">
      <w:pPr>
        <w:spacing w:line="600" w:lineRule="exact"/>
        <w:rPr>
          <w:rStyle w:val="39"/>
          <w:rFonts w:hint="eastAsia" w:ascii="宋体" w:hAnsi="宋体"/>
          <w:szCs w:val="21"/>
        </w:rPr>
      </w:pPr>
      <w:r>
        <w:rPr>
          <w:rStyle w:val="39"/>
          <w:rFonts w:ascii="宋体" w:hAnsi="宋体"/>
          <w:szCs w:val="21"/>
        </w:rPr>
        <w:t>一、投标函及投标函附录</w:t>
      </w:r>
    </w:p>
    <w:p w14:paraId="2C4F03DD">
      <w:pPr>
        <w:spacing w:line="600" w:lineRule="exact"/>
        <w:rPr>
          <w:rStyle w:val="39"/>
          <w:rFonts w:hint="eastAsia" w:ascii="宋体" w:hAnsi="宋体"/>
          <w:szCs w:val="21"/>
        </w:rPr>
      </w:pPr>
      <w:r>
        <w:rPr>
          <w:rStyle w:val="39"/>
          <w:rFonts w:ascii="宋体" w:hAnsi="宋体"/>
          <w:szCs w:val="21"/>
        </w:rPr>
        <w:t>二、法定代表人身份证明</w:t>
      </w:r>
    </w:p>
    <w:p w14:paraId="50B5444E">
      <w:pPr>
        <w:spacing w:line="600" w:lineRule="exact"/>
        <w:rPr>
          <w:rStyle w:val="39"/>
          <w:rFonts w:hint="eastAsia" w:ascii="宋体" w:hAnsi="宋体"/>
          <w:szCs w:val="21"/>
        </w:rPr>
      </w:pPr>
      <w:r>
        <w:rPr>
          <w:rStyle w:val="39"/>
          <w:rFonts w:ascii="宋体" w:hAnsi="宋体"/>
          <w:szCs w:val="21"/>
        </w:rPr>
        <w:t>三、授权委托书</w:t>
      </w:r>
    </w:p>
    <w:p w14:paraId="1C30521E">
      <w:pPr>
        <w:spacing w:line="600" w:lineRule="exact"/>
        <w:rPr>
          <w:rStyle w:val="39"/>
          <w:rFonts w:hint="eastAsia" w:ascii="宋体" w:hAnsi="宋体"/>
          <w:szCs w:val="21"/>
        </w:rPr>
      </w:pPr>
      <w:r>
        <w:rPr>
          <w:rStyle w:val="39"/>
          <w:rFonts w:ascii="宋体" w:hAnsi="宋体"/>
          <w:szCs w:val="21"/>
        </w:rPr>
        <w:t>四、投标保证金</w:t>
      </w:r>
    </w:p>
    <w:p w14:paraId="5C4CE411">
      <w:pPr>
        <w:spacing w:line="600" w:lineRule="exact"/>
        <w:rPr>
          <w:rStyle w:val="39"/>
          <w:rFonts w:hint="eastAsia" w:ascii="宋体" w:hAnsi="宋体"/>
          <w:szCs w:val="21"/>
        </w:rPr>
      </w:pPr>
      <w:r>
        <w:rPr>
          <w:rStyle w:val="39"/>
          <w:rFonts w:ascii="宋体" w:hAnsi="宋体"/>
          <w:szCs w:val="21"/>
        </w:rPr>
        <w:t>五、已标价工程量清单</w:t>
      </w:r>
    </w:p>
    <w:p w14:paraId="5379D915">
      <w:pPr>
        <w:spacing w:line="600" w:lineRule="exact"/>
        <w:rPr>
          <w:rStyle w:val="39"/>
          <w:rFonts w:hint="eastAsia" w:ascii="宋体" w:hAnsi="宋体"/>
        </w:rPr>
      </w:pPr>
      <w:r>
        <w:rPr>
          <w:rStyle w:val="39"/>
          <w:rFonts w:hint="eastAsia" w:ascii="宋体" w:hAnsi="宋体"/>
        </w:rPr>
        <w:t>六、施工组织设计</w:t>
      </w:r>
    </w:p>
    <w:p w14:paraId="7DBED04C">
      <w:pPr>
        <w:spacing w:line="600" w:lineRule="exact"/>
        <w:rPr>
          <w:rStyle w:val="39"/>
          <w:rFonts w:hint="eastAsia" w:ascii="宋体" w:hAnsi="宋体"/>
          <w:szCs w:val="21"/>
        </w:rPr>
      </w:pPr>
      <w:r>
        <w:rPr>
          <w:rStyle w:val="39"/>
          <w:rFonts w:hint="eastAsia" w:ascii="宋体" w:hAnsi="宋体"/>
        </w:rPr>
        <w:t>七、</w:t>
      </w:r>
      <w:r>
        <w:rPr>
          <w:rStyle w:val="39"/>
          <w:rFonts w:ascii="宋体" w:hAnsi="宋体"/>
          <w:szCs w:val="21"/>
        </w:rPr>
        <w:t>项目管理机</w:t>
      </w:r>
      <w:r>
        <w:rPr>
          <w:rStyle w:val="39"/>
          <w:rFonts w:hint="eastAsia" w:ascii="宋体" w:hAnsi="宋体"/>
        </w:rPr>
        <w:t>构</w:t>
      </w:r>
    </w:p>
    <w:p w14:paraId="0E2C032D">
      <w:pPr>
        <w:spacing w:line="600" w:lineRule="exact"/>
        <w:rPr>
          <w:rStyle w:val="39"/>
          <w:rFonts w:hint="eastAsia" w:ascii="宋体" w:hAnsi="宋体"/>
          <w:szCs w:val="21"/>
        </w:rPr>
      </w:pPr>
      <w:r>
        <w:rPr>
          <w:rStyle w:val="39"/>
          <w:rFonts w:hint="eastAsia" w:ascii="宋体" w:hAnsi="宋体"/>
          <w:szCs w:val="21"/>
        </w:rPr>
        <w:t>八、</w:t>
      </w:r>
      <w:r>
        <w:rPr>
          <w:rStyle w:val="39"/>
          <w:rFonts w:ascii="宋体" w:hAnsi="宋体"/>
          <w:szCs w:val="21"/>
        </w:rPr>
        <w:t>其他材料</w:t>
      </w:r>
    </w:p>
    <w:p w14:paraId="4FBF4FA0">
      <w:pPr>
        <w:spacing w:line="600" w:lineRule="exact"/>
        <w:rPr>
          <w:rStyle w:val="39"/>
          <w:rFonts w:hint="eastAsia" w:ascii="宋体" w:hAnsi="宋体"/>
          <w:szCs w:val="21"/>
        </w:rPr>
      </w:pPr>
    </w:p>
    <w:p w14:paraId="031F9963">
      <w:pPr>
        <w:spacing w:line="600" w:lineRule="exact"/>
        <w:rPr>
          <w:rStyle w:val="39"/>
          <w:rFonts w:hint="eastAsia" w:ascii="宋体" w:hAnsi="宋体"/>
          <w:szCs w:val="21"/>
        </w:rPr>
      </w:pPr>
    </w:p>
    <w:p w14:paraId="43DE6DD8">
      <w:pPr>
        <w:spacing w:line="600" w:lineRule="exact"/>
        <w:rPr>
          <w:rStyle w:val="39"/>
          <w:rFonts w:hint="eastAsia" w:ascii="宋体" w:hAnsi="宋体"/>
          <w:szCs w:val="21"/>
        </w:rPr>
      </w:pPr>
    </w:p>
    <w:p w14:paraId="569DBD63">
      <w:pPr>
        <w:spacing w:line="600" w:lineRule="exact"/>
        <w:rPr>
          <w:rStyle w:val="39"/>
          <w:rFonts w:hint="eastAsia" w:ascii="宋体" w:hAnsi="宋体"/>
          <w:szCs w:val="21"/>
        </w:rPr>
      </w:pPr>
    </w:p>
    <w:p w14:paraId="3DD00788">
      <w:pPr>
        <w:spacing w:line="600" w:lineRule="exact"/>
        <w:rPr>
          <w:rStyle w:val="39"/>
          <w:rFonts w:hint="eastAsia" w:ascii="宋体" w:hAnsi="宋体"/>
          <w:szCs w:val="21"/>
        </w:rPr>
      </w:pPr>
    </w:p>
    <w:p w14:paraId="53487688">
      <w:pPr>
        <w:spacing w:line="600" w:lineRule="exact"/>
        <w:rPr>
          <w:rStyle w:val="39"/>
          <w:rFonts w:hint="eastAsia" w:ascii="宋体" w:hAnsi="宋体"/>
          <w:szCs w:val="21"/>
        </w:rPr>
      </w:pPr>
    </w:p>
    <w:p w14:paraId="620A0554">
      <w:pPr>
        <w:spacing w:line="600" w:lineRule="exact"/>
        <w:rPr>
          <w:rStyle w:val="39"/>
          <w:rFonts w:hint="eastAsia" w:ascii="宋体" w:hAnsi="宋体"/>
          <w:szCs w:val="21"/>
        </w:rPr>
      </w:pPr>
    </w:p>
    <w:p w14:paraId="341ADB12">
      <w:pPr>
        <w:spacing w:line="600" w:lineRule="exact"/>
        <w:rPr>
          <w:rStyle w:val="39"/>
          <w:rFonts w:hint="eastAsia" w:ascii="宋体" w:hAnsi="宋体"/>
          <w:szCs w:val="21"/>
        </w:rPr>
      </w:pPr>
    </w:p>
    <w:p w14:paraId="2908DA91">
      <w:pPr>
        <w:spacing w:line="600" w:lineRule="exact"/>
        <w:rPr>
          <w:rStyle w:val="39"/>
          <w:rFonts w:hint="eastAsia" w:ascii="宋体" w:hAnsi="宋体"/>
          <w:szCs w:val="21"/>
        </w:rPr>
      </w:pPr>
    </w:p>
    <w:p w14:paraId="1BFAC623">
      <w:pPr>
        <w:rPr>
          <w:sz w:val="30"/>
          <w:szCs w:val="30"/>
        </w:rPr>
      </w:pPr>
      <w:bookmarkStart w:id="1378" w:name="_Toc17817348"/>
      <w:bookmarkStart w:id="1379" w:name="_Toc2897"/>
      <w:bookmarkStart w:id="1380" w:name="_Toc16063994"/>
      <w:bookmarkStart w:id="1381" w:name="_Toc6538"/>
      <w:bookmarkStart w:id="1382" w:name="_Toc23716"/>
      <w:r>
        <w:rPr>
          <w:sz w:val="30"/>
          <w:szCs w:val="30"/>
        </w:rPr>
        <w:br w:type="page"/>
      </w:r>
    </w:p>
    <w:bookmarkEnd w:id="1378"/>
    <w:bookmarkEnd w:id="1379"/>
    <w:bookmarkEnd w:id="1380"/>
    <w:bookmarkEnd w:id="1381"/>
    <w:bookmarkEnd w:id="1382"/>
    <w:p w14:paraId="1BB4C6DD">
      <w:pPr>
        <w:pStyle w:val="7"/>
        <w:spacing w:before="0" w:after="0" w:line="480" w:lineRule="auto"/>
        <w:jc w:val="center"/>
        <w:rPr>
          <w:sz w:val="30"/>
          <w:szCs w:val="30"/>
        </w:rPr>
      </w:pPr>
      <w:r>
        <w:rPr>
          <w:sz w:val="30"/>
          <w:szCs w:val="30"/>
        </w:rPr>
        <w:t>一、投标函及投标函附录</w:t>
      </w:r>
    </w:p>
    <w:p w14:paraId="188506DB">
      <w:pPr>
        <w:snapToGrid w:val="0"/>
        <w:spacing w:line="440" w:lineRule="exact"/>
        <w:ind w:firstLine="527" w:firstLineChars="250"/>
        <w:jc w:val="center"/>
        <w:rPr>
          <w:rStyle w:val="39"/>
          <w:rFonts w:hint="eastAsia" w:ascii="宋体" w:hAnsi="宋体"/>
          <w:b/>
          <w:szCs w:val="21"/>
        </w:rPr>
      </w:pPr>
      <w:bookmarkStart w:id="1383" w:name="_Toc16063995"/>
      <w:r>
        <w:rPr>
          <w:rStyle w:val="39"/>
          <w:rFonts w:ascii="宋体" w:hAnsi="宋体"/>
          <w:b/>
          <w:szCs w:val="21"/>
        </w:rPr>
        <w:t>（一）投标函</w:t>
      </w:r>
      <w:bookmarkEnd w:id="1383"/>
    </w:p>
    <w:p w14:paraId="009A0153">
      <w:pPr>
        <w:snapToGrid w:val="0"/>
        <w:spacing w:line="440" w:lineRule="exact"/>
        <w:ind w:firstLine="527" w:firstLineChars="250"/>
        <w:jc w:val="center"/>
        <w:rPr>
          <w:rStyle w:val="39"/>
          <w:rFonts w:hint="eastAsia" w:ascii="宋体" w:hAnsi="宋体"/>
          <w:b/>
          <w:szCs w:val="21"/>
        </w:rPr>
      </w:pPr>
    </w:p>
    <w:p w14:paraId="5CF34E08">
      <w:pPr>
        <w:spacing w:line="480" w:lineRule="exact"/>
        <w:rPr>
          <w:rStyle w:val="39"/>
          <w:rFonts w:hint="eastAsia" w:ascii="宋体" w:hAnsi="宋体"/>
        </w:rPr>
      </w:pPr>
      <w:r>
        <w:rPr>
          <w:rStyle w:val="39"/>
          <w:rFonts w:ascii="宋体" w:hAnsi="宋体"/>
        </w:rPr>
        <w:t>致：（招标人名称）</w:t>
      </w:r>
    </w:p>
    <w:p w14:paraId="3ACB63B9">
      <w:pPr>
        <w:spacing w:line="360" w:lineRule="auto"/>
        <w:ind w:firstLine="567"/>
        <w:rPr>
          <w:rStyle w:val="39"/>
          <w:rFonts w:hint="eastAsia" w:ascii="宋体" w:hAnsi="宋体"/>
        </w:rPr>
      </w:pPr>
      <w:r>
        <w:rPr>
          <w:rStyle w:val="39"/>
          <w:rFonts w:ascii="宋体" w:hAnsi="宋体"/>
        </w:rPr>
        <w:t>1、根据已收到贵方的招标编号为的工程的招标文件，遵照《中华人民共和国招标投标法》等有关规定，我方经考察现场和研究上述招标文件的投标须知、合同条款、技术规范、图纸和工程量清单及其他有关文件后，我方愿以工程唱标单中的投标报价，并按上述图纸、合同条款、技术规范和工程量清单的条件要求承包上述工程的施工、竣工并承担任何质量缺陷保修责任。</w:t>
      </w:r>
    </w:p>
    <w:p w14:paraId="45D0BF45">
      <w:pPr>
        <w:spacing w:line="480" w:lineRule="exact"/>
        <w:ind w:firstLine="420" w:firstLineChars="200"/>
        <w:rPr>
          <w:rStyle w:val="39"/>
          <w:rFonts w:hint="eastAsia" w:ascii="宋体" w:hAnsi="宋体"/>
        </w:rPr>
      </w:pPr>
      <w:r>
        <w:rPr>
          <w:rStyle w:val="39"/>
          <w:rFonts w:ascii="宋体" w:hAnsi="宋体"/>
        </w:rPr>
        <w:t>如果我方中标，我方保证在年月日或按照合同约定的开工日期开始本工程的施工，天内竣工，并确保工程质量合格。我方同意本投标函在招标文件规定的提交投标文件截止时间后，在招标文件规定的投标有效期期满前对我方具有约束力，且随时准备接受你方发出的中标通知书。</w:t>
      </w:r>
    </w:p>
    <w:p w14:paraId="59214A71">
      <w:pPr>
        <w:spacing w:line="480" w:lineRule="exact"/>
        <w:ind w:firstLine="420" w:firstLineChars="200"/>
        <w:rPr>
          <w:rStyle w:val="39"/>
          <w:rFonts w:hint="eastAsia" w:ascii="宋体" w:hAnsi="宋体"/>
        </w:rPr>
      </w:pPr>
      <w:r>
        <w:rPr>
          <w:rStyle w:val="39"/>
          <w:rFonts w:ascii="宋体" w:hAnsi="宋体"/>
        </w:rPr>
        <w:t>随本投标函递交的投标函附录是本投标函的组成部分，对我方构成约束力。</w:t>
      </w:r>
    </w:p>
    <w:p w14:paraId="727FF1A7">
      <w:pPr>
        <w:spacing w:line="480" w:lineRule="exact"/>
        <w:ind w:firstLine="420" w:firstLineChars="200"/>
        <w:rPr>
          <w:rStyle w:val="39"/>
          <w:rFonts w:hint="eastAsia" w:ascii="宋体" w:hAnsi="宋体"/>
        </w:rPr>
      </w:pPr>
      <w:r>
        <w:rPr>
          <w:rStyle w:val="39"/>
          <w:rFonts w:ascii="宋体" w:hAnsi="宋体"/>
        </w:rPr>
        <w:t>随同本投标函递交投标保证金一份，金额为人民币（大写）：元（￥：元）。</w:t>
      </w:r>
    </w:p>
    <w:p w14:paraId="13923D50">
      <w:pPr>
        <w:spacing w:line="480" w:lineRule="exact"/>
        <w:ind w:firstLine="420" w:firstLineChars="200"/>
        <w:rPr>
          <w:rStyle w:val="39"/>
          <w:rFonts w:hint="eastAsia" w:ascii="宋体" w:hAnsi="宋体"/>
        </w:rPr>
      </w:pPr>
      <w:r>
        <w:rPr>
          <w:rStyle w:val="39"/>
          <w:rFonts w:ascii="宋体" w:hAnsi="宋体"/>
        </w:rPr>
        <w:t>在签署协议书之前，你方中标通知书连同本投标函，包括投标函附录，对双方具有约束力。</w:t>
      </w:r>
    </w:p>
    <w:p w14:paraId="551AF2F6">
      <w:pPr>
        <w:spacing w:line="480" w:lineRule="exact"/>
        <w:ind w:firstLine="420" w:firstLineChars="200"/>
        <w:rPr>
          <w:rStyle w:val="39"/>
          <w:rFonts w:hint="eastAsia" w:ascii="宋体" w:hAnsi="宋体"/>
        </w:rPr>
      </w:pPr>
      <w:r>
        <w:rPr>
          <w:rStyle w:val="39"/>
          <w:rFonts w:ascii="宋体" w:hAnsi="宋体"/>
        </w:rPr>
        <w:t>我公司承诺遵守贵公司由于招标人公司政策变化引起的随时终止项目的要求并承担由此带来的一切损失。</w:t>
      </w:r>
    </w:p>
    <w:p w14:paraId="0F0B0814">
      <w:pPr>
        <w:pStyle w:val="13"/>
      </w:pPr>
    </w:p>
    <w:p w14:paraId="20ECD58A">
      <w:pPr>
        <w:spacing w:line="200" w:lineRule="exact"/>
        <w:ind w:firstLine="420" w:firstLineChars="200"/>
        <w:rPr>
          <w:rStyle w:val="39"/>
          <w:rFonts w:hint="eastAsia" w:ascii="宋体" w:hAnsi="宋体"/>
        </w:rPr>
      </w:pPr>
    </w:p>
    <w:p w14:paraId="73669A68">
      <w:pPr>
        <w:spacing w:line="480" w:lineRule="exact"/>
        <w:rPr>
          <w:rStyle w:val="39"/>
          <w:rFonts w:hint="eastAsia" w:ascii="宋体" w:hAnsi="宋体"/>
        </w:rPr>
      </w:pPr>
      <w:r>
        <w:rPr>
          <w:rStyle w:val="39"/>
          <w:rFonts w:ascii="宋体" w:hAnsi="宋体"/>
        </w:rPr>
        <w:t>投  标  人（盖单位公章）：</w:t>
      </w:r>
    </w:p>
    <w:p w14:paraId="73440D63">
      <w:pPr>
        <w:spacing w:line="480" w:lineRule="exact"/>
        <w:rPr>
          <w:rStyle w:val="39"/>
          <w:rFonts w:hint="eastAsia" w:ascii="宋体" w:hAnsi="宋体"/>
        </w:rPr>
      </w:pPr>
      <w:r>
        <w:rPr>
          <w:rStyle w:val="39"/>
          <w:rFonts w:ascii="宋体" w:hAnsi="宋体"/>
        </w:rPr>
        <w:t>法人代表或委托代理人（签字或盖章）：</w:t>
      </w:r>
    </w:p>
    <w:p w14:paraId="6426BC27">
      <w:pPr>
        <w:spacing w:line="480" w:lineRule="exact"/>
        <w:rPr>
          <w:rStyle w:val="39"/>
          <w:rFonts w:hint="eastAsia" w:ascii="宋体" w:hAnsi="宋体"/>
        </w:rPr>
      </w:pPr>
      <w:r>
        <w:rPr>
          <w:rStyle w:val="39"/>
          <w:rFonts w:ascii="宋体" w:hAnsi="宋体"/>
        </w:rPr>
        <w:t>日  期：年月日</w:t>
      </w:r>
    </w:p>
    <w:p w14:paraId="7D9E1521">
      <w:pPr>
        <w:spacing w:line="200" w:lineRule="exact"/>
        <w:ind w:firstLine="420" w:firstLineChars="200"/>
        <w:rPr>
          <w:rStyle w:val="39"/>
          <w:rFonts w:hint="eastAsia" w:ascii="宋体" w:hAnsi="宋体"/>
        </w:rPr>
      </w:pPr>
    </w:p>
    <w:p w14:paraId="75CFCA30">
      <w:pPr>
        <w:rPr>
          <w:rStyle w:val="39"/>
          <w:rFonts w:hint="eastAsia" w:ascii="宋体" w:hAnsi="宋体"/>
        </w:rPr>
      </w:pPr>
    </w:p>
    <w:p w14:paraId="605BF4ED">
      <w:pPr>
        <w:rPr>
          <w:rStyle w:val="39"/>
          <w:rFonts w:hint="eastAsia" w:ascii="宋体" w:hAnsi="宋体"/>
        </w:rPr>
      </w:pPr>
    </w:p>
    <w:p w14:paraId="222AABED">
      <w:pPr>
        <w:spacing w:before="240" w:after="120" w:line="510" w:lineRule="exact"/>
        <w:jc w:val="center"/>
        <w:rPr>
          <w:rStyle w:val="39"/>
          <w:rFonts w:hint="eastAsia" w:ascii="宋体" w:hAnsi="宋体"/>
          <w:b/>
        </w:rPr>
      </w:pPr>
    </w:p>
    <w:p w14:paraId="2C664471">
      <w:pPr>
        <w:snapToGrid w:val="0"/>
        <w:spacing w:line="440" w:lineRule="exact"/>
        <w:ind w:firstLine="527" w:firstLineChars="250"/>
        <w:jc w:val="center"/>
        <w:rPr>
          <w:rStyle w:val="39"/>
          <w:rFonts w:hint="eastAsia" w:ascii="宋体" w:hAnsi="宋体"/>
          <w:b/>
          <w:szCs w:val="21"/>
        </w:rPr>
      </w:pPr>
      <w:bookmarkStart w:id="1384" w:name="_Toc16063996"/>
    </w:p>
    <w:p w14:paraId="2ED2A997">
      <w:pPr>
        <w:snapToGrid w:val="0"/>
        <w:spacing w:line="440" w:lineRule="exact"/>
        <w:ind w:firstLine="527" w:firstLineChars="250"/>
        <w:jc w:val="center"/>
        <w:rPr>
          <w:rStyle w:val="39"/>
          <w:rFonts w:hint="eastAsia" w:ascii="宋体" w:hAnsi="宋体"/>
          <w:b/>
          <w:szCs w:val="21"/>
        </w:rPr>
      </w:pPr>
      <w:r>
        <w:rPr>
          <w:rStyle w:val="39"/>
          <w:rFonts w:ascii="宋体" w:hAnsi="宋体"/>
          <w:b/>
          <w:szCs w:val="21"/>
        </w:rPr>
        <w:t>（二）投标函附录-1</w:t>
      </w:r>
      <w:bookmarkEnd w:id="1384"/>
    </w:p>
    <w:p w14:paraId="17017E13">
      <w:pPr>
        <w:snapToGrid w:val="0"/>
        <w:spacing w:line="440" w:lineRule="exact"/>
        <w:ind w:firstLine="527" w:firstLineChars="250"/>
        <w:jc w:val="center"/>
        <w:rPr>
          <w:rStyle w:val="39"/>
          <w:rFonts w:hint="eastAsia" w:ascii="宋体" w:hAnsi="宋体"/>
          <w:b/>
          <w:szCs w:val="21"/>
        </w:rPr>
      </w:pPr>
    </w:p>
    <w:p w14:paraId="61CFC583">
      <w:pPr>
        <w:rPr>
          <w:rStyle w:val="39"/>
          <w:rFonts w:hint="eastAsia" w:ascii="宋体" w:hAnsi="宋体"/>
          <w:szCs w:val="21"/>
        </w:rPr>
      </w:pPr>
      <w:r>
        <w:rPr>
          <w:rStyle w:val="39"/>
          <w:rFonts w:ascii="宋体" w:hAnsi="宋体"/>
          <w:b/>
          <w:szCs w:val="21"/>
        </w:rPr>
        <w:t xml:space="preserve">     工程名称：</w:t>
      </w:r>
      <w:r>
        <w:rPr>
          <w:rStyle w:val="39"/>
          <w:rFonts w:ascii="宋体" w:hAnsi="宋体"/>
          <w:szCs w:val="21"/>
        </w:rPr>
        <w:t xml:space="preserve">（项目名称）            </w:t>
      </w:r>
    </w:p>
    <w:tbl>
      <w:tblPr>
        <w:tblStyle w:val="25"/>
        <w:tblW w:w="8531" w:type="dxa"/>
        <w:tblInd w:w="67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54"/>
        <w:gridCol w:w="2701"/>
        <w:gridCol w:w="1564"/>
        <w:gridCol w:w="1770"/>
        <w:gridCol w:w="1642"/>
      </w:tblGrid>
      <w:tr w14:paraId="280E3A1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30FFE682">
            <w:pPr>
              <w:jc w:val="center"/>
              <w:rPr>
                <w:rStyle w:val="39"/>
                <w:rFonts w:hint="eastAsia" w:ascii="宋体" w:hAnsi="宋体"/>
                <w:b/>
                <w:szCs w:val="21"/>
              </w:rPr>
            </w:pPr>
            <w:r>
              <w:rPr>
                <w:rStyle w:val="39"/>
                <w:rFonts w:ascii="宋体" w:hAnsi="宋体"/>
                <w:b/>
                <w:szCs w:val="21"/>
              </w:rPr>
              <w:t>序 号</w:t>
            </w:r>
          </w:p>
        </w:tc>
        <w:tc>
          <w:tcPr>
            <w:tcW w:w="2701" w:type="dxa"/>
            <w:tcBorders>
              <w:top w:val="single" w:color="000000" w:sz="4" w:space="0"/>
              <w:left w:val="single" w:color="000000" w:sz="4" w:space="0"/>
              <w:bottom w:val="single" w:color="000000" w:sz="4" w:space="0"/>
              <w:right w:val="single" w:color="000000" w:sz="4" w:space="0"/>
            </w:tcBorders>
            <w:vAlign w:val="center"/>
          </w:tcPr>
          <w:p w14:paraId="06C36740">
            <w:pPr>
              <w:jc w:val="center"/>
              <w:rPr>
                <w:rStyle w:val="39"/>
                <w:rFonts w:hint="eastAsia" w:ascii="宋体" w:hAnsi="宋体"/>
                <w:b/>
                <w:szCs w:val="21"/>
              </w:rPr>
            </w:pPr>
            <w:r>
              <w:rPr>
                <w:rStyle w:val="39"/>
                <w:rFonts w:ascii="宋体" w:hAnsi="宋体"/>
                <w:b/>
                <w:szCs w:val="21"/>
              </w:rPr>
              <w:t>条款内容</w:t>
            </w:r>
          </w:p>
        </w:tc>
        <w:tc>
          <w:tcPr>
            <w:tcW w:w="1564" w:type="dxa"/>
            <w:tcBorders>
              <w:top w:val="single" w:color="000000" w:sz="4" w:space="0"/>
              <w:left w:val="single" w:color="000000" w:sz="4" w:space="0"/>
              <w:bottom w:val="single" w:color="000000" w:sz="4" w:space="0"/>
              <w:right w:val="single" w:color="000000" w:sz="4" w:space="0"/>
            </w:tcBorders>
            <w:vAlign w:val="center"/>
          </w:tcPr>
          <w:p w14:paraId="6CBEFDF7">
            <w:pPr>
              <w:jc w:val="center"/>
              <w:rPr>
                <w:rStyle w:val="39"/>
                <w:rFonts w:hint="eastAsia" w:ascii="宋体" w:hAnsi="宋体"/>
                <w:b/>
                <w:szCs w:val="21"/>
              </w:rPr>
            </w:pPr>
            <w:r>
              <w:rPr>
                <w:rStyle w:val="39"/>
                <w:rFonts w:ascii="宋体" w:hAnsi="宋体"/>
                <w:b/>
                <w:szCs w:val="21"/>
              </w:rPr>
              <w:t>招标文件</w:t>
            </w:r>
          </w:p>
          <w:p w14:paraId="41D409B4">
            <w:pPr>
              <w:jc w:val="center"/>
              <w:rPr>
                <w:rStyle w:val="39"/>
                <w:rFonts w:hint="eastAsia" w:ascii="宋体" w:hAnsi="宋体"/>
                <w:b/>
                <w:szCs w:val="21"/>
              </w:rPr>
            </w:pPr>
            <w:r>
              <w:rPr>
                <w:rStyle w:val="39"/>
                <w:rFonts w:ascii="宋体" w:hAnsi="宋体"/>
                <w:b/>
                <w:szCs w:val="21"/>
              </w:rPr>
              <w:t>内容</w:t>
            </w:r>
          </w:p>
        </w:tc>
        <w:tc>
          <w:tcPr>
            <w:tcW w:w="1770" w:type="dxa"/>
            <w:tcBorders>
              <w:top w:val="single" w:color="000000" w:sz="4" w:space="0"/>
              <w:left w:val="single" w:color="000000" w:sz="4" w:space="0"/>
              <w:bottom w:val="single" w:color="000000" w:sz="4" w:space="0"/>
              <w:right w:val="single" w:color="000000" w:sz="4" w:space="0"/>
            </w:tcBorders>
            <w:vAlign w:val="center"/>
          </w:tcPr>
          <w:p w14:paraId="440C77AE">
            <w:pPr>
              <w:jc w:val="center"/>
              <w:rPr>
                <w:rStyle w:val="39"/>
                <w:rFonts w:hint="eastAsia" w:ascii="宋体" w:hAnsi="宋体"/>
                <w:b/>
                <w:szCs w:val="21"/>
              </w:rPr>
            </w:pPr>
            <w:r>
              <w:rPr>
                <w:rStyle w:val="39"/>
                <w:rFonts w:ascii="宋体" w:hAnsi="宋体"/>
                <w:b/>
                <w:szCs w:val="21"/>
              </w:rPr>
              <w:t>投标内容</w:t>
            </w:r>
          </w:p>
        </w:tc>
        <w:tc>
          <w:tcPr>
            <w:tcW w:w="1642" w:type="dxa"/>
            <w:tcBorders>
              <w:top w:val="single" w:color="000000" w:sz="4" w:space="0"/>
              <w:left w:val="single" w:color="000000" w:sz="4" w:space="0"/>
              <w:bottom w:val="single" w:color="000000" w:sz="4" w:space="0"/>
              <w:right w:val="single" w:color="000000" w:sz="4" w:space="0"/>
            </w:tcBorders>
            <w:vAlign w:val="center"/>
          </w:tcPr>
          <w:p w14:paraId="07490442">
            <w:pPr>
              <w:jc w:val="center"/>
              <w:rPr>
                <w:rStyle w:val="39"/>
                <w:rFonts w:hint="eastAsia" w:ascii="宋体" w:hAnsi="宋体"/>
                <w:b/>
                <w:szCs w:val="21"/>
              </w:rPr>
            </w:pPr>
            <w:r>
              <w:rPr>
                <w:rStyle w:val="39"/>
                <w:rFonts w:ascii="宋体" w:hAnsi="宋体"/>
                <w:b/>
                <w:szCs w:val="21"/>
              </w:rPr>
              <w:t>备注</w:t>
            </w:r>
          </w:p>
        </w:tc>
      </w:tr>
      <w:tr w14:paraId="218F933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6EF84380">
            <w:pPr>
              <w:jc w:val="center"/>
              <w:rPr>
                <w:rStyle w:val="39"/>
                <w:rFonts w:hint="eastAsia" w:ascii="宋体" w:hAnsi="宋体"/>
                <w:szCs w:val="21"/>
              </w:rPr>
            </w:pPr>
            <w:r>
              <w:rPr>
                <w:rStyle w:val="39"/>
                <w:rFonts w:ascii="宋体" w:hAnsi="宋体"/>
                <w:szCs w:val="21"/>
              </w:rPr>
              <w:t>1</w:t>
            </w:r>
          </w:p>
        </w:tc>
        <w:tc>
          <w:tcPr>
            <w:tcW w:w="2701" w:type="dxa"/>
            <w:tcBorders>
              <w:top w:val="single" w:color="000000" w:sz="4" w:space="0"/>
              <w:left w:val="single" w:color="000000" w:sz="4" w:space="0"/>
              <w:bottom w:val="single" w:color="000000" w:sz="4" w:space="0"/>
              <w:right w:val="single" w:color="000000" w:sz="4" w:space="0"/>
            </w:tcBorders>
            <w:vAlign w:val="center"/>
          </w:tcPr>
          <w:p w14:paraId="335D4294">
            <w:pPr>
              <w:rPr>
                <w:rStyle w:val="39"/>
                <w:rFonts w:hint="eastAsia" w:ascii="宋体" w:hAnsi="宋体"/>
                <w:szCs w:val="21"/>
              </w:rPr>
            </w:pPr>
            <w:r>
              <w:rPr>
                <w:rStyle w:val="39"/>
                <w:rFonts w:ascii="宋体" w:hAnsi="宋体"/>
                <w:szCs w:val="21"/>
              </w:rPr>
              <w:t>项目经理</w:t>
            </w:r>
          </w:p>
        </w:tc>
        <w:tc>
          <w:tcPr>
            <w:tcW w:w="1564" w:type="dxa"/>
            <w:vMerge w:val="restart"/>
            <w:tcBorders>
              <w:top w:val="single" w:color="000000" w:sz="4" w:space="0"/>
              <w:left w:val="single" w:color="000000" w:sz="4" w:space="0"/>
              <w:bottom w:val="single" w:color="000000" w:sz="4" w:space="0"/>
              <w:right w:val="single" w:color="000000" w:sz="4" w:space="0"/>
            </w:tcBorders>
            <w:vAlign w:val="center"/>
          </w:tcPr>
          <w:p w14:paraId="4F66F40E">
            <w:pPr>
              <w:jc w:val="center"/>
              <w:rPr>
                <w:rStyle w:val="39"/>
                <w:rFonts w:hint="eastAsia" w:ascii="宋体" w:hAnsi="宋体"/>
                <w:szCs w:val="21"/>
              </w:rPr>
            </w:pPr>
            <w:r>
              <w:rPr>
                <w:rStyle w:val="39"/>
                <w:rFonts w:ascii="宋体" w:hAnsi="宋体"/>
                <w:szCs w:val="21"/>
              </w:rPr>
              <w:t>详见合同专用条款</w:t>
            </w:r>
          </w:p>
        </w:tc>
        <w:tc>
          <w:tcPr>
            <w:tcW w:w="1770" w:type="dxa"/>
            <w:tcBorders>
              <w:top w:val="single" w:color="000000" w:sz="4" w:space="0"/>
              <w:left w:val="single" w:color="000000" w:sz="4" w:space="0"/>
              <w:bottom w:val="single" w:color="000000" w:sz="4" w:space="0"/>
              <w:right w:val="single" w:color="000000" w:sz="4" w:space="0"/>
            </w:tcBorders>
            <w:vAlign w:val="center"/>
          </w:tcPr>
          <w:p w14:paraId="55B530AD">
            <w:pP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357E8804">
            <w:pPr>
              <w:jc w:val="center"/>
              <w:rPr>
                <w:rStyle w:val="39"/>
                <w:rFonts w:hint="eastAsia" w:ascii="宋体" w:hAnsi="宋体"/>
                <w:szCs w:val="21"/>
              </w:rPr>
            </w:pPr>
          </w:p>
        </w:tc>
      </w:tr>
      <w:tr w14:paraId="71494C5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77DD8035">
            <w:pPr>
              <w:jc w:val="center"/>
              <w:rPr>
                <w:rStyle w:val="39"/>
                <w:rFonts w:hint="eastAsia" w:ascii="宋体" w:hAnsi="宋体"/>
                <w:szCs w:val="21"/>
              </w:rPr>
            </w:pPr>
            <w:r>
              <w:rPr>
                <w:rStyle w:val="39"/>
                <w:rFonts w:ascii="宋体" w:hAnsi="宋体"/>
                <w:szCs w:val="21"/>
              </w:rPr>
              <w:t>2</w:t>
            </w:r>
          </w:p>
        </w:tc>
        <w:tc>
          <w:tcPr>
            <w:tcW w:w="2701" w:type="dxa"/>
            <w:tcBorders>
              <w:top w:val="single" w:color="000000" w:sz="4" w:space="0"/>
              <w:left w:val="single" w:color="000000" w:sz="4" w:space="0"/>
              <w:bottom w:val="single" w:color="000000" w:sz="4" w:space="0"/>
              <w:right w:val="single" w:color="000000" w:sz="4" w:space="0"/>
            </w:tcBorders>
            <w:vAlign w:val="center"/>
          </w:tcPr>
          <w:p w14:paraId="5C8845CE">
            <w:pPr>
              <w:rPr>
                <w:rStyle w:val="39"/>
                <w:rFonts w:hint="eastAsia" w:ascii="宋体" w:hAnsi="宋体"/>
                <w:szCs w:val="21"/>
              </w:rPr>
            </w:pPr>
            <w:r>
              <w:rPr>
                <w:rStyle w:val="39"/>
                <w:rFonts w:ascii="宋体" w:hAnsi="宋体"/>
                <w:szCs w:val="21"/>
              </w:rPr>
              <w:t>工期</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34D34848">
            <w:pPr>
              <w:jc w:val="cente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22060243">
            <w:pPr>
              <w:jc w:val="cente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1D900542">
            <w:pPr>
              <w:jc w:val="center"/>
              <w:rPr>
                <w:rStyle w:val="39"/>
                <w:rFonts w:hint="eastAsia" w:ascii="宋体" w:hAnsi="宋体"/>
                <w:szCs w:val="21"/>
              </w:rPr>
            </w:pPr>
          </w:p>
        </w:tc>
      </w:tr>
      <w:tr w14:paraId="6DA2EF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7FD3403A">
            <w:pPr>
              <w:jc w:val="center"/>
              <w:rPr>
                <w:rStyle w:val="39"/>
                <w:rFonts w:hint="eastAsia" w:ascii="宋体" w:hAnsi="宋体"/>
                <w:szCs w:val="21"/>
              </w:rPr>
            </w:pPr>
            <w:r>
              <w:rPr>
                <w:rStyle w:val="39"/>
                <w:rFonts w:ascii="宋体" w:hAnsi="宋体"/>
                <w:szCs w:val="21"/>
              </w:rPr>
              <w:t>3</w:t>
            </w:r>
          </w:p>
        </w:tc>
        <w:tc>
          <w:tcPr>
            <w:tcW w:w="2701" w:type="dxa"/>
            <w:tcBorders>
              <w:top w:val="single" w:color="000000" w:sz="4" w:space="0"/>
              <w:left w:val="single" w:color="000000" w:sz="4" w:space="0"/>
              <w:bottom w:val="single" w:color="000000" w:sz="4" w:space="0"/>
              <w:right w:val="single" w:color="000000" w:sz="4" w:space="0"/>
            </w:tcBorders>
            <w:vAlign w:val="center"/>
          </w:tcPr>
          <w:p w14:paraId="71372451">
            <w:pPr>
              <w:rPr>
                <w:rStyle w:val="39"/>
                <w:rFonts w:hint="eastAsia" w:ascii="宋体" w:hAnsi="宋体"/>
                <w:szCs w:val="21"/>
              </w:rPr>
            </w:pPr>
            <w:r>
              <w:rPr>
                <w:rStyle w:val="39"/>
                <w:rFonts w:ascii="宋体" w:hAnsi="宋体"/>
                <w:szCs w:val="21"/>
              </w:rPr>
              <w:t>承包人履约担保金额</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4C972C9C">
            <w:pPr>
              <w:jc w:val="cente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72F41C8C">
            <w:pPr>
              <w:jc w:val="cente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2AC2E6C5">
            <w:pPr>
              <w:jc w:val="center"/>
              <w:rPr>
                <w:rStyle w:val="39"/>
                <w:rFonts w:hint="eastAsia" w:ascii="宋体" w:hAnsi="宋体"/>
                <w:szCs w:val="21"/>
              </w:rPr>
            </w:pPr>
          </w:p>
        </w:tc>
      </w:tr>
      <w:tr w14:paraId="544209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254A8F05">
            <w:pPr>
              <w:jc w:val="center"/>
              <w:rPr>
                <w:rStyle w:val="39"/>
                <w:rFonts w:hint="eastAsia" w:ascii="宋体" w:hAnsi="宋体"/>
                <w:szCs w:val="21"/>
              </w:rPr>
            </w:pPr>
            <w:r>
              <w:rPr>
                <w:rStyle w:val="39"/>
                <w:rFonts w:ascii="宋体" w:hAnsi="宋体"/>
                <w:szCs w:val="21"/>
              </w:rPr>
              <w:t>4</w:t>
            </w:r>
          </w:p>
        </w:tc>
        <w:tc>
          <w:tcPr>
            <w:tcW w:w="2701" w:type="dxa"/>
            <w:tcBorders>
              <w:top w:val="single" w:color="000000" w:sz="4" w:space="0"/>
              <w:left w:val="single" w:color="000000" w:sz="4" w:space="0"/>
              <w:bottom w:val="single" w:color="000000" w:sz="4" w:space="0"/>
              <w:right w:val="single" w:color="000000" w:sz="4" w:space="0"/>
            </w:tcBorders>
            <w:vAlign w:val="center"/>
          </w:tcPr>
          <w:p w14:paraId="1667EAB5">
            <w:pPr>
              <w:rPr>
                <w:rStyle w:val="39"/>
                <w:rFonts w:hint="eastAsia" w:ascii="宋体" w:hAnsi="宋体"/>
                <w:szCs w:val="21"/>
              </w:rPr>
            </w:pPr>
            <w:r>
              <w:rPr>
                <w:rStyle w:val="39"/>
                <w:rFonts w:ascii="宋体" w:hAnsi="宋体"/>
                <w:szCs w:val="21"/>
              </w:rPr>
              <w:t>工期延误违约金</w:t>
            </w:r>
            <w:r>
              <w:rPr>
                <w:rStyle w:val="39"/>
                <w:rFonts w:ascii="宋体" w:hAnsi="宋体"/>
                <w:vanish/>
                <w:szCs w:val="21"/>
              </w:rPr>
              <w:t>天</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3E1948D5">
            <w:pPr>
              <w:jc w:val="cente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6BF0565D">
            <w:pP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1DA30B2D">
            <w:pPr>
              <w:jc w:val="center"/>
              <w:rPr>
                <w:rStyle w:val="39"/>
                <w:rFonts w:hint="eastAsia" w:ascii="宋体" w:hAnsi="宋体"/>
                <w:szCs w:val="21"/>
              </w:rPr>
            </w:pPr>
          </w:p>
        </w:tc>
      </w:tr>
      <w:tr w14:paraId="565D2C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3E4E5E00">
            <w:pPr>
              <w:jc w:val="center"/>
              <w:rPr>
                <w:rStyle w:val="39"/>
                <w:rFonts w:hint="eastAsia" w:ascii="宋体" w:hAnsi="宋体"/>
                <w:szCs w:val="21"/>
              </w:rPr>
            </w:pPr>
            <w:r>
              <w:rPr>
                <w:rStyle w:val="39"/>
                <w:rFonts w:ascii="宋体" w:hAnsi="宋体"/>
                <w:szCs w:val="21"/>
              </w:rPr>
              <w:t>5</w:t>
            </w:r>
          </w:p>
        </w:tc>
        <w:tc>
          <w:tcPr>
            <w:tcW w:w="2701" w:type="dxa"/>
            <w:tcBorders>
              <w:top w:val="single" w:color="000000" w:sz="4" w:space="0"/>
              <w:left w:val="single" w:color="000000" w:sz="4" w:space="0"/>
              <w:bottom w:val="single" w:color="000000" w:sz="4" w:space="0"/>
              <w:right w:val="single" w:color="000000" w:sz="4" w:space="0"/>
            </w:tcBorders>
            <w:vAlign w:val="center"/>
          </w:tcPr>
          <w:p w14:paraId="45391EEB">
            <w:pPr>
              <w:rPr>
                <w:rStyle w:val="39"/>
                <w:rFonts w:hint="eastAsia" w:ascii="宋体" w:hAnsi="宋体"/>
                <w:szCs w:val="21"/>
              </w:rPr>
            </w:pPr>
            <w:r>
              <w:rPr>
                <w:rStyle w:val="39"/>
                <w:rFonts w:ascii="宋体" w:hAnsi="宋体"/>
                <w:szCs w:val="21"/>
              </w:rPr>
              <w:t>工期延误违约金最高限额</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4027E492">
            <w:pPr>
              <w:jc w:val="cente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2C96FF66">
            <w:pP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17027BD5">
            <w:pPr>
              <w:jc w:val="center"/>
              <w:rPr>
                <w:rStyle w:val="39"/>
                <w:rFonts w:hint="eastAsia" w:ascii="宋体" w:hAnsi="宋体"/>
                <w:szCs w:val="21"/>
              </w:rPr>
            </w:pPr>
          </w:p>
        </w:tc>
      </w:tr>
      <w:tr w14:paraId="26A4EE1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0D708B2D">
            <w:pPr>
              <w:jc w:val="center"/>
              <w:rPr>
                <w:rStyle w:val="39"/>
                <w:rFonts w:hint="eastAsia" w:ascii="宋体" w:hAnsi="宋体"/>
                <w:szCs w:val="21"/>
              </w:rPr>
            </w:pPr>
            <w:r>
              <w:rPr>
                <w:rStyle w:val="39"/>
                <w:rFonts w:ascii="宋体" w:hAnsi="宋体"/>
                <w:szCs w:val="21"/>
              </w:rPr>
              <w:t>6</w:t>
            </w:r>
          </w:p>
        </w:tc>
        <w:tc>
          <w:tcPr>
            <w:tcW w:w="2701" w:type="dxa"/>
            <w:tcBorders>
              <w:top w:val="single" w:color="000000" w:sz="4" w:space="0"/>
              <w:left w:val="single" w:color="000000" w:sz="4" w:space="0"/>
              <w:bottom w:val="single" w:color="000000" w:sz="4" w:space="0"/>
              <w:right w:val="single" w:color="000000" w:sz="4" w:space="0"/>
            </w:tcBorders>
            <w:vAlign w:val="center"/>
          </w:tcPr>
          <w:p w14:paraId="6798D29F">
            <w:pPr>
              <w:rPr>
                <w:rStyle w:val="39"/>
                <w:rFonts w:hint="eastAsia" w:ascii="宋体" w:hAnsi="宋体"/>
                <w:szCs w:val="21"/>
              </w:rPr>
            </w:pPr>
            <w:r>
              <w:rPr>
                <w:rStyle w:val="39"/>
                <w:rFonts w:ascii="宋体" w:hAnsi="宋体"/>
                <w:szCs w:val="21"/>
              </w:rPr>
              <w:t>质量要求</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3C15E34A">
            <w:pPr>
              <w:jc w:val="cente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14A5FB4F">
            <w:pPr>
              <w:jc w:val="cente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13FB9D25">
            <w:pPr>
              <w:jc w:val="center"/>
              <w:rPr>
                <w:rStyle w:val="39"/>
                <w:rFonts w:hint="eastAsia" w:ascii="宋体" w:hAnsi="宋体"/>
                <w:szCs w:val="21"/>
              </w:rPr>
            </w:pPr>
          </w:p>
        </w:tc>
      </w:tr>
      <w:tr w14:paraId="5D9C0F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5583717B">
            <w:pPr>
              <w:jc w:val="center"/>
              <w:rPr>
                <w:rStyle w:val="39"/>
                <w:rFonts w:hint="eastAsia" w:ascii="宋体" w:hAnsi="宋体"/>
                <w:szCs w:val="21"/>
              </w:rPr>
            </w:pPr>
            <w:r>
              <w:rPr>
                <w:rStyle w:val="39"/>
                <w:rFonts w:ascii="宋体" w:hAnsi="宋体"/>
                <w:szCs w:val="21"/>
              </w:rPr>
              <w:t>7</w:t>
            </w:r>
          </w:p>
        </w:tc>
        <w:tc>
          <w:tcPr>
            <w:tcW w:w="2701" w:type="dxa"/>
            <w:tcBorders>
              <w:top w:val="single" w:color="000000" w:sz="4" w:space="0"/>
              <w:left w:val="single" w:color="000000" w:sz="4" w:space="0"/>
              <w:bottom w:val="single" w:color="000000" w:sz="4" w:space="0"/>
              <w:right w:val="single" w:color="000000" w:sz="4" w:space="0"/>
            </w:tcBorders>
            <w:vAlign w:val="center"/>
          </w:tcPr>
          <w:p w14:paraId="20A4D3B0">
            <w:pPr>
              <w:rPr>
                <w:rStyle w:val="39"/>
                <w:rFonts w:hint="eastAsia" w:ascii="宋体" w:hAnsi="宋体"/>
                <w:szCs w:val="21"/>
                <w:shd w:val="pct10" w:color="auto" w:fill="FFFFFF"/>
              </w:rPr>
            </w:pPr>
            <w:r>
              <w:rPr>
                <w:rStyle w:val="39"/>
                <w:rFonts w:ascii="宋体" w:hAnsi="宋体"/>
                <w:szCs w:val="21"/>
              </w:rPr>
              <w:t>预付款比例</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1872E5FF">
            <w:pPr>
              <w:jc w:val="center"/>
              <w:rPr>
                <w:rStyle w:val="39"/>
                <w:rFonts w:hint="eastAsia" w:ascii="宋体" w:hAnsi="宋体"/>
                <w:szCs w:val="21"/>
                <w:shd w:val="pct10" w:color="auto" w:fill="FFFFFF"/>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6E8C7DA4">
            <w:pPr>
              <w:jc w:val="center"/>
              <w:rPr>
                <w:rStyle w:val="39"/>
                <w:rFonts w:hint="eastAsia" w:ascii="宋体" w:hAnsi="宋体"/>
                <w:szCs w:val="21"/>
                <w:shd w:val="pct10" w:color="auto" w:fill="FFFFFF"/>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145B1DBC">
            <w:pPr>
              <w:jc w:val="center"/>
              <w:rPr>
                <w:rStyle w:val="39"/>
                <w:rFonts w:hint="eastAsia" w:ascii="宋体" w:hAnsi="宋体"/>
                <w:szCs w:val="21"/>
                <w:shd w:val="pct10" w:color="auto" w:fill="FFFFFF"/>
              </w:rPr>
            </w:pPr>
          </w:p>
        </w:tc>
      </w:tr>
      <w:tr w14:paraId="573295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5DE7B7D7">
            <w:pPr>
              <w:jc w:val="center"/>
              <w:rPr>
                <w:rStyle w:val="39"/>
                <w:rFonts w:hint="eastAsia" w:ascii="宋体" w:hAnsi="宋体"/>
                <w:szCs w:val="21"/>
              </w:rPr>
            </w:pPr>
            <w:r>
              <w:rPr>
                <w:rStyle w:val="39"/>
                <w:rFonts w:ascii="宋体" w:hAnsi="宋体"/>
                <w:szCs w:val="21"/>
              </w:rPr>
              <w:t>8</w:t>
            </w:r>
          </w:p>
        </w:tc>
        <w:tc>
          <w:tcPr>
            <w:tcW w:w="2701" w:type="dxa"/>
            <w:tcBorders>
              <w:top w:val="single" w:color="000000" w:sz="4" w:space="0"/>
              <w:left w:val="single" w:color="000000" w:sz="4" w:space="0"/>
              <w:bottom w:val="single" w:color="000000" w:sz="4" w:space="0"/>
              <w:right w:val="single" w:color="000000" w:sz="4" w:space="0"/>
            </w:tcBorders>
            <w:vAlign w:val="center"/>
          </w:tcPr>
          <w:p w14:paraId="7A629D0E">
            <w:pPr>
              <w:rPr>
                <w:rStyle w:val="39"/>
                <w:rFonts w:hint="eastAsia" w:ascii="宋体" w:hAnsi="宋体"/>
                <w:szCs w:val="21"/>
              </w:rPr>
            </w:pPr>
            <w:r>
              <w:rPr>
                <w:rStyle w:val="39"/>
                <w:rFonts w:ascii="宋体" w:hAnsi="宋体"/>
                <w:szCs w:val="21"/>
              </w:rPr>
              <w:t>质量违约金</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0AB6B438">
            <w:pPr>
              <w:jc w:val="cente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31F830C9">
            <w:pPr>
              <w:jc w:val="cente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1D2FDBB7">
            <w:pPr>
              <w:jc w:val="center"/>
              <w:rPr>
                <w:rStyle w:val="39"/>
                <w:rFonts w:hint="eastAsia" w:ascii="宋体" w:hAnsi="宋体"/>
                <w:szCs w:val="21"/>
              </w:rPr>
            </w:pPr>
          </w:p>
        </w:tc>
      </w:tr>
      <w:tr w14:paraId="7980304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634" w:hRule="atLeast"/>
        </w:trPr>
        <w:tc>
          <w:tcPr>
            <w:tcW w:w="854" w:type="dxa"/>
            <w:tcBorders>
              <w:top w:val="single" w:color="000000" w:sz="4" w:space="0"/>
              <w:left w:val="single" w:color="000000" w:sz="4" w:space="0"/>
              <w:bottom w:val="single" w:color="000000" w:sz="4" w:space="0"/>
              <w:right w:val="single" w:color="000000" w:sz="4" w:space="0"/>
            </w:tcBorders>
            <w:vAlign w:val="center"/>
          </w:tcPr>
          <w:p w14:paraId="5F2B035E">
            <w:pPr>
              <w:jc w:val="center"/>
              <w:rPr>
                <w:rStyle w:val="39"/>
                <w:rFonts w:hint="eastAsia" w:ascii="宋体" w:hAnsi="宋体"/>
                <w:szCs w:val="21"/>
              </w:rPr>
            </w:pPr>
            <w:r>
              <w:rPr>
                <w:rStyle w:val="39"/>
                <w:rFonts w:hint="eastAsia" w:ascii="宋体" w:hAnsi="宋体"/>
                <w:szCs w:val="21"/>
              </w:rPr>
              <w:t>9</w:t>
            </w:r>
          </w:p>
        </w:tc>
        <w:tc>
          <w:tcPr>
            <w:tcW w:w="2701" w:type="dxa"/>
            <w:tcBorders>
              <w:top w:val="single" w:color="000000" w:sz="4" w:space="0"/>
              <w:left w:val="single" w:color="000000" w:sz="4" w:space="0"/>
              <w:bottom w:val="single" w:color="000000" w:sz="4" w:space="0"/>
              <w:right w:val="single" w:color="000000" w:sz="4" w:space="0"/>
            </w:tcBorders>
            <w:vAlign w:val="center"/>
          </w:tcPr>
          <w:p w14:paraId="5D906021">
            <w:pPr>
              <w:spacing w:line="440" w:lineRule="exact"/>
              <w:rPr>
                <w:rStyle w:val="39"/>
                <w:rFonts w:hint="eastAsia" w:ascii="宋体" w:hAnsi="宋体"/>
                <w:szCs w:val="21"/>
              </w:rPr>
            </w:pPr>
            <w:r>
              <w:rPr>
                <w:rStyle w:val="39"/>
                <w:rFonts w:hint="eastAsia" w:ascii="宋体" w:hAnsi="宋体"/>
                <w:szCs w:val="21"/>
              </w:rPr>
              <w:t>项目管理要求细则</w:t>
            </w:r>
          </w:p>
        </w:tc>
        <w:tc>
          <w:tcPr>
            <w:tcW w:w="1564" w:type="dxa"/>
            <w:vMerge w:val="continue"/>
            <w:tcBorders>
              <w:top w:val="single" w:color="000000" w:sz="4" w:space="0"/>
              <w:left w:val="single" w:color="000000" w:sz="4" w:space="0"/>
              <w:bottom w:val="single" w:color="000000" w:sz="4" w:space="0"/>
              <w:right w:val="single" w:color="000000" w:sz="4" w:space="0"/>
            </w:tcBorders>
            <w:vAlign w:val="center"/>
          </w:tcPr>
          <w:p w14:paraId="51B0E917">
            <w:pPr>
              <w:rPr>
                <w:rStyle w:val="39"/>
                <w:rFonts w:hint="eastAsia" w:ascii="宋体" w:hAnsi="宋体"/>
                <w:szCs w:val="21"/>
              </w:rPr>
            </w:pPr>
          </w:p>
        </w:tc>
        <w:tc>
          <w:tcPr>
            <w:tcW w:w="1770" w:type="dxa"/>
            <w:tcBorders>
              <w:top w:val="single" w:color="000000" w:sz="4" w:space="0"/>
              <w:left w:val="single" w:color="000000" w:sz="4" w:space="0"/>
              <w:bottom w:val="single" w:color="000000" w:sz="4" w:space="0"/>
              <w:right w:val="single" w:color="000000" w:sz="4" w:space="0"/>
            </w:tcBorders>
            <w:vAlign w:val="center"/>
          </w:tcPr>
          <w:p w14:paraId="5176BDD0">
            <w:pPr>
              <w:jc w:val="center"/>
              <w:rPr>
                <w:rStyle w:val="39"/>
                <w:rFonts w:hint="eastAsia" w:ascii="宋体" w:hAnsi="宋体"/>
                <w:szCs w:val="21"/>
              </w:rPr>
            </w:pPr>
          </w:p>
        </w:tc>
        <w:tc>
          <w:tcPr>
            <w:tcW w:w="1642" w:type="dxa"/>
            <w:tcBorders>
              <w:top w:val="single" w:color="000000" w:sz="4" w:space="0"/>
              <w:left w:val="single" w:color="000000" w:sz="4" w:space="0"/>
              <w:bottom w:val="single" w:color="000000" w:sz="4" w:space="0"/>
              <w:right w:val="single" w:color="000000" w:sz="4" w:space="0"/>
            </w:tcBorders>
            <w:vAlign w:val="center"/>
          </w:tcPr>
          <w:p w14:paraId="5440ECFD">
            <w:pPr>
              <w:jc w:val="center"/>
              <w:rPr>
                <w:rStyle w:val="39"/>
                <w:rFonts w:hint="eastAsia" w:ascii="宋体" w:hAnsi="宋体"/>
                <w:szCs w:val="21"/>
              </w:rPr>
            </w:pPr>
          </w:p>
        </w:tc>
      </w:tr>
      <w:tr w14:paraId="6E7CDF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90" w:hRule="atLeast"/>
        </w:trPr>
        <w:tc>
          <w:tcPr>
            <w:tcW w:w="8531" w:type="dxa"/>
            <w:gridSpan w:val="5"/>
            <w:tcBorders>
              <w:top w:val="single" w:color="000000" w:sz="4" w:space="0"/>
              <w:left w:val="single" w:color="000000" w:sz="4" w:space="0"/>
              <w:bottom w:val="single" w:color="000000" w:sz="4" w:space="0"/>
              <w:right w:val="single" w:color="000000" w:sz="4" w:space="0"/>
            </w:tcBorders>
            <w:vAlign w:val="center"/>
          </w:tcPr>
          <w:p w14:paraId="0694B75E">
            <w:pPr>
              <w:rPr>
                <w:rStyle w:val="39"/>
                <w:rFonts w:hint="eastAsia" w:ascii="宋体" w:hAnsi="宋体"/>
                <w:szCs w:val="21"/>
              </w:rPr>
            </w:pPr>
            <w:r>
              <w:rPr>
                <w:rStyle w:val="39"/>
                <w:rFonts w:ascii="宋体" w:hAnsi="宋体"/>
                <w:szCs w:val="21"/>
              </w:rPr>
              <w:t>备注：投标人在响应招标文件中规定的实质性要求和条件的基础上，可做出其他有利于招标人的承诺。此类承诺可在本表中予以补充填写。</w:t>
            </w:r>
          </w:p>
        </w:tc>
      </w:tr>
    </w:tbl>
    <w:p w14:paraId="2187DF6F">
      <w:pPr>
        <w:spacing w:line="480" w:lineRule="exact"/>
        <w:ind w:firstLine="422" w:firstLineChars="200"/>
        <w:rPr>
          <w:rStyle w:val="39"/>
          <w:rFonts w:hint="eastAsia" w:ascii="宋体" w:hAnsi="宋体"/>
          <w:szCs w:val="21"/>
        </w:rPr>
      </w:pPr>
      <w:r>
        <w:rPr>
          <w:rStyle w:val="39"/>
          <w:rFonts w:ascii="宋体" w:hAnsi="宋体"/>
          <w:b/>
          <w:szCs w:val="21"/>
        </w:rPr>
        <w:t xml:space="preserve"> 投标人</w:t>
      </w:r>
      <w:r>
        <w:rPr>
          <w:rStyle w:val="39"/>
          <w:rFonts w:ascii="宋体" w:hAnsi="宋体"/>
          <w:szCs w:val="21"/>
        </w:rPr>
        <w:t>（盖单位公章）：</w:t>
      </w:r>
    </w:p>
    <w:p w14:paraId="4E241A77">
      <w:pPr>
        <w:spacing w:line="480" w:lineRule="exact"/>
        <w:ind w:firstLine="422" w:firstLineChars="200"/>
        <w:rPr>
          <w:rStyle w:val="39"/>
          <w:rFonts w:hint="eastAsia" w:ascii="宋体" w:hAnsi="宋体"/>
          <w:szCs w:val="21"/>
        </w:rPr>
      </w:pPr>
      <w:r>
        <w:rPr>
          <w:rStyle w:val="39"/>
          <w:rFonts w:ascii="宋体" w:hAnsi="宋体"/>
          <w:b/>
          <w:szCs w:val="21"/>
        </w:rPr>
        <w:t>法人代表或委托代理人</w:t>
      </w:r>
      <w:r>
        <w:rPr>
          <w:rStyle w:val="39"/>
          <w:rFonts w:ascii="宋体" w:hAnsi="宋体"/>
          <w:szCs w:val="21"/>
        </w:rPr>
        <w:t>（签字或盖章）：</w:t>
      </w:r>
    </w:p>
    <w:p w14:paraId="63B519AE">
      <w:pPr>
        <w:spacing w:line="480" w:lineRule="exact"/>
        <w:ind w:firstLine="422" w:firstLineChars="200"/>
        <w:rPr>
          <w:rStyle w:val="39"/>
          <w:rFonts w:hint="eastAsia" w:ascii="宋体" w:hAnsi="宋体"/>
          <w:b/>
          <w:szCs w:val="21"/>
        </w:rPr>
      </w:pPr>
      <w:r>
        <w:rPr>
          <w:rStyle w:val="39"/>
          <w:rFonts w:ascii="宋体" w:hAnsi="宋体"/>
          <w:b/>
          <w:szCs w:val="21"/>
        </w:rPr>
        <w:t xml:space="preserve"> 日期：年月日</w:t>
      </w:r>
    </w:p>
    <w:p w14:paraId="361B5933">
      <w:pPr>
        <w:spacing w:before="120"/>
        <w:jc w:val="center"/>
        <w:rPr>
          <w:rStyle w:val="39"/>
          <w:rFonts w:hint="eastAsia" w:ascii="宋体" w:hAnsi="宋体"/>
          <w:b/>
          <w:szCs w:val="21"/>
        </w:rPr>
      </w:pPr>
      <w:r>
        <w:rPr>
          <w:rStyle w:val="39"/>
          <w:rFonts w:ascii="宋体" w:hAnsi="宋体"/>
          <w:b/>
          <w:szCs w:val="21"/>
        </w:rPr>
        <w:br w:type="page"/>
      </w:r>
    </w:p>
    <w:p w14:paraId="54F16330">
      <w:pPr>
        <w:snapToGrid w:val="0"/>
        <w:spacing w:line="440" w:lineRule="exact"/>
        <w:ind w:firstLine="527" w:firstLineChars="250"/>
        <w:jc w:val="center"/>
        <w:rPr>
          <w:rStyle w:val="39"/>
          <w:rFonts w:hint="eastAsia" w:ascii="宋体" w:hAnsi="宋体"/>
          <w:b/>
          <w:szCs w:val="21"/>
        </w:rPr>
      </w:pPr>
      <w:bookmarkStart w:id="1385" w:name="_Toc16063997"/>
      <w:r>
        <w:rPr>
          <w:rStyle w:val="39"/>
          <w:rFonts w:ascii="宋体" w:hAnsi="宋体"/>
          <w:b/>
          <w:szCs w:val="21"/>
        </w:rPr>
        <w:t>（三）投标函附录-2</w:t>
      </w:r>
      <w:bookmarkEnd w:id="1385"/>
    </w:p>
    <w:p w14:paraId="4626D02A">
      <w:pPr>
        <w:snapToGrid w:val="0"/>
        <w:spacing w:line="440" w:lineRule="exact"/>
        <w:ind w:firstLine="527" w:firstLineChars="250"/>
        <w:jc w:val="center"/>
        <w:rPr>
          <w:rStyle w:val="39"/>
          <w:rFonts w:hint="eastAsia" w:ascii="宋体" w:hAnsi="宋体"/>
          <w:b/>
          <w:szCs w:val="21"/>
        </w:rPr>
      </w:pPr>
    </w:p>
    <w:p w14:paraId="41B09832">
      <w:pPr>
        <w:spacing w:line="360" w:lineRule="auto"/>
        <w:ind w:firstLine="278" w:firstLineChars="99"/>
        <w:jc w:val="center"/>
        <w:rPr>
          <w:rStyle w:val="39"/>
          <w:rFonts w:hint="eastAsia" w:ascii="宋体" w:hAnsi="宋体"/>
          <w:b/>
          <w:bCs/>
          <w:sz w:val="28"/>
          <w:szCs w:val="28"/>
        </w:rPr>
      </w:pPr>
      <w:r>
        <w:rPr>
          <w:rStyle w:val="39"/>
          <w:rFonts w:ascii="宋体" w:hAnsi="宋体"/>
          <w:b/>
          <w:bCs/>
          <w:sz w:val="28"/>
          <w:szCs w:val="28"/>
        </w:rPr>
        <w:t>工程唱标单（格式）</w:t>
      </w:r>
    </w:p>
    <w:tbl>
      <w:tblPr>
        <w:tblStyle w:val="25"/>
        <w:tblW w:w="9819"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281"/>
        <w:gridCol w:w="2180"/>
        <w:gridCol w:w="1235"/>
        <w:gridCol w:w="2114"/>
        <w:gridCol w:w="1807"/>
        <w:gridCol w:w="1202"/>
      </w:tblGrid>
      <w:tr w14:paraId="3406AD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72"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30D1F681">
            <w:pPr>
              <w:rPr>
                <w:rStyle w:val="39"/>
                <w:rFonts w:hint="eastAsia" w:ascii="宋体" w:hAnsi="宋体"/>
                <w:bCs/>
                <w:szCs w:val="21"/>
              </w:rPr>
            </w:pPr>
            <w:r>
              <w:rPr>
                <w:rStyle w:val="39"/>
                <w:rFonts w:ascii="宋体" w:hAnsi="宋体"/>
                <w:bCs/>
                <w:szCs w:val="21"/>
              </w:rPr>
              <w:t xml:space="preserve">投标人：                                             </w:t>
            </w:r>
          </w:p>
        </w:tc>
      </w:tr>
      <w:tr w14:paraId="10F3586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35"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48BE7DC7">
            <w:pPr>
              <w:rPr>
                <w:rStyle w:val="39"/>
                <w:rFonts w:hint="eastAsia" w:ascii="宋体" w:hAnsi="宋体"/>
                <w:bCs/>
                <w:szCs w:val="21"/>
              </w:rPr>
            </w:pPr>
            <w:r>
              <w:rPr>
                <w:rStyle w:val="39"/>
                <w:rFonts w:ascii="宋体" w:hAnsi="宋体"/>
                <w:bCs/>
                <w:szCs w:val="21"/>
              </w:rPr>
              <w:t xml:space="preserve">工程名称：                                           </w:t>
            </w:r>
          </w:p>
        </w:tc>
      </w:tr>
      <w:tr w14:paraId="56A964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1146"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3F8A21A0">
            <w:pPr>
              <w:rPr>
                <w:rFonts w:hint="eastAsia" w:ascii="宋体" w:hAnsi="宋体" w:cs="宋体"/>
                <w:sz w:val="22"/>
                <w:szCs w:val="28"/>
              </w:rPr>
            </w:pPr>
            <w:r>
              <w:rPr>
                <w:rFonts w:hint="eastAsia" w:ascii="宋体" w:hAnsi="宋体" w:cs="宋体"/>
                <w:sz w:val="22"/>
                <w:szCs w:val="28"/>
              </w:rPr>
              <w:t>投标总价：大写：</w:t>
            </w:r>
            <w:r>
              <w:rPr>
                <w:rFonts w:hint="eastAsia" w:ascii="宋体" w:hAnsi="宋体" w:cs="宋体"/>
                <w:sz w:val="22"/>
                <w:szCs w:val="28"/>
                <w:u w:val="single"/>
              </w:rPr>
              <w:t xml:space="preserve">      </w:t>
            </w:r>
            <w:r>
              <w:rPr>
                <w:rFonts w:hint="eastAsia" w:ascii="宋体" w:hAnsi="宋体" w:cs="宋体"/>
                <w:sz w:val="22"/>
                <w:szCs w:val="28"/>
              </w:rPr>
              <w:t>元；（小写：</w:t>
            </w:r>
            <w:r>
              <w:rPr>
                <w:rFonts w:hint="eastAsia" w:ascii="宋体" w:hAnsi="宋体" w:cs="宋体"/>
                <w:sz w:val="22"/>
                <w:szCs w:val="28"/>
                <w:u w:val="single"/>
              </w:rPr>
              <w:t xml:space="preserve">      </w:t>
            </w:r>
            <w:r>
              <w:rPr>
                <w:rFonts w:hint="eastAsia" w:ascii="宋体" w:hAnsi="宋体" w:cs="宋体"/>
                <w:sz w:val="22"/>
                <w:szCs w:val="28"/>
              </w:rPr>
              <w:t>）。</w:t>
            </w:r>
          </w:p>
          <w:p w14:paraId="61705165">
            <w:pPr>
              <w:pStyle w:val="2"/>
              <w:ind w:left="420" w:firstLine="440"/>
              <w:rPr>
                <w:rFonts w:hint="eastAsia" w:ascii="宋体" w:hAnsi="宋体" w:cs="宋体"/>
                <w:sz w:val="22"/>
                <w:szCs w:val="28"/>
              </w:rPr>
            </w:pPr>
            <w:r>
              <w:rPr>
                <w:rFonts w:hint="eastAsia" w:ascii="宋体" w:hAnsi="宋体" w:cs="宋体"/>
                <w:sz w:val="22"/>
                <w:szCs w:val="28"/>
              </w:rPr>
              <w:t>其中，</w:t>
            </w:r>
            <w:r>
              <w:rPr>
                <w:rFonts w:hint="eastAsia" w:ascii="仿宋_GB2312" w:hAnsi="仿宋_GB2312" w:eastAsia="仿宋_GB2312" w:cs="仿宋_GB2312"/>
                <w:bCs/>
              </w:rPr>
              <w:t>莱芜厂区新建大棚及地面硬化技改项目</w:t>
            </w:r>
            <w:r>
              <w:rPr>
                <w:rFonts w:hint="eastAsia" w:ascii="宋体" w:hAnsi="宋体" w:cs="宋体"/>
                <w:sz w:val="22"/>
                <w:szCs w:val="28"/>
              </w:rPr>
              <w:t>工程施工，总价：大写：</w:t>
            </w:r>
            <w:r>
              <w:rPr>
                <w:rFonts w:hint="eastAsia" w:ascii="宋体" w:hAnsi="宋体" w:cs="宋体"/>
                <w:sz w:val="22"/>
                <w:szCs w:val="28"/>
                <w:u w:val="single"/>
              </w:rPr>
              <w:t xml:space="preserve">      </w:t>
            </w:r>
            <w:r>
              <w:rPr>
                <w:rFonts w:hint="eastAsia" w:ascii="宋体" w:hAnsi="宋体" w:cs="宋体"/>
                <w:sz w:val="22"/>
                <w:szCs w:val="28"/>
              </w:rPr>
              <w:t>元；（小写：</w:t>
            </w:r>
            <w:r>
              <w:rPr>
                <w:rFonts w:hint="eastAsia" w:ascii="宋体" w:hAnsi="宋体" w:cs="宋体"/>
                <w:sz w:val="22"/>
                <w:szCs w:val="28"/>
                <w:u w:val="single"/>
              </w:rPr>
              <w:t xml:space="preserve">      </w:t>
            </w:r>
            <w:r>
              <w:rPr>
                <w:rFonts w:hint="eastAsia" w:ascii="宋体" w:hAnsi="宋体" w:cs="宋体"/>
                <w:sz w:val="22"/>
                <w:szCs w:val="28"/>
              </w:rPr>
              <w:t>）</w:t>
            </w:r>
          </w:p>
          <w:p w14:paraId="179A1763">
            <w:pPr>
              <w:pStyle w:val="2"/>
              <w:ind w:left="420" w:firstLine="420"/>
              <w:rPr>
                <w:rFonts w:hint="eastAsia" w:ascii="宋体" w:hAnsi="宋体" w:cs="宋体"/>
                <w:sz w:val="22"/>
                <w:szCs w:val="28"/>
              </w:rPr>
            </w:pPr>
            <w:r>
              <w:rPr>
                <w:rFonts w:hint="eastAsia" w:ascii="仿宋_GB2312" w:hAnsi="仿宋_GB2312" w:cs="仿宋_GB2312"/>
                <w:bCs/>
                <w:color w:val="000000" w:themeColor="text1"/>
                <w14:textFill>
                  <w14:solidFill>
                    <w14:schemeClr w14:val="tx1"/>
                  </w14:solidFill>
                </w14:textFill>
              </w:rPr>
              <w:t>莱</w:t>
            </w:r>
            <w:r>
              <w:rPr>
                <w:rFonts w:hint="eastAsia" w:ascii="仿宋_GB2312" w:hAnsi="仿宋_GB2312" w:eastAsia="仿宋_GB2312" w:cs="仿宋_GB2312"/>
                <w:bCs/>
              </w:rPr>
              <w:t>芜厂区辊压线废料再利用技改项目</w:t>
            </w:r>
            <w:r>
              <w:rPr>
                <w:rFonts w:hint="eastAsia" w:ascii="宋体" w:hAnsi="宋体" w:cs="宋体"/>
                <w:sz w:val="22"/>
                <w:szCs w:val="28"/>
              </w:rPr>
              <w:t>工程施工，总价：大写：</w:t>
            </w:r>
            <w:r>
              <w:rPr>
                <w:rFonts w:hint="eastAsia" w:ascii="宋体" w:hAnsi="宋体" w:cs="宋体"/>
                <w:sz w:val="22"/>
                <w:szCs w:val="28"/>
                <w:u w:val="single"/>
              </w:rPr>
              <w:t xml:space="preserve">      </w:t>
            </w:r>
            <w:r>
              <w:rPr>
                <w:rFonts w:hint="eastAsia" w:ascii="宋体" w:hAnsi="宋体" w:cs="宋体"/>
                <w:sz w:val="22"/>
                <w:szCs w:val="28"/>
              </w:rPr>
              <w:t>元；（小写：</w:t>
            </w:r>
            <w:r>
              <w:rPr>
                <w:rFonts w:hint="eastAsia" w:ascii="宋体" w:hAnsi="宋体" w:cs="宋体"/>
                <w:sz w:val="22"/>
                <w:szCs w:val="28"/>
                <w:u w:val="single"/>
              </w:rPr>
              <w:t xml:space="preserve">      </w:t>
            </w:r>
            <w:r>
              <w:rPr>
                <w:rFonts w:hint="eastAsia" w:ascii="宋体" w:hAnsi="宋体" w:cs="宋体"/>
                <w:sz w:val="22"/>
                <w:szCs w:val="28"/>
              </w:rPr>
              <w:t>）</w:t>
            </w:r>
          </w:p>
          <w:p w14:paraId="0E16BEFF">
            <w:pPr>
              <w:pStyle w:val="4"/>
              <w:ind w:left="0" w:leftChars="0"/>
              <w:rPr>
                <w:rFonts w:hint="eastAsia" w:ascii="宋体" w:hAnsi="宋体" w:cs="宋体"/>
                <w:sz w:val="22"/>
                <w:szCs w:val="28"/>
              </w:rPr>
            </w:pPr>
          </w:p>
          <w:p w14:paraId="4DF9C246"/>
          <w:p w14:paraId="176C24B8">
            <w:pPr>
              <w:pStyle w:val="13"/>
            </w:pPr>
            <w:r>
              <w:rPr>
                <w:rFonts w:hint="eastAsia" w:ascii="宋体" w:hAnsi="宋体" w:eastAsia="宋体" w:cs="宋体"/>
                <w:sz w:val="22"/>
                <w:szCs w:val="28"/>
              </w:rPr>
              <w:t>清单外让利：</w:t>
            </w:r>
            <w:r>
              <w:rPr>
                <w:rFonts w:hint="eastAsia" w:ascii="宋体" w:hAnsi="宋体" w:eastAsia="宋体" w:cs="宋体"/>
                <w:sz w:val="22"/>
                <w:szCs w:val="28"/>
                <w:u w:val="single"/>
              </w:rPr>
              <w:t xml:space="preserve">  5  </w:t>
            </w:r>
            <w:r>
              <w:rPr>
                <w:rFonts w:hint="eastAsia" w:ascii="宋体" w:hAnsi="宋体" w:eastAsia="宋体" w:cs="宋体"/>
                <w:sz w:val="22"/>
                <w:szCs w:val="28"/>
              </w:rPr>
              <w:t>%；计日工单价（全费用）：</w:t>
            </w:r>
            <w:r>
              <w:rPr>
                <w:rFonts w:hint="eastAsia" w:ascii="宋体" w:hAnsi="宋体" w:eastAsia="宋体" w:cs="宋体"/>
                <w:sz w:val="22"/>
                <w:szCs w:val="28"/>
                <w:u w:val="single"/>
              </w:rPr>
              <w:t xml:space="preserve">  220  </w:t>
            </w:r>
            <w:r>
              <w:rPr>
                <w:rFonts w:hint="eastAsia" w:ascii="宋体" w:hAnsi="宋体" w:eastAsia="宋体" w:cs="宋体"/>
                <w:sz w:val="22"/>
                <w:szCs w:val="28"/>
              </w:rPr>
              <w:t>元/工日。</w:t>
            </w:r>
          </w:p>
        </w:tc>
      </w:tr>
      <w:tr w14:paraId="4C3CBE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31" w:hRule="atLeast"/>
          <w:jc w:val="center"/>
        </w:trPr>
        <w:tc>
          <w:tcPr>
            <w:tcW w:w="1281" w:type="dxa"/>
            <w:tcBorders>
              <w:top w:val="single" w:color="000000" w:sz="4" w:space="0"/>
              <w:left w:val="single" w:color="000000" w:sz="4" w:space="0"/>
              <w:bottom w:val="single" w:color="000000" w:sz="4" w:space="0"/>
              <w:right w:val="single" w:color="000000" w:sz="4" w:space="0"/>
            </w:tcBorders>
            <w:vAlign w:val="center"/>
          </w:tcPr>
          <w:p w14:paraId="6662A604">
            <w:pPr>
              <w:jc w:val="center"/>
              <w:rPr>
                <w:rStyle w:val="39"/>
                <w:rFonts w:hint="eastAsia" w:ascii="宋体" w:hAnsi="宋体"/>
                <w:bCs/>
                <w:szCs w:val="21"/>
              </w:rPr>
            </w:pPr>
            <w:r>
              <w:rPr>
                <w:rStyle w:val="39"/>
                <w:rFonts w:ascii="宋体" w:hAnsi="宋体"/>
                <w:bCs/>
                <w:szCs w:val="21"/>
              </w:rPr>
              <w:t>投标工期</w:t>
            </w:r>
          </w:p>
        </w:tc>
        <w:tc>
          <w:tcPr>
            <w:tcW w:w="8538" w:type="dxa"/>
            <w:gridSpan w:val="5"/>
            <w:tcBorders>
              <w:top w:val="single" w:color="000000" w:sz="4" w:space="0"/>
              <w:left w:val="single" w:color="000000" w:sz="4" w:space="0"/>
              <w:bottom w:val="single" w:color="000000" w:sz="4" w:space="0"/>
              <w:right w:val="single" w:color="000000" w:sz="4" w:space="0"/>
            </w:tcBorders>
            <w:vAlign w:val="bottom"/>
          </w:tcPr>
          <w:p w14:paraId="553D8DC0">
            <w:pPr>
              <w:spacing w:line="276" w:lineRule="auto"/>
              <w:rPr>
                <w:rStyle w:val="39"/>
                <w:rFonts w:hint="eastAsia" w:ascii="宋体" w:hAnsi="宋体"/>
                <w:szCs w:val="21"/>
              </w:rPr>
            </w:pPr>
            <w:r>
              <w:rPr>
                <w:rStyle w:val="39"/>
                <w:rFonts w:ascii="宋体" w:hAnsi="宋体"/>
                <w:szCs w:val="21"/>
              </w:rPr>
              <w:t>计划总工期</w:t>
            </w:r>
            <w:r>
              <w:rPr>
                <w:rStyle w:val="39"/>
                <w:rFonts w:ascii="宋体" w:hAnsi="宋体"/>
                <w:szCs w:val="21"/>
                <w:u w:val="single"/>
              </w:rPr>
              <w:t xml:space="preserve">：   </w:t>
            </w:r>
            <w:r>
              <w:rPr>
                <w:rStyle w:val="39"/>
                <w:rFonts w:ascii="宋体" w:hAnsi="宋体"/>
                <w:szCs w:val="21"/>
              </w:rPr>
              <w:t>日历天</w:t>
            </w:r>
            <w:r>
              <w:rPr>
                <w:rStyle w:val="39"/>
                <w:rFonts w:hint="eastAsia" w:ascii="宋体" w:hAnsi="宋体"/>
                <w:szCs w:val="21"/>
              </w:rPr>
              <w:t>（以收到招标人中标通知之日起计算）</w:t>
            </w:r>
            <w:r>
              <w:rPr>
                <w:rStyle w:val="39"/>
                <w:rFonts w:ascii="宋体" w:hAnsi="宋体"/>
                <w:szCs w:val="21"/>
              </w:rPr>
              <w:t>；</w:t>
            </w:r>
          </w:p>
          <w:p w14:paraId="638F9406">
            <w:pPr>
              <w:spacing w:line="276" w:lineRule="auto"/>
              <w:rPr>
                <w:rStyle w:val="39"/>
                <w:rFonts w:hint="eastAsia" w:ascii="宋体" w:hAnsi="宋体"/>
                <w:szCs w:val="21"/>
              </w:rPr>
            </w:pPr>
            <w:r>
              <w:rPr>
                <w:rStyle w:val="39"/>
                <w:rFonts w:ascii="宋体" w:hAnsi="宋体"/>
                <w:szCs w:val="21"/>
              </w:rPr>
              <w:t>计划开工日期：20</w:t>
            </w:r>
            <w:r>
              <w:rPr>
                <w:rStyle w:val="39"/>
                <w:rFonts w:hint="eastAsia" w:ascii="宋体" w:hAnsi="宋体"/>
                <w:szCs w:val="21"/>
              </w:rPr>
              <w:t>25</w:t>
            </w:r>
            <w:r>
              <w:rPr>
                <w:rStyle w:val="39"/>
                <w:rFonts w:ascii="宋体" w:hAnsi="宋体"/>
                <w:szCs w:val="21"/>
              </w:rPr>
              <w:t>年</w:t>
            </w:r>
            <w:r>
              <w:rPr>
                <w:rStyle w:val="39"/>
                <w:rFonts w:hint="eastAsia" w:ascii="宋体" w:hAnsi="宋体"/>
                <w:szCs w:val="21"/>
              </w:rPr>
              <w:t xml:space="preserve"> </w:t>
            </w:r>
            <w:r>
              <w:rPr>
                <w:rStyle w:val="39"/>
                <w:rFonts w:ascii="宋体" w:hAnsi="宋体"/>
                <w:szCs w:val="21"/>
              </w:rPr>
              <w:t>月</w:t>
            </w:r>
            <w:r>
              <w:rPr>
                <w:rStyle w:val="39"/>
                <w:rFonts w:hint="eastAsia" w:ascii="宋体" w:hAnsi="宋体"/>
                <w:szCs w:val="21"/>
              </w:rPr>
              <w:t xml:space="preserve"> </w:t>
            </w:r>
            <w:r>
              <w:rPr>
                <w:rStyle w:val="39"/>
                <w:rFonts w:ascii="宋体" w:hAnsi="宋体"/>
                <w:szCs w:val="21"/>
              </w:rPr>
              <w:t>日；</w:t>
            </w:r>
          </w:p>
          <w:p w14:paraId="43740CFA">
            <w:pPr>
              <w:rPr>
                <w:rStyle w:val="39"/>
                <w:rFonts w:hint="eastAsia" w:ascii="宋体" w:hAnsi="宋体"/>
                <w:bCs/>
                <w:szCs w:val="21"/>
              </w:rPr>
            </w:pPr>
            <w:r>
              <w:rPr>
                <w:rStyle w:val="39"/>
                <w:rFonts w:ascii="宋体" w:hAnsi="宋体"/>
                <w:szCs w:val="21"/>
              </w:rPr>
              <w:t>计划竣工日期：20</w:t>
            </w:r>
            <w:r>
              <w:rPr>
                <w:rStyle w:val="39"/>
                <w:rFonts w:hint="eastAsia" w:ascii="宋体" w:hAnsi="宋体"/>
                <w:szCs w:val="21"/>
              </w:rPr>
              <w:t>26</w:t>
            </w:r>
            <w:r>
              <w:rPr>
                <w:rStyle w:val="39"/>
                <w:rFonts w:ascii="宋体" w:hAnsi="宋体"/>
                <w:szCs w:val="21"/>
              </w:rPr>
              <w:t>年</w:t>
            </w:r>
            <w:r>
              <w:rPr>
                <w:rStyle w:val="39"/>
                <w:rFonts w:hint="eastAsia" w:ascii="宋体" w:hAnsi="宋体"/>
                <w:szCs w:val="21"/>
              </w:rPr>
              <w:t xml:space="preserve"> </w:t>
            </w:r>
            <w:r>
              <w:rPr>
                <w:rStyle w:val="39"/>
                <w:rFonts w:ascii="宋体" w:hAnsi="宋体"/>
                <w:szCs w:val="21"/>
              </w:rPr>
              <w:t>月</w:t>
            </w:r>
            <w:r>
              <w:rPr>
                <w:rStyle w:val="39"/>
                <w:rFonts w:hint="eastAsia" w:ascii="宋体" w:hAnsi="宋体"/>
                <w:szCs w:val="21"/>
              </w:rPr>
              <w:t xml:space="preserve"> </w:t>
            </w:r>
            <w:r>
              <w:rPr>
                <w:rStyle w:val="39"/>
                <w:rFonts w:ascii="宋体" w:hAnsi="宋体"/>
                <w:szCs w:val="21"/>
              </w:rPr>
              <w:t>日。</w:t>
            </w:r>
          </w:p>
        </w:tc>
      </w:tr>
      <w:tr w14:paraId="5EDB36C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39" w:hRule="atLeast"/>
          <w:jc w:val="center"/>
        </w:trPr>
        <w:tc>
          <w:tcPr>
            <w:tcW w:w="1281" w:type="dxa"/>
            <w:tcBorders>
              <w:top w:val="single" w:color="000000" w:sz="4" w:space="0"/>
              <w:left w:val="single" w:color="000000" w:sz="4" w:space="0"/>
              <w:bottom w:val="single" w:color="000000" w:sz="4" w:space="0"/>
              <w:right w:val="single" w:color="000000" w:sz="4" w:space="0"/>
            </w:tcBorders>
            <w:vAlign w:val="center"/>
          </w:tcPr>
          <w:p w14:paraId="316153E0">
            <w:pPr>
              <w:jc w:val="center"/>
              <w:rPr>
                <w:rStyle w:val="39"/>
                <w:rFonts w:hint="eastAsia" w:ascii="宋体" w:hAnsi="宋体"/>
                <w:bCs/>
                <w:szCs w:val="21"/>
              </w:rPr>
            </w:pPr>
            <w:r>
              <w:rPr>
                <w:rStyle w:val="39"/>
                <w:rFonts w:ascii="宋体" w:hAnsi="宋体"/>
                <w:bCs/>
                <w:szCs w:val="21"/>
              </w:rPr>
              <w:t>项目经理</w:t>
            </w:r>
          </w:p>
        </w:tc>
        <w:tc>
          <w:tcPr>
            <w:tcW w:w="2180" w:type="dxa"/>
            <w:tcBorders>
              <w:top w:val="single" w:color="000000" w:sz="4" w:space="0"/>
              <w:left w:val="single" w:color="000000" w:sz="4" w:space="0"/>
              <w:bottom w:val="single" w:color="000000" w:sz="4" w:space="0"/>
              <w:right w:val="single" w:color="000000" w:sz="4" w:space="0"/>
            </w:tcBorders>
            <w:vAlign w:val="center"/>
          </w:tcPr>
          <w:p w14:paraId="38FF89F4">
            <w:pPr>
              <w:jc w:val="center"/>
              <w:rPr>
                <w:rStyle w:val="39"/>
                <w:rFonts w:hint="eastAsia" w:ascii="宋体" w:hAnsi="宋体"/>
                <w:bCs/>
                <w:szCs w:val="21"/>
              </w:rPr>
            </w:pPr>
          </w:p>
        </w:tc>
        <w:tc>
          <w:tcPr>
            <w:tcW w:w="1235" w:type="dxa"/>
            <w:tcBorders>
              <w:top w:val="single" w:color="000000" w:sz="4" w:space="0"/>
              <w:left w:val="single" w:color="000000" w:sz="4" w:space="0"/>
              <w:bottom w:val="single" w:color="000000" w:sz="4" w:space="0"/>
              <w:right w:val="single" w:color="000000" w:sz="4" w:space="0"/>
            </w:tcBorders>
            <w:vAlign w:val="center"/>
          </w:tcPr>
          <w:p w14:paraId="3F00E423">
            <w:pPr>
              <w:jc w:val="center"/>
              <w:rPr>
                <w:rStyle w:val="39"/>
                <w:rFonts w:hint="eastAsia" w:ascii="宋体" w:hAnsi="宋体"/>
                <w:bCs/>
                <w:szCs w:val="21"/>
              </w:rPr>
            </w:pPr>
            <w:r>
              <w:rPr>
                <w:rStyle w:val="39"/>
                <w:rFonts w:ascii="宋体" w:hAnsi="宋体"/>
                <w:bCs/>
                <w:szCs w:val="21"/>
              </w:rPr>
              <w:t>级别</w:t>
            </w:r>
          </w:p>
        </w:tc>
        <w:tc>
          <w:tcPr>
            <w:tcW w:w="2114" w:type="dxa"/>
            <w:tcBorders>
              <w:top w:val="single" w:color="000000" w:sz="4" w:space="0"/>
              <w:left w:val="single" w:color="000000" w:sz="4" w:space="0"/>
              <w:bottom w:val="single" w:color="000000" w:sz="4" w:space="0"/>
              <w:right w:val="single" w:color="000000" w:sz="4" w:space="0"/>
            </w:tcBorders>
            <w:vAlign w:val="center"/>
          </w:tcPr>
          <w:p w14:paraId="1084062F">
            <w:pPr>
              <w:jc w:val="center"/>
              <w:rPr>
                <w:rStyle w:val="39"/>
                <w:rFonts w:hint="eastAsia" w:ascii="宋体" w:hAnsi="宋体"/>
                <w:bCs/>
                <w:szCs w:val="21"/>
              </w:rPr>
            </w:pPr>
          </w:p>
        </w:tc>
        <w:tc>
          <w:tcPr>
            <w:tcW w:w="1807" w:type="dxa"/>
            <w:tcBorders>
              <w:top w:val="single" w:color="000000" w:sz="4" w:space="0"/>
              <w:left w:val="single" w:color="000000" w:sz="4" w:space="0"/>
              <w:bottom w:val="single" w:color="000000" w:sz="4" w:space="0"/>
              <w:right w:val="single" w:color="000000" w:sz="4" w:space="0"/>
            </w:tcBorders>
            <w:vAlign w:val="center"/>
          </w:tcPr>
          <w:p w14:paraId="66E5537D">
            <w:pPr>
              <w:jc w:val="center"/>
              <w:rPr>
                <w:rStyle w:val="39"/>
                <w:rFonts w:hint="eastAsia" w:ascii="宋体" w:hAnsi="宋体"/>
                <w:bCs/>
                <w:szCs w:val="21"/>
              </w:rPr>
            </w:pPr>
            <w:r>
              <w:rPr>
                <w:rStyle w:val="39"/>
                <w:rFonts w:ascii="宋体" w:hAnsi="宋体"/>
                <w:bCs/>
                <w:szCs w:val="21"/>
              </w:rPr>
              <w:t>编号</w:t>
            </w:r>
          </w:p>
        </w:tc>
        <w:tc>
          <w:tcPr>
            <w:tcW w:w="1202" w:type="dxa"/>
            <w:tcBorders>
              <w:top w:val="single" w:color="000000" w:sz="4" w:space="0"/>
              <w:left w:val="single" w:color="000000" w:sz="4" w:space="0"/>
              <w:bottom w:val="single" w:color="000000" w:sz="4" w:space="0"/>
              <w:right w:val="single" w:color="000000" w:sz="4" w:space="0"/>
            </w:tcBorders>
            <w:vAlign w:val="center"/>
          </w:tcPr>
          <w:p w14:paraId="440FB380">
            <w:pPr>
              <w:jc w:val="center"/>
              <w:rPr>
                <w:rStyle w:val="39"/>
                <w:rFonts w:hint="eastAsia" w:ascii="宋体" w:hAnsi="宋体"/>
                <w:bCs/>
                <w:szCs w:val="21"/>
              </w:rPr>
            </w:pPr>
          </w:p>
        </w:tc>
      </w:tr>
      <w:tr w14:paraId="0DD1EB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895"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1EA3F7D8">
            <w:pPr>
              <w:rPr>
                <w:rStyle w:val="39"/>
                <w:rFonts w:hint="eastAsia" w:ascii="宋体" w:hAnsi="宋体"/>
                <w:b/>
                <w:szCs w:val="21"/>
              </w:rPr>
            </w:pPr>
            <w:r>
              <w:rPr>
                <w:rStyle w:val="39"/>
                <w:rFonts w:ascii="宋体" w:hAnsi="宋体"/>
                <w:b/>
                <w:szCs w:val="21"/>
              </w:rPr>
              <w:t>承诺拟派项目班子成员始终在工地现场管理，不擅自更换、不兼职其他工程项目，如确有原因须更换，应事先征得业主同意。</w:t>
            </w:r>
          </w:p>
          <w:p w14:paraId="459FC3CC">
            <w:pPr>
              <w:pStyle w:val="2"/>
              <w:ind w:left="0" w:leftChars="0" w:firstLine="0" w:firstLineChars="0"/>
              <w:jc w:val="both"/>
            </w:pPr>
            <w:r>
              <w:t>我方报价及清单外让利已充分考虑了招标清单外增加施工内容的风险，我方认可并严格执行招标文件约定的清单外结算原则。</w:t>
            </w:r>
          </w:p>
        </w:tc>
      </w:tr>
      <w:tr w14:paraId="10F2E45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35"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2E69626D">
            <w:pPr>
              <w:rPr>
                <w:rStyle w:val="39"/>
                <w:rFonts w:hint="eastAsia" w:ascii="宋体" w:hAnsi="宋体"/>
                <w:bCs/>
                <w:szCs w:val="21"/>
              </w:rPr>
            </w:pPr>
            <w:r>
              <w:rPr>
                <w:rStyle w:val="39"/>
                <w:rFonts w:ascii="宋体" w:hAnsi="宋体"/>
                <w:bCs/>
                <w:szCs w:val="21"/>
              </w:rPr>
              <w:t>质量</w:t>
            </w:r>
            <w:r>
              <w:rPr>
                <w:rStyle w:val="39"/>
                <w:rFonts w:hint="eastAsia" w:ascii="宋体" w:hAnsi="宋体"/>
                <w:bCs/>
                <w:szCs w:val="21"/>
              </w:rPr>
              <w:t>标准</w:t>
            </w:r>
            <w:r>
              <w:rPr>
                <w:rStyle w:val="39"/>
                <w:rFonts w:ascii="宋体" w:hAnsi="宋体"/>
                <w:bCs/>
                <w:szCs w:val="21"/>
              </w:rPr>
              <w:t>：</w:t>
            </w:r>
          </w:p>
        </w:tc>
      </w:tr>
      <w:tr w14:paraId="321574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60"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70E7F9AA">
            <w:pPr>
              <w:rPr>
                <w:rStyle w:val="39"/>
                <w:rFonts w:hint="eastAsia" w:ascii="宋体" w:hAnsi="宋体"/>
                <w:bCs/>
                <w:szCs w:val="21"/>
              </w:rPr>
            </w:pPr>
            <w:r>
              <w:rPr>
                <w:rStyle w:val="39"/>
                <w:rFonts w:ascii="宋体" w:hAnsi="宋体"/>
                <w:bCs/>
                <w:szCs w:val="21"/>
              </w:rPr>
              <w:t>本投标人完全认同招标文件的各项条款要求。</w:t>
            </w:r>
          </w:p>
        </w:tc>
      </w:tr>
      <w:tr w14:paraId="4AFAC5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49" w:hRule="atLeast"/>
          <w:jc w:val="center"/>
        </w:trPr>
        <w:tc>
          <w:tcPr>
            <w:tcW w:w="9819" w:type="dxa"/>
            <w:gridSpan w:val="6"/>
            <w:tcBorders>
              <w:top w:val="single" w:color="000000" w:sz="4" w:space="0"/>
              <w:left w:val="single" w:color="000000" w:sz="4" w:space="0"/>
              <w:bottom w:val="single" w:color="000000" w:sz="4" w:space="0"/>
              <w:right w:val="single" w:color="000000" w:sz="4" w:space="0"/>
            </w:tcBorders>
            <w:vAlign w:val="center"/>
          </w:tcPr>
          <w:p w14:paraId="1B3496C2">
            <w:pPr>
              <w:rPr>
                <w:rStyle w:val="39"/>
                <w:rFonts w:hint="eastAsia" w:ascii="宋体" w:hAnsi="宋体"/>
                <w:bCs/>
                <w:szCs w:val="21"/>
              </w:rPr>
            </w:pPr>
            <w:r>
              <w:rPr>
                <w:rStyle w:val="39"/>
                <w:rFonts w:ascii="宋体" w:hAnsi="宋体"/>
                <w:bCs/>
                <w:szCs w:val="21"/>
              </w:rPr>
              <w:t>投标人现场确认（签字）：</w:t>
            </w:r>
          </w:p>
        </w:tc>
      </w:tr>
    </w:tbl>
    <w:p w14:paraId="0CAE1E0E">
      <w:pPr>
        <w:spacing w:line="400" w:lineRule="exact"/>
        <w:ind w:firstLine="209" w:firstLineChars="99"/>
        <w:rPr>
          <w:rStyle w:val="39"/>
          <w:rFonts w:hint="eastAsia" w:ascii="宋体" w:hAnsi="宋体"/>
          <w:b/>
          <w:bCs/>
          <w:szCs w:val="21"/>
        </w:rPr>
      </w:pPr>
    </w:p>
    <w:p w14:paraId="44F8B385">
      <w:pPr>
        <w:spacing w:line="400" w:lineRule="exact"/>
        <w:ind w:firstLine="209" w:firstLineChars="99"/>
        <w:rPr>
          <w:rStyle w:val="39"/>
          <w:rFonts w:hint="eastAsia" w:ascii="宋体" w:hAnsi="宋体"/>
          <w:b/>
          <w:bCs/>
          <w:szCs w:val="21"/>
        </w:rPr>
      </w:pPr>
      <w:r>
        <w:rPr>
          <w:rStyle w:val="39"/>
          <w:rFonts w:ascii="宋体" w:hAnsi="宋体"/>
          <w:b/>
          <w:bCs/>
          <w:szCs w:val="21"/>
        </w:rPr>
        <w:t>投标人（盖单位公章）</w:t>
      </w:r>
    </w:p>
    <w:p w14:paraId="1906F768">
      <w:pPr>
        <w:spacing w:line="400" w:lineRule="exact"/>
        <w:ind w:firstLine="209" w:firstLineChars="99"/>
        <w:rPr>
          <w:rStyle w:val="39"/>
          <w:rFonts w:hint="eastAsia" w:ascii="宋体" w:hAnsi="宋体"/>
          <w:b/>
          <w:bCs/>
          <w:szCs w:val="21"/>
          <w:u w:val="single"/>
        </w:rPr>
      </w:pPr>
      <w:r>
        <w:rPr>
          <w:rStyle w:val="39"/>
          <w:rFonts w:ascii="宋体" w:hAnsi="宋体"/>
          <w:b/>
          <w:bCs/>
          <w:szCs w:val="21"/>
        </w:rPr>
        <w:t>法定代表人：（盖章）</w:t>
      </w:r>
      <w:r>
        <w:rPr>
          <w:rStyle w:val="39"/>
          <w:rFonts w:ascii="宋体" w:hAnsi="宋体"/>
          <w:b/>
          <w:bCs/>
          <w:szCs w:val="21"/>
          <w:u w:val="single"/>
        </w:rPr>
        <w:t xml:space="preserve">        年      月    日</w:t>
      </w:r>
    </w:p>
    <w:p w14:paraId="26CE0AE1">
      <w:pPr>
        <w:spacing w:line="400" w:lineRule="exact"/>
        <w:ind w:left="630" w:hanging="630" w:hangingChars="299"/>
        <w:rPr>
          <w:rStyle w:val="39"/>
          <w:rFonts w:hint="eastAsia" w:ascii="宋体" w:hAnsi="宋体"/>
          <w:b/>
          <w:bCs/>
          <w:szCs w:val="21"/>
        </w:rPr>
      </w:pPr>
    </w:p>
    <w:p w14:paraId="21BEB5DF">
      <w:pPr>
        <w:spacing w:line="400" w:lineRule="exact"/>
        <w:ind w:firstLine="209" w:firstLineChars="99"/>
        <w:rPr>
          <w:rStyle w:val="39"/>
          <w:rFonts w:hint="eastAsia" w:ascii="宋体" w:hAnsi="宋体"/>
          <w:b/>
          <w:bCs/>
          <w:szCs w:val="21"/>
        </w:rPr>
      </w:pPr>
      <w:r>
        <w:rPr>
          <w:rStyle w:val="39"/>
          <w:rFonts w:ascii="宋体" w:hAnsi="宋体"/>
          <w:b/>
          <w:bCs/>
          <w:szCs w:val="21"/>
        </w:rPr>
        <w:t>注：1、本唱标单除装订在投标文件中外还应一式两份单独密封递交，各项内容务必填写详细，可以填满，但不允许添加附页。</w:t>
      </w:r>
    </w:p>
    <w:p w14:paraId="1B768CC1">
      <w:pPr>
        <w:spacing w:line="400" w:lineRule="exact"/>
        <w:ind w:firstLine="209" w:firstLineChars="99"/>
        <w:rPr>
          <w:rStyle w:val="39"/>
          <w:rFonts w:hint="eastAsia" w:ascii="宋体" w:hAnsi="宋体"/>
          <w:b/>
          <w:bCs/>
          <w:szCs w:val="21"/>
        </w:rPr>
      </w:pPr>
      <w:r>
        <w:rPr>
          <w:rStyle w:val="39"/>
          <w:rFonts w:ascii="宋体" w:hAnsi="宋体"/>
          <w:b/>
          <w:bCs/>
          <w:szCs w:val="21"/>
        </w:rPr>
        <w:t>2、招标文件要求竞报费率的，不填按0计（但不参与评标基准价的计算）。</w:t>
      </w:r>
    </w:p>
    <w:p w14:paraId="483A7EFC">
      <w:pPr>
        <w:spacing w:line="400" w:lineRule="exact"/>
        <w:ind w:firstLine="209" w:firstLineChars="99"/>
        <w:rPr>
          <w:rStyle w:val="39"/>
          <w:rFonts w:hint="eastAsia" w:ascii="宋体" w:hAnsi="宋体"/>
          <w:b/>
          <w:bCs/>
          <w:szCs w:val="21"/>
        </w:rPr>
      </w:pPr>
      <w:r>
        <w:rPr>
          <w:rStyle w:val="39"/>
          <w:rFonts w:ascii="宋体" w:hAnsi="宋体"/>
          <w:b/>
          <w:bCs/>
          <w:szCs w:val="21"/>
        </w:rPr>
        <w:t>3、在评标过程中，评定内容的具体数据以单独密封并递交的本表内容为准。</w:t>
      </w:r>
    </w:p>
    <w:p w14:paraId="2593EA02">
      <w:pPr>
        <w:spacing w:line="400" w:lineRule="exact"/>
        <w:ind w:firstLine="207" w:firstLineChars="99"/>
        <w:rPr>
          <w:rStyle w:val="39"/>
          <w:rFonts w:hint="eastAsia" w:ascii="宋体" w:hAnsi="宋体"/>
          <w:szCs w:val="21"/>
        </w:rPr>
      </w:pPr>
      <w:r>
        <w:rPr>
          <w:rStyle w:val="39"/>
          <w:rFonts w:ascii="宋体" w:hAnsi="宋体"/>
          <w:szCs w:val="21"/>
        </w:rPr>
        <w:br w:type="page"/>
      </w:r>
    </w:p>
    <w:p w14:paraId="5D34E984">
      <w:pPr>
        <w:ind w:firstLine="651" w:firstLineChars="310"/>
        <w:rPr>
          <w:rStyle w:val="39"/>
          <w:rFonts w:hint="eastAsia" w:ascii="宋体" w:hAnsi="宋体"/>
          <w:szCs w:val="21"/>
        </w:rPr>
      </w:pPr>
    </w:p>
    <w:p w14:paraId="6C610721">
      <w:pPr>
        <w:snapToGrid w:val="0"/>
        <w:spacing w:line="440" w:lineRule="exact"/>
        <w:ind w:firstLine="527" w:firstLineChars="250"/>
        <w:jc w:val="center"/>
        <w:rPr>
          <w:rStyle w:val="39"/>
          <w:rFonts w:ascii="宋体" w:hAnsi="宋体"/>
          <w:b/>
          <w:szCs w:val="21"/>
        </w:rPr>
      </w:pPr>
      <w:bookmarkStart w:id="1386" w:name="_Toc16063998"/>
      <w:bookmarkStart w:id="1387" w:name="_Toc17817349"/>
      <w:bookmarkStart w:id="1388" w:name="_Toc24038"/>
      <w:bookmarkStart w:id="1389" w:name="_Toc27993"/>
      <w:bookmarkStart w:id="1390" w:name="_Toc16063999"/>
      <w:r>
        <w:rPr>
          <w:rStyle w:val="39"/>
          <w:rFonts w:ascii="宋体" w:hAnsi="宋体"/>
          <w:b/>
          <w:szCs w:val="21"/>
        </w:rPr>
        <w:t>（三）投标函附录-3</w:t>
      </w:r>
      <w:bookmarkEnd w:id="1386"/>
    </w:p>
    <w:p w14:paraId="30D3ADE0">
      <w:pPr>
        <w:snapToGrid w:val="0"/>
        <w:spacing w:line="440" w:lineRule="exact"/>
        <w:ind w:firstLine="527" w:firstLineChars="250"/>
        <w:jc w:val="center"/>
        <w:rPr>
          <w:rStyle w:val="39"/>
          <w:rFonts w:ascii="宋体" w:hAnsi="宋体"/>
          <w:b/>
          <w:szCs w:val="21"/>
        </w:rPr>
      </w:pPr>
    </w:p>
    <w:p w14:paraId="513FC700">
      <w:pPr>
        <w:jc w:val="center"/>
        <w:rPr>
          <w:rStyle w:val="39"/>
          <w:rFonts w:ascii="宋体" w:hAnsi="宋体"/>
          <w:b/>
          <w:bCs/>
          <w:sz w:val="28"/>
          <w:szCs w:val="28"/>
        </w:rPr>
      </w:pPr>
      <w:r>
        <w:rPr>
          <w:rStyle w:val="39"/>
          <w:rFonts w:ascii="宋体" w:hAnsi="宋体"/>
          <w:b/>
          <w:bCs/>
          <w:sz w:val="28"/>
          <w:szCs w:val="28"/>
        </w:rPr>
        <w:t>投标人拟派现场管理人员配备表</w:t>
      </w:r>
    </w:p>
    <w:p w14:paraId="19849DE0">
      <w:pPr>
        <w:pStyle w:val="13"/>
      </w:pPr>
    </w:p>
    <w:tbl>
      <w:tblPr>
        <w:tblStyle w:val="25"/>
        <w:tblpPr w:leftFromText="180" w:rightFromText="180" w:vertAnchor="text" w:horzAnchor="page" w:tblpX="2110" w:tblpY="362"/>
        <w:tblOverlap w:val="never"/>
        <w:tblW w:w="8220"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936"/>
        <w:gridCol w:w="1384"/>
        <w:gridCol w:w="1450"/>
        <w:gridCol w:w="1150"/>
        <w:gridCol w:w="1150"/>
        <w:gridCol w:w="1150"/>
      </w:tblGrid>
      <w:tr w14:paraId="0FC239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698ED7A2">
            <w:pPr>
              <w:jc w:val="center"/>
              <w:rPr>
                <w:rStyle w:val="39"/>
                <w:rFonts w:ascii="宋体" w:hAnsi="宋体"/>
                <w:bCs/>
                <w:sz w:val="28"/>
                <w:szCs w:val="28"/>
                <w:highlight w:val="none"/>
              </w:rPr>
            </w:pPr>
            <w:r>
              <w:rPr>
                <w:rStyle w:val="39"/>
                <w:rFonts w:hint="eastAsia" w:ascii="宋体" w:hAnsi="宋体"/>
                <w:bCs/>
                <w:sz w:val="28"/>
                <w:szCs w:val="28"/>
                <w:highlight w:val="none"/>
              </w:rPr>
              <w:t>岗位</w:t>
            </w:r>
          </w:p>
        </w:tc>
        <w:tc>
          <w:tcPr>
            <w:tcW w:w="1384" w:type="dxa"/>
            <w:tcBorders>
              <w:top w:val="single" w:color="000000" w:sz="4" w:space="0"/>
              <w:left w:val="single" w:color="auto" w:sz="4" w:space="0"/>
              <w:bottom w:val="single" w:color="000000" w:sz="4" w:space="0"/>
              <w:right w:val="single" w:color="auto" w:sz="4" w:space="0"/>
            </w:tcBorders>
            <w:vAlign w:val="center"/>
          </w:tcPr>
          <w:p w14:paraId="6EB2C884">
            <w:pPr>
              <w:jc w:val="center"/>
              <w:rPr>
                <w:rStyle w:val="39"/>
                <w:rFonts w:ascii="宋体" w:hAnsi="宋体"/>
                <w:bCs/>
                <w:sz w:val="28"/>
                <w:szCs w:val="28"/>
                <w:highlight w:val="none"/>
              </w:rPr>
            </w:pPr>
            <w:r>
              <w:rPr>
                <w:rStyle w:val="39"/>
                <w:rFonts w:hint="eastAsia" w:ascii="宋体" w:hAnsi="宋体"/>
                <w:bCs/>
                <w:sz w:val="28"/>
                <w:szCs w:val="28"/>
                <w:highlight w:val="none"/>
              </w:rPr>
              <w:t>投标配置人数</w:t>
            </w:r>
          </w:p>
        </w:tc>
        <w:tc>
          <w:tcPr>
            <w:tcW w:w="1450" w:type="dxa"/>
            <w:tcBorders>
              <w:top w:val="single" w:color="000000" w:sz="4" w:space="0"/>
              <w:left w:val="single" w:color="auto" w:sz="4" w:space="0"/>
              <w:bottom w:val="single" w:color="000000" w:sz="4" w:space="0"/>
              <w:right w:val="single" w:color="auto" w:sz="4" w:space="0"/>
            </w:tcBorders>
            <w:vAlign w:val="center"/>
          </w:tcPr>
          <w:p w14:paraId="7114A147">
            <w:pPr>
              <w:jc w:val="center"/>
              <w:rPr>
                <w:rStyle w:val="39"/>
                <w:rFonts w:ascii="宋体" w:hAnsi="宋体"/>
                <w:bCs/>
                <w:sz w:val="28"/>
                <w:szCs w:val="28"/>
              </w:rPr>
            </w:pPr>
            <w:r>
              <w:rPr>
                <w:rStyle w:val="39"/>
                <w:rFonts w:hint="eastAsia" w:ascii="宋体" w:hAnsi="宋体"/>
                <w:bCs/>
                <w:sz w:val="28"/>
                <w:szCs w:val="28"/>
              </w:rPr>
              <w:t>姓名</w:t>
            </w:r>
          </w:p>
        </w:tc>
        <w:tc>
          <w:tcPr>
            <w:tcW w:w="1150" w:type="dxa"/>
            <w:tcBorders>
              <w:top w:val="single" w:color="000000" w:sz="4" w:space="0"/>
              <w:left w:val="single" w:color="auto" w:sz="4" w:space="0"/>
              <w:bottom w:val="single" w:color="000000" w:sz="4" w:space="0"/>
              <w:right w:val="single" w:color="000000" w:sz="4" w:space="0"/>
            </w:tcBorders>
            <w:vAlign w:val="center"/>
          </w:tcPr>
          <w:p w14:paraId="3B2999E8">
            <w:pPr>
              <w:jc w:val="center"/>
              <w:rPr>
                <w:rStyle w:val="39"/>
                <w:rFonts w:ascii="宋体" w:hAnsi="宋体"/>
                <w:bCs/>
                <w:sz w:val="28"/>
                <w:szCs w:val="28"/>
              </w:rPr>
            </w:pPr>
            <w:r>
              <w:rPr>
                <w:rStyle w:val="39"/>
                <w:rFonts w:hint="eastAsia" w:ascii="宋体" w:hAnsi="宋体"/>
                <w:bCs/>
                <w:sz w:val="28"/>
                <w:szCs w:val="28"/>
              </w:rPr>
              <w:t>身份证号</w:t>
            </w:r>
          </w:p>
        </w:tc>
        <w:tc>
          <w:tcPr>
            <w:tcW w:w="1150" w:type="dxa"/>
            <w:tcBorders>
              <w:top w:val="single" w:color="000000" w:sz="4" w:space="0"/>
              <w:left w:val="single" w:color="auto" w:sz="4" w:space="0"/>
              <w:bottom w:val="single" w:color="000000" w:sz="4" w:space="0"/>
              <w:right w:val="single" w:color="000000" w:sz="4" w:space="0"/>
            </w:tcBorders>
            <w:vAlign w:val="center"/>
          </w:tcPr>
          <w:p w14:paraId="5325B124">
            <w:pPr>
              <w:jc w:val="center"/>
              <w:rPr>
                <w:rStyle w:val="39"/>
                <w:rFonts w:ascii="宋体" w:hAnsi="宋体"/>
                <w:bCs/>
                <w:sz w:val="28"/>
                <w:szCs w:val="28"/>
              </w:rPr>
            </w:pPr>
            <w:r>
              <w:rPr>
                <w:rStyle w:val="39"/>
                <w:rFonts w:hint="eastAsia" w:ascii="宋体" w:hAnsi="宋体"/>
                <w:bCs/>
                <w:sz w:val="28"/>
                <w:szCs w:val="28"/>
              </w:rPr>
              <w:t>证书编号</w:t>
            </w:r>
          </w:p>
        </w:tc>
        <w:tc>
          <w:tcPr>
            <w:tcW w:w="1150" w:type="dxa"/>
            <w:tcBorders>
              <w:top w:val="single" w:color="000000" w:sz="4" w:space="0"/>
              <w:left w:val="single" w:color="auto" w:sz="4" w:space="0"/>
              <w:bottom w:val="single" w:color="000000" w:sz="4" w:space="0"/>
              <w:right w:val="single" w:color="000000" w:sz="4" w:space="0"/>
            </w:tcBorders>
            <w:vAlign w:val="center"/>
          </w:tcPr>
          <w:p w14:paraId="62F85508">
            <w:pPr>
              <w:jc w:val="center"/>
              <w:rPr>
                <w:rStyle w:val="39"/>
                <w:rFonts w:ascii="宋体" w:hAnsi="宋体"/>
                <w:bCs/>
                <w:sz w:val="28"/>
                <w:szCs w:val="28"/>
              </w:rPr>
            </w:pPr>
            <w:r>
              <w:rPr>
                <w:rStyle w:val="39"/>
                <w:rFonts w:hint="eastAsia" w:ascii="宋体" w:hAnsi="宋体"/>
                <w:bCs/>
                <w:sz w:val="28"/>
                <w:szCs w:val="28"/>
              </w:rPr>
              <w:t>专业</w:t>
            </w:r>
          </w:p>
        </w:tc>
      </w:tr>
      <w:tr w14:paraId="12108D3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70"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47EB712D">
            <w:pPr>
              <w:jc w:val="center"/>
              <w:rPr>
                <w:rStyle w:val="39"/>
                <w:rFonts w:ascii="宋体" w:hAnsi="宋体"/>
                <w:bCs/>
                <w:sz w:val="28"/>
                <w:szCs w:val="28"/>
              </w:rPr>
            </w:pPr>
            <w:r>
              <w:rPr>
                <w:rStyle w:val="39"/>
                <w:rFonts w:hint="eastAsia" w:ascii="宋体" w:hAnsi="宋体"/>
                <w:bCs/>
                <w:sz w:val="28"/>
                <w:szCs w:val="28"/>
              </w:rPr>
              <w:t>项目负责人（项目经理）</w:t>
            </w:r>
          </w:p>
        </w:tc>
        <w:tc>
          <w:tcPr>
            <w:tcW w:w="1384" w:type="dxa"/>
            <w:tcBorders>
              <w:top w:val="single" w:color="000000" w:sz="4" w:space="0"/>
              <w:left w:val="single" w:color="auto" w:sz="4" w:space="0"/>
              <w:bottom w:val="single" w:color="000000" w:sz="4" w:space="0"/>
              <w:right w:val="single" w:color="auto" w:sz="4" w:space="0"/>
            </w:tcBorders>
            <w:vAlign w:val="center"/>
          </w:tcPr>
          <w:p w14:paraId="727EFBEC">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1309B9FF">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2EAC31AA">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4C90CAA8">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797C43C7">
            <w:pPr>
              <w:jc w:val="center"/>
              <w:rPr>
                <w:rStyle w:val="39"/>
                <w:rFonts w:ascii="宋体" w:hAnsi="宋体"/>
                <w:bCs/>
                <w:sz w:val="28"/>
                <w:szCs w:val="28"/>
              </w:rPr>
            </w:pPr>
          </w:p>
        </w:tc>
      </w:tr>
      <w:tr w14:paraId="5B6E151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298704FD">
            <w:pPr>
              <w:jc w:val="center"/>
              <w:rPr>
                <w:rStyle w:val="39"/>
                <w:rFonts w:ascii="宋体" w:hAnsi="宋体"/>
                <w:bCs/>
                <w:sz w:val="28"/>
                <w:szCs w:val="28"/>
              </w:rPr>
            </w:pPr>
            <w:r>
              <w:rPr>
                <w:rStyle w:val="39"/>
                <w:rFonts w:hint="eastAsia" w:ascii="宋体" w:hAnsi="宋体"/>
                <w:bCs/>
                <w:sz w:val="28"/>
                <w:szCs w:val="28"/>
              </w:rPr>
              <w:t>项目技术负责人</w:t>
            </w:r>
          </w:p>
        </w:tc>
        <w:tc>
          <w:tcPr>
            <w:tcW w:w="1384" w:type="dxa"/>
            <w:tcBorders>
              <w:top w:val="single" w:color="000000" w:sz="4" w:space="0"/>
              <w:left w:val="single" w:color="auto" w:sz="4" w:space="0"/>
              <w:bottom w:val="single" w:color="000000" w:sz="4" w:space="0"/>
              <w:right w:val="single" w:color="auto" w:sz="4" w:space="0"/>
            </w:tcBorders>
            <w:vAlign w:val="center"/>
          </w:tcPr>
          <w:p w14:paraId="599D0599">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33B32894">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75A8F217">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5B4256B">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EE8169F">
            <w:pPr>
              <w:jc w:val="center"/>
              <w:rPr>
                <w:rStyle w:val="39"/>
                <w:rFonts w:ascii="宋体" w:hAnsi="宋体"/>
                <w:bCs/>
                <w:sz w:val="28"/>
                <w:szCs w:val="28"/>
              </w:rPr>
            </w:pPr>
          </w:p>
        </w:tc>
      </w:tr>
      <w:tr w14:paraId="48C1DCC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4BB7F292">
            <w:pPr>
              <w:jc w:val="center"/>
              <w:rPr>
                <w:rStyle w:val="39"/>
                <w:rFonts w:ascii="宋体" w:hAnsi="宋体"/>
                <w:bCs/>
                <w:sz w:val="28"/>
                <w:szCs w:val="28"/>
              </w:rPr>
            </w:pPr>
            <w:r>
              <w:rPr>
                <w:rStyle w:val="39"/>
                <w:rFonts w:hint="eastAsia" w:ascii="宋体" w:hAnsi="宋体"/>
                <w:bCs/>
                <w:sz w:val="28"/>
                <w:szCs w:val="28"/>
              </w:rPr>
              <w:t>施工</w:t>
            </w:r>
          </w:p>
        </w:tc>
        <w:tc>
          <w:tcPr>
            <w:tcW w:w="1384" w:type="dxa"/>
            <w:tcBorders>
              <w:top w:val="single" w:color="000000" w:sz="4" w:space="0"/>
              <w:left w:val="single" w:color="auto" w:sz="4" w:space="0"/>
              <w:bottom w:val="single" w:color="000000" w:sz="4" w:space="0"/>
              <w:right w:val="single" w:color="auto" w:sz="4" w:space="0"/>
            </w:tcBorders>
            <w:vAlign w:val="center"/>
          </w:tcPr>
          <w:p w14:paraId="37864581">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7B110EEE">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454AE5BB">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6E01FB8B">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1D3058B0">
            <w:pPr>
              <w:jc w:val="center"/>
              <w:rPr>
                <w:rStyle w:val="39"/>
                <w:rFonts w:ascii="宋体" w:hAnsi="宋体"/>
                <w:bCs/>
                <w:sz w:val="28"/>
                <w:szCs w:val="28"/>
              </w:rPr>
            </w:pPr>
          </w:p>
        </w:tc>
      </w:tr>
      <w:tr w14:paraId="237A62B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07A4BBC3">
            <w:pPr>
              <w:jc w:val="center"/>
              <w:rPr>
                <w:rStyle w:val="39"/>
                <w:rFonts w:ascii="宋体" w:hAnsi="宋体"/>
                <w:bCs/>
                <w:sz w:val="28"/>
                <w:szCs w:val="28"/>
              </w:rPr>
            </w:pPr>
            <w:r>
              <w:rPr>
                <w:rStyle w:val="39"/>
                <w:rFonts w:hint="eastAsia" w:ascii="宋体" w:hAnsi="宋体"/>
                <w:bCs/>
                <w:sz w:val="28"/>
                <w:szCs w:val="28"/>
              </w:rPr>
              <w:t>安全</w:t>
            </w:r>
          </w:p>
        </w:tc>
        <w:tc>
          <w:tcPr>
            <w:tcW w:w="1384" w:type="dxa"/>
            <w:tcBorders>
              <w:top w:val="single" w:color="000000" w:sz="4" w:space="0"/>
              <w:left w:val="single" w:color="auto" w:sz="4" w:space="0"/>
              <w:bottom w:val="single" w:color="000000" w:sz="4" w:space="0"/>
              <w:right w:val="single" w:color="auto" w:sz="4" w:space="0"/>
            </w:tcBorders>
            <w:vAlign w:val="center"/>
          </w:tcPr>
          <w:p w14:paraId="3009067D">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63702FF2">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3CAB86FC">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1AB09EC4">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3B438CCE">
            <w:pPr>
              <w:jc w:val="center"/>
              <w:rPr>
                <w:rStyle w:val="39"/>
                <w:rFonts w:ascii="宋体" w:hAnsi="宋体"/>
                <w:bCs/>
                <w:sz w:val="28"/>
                <w:szCs w:val="28"/>
              </w:rPr>
            </w:pPr>
          </w:p>
        </w:tc>
      </w:tr>
      <w:tr w14:paraId="56D9EB7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37FEC97E">
            <w:pPr>
              <w:jc w:val="center"/>
              <w:rPr>
                <w:rStyle w:val="39"/>
                <w:rFonts w:ascii="宋体" w:hAnsi="宋体"/>
                <w:bCs/>
                <w:sz w:val="28"/>
                <w:szCs w:val="28"/>
              </w:rPr>
            </w:pPr>
            <w:r>
              <w:rPr>
                <w:rStyle w:val="39"/>
                <w:rFonts w:hint="eastAsia" w:ascii="宋体" w:hAnsi="宋体"/>
                <w:bCs/>
                <w:sz w:val="28"/>
                <w:szCs w:val="28"/>
              </w:rPr>
              <w:t>质量</w:t>
            </w:r>
          </w:p>
        </w:tc>
        <w:tc>
          <w:tcPr>
            <w:tcW w:w="1384" w:type="dxa"/>
            <w:tcBorders>
              <w:top w:val="single" w:color="000000" w:sz="4" w:space="0"/>
              <w:left w:val="single" w:color="auto" w:sz="4" w:space="0"/>
              <w:bottom w:val="single" w:color="000000" w:sz="4" w:space="0"/>
              <w:right w:val="single" w:color="auto" w:sz="4" w:space="0"/>
            </w:tcBorders>
            <w:vAlign w:val="center"/>
          </w:tcPr>
          <w:p w14:paraId="6B74CEBC">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4A6FD61A">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602AD646">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6CBA9F50">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7FB3355">
            <w:pPr>
              <w:jc w:val="center"/>
              <w:rPr>
                <w:rStyle w:val="39"/>
                <w:rFonts w:ascii="宋体" w:hAnsi="宋体"/>
                <w:bCs/>
                <w:sz w:val="28"/>
                <w:szCs w:val="28"/>
              </w:rPr>
            </w:pPr>
          </w:p>
        </w:tc>
      </w:tr>
      <w:tr w14:paraId="073BD35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539A1203">
            <w:pPr>
              <w:jc w:val="center"/>
              <w:rPr>
                <w:rStyle w:val="39"/>
                <w:rFonts w:ascii="宋体" w:hAnsi="宋体"/>
                <w:bCs/>
                <w:sz w:val="28"/>
                <w:szCs w:val="28"/>
              </w:rPr>
            </w:pPr>
            <w:r>
              <w:rPr>
                <w:rStyle w:val="39"/>
                <w:rFonts w:hint="eastAsia" w:ascii="宋体" w:hAnsi="宋体"/>
                <w:bCs/>
                <w:sz w:val="28"/>
                <w:szCs w:val="28"/>
              </w:rPr>
              <w:t>造价</w:t>
            </w:r>
          </w:p>
        </w:tc>
        <w:tc>
          <w:tcPr>
            <w:tcW w:w="1384" w:type="dxa"/>
            <w:tcBorders>
              <w:top w:val="single" w:color="000000" w:sz="4" w:space="0"/>
              <w:left w:val="single" w:color="auto" w:sz="4" w:space="0"/>
              <w:bottom w:val="single" w:color="000000" w:sz="4" w:space="0"/>
              <w:right w:val="single" w:color="auto" w:sz="4" w:space="0"/>
            </w:tcBorders>
            <w:vAlign w:val="center"/>
          </w:tcPr>
          <w:p w14:paraId="47A79803">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0320CFA0">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6473F99">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7ED5FB18">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166FC6C0">
            <w:pPr>
              <w:jc w:val="center"/>
              <w:rPr>
                <w:rStyle w:val="39"/>
                <w:rFonts w:ascii="宋体" w:hAnsi="宋体"/>
                <w:bCs/>
                <w:sz w:val="28"/>
                <w:szCs w:val="28"/>
              </w:rPr>
            </w:pPr>
          </w:p>
        </w:tc>
      </w:tr>
      <w:tr w14:paraId="587707D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4E9243E5">
            <w:pPr>
              <w:jc w:val="center"/>
              <w:rPr>
                <w:rStyle w:val="39"/>
                <w:rFonts w:ascii="宋体" w:hAnsi="宋体"/>
                <w:bCs/>
                <w:sz w:val="28"/>
                <w:szCs w:val="28"/>
              </w:rPr>
            </w:pPr>
            <w:r>
              <w:rPr>
                <w:rStyle w:val="39"/>
                <w:rFonts w:hint="eastAsia" w:ascii="宋体" w:hAnsi="宋体"/>
                <w:bCs/>
                <w:sz w:val="28"/>
                <w:szCs w:val="28"/>
              </w:rPr>
              <w:t>机管</w:t>
            </w:r>
          </w:p>
        </w:tc>
        <w:tc>
          <w:tcPr>
            <w:tcW w:w="1384" w:type="dxa"/>
            <w:tcBorders>
              <w:top w:val="single" w:color="000000" w:sz="4" w:space="0"/>
              <w:left w:val="single" w:color="auto" w:sz="4" w:space="0"/>
              <w:bottom w:val="single" w:color="000000" w:sz="4" w:space="0"/>
              <w:right w:val="single" w:color="auto" w:sz="4" w:space="0"/>
            </w:tcBorders>
            <w:vAlign w:val="center"/>
          </w:tcPr>
          <w:p w14:paraId="5D6EDC8A">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21FFB8FD">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1DC68B1D">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232AFDE9">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4895691E">
            <w:pPr>
              <w:jc w:val="center"/>
              <w:rPr>
                <w:rStyle w:val="39"/>
                <w:rFonts w:ascii="宋体" w:hAnsi="宋体"/>
                <w:bCs/>
                <w:sz w:val="28"/>
                <w:szCs w:val="28"/>
              </w:rPr>
            </w:pPr>
          </w:p>
        </w:tc>
      </w:tr>
      <w:tr w14:paraId="5C1A6AF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3359EA4E">
            <w:pPr>
              <w:jc w:val="center"/>
              <w:rPr>
                <w:rStyle w:val="39"/>
                <w:rFonts w:ascii="宋体" w:hAnsi="宋体"/>
                <w:bCs/>
                <w:sz w:val="28"/>
                <w:szCs w:val="28"/>
              </w:rPr>
            </w:pPr>
            <w:r>
              <w:rPr>
                <w:rStyle w:val="39"/>
                <w:rFonts w:hint="eastAsia" w:ascii="宋体" w:hAnsi="宋体"/>
                <w:bCs/>
                <w:sz w:val="28"/>
                <w:szCs w:val="28"/>
              </w:rPr>
              <w:t>材料</w:t>
            </w:r>
          </w:p>
        </w:tc>
        <w:tc>
          <w:tcPr>
            <w:tcW w:w="1384" w:type="dxa"/>
            <w:tcBorders>
              <w:top w:val="single" w:color="000000" w:sz="4" w:space="0"/>
              <w:left w:val="single" w:color="auto" w:sz="4" w:space="0"/>
              <w:bottom w:val="single" w:color="000000" w:sz="4" w:space="0"/>
              <w:right w:val="single" w:color="auto" w:sz="4" w:space="0"/>
            </w:tcBorders>
            <w:vAlign w:val="center"/>
          </w:tcPr>
          <w:p w14:paraId="361BCD52">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63E84DD0">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AFE8616">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DCB0CC8">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0FB13EF2">
            <w:pPr>
              <w:jc w:val="center"/>
              <w:rPr>
                <w:rStyle w:val="39"/>
                <w:rFonts w:ascii="宋体" w:hAnsi="宋体"/>
                <w:bCs/>
                <w:sz w:val="28"/>
                <w:szCs w:val="28"/>
              </w:rPr>
            </w:pPr>
          </w:p>
        </w:tc>
      </w:tr>
      <w:tr w14:paraId="3BD568E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5A168BE3">
            <w:pPr>
              <w:jc w:val="center"/>
              <w:rPr>
                <w:rStyle w:val="39"/>
                <w:rFonts w:ascii="宋体" w:hAnsi="宋体"/>
                <w:bCs/>
                <w:sz w:val="28"/>
                <w:szCs w:val="28"/>
              </w:rPr>
            </w:pPr>
            <w:r>
              <w:rPr>
                <w:rStyle w:val="39"/>
                <w:rFonts w:hint="eastAsia" w:ascii="宋体" w:hAnsi="宋体"/>
                <w:bCs/>
                <w:sz w:val="28"/>
                <w:szCs w:val="28"/>
              </w:rPr>
              <w:t>资料</w:t>
            </w:r>
          </w:p>
        </w:tc>
        <w:tc>
          <w:tcPr>
            <w:tcW w:w="1384" w:type="dxa"/>
            <w:tcBorders>
              <w:top w:val="single" w:color="000000" w:sz="4" w:space="0"/>
              <w:left w:val="single" w:color="auto" w:sz="4" w:space="0"/>
              <w:bottom w:val="single" w:color="000000" w:sz="4" w:space="0"/>
              <w:right w:val="single" w:color="auto" w:sz="4" w:space="0"/>
            </w:tcBorders>
            <w:vAlign w:val="center"/>
          </w:tcPr>
          <w:p w14:paraId="56C77A2E">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6B5931E4">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1A333AA3">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2D4D6F76">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15C4F7AA">
            <w:pPr>
              <w:jc w:val="center"/>
              <w:rPr>
                <w:rStyle w:val="39"/>
                <w:rFonts w:ascii="宋体" w:hAnsi="宋体"/>
                <w:bCs/>
                <w:sz w:val="28"/>
                <w:szCs w:val="28"/>
              </w:rPr>
            </w:pPr>
          </w:p>
        </w:tc>
      </w:tr>
      <w:tr w14:paraId="59BE24C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63" w:hRule="atLeast"/>
        </w:trPr>
        <w:tc>
          <w:tcPr>
            <w:tcW w:w="1936" w:type="dxa"/>
            <w:tcBorders>
              <w:top w:val="single" w:color="000000" w:sz="4" w:space="0"/>
              <w:left w:val="single" w:color="000000" w:sz="4" w:space="0"/>
              <w:bottom w:val="single" w:color="000000" w:sz="4" w:space="0"/>
              <w:right w:val="single" w:color="000000" w:sz="4" w:space="0"/>
            </w:tcBorders>
            <w:vAlign w:val="center"/>
          </w:tcPr>
          <w:p w14:paraId="425EEB10">
            <w:pPr>
              <w:jc w:val="center"/>
              <w:rPr>
                <w:rStyle w:val="39"/>
                <w:rFonts w:ascii="宋体" w:hAnsi="宋体"/>
                <w:bCs/>
                <w:sz w:val="28"/>
                <w:szCs w:val="28"/>
              </w:rPr>
            </w:pPr>
            <w:r>
              <w:rPr>
                <w:rStyle w:val="39"/>
                <w:rFonts w:hint="eastAsia" w:ascii="宋体" w:hAnsi="宋体"/>
                <w:bCs/>
                <w:sz w:val="28"/>
                <w:szCs w:val="28"/>
              </w:rPr>
              <w:t>劳管</w:t>
            </w:r>
          </w:p>
        </w:tc>
        <w:tc>
          <w:tcPr>
            <w:tcW w:w="1384" w:type="dxa"/>
            <w:tcBorders>
              <w:top w:val="single" w:color="000000" w:sz="4" w:space="0"/>
              <w:left w:val="single" w:color="auto" w:sz="4" w:space="0"/>
              <w:bottom w:val="single" w:color="000000" w:sz="4" w:space="0"/>
              <w:right w:val="single" w:color="auto" w:sz="4" w:space="0"/>
            </w:tcBorders>
            <w:vAlign w:val="center"/>
          </w:tcPr>
          <w:p w14:paraId="476E5734">
            <w:pPr>
              <w:jc w:val="center"/>
              <w:rPr>
                <w:rStyle w:val="39"/>
                <w:rFonts w:ascii="宋体" w:hAnsi="宋体"/>
                <w:bCs/>
                <w:sz w:val="28"/>
                <w:szCs w:val="28"/>
              </w:rPr>
            </w:pPr>
          </w:p>
        </w:tc>
        <w:tc>
          <w:tcPr>
            <w:tcW w:w="1450" w:type="dxa"/>
            <w:tcBorders>
              <w:top w:val="single" w:color="000000" w:sz="4" w:space="0"/>
              <w:left w:val="single" w:color="auto" w:sz="4" w:space="0"/>
              <w:bottom w:val="single" w:color="000000" w:sz="4" w:space="0"/>
              <w:right w:val="single" w:color="auto" w:sz="4" w:space="0"/>
            </w:tcBorders>
            <w:vAlign w:val="center"/>
          </w:tcPr>
          <w:p w14:paraId="2C6139BD">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61A87D8F">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3694E905">
            <w:pPr>
              <w:jc w:val="center"/>
              <w:rPr>
                <w:rStyle w:val="39"/>
                <w:rFonts w:ascii="宋体" w:hAnsi="宋体"/>
                <w:bCs/>
                <w:sz w:val="28"/>
                <w:szCs w:val="28"/>
              </w:rPr>
            </w:pPr>
          </w:p>
        </w:tc>
        <w:tc>
          <w:tcPr>
            <w:tcW w:w="1150" w:type="dxa"/>
            <w:tcBorders>
              <w:top w:val="single" w:color="000000" w:sz="4" w:space="0"/>
              <w:left w:val="single" w:color="auto" w:sz="4" w:space="0"/>
              <w:bottom w:val="single" w:color="000000" w:sz="4" w:space="0"/>
              <w:right w:val="single" w:color="000000" w:sz="4" w:space="0"/>
            </w:tcBorders>
            <w:vAlign w:val="center"/>
          </w:tcPr>
          <w:p w14:paraId="41A808A0">
            <w:pPr>
              <w:jc w:val="center"/>
              <w:rPr>
                <w:rStyle w:val="39"/>
                <w:rFonts w:ascii="宋体" w:hAnsi="宋体"/>
                <w:bCs/>
                <w:sz w:val="28"/>
                <w:szCs w:val="28"/>
              </w:rPr>
            </w:pPr>
          </w:p>
        </w:tc>
      </w:tr>
    </w:tbl>
    <w:p w14:paraId="17DD7418">
      <w:pPr>
        <w:rPr>
          <w:rStyle w:val="39"/>
          <w:rFonts w:ascii="宋体" w:hAnsi="宋体"/>
          <w:bCs/>
          <w:sz w:val="28"/>
          <w:szCs w:val="28"/>
        </w:rPr>
      </w:pPr>
      <w:r>
        <w:rPr>
          <w:rStyle w:val="39"/>
          <w:rFonts w:ascii="宋体" w:hAnsi="宋体"/>
          <w:bCs/>
          <w:sz w:val="28"/>
          <w:szCs w:val="28"/>
        </w:rPr>
        <w:t xml:space="preserve"> </w:t>
      </w:r>
      <w:r>
        <w:rPr>
          <w:rStyle w:val="39"/>
          <w:rFonts w:hint="eastAsia" w:ascii="宋体" w:hAnsi="宋体"/>
          <w:bCs/>
          <w:sz w:val="28"/>
          <w:szCs w:val="28"/>
          <w:lang w:val="en-US" w:eastAsia="zh-CN"/>
        </w:rPr>
        <w:t>备注：需满足</w:t>
      </w:r>
      <w:r>
        <w:rPr>
          <w:rStyle w:val="39"/>
          <w:rFonts w:hint="eastAsia" w:ascii="宋体" w:hAnsi="宋体"/>
          <w:bCs/>
          <w:sz w:val="28"/>
          <w:szCs w:val="28"/>
        </w:rPr>
        <w:t>济建建字【2011】12号文规定的最低人员配备</w:t>
      </w:r>
    </w:p>
    <w:p w14:paraId="56B41CC2">
      <w:pPr>
        <w:rPr>
          <w:rStyle w:val="39"/>
          <w:rFonts w:ascii="宋体" w:hAnsi="宋体"/>
          <w:bCs/>
          <w:sz w:val="28"/>
          <w:szCs w:val="28"/>
        </w:rPr>
      </w:pPr>
    </w:p>
    <w:p w14:paraId="526AB014">
      <w:pPr>
        <w:rPr>
          <w:rStyle w:val="39"/>
          <w:rFonts w:ascii="宋体" w:hAnsi="宋体"/>
          <w:bCs/>
          <w:sz w:val="28"/>
          <w:szCs w:val="28"/>
        </w:rPr>
      </w:pPr>
      <w:r>
        <w:rPr>
          <w:rStyle w:val="39"/>
          <w:rFonts w:ascii="宋体" w:hAnsi="宋体"/>
          <w:bCs/>
          <w:sz w:val="28"/>
          <w:szCs w:val="28"/>
        </w:rPr>
        <w:t>投标单位（单位公章）：</w:t>
      </w:r>
    </w:p>
    <w:p w14:paraId="7AB9F8FB">
      <w:pPr>
        <w:ind w:firstLine="651" w:firstLineChars="310"/>
        <w:rPr>
          <w:rStyle w:val="39"/>
          <w:rFonts w:ascii="宋体" w:hAnsi="宋体"/>
          <w:szCs w:val="21"/>
        </w:rPr>
      </w:pPr>
      <w:r>
        <w:rPr>
          <w:rStyle w:val="39"/>
          <w:rFonts w:ascii="宋体" w:hAnsi="宋体"/>
          <w:szCs w:val="21"/>
        </w:rPr>
        <w:br w:type="page"/>
      </w:r>
    </w:p>
    <w:p w14:paraId="227EA55B">
      <w:pPr>
        <w:ind w:firstLine="651" w:firstLineChars="310"/>
        <w:rPr>
          <w:rStyle w:val="39"/>
          <w:rFonts w:ascii="宋体" w:hAnsi="宋体"/>
          <w:szCs w:val="21"/>
        </w:rPr>
      </w:pPr>
    </w:p>
    <w:p w14:paraId="1CC24BBF">
      <w:pPr>
        <w:numPr>
          <w:ilvl w:val="0"/>
          <w:numId w:val="15"/>
        </w:numPr>
        <w:snapToGrid w:val="0"/>
        <w:spacing w:line="440" w:lineRule="exact"/>
        <w:ind w:firstLine="527" w:firstLineChars="250"/>
        <w:jc w:val="left"/>
        <w:rPr>
          <w:rStyle w:val="39"/>
          <w:rFonts w:ascii="宋体" w:hAnsi="宋体"/>
          <w:b/>
          <w:szCs w:val="21"/>
        </w:rPr>
      </w:pPr>
      <w:r>
        <w:rPr>
          <w:rStyle w:val="39"/>
          <w:rFonts w:ascii="宋体" w:hAnsi="宋体"/>
          <w:b/>
          <w:szCs w:val="21"/>
        </w:rPr>
        <w:t>投标函附录-</w:t>
      </w:r>
      <w:r>
        <w:rPr>
          <w:rStyle w:val="39"/>
          <w:rFonts w:hint="eastAsia" w:ascii="宋体" w:hAnsi="宋体"/>
          <w:b/>
          <w:szCs w:val="21"/>
        </w:rPr>
        <w:t>4</w:t>
      </w:r>
    </w:p>
    <w:p w14:paraId="1BDEB677">
      <w:pPr>
        <w:pStyle w:val="13"/>
      </w:pPr>
    </w:p>
    <w:p w14:paraId="4A9BAC4E">
      <w:pPr>
        <w:jc w:val="center"/>
        <w:rPr>
          <w:rStyle w:val="39"/>
          <w:rFonts w:ascii="宋体" w:hAnsi="宋体"/>
          <w:b/>
          <w:bCs/>
          <w:sz w:val="28"/>
          <w:szCs w:val="28"/>
        </w:rPr>
      </w:pPr>
      <w:r>
        <w:rPr>
          <w:rStyle w:val="39"/>
          <w:rFonts w:hint="eastAsia" w:ascii="宋体" w:hAnsi="宋体"/>
          <w:b/>
          <w:bCs/>
          <w:sz w:val="28"/>
          <w:szCs w:val="28"/>
        </w:rPr>
        <w:t>承诺书</w:t>
      </w:r>
    </w:p>
    <w:p w14:paraId="174EE373">
      <w:pPr>
        <w:spacing w:after="240" w:line="440" w:lineRule="exact"/>
        <w:rPr>
          <w:rStyle w:val="39"/>
          <w:rFonts w:ascii="宋体"/>
        </w:rPr>
      </w:pPr>
      <w:r>
        <w:rPr>
          <w:rStyle w:val="39"/>
          <w:rFonts w:ascii="宋体"/>
          <w:position w:val="-7"/>
        </w:rPr>
        <w:t>————————</w:t>
      </w:r>
      <w:r>
        <w:rPr>
          <w:rStyle w:val="39"/>
          <w:rFonts w:ascii="宋体"/>
        </w:rPr>
        <w:t>（招标人名称）：</w:t>
      </w:r>
    </w:p>
    <w:p w14:paraId="2F243D5A">
      <w:pPr>
        <w:spacing w:line="440" w:lineRule="exact"/>
        <w:ind w:firstLine="200"/>
        <w:rPr>
          <w:rStyle w:val="39"/>
          <w:rFonts w:ascii="宋体"/>
        </w:rPr>
      </w:pPr>
      <w:r>
        <w:rPr>
          <w:rStyle w:val="39"/>
          <w:rFonts w:hint="eastAsia" w:ascii="宋体"/>
        </w:rPr>
        <w:t>针对</w:t>
      </w:r>
      <w:r>
        <w:rPr>
          <w:rStyle w:val="39"/>
          <w:rFonts w:hint="eastAsia" w:ascii="宋体"/>
          <w:u w:val="single"/>
        </w:rPr>
        <w:t xml:space="preserve">           </w:t>
      </w:r>
      <w:r>
        <w:rPr>
          <w:rStyle w:val="39"/>
          <w:rFonts w:hint="eastAsia" w:ascii="宋体"/>
        </w:rPr>
        <w:t>项目，我方承诺：</w:t>
      </w:r>
    </w:p>
    <w:p w14:paraId="12A906A9">
      <w:pPr>
        <w:spacing w:line="440" w:lineRule="exact"/>
        <w:ind w:firstLine="200"/>
        <w:rPr>
          <w:rStyle w:val="39"/>
          <w:rFonts w:ascii="宋体"/>
        </w:rPr>
      </w:pPr>
      <w:r>
        <w:rPr>
          <w:rStyle w:val="39"/>
          <w:rFonts w:hint="eastAsia" w:ascii="宋体"/>
        </w:rPr>
        <w:t>一、</w:t>
      </w:r>
      <w:r>
        <w:rPr>
          <w:rStyle w:val="39"/>
          <w:rFonts w:ascii="宋体"/>
        </w:rPr>
        <w:t>我方拟派往（项目名称）（以下简称“本工程”）的项目经理（项目经理姓名）现阶段没有担任任何在施建设工程项目的项目经理。</w:t>
      </w:r>
    </w:p>
    <w:p w14:paraId="0E961C4A">
      <w:pPr>
        <w:spacing w:line="440" w:lineRule="exact"/>
        <w:ind w:firstLine="200"/>
        <w:rPr>
          <w:rStyle w:val="39"/>
          <w:rFonts w:ascii="宋体"/>
        </w:rPr>
      </w:pPr>
      <w:r>
        <w:rPr>
          <w:rStyle w:val="39"/>
          <w:rFonts w:hint="eastAsia" w:ascii="宋体"/>
        </w:rPr>
        <w:t>二、中标后现场管理班子均为我单位正式职工，已连续缴纳社保半年以上，确保到岗不少于</w:t>
      </w:r>
    </w:p>
    <w:p w14:paraId="4BCC54DC">
      <w:pPr>
        <w:spacing w:line="440" w:lineRule="exact"/>
        <w:rPr>
          <w:rStyle w:val="39"/>
          <w:rFonts w:ascii="宋体"/>
        </w:rPr>
      </w:pPr>
      <w:r>
        <w:rPr>
          <w:rStyle w:val="39"/>
          <w:rFonts w:hint="eastAsia" w:ascii="宋体"/>
        </w:rPr>
        <w:t xml:space="preserve">   </w:t>
      </w:r>
      <w:r>
        <w:rPr>
          <w:rStyle w:val="39"/>
          <w:rFonts w:hint="eastAsia" w:ascii="宋体"/>
          <w:u w:val="single"/>
        </w:rPr>
        <w:t xml:space="preserve">    </w:t>
      </w:r>
      <w:r>
        <w:rPr>
          <w:rStyle w:val="39"/>
          <w:rFonts w:hint="eastAsia" w:ascii="宋体"/>
        </w:rPr>
        <w:t>人，每少一人承担</w:t>
      </w:r>
      <w:r>
        <w:rPr>
          <w:rStyle w:val="39"/>
          <w:rFonts w:hint="eastAsia" w:ascii="宋体"/>
          <w:u w:val="single"/>
        </w:rPr>
        <w:t xml:space="preserve"> 1 </w:t>
      </w:r>
      <w:r>
        <w:rPr>
          <w:rStyle w:val="39"/>
          <w:rFonts w:hint="eastAsia" w:ascii="宋体"/>
        </w:rPr>
        <w:t>万元的赔偿且在施工期间未经发包人允许绝不擅自更换；</w:t>
      </w:r>
    </w:p>
    <w:p w14:paraId="247A176B">
      <w:pPr>
        <w:numPr>
          <w:ilvl w:val="0"/>
          <w:numId w:val="16"/>
        </w:numPr>
        <w:spacing w:line="440" w:lineRule="exact"/>
        <w:ind w:firstLine="200"/>
        <w:rPr>
          <w:rStyle w:val="39"/>
          <w:rFonts w:ascii="宋体"/>
        </w:rPr>
      </w:pPr>
      <w:r>
        <w:rPr>
          <w:rStyle w:val="39"/>
          <w:rFonts w:hint="eastAsia" w:ascii="宋体"/>
        </w:rPr>
        <w:t>项目经理现场履职每月不少于25天，每少一天自愿接受考核</w:t>
      </w:r>
      <w:r>
        <w:rPr>
          <w:rStyle w:val="39"/>
          <w:rFonts w:hint="eastAsia" w:ascii="宋体"/>
          <w:u w:val="single"/>
        </w:rPr>
        <w:t>1000</w:t>
      </w:r>
      <w:r>
        <w:rPr>
          <w:rStyle w:val="39"/>
          <w:rFonts w:hint="eastAsia" w:ascii="宋体"/>
        </w:rPr>
        <w:t>元/天。</w:t>
      </w:r>
    </w:p>
    <w:p w14:paraId="1CA58F9B">
      <w:pPr>
        <w:spacing w:line="440" w:lineRule="exact"/>
        <w:ind w:firstLine="210" w:firstLineChars="100"/>
        <w:rPr>
          <w:rStyle w:val="39"/>
          <w:rFonts w:ascii="宋体"/>
        </w:rPr>
      </w:pPr>
      <w:r>
        <w:rPr>
          <w:rStyle w:val="39"/>
          <w:rFonts w:hint="eastAsia" w:ascii="宋体"/>
        </w:rPr>
        <w:t>四、若我方违背上述承诺，视为工程转包、挂靠行为，除承担合同约定的违约责任外，</w:t>
      </w:r>
      <w:r>
        <w:rPr>
          <w:rStyle w:val="39"/>
          <w:rFonts w:ascii="宋体"/>
        </w:rPr>
        <w:t>并愿意承担因我方就此弄虚作假所引起的一切法律后果。</w:t>
      </w:r>
    </w:p>
    <w:p w14:paraId="0827A955">
      <w:pPr>
        <w:spacing w:line="440" w:lineRule="exact"/>
        <w:ind w:firstLine="200"/>
        <w:rPr>
          <w:rStyle w:val="39"/>
          <w:rFonts w:ascii="宋体"/>
        </w:rPr>
      </w:pPr>
    </w:p>
    <w:p w14:paraId="16620A66">
      <w:pPr>
        <w:rPr>
          <w:rStyle w:val="39"/>
          <w:rFonts w:ascii="宋体"/>
        </w:rPr>
      </w:pPr>
    </w:p>
    <w:p w14:paraId="416B810C">
      <w:pPr>
        <w:rPr>
          <w:rStyle w:val="39"/>
          <w:rFonts w:ascii="宋体"/>
        </w:rPr>
      </w:pPr>
    </w:p>
    <w:p w14:paraId="7053F765">
      <w:pPr>
        <w:ind w:firstLine="1800"/>
        <w:rPr>
          <w:rStyle w:val="39"/>
          <w:rFonts w:ascii="宋体"/>
        </w:rPr>
      </w:pPr>
    </w:p>
    <w:p w14:paraId="7BFDBD6A">
      <w:pPr>
        <w:ind w:firstLine="1800"/>
        <w:rPr>
          <w:rStyle w:val="39"/>
          <w:rFonts w:ascii="宋体"/>
        </w:rPr>
      </w:pPr>
    </w:p>
    <w:p w14:paraId="2682CBE3">
      <w:pPr>
        <w:ind w:firstLine="1800"/>
        <w:rPr>
          <w:rStyle w:val="39"/>
          <w:rFonts w:ascii="宋体"/>
        </w:rPr>
      </w:pPr>
    </w:p>
    <w:p w14:paraId="09EDC136">
      <w:pPr>
        <w:ind w:firstLine="1800"/>
        <w:rPr>
          <w:rStyle w:val="39"/>
          <w:rFonts w:ascii="宋体"/>
        </w:rPr>
      </w:pPr>
    </w:p>
    <w:p w14:paraId="532C5819">
      <w:pPr>
        <w:ind w:firstLine="1800"/>
        <w:rPr>
          <w:rStyle w:val="39"/>
          <w:rFonts w:ascii="宋体"/>
        </w:rPr>
      </w:pPr>
    </w:p>
    <w:p w14:paraId="0737495F">
      <w:pPr>
        <w:ind w:firstLine="1800"/>
        <w:rPr>
          <w:rStyle w:val="39"/>
          <w:rFonts w:ascii="宋体"/>
        </w:rPr>
      </w:pPr>
    </w:p>
    <w:p w14:paraId="6C3138F1">
      <w:pPr>
        <w:ind w:firstLine="1800"/>
        <w:rPr>
          <w:rStyle w:val="39"/>
          <w:rFonts w:ascii="宋体"/>
        </w:rPr>
      </w:pPr>
    </w:p>
    <w:p w14:paraId="4F2A24A1">
      <w:pPr>
        <w:ind w:firstLine="1800"/>
        <w:rPr>
          <w:rStyle w:val="39"/>
          <w:rFonts w:ascii="宋体"/>
        </w:rPr>
      </w:pPr>
    </w:p>
    <w:p w14:paraId="08A5DBC2">
      <w:pPr>
        <w:ind w:firstLine="3780" w:firstLineChars="1800"/>
        <w:rPr>
          <w:rStyle w:val="39"/>
          <w:rFonts w:ascii="宋体"/>
        </w:rPr>
      </w:pPr>
      <w:r>
        <w:rPr>
          <w:rStyle w:val="39"/>
          <w:rFonts w:hint="eastAsia" w:ascii="宋体"/>
        </w:rPr>
        <w:t>公司法律人员或法务部门签字盖章</w:t>
      </w:r>
    </w:p>
    <w:p w14:paraId="255A44EE">
      <w:pPr>
        <w:rPr>
          <w:rStyle w:val="39"/>
          <w:rFonts w:ascii="宋体"/>
        </w:rPr>
      </w:pPr>
    </w:p>
    <w:p w14:paraId="061EF6C2">
      <w:pPr>
        <w:ind w:firstLine="3780" w:firstLineChars="1800"/>
        <w:rPr>
          <w:rStyle w:val="39"/>
          <w:rFonts w:ascii="宋体"/>
        </w:rPr>
      </w:pPr>
      <w:r>
        <w:rPr>
          <w:rStyle w:val="39"/>
          <w:rFonts w:hint="eastAsia" w:ascii="宋体"/>
        </w:rPr>
        <w:t xml:space="preserve">投标单位：     （公章）             </w:t>
      </w:r>
    </w:p>
    <w:p w14:paraId="79A8FD0D">
      <w:pPr>
        <w:rPr>
          <w:rStyle w:val="39"/>
          <w:rFonts w:ascii="宋体"/>
        </w:rPr>
      </w:pPr>
      <w:r>
        <w:rPr>
          <w:rStyle w:val="39"/>
          <w:rFonts w:hint="eastAsia" w:ascii="宋体"/>
        </w:rPr>
        <w:t xml:space="preserve">                                  </w:t>
      </w:r>
    </w:p>
    <w:p w14:paraId="52AAE601">
      <w:pPr>
        <w:ind w:firstLine="3780" w:firstLineChars="1800"/>
        <w:rPr>
          <w:rStyle w:val="39"/>
          <w:rFonts w:ascii="宋体"/>
        </w:rPr>
      </w:pPr>
      <w:r>
        <w:rPr>
          <w:rStyle w:val="39"/>
          <w:rFonts w:hint="eastAsia" w:ascii="宋体"/>
        </w:rPr>
        <w:t>法人签字：</w:t>
      </w:r>
    </w:p>
    <w:p w14:paraId="05ADAFB3">
      <w:pPr>
        <w:pStyle w:val="2"/>
        <w:ind w:left="420" w:firstLine="420"/>
      </w:pPr>
    </w:p>
    <w:p w14:paraId="3BEDB854">
      <w:pPr>
        <w:ind w:firstLine="1680" w:firstLineChars="800"/>
        <w:rPr>
          <w:rStyle w:val="39"/>
          <w:rFonts w:ascii="宋体"/>
        </w:rPr>
      </w:pPr>
      <w:r>
        <w:rPr>
          <w:rStyle w:val="39"/>
          <w:rFonts w:hint="eastAsia" w:ascii="宋体"/>
        </w:rPr>
        <w:t xml:space="preserve">                    日期：</w:t>
      </w:r>
    </w:p>
    <w:p w14:paraId="70341D47">
      <w:pPr>
        <w:pStyle w:val="7"/>
        <w:spacing w:before="0" w:after="0" w:line="480" w:lineRule="auto"/>
        <w:rPr>
          <w:sz w:val="30"/>
          <w:szCs w:val="30"/>
        </w:rPr>
      </w:pPr>
    </w:p>
    <w:p w14:paraId="3E90FB74">
      <w:pPr>
        <w:pStyle w:val="7"/>
        <w:spacing w:before="0" w:after="0" w:line="480" w:lineRule="auto"/>
        <w:rPr>
          <w:sz w:val="30"/>
          <w:szCs w:val="30"/>
        </w:rPr>
      </w:pPr>
    </w:p>
    <w:p w14:paraId="071040B2">
      <w:pPr>
        <w:rPr>
          <w:sz w:val="30"/>
          <w:szCs w:val="30"/>
        </w:rPr>
      </w:pPr>
    </w:p>
    <w:p w14:paraId="12F2CB5C">
      <w:pPr>
        <w:rPr>
          <w:sz w:val="30"/>
          <w:szCs w:val="30"/>
        </w:rPr>
      </w:pPr>
    </w:p>
    <w:p w14:paraId="5438AC13">
      <w:pPr>
        <w:pStyle w:val="13"/>
        <w:jc w:val="center"/>
      </w:pPr>
    </w:p>
    <w:p w14:paraId="42972700">
      <w:pPr>
        <w:pStyle w:val="7"/>
        <w:spacing w:before="0" w:after="0" w:line="480" w:lineRule="auto"/>
        <w:jc w:val="center"/>
        <w:rPr>
          <w:sz w:val="30"/>
          <w:szCs w:val="30"/>
        </w:rPr>
      </w:pPr>
      <w:bookmarkStart w:id="1391" w:name="_Toc18999"/>
      <w:r>
        <w:rPr>
          <w:sz w:val="30"/>
          <w:szCs w:val="30"/>
        </w:rPr>
        <w:t>二、法定代表人身份证明</w:t>
      </w:r>
      <w:bookmarkEnd w:id="1387"/>
      <w:bookmarkEnd w:id="1388"/>
      <w:bookmarkEnd w:id="1389"/>
      <w:bookmarkEnd w:id="1390"/>
      <w:bookmarkEnd w:id="1391"/>
    </w:p>
    <w:p w14:paraId="79F92863">
      <w:pPr>
        <w:spacing w:line="500" w:lineRule="exact"/>
        <w:ind w:firstLine="735" w:firstLineChars="350"/>
        <w:rPr>
          <w:rStyle w:val="39"/>
          <w:rFonts w:hint="eastAsia" w:ascii="宋体" w:hAnsi="宋体"/>
          <w:szCs w:val="21"/>
        </w:rPr>
      </w:pPr>
      <w:r>
        <w:rPr>
          <w:rStyle w:val="39"/>
          <w:rFonts w:ascii="宋体" w:hAnsi="宋体"/>
          <w:szCs w:val="21"/>
        </w:rPr>
        <w:t>投 标 人：</w:t>
      </w:r>
    </w:p>
    <w:p w14:paraId="760009C5">
      <w:pPr>
        <w:spacing w:line="500" w:lineRule="exact"/>
        <w:ind w:firstLine="735" w:firstLineChars="350"/>
        <w:rPr>
          <w:rStyle w:val="39"/>
          <w:rFonts w:hint="eastAsia" w:ascii="宋体" w:hAnsi="宋体"/>
          <w:szCs w:val="21"/>
        </w:rPr>
      </w:pPr>
      <w:r>
        <w:rPr>
          <w:rStyle w:val="39"/>
          <w:rFonts w:ascii="宋体" w:hAnsi="宋体"/>
          <w:szCs w:val="21"/>
        </w:rPr>
        <w:t>单位性质：</w:t>
      </w:r>
    </w:p>
    <w:p w14:paraId="61402245">
      <w:pPr>
        <w:spacing w:line="500" w:lineRule="exact"/>
        <w:ind w:firstLine="735" w:firstLineChars="350"/>
        <w:rPr>
          <w:rStyle w:val="39"/>
          <w:rFonts w:hint="eastAsia" w:ascii="宋体" w:hAnsi="宋体"/>
          <w:szCs w:val="21"/>
        </w:rPr>
      </w:pPr>
      <w:r>
        <w:rPr>
          <w:rStyle w:val="39"/>
          <w:rFonts w:ascii="宋体" w:hAnsi="宋体"/>
          <w:szCs w:val="21"/>
        </w:rPr>
        <w:t>地    址：</w:t>
      </w:r>
    </w:p>
    <w:p w14:paraId="63260861">
      <w:pPr>
        <w:spacing w:line="500" w:lineRule="exact"/>
        <w:ind w:firstLine="735" w:firstLineChars="350"/>
        <w:rPr>
          <w:rStyle w:val="39"/>
          <w:rFonts w:hint="eastAsia" w:ascii="宋体" w:hAnsi="宋体"/>
          <w:szCs w:val="21"/>
        </w:rPr>
      </w:pPr>
      <w:r>
        <w:rPr>
          <w:rStyle w:val="39"/>
          <w:rFonts w:ascii="宋体" w:hAnsi="宋体"/>
          <w:szCs w:val="21"/>
        </w:rPr>
        <w:t>成立时间：年月日</w:t>
      </w:r>
    </w:p>
    <w:p w14:paraId="6ED094D4">
      <w:pPr>
        <w:spacing w:line="500" w:lineRule="exact"/>
        <w:ind w:firstLine="735" w:firstLineChars="350"/>
        <w:rPr>
          <w:rStyle w:val="39"/>
          <w:rFonts w:hint="eastAsia" w:ascii="宋体" w:hAnsi="宋体"/>
          <w:szCs w:val="21"/>
        </w:rPr>
      </w:pPr>
      <w:r>
        <w:rPr>
          <w:rStyle w:val="39"/>
          <w:rFonts w:ascii="宋体" w:hAnsi="宋体"/>
          <w:szCs w:val="21"/>
        </w:rPr>
        <w:t>经营期限：</w:t>
      </w:r>
    </w:p>
    <w:p w14:paraId="501A29CB">
      <w:pPr>
        <w:spacing w:line="500" w:lineRule="exact"/>
        <w:ind w:firstLine="735" w:firstLineChars="350"/>
        <w:rPr>
          <w:rStyle w:val="39"/>
          <w:rFonts w:hint="eastAsia" w:ascii="宋体" w:hAnsi="宋体"/>
          <w:szCs w:val="21"/>
        </w:rPr>
      </w:pPr>
      <w:r>
        <w:rPr>
          <w:rStyle w:val="39"/>
          <w:rFonts w:ascii="宋体" w:hAnsi="宋体"/>
          <w:szCs w:val="21"/>
        </w:rPr>
        <w:t>姓    名：性        别：</w:t>
      </w:r>
    </w:p>
    <w:p w14:paraId="64CA7F65">
      <w:pPr>
        <w:spacing w:line="500" w:lineRule="exact"/>
        <w:ind w:firstLine="735" w:firstLineChars="350"/>
        <w:rPr>
          <w:rStyle w:val="39"/>
          <w:rFonts w:hint="eastAsia" w:ascii="宋体" w:hAnsi="宋体"/>
          <w:szCs w:val="21"/>
          <w:u w:val="single"/>
        </w:rPr>
      </w:pPr>
      <w:r>
        <w:rPr>
          <w:rStyle w:val="39"/>
          <w:rFonts w:ascii="宋体" w:hAnsi="宋体"/>
          <w:szCs w:val="21"/>
        </w:rPr>
        <w:t>年    龄：职        务：</w:t>
      </w:r>
    </w:p>
    <w:p w14:paraId="05B82789">
      <w:pPr>
        <w:spacing w:line="500" w:lineRule="exact"/>
        <w:ind w:firstLine="735" w:firstLineChars="350"/>
        <w:rPr>
          <w:rStyle w:val="39"/>
          <w:rFonts w:hint="eastAsia" w:ascii="宋体" w:hAnsi="宋体"/>
          <w:szCs w:val="21"/>
          <w:u w:val="single"/>
        </w:rPr>
      </w:pPr>
      <w:r>
        <w:rPr>
          <w:rStyle w:val="39"/>
          <w:rFonts w:ascii="宋体" w:hAnsi="宋体"/>
          <w:szCs w:val="21"/>
        </w:rPr>
        <w:t>身份证号:</w:t>
      </w:r>
    </w:p>
    <w:p w14:paraId="36D28A6F">
      <w:pPr>
        <w:spacing w:line="500" w:lineRule="exact"/>
        <w:ind w:firstLine="735" w:firstLineChars="350"/>
        <w:rPr>
          <w:rStyle w:val="39"/>
          <w:rFonts w:hint="eastAsia" w:ascii="宋体" w:hAnsi="宋体"/>
          <w:szCs w:val="21"/>
        </w:rPr>
      </w:pPr>
      <w:r>
        <w:rPr>
          <w:rStyle w:val="39"/>
          <w:rFonts w:ascii="宋体" w:hAnsi="宋体"/>
          <w:szCs w:val="21"/>
        </w:rPr>
        <w:t>系（投标人名称）的法定代表人。</w:t>
      </w:r>
    </w:p>
    <w:p w14:paraId="165AF069">
      <w:pPr>
        <w:spacing w:line="500" w:lineRule="exact"/>
        <w:ind w:firstLine="735" w:firstLineChars="350"/>
        <w:rPr>
          <w:rStyle w:val="39"/>
          <w:rFonts w:hint="eastAsia" w:ascii="宋体" w:hAnsi="宋体"/>
          <w:szCs w:val="21"/>
        </w:rPr>
      </w:pPr>
      <w:r>
        <w:rPr>
          <w:rStyle w:val="39"/>
          <w:rFonts w:ascii="宋体" w:hAnsi="宋体"/>
          <w:szCs w:val="21"/>
        </w:rPr>
        <w:t>特此证明。</w:t>
      </w:r>
    </w:p>
    <w:p w14:paraId="71CCDB44">
      <w:pPr>
        <w:spacing w:line="500" w:lineRule="exact"/>
        <w:rPr>
          <w:rStyle w:val="39"/>
          <w:rFonts w:hint="eastAsia" w:ascii="宋体" w:hAnsi="宋体"/>
          <w:szCs w:val="21"/>
        </w:rPr>
      </w:pPr>
    </w:p>
    <w:p w14:paraId="36D8B5C2">
      <w:pPr>
        <w:spacing w:line="500" w:lineRule="exact"/>
        <w:rPr>
          <w:rStyle w:val="39"/>
          <w:rFonts w:hint="eastAsia" w:ascii="宋体" w:hAnsi="宋体"/>
          <w:szCs w:val="21"/>
        </w:rPr>
      </w:pPr>
    </w:p>
    <w:p w14:paraId="13B7D4AC">
      <w:pPr>
        <w:spacing w:line="500" w:lineRule="exact"/>
        <w:jc w:val="right"/>
        <w:rPr>
          <w:rStyle w:val="39"/>
          <w:rFonts w:hint="eastAsia" w:ascii="宋体" w:hAnsi="宋体"/>
          <w:szCs w:val="21"/>
        </w:rPr>
      </w:pPr>
      <w:r>
        <w:rPr>
          <w:rStyle w:val="39"/>
          <w:rFonts w:ascii="宋体" w:hAnsi="宋体"/>
          <w:szCs w:val="21"/>
        </w:rPr>
        <w:t>投标人：（盖单位公章）</w:t>
      </w:r>
    </w:p>
    <w:p w14:paraId="27240ADF">
      <w:pPr>
        <w:spacing w:line="500" w:lineRule="exact"/>
        <w:jc w:val="right"/>
        <w:rPr>
          <w:rStyle w:val="39"/>
          <w:rFonts w:hint="eastAsia" w:ascii="宋体" w:hAnsi="宋体"/>
          <w:szCs w:val="21"/>
        </w:rPr>
      </w:pPr>
      <w:r>
        <w:rPr>
          <w:rStyle w:val="39"/>
          <w:rFonts w:ascii="宋体" w:hAnsi="宋体"/>
          <w:szCs w:val="21"/>
        </w:rPr>
        <w:t>年月日</w:t>
      </w:r>
    </w:p>
    <w:p w14:paraId="6E8BCBD3">
      <w:pPr>
        <w:spacing w:line="500" w:lineRule="exact"/>
        <w:jc w:val="right"/>
        <w:rPr>
          <w:rStyle w:val="39"/>
          <w:rFonts w:hint="eastAsia" w:ascii="宋体" w:hAnsi="宋体"/>
          <w:szCs w:val="21"/>
        </w:rPr>
      </w:pPr>
    </w:p>
    <w:p w14:paraId="01D87DB5">
      <w:pPr>
        <w:spacing w:line="500" w:lineRule="exact"/>
        <w:jc w:val="right"/>
        <w:rPr>
          <w:rStyle w:val="39"/>
          <w:rFonts w:hint="eastAsia" w:ascii="宋体" w:hAnsi="宋体"/>
          <w:szCs w:val="21"/>
        </w:rPr>
      </w:pPr>
    </w:p>
    <w:p w14:paraId="594C81C3">
      <w:pPr>
        <w:spacing w:line="500" w:lineRule="exact"/>
        <w:jc w:val="right"/>
        <w:rPr>
          <w:rStyle w:val="39"/>
          <w:rFonts w:hint="eastAsia" w:ascii="宋体" w:hAnsi="宋体"/>
          <w:szCs w:val="21"/>
        </w:rPr>
      </w:pPr>
    </w:p>
    <w:p w14:paraId="1714104D">
      <w:pPr>
        <w:spacing w:line="500" w:lineRule="exact"/>
        <w:jc w:val="right"/>
        <w:rPr>
          <w:rStyle w:val="39"/>
          <w:rFonts w:hint="eastAsia" w:ascii="宋体" w:hAnsi="宋体"/>
          <w:szCs w:val="21"/>
        </w:rPr>
      </w:pPr>
    </w:p>
    <w:p w14:paraId="5407B356">
      <w:pPr>
        <w:spacing w:line="500" w:lineRule="exact"/>
        <w:jc w:val="right"/>
        <w:rPr>
          <w:rStyle w:val="39"/>
          <w:rFonts w:hint="eastAsia" w:ascii="宋体" w:hAnsi="宋体"/>
          <w:szCs w:val="21"/>
        </w:rPr>
      </w:pPr>
    </w:p>
    <w:p w14:paraId="63CAE6B7">
      <w:pPr>
        <w:spacing w:line="500" w:lineRule="exact"/>
        <w:jc w:val="right"/>
        <w:rPr>
          <w:rStyle w:val="39"/>
          <w:rFonts w:hint="eastAsia" w:ascii="宋体" w:hAnsi="宋体"/>
          <w:szCs w:val="21"/>
        </w:rPr>
      </w:pPr>
    </w:p>
    <w:p w14:paraId="6A5E8B76">
      <w:pPr>
        <w:spacing w:line="500" w:lineRule="exact"/>
        <w:jc w:val="right"/>
        <w:rPr>
          <w:rStyle w:val="39"/>
          <w:rFonts w:hint="eastAsia" w:ascii="宋体" w:hAnsi="宋体"/>
          <w:szCs w:val="21"/>
        </w:rPr>
      </w:pPr>
    </w:p>
    <w:p w14:paraId="5EEB91AB">
      <w:pPr>
        <w:spacing w:line="500" w:lineRule="exact"/>
        <w:jc w:val="right"/>
        <w:rPr>
          <w:rStyle w:val="39"/>
          <w:rFonts w:hint="eastAsia" w:ascii="宋体" w:hAnsi="宋体"/>
          <w:szCs w:val="21"/>
        </w:rPr>
      </w:pPr>
    </w:p>
    <w:p w14:paraId="1199A8BD">
      <w:pPr>
        <w:spacing w:line="500" w:lineRule="exact"/>
        <w:jc w:val="right"/>
        <w:rPr>
          <w:rStyle w:val="39"/>
          <w:rFonts w:hint="eastAsia" w:ascii="宋体" w:hAnsi="宋体"/>
          <w:szCs w:val="21"/>
        </w:rPr>
      </w:pPr>
    </w:p>
    <w:p w14:paraId="6FB27B21">
      <w:pPr>
        <w:spacing w:line="500" w:lineRule="exact"/>
        <w:jc w:val="right"/>
        <w:rPr>
          <w:rStyle w:val="39"/>
          <w:rFonts w:hint="eastAsia" w:ascii="宋体" w:hAnsi="宋体"/>
          <w:szCs w:val="21"/>
        </w:rPr>
      </w:pPr>
    </w:p>
    <w:p w14:paraId="21886466">
      <w:pPr>
        <w:spacing w:line="500" w:lineRule="exact"/>
        <w:jc w:val="right"/>
        <w:rPr>
          <w:rStyle w:val="39"/>
          <w:rFonts w:hint="eastAsia" w:ascii="宋体" w:hAnsi="宋体"/>
          <w:szCs w:val="21"/>
        </w:rPr>
      </w:pPr>
    </w:p>
    <w:p w14:paraId="245CA3BC">
      <w:pPr>
        <w:spacing w:line="500" w:lineRule="exact"/>
        <w:ind w:right="105"/>
        <w:jc w:val="right"/>
        <w:rPr>
          <w:rStyle w:val="39"/>
          <w:rFonts w:hint="eastAsia" w:ascii="宋体" w:hAnsi="宋体"/>
          <w:szCs w:val="21"/>
        </w:rPr>
      </w:pPr>
    </w:p>
    <w:p w14:paraId="019295DD">
      <w:pPr>
        <w:pStyle w:val="7"/>
        <w:spacing w:before="0" w:after="0" w:line="480" w:lineRule="auto"/>
        <w:jc w:val="center"/>
        <w:rPr>
          <w:sz w:val="30"/>
          <w:szCs w:val="30"/>
        </w:rPr>
      </w:pPr>
      <w:bookmarkStart w:id="1392" w:name="_Toc29134"/>
      <w:bookmarkStart w:id="1393" w:name="_Toc16064000"/>
      <w:bookmarkStart w:id="1394" w:name="_Toc23544"/>
      <w:bookmarkStart w:id="1395" w:name="_Toc17817350"/>
      <w:bookmarkStart w:id="1396" w:name="_Toc4206"/>
      <w:r>
        <w:rPr>
          <w:sz w:val="30"/>
          <w:szCs w:val="30"/>
        </w:rPr>
        <w:t>三、授权委托书</w:t>
      </w:r>
      <w:bookmarkEnd w:id="1392"/>
      <w:bookmarkEnd w:id="1393"/>
      <w:bookmarkEnd w:id="1394"/>
      <w:bookmarkEnd w:id="1395"/>
      <w:bookmarkEnd w:id="1396"/>
    </w:p>
    <w:p w14:paraId="453094F9">
      <w:pPr>
        <w:spacing w:line="500" w:lineRule="exact"/>
        <w:ind w:firstLine="420" w:firstLineChars="200"/>
        <w:rPr>
          <w:rStyle w:val="39"/>
          <w:rFonts w:hint="eastAsia" w:ascii="宋体" w:hAnsi="宋体"/>
          <w:szCs w:val="21"/>
        </w:rPr>
      </w:pPr>
      <w:r>
        <w:rPr>
          <w:rStyle w:val="39"/>
          <w:rFonts w:ascii="宋体" w:hAnsi="宋体"/>
          <w:szCs w:val="21"/>
        </w:rPr>
        <w:t>本人（姓名）系（投标人名称）的法定代表人，现委托（姓名）为我方代理人。代理人根据授权，以我方名义签署、澄清、说明、补正、递交、撤回、修改（项目名称）的投标文件、签订合同和处理有关事宜，其法律后果由我方承担。</w:t>
      </w:r>
    </w:p>
    <w:p w14:paraId="4D2F83C2">
      <w:pPr>
        <w:spacing w:before="120" w:line="500" w:lineRule="exact"/>
        <w:ind w:firstLine="420" w:firstLineChars="200"/>
        <w:rPr>
          <w:rStyle w:val="39"/>
          <w:rFonts w:hint="eastAsia" w:ascii="宋体" w:hAnsi="宋体"/>
          <w:szCs w:val="21"/>
        </w:rPr>
      </w:pPr>
      <w:r>
        <w:rPr>
          <w:rStyle w:val="39"/>
          <w:rFonts w:ascii="宋体" w:hAnsi="宋体"/>
          <w:szCs w:val="21"/>
        </w:rPr>
        <w:t>委托期限：</w:t>
      </w:r>
    </w:p>
    <w:p w14:paraId="01590378">
      <w:pPr>
        <w:spacing w:line="500" w:lineRule="exact"/>
        <w:ind w:firstLine="1260" w:firstLineChars="600"/>
        <w:rPr>
          <w:rStyle w:val="39"/>
          <w:rFonts w:hint="eastAsia" w:ascii="宋体" w:hAnsi="宋体"/>
          <w:szCs w:val="21"/>
        </w:rPr>
      </w:pPr>
      <w:r>
        <w:rPr>
          <w:rStyle w:val="39"/>
          <w:rFonts w:ascii="宋体" w:hAnsi="宋体"/>
          <w:szCs w:val="21"/>
        </w:rPr>
        <w:t>。</w:t>
      </w:r>
    </w:p>
    <w:p w14:paraId="5F43B109">
      <w:pPr>
        <w:spacing w:before="240" w:after="240" w:line="500" w:lineRule="exact"/>
        <w:ind w:firstLine="420" w:firstLineChars="200"/>
        <w:rPr>
          <w:rStyle w:val="39"/>
          <w:rFonts w:hint="eastAsia" w:ascii="宋体" w:hAnsi="宋体"/>
          <w:szCs w:val="21"/>
        </w:rPr>
      </w:pPr>
      <w:r>
        <w:rPr>
          <w:rStyle w:val="39"/>
          <w:rFonts w:ascii="宋体" w:hAnsi="宋体"/>
          <w:szCs w:val="21"/>
        </w:rPr>
        <w:t>代理人无转委托权。</w:t>
      </w:r>
    </w:p>
    <w:p w14:paraId="59799517">
      <w:pPr>
        <w:spacing w:after="240" w:line="500" w:lineRule="exact"/>
        <w:ind w:firstLine="420" w:firstLineChars="200"/>
        <w:rPr>
          <w:rStyle w:val="39"/>
          <w:rFonts w:hint="eastAsia" w:ascii="宋体" w:hAnsi="宋体"/>
          <w:szCs w:val="21"/>
        </w:rPr>
      </w:pPr>
      <w:r>
        <w:rPr>
          <w:rStyle w:val="39"/>
          <w:rFonts w:ascii="宋体" w:hAnsi="宋体"/>
          <w:szCs w:val="21"/>
        </w:rPr>
        <w:t>附：代理人身份证复印件（加盖单位公章）</w:t>
      </w:r>
    </w:p>
    <w:p w14:paraId="50EF5756">
      <w:pPr>
        <w:spacing w:line="500" w:lineRule="exact"/>
        <w:rPr>
          <w:rStyle w:val="39"/>
          <w:rFonts w:hint="eastAsia" w:ascii="宋体" w:hAnsi="宋体"/>
          <w:szCs w:val="21"/>
        </w:rPr>
      </w:pPr>
    </w:p>
    <w:p w14:paraId="49AD4037">
      <w:pPr>
        <w:spacing w:line="400" w:lineRule="exact"/>
        <w:ind w:firstLine="3570" w:firstLineChars="1700"/>
        <w:rPr>
          <w:rStyle w:val="39"/>
          <w:rFonts w:hint="eastAsia" w:ascii="宋体" w:hAnsi="宋体"/>
          <w:szCs w:val="21"/>
        </w:rPr>
      </w:pPr>
      <w:r>
        <w:rPr>
          <w:rStyle w:val="39"/>
          <w:rFonts w:ascii="宋体" w:hAnsi="宋体"/>
          <w:szCs w:val="21"/>
        </w:rPr>
        <w:t>投  标  人：（盖单位公章）</w:t>
      </w:r>
    </w:p>
    <w:p w14:paraId="5E5F0ABB">
      <w:pPr>
        <w:spacing w:line="400" w:lineRule="exact"/>
        <w:ind w:firstLine="3570" w:firstLineChars="1700"/>
        <w:rPr>
          <w:rStyle w:val="39"/>
          <w:rFonts w:hint="eastAsia" w:ascii="宋体" w:hAnsi="宋体"/>
          <w:szCs w:val="21"/>
        </w:rPr>
      </w:pPr>
    </w:p>
    <w:p w14:paraId="349597EF">
      <w:pPr>
        <w:spacing w:line="400" w:lineRule="exact"/>
        <w:ind w:firstLine="3570" w:firstLineChars="1700"/>
        <w:rPr>
          <w:rStyle w:val="39"/>
          <w:rFonts w:hint="eastAsia" w:ascii="宋体" w:hAnsi="宋体"/>
          <w:szCs w:val="21"/>
        </w:rPr>
      </w:pPr>
      <w:r>
        <w:rPr>
          <w:rStyle w:val="39"/>
          <w:rFonts w:ascii="宋体" w:hAnsi="宋体"/>
          <w:szCs w:val="21"/>
        </w:rPr>
        <w:t>法定代表人：（签字或盖章）</w:t>
      </w:r>
    </w:p>
    <w:p w14:paraId="6ABFFF67">
      <w:pPr>
        <w:spacing w:line="400" w:lineRule="exact"/>
        <w:ind w:firstLine="3570" w:firstLineChars="1700"/>
        <w:rPr>
          <w:rStyle w:val="39"/>
          <w:rFonts w:hint="eastAsia" w:ascii="宋体" w:hAnsi="宋体"/>
          <w:szCs w:val="21"/>
        </w:rPr>
      </w:pPr>
    </w:p>
    <w:p w14:paraId="54EAEF39">
      <w:pPr>
        <w:spacing w:line="400" w:lineRule="exact"/>
        <w:ind w:firstLine="3570" w:firstLineChars="1700"/>
        <w:rPr>
          <w:rStyle w:val="39"/>
          <w:rFonts w:hint="eastAsia" w:ascii="宋体" w:hAnsi="宋体"/>
          <w:szCs w:val="21"/>
          <w:u w:val="single"/>
        </w:rPr>
      </w:pPr>
      <w:r>
        <w:rPr>
          <w:rStyle w:val="39"/>
          <w:rFonts w:ascii="宋体" w:hAnsi="宋体"/>
          <w:szCs w:val="21"/>
        </w:rPr>
        <w:t>身份证号码：</w:t>
      </w:r>
    </w:p>
    <w:p w14:paraId="6F3F7487">
      <w:pPr>
        <w:spacing w:line="400" w:lineRule="exact"/>
        <w:ind w:firstLine="3570" w:firstLineChars="1700"/>
        <w:rPr>
          <w:rStyle w:val="39"/>
          <w:rFonts w:hint="eastAsia" w:ascii="宋体" w:hAnsi="宋体"/>
          <w:szCs w:val="21"/>
          <w:u w:val="single"/>
        </w:rPr>
      </w:pPr>
    </w:p>
    <w:p w14:paraId="6E8E185A">
      <w:pPr>
        <w:spacing w:line="400" w:lineRule="exact"/>
        <w:ind w:firstLine="3570" w:firstLineChars="1700"/>
        <w:rPr>
          <w:rStyle w:val="39"/>
          <w:rFonts w:hint="eastAsia" w:ascii="宋体" w:hAnsi="宋体"/>
          <w:szCs w:val="21"/>
        </w:rPr>
      </w:pPr>
      <w:r>
        <w:rPr>
          <w:rStyle w:val="39"/>
          <w:rFonts w:ascii="宋体" w:hAnsi="宋体"/>
          <w:szCs w:val="21"/>
        </w:rPr>
        <w:t>委托代理人：（签字）</w:t>
      </w:r>
    </w:p>
    <w:p w14:paraId="1F4C2ACC">
      <w:pPr>
        <w:spacing w:line="400" w:lineRule="exact"/>
        <w:ind w:firstLine="3570" w:firstLineChars="1700"/>
        <w:rPr>
          <w:rStyle w:val="39"/>
          <w:rFonts w:hint="eastAsia" w:ascii="宋体" w:hAnsi="宋体"/>
          <w:szCs w:val="21"/>
        </w:rPr>
      </w:pPr>
    </w:p>
    <w:p w14:paraId="38317964">
      <w:pPr>
        <w:spacing w:line="400" w:lineRule="exact"/>
        <w:ind w:firstLine="3570" w:firstLineChars="1700"/>
        <w:rPr>
          <w:rStyle w:val="39"/>
          <w:rFonts w:hint="eastAsia" w:ascii="宋体" w:hAnsi="宋体"/>
          <w:szCs w:val="21"/>
          <w:u w:val="single"/>
        </w:rPr>
      </w:pPr>
      <w:r>
        <w:rPr>
          <w:rStyle w:val="39"/>
          <w:rFonts w:ascii="宋体" w:hAnsi="宋体"/>
          <w:szCs w:val="21"/>
        </w:rPr>
        <w:t>身份证号码：</w:t>
      </w:r>
    </w:p>
    <w:p w14:paraId="1D908D80">
      <w:pPr>
        <w:spacing w:line="400" w:lineRule="exact"/>
        <w:ind w:firstLine="3570" w:firstLineChars="1700"/>
        <w:rPr>
          <w:rStyle w:val="39"/>
          <w:rFonts w:hint="eastAsia" w:ascii="宋体" w:hAnsi="宋体"/>
          <w:szCs w:val="21"/>
        </w:rPr>
      </w:pPr>
    </w:p>
    <w:p w14:paraId="4D2D8A74">
      <w:pPr>
        <w:spacing w:line="400" w:lineRule="exact"/>
        <w:ind w:firstLine="4830" w:firstLineChars="2300"/>
        <w:rPr>
          <w:rStyle w:val="39"/>
          <w:rFonts w:hint="eastAsia" w:ascii="宋体" w:hAnsi="宋体"/>
          <w:szCs w:val="21"/>
        </w:rPr>
      </w:pPr>
      <w:r>
        <w:rPr>
          <w:rStyle w:val="39"/>
          <w:rFonts w:ascii="宋体" w:hAnsi="宋体"/>
          <w:szCs w:val="21"/>
        </w:rPr>
        <w:t>年月日</w:t>
      </w:r>
    </w:p>
    <w:p w14:paraId="1B09A873">
      <w:pPr>
        <w:pStyle w:val="47"/>
        <w:spacing w:before="0" w:after="0"/>
        <w:jc w:val="center"/>
        <w:rPr>
          <w:rStyle w:val="39"/>
          <w:rFonts w:hint="eastAsia" w:ascii="宋体" w:hAnsi="宋体"/>
          <w:sz w:val="28"/>
          <w:szCs w:val="28"/>
        </w:rPr>
      </w:pPr>
      <w:r>
        <w:rPr>
          <w:rStyle w:val="39"/>
          <w:rFonts w:ascii="宋体" w:hAnsi="宋体"/>
          <w:sz w:val="28"/>
          <w:szCs w:val="28"/>
        </w:rPr>
        <w:br w:type="page"/>
      </w:r>
    </w:p>
    <w:p w14:paraId="494D40BC">
      <w:pPr>
        <w:pStyle w:val="7"/>
        <w:spacing w:before="0" w:after="0" w:line="480" w:lineRule="auto"/>
        <w:jc w:val="center"/>
        <w:rPr>
          <w:sz w:val="30"/>
          <w:szCs w:val="30"/>
        </w:rPr>
      </w:pPr>
      <w:bookmarkStart w:id="1397" w:name="_Toc16064001"/>
      <w:bookmarkStart w:id="1398" w:name="_Toc6247"/>
      <w:bookmarkStart w:id="1399" w:name="_Toc26689"/>
      <w:bookmarkStart w:id="1400" w:name="_Toc20930"/>
      <w:bookmarkStart w:id="1401" w:name="_Toc17817351"/>
      <w:r>
        <w:rPr>
          <w:sz w:val="30"/>
          <w:szCs w:val="30"/>
        </w:rPr>
        <w:t>四、投标保证金</w:t>
      </w:r>
      <w:bookmarkEnd w:id="1397"/>
      <w:bookmarkEnd w:id="1398"/>
      <w:bookmarkEnd w:id="1399"/>
      <w:bookmarkEnd w:id="1400"/>
      <w:bookmarkEnd w:id="1401"/>
    </w:p>
    <w:p w14:paraId="526D7CF9">
      <w:pPr>
        <w:spacing w:line="460" w:lineRule="exact"/>
        <w:rPr>
          <w:rStyle w:val="39"/>
          <w:rFonts w:hint="eastAsia" w:ascii="宋体" w:hAnsi="宋体"/>
          <w:sz w:val="28"/>
          <w:szCs w:val="21"/>
        </w:rPr>
      </w:pPr>
      <w:r>
        <w:rPr>
          <w:rStyle w:val="39"/>
          <w:rFonts w:ascii="宋体" w:hAnsi="宋体"/>
          <w:sz w:val="28"/>
          <w:szCs w:val="21"/>
        </w:rPr>
        <w:t>附：1、投标保证金汇款凭证（加盖单位公章）；</w:t>
      </w:r>
    </w:p>
    <w:p w14:paraId="14BDAB03">
      <w:pPr>
        <w:rPr>
          <w:rStyle w:val="39"/>
          <w:rFonts w:hint="eastAsia" w:ascii="宋体" w:hAnsi="宋体"/>
          <w:b/>
        </w:rPr>
      </w:pPr>
      <w:r>
        <w:rPr>
          <w:rStyle w:val="39"/>
          <w:rFonts w:ascii="宋体" w:hAnsi="宋体"/>
          <w:sz w:val="28"/>
          <w:szCs w:val="21"/>
        </w:rPr>
        <w:t xml:space="preserve">    2、投标保证金退还信息（格式）；</w:t>
      </w:r>
    </w:p>
    <w:p w14:paraId="5DD82D47">
      <w:pPr>
        <w:spacing w:line="460" w:lineRule="exact"/>
        <w:rPr>
          <w:rStyle w:val="39"/>
          <w:rFonts w:hint="eastAsia" w:ascii="宋体" w:hAnsi="宋体"/>
          <w:sz w:val="28"/>
          <w:szCs w:val="21"/>
        </w:rPr>
      </w:pPr>
    </w:p>
    <w:p w14:paraId="1452286E">
      <w:pPr>
        <w:jc w:val="center"/>
        <w:rPr>
          <w:rStyle w:val="39"/>
          <w:rFonts w:hint="eastAsia" w:ascii="宋体" w:hAnsi="宋体"/>
          <w:b/>
        </w:rPr>
      </w:pPr>
    </w:p>
    <w:p w14:paraId="4C61B31C">
      <w:pPr>
        <w:jc w:val="center"/>
        <w:rPr>
          <w:rStyle w:val="39"/>
          <w:rFonts w:hint="eastAsia" w:ascii="宋体" w:hAnsi="宋体"/>
          <w:b/>
        </w:rPr>
      </w:pPr>
      <w:r>
        <w:rPr>
          <w:rStyle w:val="39"/>
          <w:rFonts w:ascii="宋体" w:hAnsi="宋体"/>
          <w:b/>
        </w:rPr>
        <w:t>投标保证金退还信息</w:t>
      </w:r>
    </w:p>
    <w:p w14:paraId="002B15E6">
      <w:pPr>
        <w:spacing w:line="600" w:lineRule="exact"/>
        <w:rPr>
          <w:rStyle w:val="39"/>
          <w:rFonts w:hint="eastAsia" w:ascii="宋体" w:hAnsi="宋体"/>
          <w:sz w:val="22"/>
        </w:rPr>
      </w:pPr>
      <w:r>
        <w:rPr>
          <w:rStyle w:val="39"/>
          <w:rFonts w:hint="eastAsia" w:ascii="宋体" w:hAnsi="宋体"/>
          <w:sz w:val="22"/>
          <w:u w:val="single"/>
        </w:rPr>
        <w:t xml:space="preserve">                    </w:t>
      </w:r>
      <w:r>
        <w:rPr>
          <w:rStyle w:val="39"/>
          <w:rFonts w:ascii="宋体" w:hAnsi="宋体"/>
          <w:sz w:val="22"/>
        </w:rPr>
        <w:t>：</w:t>
      </w:r>
    </w:p>
    <w:p w14:paraId="45D97207">
      <w:pPr>
        <w:spacing w:line="600" w:lineRule="exact"/>
        <w:rPr>
          <w:rStyle w:val="39"/>
          <w:rFonts w:hint="eastAsia" w:ascii="宋体" w:hAnsi="宋体"/>
          <w:sz w:val="22"/>
        </w:rPr>
      </w:pPr>
      <w:r>
        <w:rPr>
          <w:rStyle w:val="39"/>
          <w:rFonts w:ascii="宋体" w:hAnsi="宋体"/>
          <w:sz w:val="22"/>
        </w:rPr>
        <w:t xml:space="preserve">   请贵公司将</w:t>
      </w:r>
      <w:r>
        <w:rPr>
          <w:rStyle w:val="39"/>
          <w:rFonts w:ascii="宋体" w:hAnsi="宋体"/>
          <w:sz w:val="22"/>
          <w:u w:val="single"/>
        </w:rPr>
        <w:t xml:space="preserve">                  （</w:t>
      </w:r>
      <w:r>
        <w:rPr>
          <w:rStyle w:val="39"/>
          <w:rFonts w:ascii="宋体" w:hAnsi="宋体"/>
          <w:sz w:val="22"/>
        </w:rPr>
        <w:t>项目名称）的投标保证金，退还至我公司以下账户：</w:t>
      </w:r>
    </w:p>
    <w:p w14:paraId="592495D5">
      <w:pPr>
        <w:spacing w:line="600" w:lineRule="exact"/>
        <w:rPr>
          <w:rStyle w:val="39"/>
          <w:rFonts w:hint="eastAsia" w:ascii="宋体" w:hAnsi="宋体"/>
          <w:sz w:val="22"/>
          <w:u w:val="single"/>
        </w:rPr>
      </w:pPr>
      <w:r>
        <w:rPr>
          <w:rStyle w:val="39"/>
          <w:rFonts w:ascii="宋体" w:hAnsi="宋体"/>
          <w:sz w:val="22"/>
        </w:rPr>
        <w:t xml:space="preserve">   开户名称： </w:t>
      </w:r>
    </w:p>
    <w:p w14:paraId="4FCE0572">
      <w:pPr>
        <w:tabs>
          <w:tab w:val="decimal" w:pos="0"/>
          <w:tab w:val="decimal" w:pos="840"/>
          <w:tab w:val="decimal" w:pos="955"/>
        </w:tabs>
        <w:snapToGrid w:val="0"/>
        <w:spacing w:before="72" w:line="600" w:lineRule="exact"/>
        <w:ind w:firstLine="330" w:firstLineChars="150"/>
        <w:rPr>
          <w:rStyle w:val="39"/>
          <w:rFonts w:hint="eastAsia" w:ascii="宋体" w:hAnsi="宋体"/>
          <w:sz w:val="22"/>
        </w:rPr>
      </w:pPr>
      <w:r>
        <w:rPr>
          <w:rStyle w:val="39"/>
          <w:rFonts w:ascii="宋体" w:hAnsi="宋体"/>
          <w:sz w:val="22"/>
        </w:rPr>
        <w:t xml:space="preserve">开户银行： </w:t>
      </w:r>
    </w:p>
    <w:p w14:paraId="70E32DBC">
      <w:pPr>
        <w:tabs>
          <w:tab w:val="decimal" w:pos="0"/>
          <w:tab w:val="decimal" w:pos="840"/>
          <w:tab w:val="decimal" w:pos="955"/>
        </w:tabs>
        <w:snapToGrid w:val="0"/>
        <w:spacing w:before="72" w:line="600" w:lineRule="exact"/>
        <w:ind w:firstLine="330" w:firstLineChars="150"/>
        <w:rPr>
          <w:rStyle w:val="39"/>
          <w:rFonts w:hint="eastAsia" w:ascii="宋体" w:hAnsi="宋体"/>
          <w:sz w:val="22"/>
        </w:rPr>
      </w:pPr>
      <w:r>
        <w:rPr>
          <w:rStyle w:val="39"/>
          <w:rFonts w:ascii="宋体" w:hAnsi="宋体"/>
          <w:sz w:val="22"/>
        </w:rPr>
        <w:t>帐    号：</w:t>
      </w:r>
    </w:p>
    <w:p w14:paraId="34AC3BEB">
      <w:pPr>
        <w:tabs>
          <w:tab w:val="decimal" w:pos="0"/>
          <w:tab w:val="decimal" w:pos="840"/>
          <w:tab w:val="decimal" w:pos="955"/>
        </w:tabs>
        <w:snapToGrid w:val="0"/>
        <w:spacing w:before="72" w:line="600" w:lineRule="exact"/>
        <w:ind w:firstLine="330" w:firstLineChars="150"/>
        <w:rPr>
          <w:rStyle w:val="39"/>
          <w:rFonts w:hint="eastAsia" w:ascii="宋体" w:hAnsi="宋体"/>
          <w:sz w:val="22"/>
          <w:szCs w:val="22"/>
        </w:rPr>
      </w:pPr>
      <w:r>
        <w:rPr>
          <w:rStyle w:val="39"/>
          <w:rFonts w:hint="eastAsia" w:ascii="宋体" w:hAnsi="宋体"/>
          <w:sz w:val="22"/>
          <w:szCs w:val="22"/>
        </w:rPr>
        <w:t>联 行 号：</w:t>
      </w:r>
    </w:p>
    <w:p w14:paraId="3CE32E61">
      <w:pPr>
        <w:spacing w:line="360" w:lineRule="auto"/>
        <w:rPr>
          <w:rStyle w:val="39"/>
          <w:rFonts w:hint="eastAsia" w:ascii="宋体" w:hAnsi="宋体"/>
          <w:sz w:val="22"/>
        </w:rPr>
      </w:pPr>
    </w:p>
    <w:p w14:paraId="36AE71DE">
      <w:pPr>
        <w:spacing w:line="600" w:lineRule="exact"/>
        <w:rPr>
          <w:rStyle w:val="39"/>
          <w:rFonts w:hint="eastAsia" w:ascii="宋体" w:hAnsi="宋体"/>
          <w:sz w:val="22"/>
        </w:rPr>
      </w:pPr>
      <w:r>
        <w:rPr>
          <w:rStyle w:val="39"/>
          <w:rFonts w:ascii="宋体" w:hAnsi="宋体"/>
          <w:sz w:val="22"/>
        </w:rPr>
        <w:t xml:space="preserve">                     投标单位（盖单位公章）：                  </w:t>
      </w:r>
    </w:p>
    <w:p w14:paraId="5B022F91">
      <w:pPr>
        <w:spacing w:line="600" w:lineRule="exact"/>
        <w:rPr>
          <w:rStyle w:val="39"/>
          <w:rFonts w:hint="eastAsia" w:ascii="宋体" w:hAnsi="宋体"/>
          <w:sz w:val="22"/>
        </w:rPr>
      </w:pPr>
      <w:r>
        <w:rPr>
          <w:rStyle w:val="39"/>
          <w:rFonts w:ascii="宋体" w:hAnsi="宋体"/>
          <w:sz w:val="22"/>
        </w:rPr>
        <w:t xml:space="preserve">                     日  期：       年   月  日</w:t>
      </w:r>
    </w:p>
    <w:p w14:paraId="149B60D2">
      <w:pPr>
        <w:spacing w:line="460" w:lineRule="exact"/>
        <w:rPr>
          <w:rStyle w:val="39"/>
          <w:rFonts w:hint="eastAsia" w:ascii="宋体" w:hAnsi="宋体"/>
          <w:b/>
          <w:bCs/>
          <w:szCs w:val="42"/>
        </w:rPr>
      </w:pPr>
      <w:r>
        <w:rPr>
          <w:rStyle w:val="39"/>
          <w:rFonts w:ascii="宋体" w:hAnsi="宋体"/>
          <w:b/>
          <w:bCs/>
          <w:szCs w:val="42"/>
        </w:rPr>
        <w:t>备注：</w:t>
      </w:r>
    </w:p>
    <w:p w14:paraId="41DDEACC">
      <w:pPr>
        <w:numPr>
          <w:ilvl w:val="0"/>
          <w:numId w:val="17"/>
        </w:numPr>
        <w:spacing w:line="460" w:lineRule="exact"/>
        <w:rPr>
          <w:rStyle w:val="39"/>
          <w:rFonts w:hint="eastAsia" w:ascii="宋体" w:hAnsi="宋体"/>
          <w:b/>
          <w:bCs/>
          <w:szCs w:val="42"/>
        </w:rPr>
      </w:pPr>
      <w:r>
        <w:rPr>
          <w:rStyle w:val="39"/>
          <w:rFonts w:ascii="宋体" w:hAnsi="宋体"/>
          <w:b/>
          <w:bCs/>
          <w:szCs w:val="42"/>
        </w:rPr>
        <w:t>以上信息用于退还投标保证金</w:t>
      </w:r>
      <w:r>
        <w:rPr>
          <w:rStyle w:val="39"/>
          <w:rFonts w:hint="eastAsia" w:ascii="宋体" w:hAnsi="宋体"/>
          <w:b/>
          <w:bCs/>
          <w:szCs w:val="42"/>
        </w:rPr>
        <w:t>，缺少以上任意一条信息均无法退还投标保证金</w:t>
      </w:r>
      <w:r>
        <w:rPr>
          <w:rStyle w:val="39"/>
          <w:rFonts w:ascii="宋体" w:hAnsi="宋体"/>
          <w:b/>
          <w:bCs/>
          <w:szCs w:val="42"/>
        </w:rPr>
        <w:t>。</w:t>
      </w:r>
    </w:p>
    <w:p w14:paraId="56CBDF13">
      <w:pPr>
        <w:numPr>
          <w:ilvl w:val="0"/>
          <w:numId w:val="17"/>
        </w:numPr>
        <w:spacing w:line="460" w:lineRule="exact"/>
        <w:rPr>
          <w:rStyle w:val="39"/>
          <w:rFonts w:hint="eastAsia" w:ascii="宋体" w:hAnsi="宋体"/>
          <w:b/>
          <w:bCs/>
          <w:szCs w:val="42"/>
        </w:rPr>
      </w:pPr>
      <w:r>
        <w:rPr>
          <w:rStyle w:val="39"/>
          <w:rFonts w:hint="eastAsia" w:ascii="宋体" w:hAnsi="宋体"/>
          <w:b/>
          <w:bCs/>
          <w:szCs w:val="42"/>
        </w:rPr>
        <w:t>按照招投标法保证金返还相关条款约定，结合我公司财务管理流程等综合因素，保证金退款流程申请成功退款到账时间为：未中标单位自定标之日起最长约60天；退款方式为无息退款。请各投标单位知悉且视为认同此条款。</w:t>
      </w:r>
    </w:p>
    <w:p w14:paraId="5B06270E">
      <w:pPr>
        <w:spacing w:line="460" w:lineRule="exact"/>
        <w:jc w:val="center"/>
        <w:rPr>
          <w:rStyle w:val="39"/>
          <w:rFonts w:hint="eastAsia" w:ascii="宋体" w:hAnsi="宋体"/>
          <w:szCs w:val="21"/>
        </w:rPr>
      </w:pPr>
    </w:p>
    <w:p w14:paraId="521E7B88">
      <w:pPr>
        <w:spacing w:line="460" w:lineRule="exact"/>
        <w:jc w:val="right"/>
        <w:rPr>
          <w:rStyle w:val="39"/>
          <w:rFonts w:hint="eastAsia" w:ascii="宋体" w:hAnsi="宋体"/>
          <w:szCs w:val="21"/>
        </w:rPr>
      </w:pPr>
    </w:p>
    <w:p w14:paraId="04A9EA92">
      <w:pPr>
        <w:spacing w:line="460" w:lineRule="exact"/>
        <w:rPr>
          <w:rStyle w:val="39"/>
          <w:rFonts w:hint="eastAsia" w:ascii="宋体" w:hAnsi="宋体"/>
          <w:szCs w:val="21"/>
        </w:rPr>
      </w:pPr>
    </w:p>
    <w:p w14:paraId="6A21686A">
      <w:pPr>
        <w:pStyle w:val="47"/>
        <w:spacing w:before="0" w:after="0"/>
        <w:jc w:val="center"/>
        <w:rPr>
          <w:rStyle w:val="39"/>
          <w:rFonts w:hint="eastAsia" w:ascii="宋体" w:hAnsi="宋体"/>
          <w:szCs w:val="21"/>
        </w:rPr>
      </w:pPr>
      <w:r>
        <w:rPr>
          <w:rStyle w:val="39"/>
          <w:rFonts w:ascii="宋体" w:hAnsi="宋体"/>
          <w:szCs w:val="21"/>
        </w:rPr>
        <w:br w:type="page"/>
      </w:r>
    </w:p>
    <w:p w14:paraId="263B3CD7">
      <w:pPr>
        <w:pStyle w:val="7"/>
        <w:spacing w:before="0" w:after="0" w:line="480" w:lineRule="auto"/>
        <w:jc w:val="center"/>
        <w:rPr>
          <w:sz w:val="30"/>
          <w:szCs w:val="30"/>
        </w:rPr>
      </w:pPr>
      <w:bookmarkStart w:id="1402" w:name="_Toc17817352"/>
      <w:bookmarkStart w:id="1403" w:name="_Toc16799"/>
      <w:bookmarkStart w:id="1404" w:name="_Toc27670"/>
      <w:bookmarkStart w:id="1405" w:name="_Toc16064002"/>
      <w:bookmarkStart w:id="1406" w:name="_Toc11405"/>
      <w:r>
        <w:rPr>
          <w:sz w:val="30"/>
          <w:szCs w:val="30"/>
        </w:rPr>
        <w:t>五、已标价工程量清单</w:t>
      </w:r>
      <w:bookmarkEnd w:id="1402"/>
      <w:bookmarkEnd w:id="1403"/>
      <w:bookmarkEnd w:id="1404"/>
      <w:bookmarkEnd w:id="1405"/>
      <w:bookmarkEnd w:id="1406"/>
    </w:p>
    <w:p w14:paraId="231ABD3B">
      <w:pPr>
        <w:spacing w:line="460" w:lineRule="exact"/>
        <w:rPr>
          <w:rStyle w:val="39"/>
          <w:rFonts w:hint="eastAsia" w:ascii="宋体" w:hAnsi="宋体"/>
          <w:szCs w:val="21"/>
        </w:rPr>
      </w:pPr>
      <w:r>
        <w:rPr>
          <w:rStyle w:val="39"/>
          <w:rFonts w:ascii="宋体" w:hAnsi="宋体"/>
          <w:szCs w:val="21"/>
        </w:rPr>
        <w:t>说明：已标价工程量清单按第五章“工程量清单”中的相关清单表格式填写。构成合同文件的已标价工程量清单包括第五章“工程量清单”有关工程量清单、投标报价以及其他说明的内容。</w:t>
      </w:r>
    </w:p>
    <w:p w14:paraId="7859178C">
      <w:pPr>
        <w:pStyle w:val="47"/>
        <w:jc w:val="center"/>
        <w:rPr>
          <w:sz w:val="30"/>
          <w:szCs w:val="30"/>
        </w:rPr>
      </w:pPr>
      <w:r>
        <w:rPr>
          <w:rStyle w:val="39"/>
          <w:rFonts w:ascii="宋体" w:hAnsi="宋体"/>
          <w:szCs w:val="21"/>
        </w:rPr>
        <w:br w:type="page"/>
      </w:r>
      <w:bookmarkStart w:id="1407" w:name="_Toc16064003"/>
      <w:bookmarkStart w:id="1408" w:name="_Toc17817353"/>
    </w:p>
    <w:bookmarkEnd w:id="1407"/>
    <w:bookmarkEnd w:id="1408"/>
    <w:p w14:paraId="3645BE6B">
      <w:pPr>
        <w:rPr>
          <w:rStyle w:val="39"/>
          <w:rFonts w:hint="eastAsia" w:ascii="宋体" w:hAnsi="宋体"/>
        </w:rPr>
      </w:pPr>
    </w:p>
    <w:p w14:paraId="6D2BEF0D">
      <w:pPr>
        <w:pStyle w:val="7"/>
        <w:spacing w:before="0" w:after="0" w:line="480" w:lineRule="auto"/>
        <w:jc w:val="center"/>
        <w:rPr>
          <w:sz w:val="32"/>
          <w:szCs w:val="32"/>
        </w:rPr>
      </w:pPr>
      <w:bookmarkStart w:id="1409" w:name="_Toc23244"/>
      <w:bookmarkStart w:id="1410" w:name="_Toc22263"/>
      <w:bookmarkStart w:id="1411" w:name="_Toc17817356"/>
      <w:bookmarkStart w:id="1412" w:name="_Toc6830"/>
      <w:r>
        <w:rPr>
          <w:rFonts w:hint="eastAsia"/>
          <w:sz w:val="30"/>
          <w:szCs w:val="30"/>
        </w:rPr>
        <w:t>六</w:t>
      </w:r>
      <w:r>
        <w:rPr>
          <w:sz w:val="30"/>
          <w:szCs w:val="30"/>
        </w:rPr>
        <w:t>、</w:t>
      </w:r>
      <w:r>
        <w:rPr>
          <w:rFonts w:hint="eastAsia"/>
          <w:sz w:val="30"/>
          <w:szCs w:val="30"/>
        </w:rPr>
        <w:t>施工组织设计</w:t>
      </w:r>
    </w:p>
    <w:p w14:paraId="758BE737">
      <w:pPr>
        <w:spacing w:line="420" w:lineRule="exact"/>
        <w:ind w:firstLine="420" w:firstLineChars="200"/>
        <w:rPr>
          <w:rFonts w:hint="eastAsia" w:ascii="宋体" w:hAnsi="宋体"/>
          <w:szCs w:val="21"/>
        </w:rPr>
      </w:pPr>
      <w:r>
        <w:rPr>
          <w:rFonts w:hint="eastAsia" w:ascii="宋体" w:hAnsi="宋体"/>
          <w:szCs w:val="21"/>
        </w:rPr>
        <w:t>1．投标人应根据招标文件和对现场的勘察情况，采用文字并结合图表形式，参考以下要点及顺序编制本工程的施工组织设计：</w:t>
      </w:r>
    </w:p>
    <w:p w14:paraId="0BF61A5B">
      <w:pPr>
        <w:spacing w:line="420" w:lineRule="exact"/>
        <w:ind w:firstLine="409" w:firstLineChars="195"/>
        <w:rPr>
          <w:rFonts w:ascii="宋体"/>
        </w:rPr>
      </w:pPr>
      <w:r>
        <w:rPr>
          <w:rFonts w:hint="eastAsia" w:ascii="宋体"/>
        </w:rPr>
        <w:t>1．投标人应根据招标文件和对现场的勘察情况，采用文字并结合图表形式，参考以下要点及顺序编制本工程的施工组织设计：</w:t>
      </w:r>
    </w:p>
    <w:p w14:paraId="06060EF1">
      <w:pPr>
        <w:spacing w:line="420" w:lineRule="exact"/>
        <w:ind w:firstLine="409" w:firstLineChars="195"/>
        <w:rPr>
          <w:rStyle w:val="39"/>
          <w:rFonts w:ascii="宋体"/>
        </w:rPr>
      </w:pPr>
      <w:r>
        <w:rPr>
          <w:rStyle w:val="39"/>
          <w:rFonts w:ascii="宋体"/>
        </w:rPr>
        <w:t>（1）施工组织总体方案</w:t>
      </w:r>
      <w:r>
        <w:rPr>
          <w:rStyle w:val="39"/>
          <w:rFonts w:hint="eastAsia" w:ascii="宋体"/>
        </w:rPr>
        <w:t>（</w:t>
      </w:r>
      <w:r>
        <w:rPr>
          <w:rFonts w:hint="eastAsia" w:ascii="宋体" w:cs="宋体"/>
        </w:rPr>
        <w:t>对项目特点认知、项目管理机构组建、施工准备、现场布置、施工顺序、施工流水段划分、施工劳务队伍选择和组织、材料机械组织等</w:t>
      </w:r>
      <w:r>
        <w:rPr>
          <w:rStyle w:val="39"/>
          <w:rFonts w:hint="eastAsia" w:ascii="宋体"/>
        </w:rPr>
        <w:t>）</w:t>
      </w:r>
      <w:r>
        <w:rPr>
          <w:rStyle w:val="39"/>
          <w:rFonts w:ascii="宋体"/>
        </w:rPr>
        <w:t>；</w:t>
      </w:r>
    </w:p>
    <w:p w14:paraId="2B29F3B0">
      <w:pPr>
        <w:spacing w:line="420" w:lineRule="exact"/>
        <w:ind w:firstLine="409" w:firstLineChars="195"/>
        <w:rPr>
          <w:rStyle w:val="39"/>
          <w:rFonts w:ascii="宋体"/>
        </w:rPr>
      </w:pPr>
      <w:r>
        <w:rPr>
          <w:rStyle w:val="39"/>
          <w:rFonts w:ascii="宋体"/>
        </w:rPr>
        <w:t>（2）</w:t>
      </w:r>
      <w:r>
        <w:rPr>
          <w:rFonts w:hint="eastAsia" w:ascii="宋体" w:cs="宋体"/>
          <w:kern w:val="0"/>
          <w:szCs w:val="21"/>
        </w:rPr>
        <w:t>施工进度计划及保证措施</w:t>
      </w:r>
      <w:r>
        <w:rPr>
          <w:rFonts w:hint="eastAsia" w:ascii="宋体" w:cs="宋体"/>
        </w:rPr>
        <w:t>（</w:t>
      </w:r>
      <w:r>
        <w:rPr>
          <w:rFonts w:hint="eastAsia" w:ascii="宋体" w:cs="宋体"/>
          <w:kern w:val="0"/>
          <w:szCs w:val="21"/>
        </w:rPr>
        <w:t>1、要求根据建设单位提供的关键节点，提供施工总进度横道图或网络图计划，施工内容要切合实际、全面；2、列举分析本工程的工期风险点及应对保证措施</w:t>
      </w:r>
      <w:r>
        <w:rPr>
          <w:rFonts w:hint="eastAsia" w:ascii="宋体" w:cs="宋体"/>
        </w:rPr>
        <w:t>）</w:t>
      </w:r>
      <w:r>
        <w:rPr>
          <w:rStyle w:val="39"/>
          <w:rFonts w:ascii="宋体"/>
        </w:rPr>
        <w:t>；</w:t>
      </w:r>
    </w:p>
    <w:p w14:paraId="4B98E215">
      <w:pPr>
        <w:spacing w:line="420" w:lineRule="exact"/>
        <w:ind w:firstLine="420" w:firstLineChars="200"/>
        <w:rPr>
          <w:rStyle w:val="39"/>
          <w:rFonts w:ascii="宋体"/>
        </w:rPr>
      </w:pPr>
      <w:r>
        <w:rPr>
          <w:rStyle w:val="39"/>
          <w:rFonts w:ascii="宋体"/>
        </w:rPr>
        <w:t>（3）</w:t>
      </w:r>
      <w:r>
        <w:rPr>
          <w:rFonts w:hint="eastAsia" w:ascii="宋体" w:cs="宋体"/>
        </w:rPr>
        <w:t>关键施工技术、工艺及工程实施的重点、难点分析（要求提炼出招标项目的关键施工工艺、施工重难点、危险性较大的专项工程等）</w:t>
      </w:r>
      <w:r>
        <w:rPr>
          <w:rStyle w:val="39"/>
          <w:rFonts w:ascii="宋体"/>
        </w:rPr>
        <w:t>；</w:t>
      </w:r>
    </w:p>
    <w:p w14:paraId="7401C7A5">
      <w:pPr>
        <w:spacing w:line="420" w:lineRule="exact"/>
        <w:ind w:firstLine="409" w:firstLineChars="195"/>
        <w:rPr>
          <w:rStyle w:val="39"/>
          <w:rFonts w:ascii="宋体"/>
        </w:rPr>
      </w:pPr>
      <w:r>
        <w:rPr>
          <w:rStyle w:val="39"/>
          <w:rFonts w:ascii="宋体"/>
        </w:rPr>
        <w:t>（4）</w:t>
      </w:r>
      <w:r>
        <w:rPr>
          <w:rStyle w:val="39"/>
          <w:rFonts w:hint="eastAsia" w:ascii="宋体"/>
        </w:rPr>
        <w:t>质量</w:t>
      </w:r>
      <w:r>
        <w:rPr>
          <w:rStyle w:val="39"/>
          <w:rFonts w:ascii="宋体"/>
        </w:rPr>
        <w:t>保证措施</w:t>
      </w:r>
      <w:r>
        <w:rPr>
          <w:rFonts w:hint="eastAsia" w:ascii="宋体" w:cs="宋体"/>
          <w:kern w:val="0"/>
          <w:szCs w:val="21"/>
        </w:rPr>
        <w:t>（要求针对性分析本工程容易出现的质量通病、质量控制重点和保证措施）</w:t>
      </w:r>
      <w:r>
        <w:rPr>
          <w:rStyle w:val="39"/>
          <w:rFonts w:ascii="宋体"/>
        </w:rPr>
        <w:t>；</w:t>
      </w:r>
    </w:p>
    <w:p w14:paraId="54C2E867">
      <w:pPr>
        <w:spacing w:line="420" w:lineRule="exact"/>
        <w:ind w:firstLine="409" w:firstLineChars="195"/>
        <w:rPr>
          <w:rFonts w:ascii="宋体" w:cs="宋体"/>
          <w:kern w:val="0"/>
          <w:szCs w:val="21"/>
        </w:rPr>
      </w:pPr>
      <w:r>
        <w:rPr>
          <w:rStyle w:val="39"/>
          <w:rFonts w:ascii="宋体"/>
        </w:rPr>
        <w:t>（5）</w:t>
      </w:r>
      <w:r>
        <w:rPr>
          <w:rFonts w:hint="eastAsia" w:ascii="宋体" w:cs="宋体"/>
          <w:kern w:val="0"/>
          <w:szCs w:val="21"/>
        </w:rPr>
        <w:t>安全文明施工措施（要求对安全生产、文明施工、环境保护及防尘、施工措施，制定保证措施和承诺）；</w:t>
      </w:r>
    </w:p>
    <w:p w14:paraId="0C72B0D4">
      <w:pPr>
        <w:spacing w:line="420" w:lineRule="exact"/>
        <w:ind w:firstLine="409" w:firstLineChars="195"/>
        <w:rPr>
          <w:rFonts w:ascii="宋体" w:cs="宋体"/>
          <w:kern w:val="0"/>
          <w:szCs w:val="21"/>
        </w:rPr>
      </w:pPr>
      <w:r>
        <w:rPr>
          <w:rFonts w:hint="eastAsia" w:ascii="宋体" w:cs="宋体"/>
          <w:kern w:val="0"/>
          <w:szCs w:val="21"/>
        </w:rPr>
        <w:t>（6）招标文件规定的其他内容。</w:t>
      </w:r>
    </w:p>
    <w:p w14:paraId="4846F693"/>
    <w:p w14:paraId="25514F30">
      <w:pPr>
        <w:rPr>
          <w:rFonts w:hint="eastAsia"/>
          <w:sz w:val="30"/>
          <w:szCs w:val="30"/>
        </w:rPr>
      </w:pPr>
      <w:r>
        <w:rPr>
          <w:rFonts w:hint="eastAsia"/>
          <w:sz w:val="30"/>
          <w:szCs w:val="30"/>
        </w:rPr>
        <w:br w:type="page"/>
      </w:r>
    </w:p>
    <w:p w14:paraId="47C3BF73">
      <w:pPr>
        <w:pStyle w:val="7"/>
        <w:spacing w:before="0" w:after="0" w:line="480" w:lineRule="auto"/>
        <w:jc w:val="center"/>
        <w:rPr>
          <w:sz w:val="30"/>
          <w:szCs w:val="30"/>
        </w:rPr>
      </w:pPr>
      <w:r>
        <w:rPr>
          <w:rFonts w:hint="eastAsia"/>
          <w:sz w:val="30"/>
          <w:szCs w:val="30"/>
        </w:rPr>
        <w:t>七、项目管理机构</w:t>
      </w:r>
    </w:p>
    <w:p w14:paraId="610CC34F">
      <w:pPr>
        <w:snapToGrid w:val="0"/>
        <w:spacing w:line="440" w:lineRule="exact"/>
        <w:ind w:firstLine="527" w:firstLineChars="250"/>
        <w:jc w:val="center"/>
        <w:rPr>
          <w:rStyle w:val="39"/>
          <w:rFonts w:hint="eastAsia" w:ascii="宋体" w:hAnsi="宋体"/>
          <w:b/>
          <w:szCs w:val="21"/>
        </w:rPr>
      </w:pPr>
      <w:bookmarkStart w:id="1413" w:name="_Toc6584"/>
    </w:p>
    <w:p w14:paraId="5AA2C02E">
      <w:pPr>
        <w:snapToGrid w:val="0"/>
        <w:spacing w:line="440" w:lineRule="exact"/>
        <w:ind w:firstLine="527" w:firstLineChars="250"/>
        <w:jc w:val="center"/>
        <w:rPr>
          <w:rStyle w:val="39"/>
          <w:rFonts w:ascii="宋体" w:hAnsi="宋体"/>
          <w:b/>
          <w:szCs w:val="21"/>
        </w:rPr>
      </w:pPr>
      <w:bookmarkStart w:id="1414" w:name="_Toc16064004"/>
      <w:r>
        <w:rPr>
          <w:rStyle w:val="39"/>
          <w:rFonts w:ascii="宋体" w:hAnsi="宋体"/>
          <w:b/>
          <w:szCs w:val="21"/>
        </w:rPr>
        <w:t>（一）项目管理机构组成表</w:t>
      </w:r>
      <w:bookmarkEnd w:id="1414"/>
    </w:p>
    <w:p w14:paraId="47D8364A">
      <w:pPr>
        <w:snapToGrid w:val="0"/>
        <w:spacing w:line="440" w:lineRule="exact"/>
        <w:ind w:firstLine="527" w:firstLineChars="250"/>
        <w:jc w:val="center"/>
        <w:rPr>
          <w:rStyle w:val="39"/>
          <w:rFonts w:ascii="宋体" w:hAnsi="宋体"/>
          <w:b/>
          <w:szCs w:val="21"/>
        </w:rPr>
      </w:pPr>
    </w:p>
    <w:tbl>
      <w:tblPr>
        <w:tblStyle w:val="25"/>
        <w:tblW w:w="850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09"/>
        <w:gridCol w:w="709"/>
        <w:gridCol w:w="709"/>
        <w:gridCol w:w="1134"/>
        <w:gridCol w:w="771"/>
        <w:gridCol w:w="788"/>
        <w:gridCol w:w="850"/>
        <w:gridCol w:w="2127"/>
        <w:gridCol w:w="708"/>
      </w:tblGrid>
      <w:tr w14:paraId="219F085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atLeast"/>
          <w:jc w:val="center"/>
        </w:trPr>
        <w:tc>
          <w:tcPr>
            <w:tcW w:w="709" w:type="dxa"/>
            <w:vMerge w:val="restart"/>
            <w:tcBorders>
              <w:top w:val="single" w:color="000000" w:sz="4" w:space="0"/>
              <w:left w:val="single" w:color="000000" w:sz="4" w:space="0"/>
              <w:bottom w:val="single" w:color="000000" w:sz="4" w:space="0"/>
              <w:right w:val="single" w:color="000000" w:sz="4" w:space="0"/>
            </w:tcBorders>
            <w:vAlign w:val="center"/>
          </w:tcPr>
          <w:p w14:paraId="41FE7789">
            <w:pPr>
              <w:jc w:val="center"/>
              <w:rPr>
                <w:rStyle w:val="39"/>
                <w:rFonts w:ascii="宋体" w:hAnsi="宋体"/>
                <w:szCs w:val="21"/>
              </w:rPr>
            </w:pPr>
            <w:r>
              <w:rPr>
                <w:rStyle w:val="39"/>
                <w:rFonts w:ascii="宋体" w:hAnsi="宋体"/>
                <w:szCs w:val="21"/>
              </w:rPr>
              <w:t>职务</w:t>
            </w:r>
          </w:p>
        </w:tc>
        <w:tc>
          <w:tcPr>
            <w:tcW w:w="709" w:type="dxa"/>
            <w:vMerge w:val="restart"/>
            <w:tcBorders>
              <w:top w:val="single" w:color="000000" w:sz="4" w:space="0"/>
              <w:left w:val="single" w:color="000000" w:sz="4" w:space="0"/>
              <w:bottom w:val="single" w:color="000000" w:sz="4" w:space="0"/>
              <w:right w:val="single" w:color="000000" w:sz="4" w:space="0"/>
            </w:tcBorders>
            <w:vAlign w:val="center"/>
          </w:tcPr>
          <w:p w14:paraId="0500B42B">
            <w:pPr>
              <w:jc w:val="center"/>
              <w:rPr>
                <w:rStyle w:val="39"/>
                <w:rFonts w:ascii="宋体" w:hAnsi="宋体"/>
                <w:szCs w:val="21"/>
              </w:rPr>
            </w:pPr>
            <w:r>
              <w:rPr>
                <w:rStyle w:val="39"/>
                <w:rFonts w:ascii="宋体" w:hAnsi="宋体"/>
                <w:szCs w:val="21"/>
              </w:rPr>
              <w:t>姓名</w:t>
            </w:r>
          </w:p>
        </w:tc>
        <w:tc>
          <w:tcPr>
            <w:tcW w:w="709" w:type="dxa"/>
            <w:vMerge w:val="restart"/>
            <w:tcBorders>
              <w:top w:val="single" w:color="000000" w:sz="4" w:space="0"/>
              <w:left w:val="single" w:color="000000" w:sz="4" w:space="0"/>
              <w:bottom w:val="single" w:color="000000" w:sz="4" w:space="0"/>
              <w:right w:val="single" w:color="000000" w:sz="4" w:space="0"/>
            </w:tcBorders>
            <w:vAlign w:val="center"/>
          </w:tcPr>
          <w:p w14:paraId="715C0073">
            <w:pPr>
              <w:jc w:val="center"/>
              <w:rPr>
                <w:rStyle w:val="39"/>
                <w:rFonts w:ascii="宋体" w:hAnsi="宋体"/>
                <w:szCs w:val="21"/>
              </w:rPr>
            </w:pPr>
            <w:r>
              <w:rPr>
                <w:rStyle w:val="39"/>
                <w:rFonts w:ascii="宋体" w:hAnsi="宋体"/>
                <w:szCs w:val="21"/>
              </w:rPr>
              <w:t>职称</w:t>
            </w:r>
          </w:p>
        </w:tc>
        <w:tc>
          <w:tcPr>
            <w:tcW w:w="5670" w:type="dxa"/>
            <w:gridSpan w:val="5"/>
            <w:tcBorders>
              <w:top w:val="single" w:color="000000" w:sz="4" w:space="0"/>
              <w:left w:val="single" w:color="000000" w:sz="4" w:space="0"/>
              <w:bottom w:val="single" w:color="000000" w:sz="4" w:space="0"/>
              <w:right w:val="single" w:color="000000" w:sz="4" w:space="0"/>
            </w:tcBorders>
            <w:vAlign w:val="center"/>
          </w:tcPr>
          <w:p w14:paraId="4D2CAE51">
            <w:pPr>
              <w:jc w:val="center"/>
              <w:rPr>
                <w:rStyle w:val="39"/>
                <w:rFonts w:ascii="宋体" w:hAnsi="宋体"/>
                <w:szCs w:val="21"/>
              </w:rPr>
            </w:pPr>
            <w:r>
              <w:rPr>
                <w:rStyle w:val="39"/>
                <w:rFonts w:ascii="宋体" w:hAnsi="宋体"/>
                <w:szCs w:val="21"/>
              </w:rPr>
              <w:t>执业或职业资格证明</w:t>
            </w:r>
          </w:p>
        </w:tc>
        <w:tc>
          <w:tcPr>
            <w:tcW w:w="708" w:type="dxa"/>
            <w:vMerge w:val="restart"/>
            <w:tcBorders>
              <w:top w:val="single" w:color="000000" w:sz="4" w:space="0"/>
              <w:left w:val="single" w:color="000000" w:sz="4" w:space="0"/>
              <w:bottom w:val="single" w:color="000000" w:sz="4" w:space="0"/>
              <w:right w:val="single" w:color="000000" w:sz="4" w:space="0"/>
            </w:tcBorders>
            <w:vAlign w:val="center"/>
          </w:tcPr>
          <w:p w14:paraId="4F9CDB02">
            <w:pPr>
              <w:jc w:val="center"/>
              <w:rPr>
                <w:rStyle w:val="39"/>
                <w:rFonts w:ascii="宋体" w:hAnsi="宋体"/>
                <w:szCs w:val="21"/>
              </w:rPr>
            </w:pPr>
            <w:r>
              <w:rPr>
                <w:rStyle w:val="39"/>
                <w:rFonts w:ascii="宋体" w:hAnsi="宋体"/>
                <w:szCs w:val="21"/>
              </w:rPr>
              <w:t>备注</w:t>
            </w:r>
          </w:p>
        </w:tc>
      </w:tr>
      <w:tr w14:paraId="3246B8E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454" w:hRule="atLeast"/>
          <w:jc w:val="center"/>
        </w:trPr>
        <w:tc>
          <w:tcPr>
            <w:tcW w:w="709" w:type="dxa"/>
            <w:vMerge w:val="continue"/>
            <w:tcBorders>
              <w:top w:val="single" w:color="000000" w:sz="4" w:space="0"/>
              <w:left w:val="single" w:color="000000" w:sz="4" w:space="0"/>
              <w:bottom w:val="single" w:color="000000" w:sz="4" w:space="0"/>
              <w:right w:val="single" w:color="000000" w:sz="4" w:space="0"/>
            </w:tcBorders>
            <w:vAlign w:val="center"/>
          </w:tcPr>
          <w:p w14:paraId="4EEB6B64">
            <w:pPr>
              <w:jc w:val="center"/>
              <w:rPr>
                <w:rStyle w:val="39"/>
                <w:rFonts w:ascii="宋体" w:hAnsi="宋体"/>
                <w:szCs w:val="21"/>
              </w:rPr>
            </w:pPr>
          </w:p>
        </w:tc>
        <w:tc>
          <w:tcPr>
            <w:tcW w:w="709" w:type="dxa"/>
            <w:vMerge w:val="continue"/>
            <w:tcBorders>
              <w:top w:val="single" w:color="000000" w:sz="4" w:space="0"/>
              <w:left w:val="single" w:color="000000" w:sz="4" w:space="0"/>
              <w:bottom w:val="single" w:color="000000" w:sz="4" w:space="0"/>
              <w:right w:val="single" w:color="000000" w:sz="4" w:space="0"/>
            </w:tcBorders>
            <w:vAlign w:val="center"/>
          </w:tcPr>
          <w:p w14:paraId="122577D1">
            <w:pPr>
              <w:jc w:val="center"/>
              <w:rPr>
                <w:rStyle w:val="39"/>
                <w:rFonts w:ascii="宋体" w:hAnsi="宋体"/>
                <w:szCs w:val="21"/>
              </w:rPr>
            </w:pPr>
          </w:p>
        </w:tc>
        <w:tc>
          <w:tcPr>
            <w:tcW w:w="709" w:type="dxa"/>
            <w:vMerge w:val="continue"/>
            <w:tcBorders>
              <w:top w:val="single" w:color="000000" w:sz="4" w:space="0"/>
              <w:left w:val="single" w:color="000000" w:sz="4" w:space="0"/>
              <w:bottom w:val="single" w:color="000000" w:sz="4" w:space="0"/>
              <w:right w:val="single" w:color="000000" w:sz="4" w:space="0"/>
            </w:tcBorders>
            <w:vAlign w:val="center"/>
          </w:tcPr>
          <w:p w14:paraId="33092933">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03BB5518">
            <w:pPr>
              <w:jc w:val="center"/>
              <w:rPr>
                <w:rStyle w:val="39"/>
                <w:rFonts w:ascii="宋体" w:hAnsi="宋体"/>
                <w:szCs w:val="21"/>
              </w:rPr>
            </w:pPr>
            <w:r>
              <w:rPr>
                <w:rStyle w:val="39"/>
                <w:rFonts w:ascii="宋体" w:hAnsi="宋体"/>
                <w:szCs w:val="21"/>
              </w:rPr>
              <w:t>证书名称</w:t>
            </w:r>
          </w:p>
        </w:tc>
        <w:tc>
          <w:tcPr>
            <w:tcW w:w="771" w:type="dxa"/>
            <w:tcBorders>
              <w:top w:val="single" w:color="000000" w:sz="4" w:space="0"/>
              <w:left w:val="single" w:color="000000" w:sz="4" w:space="0"/>
              <w:bottom w:val="single" w:color="000000" w:sz="4" w:space="0"/>
              <w:right w:val="single" w:color="000000" w:sz="4" w:space="0"/>
            </w:tcBorders>
            <w:vAlign w:val="center"/>
          </w:tcPr>
          <w:p w14:paraId="27DF13C6">
            <w:pPr>
              <w:jc w:val="center"/>
              <w:rPr>
                <w:rStyle w:val="39"/>
                <w:rFonts w:ascii="宋体" w:hAnsi="宋体"/>
                <w:szCs w:val="21"/>
              </w:rPr>
            </w:pPr>
            <w:r>
              <w:rPr>
                <w:rStyle w:val="39"/>
                <w:rFonts w:ascii="宋体" w:hAnsi="宋体"/>
                <w:szCs w:val="21"/>
              </w:rPr>
              <w:t>级别</w:t>
            </w:r>
          </w:p>
        </w:tc>
        <w:tc>
          <w:tcPr>
            <w:tcW w:w="788" w:type="dxa"/>
            <w:tcBorders>
              <w:top w:val="single" w:color="000000" w:sz="4" w:space="0"/>
              <w:left w:val="single" w:color="000000" w:sz="4" w:space="0"/>
              <w:bottom w:val="single" w:color="000000" w:sz="4" w:space="0"/>
              <w:right w:val="single" w:color="000000" w:sz="4" w:space="0"/>
            </w:tcBorders>
            <w:vAlign w:val="center"/>
          </w:tcPr>
          <w:p w14:paraId="20F97419">
            <w:pPr>
              <w:jc w:val="center"/>
              <w:rPr>
                <w:rStyle w:val="39"/>
                <w:rFonts w:ascii="宋体" w:hAnsi="宋体"/>
                <w:szCs w:val="21"/>
              </w:rPr>
            </w:pPr>
            <w:r>
              <w:rPr>
                <w:rStyle w:val="39"/>
                <w:rFonts w:ascii="宋体" w:hAnsi="宋体"/>
                <w:szCs w:val="21"/>
              </w:rPr>
              <w:t>证号</w:t>
            </w:r>
          </w:p>
        </w:tc>
        <w:tc>
          <w:tcPr>
            <w:tcW w:w="850" w:type="dxa"/>
            <w:tcBorders>
              <w:top w:val="single" w:color="000000" w:sz="4" w:space="0"/>
              <w:left w:val="single" w:color="000000" w:sz="4" w:space="0"/>
              <w:bottom w:val="single" w:color="000000" w:sz="4" w:space="0"/>
              <w:right w:val="single" w:color="000000" w:sz="4" w:space="0"/>
            </w:tcBorders>
            <w:vAlign w:val="center"/>
          </w:tcPr>
          <w:p w14:paraId="63D1FA50">
            <w:pPr>
              <w:jc w:val="center"/>
              <w:rPr>
                <w:rStyle w:val="39"/>
                <w:rFonts w:ascii="宋体" w:hAnsi="宋体"/>
                <w:szCs w:val="21"/>
              </w:rPr>
            </w:pPr>
            <w:r>
              <w:rPr>
                <w:rStyle w:val="39"/>
                <w:rFonts w:ascii="宋体" w:hAnsi="宋体"/>
                <w:szCs w:val="21"/>
              </w:rPr>
              <w:t>专业</w:t>
            </w:r>
          </w:p>
        </w:tc>
        <w:tc>
          <w:tcPr>
            <w:tcW w:w="2127" w:type="dxa"/>
            <w:tcBorders>
              <w:top w:val="single" w:color="000000" w:sz="4" w:space="0"/>
              <w:left w:val="single" w:color="000000" w:sz="4" w:space="0"/>
              <w:bottom w:val="single" w:color="000000" w:sz="4" w:space="0"/>
              <w:right w:val="single" w:color="000000" w:sz="4" w:space="0"/>
            </w:tcBorders>
            <w:vAlign w:val="center"/>
          </w:tcPr>
          <w:p w14:paraId="458A45CE">
            <w:pPr>
              <w:jc w:val="center"/>
              <w:rPr>
                <w:rStyle w:val="39"/>
                <w:rFonts w:ascii="宋体" w:hAnsi="宋体"/>
                <w:szCs w:val="21"/>
              </w:rPr>
            </w:pPr>
            <w:r>
              <w:rPr>
                <w:rStyle w:val="39"/>
                <w:rFonts w:ascii="宋体" w:hAnsi="宋体"/>
                <w:szCs w:val="21"/>
              </w:rPr>
              <w:t>养老保险</w:t>
            </w:r>
          </w:p>
        </w:tc>
        <w:tc>
          <w:tcPr>
            <w:tcW w:w="708" w:type="dxa"/>
            <w:vMerge w:val="continue"/>
            <w:tcBorders>
              <w:top w:val="single" w:color="000000" w:sz="4" w:space="0"/>
              <w:left w:val="single" w:color="000000" w:sz="4" w:space="0"/>
              <w:bottom w:val="single" w:color="000000" w:sz="4" w:space="0"/>
              <w:right w:val="single" w:color="000000" w:sz="4" w:space="0"/>
            </w:tcBorders>
            <w:vAlign w:val="center"/>
          </w:tcPr>
          <w:p w14:paraId="2DB6E14F">
            <w:pPr>
              <w:jc w:val="center"/>
              <w:rPr>
                <w:rStyle w:val="39"/>
                <w:rFonts w:ascii="宋体" w:hAnsi="宋体"/>
                <w:szCs w:val="21"/>
              </w:rPr>
            </w:pPr>
          </w:p>
        </w:tc>
      </w:tr>
      <w:tr w14:paraId="075BFB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0CAECE5B">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4408B54C">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6211DF14">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10BCAEB7">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641F6593">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6EF5BA61">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1C1D8393">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020F2C5D">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162F5C60">
            <w:pPr>
              <w:jc w:val="center"/>
              <w:rPr>
                <w:rStyle w:val="39"/>
                <w:rFonts w:ascii="宋体" w:hAnsi="宋体"/>
                <w:szCs w:val="21"/>
              </w:rPr>
            </w:pPr>
          </w:p>
        </w:tc>
      </w:tr>
      <w:tr w14:paraId="76AEDA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4080EC89">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36638FBC">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04A68A85">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4B72A351">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19C56460">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1969C648">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6164E30F">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4777FCFA">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03369579">
            <w:pPr>
              <w:jc w:val="center"/>
              <w:rPr>
                <w:rStyle w:val="39"/>
                <w:rFonts w:ascii="宋体" w:hAnsi="宋体"/>
                <w:szCs w:val="21"/>
              </w:rPr>
            </w:pPr>
          </w:p>
        </w:tc>
      </w:tr>
      <w:tr w14:paraId="3A01D9D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51B2C642">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26065EAC">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74864E12">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77E51DB7">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37CD90E1">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4A5114A4">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1409191C">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4D08A669">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611B5DEB">
            <w:pPr>
              <w:jc w:val="center"/>
              <w:rPr>
                <w:rStyle w:val="39"/>
                <w:rFonts w:ascii="宋体" w:hAnsi="宋体"/>
                <w:szCs w:val="21"/>
              </w:rPr>
            </w:pPr>
          </w:p>
        </w:tc>
      </w:tr>
      <w:tr w14:paraId="434AFB9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05AF515E">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4E47B7E5">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7B6F6921">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167D14B3">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34DE74F8">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3E2A23B4">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53AC4B4F">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1F8D9E56">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7FCAA220">
            <w:pPr>
              <w:jc w:val="center"/>
              <w:rPr>
                <w:rStyle w:val="39"/>
                <w:rFonts w:ascii="宋体" w:hAnsi="宋体"/>
                <w:szCs w:val="21"/>
              </w:rPr>
            </w:pPr>
          </w:p>
        </w:tc>
      </w:tr>
      <w:tr w14:paraId="3196906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6596316A">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4A50E6C9">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289F48D9">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379631FA">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43C4ED6B">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1FC02B86">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3C68A07C">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575C47A0">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295EB935">
            <w:pPr>
              <w:jc w:val="center"/>
              <w:rPr>
                <w:rStyle w:val="39"/>
                <w:rFonts w:ascii="宋体" w:hAnsi="宋体"/>
                <w:szCs w:val="21"/>
              </w:rPr>
            </w:pPr>
          </w:p>
        </w:tc>
      </w:tr>
      <w:tr w14:paraId="33A447B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21A90394">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78C078B3">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522CF337">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36B91843">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03A44C75">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76ECBEA4">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1B868D03">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1CC23305">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06500D5A">
            <w:pPr>
              <w:jc w:val="center"/>
              <w:rPr>
                <w:rStyle w:val="39"/>
                <w:rFonts w:ascii="宋体" w:hAnsi="宋体"/>
                <w:szCs w:val="21"/>
              </w:rPr>
            </w:pPr>
          </w:p>
        </w:tc>
      </w:tr>
      <w:tr w14:paraId="7304CA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3C01752A">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6F47D6EC">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046CB211">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4FA1224B">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593BE34A">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3D2F8B4B">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7812F5E5">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3E357BA2">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29D2A5B3">
            <w:pPr>
              <w:jc w:val="center"/>
              <w:rPr>
                <w:rStyle w:val="39"/>
                <w:rFonts w:ascii="宋体" w:hAnsi="宋体"/>
                <w:szCs w:val="21"/>
              </w:rPr>
            </w:pPr>
          </w:p>
        </w:tc>
      </w:tr>
      <w:tr w14:paraId="1CF17B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6ED903E3">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06308B68">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50DFC8CF">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29A52F70">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1AABEA42">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46BE8EA2">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3836B522">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7EA59B73">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5E6AE52F">
            <w:pPr>
              <w:jc w:val="center"/>
              <w:rPr>
                <w:rStyle w:val="39"/>
                <w:rFonts w:ascii="宋体" w:hAnsi="宋体"/>
                <w:szCs w:val="21"/>
              </w:rPr>
            </w:pPr>
          </w:p>
        </w:tc>
      </w:tr>
      <w:tr w14:paraId="67A6A4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6BD9C1FF">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4754A1CE">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25E46923">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15EC19E4">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5130FD11">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33C2D379">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0CDAC000">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0358A0C6">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55528671">
            <w:pPr>
              <w:jc w:val="center"/>
              <w:rPr>
                <w:rStyle w:val="39"/>
                <w:rFonts w:ascii="宋体" w:hAnsi="宋体"/>
                <w:szCs w:val="21"/>
              </w:rPr>
            </w:pPr>
          </w:p>
        </w:tc>
      </w:tr>
      <w:tr w14:paraId="60E366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4490DF85">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493E91C4">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26B4868F">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6520C052">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6584C145">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64E0E5C8">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33FF1F79">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670D0D09">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523C26B3">
            <w:pPr>
              <w:jc w:val="center"/>
              <w:rPr>
                <w:rStyle w:val="39"/>
                <w:rFonts w:ascii="宋体" w:hAnsi="宋体"/>
                <w:szCs w:val="21"/>
              </w:rPr>
            </w:pPr>
          </w:p>
        </w:tc>
      </w:tr>
      <w:tr w14:paraId="4F63A9C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2A75E4BF">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0024E576">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4F8DB7EC">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33486C78">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0DC2EA8D">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2F6BF26A">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46987F03">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427B40FA">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011D482F">
            <w:pPr>
              <w:jc w:val="center"/>
              <w:rPr>
                <w:rStyle w:val="39"/>
                <w:rFonts w:ascii="宋体" w:hAnsi="宋体"/>
                <w:szCs w:val="21"/>
              </w:rPr>
            </w:pPr>
          </w:p>
        </w:tc>
      </w:tr>
      <w:tr w14:paraId="727D2C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709" w:type="dxa"/>
            <w:tcBorders>
              <w:top w:val="single" w:color="000000" w:sz="4" w:space="0"/>
              <w:left w:val="single" w:color="000000" w:sz="4" w:space="0"/>
              <w:bottom w:val="single" w:color="000000" w:sz="4" w:space="0"/>
              <w:right w:val="single" w:color="000000" w:sz="4" w:space="0"/>
            </w:tcBorders>
            <w:vAlign w:val="center"/>
          </w:tcPr>
          <w:p w14:paraId="3FA5277C">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5925B7C4">
            <w:pPr>
              <w:jc w:val="center"/>
              <w:rPr>
                <w:rStyle w:val="39"/>
                <w:rFonts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668ED1E4">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76BE8FEB">
            <w:pPr>
              <w:jc w:val="center"/>
              <w:rPr>
                <w:rStyle w:val="39"/>
                <w:rFonts w:ascii="宋体" w:hAnsi="宋体"/>
                <w:szCs w:val="21"/>
              </w:rPr>
            </w:pPr>
          </w:p>
        </w:tc>
        <w:tc>
          <w:tcPr>
            <w:tcW w:w="771" w:type="dxa"/>
            <w:tcBorders>
              <w:top w:val="single" w:color="000000" w:sz="4" w:space="0"/>
              <w:left w:val="single" w:color="000000" w:sz="4" w:space="0"/>
              <w:bottom w:val="single" w:color="000000" w:sz="4" w:space="0"/>
              <w:right w:val="single" w:color="000000" w:sz="4" w:space="0"/>
            </w:tcBorders>
            <w:vAlign w:val="center"/>
          </w:tcPr>
          <w:p w14:paraId="1ADB7080">
            <w:pPr>
              <w:jc w:val="center"/>
              <w:rPr>
                <w:rStyle w:val="39"/>
                <w:rFonts w:ascii="宋体" w:hAnsi="宋体"/>
                <w:szCs w:val="21"/>
              </w:rPr>
            </w:pPr>
          </w:p>
        </w:tc>
        <w:tc>
          <w:tcPr>
            <w:tcW w:w="788" w:type="dxa"/>
            <w:tcBorders>
              <w:top w:val="single" w:color="000000" w:sz="4" w:space="0"/>
              <w:left w:val="single" w:color="000000" w:sz="4" w:space="0"/>
              <w:bottom w:val="single" w:color="000000" w:sz="4" w:space="0"/>
              <w:right w:val="single" w:color="000000" w:sz="4" w:space="0"/>
            </w:tcBorders>
            <w:vAlign w:val="center"/>
          </w:tcPr>
          <w:p w14:paraId="5E2A0E7C">
            <w:pPr>
              <w:jc w:val="center"/>
              <w:rPr>
                <w:rStyle w:val="39"/>
                <w:rFonts w:ascii="宋体" w:hAnsi="宋体"/>
                <w:szCs w:val="21"/>
              </w:rPr>
            </w:pPr>
          </w:p>
        </w:tc>
        <w:tc>
          <w:tcPr>
            <w:tcW w:w="850" w:type="dxa"/>
            <w:tcBorders>
              <w:top w:val="single" w:color="000000" w:sz="4" w:space="0"/>
              <w:left w:val="single" w:color="000000" w:sz="4" w:space="0"/>
              <w:bottom w:val="single" w:color="000000" w:sz="4" w:space="0"/>
              <w:right w:val="single" w:color="000000" w:sz="4" w:space="0"/>
            </w:tcBorders>
            <w:vAlign w:val="center"/>
          </w:tcPr>
          <w:p w14:paraId="499FB8A0">
            <w:pPr>
              <w:jc w:val="center"/>
              <w:rPr>
                <w:rStyle w:val="39"/>
                <w:rFonts w:ascii="宋体" w:hAnsi="宋体"/>
                <w:szCs w:val="21"/>
              </w:rPr>
            </w:pPr>
          </w:p>
        </w:tc>
        <w:tc>
          <w:tcPr>
            <w:tcW w:w="2127" w:type="dxa"/>
            <w:tcBorders>
              <w:top w:val="single" w:color="000000" w:sz="4" w:space="0"/>
              <w:left w:val="single" w:color="000000" w:sz="4" w:space="0"/>
              <w:bottom w:val="single" w:color="000000" w:sz="4" w:space="0"/>
              <w:right w:val="single" w:color="000000" w:sz="4" w:space="0"/>
            </w:tcBorders>
            <w:vAlign w:val="center"/>
          </w:tcPr>
          <w:p w14:paraId="58FC749D">
            <w:pPr>
              <w:jc w:val="center"/>
              <w:rPr>
                <w:rStyle w:val="39"/>
                <w:rFonts w:ascii="宋体" w:hAnsi="宋体"/>
                <w:szCs w:val="21"/>
              </w:rPr>
            </w:pPr>
          </w:p>
        </w:tc>
        <w:tc>
          <w:tcPr>
            <w:tcW w:w="708" w:type="dxa"/>
            <w:tcBorders>
              <w:top w:val="single" w:color="000000" w:sz="4" w:space="0"/>
              <w:left w:val="single" w:color="000000" w:sz="4" w:space="0"/>
              <w:bottom w:val="single" w:color="000000" w:sz="4" w:space="0"/>
              <w:right w:val="single" w:color="000000" w:sz="4" w:space="0"/>
            </w:tcBorders>
            <w:vAlign w:val="center"/>
          </w:tcPr>
          <w:p w14:paraId="132A6BA3">
            <w:pPr>
              <w:jc w:val="center"/>
              <w:rPr>
                <w:rStyle w:val="39"/>
                <w:rFonts w:ascii="宋体" w:hAnsi="宋体"/>
                <w:szCs w:val="21"/>
              </w:rPr>
            </w:pPr>
          </w:p>
        </w:tc>
      </w:tr>
    </w:tbl>
    <w:p w14:paraId="0DA49EE1">
      <w:pPr>
        <w:spacing w:before="120" w:after="240" w:line="420" w:lineRule="exact"/>
        <w:jc w:val="center"/>
        <w:rPr>
          <w:rStyle w:val="39"/>
          <w:rFonts w:ascii="宋体" w:hAnsi="宋体"/>
          <w:b/>
        </w:rPr>
      </w:pPr>
    </w:p>
    <w:p w14:paraId="595D3D8A">
      <w:pPr>
        <w:spacing w:before="120" w:after="240" w:line="420" w:lineRule="exact"/>
        <w:jc w:val="center"/>
        <w:rPr>
          <w:rStyle w:val="39"/>
          <w:rFonts w:ascii="宋体" w:hAnsi="宋体"/>
          <w:b/>
        </w:rPr>
      </w:pPr>
    </w:p>
    <w:p w14:paraId="6763CA31">
      <w:pPr>
        <w:spacing w:before="120" w:after="240" w:line="420" w:lineRule="exact"/>
        <w:jc w:val="center"/>
        <w:rPr>
          <w:rStyle w:val="39"/>
          <w:rFonts w:ascii="宋体" w:hAnsi="宋体"/>
          <w:b/>
        </w:rPr>
      </w:pPr>
      <w:r>
        <w:rPr>
          <w:rStyle w:val="39"/>
          <w:rFonts w:ascii="宋体" w:hAnsi="宋体"/>
          <w:b/>
        </w:rPr>
        <w:br w:type="page"/>
      </w:r>
    </w:p>
    <w:p w14:paraId="390DA9DE">
      <w:pPr>
        <w:snapToGrid w:val="0"/>
        <w:spacing w:line="440" w:lineRule="exact"/>
        <w:ind w:firstLine="527" w:firstLineChars="250"/>
        <w:jc w:val="center"/>
        <w:rPr>
          <w:rStyle w:val="39"/>
          <w:rFonts w:ascii="宋体" w:hAnsi="宋体"/>
          <w:b/>
          <w:szCs w:val="21"/>
        </w:rPr>
      </w:pPr>
      <w:r>
        <w:rPr>
          <w:rStyle w:val="39"/>
          <w:rFonts w:ascii="宋体" w:hAnsi="宋体"/>
          <w:b/>
          <w:szCs w:val="21"/>
        </w:rPr>
        <w:t>（二）主要人员简历表</w:t>
      </w:r>
    </w:p>
    <w:p w14:paraId="08A6969B">
      <w:pPr>
        <w:snapToGrid w:val="0"/>
        <w:spacing w:line="440" w:lineRule="exact"/>
        <w:ind w:firstLine="527" w:firstLineChars="250"/>
        <w:jc w:val="center"/>
        <w:rPr>
          <w:rStyle w:val="39"/>
          <w:rFonts w:ascii="宋体" w:hAnsi="宋体"/>
          <w:b/>
          <w:szCs w:val="21"/>
        </w:rPr>
      </w:pPr>
    </w:p>
    <w:p w14:paraId="0D862845">
      <w:pPr>
        <w:spacing w:line="420" w:lineRule="exact"/>
        <w:rPr>
          <w:rStyle w:val="39"/>
          <w:rFonts w:ascii="宋体" w:hAnsi="宋体"/>
          <w:szCs w:val="21"/>
        </w:rPr>
      </w:pPr>
      <w:r>
        <w:rPr>
          <w:rStyle w:val="39"/>
          <w:rFonts w:ascii="宋体" w:hAnsi="宋体"/>
          <w:szCs w:val="21"/>
        </w:rPr>
        <w:t>附1：项目经理简历表</w:t>
      </w:r>
    </w:p>
    <w:p w14:paraId="2EC9B75C">
      <w:pPr>
        <w:spacing w:line="420" w:lineRule="exact"/>
        <w:ind w:firstLine="359" w:firstLineChars="171"/>
        <w:rPr>
          <w:rStyle w:val="39"/>
          <w:rFonts w:ascii="宋体" w:hAnsi="宋体"/>
          <w:szCs w:val="21"/>
        </w:rPr>
      </w:pPr>
      <w:r>
        <w:rPr>
          <w:rStyle w:val="39"/>
          <w:rFonts w:ascii="宋体" w:hAnsi="宋体"/>
          <w:szCs w:val="21"/>
        </w:rPr>
        <w:t>项目经理应附建造师执业资格证书、注册证书、安全生产考核合格证书、身份证、职称证、学历证、养老保险复印件及未担任其他在施建设工程项目项目经理的承诺书，管理过的项目业绩须附合同协议书和竣工验收备案登记表复印件。类似工程限于以项目经理身份参与的项目。</w:t>
      </w:r>
    </w:p>
    <w:tbl>
      <w:tblPr>
        <w:tblStyle w:val="25"/>
        <w:tblW w:w="850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92"/>
        <w:gridCol w:w="1035"/>
        <w:gridCol w:w="1134"/>
        <w:gridCol w:w="1275"/>
        <w:gridCol w:w="1843"/>
        <w:gridCol w:w="2126"/>
      </w:tblGrid>
      <w:tr w14:paraId="266C4A5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02DD045A">
            <w:pPr>
              <w:jc w:val="center"/>
              <w:rPr>
                <w:rStyle w:val="39"/>
                <w:rFonts w:ascii="宋体" w:hAnsi="宋体"/>
                <w:szCs w:val="21"/>
              </w:rPr>
            </w:pPr>
            <w:r>
              <w:rPr>
                <w:rStyle w:val="39"/>
                <w:rFonts w:ascii="宋体" w:hAnsi="宋体"/>
                <w:szCs w:val="21"/>
              </w:rPr>
              <w:t>姓  名</w:t>
            </w:r>
          </w:p>
        </w:tc>
        <w:tc>
          <w:tcPr>
            <w:tcW w:w="1035" w:type="dxa"/>
            <w:tcBorders>
              <w:top w:val="single" w:color="000000" w:sz="4" w:space="0"/>
              <w:left w:val="single" w:color="000000" w:sz="4" w:space="0"/>
              <w:bottom w:val="single" w:color="000000" w:sz="4" w:space="0"/>
              <w:right w:val="single" w:color="000000" w:sz="4" w:space="0"/>
            </w:tcBorders>
            <w:vAlign w:val="center"/>
          </w:tcPr>
          <w:p w14:paraId="7E444E27">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5983ADAB">
            <w:pPr>
              <w:jc w:val="center"/>
              <w:rPr>
                <w:rStyle w:val="39"/>
                <w:rFonts w:ascii="宋体" w:hAnsi="宋体"/>
                <w:szCs w:val="21"/>
              </w:rPr>
            </w:pPr>
            <w:r>
              <w:rPr>
                <w:rStyle w:val="39"/>
                <w:rFonts w:ascii="宋体" w:hAnsi="宋体"/>
                <w:szCs w:val="21"/>
              </w:rPr>
              <w:t>年  龄</w:t>
            </w:r>
          </w:p>
        </w:tc>
        <w:tc>
          <w:tcPr>
            <w:tcW w:w="1275" w:type="dxa"/>
            <w:tcBorders>
              <w:top w:val="single" w:color="000000" w:sz="4" w:space="0"/>
              <w:left w:val="single" w:color="000000" w:sz="4" w:space="0"/>
              <w:bottom w:val="single" w:color="000000" w:sz="4" w:space="0"/>
              <w:right w:val="single" w:color="000000" w:sz="4" w:space="0"/>
            </w:tcBorders>
            <w:vAlign w:val="center"/>
          </w:tcPr>
          <w:p w14:paraId="3FBA5A1F">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68948F2F">
            <w:pPr>
              <w:jc w:val="center"/>
              <w:rPr>
                <w:rStyle w:val="39"/>
                <w:rFonts w:ascii="宋体" w:hAnsi="宋体"/>
                <w:szCs w:val="21"/>
              </w:rPr>
            </w:pPr>
            <w:r>
              <w:rPr>
                <w:rStyle w:val="39"/>
                <w:rFonts w:ascii="宋体" w:hAnsi="宋体"/>
                <w:szCs w:val="21"/>
              </w:rPr>
              <w:t>学历</w:t>
            </w:r>
          </w:p>
        </w:tc>
        <w:tc>
          <w:tcPr>
            <w:tcW w:w="2126" w:type="dxa"/>
            <w:tcBorders>
              <w:top w:val="single" w:color="000000" w:sz="4" w:space="0"/>
              <w:left w:val="single" w:color="000000" w:sz="4" w:space="0"/>
              <w:bottom w:val="single" w:color="000000" w:sz="4" w:space="0"/>
              <w:right w:val="single" w:color="000000" w:sz="4" w:space="0"/>
            </w:tcBorders>
            <w:vAlign w:val="center"/>
          </w:tcPr>
          <w:p w14:paraId="3855A2D4">
            <w:pPr>
              <w:jc w:val="center"/>
              <w:rPr>
                <w:rStyle w:val="39"/>
                <w:rFonts w:ascii="宋体" w:hAnsi="宋体"/>
                <w:szCs w:val="21"/>
              </w:rPr>
            </w:pPr>
          </w:p>
        </w:tc>
      </w:tr>
      <w:tr w14:paraId="1F0E280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5EC193ED">
            <w:pPr>
              <w:jc w:val="center"/>
              <w:rPr>
                <w:rStyle w:val="39"/>
                <w:rFonts w:ascii="宋体" w:hAnsi="宋体"/>
                <w:szCs w:val="21"/>
              </w:rPr>
            </w:pPr>
            <w:r>
              <w:rPr>
                <w:rStyle w:val="39"/>
                <w:rFonts w:ascii="宋体" w:hAnsi="宋体"/>
                <w:szCs w:val="21"/>
              </w:rPr>
              <w:t>职  称</w:t>
            </w:r>
          </w:p>
        </w:tc>
        <w:tc>
          <w:tcPr>
            <w:tcW w:w="1035" w:type="dxa"/>
            <w:tcBorders>
              <w:top w:val="single" w:color="000000" w:sz="4" w:space="0"/>
              <w:left w:val="single" w:color="000000" w:sz="4" w:space="0"/>
              <w:bottom w:val="single" w:color="000000" w:sz="4" w:space="0"/>
              <w:right w:val="single" w:color="000000" w:sz="4" w:space="0"/>
            </w:tcBorders>
            <w:vAlign w:val="center"/>
          </w:tcPr>
          <w:p w14:paraId="4D4B523A">
            <w:pPr>
              <w:jc w:val="center"/>
              <w:rPr>
                <w:rStyle w:val="39"/>
                <w:rFonts w:ascii="宋体" w:hAnsi="宋体"/>
                <w:szCs w:val="21"/>
              </w:rPr>
            </w:pPr>
          </w:p>
        </w:tc>
        <w:tc>
          <w:tcPr>
            <w:tcW w:w="1134" w:type="dxa"/>
            <w:tcBorders>
              <w:top w:val="single" w:color="000000" w:sz="4" w:space="0"/>
              <w:left w:val="single" w:color="000000" w:sz="4" w:space="0"/>
              <w:bottom w:val="single" w:color="000000" w:sz="4" w:space="0"/>
              <w:right w:val="single" w:color="000000" w:sz="4" w:space="0"/>
            </w:tcBorders>
            <w:vAlign w:val="center"/>
          </w:tcPr>
          <w:p w14:paraId="680A382B">
            <w:pPr>
              <w:jc w:val="center"/>
              <w:rPr>
                <w:rStyle w:val="39"/>
                <w:rFonts w:ascii="宋体" w:hAnsi="宋体"/>
                <w:szCs w:val="21"/>
              </w:rPr>
            </w:pPr>
            <w:r>
              <w:rPr>
                <w:rStyle w:val="39"/>
                <w:rFonts w:ascii="宋体" w:hAnsi="宋体"/>
                <w:szCs w:val="21"/>
              </w:rPr>
              <w:t>职  务</w:t>
            </w:r>
          </w:p>
        </w:tc>
        <w:tc>
          <w:tcPr>
            <w:tcW w:w="1275" w:type="dxa"/>
            <w:tcBorders>
              <w:top w:val="single" w:color="000000" w:sz="4" w:space="0"/>
              <w:left w:val="single" w:color="000000" w:sz="4" w:space="0"/>
              <w:bottom w:val="single" w:color="000000" w:sz="4" w:space="0"/>
              <w:right w:val="single" w:color="000000" w:sz="4" w:space="0"/>
            </w:tcBorders>
            <w:vAlign w:val="center"/>
          </w:tcPr>
          <w:p w14:paraId="78FBB45B">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3B266B44">
            <w:pPr>
              <w:jc w:val="center"/>
              <w:rPr>
                <w:rStyle w:val="39"/>
                <w:rFonts w:ascii="宋体" w:hAnsi="宋体"/>
                <w:szCs w:val="21"/>
              </w:rPr>
            </w:pPr>
            <w:r>
              <w:rPr>
                <w:rStyle w:val="39"/>
                <w:rFonts w:ascii="宋体" w:hAnsi="宋体"/>
                <w:szCs w:val="21"/>
              </w:rPr>
              <w:t>拟在本工程任职</w:t>
            </w:r>
          </w:p>
        </w:tc>
        <w:tc>
          <w:tcPr>
            <w:tcW w:w="2126" w:type="dxa"/>
            <w:tcBorders>
              <w:top w:val="single" w:color="000000" w:sz="4" w:space="0"/>
              <w:left w:val="single" w:color="000000" w:sz="4" w:space="0"/>
              <w:bottom w:val="single" w:color="000000" w:sz="4" w:space="0"/>
              <w:right w:val="single" w:color="000000" w:sz="4" w:space="0"/>
            </w:tcBorders>
            <w:vAlign w:val="center"/>
          </w:tcPr>
          <w:p w14:paraId="6CDFF277">
            <w:pPr>
              <w:jc w:val="center"/>
              <w:rPr>
                <w:rStyle w:val="39"/>
                <w:rFonts w:ascii="宋体" w:hAnsi="宋体"/>
                <w:szCs w:val="21"/>
              </w:rPr>
            </w:pPr>
            <w:r>
              <w:rPr>
                <w:rStyle w:val="39"/>
                <w:rFonts w:ascii="宋体" w:hAnsi="宋体"/>
                <w:szCs w:val="21"/>
              </w:rPr>
              <w:t>项目经理</w:t>
            </w:r>
          </w:p>
        </w:tc>
      </w:tr>
      <w:tr w14:paraId="5ED19F1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3261" w:type="dxa"/>
            <w:gridSpan w:val="3"/>
            <w:tcBorders>
              <w:top w:val="single" w:color="000000" w:sz="4" w:space="0"/>
              <w:left w:val="single" w:color="000000" w:sz="4" w:space="0"/>
              <w:bottom w:val="single" w:color="000000" w:sz="4" w:space="0"/>
              <w:right w:val="single" w:color="000000" w:sz="4" w:space="0"/>
            </w:tcBorders>
            <w:vAlign w:val="center"/>
          </w:tcPr>
          <w:p w14:paraId="748177C8">
            <w:pPr>
              <w:jc w:val="center"/>
              <w:rPr>
                <w:rStyle w:val="39"/>
                <w:rFonts w:ascii="宋体" w:hAnsi="宋体"/>
                <w:szCs w:val="21"/>
              </w:rPr>
            </w:pPr>
            <w:r>
              <w:rPr>
                <w:rStyle w:val="39"/>
                <w:rFonts w:ascii="宋体" w:hAnsi="宋体"/>
                <w:szCs w:val="21"/>
              </w:rPr>
              <w:t>注册建造师执业资格等级</w:t>
            </w:r>
          </w:p>
        </w:tc>
        <w:tc>
          <w:tcPr>
            <w:tcW w:w="1275" w:type="dxa"/>
            <w:tcBorders>
              <w:top w:val="single" w:color="000000" w:sz="4" w:space="0"/>
              <w:left w:val="single" w:color="000000" w:sz="4" w:space="0"/>
              <w:bottom w:val="single" w:color="000000" w:sz="4" w:space="0"/>
              <w:right w:val="single" w:color="000000" w:sz="4" w:space="0"/>
            </w:tcBorders>
            <w:vAlign w:val="center"/>
          </w:tcPr>
          <w:p w14:paraId="2575224C">
            <w:pPr>
              <w:jc w:val="center"/>
              <w:rPr>
                <w:rStyle w:val="39"/>
                <w:rFonts w:ascii="宋体" w:hAnsi="宋体"/>
                <w:szCs w:val="21"/>
              </w:rPr>
            </w:pPr>
            <w:r>
              <w:rPr>
                <w:rStyle w:val="39"/>
                <w:rFonts w:ascii="宋体" w:hAnsi="宋体"/>
                <w:szCs w:val="21"/>
              </w:rPr>
              <w:t>级</w:t>
            </w:r>
          </w:p>
        </w:tc>
        <w:tc>
          <w:tcPr>
            <w:tcW w:w="1843" w:type="dxa"/>
            <w:tcBorders>
              <w:top w:val="single" w:color="000000" w:sz="4" w:space="0"/>
              <w:left w:val="single" w:color="000000" w:sz="4" w:space="0"/>
              <w:bottom w:val="single" w:color="000000" w:sz="4" w:space="0"/>
              <w:right w:val="single" w:color="000000" w:sz="4" w:space="0"/>
            </w:tcBorders>
            <w:vAlign w:val="center"/>
          </w:tcPr>
          <w:p w14:paraId="580DF250">
            <w:pPr>
              <w:jc w:val="center"/>
              <w:rPr>
                <w:rStyle w:val="39"/>
                <w:rFonts w:ascii="宋体" w:hAnsi="宋体"/>
                <w:szCs w:val="21"/>
              </w:rPr>
            </w:pPr>
            <w:r>
              <w:rPr>
                <w:rStyle w:val="39"/>
                <w:rFonts w:ascii="宋体" w:hAnsi="宋体"/>
                <w:szCs w:val="21"/>
              </w:rPr>
              <w:t>建造师专业</w:t>
            </w:r>
          </w:p>
        </w:tc>
        <w:tc>
          <w:tcPr>
            <w:tcW w:w="2126" w:type="dxa"/>
            <w:tcBorders>
              <w:top w:val="single" w:color="000000" w:sz="4" w:space="0"/>
              <w:left w:val="single" w:color="000000" w:sz="4" w:space="0"/>
              <w:bottom w:val="single" w:color="000000" w:sz="4" w:space="0"/>
              <w:right w:val="single" w:color="000000" w:sz="4" w:space="0"/>
            </w:tcBorders>
            <w:vAlign w:val="center"/>
          </w:tcPr>
          <w:p w14:paraId="46568A68">
            <w:pPr>
              <w:jc w:val="center"/>
              <w:rPr>
                <w:rStyle w:val="39"/>
                <w:rFonts w:ascii="宋体" w:hAnsi="宋体"/>
                <w:szCs w:val="21"/>
              </w:rPr>
            </w:pPr>
          </w:p>
        </w:tc>
      </w:tr>
      <w:tr w14:paraId="0E9C4B6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3261" w:type="dxa"/>
            <w:gridSpan w:val="3"/>
            <w:tcBorders>
              <w:top w:val="single" w:color="000000" w:sz="4" w:space="0"/>
              <w:left w:val="single" w:color="000000" w:sz="4" w:space="0"/>
              <w:bottom w:val="single" w:color="000000" w:sz="4" w:space="0"/>
              <w:right w:val="single" w:color="000000" w:sz="4" w:space="0"/>
            </w:tcBorders>
            <w:vAlign w:val="center"/>
          </w:tcPr>
          <w:p w14:paraId="3C9CA3C9">
            <w:pPr>
              <w:jc w:val="center"/>
              <w:rPr>
                <w:rStyle w:val="39"/>
                <w:rFonts w:ascii="宋体" w:hAnsi="宋体"/>
                <w:szCs w:val="21"/>
              </w:rPr>
            </w:pPr>
            <w:r>
              <w:rPr>
                <w:rStyle w:val="39"/>
                <w:rFonts w:ascii="宋体" w:hAnsi="宋体"/>
                <w:szCs w:val="21"/>
              </w:rPr>
              <w:t>安全生产考核合格证书</w:t>
            </w:r>
          </w:p>
        </w:tc>
        <w:tc>
          <w:tcPr>
            <w:tcW w:w="5244" w:type="dxa"/>
            <w:gridSpan w:val="3"/>
            <w:tcBorders>
              <w:top w:val="single" w:color="000000" w:sz="4" w:space="0"/>
              <w:left w:val="single" w:color="000000" w:sz="4" w:space="0"/>
              <w:bottom w:val="single" w:color="000000" w:sz="4" w:space="0"/>
              <w:right w:val="single" w:color="000000" w:sz="4" w:space="0"/>
            </w:tcBorders>
            <w:vAlign w:val="center"/>
          </w:tcPr>
          <w:p w14:paraId="1895D409">
            <w:pPr>
              <w:jc w:val="center"/>
              <w:rPr>
                <w:rStyle w:val="39"/>
                <w:rFonts w:ascii="宋体" w:hAnsi="宋体"/>
                <w:szCs w:val="21"/>
              </w:rPr>
            </w:pPr>
          </w:p>
        </w:tc>
      </w:tr>
      <w:tr w14:paraId="08D8ED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4328ABEC">
            <w:pPr>
              <w:jc w:val="center"/>
              <w:rPr>
                <w:rStyle w:val="39"/>
                <w:rFonts w:ascii="宋体" w:hAnsi="宋体"/>
                <w:szCs w:val="21"/>
              </w:rPr>
            </w:pPr>
            <w:r>
              <w:rPr>
                <w:rStyle w:val="39"/>
                <w:rFonts w:ascii="宋体" w:hAnsi="宋体"/>
                <w:szCs w:val="21"/>
              </w:rPr>
              <w:t>毕业学校</w:t>
            </w:r>
          </w:p>
        </w:tc>
        <w:tc>
          <w:tcPr>
            <w:tcW w:w="7413" w:type="dxa"/>
            <w:gridSpan w:val="5"/>
            <w:tcBorders>
              <w:top w:val="single" w:color="000000" w:sz="4" w:space="0"/>
              <w:left w:val="single" w:color="000000" w:sz="4" w:space="0"/>
              <w:bottom w:val="single" w:color="000000" w:sz="4" w:space="0"/>
              <w:right w:val="single" w:color="000000" w:sz="4" w:space="0"/>
            </w:tcBorders>
            <w:vAlign w:val="center"/>
          </w:tcPr>
          <w:p w14:paraId="551B4257">
            <w:pPr>
              <w:ind w:firstLine="840" w:firstLineChars="400"/>
              <w:rPr>
                <w:rStyle w:val="39"/>
                <w:rFonts w:ascii="宋体" w:hAnsi="宋体"/>
                <w:szCs w:val="21"/>
              </w:rPr>
            </w:pPr>
            <w:r>
              <w:rPr>
                <w:rStyle w:val="39"/>
                <w:rFonts w:ascii="宋体" w:hAnsi="宋体"/>
                <w:szCs w:val="21"/>
              </w:rPr>
              <w:t>年毕业于                  学校            专业</w:t>
            </w:r>
          </w:p>
        </w:tc>
      </w:tr>
      <w:tr w14:paraId="307825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8505" w:type="dxa"/>
            <w:gridSpan w:val="6"/>
            <w:tcBorders>
              <w:top w:val="single" w:color="000000" w:sz="4" w:space="0"/>
              <w:left w:val="single" w:color="000000" w:sz="4" w:space="0"/>
              <w:bottom w:val="single" w:color="000000" w:sz="4" w:space="0"/>
              <w:right w:val="single" w:color="000000" w:sz="4" w:space="0"/>
            </w:tcBorders>
            <w:vAlign w:val="center"/>
          </w:tcPr>
          <w:p w14:paraId="4C9467D4">
            <w:pPr>
              <w:jc w:val="center"/>
              <w:rPr>
                <w:rStyle w:val="39"/>
                <w:rFonts w:ascii="宋体" w:hAnsi="宋体"/>
                <w:szCs w:val="21"/>
              </w:rPr>
            </w:pPr>
            <w:r>
              <w:rPr>
                <w:rStyle w:val="39"/>
                <w:rFonts w:ascii="宋体" w:hAnsi="宋体"/>
                <w:szCs w:val="21"/>
              </w:rPr>
              <w:t>主要工作经历</w:t>
            </w:r>
          </w:p>
        </w:tc>
      </w:tr>
      <w:tr w14:paraId="141F5EF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54"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6176041E">
            <w:pPr>
              <w:jc w:val="center"/>
              <w:rPr>
                <w:rStyle w:val="39"/>
                <w:rFonts w:ascii="宋体" w:hAnsi="宋体"/>
                <w:szCs w:val="21"/>
              </w:rPr>
            </w:pPr>
            <w:r>
              <w:rPr>
                <w:rStyle w:val="39"/>
                <w:rFonts w:ascii="宋体" w:hAnsi="宋体"/>
                <w:szCs w:val="21"/>
              </w:rPr>
              <w:t>时  间</w:t>
            </w: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0F72E713">
            <w:pPr>
              <w:jc w:val="center"/>
              <w:rPr>
                <w:rStyle w:val="39"/>
                <w:rFonts w:ascii="宋体" w:hAnsi="宋体"/>
                <w:szCs w:val="21"/>
              </w:rPr>
            </w:pPr>
            <w:r>
              <w:rPr>
                <w:rStyle w:val="39"/>
                <w:rFonts w:ascii="宋体" w:hAnsi="宋体"/>
                <w:szCs w:val="21"/>
              </w:rPr>
              <w:t>参加过的类似工程名称</w:t>
            </w:r>
          </w:p>
        </w:tc>
        <w:tc>
          <w:tcPr>
            <w:tcW w:w="1843" w:type="dxa"/>
            <w:tcBorders>
              <w:top w:val="single" w:color="000000" w:sz="4" w:space="0"/>
              <w:left w:val="single" w:color="000000" w:sz="4" w:space="0"/>
              <w:bottom w:val="single" w:color="000000" w:sz="4" w:space="0"/>
              <w:right w:val="single" w:color="000000" w:sz="4" w:space="0"/>
            </w:tcBorders>
            <w:vAlign w:val="center"/>
          </w:tcPr>
          <w:p w14:paraId="69AB4ADF">
            <w:pPr>
              <w:jc w:val="center"/>
              <w:rPr>
                <w:rStyle w:val="39"/>
                <w:rFonts w:ascii="宋体" w:hAnsi="宋体"/>
                <w:szCs w:val="21"/>
              </w:rPr>
            </w:pPr>
            <w:r>
              <w:rPr>
                <w:rStyle w:val="39"/>
                <w:rFonts w:ascii="宋体" w:hAnsi="宋体"/>
                <w:szCs w:val="21"/>
              </w:rPr>
              <w:t>工程概况说明</w:t>
            </w:r>
          </w:p>
        </w:tc>
        <w:tc>
          <w:tcPr>
            <w:tcW w:w="2126" w:type="dxa"/>
            <w:tcBorders>
              <w:top w:val="single" w:color="000000" w:sz="4" w:space="0"/>
              <w:left w:val="single" w:color="000000" w:sz="4" w:space="0"/>
              <w:bottom w:val="single" w:color="000000" w:sz="4" w:space="0"/>
              <w:right w:val="single" w:color="000000" w:sz="4" w:space="0"/>
            </w:tcBorders>
            <w:vAlign w:val="center"/>
          </w:tcPr>
          <w:p w14:paraId="6D3F53E9">
            <w:pPr>
              <w:jc w:val="center"/>
              <w:rPr>
                <w:rStyle w:val="39"/>
                <w:rFonts w:ascii="宋体" w:hAnsi="宋体"/>
                <w:szCs w:val="21"/>
              </w:rPr>
            </w:pPr>
            <w:r>
              <w:rPr>
                <w:rStyle w:val="39"/>
                <w:rFonts w:ascii="宋体" w:hAnsi="宋体"/>
                <w:szCs w:val="21"/>
              </w:rPr>
              <w:t>发包人及联系电话</w:t>
            </w:r>
          </w:p>
        </w:tc>
      </w:tr>
      <w:tr w14:paraId="23326CD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4E3F7658">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56E63DD0">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044ACD9C">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0AA391B2">
            <w:pPr>
              <w:jc w:val="center"/>
              <w:rPr>
                <w:rStyle w:val="39"/>
                <w:rFonts w:ascii="宋体" w:hAnsi="宋体"/>
                <w:szCs w:val="21"/>
              </w:rPr>
            </w:pPr>
          </w:p>
        </w:tc>
      </w:tr>
      <w:tr w14:paraId="7DEBE9A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6BA7ED91">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158EC163">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3A28DF5B">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7B498C0A">
            <w:pPr>
              <w:jc w:val="center"/>
              <w:rPr>
                <w:rStyle w:val="39"/>
                <w:rFonts w:ascii="宋体" w:hAnsi="宋体"/>
                <w:szCs w:val="21"/>
              </w:rPr>
            </w:pPr>
          </w:p>
        </w:tc>
      </w:tr>
      <w:tr w14:paraId="07B4B10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11DAA90B">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37D504C6">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0D6C57BB">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29DD4253">
            <w:pPr>
              <w:jc w:val="center"/>
              <w:rPr>
                <w:rStyle w:val="39"/>
                <w:rFonts w:ascii="宋体" w:hAnsi="宋体"/>
                <w:szCs w:val="21"/>
              </w:rPr>
            </w:pPr>
          </w:p>
        </w:tc>
      </w:tr>
      <w:tr w14:paraId="22D66FD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5C8B46E6">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0E6A73EE">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52F75E74">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5384A044">
            <w:pPr>
              <w:jc w:val="center"/>
              <w:rPr>
                <w:rStyle w:val="39"/>
                <w:rFonts w:ascii="宋体" w:hAnsi="宋体"/>
                <w:szCs w:val="21"/>
              </w:rPr>
            </w:pPr>
          </w:p>
        </w:tc>
      </w:tr>
      <w:tr w14:paraId="79F34EA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1DDFE430">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05D74177">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73397DCB">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1B856CC7">
            <w:pPr>
              <w:jc w:val="center"/>
              <w:rPr>
                <w:rStyle w:val="39"/>
                <w:rFonts w:ascii="宋体" w:hAnsi="宋体"/>
                <w:szCs w:val="21"/>
              </w:rPr>
            </w:pPr>
          </w:p>
        </w:tc>
      </w:tr>
      <w:tr w14:paraId="0AFE0D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31461DCC">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6F279C02">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1CE79DB4">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0DA8521B">
            <w:pPr>
              <w:jc w:val="center"/>
              <w:rPr>
                <w:rStyle w:val="39"/>
                <w:rFonts w:ascii="宋体" w:hAnsi="宋体"/>
                <w:szCs w:val="21"/>
              </w:rPr>
            </w:pPr>
          </w:p>
        </w:tc>
      </w:tr>
      <w:tr w14:paraId="4D82F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7D3D76FF">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24C18C85">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0AD5C8C6">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535CB8E0">
            <w:pPr>
              <w:jc w:val="center"/>
              <w:rPr>
                <w:rStyle w:val="39"/>
                <w:rFonts w:ascii="宋体" w:hAnsi="宋体"/>
                <w:szCs w:val="21"/>
              </w:rPr>
            </w:pPr>
          </w:p>
        </w:tc>
      </w:tr>
      <w:tr w14:paraId="4602091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80" w:hRule="atLeast"/>
          <w:jc w:val="center"/>
        </w:trPr>
        <w:tc>
          <w:tcPr>
            <w:tcW w:w="1092" w:type="dxa"/>
            <w:tcBorders>
              <w:top w:val="single" w:color="000000" w:sz="4" w:space="0"/>
              <w:left w:val="single" w:color="000000" w:sz="4" w:space="0"/>
              <w:bottom w:val="single" w:color="000000" w:sz="4" w:space="0"/>
              <w:right w:val="single" w:color="000000" w:sz="4" w:space="0"/>
            </w:tcBorders>
            <w:vAlign w:val="center"/>
          </w:tcPr>
          <w:p w14:paraId="1180B74E">
            <w:pPr>
              <w:jc w:val="center"/>
              <w:rPr>
                <w:rStyle w:val="39"/>
                <w:rFonts w:ascii="宋体" w:hAnsi="宋体"/>
                <w:szCs w:val="21"/>
              </w:rPr>
            </w:pPr>
          </w:p>
        </w:tc>
        <w:tc>
          <w:tcPr>
            <w:tcW w:w="3444" w:type="dxa"/>
            <w:gridSpan w:val="3"/>
            <w:tcBorders>
              <w:top w:val="single" w:color="000000" w:sz="4" w:space="0"/>
              <w:left w:val="single" w:color="000000" w:sz="4" w:space="0"/>
              <w:bottom w:val="single" w:color="000000" w:sz="4" w:space="0"/>
              <w:right w:val="single" w:color="000000" w:sz="4" w:space="0"/>
            </w:tcBorders>
            <w:vAlign w:val="center"/>
          </w:tcPr>
          <w:p w14:paraId="14FE36F0">
            <w:pPr>
              <w:jc w:val="center"/>
              <w:rPr>
                <w:rStyle w:val="39"/>
                <w:rFonts w:ascii="宋体" w:hAnsi="宋体"/>
                <w:szCs w:val="21"/>
              </w:rPr>
            </w:pPr>
          </w:p>
        </w:tc>
        <w:tc>
          <w:tcPr>
            <w:tcW w:w="1843" w:type="dxa"/>
            <w:tcBorders>
              <w:top w:val="single" w:color="000000" w:sz="4" w:space="0"/>
              <w:left w:val="single" w:color="000000" w:sz="4" w:space="0"/>
              <w:bottom w:val="single" w:color="000000" w:sz="4" w:space="0"/>
              <w:right w:val="single" w:color="000000" w:sz="4" w:space="0"/>
            </w:tcBorders>
            <w:vAlign w:val="center"/>
          </w:tcPr>
          <w:p w14:paraId="0D3B249B">
            <w:pPr>
              <w:jc w:val="center"/>
              <w:rPr>
                <w:rStyle w:val="39"/>
                <w:rFonts w:ascii="宋体" w:hAnsi="宋体"/>
                <w:szCs w:val="21"/>
              </w:rPr>
            </w:pPr>
          </w:p>
        </w:tc>
        <w:tc>
          <w:tcPr>
            <w:tcW w:w="2126" w:type="dxa"/>
            <w:tcBorders>
              <w:top w:val="single" w:color="000000" w:sz="4" w:space="0"/>
              <w:left w:val="single" w:color="000000" w:sz="4" w:space="0"/>
              <w:bottom w:val="single" w:color="000000" w:sz="4" w:space="0"/>
              <w:right w:val="single" w:color="000000" w:sz="4" w:space="0"/>
            </w:tcBorders>
            <w:vAlign w:val="center"/>
          </w:tcPr>
          <w:p w14:paraId="22B9EFD6">
            <w:pPr>
              <w:jc w:val="center"/>
              <w:rPr>
                <w:rStyle w:val="39"/>
                <w:rFonts w:ascii="宋体" w:hAnsi="宋体"/>
                <w:szCs w:val="21"/>
              </w:rPr>
            </w:pPr>
          </w:p>
        </w:tc>
      </w:tr>
    </w:tbl>
    <w:p w14:paraId="430D1ABB">
      <w:pPr>
        <w:spacing w:line="420" w:lineRule="exact"/>
        <w:ind w:firstLine="420" w:firstLineChars="200"/>
        <w:rPr>
          <w:rStyle w:val="39"/>
          <w:rFonts w:ascii="宋体" w:hAnsi="宋体"/>
          <w:szCs w:val="21"/>
        </w:rPr>
      </w:pPr>
      <w:r>
        <w:rPr>
          <w:rStyle w:val="39"/>
          <w:rFonts w:ascii="宋体" w:hAnsi="宋体"/>
          <w:bCs/>
          <w:szCs w:val="21"/>
        </w:rPr>
        <w:t>注：评分细则加分的项目经理业绩须同时附在本表中。</w:t>
      </w:r>
      <w:r>
        <w:rPr>
          <w:rStyle w:val="39"/>
          <w:rFonts w:ascii="宋体" w:hAnsi="宋体"/>
          <w:szCs w:val="21"/>
        </w:rPr>
        <w:br w:type="page"/>
      </w:r>
    </w:p>
    <w:p w14:paraId="739615D4">
      <w:pPr>
        <w:rPr>
          <w:rStyle w:val="39"/>
          <w:rFonts w:ascii="宋体" w:hAnsi="宋体"/>
          <w:szCs w:val="21"/>
        </w:rPr>
      </w:pPr>
    </w:p>
    <w:p w14:paraId="4E1CDB74">
      <w:pPr>
        <w:rPr>
          <w:rStyle w:val="39"/>
          <w:rFonts w:ascii="宋体" w:hAnsi="宋体"/>
          <w:szCs w:val="21"/>
        </w:rPr>
      </w:pPr>
    </w:p>
    <w:p w14:paraId="08A50D8A">
      <w:pPr>
        <w:rPr>
          <w:rStyle w:val="39"/>
          <w:rFonts w:ascii="宋体" w:hAnsi="宋体"/>
          <w:szCs w:val="21"/>
        </w:rPr>
      </w:pPr>
      <w:r>
        <w:rPr>
          <w:rStyle w:val="39"/>
          <w:rFonts w:ascii="宋体" w:hAnsi="宋体"/>
          <w:szCs w:val="21"/>
        </w:rPr>
        <w:t>附3：承诺书</w:t>
      </w:r>
    </w:p>
    <w:p w14:paraId="6CB523B8">
      <w:pPr>
        <w:spacing w:line="440" w:lineRule="exact"/>
        <w:jc w:val="center"/>
        <w:rPr>
          <w:rStyle w:val="39"/>
          <w:rFonts w:ascii="宋体" w:hAnsi="宋体"/>
          <w:szCs w:val="21"/>
        </w:rPr>
      </w:pPr>
    </w:p>
    <w:p w14:paraId="38A11857">
      <w:pPr>
        <w:spacing w:line="440" w:lineRule="exact"/>
        <w:jc w:val="right"/>
        <w:rPr>
          <w:rStyle w:val="39"/>
          <w:rFonts w:ascii="宋体"/>
        </w:rPr>
      </w:pPr>
    </w:p>
    <w:p w14:paraId="68DFBDA4">
      <w:pPr>
        <w:jc w:val="center"/>
        <w:rPr>
          <w:rStyle w:val="39"/>
          <w:rFonts w:ascii="宋体"/>
          <w:sz w:val="28"/>
          <w:szCs w:val="28"/>
        </w:rPr>
      </w:pPr>
      <w:r>
        <w:rPr>
          <w:rStyle w:val="39"/>
          <w:rFonts w:hint="eastAsia" w:ascii="宋体"/>
          <w:sz w:val="28"/>
          <w:szCs w:val="28"/>
        </w:rPr>
        <w:t>承诺书</w:t>
      </w:r>
    </w:p>
    <w:p w14:paraId="2C84AD9F">
      <w:pPr>
        <w:spacing w:after="240" w:line="440" w:lineRule="exact"/>
        <w:rPr>
          <w:rStyle w:val="39"/>
          <w:rFonts w:ascii="宋体"/>
        </w:rPr>
      </w:pPr>
      <w:r>
        <w:rPr>
          <w:rStyle w:val="39"/>
          <w:rFonts w:ascii="宋体"/>
          <w:position w:val="-7"/>
        </w:rPr>
        <w:t>————————</w:t>
      </w:r>
      <w:r>
        <w:rPr>
          <w:rStyle w:val="39"/>
          <w:rFonts w:ascii="宋体"/>
        </w:rPr>
        <w:t>（招标人名称）：</w:t>
      </w:r>
    </w:p>
    <w:p w14:paraId="0494F53B">
      <w:pPr>
        <w:spacing w:line="440" w:lineRule="exact"/>
        <w:ind w:firstLine="200"/>
        <w:rPr>
          <w:rStyle w:val="39"/>
          <w:rFonts w:ascii="宋体"/>
        </w:rPr>
      </w:pPr>
      <w:r>
        <w:rPr>
          <w:rStyle w:val="39"/>
          <w:rFonts w:hint="eastAsia" w:ascii="宋体"/>
        </w:rPr>
        <w:t>针对</w:t>
      </w:r>
      <w:r>
        <w:rPr>
          <w:rStyle w:val="39"/>
          <w:rFonts w:hint="eastAsia" w:ascii="宋体"/>
          <w:u w:val="single"/>
        </w:rPr>
        <w:t xml:space="preserve">           </w:t>
      </w:r>
      <w:r>
        <w:rPr>
          <w:rStyle w:val="39"/>
          <w:rFonts w:hint="eastAsia" w:ascii="宋体"/>
        </w:rPr>
        <w:t>项目，我方承诺：</w:t>
      </w:r>
    </w:p>
    <w:p w14:paraId="00BB4F39">
      <w:pPr>
        <w:spacing w:line="440" w:lineRule="exact"/>
        <w:ind w:firstLine="200"/>
        <w:rPr>
          <w:rStyle w:val="39"/>
          <w:rFonts w:ascii="宋体"/>
        </w:rPr>
      </w:pPr>
      <w:r>
        <w:rPr>
          <w:rStyle w:val="39"/>
          <w:rFonts w:hint="eastAsia" w:ascii="宋体"/>
        </w:rPr>
        <w:t>一、</w:t>
      </w:r>
      <w:r>
        <w:rPr>
          <w:rStyle w:val="39"/>
          <w:rFonts w:ascii="宋体"/>
        </w:rPr>
        <w:t>我方拟派往（项目名称）（以下简称“本工程”）的项目经理（项目经理姓名）现阶段没有担任任何在施建设工程项目的项目经理。</w:t>
      </w:r>
    </w:p>
    <w:p w14:paraId="46A03F17">
      <w:pPr>
        <w:spacing w:line="440" w:lineRule="exact"/>
        <w:ind w:firstLine="200"/>
        <w:rPr>
          <w:rStyle w:val="39"/>
          <w:rFonts w:ascii="宋体"/>
        </w:rPr>
      </w:pPr>
      <w:r>
        <w:rPr>
          <w:rStyle w:val="39"/>
          <w:rFonts w:hint="eastAsia" w:ascii="宋体"/>
        </w:rPr>
        <w:t>二、中标后现场管理班子均为我单位正式职工，已连续缴纳社保半年以上，确保到岗不少于</w:t>
      </w:r>
      <w:r>
        <w:rPr>
          <w:rStyle w:val="39"/>
          <w:rFonts w:hint="eastAsia" w:ascii="宋体"/>
          <w:u w:val="single"/>
        </w:rPr>
        <w:t xml:space="preserve">    </w:t>
      </w:r>
      <w:r>
        <w:rPr>
          <w:rStyle w:val="39"/>
          <w:rFonts w:hint="eastAsia" w:ascii="宋体"/>
        </w:rPr>
        <w:t>人，每少一人承担</w:t>
      </w:r>
      <w:r>
        <w:rPr>
          <w:rStyle w:val="39"/>
          <w:rFonts w:hint="eastAsia" w:ascii="宋体"/>
          <w:u w:val="single"/>
        </w:rPr>
        <w:t xml:space="preserve"> 1 </w:t>
      </w:r>
      <w:r>
        <w:rPr>
          <w:rStyle w:val="39"/>
          <w:rFonts w:hint="eastAsia" w:ascii="宋体"/>
        </w:rPr>
        <w:t>万元的赔偿且在施工期间未经发包人允许绝不擅自更换；</w:t>
      </w:r>
    </w:p>
    <w:p w14:paraId="2D14704A">
      <w:pPr>
        <w:spacing w:line="440" w:lineRule="exact"/>
        <w:ind w:firstLine="200"/>
        <w:rPr>
          <w:rStyle w:val="39"/>
          <w:rFonts w:ascii="宋体"/>
        </w:rPr>
      </w:pPr>
      <w:r>
        <w:rPr>
          <w:rStyle w:val="39"/>
          <w:rFonts w:hint="eastAsia" w:ascii="宋体"/>
        </w:rPr>
        <w:t>三、项目经理现场履职每月不少于25天，每少一天自愿接受考核</w:t>
      </w:r>
      <w:r>
        <w:rPr>
          <w:rStyle w:val="39"/>
          <w:rFonts w:hint="eastAsia" w:ascii="宋体"/>
          <w:u w:val="single"/>
        </w:rPr>
        <w:t>1000</w:t>
      </w:r>
      <w:r>
        <w:rPr>
          <w:rStyle w:val="39"/>
          <w:rFonts w:hint="eastAsia" w:ascii="宋体"/>
        </w:rPr>
        <w:t>元/天。四、若我方违背上述承诺，视为工程转包、挂靠行为，除承担合同约定的违约责任外，</w:t>
      </w:r>
      <w:r>
        <w:rPr>
          <w:rStyle w:val="39"/>
          <w:rFonts w:ascii="宋体"/>
        </w:rPr>
        <w:t>并愿意承担因我方就此弄虚作假所引起的一切法律后果。</w:t>
      </w:r>
    </w:p>
    <w:p w14:paraId="173E7D64">
      <w:pPr>
        <w:spacing w:line="440" w:lineRule="exact"/>
        <w:ind w:firstLine="200"/>
        <w:rPr>
          <w:rStyle w:val="39"/>
          <w:rFonts w:ascii="宋体"/>
        </w:rPr>
      </w:pPr>
    </w:p>
    <w:p w14:paraId="24FFE002">
      <w:pPr>
        <w:rPr>
          <w:rStyle w:val="39"/>
          <w:rFonts w:ascii="宋体"/>
        </w:rPr>
      </w:pPr>
    </w:p>
    <w:p w14:paraId="762818E5">
      <w:pPr>
        <w:rPr>
          <w:rStyle w:val="39"/>
          <w:rFonts w:ascii="宋体"/>
        </w:rPr>
      </w:pPr>
    </w:p>
    <w:p w14:paraId="4069FF36">
      <w:pPr>
        <w:ind w:firstLine="1800"/>
        <w:rPr>
          <w:rStyle w:val="39"/>
          <w:rFonts w:ascii="宋体"/>
        </w:rPr>
      </w:pPr>
    </w:p>
    <w:p w14:paraId="22899210">
      <w:pPr>
        <w:ind w:firstLine="1800"/>
        <w:rPr>
          <w:rStyle w:val="39"/>
          <w:rFonts w:ascii="宋体"/>
        </w:rPr>
      </w:pPr>
    </w:p>
    <w:p w14:paraId="2B17E74B">
      <w:pPr>
        <w:ind w:firstLine="1800"/>
        <w:rPr>
          <w:rStyle w:val="39"/>
          <w:rFonts w:ascii="宋体"/>
        </w:rPr>
      </w:pPr>
    </w:p>
    <w:p w14:paraId="1F9DCDE8">
      <w:pPr>
        <w:ind w:firstLine="1800"/>
        <w:rPr>
          <w:rStyle w:val="39"/>
          <w:rFonts w:ascii="宋体"/>
        </w:rPr>
      </w:pPr>
    </w:p>
    <w:p w14:paraId="13DE9D6D">
      <w:pPr>
        <w:ind w:firstLine="1800"/>
        <w:rPr>
          <w:rStyle w:val="39"/>
          <w:rFonts w:ascii="宋体"/>
        </w:rPr>
      </w:pPr>
    </w:p>
    <w:p w14:paraId="61806ED7">
      <w:pPr>
        <w:ind w:firstLine="1800"/>
        <w:rPr>
          <w:rStyle w:val="39"/>
          <w:rFonts w:ascii="宋体"/>
        </w:rPr>
      </w:pPr>
    </w:p>
    <w:p w14:paraId="488011D5">
      <w:pPr>
        <w:ind w:firstLine="1800"/>
        <w:rPr>
          <w:rStyle w:val="39"/>
          <w:rFonts w:ascii="宋体"/>
        </w:rPr>
      </w:pPr>
    </w:p>
    <w:p w14:paraId="39330AC2">
      <w:pPr>
        <w:ind w:firstLine="1800"/>
        <w:rPr>
          <w:rStyle w:val="39"/>
          <w:rFonts w:ascii="宋体"/>
        </w:rPr>
      </w:pPr>
    </w:p>
    <w:p w14:paraId="36577050">
      <w:pPr>
        <w:ind w:firstLine="3780" w:firstLineChars="1800"/>
        <w:rPr>
          <w:rStyle w:val="39"/>
          <w:rFonts w:ascii="宋体"/>
        </w:rPr>
      </w:pPr>
      <w:r>
        <w:rPr>
          <w:rStyle w:val="39"/>
          <w:rFonts w:hint="eastAsia" w:ascii="宋体"/>
        </w:rPr>
        <w:t>公司法律人员或法务部门签字盖章</w:t>
      </w:r>
    </w:p>
    <w:p w14:paraId="4A1F867F">
      <w:pPr>
        <w:rPr>
          <w:rStyle w:val="39"/>
          <w:rFonts w:ascii="宋体"/>
        </w:rPr>
      </w:pPr>
    </w:p>
    <w:p w14:paraId="4324351A">
      <w:pPr>
        <w:ind w:firstLine="3780" w:firstLineChars="1800"/>
        <w:rPr>
          <w:rStyle w:val="39"/>
          <w:rFonts w:ascii="宋体"/>
        </w:rPr>
      </w:pPr>
      <w:r>
        <w:rPr>
          <w:rStyle w:val="39"/>
          <w:rFonts w:hint="eastAsia" w:ascii="宋体"/>
        </w:rPr>
        <w:t xml:space="preserve">投标单位：     （公章）             </w:t>
      </w:r>
    </w:p>
    <w:p w14:paraId="5C18EADB">
      <w:pPr>
        <w:rPr>
          <w:rStyle w:val="39"/>
          <w:rFonts w:ascii="宋体"/>
        </w:rPr>
      </w:pPr>
      <w:r>
        <w:rPr>
          <w:rStyle w:val="39"/>
          <w:rFonts w:hint="eastAsia" w:ascii="宋体"/>
        </w:rPr>
        <w:t xml:space="preserve">                                  </w:t>
      </w:r>
    </w:p>
    <w:p w14:paraId="3840E20E">
      <w:pPr>
        <w:ind w:firstLine="3780" w:firstLineChars="1800"/>
        <w:rPr>
          <w:rStyle w:val="39"/>
          <w:rFonts w:ascii="宋体"/>
        </w:rPr>
      </w:pPr>
      <w:r>
        <w:rPr>
          <w:rStyle w:val="39"/>
          <w:rFonts w:hint="eastAsia" w:ascii="宋体"/>
        </w:rPr>
        <w:t>法人签字：</w:t>
      </w:r>
    </w:p>
    <w:p w14:paraId="3C89CDB9">
      <w:pPr>
        <w:pStyle w:val="2"/>
        <w:ind w:left="420" w:firstLine="420"/>
      </w:pPr>
    </w:p>
    <w:p w14:paraId="465AAF0E">
      <w:pPr>
        <w:rPr>
          <w:rStyle w:val="39"/>
          <w:rFonts w:hint="eastAsia" w:ascii="宋体" w:hAnsi="宋体"/>
          <w:szCs w:val="21"/>
        </w:rPr>
      </w:pPr>
    </w:p>
    <w:p w14:paraId="6CA0EAFE">
      <w:pPr>
        <w:rPr>
          <w:rStyle w:val="39"/>
          <w:rFonts w:hint="eastAsia" w:ascii="宋体" w:hAnsi="宋体"/>
          <w:szCs w:val="21"/>
        </w:rPr>
      </w:pPr>
    </w:p>
    <w:p w14:paraId="24D327F0">
      <w:pPr>
        <w:rPr>
          <w:rStyle w:val="39"/>
          <w:rFonts w:hint="eastAsia" w:ascii="宋体" w:hAnsi="宋体"/>
          <w:szCs w:val="21"/>
        </w:rPr>
      </w:pPr>
    </w:p>
    <w:p w14:paraId="0A14727A">
      <w:pPr>
        <w:rPr>
          <w:rStyle w:val="39"/>
          <w:rFonts w:hint="eastAsia" w:ascii="宋体" w:hAnsi="宋体"/>
          <w:szCs w:val="21"/>
        </w:rPr>
      </w:pPr>
    </w:p>
    <w:p w14:paraId="1E50EF91"/>
    <w:p w14:paraId="5D5B33F4">
      <w:pPr>
        <w:rPr>
          <w:rFonts w:hint="eastAsia"/>
          <w:sz w:val="30"/>
          <w:szCs w:val="30"/>
        </w:rPr>
      </w:pPr>
      <w:bookmarkStart w:id="1415" w:name="_Toc13419"/>
      <w:bookmarkStart w:id="1416" w:name="_Toc10418"/>
      <w:r>
        <w:rPr>
          <w:rFonts w:hint="eastAsia"/>
          <w:sz w:val="30"/>
          <w:szCs w:val="30"/>
        </w:rPr>
        <w:br w:type="page"/>
      </w:r>
    </w:p>
    <w:p w14:paraId="6F7D7DEB">
      <w:pPr>
        <w:pStyle w:val="7"/>
        <w:spacing w:before="0" w:after="0" w:line="480" w:lineRule="auto"/>
        <w:jc w:val="center"/>
        <w:rPr>
          <w:sz w:val="30"/>
          <w:szCs w:val="30"/>
        </w:rPr>
      </w:pPr>
      <w:r>
        <w:rPr>
          <w:rFonts w:hint="eastAsia"/>
          <w:sz w:val="30"/>
          <w:szCs w:val="30"/>
        </w:rPr>
        <w:t>八、其他材料</w:t>
      </w:r>
      <w:bookmarkEnd w:id="1413"/>
      <w:bookmarkEnd w:id="1415"/>
      <w:bookmarkEnd w:id="1416"/>
    </w:p>
    <w:p w14:paraId="45682329">
      <w:pPr>
        <w:spacing w:line="500" w:lineRule="exact"/>
        <w:jc w:val="center"/>
        <w:rPr>
          <w:rStyle w:val="39"/>
          <w:rFonts w:hint="eastAsia" w:ascii="宋体" w:hAnsi="宋体"/>
          <w:b/>
          <w:szCs w:val="21"/>
        </w:rPr>
      </w:pPr>
      <w:r>
        <w:rPr>
          <w:rStyle w:val="39"/>
          <w:rFonts w:ascii="宋体" w:hAnsi="宋体"/>
          <w:b/>
          <w:szCs w:val="21"/>
        </w:rPr>
        <w:t>（格式自行设定）</w:t>
      </w:r>
    </w:p>
    <w:p w14:paraId="483215E3">
      <w:pPr>
        <w:rPr>
          <w:rStyle w:val="39"/>
          <w:rFonts w:hint="eastAsia" w:ascii="宋体" w:hAnsi="宋体"/>
        </w:rPr>
      </w:pPr>
    </w:p>
    <w:p w14:paraId="2476516E">
      <w:pPr>
        <w:rPr>
          <w:rStyle w:val="39"/>
          <w:rFonts w:hint="eastAsia" w:ascii="宋体" w:hAnsi="宋体"/>
        </w:rPr>
      </w:pPr>
    </w:p>
    <w:p w14:paraId="1BFDAFF5">
      <w:pPr>
        <w:spacing w:line="360" w:lineRule="auto"/>
        <w:rPr>
          <w:rStyle w:val="39"/>
          <w:rFonts w:hint="eastAsia" w:ascii="宋体" w:hAnsi="宋体"/>
        </w:rPr>
      </w:pPr>
      <w:r>
        <w:rPr>
          <w:rStyle w:val="39"/>
          <w:rFonts w:ascii="宋体" w:hAnsi="宋体"/>
        </w:rPr>
        <w:t>备注：对于招标文件要求的内容，招标文件有固定格式的执行固定格式，没有格式的自行设计格式。</w:t>
      </w:r>
    </w:p>
    <w:p w14:paraId="5C811926">
      <w:pPr>
        <w:rPr>
          <w:rStyle w:val="39"/>
          <w:rFonts w:hint="eastAsia" w:ascii="宋体" w:hAnsi="宋体"/>
        </w:rPr>
      </w:pPr>
      <w:r>
        <w:rPr>
          <w:rStyle w:val="39"/>
          <w:rFonts w:ascii="宋体" w:hAnsi="宋体"/>
        </w:rPr>
        <w:br w:type="page"/>
      </w:r>
    </w:p>
    <w:p w14:paraId="4288654C">
      <w:pPr>
        <w:pStyle w:val="6"/>
        <w:jc w:val="center"/>
        <w:rPr>
          <w:i w:val="0"/>
          <w:iCs w:val="0"/>
          <w:sz w:val="32"/>
          <w:szCs w:val="32"/>
        </w:rPr>
      </w:pPr>
      <w:r>
        <w:rPr>
          <w:i w:val="0"/>
          <w:iCs w:val="0"/>
          <w:sz w:val="32"/>
          <w:szCs w:val="32"/>
        </w:rPr>
        <w:t>第九章  资格审查文件</w:t>
      </w:r>
      <w:bookmarkEnd w:id="1409"/>
      <w:bookmarkEnd w:id="1410"/>
      <w:bookmarkEnd w:id="1411"/>
      <w:bookmarkEnd w:id="1412"/>
    </w:p>
    <w:p w14:paraId="099C7335"/>
    <w:p w14:paraId="7CAF4DF4"/>
    <w:p w14:paraId="75DEB807">
      <w:pPr>
        <w:jc w:val="center"/>
        <w:rPr>
          <w:rStyle w:val="39"/>
          <w:rFonts w:hint="eastAsia" w:ascii="宋体" w:hAnsi="宋体"/>
          <w:sz w:val="28"/>
          <w:szCs w:val="28"/>
        </w:rPr>
      </w:pPr>
      <w:r>
        <w:rPr>
          <w:rStyle w:val="39"/>
          <w:rFonts w:ascii="宋体" w:hAnsi="宋体"/>
          <w:sz w:val="28"/>
          <w:szCs w:val="28"/>
        </w:rPr>
        <w:t>（项目名称）</w:t>
      </w:r>
    </w:p>
    <w:p w14:paraId="4259654A">
      <w:pPr>
        <w:spacing w:before="240"/>
        <w:jc w:val="center"/>
        <w:rPr>
          <w:rStyle w:val="39"/>
          <w:rFonts w:hint="eastAsia" w:ascii="宋体" w:hAnsi="宋体"/>
          <w:sz w:val="44"/>
          <w:szCs w:val="44"/>
        </w:rPr>
      </w:pPr>
    </w:p>
    <w:p w14:paraId="6745F61A">
      <w:pPr>
        <w:spacing w:before="240"/>
        <w:jc w:val="center"/>
        <w:rPr>
          <w:rStyle w:val="39"/>
          <w:rFonts w:hint="eastAsia" w:ascii="宋体" w:hAnsi="宋体"/>
          <w:sz w:val="44"/>
          <w:szCs w:val="44"/>
        </w:rPr>
      </w:pPr>
    </w:p>
    <w:p w14:paraId="4D2D19BC">
      <w:pPr>
        <w:spacing w:before="240"/>
        <w:jc w:val="center"/>
        <w:rPr>
          <w:rStyle w:val="39"/>
          <w:rFonts w:hint="eastAsia" w:ascii="宋体" w:hAnsi="宋体"/>
          <w:sz w:val="44"/>
          <w:szCs w:val="44"/>
        </w:rPr>
      </w:pPr>
      <w:r>
        <w:rPr>
          <w:rStyle w:val="39"/>
          <w:rFonts w:ascii="宋体" w:hAnsi="宋体"/>
          <w:sz w:val="44"/>
          <w:szCs w:val="44"/>
        </w:rPr>
        <w:t>资格审查文件</w:t>
      </w:r>
    </w:p>
    <w:p w14:paraId="2116C7B8">
      <w:pPr>
        <w:jc w:val="center"/>
        <w:rPr>
          <w:rStyle w:val="39"/>
          <w:rFonts w:hint="eastAsia" w:ascii="宋体" w:hAnsi="宋体"/>
          <w:sz w:val="32"/>
          <w:szCs w:val="32"/>
        </w:rPr>
      </w:pPr>
    </w:p>
    <w:p w14:paraId="67747399">
      <w:pPr>
        <w:jc w:val="center"/>
        <w:rPr>
          <w:rStyle w:val="39"/>
          <w:rFonts w:hint="eastAsia" w:ascii="宋体" w:hAnsi="宋体"/>
          <w:sz w:val="32"/>
          <w:szCs w:val="32"/>
        </w:rPr>
      </w:pPr>
    </w:p>
    <w:p w14:paraId="06B55996">
      <w:pPr>
        <w:jc w:val="center"/>
        <w:rPr>
          <w:rStyle w:val="39"/>
          <w:rFonts w:hint="eastAsia" w:ascii="宋体" w:hAnsi="宋体"/>
          <w:sz w:val="32"/>
          <w:szCs w:val="32"/>
        </w:rPr>
      </w:pPr>
    </w:p>
    <w:p w14:paraId="5D1DFEEF">
      <w:pPr>
        <w:jc w:val="center"/>
        <w:rPr>
          <w:rStyle w:val="39"/>
          <w:rFonts w:hint="eastAsia" w:ascii="宋体" w:hAnsi="宋体"/>
          <w:sz w:val="32"/>
          <w:szCs w:val="32"/>
        </w:rPr>
      </w:pPr>
    </w:p>
    <w:p w14:paraId="17102795">
      <w:pPr>
        <w:jc w:val="center"/>
        <w:rPr>
          <w:rStyle w:val="39"/>
          <w:rFonts w:hint="eastAsia" w:ascii="宋体" w:hAnsi="宋体"/>
          <w:sz w:val="32"/>
          <w:szCs w:val="32"/>
        </w:rPr>
      </w:pPr>
    </w:p>
    <w:p w14:paraId="5F65A16D">
      <w:pPr>
        <w:jc w:val="center"/>
        <w:rPr>
          <w:rStyle w:val="39"/>
          <w:rFonts w:hint="eastAsia" w:ascii="宋体" w:hAnsi="宋体"/>
          <w:sz w:val="32"/>
          <w:szCs w:val="32"/>
        </w:rPr>
      </w:pPr>
    </w:p>
    <w:p w14:paraId="23F3724F">
      <w:pPr>
        <w:jc w:val="center"/>
        <w:rPr>
          <w:rStyle w:val="39"/>
          <w:rFonts w:hint="eastAsia" w:ascii="宋体" w:hAnsi="宋体"/>
          <w:sz w:val="32"/>
          <w:szCs w:val="32"/>
        </w:rPr>
      </w:pPr>
    </w:p>
    <w:p w14:paraId="1630FC84">
      <w:pPr>
        <w:jc w:val="center"/>
        <w:rPr>
          <w:rStyle w:val="39"/>
          <w:rFonts w:hint="eastAsia" w:ascii="宋体" w:hAnsi="宋体"/>
          <w:sz w:val="32"/>
          <w:szCs w:val="32"/>
        </w:rPr>
      </w:pPr>
    </w:p>
    <w:p w14:paraId="6799FA88">
      <w:pPr>
        <w:jc w:val="center"/>
        <w:rPr>
          <w:rStyle w:val="39"/>
          <w:rFonts w:hint="eastAsia" w:ascii="宋体" w:hAnsi="宋体"/>
          <w:sz w:val="32"/>
          <w:szCs w:val="32"/>
        </w:rPr>
      </w:pPr>
    </w:p>
    <w:p w14:paraId="50BFBE55">
      <w:pPr>
        <w:jc w:val="center"/>
        <w:rPr>
          <w:rStyle w:val="39"/>
          <w:rFonts w:hint="eastAsia" w:ascii="宋体" w:hAnsi="宋体"/>
          <w:sz w:val="32"/>
          <w:szCs w:val="32"/>
        </w:rPr>
      </w:pPr>
    </w:p>
    <w:p w14:paraId="452DB0CD">
      <w:pPr>
        <w:jc w:val="center"/>
        <w:rPr>
          <w:rStyle w:val="39"/>
          <w:rFonts w:hint="eastAsia" w:ascii="宋体" w:hAnsi="宋体"/>
          <w:sz w:val="32"/>
          <w:szCs w:val="32"/>
        </w:rPr>
      </w:pPr>
    </w:p>
    <w:p w14:paraId="27E7EF3A">
      <w:pPr>
        <w:jc w:val="center"/>
        <w:rPr>
          <w:rStyle w:val="39"/>
          <w:rFonts w:hint="eastAsia" w:ascii="宋体" w:hAnsi="宋体"/>
          <w:sz w:val="32"/>
          <w:szCs w:val="32"/>
        </w:rPr>
      </w:pPr>
    </w:p>
    <w:p w14:paraId="20B84AA6">
      <w:pPr>
        <w:jc w:val="center"/>
        <w:rPr>
          <w:rStyle w:val="39"/>
          <w:rFonts w:hint="eastAsia" w:ascii="宋体" w:hAnsi="宋体"/>
          <w:sz w:val="32"/>
          <w:szCs w:val="32"/>
        </w:rPr>
      </w:pPr>
    </w:p>
    <w:p w14:paraId="33B84049">
      <w:pPr>
        <w:jc w:val="center"/>
        <w:rPr>
          <w:rStyle w:val="39"/>
          <w:rFonts w:hint="eastAsia" w:ascii="宋体" w:hAnsi="宋体"/>
          <w:sz w:val="32"/>
          <w:szCs w:val="32"/>
        </w:rPr>
      </w:pPr>
    </w:p>
    <w:p w14:paraId="52A18485">
      <w:pPr>
        <w:jc w:val="center"/>
        <w:rPr>
          <w:rStyle w:val="39"/>
          <w:rFonts w:hint="eastAsia" w:ascii="宋体" w:hAnsi="宋体"/>
          <w:sz w:val="32"/>
          <w:szCs w:val="32"/>
        </w:rPr>
      </w:pPr>
    </w:p>
    <w:p w14:paraId="479D800F">
      <w:pPr>
        <w:spacing w:line="360" w:lineRule="auto"/>
        <w:rPr>
          <w:rStyle w:val="39"/>
          <w:rFonts w:hint="eastAsia" w:ascii="宋体" w:hAnsi="宋体"/>
          <w:sz w:val="28"/>
          <w:szCs w:val="28"/>
        </w:rPr>
      </w:pPr>
      <w:r>
        <w:rPr>
          <w:rStyle w:val="39"/>
          <w:rFonts w:ascii="宋体" w:hAnsi="宋体"/>
          <w:sz w:val="28"/>
          <w:szCs w:val="28"/>
        </w:rPr>
        <w:t xml:space="preserve">   投标人：（盖单位公章）</w:t>
      </w:r>
    </w:p>
    <w:p w14:paraId="78825CCA">
      <w:pPr>
        <w:spacing w:line="360" w:lineRule="auto"/>
        <w:ind w:firstLine="420" w:firstLineChars="150"/>
        <w:rPr>
          <w:rStyle w:val="39"/>
          <w:rFonts w:hint="eastAsia" w:ascii="宋体" w:hAnsi="宋体"/>
          <w:sz w:val="28"/>
          <w:szCs w:val="28"/>
        </w:rPr>
      </w:pPr>
      <w:r>
        <w:rPr>
          <w:rStyle w:val="39"/>
          <w:rFonts w:ascii="宋体" w:hAnsi="宋体"/>
          <w:sz w:val="28"/>
          <w:szCs w:val="28"/>
        </w:rPr>
        <w:t>法定代表人：（签字或盖章）</w:t>
      </w:r>
    </w:p>
    <w:p w14:paraId="38851898">
      <w:pPr>
        <w:jc w:val="center"/>
        <w:rPr>
          <w:rStyle w:val="39"/>
          <w:rFonts w:hint="eastAsia" w:ascii="宋体" w:hAnsi="宋体"/>
          <w:sz w:val="28"/>
          <w:szCs w:val="28"/>
        </w:rPr>
      </w:pPr>
    </w:p>
    <w:p w14:paraId="67F8EED3">
      <w:pPr>
        <w:jc w:val="center"/>
        <w:rPr>
          <w:rStyle w:val="39"/>
          <w:rFonts w:hint="eastAsia" w:ascii="宋体" w:hAnsi="宋体"/>
          <w:sz w:val="28"/>
          <w:szCs w:val="28"/>
        </w:rPr>
      </w:pPr>
    </w:p>
    <w:p w14:paraId="2F2FCF05">
      <w:pPr>
        <w:jc w:val="center"/>
        <w:rPr>
          <w:rStyle w:val="39"/>
          <w:rFonts w:hint="eastAsia" w:ascii="宋体" w:hAnsi="宋体"/>
          <w:sz w:val="28"/>
          <w:szCs w:val="28"/>
        </w:rPr>
      </w:pPr>
    </w:p>
    <w:p w14:paraId="33AD13FD">
      <w:pPr>
        <w:spacing w:before="120" w:after="240" w:line="440" w:lineRule="exact"/>
        <w:jc w:val="center"/>
        <w:rPr>
          <w:rStyle w:val="39"/>
          <w:rFonts w:hint="eastAsia" w:ascii="宋体" w:hAnsi="宋体"/>
          <w:sz w:val="28"/>
          <w:szCs w:val="28"/>
        </w:rPr>
      </w:pPr>
      <w:r>
        <w:rPr>
          <w:rStyle w:val="39"/>
          <w:rFonts w:ascii="宋体" w:hAnsi="宋体"/>
          <w:sz w:val="28"/>
          <w:szCs w:val="28"/>
        </w:rPr>
        <w:t>年月日</w:t>
      </w:r>
    </w:p>
    <w:p w14:paraId="79EB7702">
      <w:pPr>
        <w:pStyle w:val="13"/>
      </w:pPr>
    </w:p>
    <w:p w14:paraId="736BC3EE">
      <w:pPr>
        <w:pStyle w:val="48"/>
        <w:numPr>
          <w:ilvl w:val="0"/>
          <w:numId w:val="18"/>
        </w:numPr>
        <w:snapToGrid w:val="0"/>
        <w:spacing w:line="440" w:lineRule="exact"/>
        <w:ind w:firstLineChars="0"/>
        <w:jc w:val="center"/>
        <w:rPr>
          <w:rStyle w:val="39"/>
          <w:rFonts w:hint="eastAsia" w:ascii="宋体" w:hAnsi="宋体"/>
          <w:b/>
          <w:szCs w:val="21"/>
        </w:rPr>
      </w:pPr>
      <w:bookmarkStart w:id="1417" w:name="_Toc16064005"/>
      <w:r>
        <w:rPr>
          <w:rStyle w:val="39"/>
          <w:rFonts w:ascii="宋体" w:hAnsi="宋体"/>
          <w:b/>
          <w:szCs w:val="21"/>
        </w:rPr>
        <w:t>投标人基本情况表</w:t>
      </w:r>
      <w:bookmarkEnd w:id="1417"/>
    </w:p>
    <w:p w14:paraId="63A0C0F9">
      <w:pPr>
        <w:pStyle w:val="48"/>
        <w:snapToGrid w:val="0"/>
        <w:spacing w:line="440" w:lineRule="exact"/>
        <w:ind w:left="1367" w:firstLine="0" w:firstLineChars="0"/>
        <w:rPr>
          <w:rStyle w:val="39"/>
          <w:rFonts w:hint="eastAsia" w:ascii="宋体" w:hAnsi="宋体"/>
          <w:b/>
          <w:szCs w:val="21"/>
        </w:rPr>
      </w:pPr>
    </w:p>
    <w:tbl>
      <w:tblPr>
        <w:tblStyle w:val="25"/>
        <w:tblW w:w="8505"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85"/>
        <w:gridCol w:w="897"/>
        <w:gridCol w:w="1021"/>
        <w:gridCol w:w="993"/>
        <w:gridCol w:w="283"/>
        <w:gridCol w:w="195"/>
        <w:gridCol w:w="1246"/>
        <w:gridCol w:w="260"/>
        <w:gridCol w:w="709"/>
        <w:gridCol w:w="1416"/>
      </w:tblGrid>
      <w:tr w14:paraId="2BFC9D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27F73A66">
            <w:pPr>
              <w:jc w:val="center"/>
              <w:rPr>
                <w:rStyle w:val="39"/>
                <w:rFonts w:hint="eastAsia" w:ascii="宋体" w:hAnsi="宋体"/>
                <w:szCs w:val="21"/>
              </w:rPr>
            </w:pPr>
            <w:r>
              <w:rPr>
                <w:rStyle w:val="39"/>
                <w:rFonts w:ascii="宋体" w:hAnsi="宋体"/>
                <w:szCs w:val="21"/>
              </w:rPr>
              <w:t>投标人名称</w:t>
            </w:r>
          </w:p>
        </w:tc>
        <w:tc>
          <w:tcPr>
            <w:tcW w:w="7020" w:type="dxa"/>
            <w:gridSpan w:val="9"/>
            <w:tcBorders>
              <w:top w:val="single" w:color="000000" w:sz="4" w:space="0"/>
              <w:left w:val="single" w:color="000000" w:sz="4" w:space="0"/>
              <w:bottom w:val="single" w:color="000000" w:sz="4" w:space="0"/>
              <w:right w:val="single" w:color="000000" w:sz="4" w:space="0"/>
            </w:tcBorders>
            <w:vAlign w:val="center"/>
          </w:tcPr>
          <w:p w14:paraId="0B6AE333">
            <w:pPr>
              <w:jc w:val="center"/>
              <w:rPr>
                <w:rStyle w:val="39"/>
                <w:rFonts w:hint="eastAsia" w:ascii="宋体" w:hAnsi="宋体"/>
                <w:szCs w:val="21"/>
              </w:rPr>
            </w:pPr>
          </w:p>
        </w:tc>
      </w:tr>
      <w:tr w14:paraId="76DF186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1A27E745">
            <w:pPr>
              <w:jc w:val="center"/>
              <w:rPr>
                <w:rStyle w:val="39"/>
                <w:rFonts w:hint="eastAsia" w:ascii="宋体" w:hAnsi="宋体"/>
                <w:szCs w:val="21"/>
              </w:rPr>
            </w:pPr>
            <w:r>
              <w:rPr>
                <w:rStyle w:val="39"/>
                <w:rFonts w:ascii="宋体" w:hAnsi="宋体"/>
                <w:szCs w:val="21"/>
              </w:rPr>
              <w:t>注册地址</w:t>
            </w:r>
          </w:p>
        </w:tc>
        <w:tc>
          <w:tcPr>
            <w:tcW w:w="3389" w:type="dxa"/>
            <w:gridSpan w:val="5"/>
            <w:tcBorders>
              <w:top w:val="single" w:color="000000" w:sz="4" w:space="0"/>
              <w:left w:val="single" w:color="000000" w:sz="4" w:space="0"/>
              <w:bottom w:val="single" w:color="000000" w:sz="4" w:space="0"/>
              <w:right w:val="single" w:color="000000" w:sz="4" w:space="0"/>
            </w:tcBorders>
            <w:vAlign w:val="center"/>
          </w:tcPr>
          <w:p w14:paraId="3D0E1D93">
            <w:pPr>
              <w:jc w:val="center"/>
              <w:rPr>
                <w:rStyle w:val="39"/>
                <w:rFonts w:hint="eastAsia" w:ascii="宋体" w:hAnsi="宋体"/>
                <w:szCs w:val="21"/>
              </w:rPr>
            </w:pPr>
          </w:p>
        </w:tc>
        <w:tc>
          <w:tcPr>
            <w:tcW w:w="1246" w:type="dxa"/>
            <w:tcBorders>
              <w:top w:val="single" w:color="000000" w:sz="4" w:space="0"/>
              <w:left w:val="single" w:color="000000" w:sz="4" w:space="0"/>
              <w:bottom w:val="single" w:color="000000" w:sz="4" w:space="0"/>
              <w:right w:val="single" w:color="000000" w:sz="4" w:space="0"/>
            </w:tcBorders>
            <w:vAlign w:val="center"/>
          </w:tcPr>
          <w:p w14:paraId="4496994F">
            <w:pPr>
              <w:jc w:val="center"/>
              <w:rPr>
                <w:rStyle w:val="39"/>
                <w:rFonts w:hint="eastAsia" w:ascii="宋体" w:hAnsi="宋体"/>
                <w:szCs w:val="21"/>
              </w:rPr>
            </w:pPr>
            <w:r>
              <w:rPr>
                <w:rStyle w:val="39"/>
                <w:rFonts w:ascii="宋体" w:hAnsi="宋体"/>
                <w:szCs w:val="21"/>
              </w:rPr>
              <w:t>邮政编码</w:t>
            </w:r>
          </w:p>
        </w:tc>
        <w:tc>
          <w:tcPr>
            <w:tcW w:w="2385" w:type="dxa"/>
            <w:gridSpan w:val="3"/>
            <w:tcBorders>
              <w:top w:val="single" w:color="000000" w:sz="4" w:space="0"/>
              <w:left w:val="single" w:color="000000" w:sz="4" w:space="0"/>
              <w:bottom w:val="single" w:color="000000" w:sz="4" w:space="0"/>
              <w:right w:val="single" w:color="000000" w:sz="4" w:space="0"/>
            </w:tcBorders>
            <w:vAlign w:val="center"/>
          </w:tcPr>
          <w:p w14:paraId="57F35401">
            <w:pPr>
              <w:jc w:val="center"/>
              <w:rPr>
                <w:rStyle w:val="39"/>
                <w:rFonts w:hint="eastAsia" w:ascii="宋体" w:hAnsi="宋体"/>
                <w:szCs w:val="21"/>
              </w:rPr>
            </w:pPr>
          </w:p>
        </w:tc>
      </w:tr>
      <w:tr w14:paraId="41DE159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vMerge w:val="restart"/>
            <w:tcBorders>
              <w:top w:val="single" w:color="000000" w:sz="4" w:space="0"/>
              <w:left w:val="single" w:color="000000" w:sz="4" w:space="0"/>
              <w:bottom w:val="single" w:color="000000" w:sz="4" w:space="0"/>
              <w:right w:val="single" w:color="000000" w:sz="4" w:space="0"/>
            </w:tcBorders>
            <w:vAlign w:val="center"/>
          </w:tcPr>
          <w:p w14:paraId="3807DD51">
            <w:pPr>
              <w:jc w:val="center"/>
              <w:rPr>
                <w:rStyle w:val="39"/>
                <w:rFonts w:hint="eastAsia" w:ascii="宋体" w:hAnsi="宋体"/>
                <w:szCs w:val="21"/>
              </w:rPr>
            </w:pPr>
            <w:r>
              <w:rPr>
                <w:rStyle w:val="39"/>
                <w:rFonts w:ascii="宋体" w:hAnsi="宋体"/>
                <w:szCs w:val="21"/>
              </w:rPr>
              <w:t>联系方式</w:t>
            </w:r>
          </w:p>
        </w:tc>
        <w:tc>
          <w:tcPr>
            <w:tcW w:w="897" w:type="dxa"/>
            <w:tcBorders>
              <w:top w:val="single" w:color="000000" w:sz="4" w:space="0"/>
              <w:left w:val="single" w:color="000000" w:sz="4" w:space="0"/>
              <w:bottom w:val="single" w:color="000000" w:sz="4" w:space="0"/>
              <w:right w:val="single" w:color="000000" w:sz="4" w:space="0"/>
            </w:tcBorders>
            <w:vAlign w:val="center"/>
          </w:tcPr>
          <w:p w14:paraId="2943E4A3">
            <w:pPr>
              <w:jc w:val="center"/>
              <w:rPr>
                <w:rStyle w:val="39"/>
                <w:rFonts w:hint="eastAsia" w:ascii="宋体" w:hAnsi="宋体"/>
                <w:szCs w:val="21"/>
              </w:rPr>
            </w:pPr>
            <w:r>
              <w:rPr>
                <w:rStyle w:val="39"/>
                <w:rFonts w:ascii="宋体" w:hAnsi="宋体"/>
                <w:szCs w:val="21"/>
              </w:rPr>
              <w:t>联系人</w:t>
            </w:r>
          </w:p>
        </w:tc>
        <w:tc>
          <w:tcPr>
            <w:tcW w:w="2492" w:type="dxa"/>
            <w:gridSpan w:val="4"/>
            <w:tcBorders>
              <w:top w:val="single" w:color="000000" w:sz="4" w:space="0"/>
              <w:left w:val="single" w:color="000000" w:sz="4" w:space="0"/>
              <w:bottom w:val="single" w:color="000000" w:sz="4" w:space="0"/>
              <w:right w:val="single" w:color="000000" w:sz="4" w:space="0"/>
            </w:tcBorders>
            <w:vAlign w:val="center"/>
          </w:tcPr>
          <w:p w14:paraId="55ED318B">
            <w:pPr>
              <w:jc w:val="center"/>
              <w:rPr>
                <w:rStyle w:val="39"/>
                <w:rFonts w:hint="eastAsia" w:ascii="宋体" w:hAnsi="宋体"/>
                <w:szCs w:val="21"/>
              </w:rPr>
            </w:pPr>
          </w:p>
        </w:tc>
        <w:tc>
          <w:tcPr>
            <w:tcW w:w="1246" w:type="dxa"/>
            <w:tcBorders>
              <w:top w:val="single" w:color="000000" w:sz="4" w:space="0"/>
              <w:left w:val="single" w:color="000000" w:sz="4" w:space="0"/>
              <w:bottom w:val="single" w:color="000000" w:sz="4" w:space="0"/>
              <w:right w:val="single" w:color="000000" w:sz="4" w:space="0"/>
            </w:tcBorders>
            <w:vAlign w:val="center"/>
          </w:tcPr>
          <w:p w14:paraId="5B7D54F2">
            <w:pPr>
              <w:jc w:val="center"/>
              <w:rPr>
                <w:rStyle w:val="39"/>
                <w:rFonts w:hint="eastAsia" w:ascii="宋体" w:hAnsi="宋体"/>
                <w:szCs w:val="21"/>
              </w:rPr>
            </w:pPr>
            <w:r>
              <w:rPr>
                <w:rStyle w:val="39"/>
                <w:rFonts w:ascii="宋体" w:hAnsi="宋体"/>
                <w:szCs w:val="21"/>
              </w:rPr>
              <w:t>电  话</w:t>
            </w:r>
          </w:p>
        </w:tc>
        <w:tc>
          <w:tcPr>
            <w:tcW w:w="2385" w:type="dxa"/>
            <w:gridSpan w:val="3"/>
            <w:tcBorders>
              <w:top w:val="single" w:color="000000" w:sz="4" w:space="0"/>
              <w:left w:val="single" w:color="000000" w:sz="4" w:space="0"/>
              <w:bottom w:val="single" w:color="000000" w:sz="4" w:space="0"/>
              <w:right w:val="single" w:color="000000" w:sz="4" w:space="0"/>
            </w:tcBorders>
            <w:vAlign w:val="center"/>
          </w:tcPr>
          <w:p w14:paraId="0381F804">
            <w:pPr>
              <w:jc w:val="center"/>
              <w:rPr>
                <w:rStyle w:val="39"/>
                <w:rFonts w:hint="eastAsia" w:ascii="宋体" w:hAnsi="宋体"/>
                <w:szCs w:val="21"/>
              </w:rPr>
            </w:pPr>
          </w:p>
        </w:tc>
      </w:tr>
      <w:tr w14:paraId="11AF4EF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vMerge w:val="continue"/>
            <w:tcBorders>
              <w:top w:val="single" w:color="000000" w:sz="4" w:space="0"/>
              <w:left w:val="single" w:color="000000" w:sz="4" w:space="0"/>
              <w:bottom w:val="single" w:color="000000" w:sz="4" w:space="0"/>
              <w:right w:val="single" w:color="000000" w:sz="4" w:space="0"/>
            </w:tcBorders>
            <w:vAlign w:val="center"/>
          </w:tcPr>
          <w:p w14:paraId="3DAA50BF">
            <w:pPr>
              <w:jc w:val="center"/>
              <w:rPr>
                <w:rStyle w:val="39"/>
                <w:rFonts w:hint="eastAsia" w:ascii="宋体" w:hAnsi="宋体"/>
                <w:szCs w:val="21"/>
              </w:rPr>
            </w:pPr>
          </w:p>
        </w:tc>
        <w:tc>
          <w:tcPr>
            <w:tcW w:w="897" w:type="dxa"/>
            <w:tcBorders>
              <w:top w:val="single" w:color="000000" w:sz="4" w:space="0"/>
              <w:left w:val="single" w:color="000000" w:sz="4" w:space="0"/>
              <w:bottom w:val="single" w:color="000000" w:sz="4" w:space="0"/>
              <w:right w:val="single" w:color="000000" w:sz="4" w:space="0"/>
            </w:tcBorders>
            <w:vAlign w:val="center"/>
          </w:tcPr>
          <w:p w14:paraId="158CC8A3">
            <w:pPr>
              <w:jc w:val="center"/>
              <w:rPr>
                <w:rStyle w:val="39"/>
                <w:rFonts w:hint="eastAsia" w:ascii="宋体" w:hAnsi="宋体"/>
                <w:szCs w:val="21"/>
              </w:rPr>
            </w:pPr>
            <w:r>
              <w:rPr>
                <w:rStyle w:val="39"/>
                <w:rFonts w:ascii="宋体" w:hAnsi="宋体"/>
                <w:szCs w:val="21"/>
              </w:rPr>
              <w:t>传  真</w:t>
            </w:r>
          </w:p>
        </w:tc>
        <w:tc>
          <w:tcPr>
            <w:tcW w:w="2492" w:type="dxa"/>
            <w:gridSpan w:val="4"/>
            <w:tcBorders>
              <w:top w:val="single" w:color="000000" w:sz="4" w:space="0"/>
              <w:left w:val="single" w:color="000000" w:sz="4" w:space="0"/>
              <w:bottom w:val="single" w:color="000000" w:sz="4" w:space="0"/>
              <w:right w:val="single" w:color="000000" w:sz="4" w:space="0"/>
            </w:tcBorders>
            <w:vAlign w:val="center"/>
          </w:tcPr>
          <w:p w14:paraId="071F5A3A">
            <w:pPr>
              <w:jc w:val="center"/>
              <w:rPr>
                <w:rStyle w:val="39"/>
                <w:rFonts w:hint="eastAsia" w:ascii="宋体" w:hAnsi="宋体"/>
                <w:szCs w:val="21"/>
              </w:rPr>
            </w:pPr>
          </w:p>
        </w:tc>
        <w:tc>
          <w:tcPr>
            <w:tcW w:w="1246" w:type="dxa"/>
            <w:tcBorders>
              <w:top w:val="single" w:color="000000" w:sz="4" w:space="0"/>
              <w:left w:val="single" w:color="000000" w:sz="4" w:space="0"/>
              <w:bottom w:val="single" w:color="000000" w:sz="4" w:space="0"/>
              <w:right w:val="single" w:color="000000" w:sz="4" w:space="0"/>
            </w:tcBorders>
            <w:vAlign w:val="center"/>
          </w:tcPr>
          <w:p w14:paraId="2EB30D3F">
            <w:pPr>
              <w:jc w:val="center"/>
              <w:rPr>
                <w:rStyle w:val="39"/>
                <w:rFonts w:hint="eastAsia" w:ascii="宋体" w:hAnsi="宋体"/>
                <w:szCs w:val="21"/>
              </w:rPr>
            </w:pPr>
            <w:r>
              <w:rPr>
                <w:rStyle w:val="39"/>
                <w:rFonts w:ascii="宋体" w:hAnsi="宋体"/>
                <w:szCs w:val="21"/>
              </w:rPr>
              <w:t>网  址</w:t>
            </w:r>
          </w:p>
        </w:tc>
        <w:tc>
          <w:tcPr>
            <w:tcW w:w="2385" w:type="dxa"/>
            <w:gridSpan w:val="3"/>
            <w:tcBorders>
              <w:top w:val="single" w:color="000000" w:sz="4" w:space="0"/>
              <w:left w:val="single" w:color="000000" w:sz="4" w:space="0"/>
              <w:bottom w:val="single" w:color="000000" w:sz="4" w:space="0"/>
              <w:right w:val="single" w:color="000000" w:sz="4" w:space="0"/>
            </w:tcBorders>
            <w:vAlign w:val="center"/>
          </w:tcPr>
          <w:p w14:paraId="76F37633">
            <w:pPr>
              <w:jc w:val="center"/>
              <w:rPr>
                <w:rStyle w:val="39"/>
                <w:rFonts w:hint="eastAsia" w:ascii="宋体" w:hAnsi="宋体"/>
                <w:szCs w:val="21"/>
              </w:rPr>
            </w:pPr>
          </w:p>
        </w:tc>
      </w:tr>
      <w:tr w14:paraId="521258B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35A70B4C">
            <w:pPr>
              <w:jc w:val="center"/>
              <w:rPr>
                <w:rStyle w:val="39"/>
                <w:rFonts w:hint="eastAsia" w:ascii="宋体" w:hAnsi="宋体"/>
                <w:szCs w:val="21"/>
              </w:rPr>
            </w:pPr>
            <w:r>
              <w:rPr>
                <w:rStyle w:val="39"/>
                <w:rFonts w:ascii="宋体" w:hAnsi="宋体"/>
                <w:szCs w:val="21"/>
              </w:rPr>
              <w:t>组织结构</w:t>
            </w:r>
          </w:p>
        </w:tc>
        <w:tc>
          <w:tcPr>
            <w:tcW w:w="7020" w:type="dxa"/>
            <w:gridSpan w:val="9"/>
            <w:tcBorders>
              <w:top w:val="single" w:color="000000" w:sz="4" w:space="0"/>
              <w:left w:val="single" w:color="000000" w:sz="4" w:space="0"/>
              <w:bottom w:val="single" w:color="000000" w:sz="4" w:space="0"/>
              <w:right w:val="single" w:color="000000" w:sz="4" w:space="0"/>
            </w:tcBorders>
            <w:vAlign w:val="center"/>
          </w:tcPr>
          <w:p w14:paraId="281E2C9A">
            <w:pPr>
              <w:jc w:val="center"/>
              <w:rPr>
                <w:rStyle w:val="39"/>
                <w:rFonts w:hint="eastAsia" w:ascii="宋体" w:hAnsi="宋体"/>
                <w:szCs w:val="21"/>
              </w:rPr>
            </w:pPr>
          </w:p>
        </w:tc>
      </w:tr>
      <w:tr w14:paraId="490C142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5B395996">
            <w:pPr>
              <w:jc w:val="center"/>
              <w:rPr>
                <w:rStyle w:val="39"/>
                <w:rFonts w:hint="eastAsia" w:ascii="宋体" w:hAnsi="宋体"/>
                <w:szCs w:val="21"/>
              </w:rPr>
            </w:pPr>
            <w:r>
              <w:rPr>
                <w:rStyle w:val="39"/>
                <w:rFonts w:ascii="宋体" w:hAnsi="宋体"/>
                <w:szCs w:val="21"/>
              </w:rPr>
              <w:t>法定代表人</w:t>
            </w:r>
          </w:p>
        </w:tc>
        <w:tc>
          <w:tcPr>
            <w:tcW w:w="897" w:type="dxa"/>
            <w:tcBorders>
              <w:top w:val="single" w:color="000000" w:sz="4" w:space="0"/>
              <w:left w:val="single" w:color="000000" w:sz="4" w:space="0"/>
              <w:bottom w:val="single" w:color="000000" w:sz="4" w:space="0"/>
              <w:right w:val="single" w:color="000000" w:sz="4" w:space="0"/>
            </w:tcBorders>
            <w:vAlign w:val="center"/>
          </w:tcPr>
          <w:p w14:paraId="3506B0E5">
            <w:pPr>
              <w:jc w:val="center"/>
              <w:rPr>
                <w:rStyle w:val="39"/>
                <w:rFonts w:hint="eastAsia" w:ascii="宋体" w:hAnsi="宋体"/>
                <w:szCs w:val="21"/>
              </w:rPr>
            </w:pPr>
            <w:r>
              <w:rPr>
                <w:rStyle w:val="39"/>
                <w:rFonts w:ascii="宋体" w:hAnsi="宋体"/>
                <w:szCs w:val="21"/>
              </w:rPr>
              <w:t>姓名</w:t>
            </w:r>
          </w:p>
        </w:tc>
        <w:tc>
          <w:tcPr>
            <w:tcW w:w="1021" w:type="dxa"/>
            <w:tcBorders>
              <w:top w:val="single" w:color="000000" w:sz="4" w:space="0"/>
              <w:left w:val="single" w:color="000000" w:sz="4" w:space="0"/>
              <w:bottom w:val="single" w:color="000000" w:sz="4" w:space="0"/>
              <w:right w:val="single" w:color="000000" w:sz="4" w:space="0"/>
            </w:tcBorders>
            <w:vAlign w:val="center"/>
          </w:tcPr>
          <w:p w14:paraId="5A303C62">
            <w:pPr>
              <w:jc w:val="center"/>
              <w:rPr>
                <w:rStyle w:val="39"/>
                <w:rFonts w:hint="eastAsia" w:ascii="宋体" w:hAnsi="宋体"/>
                <w:szCs w:val="21"/>
              </w:rPr>
            </w:pPr>
          </w:p>
        </w:tc>
        <w:tc>
          <w:tcPr>
            <w:tcW w:w="1276" w:type="dxa"/>
            <w:gridSpan w:val="2"/>
            <w:tcBorders>
              <w:top w:val="single" w:color="000000" w:sz="4" w:space="0"/>
              <w:left w:val="single" w:color="000000" w:sz="4" w:space="0"/>
              <w:bottom w:val="single" w:color="000000" w:sz="4" w:space="0"/>
              <w:right w:val="single" w:color="000000" w:sz="4" w:space="0"/>
            </w:tcBorders>
            <w:vAlign w:val="center"/>
          </w:tcPr>
          <w:p w14:paraId="19053692">
            <w:pPr>
              <w:jc w:val="center"/>
              <w:rPr>
                <w:rStyle w:val="39"/>
                <w:rFonts w:hint="eastAsia" w:ascii="宋体" w:hAnsi="宋体"/>
                <w:szCs w:val="21"/>
              </w:rPr>
            </w:pPr>
            <w:r>
              <w:rPr>
                <w:rStyle w:val="39"/>
                <w:rFonts w:ascii="宋体" w:hAnsi="宋体"/>
                <w:szCs w:val="21"/>
              </w:rPr>
              <w:t>技术职称</w:t>
            </w:r>
          </w:p>
        </w:tc>
        <w:tc>
          <w:tcPr>
            <w:tcW w:w="1701" w:type="dxa"/>
            <w:gridSpan w:val="3"/>
            <w:tcBorders>
              <w:top w:val="single" w:color="000000" w:sz="4" w:space="0"/>
              <w:left w:val="single" w:color="000000" w:sz="4" w:space="0"/>
              <w:bottom w:val="single" w:color="000000" w:sz="4" w:space="0"/>
              <w:right w:val="single" w:color="000000" w:sz="4" w:space="0"/>
            </w:tcBorders>
            <w:vAlign w:val="center"/>
          </w:tcPr>
          <w:p w14:paraId="18CFC7B3">
            <w:pPr>
              <w:jc w:val="center"/>
              <w:rPr>
                <w:rStyle w:val="39"/>
                <w:rFonts w:hint="eastAsia"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7646944F">
            <w:pPr>
              <w:jc w:val="center"/>
              <w:rPr>
                <w:rStyle w:val="39"/>
                <w:rFonts w:hint="eastAsia" w:ascii="宋体" w:hAnsi="宋体"/>
                <w:szCs w:val="21"/>
              </w:rPr>
            </w:pPr>
            <w:r>
              <w:rPr>
                <w:rStyle w:val="39"/>
                <w:rFonts w:ascii="宋体" w:hAnsi="宋体"/>
                <w:szCs w:val="21"/>
              </w:rPr>
              <w:t>电话</w:t>
            </w:r>
          </w:p>
        </w:tc>
        <w:tc>
          <w:tcPr>
            <w:tcW w:w="1416" w:type="dxa"/>
            <w:tcBorders>
              <w:top w:val="single" w:color="000000" w:sz="4" w:space="0"/>
              <w:left w:val="single" w:color="000000" w:sz="4" w:space="0"/>
              <w:bottom w:val="single" w:color="000000" w:sz="4" w:space="0"/>
              <w:right w:val="single" w:color="000000" w:sz="4" w:space="0"/>
            </w:tcBorders>
            <w:vAlign w:val="center"/>
          </w:tcPr>
          <w:p w14:paraId="75AA7EA8">
            <w:pPr>
              <w:jc w:val="center"/>
              <w:rPr>
                <w:rStyle w:val="39"/>
                <w:rFonts w:hint="eastAsia" w:ascii="宋体" w:hAnsi="宋体"/>
                <w:szCs w:val="21"/>
              </w:rPr>
            </w:pPr>
          </w:p>
        </w:tc>
      </w:tr>
      <w:tr w14:paraId="7522546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1EF9B8C7">
            <w:pPr>
              <w:jc w:val="center"/>
              <w:rPr>
                <w:rStyle w:val="39"/>
                <w:rFonts w:hint="eastAsia" w:ascii="宋体" w:hAnsi="宋体"/>
                <w:szCs w:val="21"/>
              </w:rPr>
            </w:pPr>
            <w:r>
              <w:rPr>
                <w:rStyle w:val="39"/>
                <w:rFonts w:ascii="宋体" w:hAnsi="宋体"/>
                <w:szCs w:val="21"/>
              </w:rPr>
              <w:t>技术负责人</w:t>
            </w:r>
          </w:p>
        </w:tc>
        <w:tc>
          <w:tcPr>
            <w:tcW w:w="897" w:type="dxa"/>
            <w:tcBorders>
              <w:top w:val="single" w:color="000000" w:sz="4" w:space="0"/>
              <w:left w:val="single" w:color="000000" w:sz="4" w:space="0"/>
              <w:bottom w:val="single" w:color="000000" w:sz="4" w:space="0"/>
              <w:right w:val="single" w:color="000000" w:sz="4" w:space="0"/>
            </w:tcBorders>
            <w:vAlign w:val="center"/>
          </w:tcPr>
          <w:p w14:paraId="1D3060F7">
            <w:pPr>
              <w:jc w:val="center"/>
              <w:rPr>
                <w:rStyle w:val="39"/>
                <w:rFonts w:hint="eastAsia" w:ascii="宋体" w:hAnsi="宋体"/>
                <w:szCs w:val="21"/>
              </w:rPr>
            </w:pPr>
            <w:r>
              <w:rPr>
                <w:rStyle w:val="39"/>
                <w:rFonts w:ascii="宋体" w:hAnsi="宋体"/>
                <w:szCs w:val="21"/>
              </w:rPr>
              <w:t>姓名</w:t>
            </w:r>
          </w:p>
        </w:tc>
        <w:tc>
          <w:tcPr>
            <w:tcW w:w="1021" w:type="dxa"/>
            <w:tcBorders>
              <w:top w:val="single" w:color="000000" w:sz="4" w:space="0"/>
              <w:left w:val="single" w:color="000000" w:sz="4" w:space="0"/>
              <w:bottom w:val="single" w:color="000000" w:sz="4" w:space="0"/>
              <w:right w:val="single" w:color="000000" w:sz="4" w:space="0"/>
            </w:tcBorders>
            <w:vAlign w:val="center"/>
          </w:tcPr>
          <w:p w14:paraId="0B572F0A">
            <w:pPr>
              <w:jc w:val="center"/>
              <w:rPr>
                <w:rStyle w:val="39"/>
                <w:rFonts w:hint="eastAsia" w:ascii="宋体" w:hAnsi="宋体"/>
                <w:szCs w:val="21"/>
              </w:rPr>
            </w:pPr>
          </w:p>
        </w:tc>
        <w:tc>
          <w:tcPr>
            <w:tcW w:w="1276" w:type="dxa"/>
            <w:gridSpan w:val="2"/>
            <w:tcBorders>
              <w:top w:val="single" w:color="000000" w:sz="4" w:space="0"/>
              <w:left w:val="single" w:color="000000" w:sz="4" w:space="0"/>
              <w:bottom w:val="single" w:color="000000" w:sz="4" w:space="0"/>
              <w:right w:val="single" w:color="000000" w:sz="4" w:space="0"/>
            </w:tcBorders>
            <w:vAlign w:val="center"/>
          </w:tcPr>
          <w:p w14:paraId="01451D96">
            <w:pPr>
              <w:jc w:val="center"/>
              <w:rPr>
                <w:rStyle w:val="39"/>
                <w:rFonts w:hint="eastAsia" w:ascii="宋体" w:hAnsi="宋体"/>
                <w:szCs w:val="21"/>
              </w:rPr>
            </w:pPr>
            <w:r>
              <w:rPr>
                <w:rStyle w:val="39"/>
                <w:rFonts w:ascii="宋体" w:hAnsi="宋体"/>
                <w:szCs w:val="21"/>
              </w:rPr>
              <w:t>技术职称</w:t>
            </w:r>
          </w:p>
        </w:tc>
        <w:tc>
          <w:tcPr>
            <w:tcW w:w="1701" w:type="dxa"/>
            <w:gridSpan w:val="3"/>
            <w:tcBorders>
              <w:top w:val="single" w:color="000000" w:sz="4" w:space="0"/>
              <w:left w:val="single" w:color="000000" w:sz="4" w:space="0"/>
              <w:bottom w:val="single" w:color="000000" w:sz="4" w:space="0"/>
              <w:right w:val="single" w:color="000000" w:sz="4" w:space="0"/>
            </w:tcBorders>
            <w:vAlign w:val="center"/>
          </w:tcPr>
          <w:p w14:paraId="753CE3D2">
            <w:pPr>
              <w:jc w:val="center"/>
              <w:rPr>
                <w:rStyle w:val="39"/>
                <w:rFonts w:hint="eastAsia" w:ascii="宋体" w:hAnsi="宋体"/>
                <w:szCs w:val="21"/>
              </w:rPr>
            </w:pPr>
          </w:p>
        </w:tc>
        <w:tc>
          <w:tcPr>
            <w:tcW w:w="709" w:type="dxa"/>
            <w:tcBorders>
              <w:top w:val="single" w:color="000000" w:sz="4" w:space="0"/>
              <w:left w:val="single" w:color="000000" w:sz="4" w:space="0"/>
              <w:bottom w:val="single" w:color="000000" w:sz="4" w:space="0"/>
              <w:right w:val="single" w:color="000000" w:sz="4" w:space="0"/>
            </w:tcBorders>
            <w:vAlign w:val="center"/>
          </w:tcPr>
          <w:p w14:paraId="1A39CE84">
            <w:pPr>
              <w:jc w:val="center"/>
              <w:rPr>
                <w:rStyle w:val="39"/>
                <w:rFonts w:hint="eastAsia" w:ascii="宋体" w:hAnsi="宋体"/>
                <w:szCs w:val="21"/>
              </w:rPr>
            </w:pPr>
            <w:r>
              <w:rPr>
                <w:rStyle w:val="39"/>
                <w:rFonts w:ascii="宋体" w:hAnsi="宋体"/>
                <w:szCs w:val="21"/>
              </w:rPr>
              <w:t>电话</w:t>
            </w:r>
          </w:p>
        </w:tc>
        <w:tc>
          <w:tcPr>
            <w:tcW w:w="1416" w:type="dxa"/>
            <w:tcBorders>
              <w:top w:val="single" w:color="000000" w:sz="4" w:space="0"/>
              <w:left w:val="single" w:color="000000" w:sz="4" w:space="0"/>
              <w:bottom w:val="single" w:color="000000" w:sz="4" w:space="0"/>
              <w:right w:val="single" w:color="000000" w:sz="4" w:space="0"/>
            </w:tcBorders>
            <w:vAlign w:val="center"/>
          </w:tcPr>
          <w:p w14:paraId="31DBE7FF">
            <w:pPr>
              <w:jc w:val="center"/>
              <w:rPr>
                <w:rStyle w:val="39"/>
                <w:rFonts w:hint="eastAsia" w:ascii="宋体" w:hAnsi="宋体"/>
                <w:szCs w:val="21"/>
              </w:rPr>
            </w:pPr>
          </w:p>
        </w:tc>
      </w:tr>
      <w:tr w14:paraId="3AE19D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0464FDCB">
            <w:pPr>
              <w:jc w:val="center"/>
              <w:rPr>
                <w:rStyle w:val="39"/>
                <w:rFonts w:hint="eastAsia" w:ascii="宋体" w:hAnsi="宋体"/>
                <w:szCs w:val="21"/>
              </w:rPr>
            </w:pPr>
            <w:r>
              <w:rPr>
                <w:rStyle w:val="39"/>
                <w:rFonts w:ascii="宋体" w:hAnsi="宋体"/>
                <w:szCs w:val="21"/>
              </w:rPr>
              <w:t>成立时间</w:t>
            </w:r>
          </w:p>
        </w:tc>
        <w:tc>
          <w:tcPr>
            <w:tcW w:w="1918" w:type="dxa"/>
            <w:gridSpan w:val="2"/>
            <w:tcBorders>
              <w:top w:val="single" w:color="000000" w:sz="4" w:space="0"/>
              <w:left w:val="single" w:color="000000" w:sz="4" w:space="0"/>
              <w:bottom w:val="single" w:color="000000" w:sz="4" w:space="0"/>
              <w:right w:val="single" w:color="000000" w:sz="4" w:space="0"/>
            </w:tcBorders>
            <w:vAlign w:val="center"/>
          </w:tcPr>
          <w:p w14:paraId="50FF62DB">
            <w:pPr>
              <w:jc w:val="center"/>
              <w:rPr>
                <w:rStyle w:val="39"/>
                <w:rFonts w:hint="eastAsia" w:ascii="宋体" w:hAnsi="宋体"/>
                <w:szCs w:val="21"/>
              </w:rPr>
            </w:pPr>
          </w:p>
        </w:tc>
        <w:tc>
          <w:tcPr>
            <w:tcW w:w="5102" w:type="dxa"/>
            <w:gridSpan w:val="7"/>
            <w:tcBorders>
              <w:top w:val="single" w:color="000000" w:sz="4" w:space="0"/>
              <w:left w:val="single" w:color="000000" w:sz="4" w:space="0"/>
              <w:bottom w:val="single" w:color="000000" w:sz="4" w:space="0"/>
              <w:right w:val="single" w:color="000000" w:sz="4" w:space="0"/>
            </w:tcBorders>
            <w:vAlign w:val="center"/>
          </w:tcPr>
          <w:p w14:paraId="23A5322E">
            <w:pPr>
              <w:jc w:val="center"/>
              <w:rPr>
                <w:rStyle w:val="39"/>
                <w:rFonts w:hint="eastAsia" w:ascii="宋体" w:hAnsi="宋体"/>
                <w:szCs w:val="21"/>
              </w:rPr>
            </w:pPr>
            <w:r>
              <w:rPr>
                <w:rStyle w:val="39"/>
                <w:rFonts w:ascii="宋体" w:hAnsi="宋体"/>
                <w:szCs w:val="21"/>
              </w:rPr>
              <w:t>员工总人数：</w:t>
            </w:r>
          </w:p>
        </w:tc>
      </w:tr>
      <w:tr w14:paraId="5F902A2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229C893C">
            <w:pPr>
              <w:jc w:val="center"/>
              <w:rPr>
                <w:rStyle w:val="39"/>
                <w:rFonts w:hint="eastAsia" w:ascii="宋体" w:hAnsi="宋体"/>
                <w:szCs w:val="21"/>
              </w:rPr>
            </w:pPr>
            <w:r>
              <w:rPr>
                <w:rStyle w:val="39"/>
                <w:rFonts w:ascii="宋体" w:hAnsi="宋体"/>
                <w:szCs w:val="21"/>
              </w:rPr>
              <w:t>企业资质等级</w:t>
            </w:r>
          </w:p>
        </w:tc>
        <w:tc>
          <w:tcPr>
            <w:tcW w:w="897" w:type="dxa"/>
            <w:tcBorders>
              <w:top w:val="single" w:color="000000" w:sz="4" w:space="0"/>
              <w:left w:val="single" w:color="000000" w:sz="4" w:space="0"/>
              <w:bottom w:val="single" w:color="000000" w:sz="4" w:space="0"/>
              <w:right w:val="single" w:color="000000" w:sz="4" w:space="0"/>
            </w:tcBorders>
            <w:vAlign w:val="center"/>
          </w:tcPr>
          <w:p w14:paraId="34CFC4DE">
            <w:pPr>
              <w:jc w:val="center"/>
              <w:rPr>
                <w:rStyle w:val="39"/>
                <w:rFonts w:hint="eastAsia" w:ascii="宋体" w:hAnsi="宋体"/>
                <w:szCs w:val="21"/>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7722170F">
            <w:pPr>
              <w:jc w:val="center"/>
              <w:rPr>
                <w:rStyle w:val="39"/>
                <w:rFonts w:hint="eastAsia" w:ascii="宋体" w:hAnsi="宋体"/>
                <w:szCs w:val="21"/>
              </w:rPr>
            </w:pPr>
          </w:p>
        </w:tc>
        <w:tc>
          <w:tcPr>
            <w:tcW w:w="993" w:type="dxa"/>
            <w:vMerge w:val="restart"/>
            <w:tcBorders>
              <w:top w:val="single" w:color="000000" w:sz="4" w:space="0"/>
              <w:left w:val="single" w:color="000000" w:sz="4" w:space="0"/>
              <w:bottom w:val="single" w:color="000000" w:sz="4" w:space="0"/>
              <w:right w:val="single" w:color="000000" w:sz="4" w:space="0"/>
            </w:tcBorders>
            <w:vAlign w:val="center"/>
          </w:tcPr>
          <w:p w14:paraId="35A49C07">
            <w:pPr>
              <w:jc w:val="center"/>
              <w:rPr>
                <w:rStyle w:val="39"/>
                <w:rFonts w:hint="eastAsia" w:ascii="宋体" w:hAnsi="宋体"/>
                <w:szCs w:val="21"/>
              </w:rPr>
            </w:pPr>
            <w:r>
              <w:rPr>
                <w:rStyle w:val="39"/>
                <w:rFonts w:ascii="宋体" w:hAnsi="宋体"/>
                <w:szCs w:val="21"/>
              </w:rPr>
              <w:t>其中</w:t>
            </w:r>
          </w:p>
        </w:tc>
        <w:tc>
          <w:tcPr>
            <w:tcW w:w="1984" w:type="dxa"/>
            <w:gridSpan w:val="4"/>
            <w:tcBorders>
              <w:top w:val="single" w:color="000000" w:sz="4" w:space="0"/>
              <w:left w:val="single" w:color="000000" w:sz="4" w:space="0"/>
              <w:bottom w:val="single" w:color="000000" w:sz="4" w:space="0"/>
              <w:right w:val="single" w:color="000000" w:sz="4" w:space="0"/>
            </w:tcBorders>
            <w:vAlign w:val="center"/>
          </w:tcPr>
          <w:p w14:paraId="13786A75">
            <w:pPr>
              <w:jc w:val="center"/>
              <w:rPr>
                <w:rStyle w:val="39"/>
                <w:rFonts w:hint="eastAsia" w:ascii="宋体" w:hAnsi="宋体"/>
                <w:szCs w:val="21"/>
              </w:rPr>
            </w:pPr>
            <w:r>
              <w:rPr>
                <w:rStyle w:val="39"/>
                <w:rFonts w:ascii="宋体" w:hAnsi="宋体"/>
                <w:szCs w:val="21"/>
              </w:rPr>
              <w:t>项目经理</w:t>
            </w:r>
          </w:p>
        </w:tc>
        <w:tc>
          <w:tcPr>
            <w:tcW w:w="2125" w:type="dxa"/>
            <w:gridSpan w:val="2"/>
            <w:tcBorders>
              <w:top w:val="single" w:color="000000" w:sz="4" w:space="0"/>
              <w:left w:val="single" w:color="000000" w:sz="4" w:space="0"/>
              <w:bottom w:val="single" w:color="000000" w:sz="4" w:space="0"/>
              <w:right w:val="single" w:color="000000" w:sz="4" w:space="0"/>
            </w:tcBorders>
            <w:vAlign w:val="center"/>
          </w:tcPr>
          <w:p w14:paraId="346B8B8E">
            <w:pPr>
              <w:jc w:val="center"/>
              <w:rPr>
                <w:rStyle w:val="39"/>
                <w:rFonts w:hint="eastAsia" w:ascii="宋体" w:hAnsi="宋体"/>
                <w:szCs w:val="21"/>
              </w:rPr>
            </w:pPr>
          </w:p>
        </w:tc>
      </w:tr>
      <w:tr w14:paraId="1C5B843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1D0CDABB">
            <w:pPr>
              <w:jc w:val="center"/>
              <w:rPr>
                <w:rStyle w:val="39"/>
                <w:rFonts w:hint="eastAsia" w:ascii="宋体" w:hAnsi="宋体"/>
                <w:szCs w:val="21"/>
              </w:rPr>
            </w:pPr>
            <w:r>
              <w:rPr>
                <w:rStyle w:val="39"/>
                <w:rFonts w:ascii="宋体" w:hAnsi="宋体"/>
                <w:szCs w:val="21"/>
              </w:rPr>
              <w:t>营业执照号</w:t>
            </w:r>
          </w:p>
        </w:tc>
        <w:tc>
          <w:tcPr>
            <w:tcW w:w="897" w:type="dxa"/>
            <w:tcBorders>
              <w:top w:val="single" w:color="000000" w:sz="4" w:space="0"/>
              <w:left w:val="single" w:color="000000" w:sz="4" w:space="0"/>
              <w:bottom w:val="single" w:color="000000" w:sz="4" w:space="0"/>
              <w:right w:val="single" w:color="000000" w:sz="4" w:space="0"/>
            </w:tcBorders>
            <w:vAlign w:val="center"/>
          </w:tcPr>
          <w:p w14:paraId="3EF625B5">
            <w:pPr>
              <w:jc w:val="center"/>
              <w:rPr>
                <w:rStyle w:val="39"/>
                <w:rFonts w:hint="eastAsia" w:ascii="宋体" w:hAnsi="宋体"/>
                <w:szCs w:val="21"/>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291B7E74">
            <w:pPr>
              <w:jc w:val="center"/>
              <w:rPr>
                <w:rStyle w:val="39"/>
                <w:rFonts w:hint="eastAsia" w:ascii="宋体" w:hAnsi="宋体"/>
                <w:szCs w:val="21"/>
              </w:rPr>
            </w:pPr>
          </w:p>
        </w:tc>
        <w:tc>
          <w:tcPr>
            <w:tcW w:w="993" w:type="dxa"/>
            <w:vMerge w:val="continue"/>
            <w:tcBorders>
              <w:top w:val="single" w:color="000000" w:sz="4" w:space="0"/>
              <w:left w:val="single" w:color="000000" w:sz="4" w:space="0"/>
              <w:bottom w:val="single" w:color="000000" w:sz="4" w:space="0"/>
              <w:right w:val="single" w:color="000000" w:sz="4" w:space="0"/>
            </w:tcBorders>
            <w:vAlign w:val="center"/>
          </w:tcPr>
          <w:p w14:paraId="7891235F">
            <w:pPr>
              <w:jc w:val="center"/>
              <w:rPr>
                <w:rStyle w:val="39"/>
                <w:rFonts w:hint="eastAsia" w:ascii="宋体" w:hAnsi="宋体"/>
                <w:szCs w:val="21"/>
              </w:rPr>
            </w:pPr>
          </w:p>
        </w:tc>
        <w:tc>
          <w:tcPr>
            <w:tcW w:w="1984" w:type="dxa"/>
            <w:gridSpan w:val="4"/>
            <w:tcBorders>
              <w:top w:val="single" w:color="000000" w:sz="4" w:space="0"/>
              <w:left w:val="single" w:color="000000" w:sz="4" w:space="0"/>
              <w:bottom w:val="single" w:color="000000" w:sz="4" w:space="0"/>
              <w:right w:val="single" w:color="000000" w:sz="4" w:space="0"/>
            </w:tcBorders>
            <w:vAlign w:val="center"/>
          </w:tcPr>
          <w:p w14:paraId="68ABEC5F">
            <w:pPr>
              <w:jc w:val="center"/>
              <w:rPr>
                <w:rStyle w:val="39"/>
                <w:rFonts w:hint="eastAsia" w:ascii="宋体" w:hAnsi="宋体"/>
                <w:szCs w:val="21"/>
              </w:rPr>
            </w:pPr>
            <w:r>
              <w:rPr>
                <w:rStyle w:val="39"/>
                <w:rFonts w:ascii="宋体" w:hAnsi="宋体"/>
                <w:szCs w:val="21"/>
              </w:rPr>
              <w:t>高级职称人员</w:t>
            </w:r>
          </w:p>
        </w:tc>
        <w:tc>
          <w:tcPr>
            <w:tcW w:w="2125" w:type="dxa"/>
            <w:gridSpan w:val="2"/>
            <w:tcBorders>
              <w:top w:val="single" w:color="000000" w:sz="4" w:space="0"/>
              <w:left w:val="single" w:color="000000" w:sz="4" w:space="0"/>
              <w:bottom w:val="single" w:color="000000" w:sz="4" w:space="0"/>
              <w:right w:val="single" w:color="000000" w:sz="4" w:space="0"/>
            </w:tcBorders>
            <w:vAlign w:val="center"/>
          </w:tcPr>
          <w:p w14:paraId="142ED542">
            <w:pPr>
              <w:jc w:val="center"/>
              <w:rPr>
                <w:rStyle w:val="39"/>
                <w:rFonts w:hint="eastAsia" w:ascii="宋体" w:hAnsi="宋体"/>
                <w:szCs w:val="21"/>
              </w:rPr>
            </w:pPr>
          </w:p>
        </w:tc>
      </w:tr>
      <w:tr w14:paraId="510698E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53608070">
            <w:pPr>
              <w:jc w:val="center"/>
              <w:rPr>
                <w:rStyle w:val="39"/>
                <w:rFonts w:hint="eastAsia" w:ascii="宋体" w:hAnsi="宋体"/>
                <w:szCs w:val="21"/>
              </w:rPr>
            </w:pPr>
            <w:r>
              <w:rPr>
                <w:rStyle w:val="39"/>
                <w:rFonts w:ascii="宋体" w:hAnsi="宋体"/>
                <w:szCs w:val="21"/>
              </w:rPr>
              <w:t>注册资金</w:t>
            </w:r>
          </w:p>
        </w:tc>
        <w:tc>
          <w:tcPr>
            <w:tcW w:w="897" w:type="dxa"/>
            <w:tcBorders>
              <w:top w:val="single" w:color="000000" w:sz="4" w:space="0"/>
              <w:left w:val="single" w:color="000000" w:sz="4" w:space="0"/>
              <w:bottom w:val="single" w:color="000000" w:sz="4" w:space="0"/>
              <w:right w:val="single" w:color="000000" w:sz="4" w:space="0"/>
            </w:tcBorders>
            <w:vAlign w:val="center"/>
          </w:tcPr>
          <w:p w14:paraId="4550FC40">
            <w:pPr>
              <w:jc w:val="center"/>
              <w:rPr>
                <w:rStyle w:val="39"/>
                <w:rFonts w:hint="eastAsia" w:ascii="宋体" w:hAnsi="宋体"/>
                <w:szCs w:val="21"/>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62890BB7">
            <w:pPr>
              <w:jc w:val="center"/>
              <w:rPr>
                <w:rStyle w:val="39"/>
                <w:rFonts w:hint="eastAsia" w:ascii="宋体" w:hAnsi="宋体"/>
                <w:szCs w:val="21"/>
              </w:rPr>
            </w:pPr>
          </w:p>
        </w:tc>
        <w:tc>
          <w:tcPr>
            <w:tcW w:w="993" w:type="dxa"/>
            <w:vMerge w:val="continue"/>
            <w:tcBorders>
              <w:top w:val="single" w:color="000000" w:sz="4" w:space="0"/>
              <w:left w:val="single" w:color="000000" w:sz="4" w:space="0"/>
              <w:bottom w:val="single" w:color="000000" w:sz="4" w:space="0"/>
              <w:right w:val="single" w:color="000000" w:sz="4" w:space="0"/>
            </w:tcBorders>
            <w:vAlign w:val="center"/>
          </w:tcPr>
          <w:p w14:paraId="77B4572D">
            <w:pPr>
              <w:jc w:val="center"/>
              <w:rPr>
                <w:rStyle w:val="39"/>
                <w:rFonts w:hint="eastAsia" w:ascii="宋体" w:hAnsi="宋体"/>
                <w:szCs w:val="21"/>
              </w:rPr>
            </w:pPr>
          </w:p>
        </w:tc>
        <w:tc>
          <w:tcPr>
            <w:tcW w:w="1984" w:type="dxa"/>
            <w:gridSpan w:val="4"/>
            <w:tcBorders>
              <w:top w:val="single" w:color="000000" w:sz="4" w:space="0"/>
              <w:left w:val="single" w:color="000000" w:sz="4" w:space="0"/>
              <w:bottom w:val="single" w:color="000000" w:sz="4" w:space="0"/>
              <w:right w:val="single" w:color="000000" w:sz="4" w:space="0"/>
            </w:tcBorders>
            <w:vAlign w:val="center"/>
          </w:tcPr>
          <w:p w14:paraId="2509863F">
            <w:pPr>
              <w:jc w:val="center"/>
              <w:rPr>
                <w:rStyle w:val="39"/>
                <w:rFonts w:hint="eastAsia" w:ascii="宋体" w:hAnsi="宋体"/>
                <w:szCs w:val="21"/>
              </w:rPr>
            </w:pPr>
            <w:r>
              <w:rPr>
                <w:rStyle w:val="39"/>
                <w:rFonts w:ascii="宋体" w:hAnsi="宋体"/>
                <w:szCs w:val="21"/>
              </w:rPr>
              <w:t>中级职称人员</w:t>
            </w:r>
          </w:p>
        </w:tc>
        <w:tc>
          <w:tcPr>
            <w:tcW w:w="2125" w:type="dxa"/>
            <w:gridSpan w:val="2"/>
            <w:tcBorders>
              <w:top w:val="single" w:color="000000" w:sz="4" w:space="0"/>
              <w:left w:val="single" w:color="000000" w:sz="4" w:space="0"/>
              <w:bottom w:val="single" w:color="000000" w:sz="4" w:space="0"/>
              <w:right w:val="single" w:color="000000" w:sz="4" w:space="0"/>
            </w:tcBorders>
            <w:vAlign w:val="center"/>
          </w:tcPr>
          <w:p w14:paraId="17391B62">
            <w:pPr>
              <w:jc w:val="center"/>
              <w:rPr>
                <w:rStyle w:val="39"/>
                <w:rFonts w:hint="eastAsia" w:ascii="宋体" w:hAnsi="宋体"/>
                <w:szCs w:val="21"/>
              </w:rPr>
            </w:pPr>
          </w:p>
        </w:tc>
      </w:tr>
      <w:tr w14:paraId="36D794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6FE95453">
            <w:pPr>
              <w:jc w:val="center"/>
              <w:rPr>
                <w:rStyle w:val="39"/>
                <w:rFonts w:hint="eastAsia" w:ascii="宋体" w:hAnsi="宋体"/>
                <w:szCs w:val="21"/>
              </w:rPr>
            </w:pPr>
            <w:r>
              <w:rPr>
                <w:rStyle w:val="39"/>
                <w:rFonts w:ascii="宋体" w:hAnsi="宋体"/>
                <w:szCs w:val="21"/>
              </w:rPr>
              <w:t>开户银行</w:t>
            </w:r>
          </w:p>
        </w:tc>
        <w:tc>
          <w:tcPr>
            <w:tcW w:w="897" w:type="dxa"/>
            <w:tcBorders>
              <w:top w:val="single" w:color="000000" w:sz="4" w:space="0"/>
              <w:left w:val="single" w:color="000000" w:sz="4" w:space="0"/>
              <w:bottom w:val="single" w:color="000000" w:sz="4" w:space="0"/>
              <w:right w:val="single" w:color="000000" w:sz="4" w:space="0"/>
            </w:tcBorders>
            <w:vAlign w:val="center"/>
          </w:tcPr>
          <w:p w14:paraId="6994B5E0">
            <w:pPr>
              <w:jc w:val="center"/>
              <w:rPr>
                <w:rStyle w:val="39"/>
                <w:rFonts w:hint="eastAsia" w:ascii="宋体" w:hAnsi="宋体"/>
                <w:szCs w:val="21"/>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2CBB2741">
            <w:pPr>
              <w:jc w:val="center"/>
              <w:rPr>
                <w:rStyle w:val="39"/>
                <w:rFonts w:hint="eastAsia" w:ascii="宋体" w:hAnsi="宋体"/>
                <w:szCs w:val="21"/>
              </w:rPr>
            </w:pPr>
          </w:p>
        </w:tc>
        <w:tc>
          <w:tcPr>
            <w:tcW w:w="993" w:type="dxa"/>
            <w:vMerge w:val="continue"/>
            <w:tcBorders>
              <w:top w:val="single" w:color="000000" w:sz="4" w:space="0"/>
              <w:left w:val="single" w:color="000000" w:sz="4" w:space="0"/>
              <w:bottom w:val="single" w:color="000000" w:sz="4" w:space="0"/>
              <w:right w:val="single" w:color="000000" w:sz="4" w:space="0"/>
            </w:tcBorders>
            <w:vAlign w:val="center"/>
          </w:tcPr>
          <w:p w14:paraId="46EA4CF3">
            <w:pPr>
              <w:jc w:val="center"/>
              <w:rPr>
                <w:rStyle w:val="39"/>
                <w:rFonts w:hint="eastAsia" w:ascii="宋体" w:hAnsi="宋体"/>
                <w:szCs w:val="21"/>
              </w:rPr>
            </w:pPr>
          </w:p>
        </w:tc>
        <w:tc>
          <w:tcPr>
            <w:tcW w:w="1984" w:type="dxa"/>
            <w:gridSpan w:val="4"/>
            <w:tcBorders>
              <w:top w:val="single" w:color="000000" w:sz="4" w:space="0"/>
              <w:left w:val="single" w:color="000000" w:sz="4" w:space="0"/>
              <w:bottom w:val="single" w:color="000000" w:sz="4" w:space="0"/>
              <w:right w:val="single" w:color="000000" w:sz="4" w:space="0"/>
            </w:tcBorders>
            <w:vAlign w:val="center"/>
          </w:tcPr>
          <w:p w14:paraId="510E0821">
            <w:pPr>
              <w:jc w:val="center"/>
              <w:rPr>
                <w:rStyle w:val="39"/>
                <w:rFonts w:hint="eastAsia" w:ascii="宋体" w:hAnsi="宋体"/>
                <w:szCs w:val="21"/>
              </w:rPr>
            </w:pPr>
            <w:r>
              <w:rPr>
                <w:rStyle w:val="39"/>
                <w:rFonts w:ascii="宋体" w:hAnsi="宋体"/>
                <w:szCs w:val="21"/>
              </w:rPr>
              <w:t>初级职称人员</w:t>
            </w:r>
          </w:p>
        </w:tc>
        <w:tc>
          <w:tcPr>
            <w:tcW w:w="2125" w:type="dxa"/>
            <w:gridSpan w:val="2"/>
            <w:tcBorders>
              <w:top w:val="single" w:color="000000" w:sz="4" w:space="0"/>
              <w:left w:val="single" w:color="000000" w:sz="4" w:space="0"/>
              <w:bottom w:val="single" w:color="000000" w:sz="4" w:space="0"/>
              <w:right w:val="single" w:color="000000" w:sz="4" w:space="0"/>
            </w:tcBorders>
            <w:vAlign w:val="center"/>
          </w:tcPr>
          <w:p w14:paraId="42688ABE">
            <w:pPr>
              <w:jc w:val="center"/>
              <w:rPr>
                <w:rStyle w:val="39"/>
                <w:rFonts w:hint="eastAsia" w:ascii="宋体" w:hAnsi="宋体"/>
                <w:szCs w:val="21"/>
              </w:rPr>
            </w:pPr>
          </w:p>
        </w:tc>
      </w:tr>
      <w:tr w14:paraId="69140C6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cantSplit/>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6AD30CC8">
            <w:pPr>
              <w:jc w:val="center"/>
              <w:rPr>
                <w:rStyle w:val="39"/>
                <w:rFonts w:hint="eastAsia" w:ascii="宋体" w:hAnsi="宋体"/>
                <w:szCs w:val="21"/>
              </w:rPr>
            </w:pPr>
            <w:r>
              <w:rPr>
                <w:rStyle w:val="39"/>
                <w:rFonts w:ascii="宋体" w:hAnsi="宋体"/>
                <w:szCs w:val="21"/>
              </w:rPr>
              <w:t>账号</w:t>
            </w:r>
          </w:p>
        </w:tc>
        <w:tc>
          <w:tcPr>
            <w:tcW w:w="897" w:type="dxa"/>
            <w:tcBorders>
              <w:top w:val="single" w:color="000000" w:sz="4" w:space="0"/>
              <w:left w:val="single" w:color="000000" w:sz="4" w:space="0"/>
              <w:bottom w:val="single" w:color="000000" w:sz="4" w:space="0"/>
              <w:right w:val="single" w:color="000000" w:sz="4" w:space="0"/>
            </w:tcBorders>
            <w:vAlign w:val="center"/>
          </w:tcPr>
          <w:p w14:paraId="2F03559D">
            <w:pPr>
              <w:jc w:val="center"/>
              <w:rPr>
                <w:rStyle w:val="39"/>
                <w:rFonts w:hint="eastAsia" w:ascii="宋体" w:hAnsi="宋体"/>
                <w:szCs w:val="21"/>
              </w:rPr>
            </w:pPr>
          </w:p>
        </w:tc>
        <w:tc>
          <w:tcPr>
            <w:tcW w:w="1021" w:type="dxa"/>
            <w:tcBorders>
              <w:top w:val="single" w:color="000000" w:sz="4" w:space="0"/>
              <w:left w:val="single" w:color="000000" w:sz="4" w:space="0"/>
              <w:bottom w:val="single" w:color="000000" w:sz="4" w:space="0"/>
              <w:right w:val="single" w:color="000000" w:sz="4" w:space="0"/>
            </w:tcBorders>
            <w:vAlign w:val="center"/>
          </w:tcPr>
          <w:p w14:paraId="624AA87A">
            <w:pPr>
              <w:jc w:val="center"/>
              <w:rPr>
                <w:rStyle w:val="39"/>
                <w:rFonts w:hint="eastAsia" w:ascii="宋体" w:hAnsi="宋体"/>
                <w:szCs w:val="21"/>
              </w:rPr>
            </w:pPr>
          </w:p>
        </w:tc>
        <w:tc>
          <w:tcPr>
            <w:tcW w:w="993" w:type="dxa"/>
            <w:vMerge w:val="continue"/>
            <w:tcBorders>
              <w:top w:val="single" w:color="000000" w:sz="4" w:space="0"/>
              <w:left w:val="single" w:color="000000" w:sz="4" w:space="0"/>
              <w:bottom w:val="single" w:color="000000" w:sz="4" w:space="0"/>
              <w:right w:val="single" w:color="000000" w:sz="4" w:space="0"/>
            </w:tcBorders>
            <w:vAlign w:val="center"/>
          </w:tcPr>
          <w:p w14:paraId="69903B6C">
            <w:pPr>
              <w:jc w:val="center"/>
              <w:rPr>
                <w:rStyle w:val="39"/>
                <w:rFonts w:hint="eastAsia" w:ascii="宋体" w:hAnsi="宋体"/>
                <w:szCs w:val="21"/>
              </w:rPr>
            </w:pPr>
          </w:p>
        </w:tc>
        <w:tc>
          <w:tcPr>
            <w:tcW w:w="1984" w:type="dxa"/>
            <w:gridSpan w:val="4"/>
            <w:tcBorders>
              <w:top w:val="single" w:color="000000" w:sz="4" w:space="0"/>
              <w:left w:val="single" w:color="000000" w:sz="4" w:space="0"/>
              <w:bottom w:val="single" w:color="000000" w:sz="4" w:space="0"/>
              <w:right w:val="single" w:color="000000" w:sz="4" w:space="0"/>
            </w:tcBorders>
            <w:vAlign w:val="center"/>
          </w:tcPr>
          <w:p w14:paraId="4E5AE3A0">
            <w:pPr>
              <w:jc w:val="center"/>
              <w:rPr>
                <w:rStyle w:val="39"/>
                <w:rFonts w:hint="eastAsia" w:ascii="宋体" w:hAnsi="宋体"/>
                <w:szCs w:val="21"/>
              </w:rPr>
            </w:pPr>
            <w:r>
              <w:rPr>
                <w:rStyle w:val="39"/>
                <w:rFonts w:ascii="宋体" w:hAnsi="宋体"/>
                <w:szCs w:val="21"/>
              </w:rPr>
              <w:t>技  工</w:t>
            </w:r>
          </w:p>
        </w:tc>
        <w:tc>
          <w:tcPr>
            <w:tcW w:w="2125" w:type="dxa"/>
            <w:gridSpan w:val="2"/>
            <w:tcBorders>
              <w:top w:val="single" w:color="000000" w:sz="4" w:space="0"/>
              <w:left w:val="single" w:color="000000" w:sz="4" w:space="0"/>
              <w:bottom w:val="single" w:color="000000" w:sz="4" w:space="0"/>
              <w:right w:val="single" w:color="000000" w:sz="4" w:space="0"/>
            </w:tcBorders>
            <w:vAlign w:val="center"/>
          </w:tcPr>
          <w:p w14:paraId="0B0A8989">
            <w:pPr>
              <w:jc w:val="center"/>
              <w:rPr>
                <w:rStyle w:val="39"/>
                <w:rFonts w:hint="eastAsia" w:ascii="宋体" w:hAnsi="宋体"/>
                <w:szCs w:val="21"/>
              </w:rPr>
            </w:pPr>
          </w:p>
        </w:tc>
      </w:tr>
      <w:tr w14:paraId="4B1F996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552"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1AEC9D37">
            <w:pPr>
              <w:jc w:val="center"/>
              <w:rPr>
                <w:rStyle w:val="39"/>
                <w:rFonts w:hint="eastAsia" w:ascii="宋体" w:hAnsi="宋体"/>
                <w:szCs w:val="21"/>
              </w:rPr>
            </w:pPr>
            <w:r>
              <w:rPr>
                <w:rStyle w:val="39"/>
                <w:rFonts w:ascii="宋体" w:hAnsi="宋体"/>
                <w:szCs w:val="21"/>
              </w:rPr>
              <w:t>经营范围</w:t>
            </w:r>
          </w:p>
        </w:tc>
        <w:tc>
          <w:tcPr>
            <w:tcW w:w="7020" w:type="dxa"/>
            <w:gridSpan w:val="9"/>
            <w:tcBorders>
              <w:top w:val="single" w:color="000000" w:sz="4" w:space="0"/>
              <w:left w:val="single" w:color="000000" w:sz="4" w:space="0"/>
              <w:bottom w:val="single" w:color="000000" w:sz="4" w:space="0"/>
              <w:right w:val="single" w:color="000000" w:sz="4" w:space="0"/>
            </w:tcBorders>
            <w:vAlign w:val="center"/>
          </w:tcPr>
          <w:p w14:paraId="0073B53F">
            <w:pPr>
              <w:jc w:val="center"/>
              <w:rPr>
                <w:rStyle w:val="39"/>
                <w:rFonts w:hint="eastAsia" w:ascii="宋体" w:hAnsi="宋体"/>
                <w:szCs w:val="21"/>
              </w:rPr>
            </w:pPr>
          </w:p>
        </w:tc>
      </w:tr>
      <w:tr w14:paraId="016D807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7" w:hRule="atLeast"/>
          <w:jc w:val="center"/>
        </w:trPr>
        <w:tc>
          <w:tcPr>
            <w:tcW w:w="1485" w:type="dxa"/>
            <w:tcBorders>
              <w:top w:val="single" w:color="000000" w:sz="4" w:space="0"/>
              <w:left w:val="single" w:color="000000" w:sz="4" w:space="0"/>
              <w:bottom w:val="single" w:color="000000" w:sz="4" w:space="0"/>
              <w:right w:val="single" w:color="000000" w:sz="4" w:space="0"/>
            </w:tcBorders>
            <w:vAlign w:val="center"/>
          </w:tcPr>
          <w:p w14:paraId="1E78A5F7">
            <w:pPr>
              <w:jc w:val="center"/>
              <w:rPr>
                <w:rStyle w:val="39"/>
                <w:rFonts w:hint="eastAsia" w:ascii="宋体" w:hAnsi="宋体"/>
                <w:szCs w:val="21"/>
              </w:rPr>
            </w:pPr>
            <w:r>
              <w:rPr>
                <w:rStyle w:val="39"/>
                <w:rFonts w:ascii="宋体" w:hAnsi="宋体"/>
                <w:szCs w:val="21"/>
              </w:rPr>
              <w:t>备注</w:t>
            </w:r>
          </w:p>
        </w:tc>
        <w:tc>
          <w:tcPr>
            <w:tcW w:w="7020" w:type="dxa"/>
            <w:gridSpan w:val="9"/>
            <w:tcBorders>
              <w:top w:val="single" w:color="000000" w:sz="4" w:space="0"/>
              <w:left w:val="single" w:color="000000" w:sz="4" w:space="0"/>
              <w:bottom w:val="single" w:color="000000" w:sz="4" w:space="0"/>
              <w:right w:val="single" w:color="000000" w:sz="4" w:space="0"/>
            </w:tcBorders>
            <w:vAlign w:val="center"/>
          </w:tcPr>
          <w:p w14:paraId="454E6407">
            <w:pPr>
              <w:jc w:val="center"/>
              <w:rPr>
                <w:rStyle w:val="39"/>
                <w:rFonts w:hint="eastAsia" w:ascii="宋体" w:hAnsi="宋体"/>
                <w:szCs w:val="21"/>
              </w:rPr>
            </w:pPr>
          </w:p>
        </w:tc>
      </w:tr>
    </w:tbl>
    <w:p w14:paraId="6327C20E">
      <w:pPr>
        <w:spacing w:line="440" w:lineRule="exact"/>
        <w:rPr>
          <w:rStyle w:val="39"/>
          <w:rFonts w:hint="eastAsia" w:ascii="宋体" w:hAnsi="宋体"/>
          <w:szCs w:val="21"/>
        </w:rPr>
      </w:pPr>
      <w:r>
        <w:rPr>
          <w:rStyle w:val="39"/>
          <w:rFonts w:ascii="宋体" w:hAnsi="宋体"/>
          <w:szCs w:val="21"/>
        </w:rPr>
        <w:t>备注：本表后应附企业法人营业执照、企业资质证书副本、安全生产许可证等材料的复印件。</w:t>
      </w:r>
    </w:p>
    <w:p w14:paraId="50618C81">
      <w:pPr>
        <w:spacing w:before="120" w:after="240" w:line="440" w:lineRule="exact"/>
        <w:jc w:val="center"/>
        <w:rPr>
          <w:rStyle w:val="39"/>
          <w:rFonts w:hint="eastAsia" w:ascii="宋体" w:hAnsi="宋体"/>
          <w:szCs w:val="21"/>
          <w:shd w:val="pct10" w:color="auto" w:fill="FFFFFF"/>
        </w:rPr>
      </w:pPr>
      <w:r>
        <w:rPr>
          <w:rStyle w:val="39"/>
          <w:rFonts w:ascii="宋体" w:hAnsi="宋体"/>
          <w:szCs w:val="21"/>
          <w:shd w:val="pct10" w:color="auto" w:fill="FFFFFF"/>
        </w:rPr>
        <w:br w:type="page"/>
      </w:r>
    </w:p>
    <w:p w14:paraId="40F08805">
      <w:pPr>
        <w:pStyle w:val="48"/>
        <w:numPr>
          <w:ilvl w:val="0"/>
          <w:numId w:val="18"/>
        </w:numPr>
        <w:snapToGrid w:val="0"/>
        <w:spacing w:line="440" w:lineRule="exact"/>
        <w:ind w:firstLineChars="0"/>
        <w:jc w:val="center"/>
        <w:rPr>
          <w:rStyle w:val="39"/>
          <w:rFonts w:hint="eastAsia" w:ascii="宋体" w:hAnsi="宋体"/>
          <w:b/>
          <w:szCs w:val="21"/>
        </w:rPr>
      </w:pPr>
      <w:bookmarkStart w:id="1418" w:name="_Toc16064006"/>
      <w:r>
        <w:rPr>
          <w:rStyle w:val="39"/>
          <w:rFonts w:hint="eastAsia" w:ascii="宋体" w:hAnsi="宋体"/>
          <w:b/>
          <w:szCs w:val="21"/>
        </w:rPr>
        <w:t>2022、2023、2024</w:t>
      </w:r>
      <w:r>
        <w:rPr>
          <w:rStyle w:val="39"/>
          <w:rFonts w:ascii="宋体" w:hAnsi="宋体"/>
          <w:b/>
          <w:szCs w:val="21"/>
        </w:rPr>
        <w:t>年财务状况：</w:t>
      </w:r>
      <w:bookmarkEnd w:id="1418"/>
    </w:p>
    <w:p w14:paraId="68FC89BE">
      <w:pPr>
        <w:pStyle w:val="48"/>
        <w:snapToGrid w:val="0"/>
        <w:spacing w:line="440" w:lineRule="exact"/>
        <w:ind w:left="1367" w:firstLine="0" w:firstLineChars="0"/>
        <w:rPr>
          <w:rStyle w:val="39"/>
          <w:rFonts w:hint="eastAsia" w:ascii="宋体" w:hAnsi="宋体"/>
          <w:b/>
          <w:szCs w:val="21"/>
        </w:rPr>
      </w:pPr>
    </w:p>
    <w:p w14:paraId="29B4566D">
      <w:pPr>
        <w:spacing w:line="440" w:lineRule="exact"/>
        <w:rPr>
          <w:rStyle w:val="39"/>
          <w:rFonts w:hint="eastAsia" w:ascii="宋体" w:hAnsi="宋体"/>
          <w:szCs w:val="21"/>
        </w:rPr>
      </w:pPr>
      <w:r>
        <w:rPr>
          <w:rStyle w:val="39"/>
          <w:rFonts w:ascii="宋体" w:hAnsi="宋体"/>
        </w:rPr>
        <w:t xml:space="preserve">   附：经会计师事务所或审计机构审计的财务会计报表（包括资产负债表、现金流量表、利润表和财务情况说明书等材料的复印件）</w:t>
      </w:r>
      <w:r>
        <w:rPr>
          <w:rStyle w:val="39"/>
          <w:rFonts w:hint="eastAsia" w:ascii="宋体" w:hAnsi="宋体"/>
        </w:rPr>
        <w:t>及企业最近半年完税证明、信用证明材料（中国人民银行征信报告）；年度纳税信用评价信息；企业对外担保说明</w:t>
      </w:r>
      <w:r>
        <w:rPr>
          <w:rStyle w:val="39"/>
          <w:rFonts w:ascii="宋体" w:hAnsi="宋体"/>
        </w:rPr>
        <w:t>。</w:t>
      </w:r>
    </w:p>
    <w:tbl>
      <w:tblPr>
        <w:tblStyle w:val="26"/>
        <w:tblW w:w="928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22"/>
        <w:gridCol w:w="2322"/>
        <w:gridCol w:w="2322"/>
        <w:gridCol w:w="2322"/>
      </w:tblGrid>
      <w:tr w14:paraId="15C60F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9288" w:type="dxa"/>
            <w:gridSpan w:val="4"/>
            <w:vAlign w:val="center"/>
          </w:tcPr>
          <w:p w14:paraId="5D98D6C5">
            <w:pPr>
              <w:spacing w:line="440" w:lineRule="exact"/>
              <w:jc w:val="center"/>
              <w:rPr>
                <w:rStyle w:val="39"/>
                <w:rFonts w:hint="eastAsia" w:ascii="宋体" w:hAnsi="宋体"/>
              </w:rPr>
            </w:pPr>
            <w:r>
              <w:rPr>
                <w:rStyle w:val="39"/>
                <w:rFonts w:hint="eastAsia" w:ascii="宋体" w:hAnsi="宋体"/>
              </w:rPr>
              <w:t>投标单位资产情况汇总表</w:t>
            </w:r>
          </w:p>
        </w:tc>
      </w:tr>
      <w:tr w14:paraId="31CFA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024FDE2D">
            <w:pPr>
              <w:spacing w:line="440" w:lineRule="exact"/>
              <w:jc w:val="center"/>
              <w:rPr>
                <w:rStyle w:val="39"/>
                <w:rFonts w:hint="eastAsia" w:ascii="宋体" w:hAnsi="宋体"/>
              </w:rPr>
            </w:pPr>
            <w:r>
              <w:rPr>
                <w:rStyle w:val="39"/>
                <w:rFonts w:hint="eastAsia" w:ascii="宋体" w:hAnsi="宋体"/>
              </w:rPr>
              <w:t>注册资金（万元）</w:t>
            </w:r>
          </w:p>
        </w:tc>
        <w:tc>
          <w:tcPr>
            <w:tcW w:w="6966" w:type="dxa"/>
            <w:gridSpan w:val="3"/>
          </w:tcPr>
          <w:p w14:paraId="42F89F57">
            <w:pPr>
              <w:spacing w:line="440" w:lineRule="exact"/>
              <w:jc w:val="center"/>
              <w:rPr>
                <w:rStyle w:val="39"/>
                <w:rFonts w:hint="eastAsia" w:ascii="宋体" w:hAnsi="宋体"/>
              </w:rPr>
            </w:pPr>
          </w:p>
        </w:tc>
      </w:tr>
      <w:tr w14:paraId="55A0F4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4F543483">
            <w:pPr>
              <w:spacing w:line="440" w:lineRule="exact"/>
              <w:jc w:val="center"/>
              <w:rPr>
                <w:rStyle w:val="39"/>
                <w:rFonts w:hint="eastAsia" w:ascii="宋体" w:hAnsi="宋体"/>
              </w:rPr>
            </w:pPr>
            <w:r>
              <w:rPr>
                <w:rStyle w:val="39"/>
                <w:rFonts w:ascii="宋体" w:hAnsi="宋体"/>
              </w:rPr>
              <w:t>实收资金（万元）</w:t>
            </w:r>
          </w:p>
        </w:tc>
        <w:tc>
          <w:tcPr>
            <w:tcW w:w="6966" w:type="dxa"/>
            <w:gridSpan w:val="3"/>
          </w:tcPr>
          <w:p w14:paraId="1083F00C">
            <w:pPr>
              <w:spacing w:line="440" w:lineRule="exact"/>
              <w:jc w:val="center"/>
              <w:rPr>
                <w:rStyle w:val="39"/>
                <w:rFonts w:hint="eastAsia" w:ascii="宋体" w:hAnsi="宋体"/>
              </w:rPr>
            </w:pPr>
          </w:p>
        </w:tc>
      </w:tr>
      <w:tr w14:paraId="19F53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762FF86F">
            <w:pPr>
              <w:spacing w:line="440" w:lineRule="exact"/>
              <w:jc w:val="center"/>
              <w:rPr>
                <w:rStyle w:val="39"/>
                <w:rFonts w:hint="eastAsia" w:ascii="宋体" w:hAnsi="宋体"/>
              </w:rPr>
            </w:pPr>
            <w:r>
              <w:rPr>
                <w:rStyle w:val="39"/>
                <w:rFonts w:hint="eastAsia" w:ascii="宋体" w:hAnsi="宋体"/>
              </w:rPr>
              <w:t>年度资产情况</w:t>
            </w:r>
          </w:p>
        </w:tc>
        <w:tc>
          <w:tcPr>
            <w:tcW w:w="2322" w:type="dxa"/>
          </w:tcPr>
          <w:p w14:paraId="57D64144">
            <w:pPr>
              <w:spacing w:line="440" w:lineRule="exact"/>
              <w:jc w:val="center"/>
              <w:rPr>
                <w:rStyle w:val="39"/>
                <w:rFonts w:hint="eastAsia" w:ascii="宋体" w:hAnsi="宋体"/>
              </w:rPr>
            </w:pPr>
            <w:r>
              <w:rPr>
                <w:rStyle w:val="39"/>
                <w:rFonts w:hint="eastAsia" w:ascii="宋体" w:hAnsi="宋体"/>
              </w:rPr>
              <w:t>2022年</w:t>
            </w:r>
          </w:p>
        </w:tc>
        <w:tc>
          <w:tcPr>
            <w:tcW w:w="2322" w:type="dxa"/>
          </w:tcPr>
          <w:p w14:paraId="64D40768">
            <w:pPr>
              <w:spacing w:line="440" w:lineRule="exact"/>
              <w:jc w:val="center"/>
              <w:rPr>
                <w:rStyle w:val="39"/>
                <w:rFonts w:hint="eastAsia" w:ascii="宋体" w:hAnsi="宋体"/>
              </w:rPr>
            </w:pPr>
            <w:r>
              <w:rPr>
                <w:rStyle w:val="39"/>
                <w:rFonts w:hint="eastAsia" w:ascii="宋体" w:hAnsi="宋体"/>
              </w:rPr>
              <w:t>2023年</w:t>
            </w:r>
          </w:p>
        </w:tc>
        <w:tc>
          <w:tcPr>
            <w:tcW w:w="2322" w:type="dxa"/>
          </w:tcPr>
          <w:p w14:paraId="74738D83">
            <w:pPr>
              <w:spacing w:line="440" w:lineRule="exact"/>
              <w:jc w:val="center"/>
              <w:rPr>
                <w:rStyle w:val="39"/>
                <w:rFonts w:hint="eastAsia" w:ascii="宋体" w:hAnsi="宋体"/>
              </w:rPr>
            </w:pPr>
            <w:r>
              <w:rPr>
                <w:rStyle w:val="39"/>
                <w:rFonts w:hint="eastAsia" w:ascii="宋体" w:hAnsi="宋体"/>
              </w:rPr>
              <w:t>2024年</w:t>
            </w:r>
          </w:p>
        </w:tc>
      </w:tr>
      <w:tr w14:paraId="1D1DC3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2EA2BC0A">
            <w:pPr>
              <w:spacing w:line="440" w:lineRule="exact"/>
              <w:jc w:val="center"/>
              <w:rPr>
                <w:rStyle w:val="39"/>
                <w:rFonts w:hint="eastAsia" w:ascii="宋体" w:hAnsi="宋体"/>
              </w:rPr>
            </w:pPr>
            <w:r>
              <w:rPr>
                <w:rStyle w:val="39"/>
                <w:rFonts w:hint="eastAsia" w:ascii="宋体" w:hAnsi="宋体"/>
              </w:rPr>
              <w:t>流动资产（万元）</w:t>
            </w:r>
          </w:p>
        </w:tc>
        <w:tc>
          <w:tcPr>
            <w:tcW w:w="2322" w:type="dxa"/>
          </w:tcPr>
          <w:p w14:paraId="4144EC09">
            <w:pPr>
              <w:spacing w:line="440" w:lineRule="exact"/>
              <w:jc w:val="center"/>
              <w:rPr>
                <w:rStyle w:val="39"/>
                <w:rFonts w:hint="eastAsia" w:ascii="宋体" w:hAnsi="宋体"/>
              </w:rPr>
            </w:pPr>
          </w:p>
        </w:tc>
        <w:tc>
          <w:tcPr>
            <w:tcW w:w="2322" w:type="dxa"/>
          </w:tcPr>
          <w:p w14:paraId="686167DB">
            <w:pPr>
              <w:spacing w:line="440" w:lineRule="exact"/>
              <w:jc w:val="center"/>
              <w:rPr>
                <w:rStyle w:val="39"/>
                <w:rFonts w:hint="eastAsia" w:ascii="宋体" w:hAnsi="宋体"/>
              </w:rPr>
            </w:pPr>
          </w:p>
        </w:tc>
        <w:tc>
          <w:tcPr>
            <w:tcW w:w="2322" w:type="dxa"/>
          </w:tcPr>
          <w:p w14:paraId="274C13C4">
            <w:pPr>
              <w:spacing w:line="440" w:lineRule="exact"/>
              <w:jc w:val="center"/>
              <w:rPr>
                <w:rStyle w:val="39"/>
                <w:rFonts w:hint="eastAsia" w:ascii="宋体" w:hAnsi="宋体"/>
              </w:rPr>
            </w:pPr>
          </w:p>
        </w:tc>
      </w:tr>
      <w:tr w14:paraId="32DDF9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7BFC4974">
            <w:pPr>
              <w:spacing w:line="440" w:lineRule="exact"/>
              <w:jc w:val="center"/>
              <w:rPr>
                <w:rStyle w:val="39"/>
                <w:rFonts w:hint="eastAsia" w:ascii="宋体" w:hAnsi="宋体"/>
              </w:rPr>
            </w:pPr>
            <w:r>
              <w:rPr>
                <w:rStyle w:val="39"/>
                <w:rFonts w:hint="eastAsia" w:ascii="宋体" w:hAnsi="宋体"/>
              </w:rPr>
              <w:t>非流动资产（万元）</w:t>
            </w:r>
          </w:p>
        </w:tc>
        <w:tc>
          <w:tcPr>
            <w:tcW w:w="2322" w:type="dxa"/>
          </w:tcPr>
          <w:p w14:paraId="4E97C1DE">
            <w:pPr>
              <w:spacing w:line="440" w:lineRule="exact"/>
              <w:jc w:val="center"/>
              <w:rPr>
                <w:rStyle w:val="39"/>
                <w:rFonts w:hint="eastAsia" w:ascii="宋体" w:hAnsi="宋体"/>
              </w:rPr>
            </w:pPr>
          </w:p>
        </w:tc>
        <w:tc>
          <w:tcPr>
            <w:tcW w:w="2322" w:type="dxa"/>
          </w:tcPr>
          <w:p w14:paraId="3964BC0B">
            <w:pPr>
              <w:spacing w:line="440" w:lineRule="exact"/>
              <w:jc w:val="center"/>
              <w:rPr>
                <w:rStyle w:val="39"/>
                <w:rFonts w:hint="eastAsia" w:ascii="宋体" w:hAnsi="宋体"/>
              </w:rPr>
            </w:pPr>
          </w:p>
        </w:tc>
        <w:tc>
          <w:tcPr>
            <w:tcW w:w="2322" w:type="dxa"/>
          </w:tcPr>
          <w:p w14:paraId="447A103D">
            <w:pPr>
              <w:spacing w:line="440" w:lineRule="exact"/>
              <w:jc w:val="center"/>
              <w:rPr>
                <w:rStyle w:val="39"/>
                <w:rFonts w:hint="eastAsia" w:ascii="宋体" w:hAnsi="宋体"/>
              </w:rPr>
            </w:pPr>
          </w:p>
        </w:tc>
      </w:tr>
      <w:tr w14:paraId="43039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14DB295B">
            <w:pPr>
              <w:spacing w:line="440" w:lineRule="exact"/>
              <w:jc w:val="center"/>
              <w:rPr>
                <w:rStyle w:val="39"/>
                <w:rFonts w:hint="eastAsia" w:ascii="宋体" w:hAnsi="宋体"/>
              </w:rPr>
            </w:pPr>
            <w:r>
              <w:rPr>
                <w:rStyle w:val="39"/>
                <w:rFonts w:hint="eastAsia" w:ascii="宋体" w:hAnsi="宋体"/>
              </w:rPr>
              <w:t>营业收入（万元）</w:t>
            </w:r>
          </w:p>
        </w:tc>
        <w:tc>
          <w:tcPr>
            <w:tcW w:w="2322" w:type="dxa"/>
          </w:tcPr>
          <w:p w14:paraId="4665037E">
            <w:pPr>
              <w:spacing w:line="440" w:lineRule="exact"/>
              <w:jc w:val="center"/>
              <w:rPr>
                <w:rStyle w:val="39"/>
                <w:rFonts w:hint="eastAsia" w:ascii="宋体" w:hAnsi="宋体"/>
              </w:rPr>
            </w:pPr>
          </w:p>
        </w:tc>
        <w:tc>
          <w:tcPr>
            <w:tcW w:w="2322" w:type="dxa"/>
          </w:tcPr>
          <w:p w14:paraId="619BF205">
            <w:pPr>
              <w:spacing w:line="440" w:lineRule="exact"/>
              <w:jc w:val="center"/>
              <w:rPr>
                <w:rStyle w:val="39"/>
                <w:rFonts w:hint="eastAsia" w:ascii="宋体" w:hAnsi="宋体"/>
              </w:rPr>
            </w:pPr>
          </w:p>
        </w:tc>
        <w:tc>
          <w:tcPr>
            <w:tcW w:w="2322" w:type="dxa"/>
          </w:tcPr>
          <w:p w14:paraId="4D3F54A8">
            <w:pPr>
              <w:spacing w:line="440" w:lineRule="exact"/>
              <w:jc w:val="center"/>
              <w:rPr>
                <w:rStyle w:val="39"/>
                <w:rFonts w:hint="eastAsia" w:ascii="宋体" w:hAnsi="宋体"/>
              </w:rPr>
            </w:pPr>
          </w:p>
        </w:tc>
      </w:tr>
      <w:tr w14:paraId="69A4F9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04D8F8B0">
            <w:pPr>
              <w:spacing w:line="440" w:lineRule="exact"/>
              <w:jc w:val="center"/>
              <w:rPr>
                <w:rStyle w:val="39"/>
                <w:rFonts w:hint="eastAsia" w:ascii="宋体" w:hAnsi="宋体"/>
              </w:rPr>
            </w:pPr>
            <w:r>
              <w:rPr>
                <w:rStyle w:val="39"/>
                <w:rFonts w:hint="eastAsia" w:ascii="宋体" w:hAnsi="宋体"/>
              </w:rPr>
              <w:t>年底资产总值（万元）</w:t>
            </w:r>
          </w:p>
        </w:tc>
        <w:tc>
          <w:tcPr>
            <w:tcW w:w="2322" w:type="dxa"/>
          </w:tcPr>
          <w:p w14:paraId="6464479E">
            <w:pPr>
              <w:spacing w:line="440" w:lineRule="exact"/>
              <w:jc w:val="center"/>
              <w:rPr>
                <w:rStyle w:val="39"/>
                <w:rFonts w:hint="eastAsia" w:ascii="宋体" w:hAnsi="宋体"/>
              </w:rPr>
            </w:pPr>
          </w:p>
        </w:tc>
        <w:tc>
          <w:tcPr>
            <w:tcW w:w="2322" w:type="dxa"/>
          </w:tcPr>
          <w:p w14:paraId="38351BE7">
            <w:pPr>
              <w:spacing w:line="440" w:lineRule="exact"/>
              <w:jc w:val="center"/>
              <w:rPr>
                <w:rStyle w:val="39"/>
                <w:rFonts w:hint="eastAsia" w:ascii="宋体" w:hAnsi="宋体"/>
              </w:rPr>
            </w:pPr>
          </w:p>
        </w:tc>
        <w:tc>
          <w:tcPr>
            <w:tcW w:w="2322" w:type="dxa"/>
          </w:tcPr>
          <w:p w14:paraId="242BB52A">
            <w:pPr>
              <w:spacing w:line="440" w:lineRule="exact"/>
              <w:jc w:val="center"/>
              <w:rPr>
                <w:rStyle w:val="39"/>
                <w:rFonts w:hint="eastAsia" w:ascii="宋体" w:hAnsi="宋体"/>
              </w:rPr>
            </w:pPr>
          </w:p>
        </w:tc>
      </w:tr>
      <w:tr w14:paraId="6A8E6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5900DE9B">
            <w:pPr>
              <w:spacing w:line="440" w:lineRule="exact"/>
              <w:jc w:val="center"/>
              <w:rPr>
                <w:rStyle w:val="39"/>
                <w:rFonts w:hint="eastAsia" w:ascii="宋体" w:hAnsi="宋体"/>
              </w:rPr>
            </w:pPr>
            <w:r>
              <w:rPr>
                <w:rStyle w:val="39"/>
                <w:rFonts w:hint="eastAsia" w:ascii="宋体" w:hAnsi="宋体"/>
              </w:rPr>
              <w:t>年底负债总值（万元）</w:t>
            </w:r>
          </w:p>
        </w:tc>
        <w:tc>
          <w:tcPr>
            <w:tcW w:w="2322" w:type="dxa"/>
          </w:tcPr>
          <w:p w14:paraId="2AA69DC0">
            <w:pPr>
              <w:spacing w:line="440" w:lineRule="exact"/>
              <w:jc w:val="center"/>
              <w:rPr>
                <w:rStyle w:val="39"/>
                <w:rFonts w:hint="eastAsia" w:ascii="宋体" w:hAnsi="宋体"/>
              </w:rPr>
            </w:pPr>
          </w:p>
        </w:tc>
        <w:tc>
          <w:tcPr>
            <w:tcW w:w="2322" w:type="dxa"/>
          </w:tcPr>
          <w:p w14:paraId="7A0C779B">
            <w:pPr>
              <w:spacing w:line="440" w:lineRule="exact"/>
              <w:jc w:val="center"/>
              <w:rPr>
                <w:rStyle w:val="39"/>
                <w:rFonts w:hint="eastAsia" w:ascii="宋体" w:hAnsi="宋体"/>
              </w:rPr>
            </w:pPr>
          </w:p>
        </w:tc>
        <w:tc>
          <w:tcPr>
            <w:tcW w:w="2322" w:type="dxa"/>
          </w:tcPr>
          <w:p w14:paraId="04EFE2CB">
            <w:pPr>
              <w:spacing w:line="440" w:lineRule="exact"/>
              <w:jc w:val="center"/>
              <w:rPr>
                <w:rStyle w:val="39"/>
                <w:rFonts w:hint="eastAsia" w:ascii="宋体" w:hAnsi="宋体"/>
              </w:rPr>
            </w:pPr>
          </w:p>
        </w:tc>
      </w:tr>
      <w:tr w14:paraId="57863D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50017B53">
            <w:pPr>
              <w:spacing w:line="440" w:lineRule="exact"/>
              <w:jc w:val="center"/>
              <w:rPr>
                <w:rStyle w:val="39"/>
                <w:rFonts w:hint="eastAsia" w:ascii="宋体" w:hAnsi="宋体"/>
              </w:rPr>
            </w:pPr>
            <w:r>
              <w:rPr>
                <w:rStyle w:val="39"/>
                <w:rFonts w:ascii="宋体" w:hAnsi="宋体"/>
              </w:rPr>
              <w:t>资产负债率</w:t>
            </w:r>
            <w:r>
              <w:rPr>
                <w:rStyle w:val="39"/>
                <w:rFonts w:hint="eastAsia" w:ascii="宋体" w:hAnsi="宋体"/>
              </w:rPr>
              <w:t>（**.**%）</w:t>
            </w:r>
          </w:p>
        </w:tc>
        <w:tc>
          <w:tcPr>
            <w:tcW w:w="2322" w:type="dxa"/>
          </w:tcPr>
          <w:p w14:paraId="77EB690C">
            <w:pPr>
              <w:spacing w:line="440" w:lineRule="exact"/>
              <w:jc w:val="center"/>
              <w:rPr>
                <w:rStyle w:val="39"/>
                <w:rFonts w:hint="eastAsia" w:ascii="宋体" w:hAnsi="宋体"/>
              </w:rPr>
            </w:pPr>
          </w:p>
        </w:tc>
        <w:tc>
          <w:tcPr>
            <w:tcW w:w="2322" w:type="dxa"/>
          </w:tcPr>
          <w:p w14:paraId="28583A37">
            <w:pPr>
              <w:spacing w:line="440" w:lineRule="exact"/>
              <w:jc w:val="center"/>
              <w:rPr>
                <w:rStyle w:val="39"/>
                <w:rFonts w:hint="eastAsia" w:ascii="宋体" w:hAnsi="宋体"/>
              </w:rPr>
            </w:pPr>
          </w:p>
        </w:tc>
        <w:tc>
          <w:tcPr>
            <w:tcW w:w="2322" w:type="dxa"/>
          </w:tcPr>
          <w:p w14:paraId="20432AFC">
            <w:pPr>
              <w:spacing w:line="440" w:lineRule="exact"/>
              <w:jc w:val="center"/>
              <w:rPr>
                <w:rStyle w:val="39"/>
                <w:rFonts w:hint="eastAsia" w:ascii="宋体" w:hAnsi="宋体"/>
              </w:rPr>
            </w:pPr>
          </w:p>
        </w:tc>
      </w:tr>
      <w:tr w14:paraId="545012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05FDE14F">
            <w:pPr>
              <w:spacing w:line="440" w:lineRule="exact"/>
              <w:jc w:val="center"/>
              <w:rPr>
                <w:rStyle w:val="39"/>
                <w:rFonts w:hint="eastAsia" w:ascii="宋体" w:hAnsi="宋体"/>
              </w:rPr>
            </w:pPr>
            <w:r>
              <w:rPr>
                <w:rStyle w:val="39"/>
                <w:rFonts w:hint="eastAsia" w:ascii="宋体" w:hAnsi="宋体"/>
              </w:rPr>
              <w:t>净利润（万元）</w:t>
            </w:r>
          </w:p>
        </w:tc>
        <w:tc>
          <w:tcPr>
            <w:tcW w:w="2322" w:type="dxa"/>
          </w:tcPr>
          <w:p w14:paraId="60D764CC">
            <w:pPr>
              <w:spacing w:line="440" w:lineRule="exact"/>
              <w:jc w:val="center"/>
              <w:rPr>
                <w:rStyle w:val="39"/>
                <w:rFonts w:hint="eastAsia" w:ascii="宋体" w:hAnsi="宋体"/>
              </w:rPr>
            </w:pPr>
          </w:p>
        </w:tc>
        <w:tc>
          <w:tcPr>
            <w:tcW w:w="2322" w:type="dxa"/>
          </w:tcPr>
          <w:p w14:paraId="5B83C83A">
            <w:pPr>
              <w:spacing w:line="440" w:lineRule="exact"/>
              <w:jc w:val="center"/>
              <w:rPr>
                <w:rStyle w:val="39"/>
                <w:rFonts w:hint="eastAsia" w:ascii="宋体" w:hAnsi="宋体"/>
              </w:rPr>
            </w:pPr>
          </w:p>
        </w:tc>
        <w:tc>
          <w:tcPr>
            <w:tcW w:w="2322" w:type="dxa"/>
          </w:tcPr>
          <w:p w14:paraId="635B1D9F">
            <w:pPr>
              <w:spacing w:line="440" w:lineRule="exact"/>
              <w:jc w:val="center"/>
              <w:rPr>
                <w:rStyle w:val="39"/>
                <w:rFonts w:hint="eastAsia" w:ascii="宋体" w:hAnsi="宋体"/>
              </w:rPr>
            </w:pPr>
          </w:p>
        </w:tc>
      </w:tr>
      <w:tr w14:paraId="611E4E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715C1473">
            <w:pPr>
              <w:spacing w:line="440" w:lineRule="exact"/>
              <w:jc w:val="center"/>
              <w:rPr>
                <w:rStyle w:val="39"/>
                <w:rFonts w:hint="eastAsia" w:ascii="宋体" w:hAnsi="宋体"/>
              </w:rPr>
            </w:pPr>
            <w:r>
              <w:rPr>
                <w:rStyle w:val="39"/>
                <w:rFonts w:hint="eastAsia" w:ascii="宋体" w:hAnsi="宋体"/>
              </w:rPr>
              <w:t>未分配利润（万元）</w:t>
            </w:r>
          </w:p>
        </w:tc>
        <w:tc>
          <w:tcPr>
            <w:tcW w:w="2322" w:type="dxa"/>
          </w:tcPr>
          <w:p w14:paraId="42874CF5">
            <w:pPr>
              <w:spacing w:line="440" w:lineRule="exact"/>
              <w:jc w:val="center"/>
              <w:rPr>
                <w:rStyle w:val="39"/>
                <w:rFonts w:hint="eastAsia" w:ascii="宋体" w:hAnsi="宋体"/>
              </w:rPr>
            </w:pPr>
          </w:p>
        </w:tc>
        <w:tc>
          <w:tcPr>
            <w:tcW w:w="2322" w:type="dxa"/>
          </w:tcPr>
          <w:p w14:paraId="280B47A9">
            <w:pPr>
              <w:spacing w:line="440" w:lineRule="exact"/>
              <w:jc w:val="center"/>
              <w:rPr>
                <w:rStyle w:val="39"/>
                <w:rFonts w:hint="eastAsia" w:ascii="宋体" w:hAnsi="宋体"/>
              </w:rPr>
            </w:pPr>
          </w:p>
        </w:tc>
        <w:tc>
          <w:tcPr>
            <w:tcW w:w="2322" w:type="dxa"/>
          </w:tcPr>
          <w:p w14:paraId="5813FE13">
            <w:pPr>
              <w:spacing w:line="440" w:lineRule="exact"/>
              <w:jc w:val="center"/>
              <w:rPr>
                <w:rStyle w:val="39"/>
                <w:rFonts w:hint="eastAsia" w:ascii="宋体" w:hAnsi="宋体"/>
              </w:rPr>
            </w:pPr>
          </w:p>
        </w:tc>
      </w:tr>
      <w:tr w14:paraId="68B26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3E116C60">
            <w:pPr>
              <w:spacing w:line="440" w:lineRule="exact"/>
              <w:jc w:val="center"/>
              <w:rPr>
                <w:rFonts w:hint="eastAsia" w:ascii="宋体" w:hAnsi="宋体"/>
              </w:rPr>
            </w:pPr>
            <w:r>
              <w:rPr>
                <w:rStyle w:val="39"/>
                <w:rFonts w:hint="eastAsia" w:ascii="宋体" w:hAnsi="宋体"/>
              </w:rPr>
              <w:t>营运</w:t>
            </w:r>
            <w:r>
              <w:rPr>
                <w:rStyle w:val="39"/>
                <w:rFonts w:ascii="宋体" w:hAnsi="宋体"/>
              </w:rPr>
              <w:t>资</w:t>
            </w:r>
            <w:r>
              <w:rPr>
                <w:rStyle w:val="39"/>
                <w:rFonts w:hint="eastAsia" w:ascii="宋体" w:hAnsi="宋体"/>
              </w:rPr>
              <w:t>金</w:t>
            </w:r>
          </w:p>
        </w:tc>
        <w:tc>
          <w:tcPr>
            <w:tcW w:w="2322" w:type="dxa"/>
          </w:tcPr>
          <w:p w14:paraId="5A0CFB4B">
            <w:pPr>
              <w:spacing w:line="440" w:lineRule="exact"/>
              <w:jc w:val="center"/>
              <w:rPr>
                <w:rStyle w:val="39"/>
                <w:rFonts w:hint="eastAsia" w:ascii="宋体" w:hAnsi="宋体"/>
              </w:rPr>
            </w:pPr>
          </w:p>
        </w:tc>
        <w:tc>
          <w:tcPr>
            <w:tcW w:w="2322" w:type="dxa"/>
          </w:tcPr>
          <w:p w14:paraId="4A118807">
            <w:pPr>
              <w:spacing w:line="440" w:lineRule="exact"/>
              <w:jc w:val="center"/>
              <w:rPr>
                <w:rStyle w:val="39"/>
                <w:rFonts w:hint="eastAsia" w:ascii="宋体" w:hAnsi="宋体"/>
              </w:rPr>
            </w:pPr>
          </w:p>
        </w:tc>
        <w:tc>
          <w:tcPr>
            <w:tcW w:w="2322" w:type="dxa"/>
          </w:tcPr>
          <w:p w14:paraId="4EF67E00">
            <w:pPr>
              <w:spacing w:line="440" w:lineRule="exact"/>
              <w:jc w:val="center"/>
              <w:rPr>
                <w:rStyle w:val="39"/>
                <w:rFonts w:hint="eastAsia" w:ascii="宋体" w:hAnsi="宋体"/>
              </w:rPr>
            </w:pPr>
          </w:p>
        </w:tc>
      </w:tr>
      <w:tr w14:paraId="17069D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322" w:type="dxa"/>
          </w:tcPr>
          <w:p w14:paraId="2752584A">
            <w:pPr>
              <w:spacing w:line="440" w:lineRule="exact"/>
              <w:jc w:val="center"/>
              <w:rPr>
                <w:rFonts w:hint="eastAsia" w:ascii="宋体" w:hAnsi="宋体"/>
              </w:rPr>
            </w:pPr>
            <w:r>
              <w:rPr>
                <w:rStyle w:val="39"/>
                <w:rFonts w:hint="eastAsia" w:ascii="宋体" w:hAnsi="宋体"/>
              </w:rPr>
              <w:t>（本年营业收入-上年营业收入）÷上年营业收入</w:t>
            </w:r>
          </w:p>
        </w:tc>
        <w:tc>
          <w:tcPr>
            <w:tcW w:w="2322" w:type="dxa"/>
          </w:tcPr>
          <w:p w14:paraId="4871BF50">
            <w:pPr>
              <w:spacing w:line="440" w:lineRule="exact"/>
              <w:jc w:val="center"/>
              <w:rPr>
                <w:rStyle w:val="39"/>
                <w:rFonts w:hint="eastAsia" w:ascii="宋体" w:hAnsi="宋体"/>
              </w:rPr>
            </w:pPr>
          </w:p>
        </w:tc>
        <w:tc>
          <w:tcPr>
            <w:tcW w:w="2322" w:type="dxa"/>
          </w:tcPr>
          <w:p w14:paraId="0476E7B4">
            <w:pPr>
              <w:spacing w:line="440" w:lineRule="exact"/>
              <w:jc w:val="center"/>
              <w:rPr>
                <w:rStyle w:val="39"/>
                <w:rFonts w:hint="eastAsia" w:ascii="宋体" w:hAnsi="宋体"/>
              </w:rPr>
            </w:pPr>
          </w:p>
        </w:tc>
        <w:tc>
          <w:tcPr>
            <w:tcW w:w="2322" w:type="dxa"/>
          </w:tcPr>
          <w:p w14:paraId="1DD84000">
            <w:pPr>
              <w:spacing w:line="440" w:lineRule="exact"/>
              <w:jc w:val="center"/>
              <w:rPr>
                <w:rStyle w:val="39"/>
                <w:rFonts w:hint="eastAsia" w:ascii="宋体" w:hAnsi="宋体"/>
              </w:rPr>
            </w:pPr>
          </w:p>
        </w:tc>
      </w:tr>
    </w:tbl>
    <w:p w14:paraId="43EF7CBA">
      <w:pPr>
        <w:spacing w:line="440" w:lineRule="exact"/>
        <w:rPr>
          <w:rStyle w:val="39"/>
          <w:rFonts w:hint="eastAsia" w:ascii="宋体" w:hAnsi="宋体"/>
        </w:rPr>
      </w:pPr>
    </w:p>
    <w:p w14:paraId="6D93D61F">
      <w:pPr>
        <w:pStyle w:val="48"/>
        <w:numPr>
          <w:ilvl w:val="0"/>
          <w:numId w:val="18"/>
        </w:numPr>
        <w:snapToGrid w:val="0"/>
        <w:spacing w:line="440" w:lineRule="exact"/>
        <w:ind w:firstLineChars="0"/>
        <w:jc w:val="center"/>
        <w:rPr>
          <w:rStyle w:val="39"/>
          <w:rFonts w:hint="eastAsia" w:ascii="宋体" w:hAnsi="宋体"/>
          <w:b/>
          <w:szCs w:val="21"/>
        </w:rPr>
      </w:pPr>
      <w:bookmarkStart w:id="1419" w:name="_Toc16064007"/>
      <w:r>
        <w:rPr>
          <w:rStyle w:val="39"/>
          <w:rFonts w:ascii="宋体" w:hAnsi="宋体"/>
          <w:b/>
          <w:szCs w:val="21"/>
        </w:rPr>
        <w:t>拟派项目部主要管理人员：</w:t>
      </w:r>
      <w:bookmarkEnd w:id="1419"/>
    </w:p>
    <w:p w14:paraId="42E1EA29">
      <w:pPr>
        <w:pStyle w:val="48"/>
        <w:snapToGrid w:val="0"/>
        <w:spacing w:line="440" w:lineRule="exact"/>
        <w:ind w:left="1367" w:firstLine="0" w:firstLineChars="0"/>
        <w:rPr>
          <w:rStyle w:val="39"/>
          <w:rFonts w:hint="eastAsia" w:ascii="宋体" w:hAnsi="宋体"/>
          <w:b/>
          <w:szCs w:val="21"/>
        </w:rPr>
      </w:pPr>
    </w:p>
    <w:p w14:paraId="7DFC6D65">
      <w:pPr>
        <w:spacing w:line="440" w:lineRule="exact"/>
        <w:rPr>
          <w:rStyle w:val="39"/>
          <w:rFonts w:hint="eastAsia" w:ascii="宋体" w:hAnsi="宋体"/>
        </w:rPr>
      </w:pPr>
      <w:r>
        <w:rPr>
          <w:rStyle w:val="39"/>
          <w:rFonts w:ascii="宋体" w:hAnsi="宋体"/>
        </w:rPr>
        <w:t xml:space="preserve">   附：1、拟派项目经理的注册建造师执业资格证及安全生产考核合格B证复印件； </w:t>
      </w:r>
    </w:p>
    <w:p w14:paraId="0EA285D3">
      <w:pPr>
        <w:spacing w:line="440" w:lineRule="exact"/>
        <w:rPr>
          <w:rStyle w:val="39"/>
          <w:rFonts w:hint="eastAsia" w:ascii="宋体" w:hAnsi="宋体"/>
        </w:rPr>
      </w:pPr>
      <w:r>
        <w:rPr>
          <w:rStyle w:val="39"/>
          <w:rFonts w:ascii="宋体" w:hAnsi="宋体"/>
        </w:rPr>
        <w:t xml:space="preserve">       2、技术负责人的职称证书复印件以及项目管理机构其他人员（施工员、</w:t>
      </w:r>
      <w:r>
        <w:rPr>
          <w:rStyle w:val="39"/>
          <w:rFonts w:hint="eastAsia" w:ascii="宋体" w:hAnsi="宋体"/>
        </w:rPr>
        <w:t>造价</w:t>
      </w:r>
      <w:r>
        <w:rPr>
          <w:rStyle w:val="39"/>
          <w:rFonts w:ascii="宋体" w:hAnsi="宋体"/>
        </w:rPr>
        <w:t>员、材料员、</w:t>
      </w:r>
      <w:r>
        <w:rPr>
          <w:rStyle w:val="39"/>
          <w:rFonts w:hint="eastAsia" w:ascii="宋体" w:hAnsi="宋体"/>
        </w:rPr>
        <w:t>质量</w:t>
      </w:r>
      <w:r>
        <w:rPr>
          <w:rStyle w:val="39"/>
          <w:rFonts w:ascii="宋体" w:hAnsi="宋体"/>
        </w:rPr>
        <w:t>员、安全员等）的岗位证书复印件。</w:t>
      </w:r>
    </w:p>
    <w:p w14:paraId="240F0423">
      <w:pPr>
        <w:spacing w:line="360" w:lineRule="exact"/>
        <w:ind w:firstLine="413" w:firstLineChars="196"/>
        <w:rPr>
          <w:rStyle w:val="39"/>
          <w:rFonts w:hint="eastAsia" w:ascii="宋体" w:hAnsi="宋体"/>
          <w:b/>
          <w:bCs/>
          <w:u w:val="single"/>
        </w:rPr>
      </w:pPr>
      <w:r>
        <w:rPr>
          <w:rStyle w:val="39"/>
          <w:rFonts w:ascii="宋体" w:hAnsi="宋体"/>
          <w:b/>
          <w:bCs/>
          <w:u w:val="single"/>
        </w:rPr>
        <w:t>注：以上人员资格证书单位名称</w:t>
      </w:r>
      <w:r>
        <w:rPr>
          <w:rStyle w:val="39"/>
          <w:rFonts w:hint="eastAsia" w:ascii="宋体" w:hAnsi="宋体"/>
          <w:b/>
          <w:bCs/>
          <w:u w:val="single"/>
          <w:lang w:val="en-US" w:eastAsia="zh-CN"/>
        </w:rPr>
        <w:t>须</w:t>
      </w:r>
      <w:r>
        <w:rPr>
          <w:rStyle w:val="39"/>
          <w:rFonts w:ascii="宋体" w:hAnsi="宋体"/>
          <w:b/>
          <w:bCs/>
          <w:u w:val="single"/>
        </w:rPr>
        <w:t>与投标人单位名称一致，</w:t>
      </w:r>
      <w:r>
        <w:rPr>
          <w:rStyle w:val="39"/>
          <w:rFonts w:hint="eastAsia" w:ascii="宋体" w:hAnsi="宋体"/>
          <w:b/>
          <w:bCs/>
          <w:u w:val="single"/>
          <w:lang w:val="en-US" w:eastAsia="zh-CN"/>
        </w:rPr>
        <w:t>同时</w:t>
      </w:r>
      <w:r>
        <w:rPr>
          <w:rStyle w:val="39"/>
          <w:rFonts w:ascii="宋体" w:hAnsi="宋体"/>
          <w:b/>
          <w:bCs/>
          <w:u w:val="single"/>
        </w:rPr>
        <w:t>提交投标截至时间前</w:t>
      </w:r>
      <w:r>
        <w:rPr>
          <w:rStyle w:val="39"/>
          <w:rFonts w:hint="eastAsia" w:ascii="宋体" w:hAnsi="宋体"/>
          <w:b/>
          <w:bCs/>
          <w:u w:val="single"/>
        </w:rPr>
        <w:t>一年</w:t>
      </w:r>
      <w:r>
        <w:rPr>
          <w:rStyle w:val="39"/>
          <w:rFonts w:ascii="宋体" w:hAnsi="宋体"/>
          <w:b/>
          <w:bCs/>
          <w:u w:val="single"/>
        </w:rPr>
        <w:t>内在本单位缴纳的连续</w:t>
      </w:r>
      <w:r>
        <w:rPr>
          <w:rStyle w:val="39"/>
          <w:rFonts w:hint="eastAsia" w:ascii="宋体" w:hAnsi="宋体"/>
          <w:b/>
          <w:bCs/>
          <w:u w:val="single"/>
        </w:rPr>
        <w:t>十二</w:t>
      </w:r>
      <w:r>
        <w:rPr>
          <w:rStyle w:val="39"/>
          <w:rFonts w:ascii="宋体" w:hAnsi="宋体"/>
          <w:b/>
          <w:bCs/>
          <w:u w:val="single"/>
        </w:rPr>
        <w:t>个月的社保证明，否则视为无效证件且不计入济建建字【2011】12号文规定的最低人员配备。</w:t>
      </w:r>
    </w:p>
    <w:p w14:paraId="1C703A29">
      <w:pPr>
        <w:spacing w:line="440" w:lineRule="exact"/>
        <w:rPr>
          <w:rStyle w:val="39"/>
          <w:rFonts w:hint="eastAsia" w:ascii="宋体" w:hAnsi="宋体"/>
        </w:rPr>
      </w:pPr>
    </w:p>
    <w:p w14:paraId="2AE35512">
      <w:pPr>
        <w:spacing w:line="440" w:lineRule="exact"/>
        <w:rPr>
          <w:rStyle w:val="39"/>
          <w:rFonts w:hint="eastAsia" w:ascii="宋体" w:hAnsi="宋体"/>
        </w:rPr>
      </w:pPr>
    </w:p>
    <w:p w14:paraId="00DB60B3">
      <w:pPr>
        <w:spacing w:line="440" w:lineRule="exact"/>
        <w:ind w:left="630" w:hanging="630" w:hangingChars="300"/>
        <w:rPr>
          <w:rStyle w:val="39"/>
          <w:rFonts w:hint="eastAsia" w:ascii="宋体" w:hAnsi="宋体"/>
          <w:szCs w:val="21"/>
          <w:shd w:val="pct10" w:color="auto" w:fill="FFFFFF"/>
        </w:rPr>
      </w:pPr>
    </w:p>
    <w:p w14:paraId="2FBA226C">
      <w:pPr>
        <w:pStyle w:val="48"/>
        <w:numPr>
          <w:ilvl w:val="0"/>
          <w:numId w:val="18"/>
        </w:numPr>
        <w:snapToGrid w:val="0"/>
        <w:spacing w:line="440" w:lineRule="exact"/>
        <w:ind w:firstLineChars="0"/>
        <w:jc w:val="center"/>
        <w:rPr>
          <w:rStyle w:val="39"/>
          <w:rFonts w:hint="eastAsia" w:ascii="宋体" w:hAnsi="宋体"/>
          <w:b/>
          <w:szCs w:val="21"/>
        </w:rPr>
      </w:pPr>
      <w:bookmarkStart w:id="1420" w:name="_Toc16064008"/>
      <w:r>
        <w:rPr>
          <w:rStyle w:val="39"/>
          <w:rFonts w:ascii="宋体" w:hAnsi="宋体"/>
          <w:b/>
          <w:szCs w:val="21"/>
        </w:rPr>
        <w:t>近</w:t>
      </w:r>
      <w:r>
        <w:rPr>
          <w:rStyle w:val="39"/>
          <w:rFonts w:hint="eastAsia" w:ascii="宋体" w:hAnsi="宋体"/>
          <w:b/>
          <w:szCs w:val="21"/>
          <w:lang w:val="en-US" w:eastAsia="zh-CN"/>
        </w:rPr>
        <w:t>两</w:t>
      </w:r>
      <w:r>
        <w:rPr>
          <w:rStyle w:val="39"/>
          <w:rFonts w:ascii="宋体" w:hAnsi="宋体"/>
          <w:b/>
          <w:szCs w:val="21"/>
        </w:rPr>
        <w:t>年承担的类似工程情况表</w:t>
      </w:r>
      <w:bookmarkEnd w:id="1420"/>
    </w:p>
    <w:p w14:paraId="4F67C87C">
      <w:pPr>
        <w:pStyle w:val="48"/>
        <w:snapToGrid w:val="0"/>
        <w:spacing w:line="440" w:lineRule="exact"/>
        <w:ind w:left="1367" w:firstLine="0" w:firstLineChars="0"/>
        <w:rPr>
          <w:rStyle w:val="39"/>
          <w:rFonts w:hint="eastAsia" w:ascii="宋体" w:hAnsi="宋体"/>
          <w:b/>
          <w:szCs w:val="21"/>
        </w:rPr>
      </w:pPr>
    </w:p>
    <w:tbl>
      <w:tblPr>
        <w:tblStyle w:val="25"/>
        <w:tblW w:w="11073"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99"/>
        <w:gridCol w:w="1037"/>
        <w:gridCol w:w="1037"/>
        <w:gridCol w:w="1038"/>
        <w:gridCol w:w="1037"/>
        <w:gridCol w:w="1038"/>
        <w:gridCol w:w="1037"/>
        <w:gridCol w:w="1037"/>
        <w:gridCol w:w="1038"/>
        <w:gridCol w:w="1037"/>
        <w:gridCol w:w="1038"/>
      </w:tblGrid>
      <w:tr w14:paraId="59448B8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688C05FD">
            <w:pPr>
              <w:jc w:val="center"/>
              <w:rPr>
                <w:rStyle w:val="39"/>
                <w:rFonts w:hint="eastAsia" w:ascii="宋体" w:hAnsi="宋体"/>
                <w:szCs w:val="21"/>
              </w:rPr>
            </w:pPr>
            <w:r>
              <w:rPr>
                <w:rStyle w:val="39"/>
                <w:rFonts w:ascii="宋体" w:hAnsi="宋体"/>
                <w:szCs w:val="21"/>
              </w:rPr>
              <w:t>序号</w:t>
            </w:r>
          </w:p>
        </w:tc>
        <w:tc>
          <w:tcPr>
            <w:tcW w:w="1037" w:type="dxa"/>
            <w:tcBorders>
              <w:top w:val="single" w:color="000000" w:sz="4" w:space="0"/>
              <w:left w:val="single" w:color="000000" w:sz="4" w:space="0"/>
              <w:bottom w:val="single" w:color="000000" w:sz="4" w:space="0"/>
              <w:right w:val="single" w:color="000000" w:sz="4" w:space="0"/>
            </w:tcBorders>
            <w:vAlign w:val="center"/>
          </w:tcPr>
          <w:p w14:paraId="7025E7D2">
            <w:pPr>
              <w:jc w:val="center"/>
              <w:rPr>
                <w:rStyle w:val="39"/>
                <w:rFonts w:hint="eastAsia" w:ascii="宋体" w:hAnsi="宋体"/>
                <w:szCs w:val="21"/>
              </w:rPr>
            </w:pPr>
            <w:r>
              <w:rPr>
                <w:rStyle w:val="39"/>
                <w:rFonts w:ascii="宋体" w:hAnsi="宋体"/>
                <w:szCs w:val="21"/>
              </w:rPr>
              <w:t>项目名称</w:t>
            </w:r>
          </w:p>
        </w:tc>
        <w:tc>
          <w:tcPr>
            <w:tcW w:w="1037" w:type="dxa"/>
            <w:tcBorders>
              <w:top w:val="single" w:color="000000" w:sz="4" w:space="0"/>
              <w:left w:val="single" w:color="000000" w:sz="4" w:space="0"/>
              <w:bottom w:val="single" w:color="000000" w:sz="4" w:space="0"/>
              <w:right w:val="single" w:color="000000" w:sz="4" w:space="0"/>
            </w:tcBorders>
            <w:vAlign w:val="center"/>
          </w:tcPr>
          <w:p w14:paraId="6D541CDA">
            <w:pPr>
              <w:jc w:val="center"/>
              <w:rPr>
                <w:rStyle w:val="39"/>
                <w:rFonts w:hint="eastAsia" w:ascii="宋体" w:hAnsi="宋体"/>
                <w:szCs w:val="21"/>
              </w:rPr>
            </w:pPr>
            <w:r>
              <w:rPr>
                <w:rStyle w:val="39"/>
                <w:rFonts w:ascii="宋体" w:hAnsi="宋体"/>
                <w:szCs w:val="21"/>
              </w:rPr>
              <w:t>项目规模</w:t>
            </w:r>
          </w:p>
        </w:tc>
        <w:tc>
          <w:tcPr>
            <w:tcW w:w="1038" w:type="dxa"/>
            <w:tcBorders>
              <w:top w:val="single" w:color="000000" w:sz="4" w:space="0"/>
              <w:left w:val="single" w:color="000000" w:sz="4" w:space="0"/>
              <w:bottom w:val="single" w:color="000000" w:sz="4" w:space="0"/>
              <w:right w:val="single" w:color="000000" w:sz="4" w:space="0"/>
            </w:tcBorders>
            <w:vAlign w:val="center"/>
          </w:tcPr>
          <w:p w14:paraId="154F7A45">
            <w:pPr>
              <w:jc w:val="center"/>
              <w:rPr>
                <w:rStyle w:val="39"/>
                <w:rFonts w:hint="eastAsia" w:ascii="宋体" w:hAnsi="宋体"/>
                <w:szCs w:val="21"/>
              </w:rPr>
            </w:pPr>
            <w:r>
              <w:rPr>
                <w:rStyle w:val="39"/>
                <w:rFonts w:ascii="宋体" w:hAnsi="宋体"/>
                <w:szCs w:val="21"/>
              </w:rPr>
              <w:t>发包人名称</w:t>
            </w:r>
          </w:p>
        </w:tc>
        <w:tc>
          <w:tcPr>
            <w:tcW w:w="1037" w:type="dxa"/>
            <w:tcBorders>
              <w:top w:val="single" w:color="000000" w:sz="4" w:space="0"/>
              <w:left w:val="single" w:color="000000" w:sz="4" w:space="0"/>
              <w:bottom w:val="single" w:color="000000" w:sz="4" w:space="0"/>
              <w:right w:val="single" w:color="000000" w:sz="4" w:space="0"/>
            </w:tcBorders>
            <w:vAlign w:val="center"/>
          </w:tcPr>
          <w:p w14:paraId="61F1D477">
            <w:pPr>
              <w:jc w:val="center"/>
              <w:rPr>
                <w:rStyle w:val="39"/>
                <w:rFonts w:hint="eastAsia" w:ascii="宋体" w:hAnsi="宋体"/>
                <w:szCs w:val="21"/>
              </w:rPr>
            </w:pPr>
            <w:r>
              <w:rPr>
                <w:rStyle w:val="39"/>
                <w:rFonts w:ascii="宋体" w:hAnsi="宋体"/>
                <w:szCs w:val="21"/>
              </w:rPr>
              <w:t>发包人联系人及电话</w:t>
            </w:r>
          </w:p>
        </w:tc>
        <w:tc>
          <w:tcPr>
            <w:tcW w:w="1038" w:type="dxa"/>
            <w:tcBorders>
              <w:top w:val="single" w:color="000000" w:sz="4" w:space="0"/>
              <w:left w:val="single" w:color="000000" w:sz="4" w:space="0"/>
              <w:bottom w:val="single" w:color="000000" w:sz="4" w:space="0"/>
              <w:right w:val="single" w:color="000000" w:sz="4" w:space="0"/>
            </w:tcBorders>
            <w:vAlign w:val="center"/>
          </w:tcPr>
          <w:p w14:paraId="20DA1D14">
            <w:pPr>
              <w:jc w:val="center"/>
              <w:rPr>
                <w:rStyle w:val="39"/>
                <w:rFonts w:hint="eastAsia" w:ascii="宋体" w:hAnsi="宋体"/>
                <w:szCs w:val="21"/>
              </w:rPr>
            </w:pPr>
            <w:r>
              <w:rPr>
                <w:rStyle w:val="39"/>
                <w:rFonts w:ascii="宋体" w:hAnsi="宋体"/>
                <w:szCs w:val="21"/>
              </w:rPr>
              <w:t>合同价格</w:t>
            </w:r>
          </w:p>
        </w:tc>
        <w:tc>
          <w:tcPr>
            <w:tcW w:w="1037" w:type="dxa"/>
            <w:tcBorders>
              <w:top w:val="single" w:color="000000" w:sz="4" w:space="0"/>
              <w:left w:val="single" w:color="000000" w:sz="4" w:space="0"/>
              <w:bottom w:val="single" w:color="000000" w:sz="4" w:space="0"/>
              <w:right w:val="single" w:color="000000" w:sz="4" w:space="0"/>
            </w:tcBorders>
            <w:vAlign w:val="center"/>
          </w:tcPr>
          <w:p w14:paraId="06726F93">
            <w:pPr>
              <w:jc w:val="center"/>
              <w:rPr>
                <w:rStyle w:val="39"/>
                <w:rFonts w:hint="eastAsia" w:ascii="宋体" w:hAnsi="宋体"/>
                <w:szCs w:val="21"/>
              </w:rPr>
            </w:pPr>
            <w:r>
              <w:rPr>
                <w:rStyle w:val="39"/>
                <w:rFonts w:ascii="宋体" w:hAnsi="宋体"/>
                <w:szCs w:val="21"/>
              </w:rPr>
              <w:t>开、竣工日期</w:t>
            </w:r>
          </w:p>
        </w:tc>
        <w:tc>
          <w:tcPr>
            <w:tcW w:w="1037" w:type="dxa"/>
            <w:tcBorders>
              <w:top w:val="single" w:color="000000" w:sz="4" w:space="0"/>
              <w:left w:val="single" w:color="000000" w:sz="4" w:space="0"/>
              <w:bottom w:val="single" w:color="000000" w:sz="4" w:space="0"/>
              <w:right w:val="single" w:color="000000" w:sz="4" w:space="0"/>
            </w:tcBorders>
            <w:vAlign w:val="center"/>
          </w:tcPr>
          <w:p w14:paraId="0A7C04F8">
            <w:pPr>
              <w:jc w:val="center"/>
              <w:rPr>
                <w:rStyle w:val="39"/>
                <w:rFonts w:hint="eastAsia" w:ascii="宋体" w:hAnsi="宋体"/>
                <w:szCs w:val="21"/>
              </w:rPr>
            </w:pPr>
            <w:r>
              <w:rPr>
                <w:rStyle w:val="39"/>
                <w:rFonts w:ascii="宋体" w:hAnsi="宋体"/>
                <w:szCs w:val="21"/>
              </w:rPr>
              <w:t>工程质量</w:t>
            </w:r>
          </w:p>
        </w:tc>
        <w:tc>
          <w:tcPr>
            <w:tcW w:w="1038" w:type="dxa"/>
            <w:tcBorders>
              <w:top w:val="single" w:color="000000" w:sz="4" w:space="0"/>
              <w:left w:val="single" w:color="000000" w:sz="4" w:space="0"/>
              <w:bottom w:val="single" w:color="000000" w:sz="4" w:space="0"/>
              <w:right w:val="single" w:color="000000" w:sz="4" w:space="0"/>
            </w:tcBorders>
            <w:vAlign w:val="center"/>
          </w:tcPr>
          <w:p w14:paraId="548A2E17">
            <w:pPr>
              <w:jc w:val="center"/>
              <w:rPr>
                <w:rStyle w:val="39"/>
                <w:rFonts w:hint="eastAsia" w:ascii="宋体" w:hAnsi="宋体"/>
                <w:szCs w:val="21"/>
              </w:rPr>
            </w:pPr>
            <w:r>
              <w:rPr>
                <w:rStyle w:val="39"/>
                <w:rFonts w:ascii="宋体" w:hAnsi="宋体"/>
                <w:szCs w:val="21"/>
              </w:rPr>
              <w:t>项目经理</w:t>
            </w:r>
          </w:p>
        </w:tc>
        <w:tc>
          <w:tcPr>
            <w:tcW w:w="1037" w:type="dxa"/>
            <w:tcBorders>
              <w:top w:val="single" w:color="000000" w:sz="4" w:space="0"/>
              <w:left w:val="single" w:color="000000" w:sz="4" w:space="0"/>
              <w:bottom w:val="single" w:color="000000" w:sz="4" w:space="0"/>
              <w:right w:val="single" w:color="000000" w:sz="4" w:space="0"/>
            </w:tcBorders>
            <w:vAlign w:val="center"/>
          </w:tcPr>
          <w:p w14:paraId="591362BC">
            <w:pPr>
              <w:jc w:val="center"/>
              <w:rPr>
                <w:rStyle w:val="39"/>
                <w:rFonts w:hint="eastAsia" w:ascii="宋体" w:hAnsi="宋体"/>
                <w:szCs w:val="21"/>
              </w:rPr>
            </w:pPr>
            <w:r>
              <w:rPr>
                <w:rStyle w:val="39"/>
                <w:rFonts w:ascii="宋体" w:hAnsi="宋体"/>
                <w:szCs w:val="21"/>
              </w:rPr>
              <w:t>技术负责人</w:t>
            </w:r>
          </w:p>
        </w:tc>
        <w:tc>
          <w:tcPr>
            <w:tcW w:w="1038" w:type="dxa"/>
            <w:tcBorders>
              <w:top w:val="single" w:color="000000" w:sz="4" w:space="0"/>
              <w:left w:val="single" w:color="000000" w:sz="4" w:space="0"/>
              <w:bottom w:val="single" w:color="000000" w:sz="4" w:space="0"/>
              <w:right w:val="single" w:color="000000" w:sz="4" w:space="0"/>
            </w:tcBorders>
            <w:vAlign w:val="center"/>
          </w:tcPr>
          <w:p w14:paraId="46904A8B">
            <w:pPr>
              <w:jc w:val="center"/>
              <w:rPr>
                <w:rStyle w:val="39"/>
                <w:rFonts w:hint="eastAsia" w:ascii="宋体" w:hAnsi="宋体"/>
                <w:szCs w:val="21"/>
              </w:rPr>
            </w:pPr>
            <w:r>
              <w:rPr>
                <w:rStyle w:val="39"/>
                <w:rFonts w:ascii="宋体" w:hAnsi="宋体"/>
                <w:szCs w:val="21"/>
              </w:rPr>
              <w:t>总监理工程师及电话</w:t>
            </w:r>
          </w:p>
        </w:tc>
      </w:tr>
      <w:tr w14:paraId="1608EF8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4200D98B">
            <w:pPr>
              <w:numPr>
                <w:ilvl w:val="0"/>
                <w:numId w:val="19"/>
              </w:num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9D2DE51">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46720B59">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08B12CDA">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2525939B">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174E5CE8">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43D9CA3">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990239A">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62AF23C7">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511F1383">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60918818">
            <w:pPr>
              <w:jc w:val="center"/>
              <w:rPr>
                <w:rStyle w:val="39"/>
                <w:rFonts w:hint="eastAsia" w:ascii="宋体" w:hAnsi="宋体"/>
                <w:szCs w:val="21"/>
              </w:rPr>
            </w:pPr>
          </w:p>
        </w:tc>
      </w:tr>
      <w:tr w14:paraId="7EA9BC9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6177EA0D">
            <w:pPr>
              <w:numPr>
                <w:ilvl w:val="0"/>
                <w:numId w:val="19"/>
              </w:num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4D51D878">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5AA9E764">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5D518AE5">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6F2280BC">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320B4D9E">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589BE7E1">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5C8F7B07">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7CD1C14D">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C936DD9">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1E387F5A">
            <w:pPr>
              <w:jc w:val="center"/>
              <w:rPr>
                <w:rStyle w:val="39"/>
                <w:rFonts w:hint="eastAsia" w:ascii="宋体" w:hAnsi="宋体"/>
                <w:szCs w:val="21"/>
              </w:rPr>
            </w:pPr>
          </w:p>
        </w:tc>
      </w:tr>
      <w:tr w14:paraId="4245734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741CDBAB">
            <w:pPr>
              <w:numPr>
                <w:ilvl w:val="0"/>
                <w:numId w:val="19"/>
              </w:num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FA4292A">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6388ED5C">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13DEBE50">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4C13BAD9">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5191F331">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4D43A1B">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75F6C8C8">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55D7C398">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7396F5C7">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60A119BC">
            <w:pPr>
              <w:jc w:val="center"/>
              <w:rPr>
                <w:rStyle w:val="39"/>
                <w:rFonts w:hint="eastAsia" w:ascii="宋体" w:hAnsi="宋体"/>
                <w:szCs w:val="21"/>
              </w:rPr>
            </w:pPr>
          </w:p>
        </w:tc>
      </w:tr>
      <w:tr w14:paraId="4852776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743ED422">
            <w:pPr>
              <w:numPr>
                <w:ilvl w:val="0"/>
                <w:numId w:val="19"/>
              </w:num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9E2B914">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5412179">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31EBB190">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E4BB426">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642E1A8A">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4EB9B1C5">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0F88DC36">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369D1291">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2C42AB3">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1E35C17F">
            <w:pPr>
              <w:jc w:val="center"/>
              <w:rPr>
                <w:rStyle w:val="39"/>
                <w:rFonts w:hint="eastAsia" w:ascii="宋体" w:hAnsi="宋体"/>
                <w:szCs w:val="21"/>
              </w:rPr>
            </w:pPr>
          </w:p>
        </w:tc>
      </w:tr>
      <w:tr w14:paraId="0EA7E26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2653818D">
            <w:pPr>
              <w:numPr>
                <w:ilvl w:val="0"/>
                <w:numId w:val="19"/>
              </w:num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82B1FD9">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02AC9607">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3F26A5DA">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7B2FEB90">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0EA03F09">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45C89DEB">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33BF834">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344EFE63">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5B184DC3">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3F056A13">
            <w:pPr>
              <w:jc w:val="center"/>
              <w:rPr>
                <w:rStyle w:val="39"/>
                <w:rFonts w:hint="eastAsia" w:ascii="宋体" w:hAnsi="宋体"/>
                <w:szCs w:val="21"/>
              </w:rPr>
            </w:pPr>
          </w:p>
        </w:tc>
      </w:tr>
      <w:tr w14:paraId="190AF3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8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355C763D">
            <w:pPr>
              <w:numPr>
                <w:ilvl w:val="0"/>
                <w:numId w:val="19"/>
              </w:num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099438FA">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7AA377EA">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4D7B2D4A">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6313E8C7">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19248291">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7E9C1D5D">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11A644E3">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12EA1265">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4C7CC0BE">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499D483D">
            <w:pPr>
              <w:jc w:val="center"/>
              <w:rPr>
                <w:rStyle w:val="39"/>
                <w:rFonts w:hint="eastAsia" w:ascii="宋体" w:hAnsi="宋体"/>
                <w:szCs w:val="21"/>
              </w:rPr>
            </w:pPr>
          </w:p>
        </w:tc>
      </w:tr>
      <w:tr w14:paraId="0EC8023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3" w:hRule="atLeast"/>
          <w:jc w:val="center"/>
        </w:trPr>
        <w:tc>
          <w:tcPr>
            <w:tcW w:w="699" w:type="dxa"/>
            <w:tcBorders>
              <w:top w:val="single" w:color="000000" w:sz="4" w:space="0"/>
              <w:left w:val="single" w:color="000000" w:sz="4" w:space="0"/>
              <w:bottom w:val="single" w:color="000000" w:sz="4" w:space="0"/>
              <w:right w:val="single" w:color="000000" w:sz="4" w:space="0"/>
            </w:tcBorders>
            <w:vAlign w:val="center"/>
          </w:tcPr>
          <w:p w14:paraId="45E518AD">
            <w:pPr>
              <w:jc w:val="center"/>
              <w:rPr>
                <w:rStyle w:val="39"/>
                <w:rFonts w:hint="eastAsia" w:ascii="宋体" w:hAnsi="宋体"/>
                <w:szCs w:val="21"/>
              </w:rPr>
            </w:pPr>
            <w:r>
              <w:rPr>
                <w:rStyle w:val="39"/>
                <w:rFonts w:ascii="宋体" w:hAnsi="宋体"/>
                <w:szCs w:val="21"/>
              </w:rPr>
              <w:t>……</w:t>
            </w:r>
          </w:p>
        </w:tc>
        <w:tc>
          <w:tcPr>
            <w:tcW w:w="1037" w:type="dxa"/>
            <w:tcBorders>
              <w:top w:val="single" w:color="000000" w:sz="4" w:space="0"/>
              <w:left w:val="single" w:color="000000" w:sz="4" w:space="0"/>
              <w:bottom w:val="single" w:color="000000" w:sz="4" w:space="0"/>
              <w:right w:val="single" w:color="000000" w:sz="4" w:space="0"/>
            </w:tcBorders>
            <w:vAlign w:val="center"/>
          </w:tcPr>
          <w:p w14:paraId="782396F7">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61D41EEA">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149F607E">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E301A96">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7F8452D3">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779F69C4">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393AED0C">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vAlign w:val="center"/>
          </w:tcPr>
          <w:p w14:paraId="50ABD4FD">
            <w:pPr>
              <w:jc w:val="center"/>
              <w:rPr>
                <w:rStyle w:val="39"/>
                <w:rFonts w:hint="eastAsia" w:ascii="宋体" w:hAnsi="宋体"/>
                <w:szCs w:val="21"/>
              </w:rPr>
            </w:pPr>
          </w:p>
        </w:tc>
        <w:tc>
          <w:tcPr>
            <w:tcW w:w="1037" w:type="dxa"/>
            <w:tcBorders>
              <w:top w:val="single" w:color="000000" w:sz="4" w:space="0"/>
              <w:left w:val="single" w:color="000000" w:sz="4" w:space="0"/>
              <w:bottom w:val="single" w:color="000000" w:sz="4" w:space="0"/>
              <w:right w:val="single" w:color="000000" w:sz="4" w:space="0"/>
            </w:tcBorders>
            <w:vAlign w:val="center"/>
          </w:tcPr>
          <w:p w14:paraId="20656BFF">
            <w:pPr>
              <w:jc w:val="center"/>
              <w:rPr>
                <w:rStyle w:val="39"/>
                <w:rFonts w:hint="eastAsia" w:ascii="宋体" w:hAnsi="宋体"/>
                <w:szCs w:val="21"/>
              </w:rPr>
            </w:pPr>
          </w:p>
        </w:tc>
        <w:tc>
          <w:tcPr>
            <w:tcW w:w="1038" w:type="dxa"/>
            <w:tcBorders>
              <w:top w:val="single" w:color="000000" w:sz="4" w:space="0"/>
              <w:left w:val="single" w:color="000000" w:sz="4" w:space="0"/>
              <w:bottom w:val="single" w:color="000000" w:sz="4" w:space="0"/>
              <w:right w:val="single" w:color="000000" w:sz="4" w:space="0"/>
            </w:tcBorders>
          </w:tcPr>
          <w:p w14:paraId="03AA645A">
            <w:pPr>
              <w:jc w:val="center"/>
              <w:rPr>
                <w:rStyle w:val="39"/>
                <w:rFonts w:hint="eastAsia" w:ascii="宋体" w:hAnsi="宋体"/>
                <w:szCs w:val="21"/>
              </w:rPr>
            </w:pPr>
          </w:p>
        </w:tc>
      </w:tr>
    </w:tbl>
    <w:p w14:paraId="35FD48E7">
      <w:pPr>
        <w:spacing w:line="440" w:lineRule="exact"/>
        <w:ind w:left="630" w:hanging="630" w:hangingChars="300"/>
        <w:rPr>
          <w:rStyle w:val="39"/>
          <w:rFonts w:hint="eastAsia" w:ascii="宋体" w:hAnsi="宋体"/>
          <w:szCs w:val="21"/>
        </w:rPr>
      </w:pPr>
      <w:r>
        <w:rPr>
          <w:rStyle w:val="39"/>
          <w:rFonts w:ascii="宋体" w:hAnsi="宋体"/>
          <w:szCs w:val="21"/>
        </w:rPr>
        <w:t>备注：1.近三年指20</w:t>
      </w:r>
      <w:r>
        <w:rPr>
          <w:rStyle w:val="39"/>
          <w:rFonts w:hint="eastAsia" w:ascii="宋体" w:hAnsi="宋体"/>
          <w:szCs w:val="21"/>
        </w:rPr>
        <w:t>2</w:t>
      </w:r>
      <w:r>
        <w:rPr>
          <w:rStyle w:val="39"/>
          <w:rFonts w:hint="eastAsia" w:ascii="宋体" w:hAnsi="宋体"/>
          <w:szCs w:val="21"/>
          <w:lang w:val="en-US" w:eastAsia="zh-CN"/>
        </w:rPr>
        <w:t>3</w:t>
      </w:r>
      <w:r>
        <w:rPr>
          <w:rStyle w:val="39"/>
          <w:rFonts w:hint="eastAsia" w:ascii="宋体" w:hAnsi="宋体"/>
          <w:szCs w:val="21"/>
        </w:rPr>
        <w:t>年12</w:t>
      </w:r>
      <w:r>
        <w:rPr>
          <w:rStyle w:val="39"/>
          <w:rFonts w:ascii="宋体" w:hAnsi="宋体"/>
          <w:szCs w:val="21"/>
        </w:rPr>
        <w:t>月1日至开标之日，类似工程：详见投标人须知前附表；</w:t>
      </w:r>
    </w:p>
    <w:p w14:paraId="13C63C66">
      <w:pPr>
        <w:spacing w:line="440" w:lineRule="exact"/>
        <w:ind w:left="630" w:hanging="630" w:hangingChars="300"/>
        <w:rPr>
          <w:rStyle w:val="39"/>
          <w:rFonts w:hint="eastAsia" w:ascii="宋体" w:hAnsi="宋体"/>
          <w:szCs w:val="21"/>
        </w:rPr>
        <w:sectPr>
          <w:headerReference r:id="rId16" w:type="default"/>
          <w:footerReference r:id="rId17" w:type="default"/>
          <w:pgSz w:w="11906" w:h="16838"/>
          <w:pgMar w:top="1588" w:right="1701" w:bottom="1418" w:left="1701" w:header="851" w:footer="851" w:gutter="0"/>
          <w:cols w:space="720" w:num="1"/>
          <w:docGrid w:linePitch="312" w:charSpace="0"/>
        </w:sectPr>
      </w:pPr>
    </w:p>
    <w:p w14:paraId="459A426F">
      <w:pPr>
        <w:pStyle w:val="48"/>
        <w:numPr>
          <w:ilvl w:val="0"/>
          <w:numId w:val="18"/>
        </w:numPr>
        <w:snapToGrid w:val="0"/>
        <w:spacing w:line="440" w:lineRule="exact"/>
        <w:ind w:firstLineChars="0"/>
        <w:jc w:val="center"/>
        <w:rPr>
          <w:rStyle w:val="39"/>
          <w:rFonts w:hint="eastAsia" w:ascii="宋体" w:hAnsi="宋体"/>
          <w:b/>
          <w:szCs w:val="21"/>
        </w:rPr>
      </w:pPr>
      <w:bookmarkStart w:id="1421" w:name="_Toc16064009"/>
      <w:r>
        <w:rPr>
          <w:rStyle w:val="39"/>
          <w:rFonts w:ascii="宋体" w:hAnsi="宋体"/>
          <w:b/>
          <w:szCs w:val="21"/>
        </w:rPr>
        <w:t>无不良行为记录证明材料</w:t>
      </w:r>
      <w:bookmarkEnd w:id="1421"/>
    </w:p>
    <w:p w14:paraId="7443AB54">
      <w:pPr>
        <w:spacing w:before="120" w:after="240" w:line="440" w:lineRule="exact"/>
        <w:ind w:firstLine="420" w:firstLineChars="200"/>
        <w:rPr>
          <w:rStyle w:val="39"/>
          <w:rFonts w:hint="eastAsia" w:ascii="宋体" w:hAnsi="宋体"/>
        </w:rPr>
      </w:pPr>
      <w:r>
        <w:rPr>
          <w:rStyle w:val="39"/>
          <w:rFonts w:ascii="宋体" w:hAnsi="宋体"/>
        </w:rPr>
        <w:t>须附“中国裁判文书网”行贿犯罪档案查询结果截图及其他无不良行为记录证明材料。</w:t>
      </w:r>
    </w:p>
    <w:p w14:paraId="2D4F4F8D">
      <w:pPr>
        <w:spacing w:before="120" w:after="240" w:line="440" w:lineRule="exact"/>
        <w:ind w:firstLine="420" w:firstLineChars="200"/>
        <w:rPr>
          <w:rStyle w:val="39"/>
          <w:rFonts w:hint="eastAsia" w:ascii="宋体" w:hAnsi="宋体"/>
        </w:rPr>
      </w:pPr>
    </w:p>
    <w:p w14:paraId="69CB36E1">
      <w:pPr>
        <w:pStyle w:val="48"/>
        <w:numPr>
          <w:ilvl w:val="0"/>
          <w:numId w:val="18"/>
        </w:numPr>
        <w:snapToGrid w:val="0"/>
        <w:spacing w:line="440" w:lineRule="exact"/>
        <w:ind w:firstLineChars="0"/>
        <w:jc w:val="center"/>
        <w:rPr>
          <w:rStyle w:val="39"/>
          <w:rFonts w:hint="eastAsia" w:ascii="宋体" w:hAnsi="宋体"/>
          <w:b/>
          <w:szCs w:val="21"/>
        </w:rPr>
      </w:pPr>
      <w:bookmarkStart w:id="1422" w:name="_Toc16064010"/>
      <w:r>
        <w:rPr>
          <w:rStyle w:val="39"/>
          <w:rFonts w:ascii="宋体" w:hAnsi="宋体"/>
          <w:b/>
          <w:szCs w:val="21"/>
        </w:rPr>
        <w:t>近三年（20</w:t>
      </w:r>
      <w:r>
        <w:rPr>
          <w:rStyle w:val="39"/>
          <w:rFonts w:hint="eastAsia" w:ascii="宋体" w:hAnsi="宋体"/>
          <w:b/>
          <w:szCs w:val="21"/>
        </w:rPr>
        <w:t>22</w:t>
      </w:r>
      <w:r>
        <w:rPr>
          <w:rStyle w:val="39"/>
          <w:rFonts w:ascii="宋体" w:hAnsi="宋体"/>
          <w:b/>
          <w:szCs w:val="21"/>
        </w:rPr>
        <w:t>年</w:t>
      </w:r>
      <w:r>
        <w:rPr>
          <w:rStyle w:val="39"/>
          <w:rFonts w:hint="eastAsia" w:ascii="宋体" w:hAnsi="宋体"/>
          <w:b/>
          <w:szCs w:val="21"/>
        </w:rPr>
        <w:t>12</w:t>
      </w:r>
      <w:r>
        <w:rPr>
          <w:rStyle w:val="39"/>
          <w:rFonts w:ascii="宋体" w:hAnsi="宋体"/>
          <w:b/>
          <w:szCs w:val="21"/>
        </w:rPr>
        <w:t>月1日至开标之日）发生的诉讼及仲裁情况（应说明相关情况并附法院或仲裁机构作出的判决、仲裁等有关法律文书的复印件）</w:t>
      </w:r>
      <w:bookmarkEnd w:id="1422"/>
    </w:p>
    <w:p w14:paraId="7F5BAD65">
      <w:pPr>
        <w:spacing w:line="440" w:lineRule="exact"/>
        <w:ind w:firstLine="433" w:firstLineChars="196"/>
        <w:rPr>
          <w:rStyle w:val="39"/>
          <w:rFonts w:hint="eastAsia" w:ascii="宋体" w:hAnsi="宋体"/>
          <w:b/>
          <w:sz w:val="22"/>
          <w:szCs w:val="28"/>
        </w:rPr>
      </w:pPr>
    </w:p>
    <w:p w14:paraId="48BA896E">
      <w:pPr>
        <w:spacing w:line="440" w:lineRule="exact"/>
        <w:ind w:firstLine="433" w:firstLineChars="196"/>
      </w:pPr>
      <w:r>
        <w:rPr>
          <w:rStyle w:val="39"/>
          <w:rFonts w:ascii="宋体" w:hAnsi="宋体"/>
          <w:b/>
          <w:sz w:val="22"/>
          <w:szCs w:val="28"/>
        </w:rPr>
        <w:t>注：投标人应按照以上内容要求编制资格审查文件，并对资格审查文件的真实性负责，相关复印件应加盖单位公章。评标过程中评标委员若对资格审查文件有异议的，可要求投标人提供相应原件进行复核，未能及时提供原件或若发现有不实之处的，按废标处理。</w:t>
      </w:r>
      <w:r>
        <w:rPr>
          <w:rStyle w:val="39"/>
          <w:rFonts w:ascii="宋体" w:hAnsi="宋体"/>
          <w:b/>
          <w:sz w:val="22"/>
          <w:szCs w:val="28"/>
          <w:u w:val="single"/>
        </w:rPr>
        <w:t>其中第（一）、（二）、（三）、（五）条为必备条件,若无则资格后审不合格,第（四）、（六）项内容若无应注明“无”,若资格审查文件中无第（四）、（六）项内容且未在资格后审文件中注明的,则视为不合格，不参与下一步评审。</w:t>
      </w:r>
    </w:p>
    <w:p w14:paraId="29FED550"/>
    <w:p w14:paraId="0F734F51"/>
    <w:p w14:paraId="0DAD7016"/>
    <w:p w14:paraId="668CE089"/>
    <w:p w14:paraId="67CAD107"/>
    <w:p w14:paraId="1D0475BD"/>
    <w:p w14:paraId="56A80CFC"/>
    <w:sectPr>
      <w:headerReference r:id="rId18" w:type="default"/>
      <w:footerReference r:id="rId19"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6FC376D-B042-4D54-BBF8-ADE2E3A8A7DB}"/>
  </w:font>
  <w:font w:name="Arial">
    <w:panose1 w:val="020B0604020202020204"/>
    <w:charset w:val="01"/>
    <w:family w:val="swiss"/>
    <w:pitch w:val="default"/>
    <w:sig w:usb0="E0002EFF" w:usb1="C000785B" w:usb2="00000009" w:usb3="00000000" w:csb0="400001FF" w:csb1="FFFF0000"/>
    <w:embedRegular r:id="rId2" w:fontKey="{52879296-55C6-4C1A-B9A0-2F65B4471C21}"/>
  </w:font>
  <w:font w:name="黑体">
    <w:panose1 w:val="02010609060101010101"/>
    <w:charset w:val="86"/>
    <w:family w:val="auto"/>
    <w:pitch w:val="default"/>
    <w:sig w:usb0="800002BF" w:usb1="38CF7CFA" w:usb2="00000016" w:usb3="00000000" w:csb0="00040001" w:csb1="00000000"/>
    <w:embedRegular r:id="rId3" w:fontKey="{D665F017-1AAD-483B-B2C4-98B1032270E7}"/>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4" w:fontKey="{E8AA3C48-F7E4-4612-9C44-E6FD72C12A3B}"/>
  </w:font>
  <w:font w:name="Cambria">
    <w:panose1 w:val="02040503050406030204"/>
    <w:charset w:val="00"/>
    <w:family w:val="roman"/>
    <w:pitch w:val="default"/>
    <w:sig w:usb0="E00006FF" w:usb1="420024FF" w:usb2="02000000" w:usb3="00000000" w:csb0="2000019F" w:csb1="00000000"/>
    <w:embedRegular r:id="rId5" w:fontKey="{0F7C260F-478F-4864-AE7E-7DD40BF965DB}"/>
  </w:font>
  <w:font w:name="楷体_GB2312">
    <w:panose1 w:val="02010609030101010101"/>
    <w:charset w:val="86"/>
    <w:family w:val="modern"/>
    <w:pitch w:val="default"/>
    <w:sig w:usb0="00000001" w:usb1="080E0000" w:usb2="00000000" w:usb3="00000000" w:csb0="00040000" w:csb1="00000000"/>
    <w:embedRegular r:id="rId6" w:fontKey="{1C997CBC-1E2A-457E-BBFB-9F24D27DAD28}"/>
  </w:font>
  <w:font w:name="仿宋">
    <w:panose1 w:val="02010609060101010101"/>
    <w:charset w:val="86"/>
    <w:family w:val="modern"/>
    <w:pitch w:val="default"/>
    <w:sig w:usb0="800002BF" w:usb1="38CF7CFA" w:usb2="00000016" w:usb3="00000000" w:csb0="00040001" w:csb1="00000000"/>
    <w:embedRegular r:id="rId7" w:fontKey="{3C56A130-EAB8-4850-A510-8297477674F9}"/>
  </w:font>
  <w:font w:name="等线">
    <w:panose1 w:val="02010600030101010101"/>
    <w:charset w:val="86"/>
    <w:family w:val="auto"/>
    <w:pitch w:val="default"/>
    <w:sig w:usb0="A00002BF" w:usb1="38CF7CFA" w:usb2="00000016" w:usb3="00000000" w:csb0="0004000F" w:csb1="00000000"/>
  </w:font>
  <w:font w:name="TimesNewRomanPSMT">
    <w:altName w:val="Times New Roman"/>
    <w:panose1 w:val="00000000000000000000"/>
    <w:charset w:val="00"/>
    <w:family w:val="roman"/>
    <w:pitch w:val="default"/>
    <w:sig w:usb0="00000000" w:usb1="00000000" w:usb2="00000000" w:usb3="00000000" w:csb0="00000001" w:csb1="00000000"/>
  </w:font>
  <w:font w:name="Wingdings 2">
    <w:panose1 w:val="05020102010507070707"/>
    <w:charset w:val="02"/>
    <w:family w:val="roman"/>
    <w:pitch w:val="default"/>
    <w:sig w:usb0="00000000" w:usb1="00000000" w:usb2="00000000" w:usb3="00000000" w:csb0="80000000" w:csb1="00000000"/>
    <w:embedRegular r:id="rId8" w:fontKey="{C7FDD866-105C-4C3E-ACB8-0511323B16D6}"/>
  </w:font>
  <w:font w:name="仿宋_GB2312">
    <w:panose1 w:val="02010609030101010101"/>
    <w:charset w:val="86"/>
    <w:family w:val="modern"/>
    <w:pitch w:val="default"/>
    <w:sig w:usb0="00000001" w:usb1="080E0000" w:usb2="00000000" w:usb3="00000000" w:csb0="00040000" w:csb1="00000000"/>
    <w:embedRegular r:id="rId9" w:fontKey="{0EFDC9AF-916D-4C40-B635-2A62F0662475}"/>
  </w:font>
  <w:font w:name="华文中宋">
    <w:panose1 w:val="02010600040101010101"/>
    <w:charset w:val="86"/>
    <w:family w:val="auto"/>
    <w:pitch w:val="default"/>
    <w:sig w:usb0="00000287" w:usb1="080F0000" w:usb2="00000000" w:usb3="00000000" w:csb0="0004009F" w:csb1="DFD70000"/>
    <w:embedRegular r:id="rId10" w:fontKey="{C81B9FA4-06BC-47CE-B5AD-65F347B67305}"/>
  </w:font>
  <w:font w:name="微软雅黑">
    <w:panose1 w:val="020B0503020204020204"/>
    <w:charset w:val="86"/>
    <w:family w:val="swiss"/>
    <w:pitch w:val="default"/>
    <w:sig w:usb0="80000287" w:usb1="2ACF3C50" w:usb2="00000016" w:usb3="00000000" w:csb0="0004001F" w:csb1="00000000"/>
    <w:embedRegular r:id="rId11" w:fontKey="{E57FF328-235C-440B-A434-5D28345789EF}"/>
  </w:font>
  <w:font w:name="楷体">
    <w:panose1 w:val="02010609060101010101"/>
    <w:charset w:val="86"/>
    <w:family w:val="modern"/>
    <w:pitch w:val="default"/>
    <w:sig w:usb0="800002BF" w:usb1="38CF7CFA" w:usb2="00000016" w:usb3="00000000" w:csb0="00040001" w:csb1="00000000"/>
    <w:embedRegular r:id="rId12" w:fontKey="{24881480-BC8A-4476-B02A-2D5AD6B6305D}"/>
  </w:font>
  <w:font w:name="方正小标宋简体">
    <w:panose1 w:val="02000000000000000000"/>
    <w:charset w:val="86"/>
    <w:family w:val="script"/>
    <w:pitch w:val="default"/>
    <w:sig w:usb0="A00002BF" w:usb1="184F6CFA" w:usb2="00000012" w:usb3="00000000" w:csb0="00040001" w:csb1="00000000"/>
    <w:embedRegular r:id="rId13" w:fontKey="{79519653-11C2-41F7-9A96-3DD1073F643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E03F12D">
    <w:pPr>
      <w:pStyle w:val="17"/>
      <w:jc w:val="center"/>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FE9514">
                          <w:pPr>
                            <w:pStyle w:val="17"/>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p w14:paraId="3CFE9514">
                    <w:pPr>
                      <w:pStyle w:val="17"/>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p w14:paraId="4253A600">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5CEDF42">
    <w:pPr>
      <w:pStyle w:val="17"/>
      <w:jc w:val="center"/>
      <w:rPr>
        <w:rFonts w:eastAsia="仿宋_GB2312"/>
        <w:sz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A2CE36F">
    <w:pPr>
      <w:pStyle w:val="17"/>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5" name="文本框 1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3C14EC7A">
                          <w:pPr>
                            <w:pStyle w:val="17"/>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XbFGkjICAABlBAAADgAAAAAAAAABACAAAAAfAQAAZHJzL2Uyb0RvYy54bWxQSwUG&#10;AAAAAAYABgBZAQAAwwUAAAAA&#10;">
              <v:fill on="f" focussize="0,0"/>
              <v:stroke on="f" weight="0.5pt"/>
              <v:imagedata o:title=""/>
              <o:lock v:ext="edit" aspectratio="f"/>
              <v:textbox inset="0mm,0mm,0mm,0mm" style="mso-fit-shape-to-text:t;">
                <w:txbxContent>
                  <w:p w14:paraId="3C14EC7A">
                    <w:pPr>
                      <w:pStyle w:val="17"/>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r>
      <w:rPr>
        <w:rFonts w:hint="eastAsia"/>
      </w:rPr>
      <w:t>1</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E13876">
    <w:pPr>
      <w:pStyle w:val="17"/>
      <w:jc w:val="center"/>
    </w:pPr>
    <w:r>
      <mc:AlternateContent>
        <mc:Choice Requires="wps">
          <w:drawing>
            <wp:anchor distT="0" distB="0" distL="114300" distR="114300" simplePos="0" relativeHeight="251665408"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5D664323">
                          <w:pPr>
                            <w:pStyle w:val="17"/>
                          </w:pPr>
                          <w:r>
                            <w:fldChar w:fldCharType="begin"/>
                          </w:r>
                          <w:r>
                            <w:instrText xml:space="preserve"> PAGE  \* MERGEFORMAT </w:instrText>
                          </w:r>
                          <w:r>
                            <w:fldChar w:fldCharType="separate"/>
                          </w:r>
                          <w:r>
                            <w:t>200</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10" o:spid="_x0000_s1026" o:spt="202" type="#_x0000_t202" style="position:absolute;left:0pt;margin-top:0pt;height:144pt;width:144pt;mso-position-horizontal:center;mso-position-horizontal-relative:margin;mso-wrap-style:none;z-index:25166540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RxR68zICAABlBAAADgAAAAAAAAABACAAAAAfAQAAZHJzL2Uyb0RvYy54bWxQSwUG&#10;AAAAAAYABgBZAQAAwwUAAAAA&#10;">
              <v:fill on="f" focussize="0,0"/>
              <v:stroke on="f" weight="0.5pt"/>
              <v:imagedata o:title=""/>
              <o:lock v:ext="edit" aspectratio="f"/>
              <v:textbox inset="0mm,0mm,0mm,0mm" style="mso-fit-shape-to-text:t;">
                <w:txbxContent>
                  <w:p w14:paraId="5D664323">
                    <w:pPr>
                      <w:pStyle w:val="17"/>
                    </w:pPr>
                    <w:r>
                      <w:fldChar w:fldCharType="begin"/>
                    </w:r>
                    <w:r>
                      <w:instrText xml:space="preserve"> PAGE  \* MERGEFORMAT </w:instrText>
                    </w:r>
                    <w:r>
                      <w:fldChar w:fldCharType="separate"/>
                    </w:r>
                    <w:r>
                      <w:t>200</w:t>
                    </w:r>
                    <w:r>
                      <w:fldChar w:fldCharType="end"/>
                    </w:r>
                  </w:p>
                </w:txbxContent>
              </v:textbox>
            </v:shape>
          </w:pict>
        </mc:Fallback>
      </mc:AlternateContent>
    </w:r>
  </w:p>
  <w:p w14:paraId="18505BCE">
    <w:pPr>
      <w:pStyle w:val="1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5F92CB6">
    <w:pPr>
      <w:pStyle w:val="17"/>
    </w:pPr>
    <w: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6"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2E1FA18E">
                          <w:pPr>
                            <w:pStyle w:val="17"/>
                          </w:pPr>
                          <w:r>
                            <w:fldChar w:fldCharType="begin"/>
                          </w:r>
                          <w:r>
                            <w:instrText xml:space="preserve"> PAGE  \* MERGEFORMAT </w:instrText>
                          </w:r>
                          <w:r>
                            <w:fldChar w:fldCharType="separate"/>
                          </w:r>
                          <w:r>
                            <w:t>43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9"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VAWtzICAABkBAAADgAAAAAAAAABACAAAAAfAQAAZHJzL2Uyb0RvYy54bWxQSwUG&#10;AAAAAAYABgBZAQAAwwUAAAAA&#10;">
              <v:fill on="f" focussize="0,0"/>
              <v:stroke on="f" weight="0.5pt"/>
              <v:imagedata o:title=""/>
              <o:lock v:ext="edit" aspectratio="f"/>
              <v:textbox inset="0mm,0mm,0mm,0mm" style="mso-fit-shape-to-text:t;">
                <w:txbxContent>
                  <w:p w14:paraId="2E1FA18E">
                    <w:pPr>
                      <w:pStyle w:val="17"/>
                    </w:pPr>
                    <w:r>
                      <w:fldChar w:fldCharType="begin"/>
                    </w:r>
                    <w:r>
                      <w:instrText xml:space="preserve"> PAGE  \* MERGEFORMAT </w:instrText>
                    </w:r>
                    <w:r>
                      <w:fldChar w:fldCharType="separate"/>
                    </w:r>
                    <w:r>
                      <w:t>43</w:t>
                    </w:r>
                    <w: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F91CCA">
    <w:pPr>
      <w:pStyle w:val="17"/>
      <w:jc w:val="center"/>
      <w:rPr>
        <w:rFonts w:eastAsia="仿宋_GB2312"/>
        <w:sz w:val="24"/>
      </w:rPr>
    </w:pPr>
    <w:r>
      <w:rPr>
        <w:sz w:val="24"/>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0254D57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177</w:t>
                          </w:r>
                          <w:r>
                            <w:rPr>
                              <w:rFonts w:hint="eastAsia"/>
                              <w:sz w:val="18"/>
                            </w:rPr>
                            <w:fldChar w:fldCharType="end"/>
                          </w:r>
                        </w:p>
                      </w:txbxContent>
                    </wps:txbx>
                    <wps:bodyPr wrap="none" lIns="0" tIns="0" rIns="0" bIns="0">
                      <a:spAutoFit/>
                    </wps:bodyPr>
                  </wps:wsp>
                </a:graphicData>
              </a:graphic>
            </wp:anchor>
          </w:drawing>
        </mc:Choice>
        <mc:Fallback>
          <w:pict>
            <v:shape id="文本框 12"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7QaR/McBAACcAwAADgAAAAAAAAABACAAAAAeAQAAZHJzL2Uyb0RvYy54&#10;bWxQSwUGAAAAAAYABgBZAQAAVwUAAAAA&#10;">
              <v:fill on="f" focussize="0,0"/>
              <v:stroke on="f"/>
              <v:imagedata o:title=""/>
              <o:lock v:ext="edit" aspectratio="f"/>
              <v:textbox inset="0mm,0mm,0mm,0mm" style="mso-fit-shape-to-text:t;">
                <w:txbxContent>
                  <w:p w14:paraId="0254D572">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177</w:t>
                    </w:r>
                    <w:r>
                      <w:rPr>
                        <w:rFonts w:hint="eastAsia"/>
                        <w:sz w:val="18"/>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A4CAD1">
    <w:pPr>
      <w:jc w:val="cente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2328B1E7">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201</w:t>
                          </w:r>
                          <w:r>
                            <w:rPr>
                              <w:rFonts w:hint="eastAsia"/>
                              <w:sz w:val="18"/>
                            </w:rPr>
                            <w:fldChar w:fldCharType="end"/>
                          </w:r>
                        </w:p>
                      </w:txbxContent>
                    </wps:txbx>
                    <wps:bodyPr wrap="none" lIns="0" tIns="0" rIns="0" bIns="0">
                      <a:spAutoFit/>
                    </wps:bodyPr>
                  </wps:wsp>
                </a:graphicData>
              </a:graphic>
            </wp:anchor>
          </w:drawing>
        </mc:Choice>
        <mc:Fallback>
          <w:pict>
            <v:shape id="文本框 11"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DOqXm5zwAAAAUBAAAPAAAAAAAAAAEAIAAAACIAAABkcnMvZG93bnJldi54bWxQ&#10;SwECFAAUAAAACACHTuJALTCGXMcBAACcAwAADgAAAAAAAAABACAAAAAeAQAAZHJzL2Uyb0RvYy54&#10;bWxQSwUGAAAAAAYABgBZAQAAVwUAAAAA&#10;">
              <v:fill on="f" focussize="0,0"/>
              <v:stroke on="f"/>
              <v:imagedata o:title=""/>
              <o:lock v:ext="edit" aspectratio="f"/>
              <v:textbox inset="0mm,0mm,0mm,0mm" style="mso-fit-shape-to-text:t;">
                <w:txbxContent>
                  <w:p w14:paraId="2328B1E7">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201</w:t>
                    </w:r>
                    <w:r>
                      <w:rPr>
                        <w:rFonts w:hint="eastAsia"/>
                        <w:sz w:val="18"/>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60467F0">
    <w:pPr>
      <w:pStyle w:val="17"/>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4E5AE50E">
                          <w:pPr>
                            <w:pStyle w:val="17"/>
                            <w:jc w:val="center"/>
                          </w:pPr>
                          <w:r>
                            <w:fldChar w:fldCharType="begin"/>
                          </w:r>
                          <w:r>
                            <w:instrText xml:space="preserve"> PAGE   \* MERGEFORMAT </w:instrText>
                          </w:r>
                          <w:r>
                            <w:fldChar w:fldCharType="separate"/>
                          </w:r>
                          <w:r>
                            <w:rPr>
                              <w:lang w:val="zh-CN"/>
                            </w:rPr>
                            <w:t>92</w:t>
                          </w:r>
                          <w:r>
                            <w:rPr>
                              <w:lang w:val="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4"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PptY8jICAABjBAAADgAAAAAAAAABACAAAAAfAQAAZHJzL2Uyb0RvYy54bWxQSwUG&#10;AAAAAAYABgBZAQAAwwUAAAAA&#10;">
              <v:fill on="f" focussize="0,0"/>
              <v:stroke on="f" weight="0.5pt"/>
              <v:imagedata o:title=""/>
              <o:lock v:ext="edit" aspectratio="f"/>
              <v:textbox inset="0mm,0mm,0mm,0mm" style="mso-fit-shape-to-text:t;">
                <w:txbxContent>
                  <w:p w14:paraId="4E5AE50E">
                    <w:pPr>
                      <w:pStyle w:val="17"/>
                      <w:jc w:val="center"/>
                    </w:pPr>
                    <w:r>
                      <w:fldChar w:fldCharType="begin"/>
                    </w:r>
                    <w:r>
                      <w:instrText xml:space="preserve"> PAGE   \* MERGEFORMAT </w:instrText>
                    </w:r>
                    <w:r>
                      <w:fldChar w:fldCharType="separate"/>
                    </w:r>
                    <w:r>
                      <w:rPr>
                        <w:lang w:val="zh-CN"/>
                      </w:rPr>
                      <w:t>92</w:t>
                    </w:r>
                    <w:r>
                      <w:rPr>
                        <w:lang w:val="zh-CN"/>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8AED">
    <w:pPr>
      <w:pStyle w:val="17"/>
      <w:jc w:val="cente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14:paraId="63310992">
                          <w:pPr>
                            <w:pStyle w:val="17"/>
                            <w:jc w:val="center"/>
                          </w:pPr>
                          <w:r>
                            <w:fldChar w:fldCharType="begin"/>
                          </w:r>
                          <w:r>
                            <w:instrText xml:space="preserve"> PAGE   \* MERGEFORMAT </w:instrText>
                          </w:r>
                          <w:r>
                            <w:fldChar w:fldCharType="separate"/>
                          </w:r>
                          <w:r>
                            <w:rPr>
                              <w:lang w:val="zh-CN"/>
                            </w:rPr>
                            <w:t>297</w:t>
                          </w:r>
                          <w:r>
                            <w:rPr>
                              <w:lang w:val="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5"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bsbKvjICAABkBAAADgAAAAAAAAABACAAAAAfAQAAZHJzL2Uyb0RvYy54bWxQSwUG&#10;AAAAAAYABgBZAQAAwwUAAAAA&#10;">
              <v:fill on="f" focussize="0,0"/>
              <v:stroke on="f" weight="0.5pt"/>
              <v:imagedata o:title=""/>
              <o:lock v:ext="edit" aspectratio="f"/>
              <v:textbox inset="0mm,0mm,0mm,0mm" style="mso-fit-shape-to-text:t;">
                <w:txbxContent>
                  <w:p w14:paraId="63310992">
                    <w:pPr>
                      <w:pStyle w:val="17"/>
                      <w:jc w:val="center"/>
                    </w:pPr>
                    <w:r>
                      <w:fldChar w:fldCharType="begin"/>
                    </w:r>
                    <w:r>
                      <w:instrText xml:space="preserve"> PAGE   \* MERGEFORMAT </w:instrText>
                    </w:r>
                    <w:r>
                      <w:fldChar w:fldCharType="separate"/>
                    </w:r>
                    <w:r>
                      <w:rPr>
                        <w:lang w:val="zh-CN"/>
                      </w:rPr>
                      <w:t>297</w:t>
                    </w:r>
                    <w:r>
                      <w:rPr>
                        <w:lang w:val="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47BC2D3">
    <w:pPr>
      <w:pStyle w:val="18"/>
      <w:pBdr>
        <w:bottom w:val="none" w:color="auto" w:sz="0" w:space="0"/>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4EC5B6E">
    <w:pPr>
      <w:pStyle w:val="18"/>
      <w:pBdr>
        <w:bottom w:val="none" w:color="auto" w:sz="0" w:space="1"/>
      </w:pBdr>
      <w:tabs>
        <w:tab w:val="left" w:pos="1020"/>
        <w:tab w:val="clear" w:pos="4153"/>
      </w:tabs>
    </w:pPr>
    <w:r>
      <w:rPr>
        <w:rFonts w:hint="eastAsia"/>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C902A10">
    <w:pPr>
      <w:pStyle w:val="18"/>
      <w:jc w:val="right"/>
    </w:pPr>
    <w:r>
      <w:rPr>
        <w:rFonts w:hint="eastAsia" w:ascii="微软雅黑" w:hAnsi="微软雅黑" w:eastAsia="微软雅黑" w:cs="微软雅黑"/>
        <w:color w:val="000000"/>
        <w:sz w:val="22"/>
        <w:szCs w:val="22"/>
        <w:shd w:val="clear" w:color="auto" w:fill="FCFCFC"/>
      </w:rPr>
      <w: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04FABB">
    <w:pPr>
      <w:pStyle w:val="1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DACA4D">
    <w:pPr>
      <w:pStyle w:val="18"/>
      <w:jc w:val="right"/>
    </w:pPr>
    <w:r>
      <w:rPr>
        <w:rFonts w:hint="eastAsia" w:ascii="微软雅黑" w:hAnsi="微软雅黑" w:eastAsia="微软雅黑" w:cs="微软雅黑"/>
        <w:color w:val="000000"/>
        <w:sz w:val="22"/>
        <w:szCs w:val="22"/>
        <w:shd w:val="clear" w:color="auto" w:fill="FCFCFC"/>
      </w:rPr>
      <w: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683D4D">
    <w:pPr>
      <w:pStyle w:val="18"/>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C0E66B">
    <w:pPr>
      <w:pStyle w:val="18"/>
      <w:pBdr>
        <w:bottom w:val="none" w:color="auto" w:sz="0" w:space="0"/>
      </w:pBd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3E74B48">
    <w:pPr>
      <w:pStyle w:val="1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07B410"/>
    <w:multiLevelType w:val="singleLevel"/>
    <w:tmpl w:val="B507B410"/>
    <w:lvl w:ilvl="0" w:tentative="0">
      <w:start w:val="1"/>
      <w:numFmt w:val="decimal"/>
      <w:suff w:val="nothing"/>
      <w:lvlText w:val="%1、"/>
      <w:lvlJc w:val="left"/>
    </w:lvl>
  </w:abstractNum>
  <w:abstractNum w:abstractNumId="1">
    <w:nsid w:val="B69DDA1E"/>
    <w:multiLevelType w:val="singleLevel"/>
    <w:tmpl w:val="B69DDA1E"/>
    <w:lvl w:ilvl="0" w:tentative="0">
      <w:start w:val="3"/>
      <w:numFmt w:val="chineseCounting"/>
      <w:suff w:val="nothing"/>
      <w:lvlText w:val="%1、"/>
      <w:lvlJc w:val="left"/>
      <w:rPr>
        <w:rFonts w:hint="eastAsia"/>
      </w:rPr>
    </w:lvl>
  </w:abstractNum>
  <w:abstractNum w:abstractNumId="2">
    <w:nsid w:val="D26A09EE"/>
    <w:multiLevelType w:val="singleLevel"/>
    <w:tmpl w:val="D26A09EE"/>
    <w:lvl w:ilvl="0" w:tentative="0">
      <w:start w:val="1"/>
      <w:numFmt w:val="decimal"/>
      <w:suff w:val="space"/>
      <w:lvlText w:val="(%1)"/>
      <w:lvlJc w:val="left"/>
    </w:lvl>
  </w:abstractNum>
  <w:abstractNum w:abstractNumId="3">
    <w:nsid w:val="E384DFE0"/>
    <w:multiLevelType w:val="singleLevel"/>
    <w:tmpl w:val="E384DFE0"/>
    <w:lvl w:ilvl="0" w:tentative="0">
      <w:start w:val="1"/>
      <w:numFmt w:val="decimal"/>
      <w:suff w:val="nothing"/>
      <w:lvlText w:val="（%1）"/>
      <w:lvlJc w:val="left"/>
    </w:lvl>
  </w:abstractNum>
  <w:abstractNum w:abstractNumId="4">
    <w:nsid w:val="EC0EB902"/>
    <w:multiLevelType w:val="singleLevel"/>
    <w:tmpl w:val="EC0EB902"/>
    <w:lvl w:ilvl="0" w:tentative="0">
      <w:start w:val="1"/>
      <w:numFmt w:val="decimal"/>
      <w:lvlText w:val="%1."/>
      <w:lvlJc w:val="left"/>
      <w:pPr>
        <w:ind w:left="845" w:hanging="425"/>
      </w:pPr>
      <w:rPr>
        <w:rFonts w:hint="default"/>
      </w:rPr>
    </w:lvl>
  </w:abstractNum>
  <w:abstractNum w:abstractNumId="5">
    <w:nsid w:val="F63619FA"/>
    <w:multiLevelType w:val="multilevel"/>
    <w:tmpl w:val="F63619FA"/>
    <w:lvl w:ilvl="0" w:tentative="0">
      <w:start w:val="1"/>
      <w:numFmt w:val="decimal"/>
      <w:lvlText w:val="%1."/>
      <w:lvlJc w:val="left"/>
      <w:pPr>
        <w:tabs>
          <w:tab w:val="left" w:pos="312"/>
        </w:tabs>
        <w:ind w:left="0" w:firstLine="0"/>
      </w:pPr>
      <w:rPr>
        <w:rFonts w:hint="default" w:ascii="Times New Roman" w:hAnsi="Times New Roman" w:cs="Times New Roman"/>
      </w:rPr>
    </w:lvl>
    <w:lvl w:ilvl="1" w:tentative="0">
      <w:start w:val="1"/>
      <w:numFmt w:val="decimal"/>
      <w:lvlText w:val="%1."/>
      <w:lvlJc w:val="left"/>
      <w:pPr>
        <w:tabs>
          <w:tab w:val="left" w:pos="312"/>
        </w:tabs>
        <w:ind w:left="0" w:firstLine="0"/>
      </w:pPr>
      <w:rPr>
        <w:rFonts w:hint="default" w:ascii="Times New Roman" w:hAnsi="Times New Roman" w:cs="Times New Roman"/>
      </w:rPr>
    </w:lvl>
    <w:lvl w:ilvl="2" w:tentative="0">
      <w:start w:val="1"/>
      <w:numFmt w:val="decimal"/>
      <w:lvlText w:val="%1."/>
      <w:lvlJc w:val="left"/>
      <w:pPr>
        <w:tabs>
          <w:tab w:val="left" w:pos="312"/>
        </w:tabs>
        <w:ind w:left="0" w:firstLine="0"/>
      </w:pPr>
      <w:rPr>
        <w:rFonts w:hint="default" w:ascii="Times New Roman" w:hAnsi="Times New Roman" w:cs="Times New Roman"/>
      </w:rPr>
    </w:lvl>
    <w:lvl w:ilvl="3" w:tentative="0">
      <w:start w:val="1"/>
      <w:numFmt w:val="decimal"/>
      <w:lvlText w:val="%1."/>
      <w:lvlJc w:val="left"/>
      <w:pPr>
        <w:tabs>
          <w:tab w:val="left" w:pos="312"/>
        </w:tabs>
        <w:ind w:left="0" w:firstLine="0"/>
      </w:pPr>
      <w:rPr>
        <w:rFonts w:hint="default" w:ascii="Times New Roman" w:hAnsi="Times New Roman" w:cs="Times New Roman"/>
      </w:rPr>
    </w:lvl>
    <w:lvl w:ilvl="4" w:tentative="0">
      <w:start w:val="1"/>
      <w:numFmt w:val="decimal"/>
      <w:lvlText w:val="%1."/>
      <w:lvlJc w:val="left"/>
      <w:pPr>
        <w:tabs>
          <w:tab w:val="left" w:pos="312"/>
        </w:tabs>
        <w:ind w:left="0" w:firstLine="0"/>
      </w:pPr>
      <w:rPr>
        <w:rFonts w:hint="default" w:ascii="Times New Roman" w:hAnsi="Times New Roman" w:cs="Times New Roman"/>
      </w:rPr>
    </w:lvl>
    <w:lvl w:ilvl="5" w:tentative="0">
      <w:start w:val="1"/>
      <w:numFmt w:val="decimal"/>
      <w:lvlText w:val="%1."/>
      <w:lvlJc w:val="left"/>
      <w:pPr>
        <w:tabs>
          <w:tab w:val="left" w:pos="312"/>
        </w:tabs>
        <w:ind w:left="0" w:firstLine="0"/>
      </w:pPr>
      <w:rPr>
        <w:rFonts w:hint="default" w:ascii="Times New Roman" w:hAnsi="Times New Roman" w:cs="Times New Roman"/>
      </w:rPr>
    </w:lvl>
    <w:lvl w:ilvl="6" w:tentative="0">
      <w:start w:val="1"/>
      <w:numFmt w:val="decimal"/>
      <w:lvlText w:val="%1."/>
      <w:lvlJc w:val="left"/>
      <w:pPr>
        <w:tabs>
          <w:tab w:val="left" w:pos="312"/>
        </w:tabs>
        <w:ind w:left="0" w:firstLine="0"/>
      </w:pPr>
      <w:rPr>
        <w:rFonts w:hint="default" w:ascii="Times New Roman" w:hAnsi="Times New Roman" w:cs="Times New Roman"/>
      </w:rPr>
    </w:lvl>
    <w:lvl w:ilvl="7" w:tentative="0">
      <w:start w:val="1"/>
      <w:numFmt w:val="decimal"/>
      <w:lvlText w:val="%1."/>
      <w:lvlJc w:val="left"/>
      <w:pPr>
        <w:tabs>
          <w:tab w:val="left" w:pos="312"/>
        </w:tabs>
        <w:ind w:left="0" w:firstLine="0"/>
      </w:pPr>
      <w:rPr>
        <w:rFonts w:hint="default" w:ascii="Times New Roman" w:hAnsi="Times New Roman" w:cs="Times New Roman"/>
      </w:rPr>
    </w:lvl>
    <w:lvl w:ilvl="8" w:tentative="0">
      <w:start w:val="1"/>
      <w:numFmt w:val="decimal"/>
      <w:lvlText w:val="%1."/>
      <w:lvlJc w:val="left"/>
      <w:pPr>
        <w:tabs>
          <w:tab w:val="left" w:pos="312"/>
        </w:tabs>
        <w:ind w:left="0" w:firstLine="0"/>
      </w:pPr>
      <w:rPr>
        <w:rFonts w:hint="default" w:ascii="Times New Roman" w:hAnsi="Times New Roman" w:cs="Times New Roman"/>
      </w:rPr>
    </w:lvl>
  </w:abstractNum>
  <w:abstractNum w:abstractNumId="6">
    <w:nsid w:val="00000006"/>
    <w:multiLevelType w:val="singleLevel"/>
    <w:tmpl w:val="00000006"/>
    <w:lvl w:ilvl="0" w:tentative="0">
      <w:start w:val="1"/>
      <w:numFmt w:val="decimal"/>
      <w:suff w:val="nothing"/>
      <w:lvlText w:val="（%1）"/>
      <w:lvlJc w:val="left"/>
    </w:lvl>
  </w:abstractNum>
  <w:abstractNum w:abstractNumId="7">
    <w:nsid w:val="0F527ADD"/>
    <w:multiLevelType w:val="multilevel"/>
    <w:tmpl w:val="0F527ADD"/>
    <w:lvl w:ilvl="0" w:tentative="0">
      <w:start w:val="1"/>
      <w:numFmt w:val="japaneseCounting"/>
      <w:lvlText w:val="（%1）"/>
      <w:lvlJc w:val="left"/>
      <w:pPr>
        <w:ind w:left="1367" w:hanging="765"/>
      </w:pPr>
      <w:rPr>
        <w:rFonts w:hint="default"/>
      </w:rPr>
    </w:lvl>
    <w:lvl w:ilvl="1" w:tentative="0">
      <w:start w:val="1"/>
      <w:numFmt w:val="lowerLetter"/>
      <w:lvlText w:val="%2)"/>
      <w:lvlJc w:val="left"/>
      <w:pPr>
        <w:ind w:left="1442" w:hanging="420"/>
      </w:pPr>
    </w:lvl>
    <w:lvl w:ilvl="2" w:tentative="0">
      <w:start w:val="1"/>
      <w:numFmt w:val="lowerRoman"/>
      <w:lvlText w:val="%3."/>
      <w:lvlJc w:val="right"/>
      <w:pPr>
        <w:ind w:left="1862" w:hanging="420"/>
      </w:pPr>
    </w:lvl>
    <w:lvl w:ilvl="3" w:tentative="0">
      <w:start w:val="1"/>
      <w:numFmt w:val="decimal"/>
      <w:lvlText w:val="%4."/>
      <w:lvlJc w:val="left"/>
      <w:pPr>
        <w:ind w:left="2282" w:hanging="420"/>
      </w:pPr>
    </w:lvl>
    <w:lvl w:ilvl="4" w:tentative="0">
      <w:start w:val="1"/>
      <w:numFmt w:val="lowerLetter"/>
      <w:lvlText w:val="%5)"/>
      <w:lvlJc w:val="left"/>
      <w:pPr>
        <w:ind w:left="2702" w:hanging="420"/>
      </w:pPr>
    </w:lvl>
    <w:lvl w:ilvl="5" w:tentative="0">
      <w:start w:val="1"/>
      <w:numFmt w:val="lowerRoman"/>
      <w:lvlText w:val="%6."/>
      <w:lvlJc w:val="right"/>
      <w:pPr>
        <w:ind w:left="3122" w:hanging="420"/>
      </w:pPr>
    </w:lvl>
    <w:lvl w:ilvl="6" w:tentative="0">
      <w:start w:val="1"/>
      <w:numFmt w:val="decimal"/>
      <w:lvlText w:val="%7."/>
      <w:lvlJc w:val="left"/>
      <w:pPr>
        <w:ind w:left="3542" w:hanging="420"/>
      </w:pPr>
    </w:lvl>
    <w:lvl w:ilvl="7" w:tentative="0">
      <w:start w:val="1"/>
      <w:numFmt w:val="lowerLetter"/>
      <w:lvlText w:val="%8)"/>
      <w:lvlJc w:val="left"/>
      <w:pPr>
        <w:ind w:left="3962" w:hanging="420"/>
      </w:pPr>
    </w:lvl>
    <w:lvl w:ilvl="8" w:tentative="0">
      <w:start w:val="1"/>
      <w:numFmt w:val="lowerRoman"/>
      <w:lvlText w:val="%9."/>
      <w:lvlJc w:val="right"/>
      <w:pPr>
        <w:ind w:left="4382" w:hanging="420"/>
      </w:pPr>
    </w:lvl>
  </w:abstractNum>
  <w:abstractNum w:abstractNumId="8">
    <w:nsid w:val="10CFA16F"/>
    <w:multiLevelType w:val="singleLevel"/>
    <w:tmpl w:val="10CFA16F"/>
    <w:lvl w:ilvl="0" w:tentative="0">
      <w:start w:val="1"/>
      <w:numFmt w:val="decimal"/>
      <w:suff w:val="space"/>
      <w:lvlText w:val="（%1）"/>
      <w:lvlJc w:val="left"/>
      <w:pPr>
        <w:ind w:left="450" w:firstLine="0"/>
      </w:pPr>
    </w:lvl>
  </w:abstractNum>
  <w:abstractNum w:abstractNumId="9">
    <w:nsid w:val="11C55E1A"/>
    <w:multiLevelType w:val="singleLevel"/>
    <w:tmpl w:val="11C55E1A"/>
    <w:lvl w:ilvl="0" w:tentative="0">
      <w:start w:val="3"/>
      <w:numFmt w:val="chineseCounting"/>
      <w:suff w:val="nothing"/>
      <w:lvlText w:val="（%1）"/>
      <w:lvlJc w:val="left"/>
      <w:rPr>
        <w:rFonts w:hint="eastAsia"/>
      </w:rPr>
    </w:lvl>
  </w:abstractNum>
  <w:abstractNum w:abstractNumId="10">
    <w:nsid w:val="15243912"/>
    <w:multiLevelType w:val="multilevel"/>
    <w:tmpl w:val="15243912"/>
    <w:lvl w:ilvl="0" w:tentative="0">
      <w:start w:val="1"/>
      <w:numFmt w:val="decimal"/>
      <w:suff w:val="nothing"/>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1">
    <w:nsid w:val="244575CF"/>
    <w:multiLevelType w:val="singleLevel"/>
    <w:tmpl w:val="244575CF"/>
    <w:lvl w:ilvl="0" w:tentative="0">
      <w:start w:val="10"/>
      <w:numFmt w:val="decimal"/>
      <w:suff w:val="nothing"/>
      <w:lvlText w:val="（%1）"/>
      <w:lvlJc w:val="left"/>
    </w:lvl>
  </w:abstractNum>
  <w:abstractNum w:abstractNumId="12">
    <w:nsid w:val="252A6733"/>
    <w:multiLevelType w:val="multilevel"/>
    <w:tmpl w:val="252A6733"/>
    <w:lvl w:ilvl="0" w:tentative="0">
      <w:start w:val="1"/>
      <w:numFmt w:val="decimal"/>
      <w:suff w:val="nothing"/>
      <w:lvlText w:val="（%1）"/>
      <w:lvlJc w:val="left"/>
      <w:pPr>
        <w:ind w:left="1020" w:hanging="420"/>
      </w:pPr>
      <w:rPr>
        <w:rFonts w:hint="eastAsia"/>
        <w:i/>
        <w:iCs/>
        <w:sz w:val="30"/>
        <w:szCs w:val="30"/>
      </w:rPr>
    </w:lvl>
    <w:lvl w:ilvl="1" w:tentative="0">
      <w:start w:val="1"/>
      <w:numFmt w:val="lowerLetter"/>
      <w:lvlText w:val="%2)"/>
      <w:lvlJc w:val="left"/>
      <w:pPr>
        <w:ind w:left="1440" w:hanging="420"/>
      </w:pPr>
    </w:lvl>
    <w:lvl w:ilvl="2" w:tentative="0">
      <w:start w:val="1"/>
      <w:numFmt w:val="lowerRoman"/>
      <w:lvlText w:val="%3."/>
      <w:lvlJc w:val="right"/>
      <w:pPr>
        <w:ind w:left="1860" w:hanging="420"/>
      </w:pPr>
    </w:lvl>
    <w:lvl w:ilvl="3" w:tentative="0">
      <w:start w:val="1"/>
      <w:numFmt w:val="decimal"/>
      <w:lvlText w:val="%4."/>
      <w:lvlJc w:val="left"/>
      <w:pPr>
        <w:ind w:left="2280" w:hanging="420"/>
      </w:pPr>
    </w:lvl>
    <w:lvl w:ilvl="4" w:tentative="0">
      <w:start w:val="1"/>
      <w:numFmt w:val="lowerLetter"/>
      <w:lvlText w:val="%5)"/>
      <w:lvlJc w:val="left"/>
      <w:pPr>
        <w:ind w:left="2700" w:hanging="420"/>
      </w:pPr>
    </w:lvl>
    <w:lvl w:ilvl="5" w:tentative="0">
      <w:start w:val="1"/>
      <w:numFmt w:val="lowerRoman"/>
      <w:lvlText w:val="%6."/>
      <w:lvlJc w:val="right"/>
      <w:pPr>
        <w:ind w:left="3120" w:hanging="420"/>
      </w:pPr>
    </w:lvl>
    <w:lvl w:ilvl="6" w:tentative="0">
      <w:start w:val="1"/>
      <w:numFmt w:val="decimal"/>
      <w:lvlText w:val="%7."/>
      <w:lvlJc w:val="left"/>
      <w:pPr>
        <w:ind w:left="3540" w:hanging="420"/>
      </w:pPr>
    </w:lvl>
    <w:lvl w:ilvl="7" w:tentative="0">
      <w:start w:val="1"/>
      <w:numFmt w:val="lowerLetter"/>
      <w:lvlText w:val="%8)"/>
      <w:lvlJc w:val="left"/>
      <w:pPr>
        <w:ind w:left="3960" w:hanging="420"/>
      </w:pPr>
    </w:lvl>
    <w:lvl w:ilvl="8" w:tentative="0">
      <w:start w:val="1"/>
      <w:numFmt w:val="lowerRoman"/>
      <w:lvlText w:val="%9."/>
      <w:lvlJc w:val="right"/>
      <w:pPr>
        <w:ind w:left="4380" w:hanging="420"/>
      </w:pPr>
    </w:lvl>
  </w:abstractNum>
  <w:abstractNum w:abstractNumId="13">
    <w:nsid w:val="2B0C4B9E"/>
    <w:multiLevelType w:val="singleLevel"/>
    <w:tmpl w:val="2B0C4B9E"/>
    <w:lvl w:ilvl="0" w:tentative="0">
      <w:start w:val="1"/>
      <w:numFmt w:val="decimal"/>
      <w:suff w:val="nothing"/>
      <w:lvlText w:val="（%1）"/>
      <w:lvlJc w:val="left"/>
    </w:lvl>
  </w:abstractNum>
  <w:abstractNum w:abstractNumId="14">
    <w:nsid w:val="2C325BB4"/>
    <w:multiLevelType w:val="singleLevel"/>
    <w:tmpl w:val="2C325BB4"/>
    <w:lvl w:ilvl="0" w:tentative="0">
      <w:start w:val="1"/>
      <w:numFmt w:val="decimal"/>
      <w:suff w:val="nothing"/>
      <w:lvlText w:val="（%1）"/>
      <w:lvlJc w:val="left"/>
    </w:lvl>
  </w:abstractNum>
  <w:abstractNum w:abstractNumId="15">
    <w:nsid w:val="3542603B"/>
    <w:multiLevelType w:val="singleLevel"/>
    <w:tmpl w:val="3542603B"/>
    <w:lvl w:ilvl="0" w:tentative="0">
      <w:start w:val="1"/>
      <w:numFmt w:val="decimal"/>
      <w:lvlText w:val="%1."/>
      <w:lvlJc w:val="left"/>
      <w:pPr>
        <w:tabs>
          <w:tab w:val="left" w:pos="312"/>
        </w:tabs>
      </w:pPr>
    </w:lvl>
  </w:abstractNum>
  <w:abstractNum w:abstractNumId="16">
    <w:nsid w:val="55F53B41"/>
    <w:multiLevelType w:val="multilevel"/>
    <w:tmpl w:val="55F53B41"/>
    <w:lvl w:ilvl="0" w:tentative="0">
      <w:start w:val="2"/>
      <w:numFmt w:val="decimal"/>
      <w:suff w:val="nothing"/>
      <w:lvlText w:val="%1）"/>
      <w:lvlJc w:val="left"/>
      <w:pPr>
        <w:tabs>
          <w:tab w:val="left" w:pos="0"/>
        </w:tabs>
        <w:ind w:left="0" w:firstLine="0"/>
      </w:pPr>
      <w:rPr>
        <w:rFonts w:hint="default" w:ascii="Times New Roman" w:hAnsi="Times New Roman" w:cs="Times New Roman"/>
      </w:rPr>
    </w:lvl>
    <w:lvl w:ilvl="1" w:tentative="0">
      <w:start w:val="2"/>
      <w:numFmt w:val="decimal"/>
      <w:suff w:val="nothing"/>
      <w:lvlText w:val="%1）"/>
      <w:lvlJc w:val="left"/>
      <w:pPr>
        <w:tabs>
          <w:tab w:val="left" w:pos="0"/>
        </w:tabs>
        <w:ind w:left="0" w:firstLine="0"/>
      </w:pPr>
      <w:rPr>
        <w:rFonts w:hint="default" w:ascii="Times New Roman" w:hAnsi="Times New Roman" w:cs="Times New Roman"/>
      </w:rPr>
    </w:lvl>
    <w:lvl w:ilvl="2" w:tentative="0">
      <w:start w:val="2"/>
      <w:numFmt w:val="decimal"/>
      <w:suff w:val="nothing"/>
      <w:lvlText w:val="%1）"/>
      <w:lvlJc w:val="left"/>
      <w:pPr>
        <w:tabs>
          <w:tab w:val="left" w:pos="0"/>
        </w:tabs>
        <w:ind w:left="0" w:firstLine="0"/>
      </w:pPr>
      <w:rPr>
        <w:rFonts w:hint="default" w:ascii="Times New Roman" w:hAnsi="Times New Roman" w:cs="Times New Roman"/>
      </w:rPr>
    </w:lvl>
    <w:lvl w:ilvl="3" w:tentative="0">
      <w:start w:val="2"/>
      <w:numFmt w:val="decimal"/>
      <w:suff w:val="nothing"/>
      <w:lvlText w:val="%1）"/>
      <w:lvlJc w:val="left"/>
      <w:pPr>
        <w:tabs>
          <w:tab w:val="left" w:pos="0"/>
        </w:tabs>
        <w:ind w:left="0" w:firstLine="0"/>
      </w:pPr>
      <w:rPr>
        <w:rFonts w:hint="default" w:ascii="Times New Roman" w:hAnsi="Times New Roman" w:cs="Times New Roman"/>
      </w:rPr>
    </w:lvl>
    <w:lvl w:ilvl="4" w:tentative="0">
      <w:start w:val="2"/>
      <w:numFmt w:val="decimal"/>
      <w:suff w:val="nothing"/>
      <w:lvlText w:val="%1）"/>
      <w:lvlJc w:val="left"/>
      <w:pPr>
        <w:tabs>
          <w:tab w:val="left" w:pos="0"/>
        </w:tabs>
        <w:ind w:left="0" w:firstLine="0"/>
      </w:pPr>
      <w:rPr>
        <w:rFonts w:hint="default" w:ascii="Times New Roman" w:hAnsi="Times New Roman" w:cs="Times New Roman"/>
      </w:rPr>
    </w:lvl>
    <w:lvl w:ilvl="5" w:tentative="0">
      <w:start w:val="2"/>
      <w:numFmt w:val="decimal"/>
      <w:suff w:val="nothing"/>
      <w:lvlText w:val="%1）"/>
      <w:lvlJc w:val="left"/>
      <w:pPr>
        <w:tabs>
          <w:tab w:val="left" w:pos="0"/>
        </w:tabs>
        <w:ind w:left="0" w:firstLine="0"/>
      </w:pPr>
      <w:rPr>
        <w:rFonts w:hint="default" w:ascii="Times New Roman" w:hAnsi="Times New Roman" w:cs="Times New Roman"/>
      </w:rPr>
    </w:lvl>
    <w:lvl w:ilvl="6" w:tentative="0">
      <w:start w:val="2"/>
      <w:numFmt w:val="decimal"/>
      <w:suff w:val="nothing"/>
      <w:lvlText w:val="%1）"/>
      <w:lvlJc w:val="left"/>
      <w:pPr>
        <w:tabs>
          <w:tab w:val="left" w:pos="0"/>
        </w:tabs>
        <w:ind w:left="0" w:firstLine="0"/>
      </w:pPr>
      <w:rPr>
        <w:rFonts w:hint="default" w:ascii="Times New Roman" w:hAnsi="Times New Roman" w:cs="Times New Roman"/>
      </w:rPr>
    </w:lvl>
    <w:lvl w:ilvl="7" w:tentative="0">
      <w:start w:val="2"/>
      <w:numFmt w:val="decimal"/>
      <w:suff w:val="nothing"/>
      <w:lvlText w:val="%1）"/>
      <w:lvlJc w:val="left"/>
      <w:pPr>
        <w:tabs>
          <w:tab w:val="left" w:pos="0"/>
        </w:tabs>
        <w:ind w:left="0" w:firstLine="0"/>
      </w:pPr>
      <w:rPr>
        <w:rFonts w:hint="default" w:ascii="Times New Roman" w:hAnsi="Times New Roman" w:cs="Times New Roman"/>
      </w:rPr>
    </w:lvl>
    <w:lvl w:ilvl="8" w:tentative="0">
      <w:start w:val="2"/>
      <w:numFmt w:val="decimal"/>
      <w:suff w:val="nothing"/>
      <w:lvlText w:val="%1）"/>
      <w:lvlJc w:val="left"/>
      <w:pPr>
        <w:tabs>
          <w:tab w:val="left" w:pos="0"/>
        </w:tabs>
        <w:ind w:left="0" w:firstLine="0"/>
      </w:pPr>
      <w:rPr>
        <w:rFonts w:hint="default" w:ascii="Times New Roman" w:hAnsi="Times New Roman" w:cs="Times New Roman"/>
      </w:rPr>
    </w:lvl>
  </w:abstractNum>
  <w:abstractNum w:abstractNumId="17">
    <w:nsid w:val="7446C7A1"/>
    <w:multiLevelType w:val="singleLevel"/>
    <w:tmpl w:val="7446C7A1"/>
    <w:lvl w:ilvl="0" w:tentative="0">
      <w:start w:val="1"/>
      <w:numFmt w:val="decimal"/>
      <w:lvlText w:val="%1."/>
      <w:lvlJc w:val="left"/>
      <w:pPr>
        <w:tabs>
          <w:tab w:val="left" w:pos="312"/>
        </w:tabs>
      </w:pPr>
    </w:lvl>
  </w:abstractNum>
  <w:abstractNum w:abstractNumId="18">
    <w:nsid w:val="7C790F0F"/>
    <w:multiLevelType w:val="multilevel"/>
    <w:tmpl w:val="7C790F0F"/>
    <w:lvl w:ilvl="0" w:tentative="0">
      <w:start w:val="1"/>
      <w:numFmt w:val="decimal"/>
      <w:lvlText w:val="%1、"/>
      <w:lvlJc w:val="left"/>
      <w:pPr>
        <w:ind w:left="420" w:hanging="420"/>
      </w:pPr>
    </w:lvl>
    <w:lvl w:ilvl="1" w:tentative="0">
      <w:start w:val="1"/>
      <w:numFmt w:val="lowerLetter"/>
      <w:lvlText w:val="%1)"/>
      <w:lvlJc w:val="left"/>
      <w:pPr>
        <w:ind w:left="840" w:hanging="420"/>
      </w:pPr>
    </w:lvl>
    <w:lvl w:ilvl="2" w:tentative="0">
      <w:start w:val="1"/>
      <w:numFmt w:val="lowerRoman"/>
      <w:lvlText w:val="%1."/>
      <w:lvlJc w:val="right"/>
      <w:pPr>
        <w:ind w:left="1260" w:hanging="420"/>
      </w:pPr>
    </w:lvl>
    <w:lvl w:ilvl="3" w:tentative="0">
      <w:start w:val="1"/>
      <w:numFmt w:val="decimal"/>
      <w:lvlText w:val="%1."/>
      <w:lvlJc w:val="left"/>
      <w:pPr>
        <w:ind w:left="1680" w:hanging="420"/>
      </w:pPr>
    </w:lvl>
    <w:lvl w:ilvl="4" w:tentative="0">
      <w:start w:val="1"/>
      <w:numFmt w:val="lowerLetter"/>
      <w:lvlText w:val="%1)"/>
      <w:lvlJc w:val="left"/>
      <w:pPr>
        <w:ind w:left="2100" w:hanging="420"/>
      </w:pPr>
    </w:lvl>
    <w:lvl w:ilvl="5" w:tentative="0">
      <w:start w:val="1"/>
      <w:numFmt w:val="lowerRoman"/>
      <w:lvlText w:val="%1."/>
      <w:lvlJc w:val="right"/>
      <w:pPr>
        <w:ind w:left="2520" w:hanging="420"/>
      </w:pPr>
    </w:lvl>
    <w:lvl w:ilvl="6" w:tentative="0">
      <w:start w:val="1"/>
      <w:numFmt w:val="decimal"/>
      <w:lvlText w:val="%1."/>
      <w:lvlJc w:val="left"/>
      <w:pPr>
        <w:ind w:left="2940" w:hanging="420"/>
      </w:pPr>
    </w:lvl>
    <w:lvl w:ilvl="7" w:tentative="0">
      <w:start w:val="1"/>
      <w:numFmt w:val="lowerLetter"/>
      <w:lvlText w:val="%1)"/>
      <w:lvlJc w:val="left"/>
      <w:pPr>
        <w:ind w:left="3360" w:hanging="420"/>
      </w:pPr>
    </w:lvl>
    <w:lvl w:ilvl="8" w:tentative="0">
      <w:start w:val="1"/>
      <w:numFmt w:val="lowerRoman"/>
      <w:lvlText w:val="%1."/>
      <w:lvlJc w:val="right"/>
      <w:pPr>
        <w:ind w:left="3780" w:hanging="420"/>
      </w:pPr>
    </w:lvl>
  </w:abstractNum>
  <w:num w:numId="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17"/>
  </w:num>
  <w:num w:numId="4">
    <w:abstractNumId w:val="16"/>
  </w:num>
  <w:num w:numId="5">
    <w:abstractNumId w:val="5"/>
  </w:num>
  <w:num w:numId="6">
    <w:abstractNumId w:val="14"/>
  </w:num>
  <w:num w:numId="7">
    <w:abstractNumId w:val="13"/>
  </w:num>
  <w:num w:numId="8">
    <w:abstractNumId w:val="0"/>
  </w:num>
  <w:num w:numId="9">
    <w:abstractNumId w:val="6"/>
  </w:num>
  <w:num w:numId="10">
    <w:abstractNumId w:val="11"/>
  </w:num>
  <w:num w:numId="11">
    <w:abstractNumId w:val="8"/>
  </w:num>
  <w:num w:numId="12">
    <w:abstractNumId w:val="3"/>
  </w:num>
  <w:num w:numId="13">
    <w:abstractNumId w:val="12"/>
  </w:num>
  <w:num w:numId="14">
    <w:abstractNumId w:val="2"/>
  </w:num>
  <w:num w:numId="15">
    <w:abstractNumId w:val="9"/>
  </w:num>
  <w:num w:numId="16">
    <w:abstractNumId w:val="1"/>
  </w:num>
  <w:num w:numId="17">
    <w:abstractNumId w:val="15"/>
  </w:num>
  <w:num w:numId="18">
    <w:abstractNumId w:val="7"/>
  </w:num>
  <w:num w:numId="1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oNotDisplayPageBoundaries w:val="1"/>
  <w:embedTrueTypeFonts/>
  <w:saveSubsetFonts/>
  <w:bordersDoNotSurroundHeader w:val="0"/>
  <w:bordersDoNotSurroundFooter w:val="0"/>
  <w:hideSpellingErrors/>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JhNjJiODI0ZmMxYjk3YmM0Y2Y3OGI1NDBkMWUyYTMifQ=="/>
  </w:docVars>
  <w:rsids>
    <w:rsidRoot w:val="00DB489A"/>
    <w:rsid w:val="00011CD3"/>
    <w:rsid w:val="000E68B6"/>
    <w:rsid w:val="00104F92"/>
    <w:rsid w:val="0012657E"/>
    <w:rsid w:val="00132AA3"/>
    <w:rsid w:val="001669D4"/>
    <w:rsid w:val="001B6B36"/>
    <w:rsid w:val="001C3A1C"/>
    <w:rsid w:val="001E4DAC"/>
    <w:rsid w:val="001F6D81"/>
    <w:rsid w:val="00251CD6"/>
    <w:rsid w:val="00293BAD"/>
    <w:rsid w:val="00293C84"/>
    <w:rsid w:val="002B1416"/>
    <w:rsid w:val="002C3BFD"/>
    <w:rsid w:val="00301138"/>
    <w:rsid w:val="003176F0"/>
    <w:rsid w:val="003754B9"/>
    <w:rsid w:val="00382A60"/>
    <w:rsid w:val="003831FC"/>
    <w:rsid w:val="003B2DBF"/>
    <w:rsid w:val="003B4FE6"/>
    <w:rsid w:val="003B6CAA"/>
    <w:rsid w:val="003E23C8"/>
    <w:rsid w:val="004111B8"/>
    <w:rsid w:val="0042405C"/>
    <w:rsid w:val="004D53C6"/>
    <w:rsid w:val="00505719"/>
    <w:rsid w:val="00510B75"/>
    <w:rsid w:val="00523C3D"/>
    <w:rsid w:val="00563F94"/>
    <w:rsid w:val="005862AC"/>
    <w:rsid w:val="005B19AE"/>
    <w:rsid w:val="005D75AE"/>
    <w:rsid w:val="00612F27"/>
    <w:rsid w:val="00631CA6"/>
    <w:rsid w:val="00635518"/>
    <w:rsid w:val="0063599B"/>
    <w:rsid w:val="006803FC"/>
    <w:rsid w:val="006D2A42"/>
    <w:rsid w:val="00702E5D"/>
    <w:rsid w:val="00731ABD"/>
    <w:rsid w:val="00755A22"/>
    <w:rsid w:val="0077522B"/>
    <w:rsid w:val="007D104F"/>
    <w:rsid w:val="007E300E"/>
    <w:rsid w:val="007F4FD7"/>
    <w:rsid w:val="00844D06"/>
    <w:rsid w:val="00852B0D"/>
    <w:rsid w:val="0086797E"/>
    <w:rsid w:val="008A238E"/>
    <w:rsid w:val="008C34CF"/>
    <w:rsid w:val="008F0AA2"/>
    <w:rsid w:val="00924BCD"/>
    <w:rsid w:val="00933D88"/>
    <w:rsid w:val="00974111"/>
    <w:rsid w:val="009C337D"/>
    <w:rsid w:val="009C512B"/>
    <w:rsid w:val="009D1308"/>
    <w:rsid w:val="00A2096D"/>
    <w:rsid w:val="00A2552F"/>
    <w:rsid w:val="00A26357"/>
    <w:rsid w:val="00A72C3B"/>
    <w:rsid w:val="00A93436"/>
    <w:rsid w:val="00A9489F"/>
    <w:rsid w:val="00A97E81"/>
    <w:rsid w:val="00B17A04"/>
    <w:rsid w:val="00B40DC3"/>
    <w:rsid w:val="00B52321"/>
    <w:rsid w:val="00B75784"/>
    <w:rsid w:val="00B8163F"/>
    <w:rsid w:val="00BA3778"/>
    <w:rsid w:val="00BD350D"/>
    <w:rsid w:val="00BD430C"/>
    <w:rsid w:val="00CB557B"/>
    <w:rsid w:val="00CD3536"/>
    <w:rsid w:val="00D02047"/>
    <w:rsid w:val="00D4065C"/>
    <w:rsid w:val="00DB489A"/>
    <w:rsid w:val="00DD0B78"/>
    <w:rsid w:val="00DE195E"/>
    <w:rsid w:val="00E1591C"/>
    <w:rsid w:val="00E66FA8"/>
    <w:rsid w:val="00E73B54"/>
    <w:rsid w:val="00E80370"/>
    <w:rsid w:val="00E956C3"/>
    <w:rsid w:val="00EB17EE"/>
    <w:rsid w:val="00EC4750"/>
    <w:rsid w:val="00EF16FF"/>
    <w:rsid w:val="00F025EA"/>
    <w:rsid w:val="00F1563B"/>
    <w:rsid w:val="00F2752F"/>
    <w:rsid w:val="00F27BDB"/>
    <w:rsid w:val="00F602C2"/>
    <w:rsid w:val="00FE03BA"/>
    <w:rsid w:val="010C008E"/>
    <w:rsid w:val="013A3E8A"/>
    <w:rsid w:val="0143280E"/>
    <w:rsid w:val="01475930"/>
    <w:rsid w:val="0156565E"/>
    <w:rsid w:val="01A4698D"/>
    <w:rsid w:val="01A7494C"/>
    <w:rsid w:val="01D71174"/>
    <w:rsid w:val="01E07299"/>
    <w:rsid w:val="02053ECA"/>
    <w:rsid w:val="02095342"/>
    <w:rsid w:val="022766A9"/>
    <w:rsid w:val="024C263E"/>
    <w:rsid w:val="02531E27"/>
    <w:rsid w:val="025D42D5"/>
    <w:rsid w:val="026912C0"/>
    <w:rsid w:val="026B5BEC"/>
    <w:rsid w:val="026E7602"/>
    <w:rsid w:val="029650A4"/>
    <w:rsid w:val="02985DB7"/>
    <w:rsid w:val="02B7292F"/>
    <w:rsid w:val="02C602A8"/>
    <w:rsid w:val="02CE3596"/>
    <w:rsid w:val="02CF69B1"/>
    <w:rsid w:val="02E244A8"/>
    <w:rsid w:val="02F2197A"/>
    <w:rsid w:val="03175169"/>
    <w:rsid w:val="03183419"/>
    <w:rsid w:val="037E603E"/>
    <w:rsid w:val="03A16026"/>
    <w:rsid w:val="03AE3AF3"/>
    <w:rsid w:val="03B22EB7"/>
    <w:rsid w:val="03C42540"/>
    <w:rsid w:val="03CB7D0A"/>
    <w:rsid w:val="03FF3556"/>
    <w:rsid w:val="04164081"/>
    <w:rsid w:val="042B2F49"/>
    <w:rsid w:val="045B6010"/>
    <w:rsid w:val="04746360"/>
    <w:rsid w:val="047C774D"/>
    <w:rsid w:val="049338D7"/>
    <w:rsid w:val="04AD1025"/>
    <w:rsid w:val="04B211F2"/>
    <w:rsid w:val="04BC1642"/>
    <w:rsid w:val="04ED7F5F"/>
    <w:rsid w:val="05204ADD"/>
    <w:rsid w:val="05373674"/>
    <w:rsid w:val="053A3164"/>
    <w:rsid w:val="053F077B"/>
    <w:rsid w:val="05507F1C"/>
    <w:rsid w:val="055D0D8E"/>
    <w:rsid w:val="05685F23"/>
    <w:rsid w:val="05AD6675"/>
    <w:rsid w:val="05AF50AF"/>
    <w:rsid w:val="05BA607B"/>
    <w:rsid w:val="05F2028D"/>
    <w:rsid w:val="05FB6D97"/>
    <w:rsid w:val="05FF1DAE"/>
    <w:rsid w:val="063E20E3"/>
    <w:rsid w:val="066E2587"/>
    <w:rsid w:val="069A266D"/>
    <w:rsid w:val="06AA6409"/>
    <w:rsid w:val="06C72A4C"/>
    <w:rsid w:val="06E04C2F"/>
    <w:rsid w:val="06E44281"/>
    <w:rsid w:val="07014810"/>
    <w:rsid w:val="071211AE"/>
    <w:rsid w:val="073034C6"/>
    <w:rsid w:val="0733461A"/>
    <w:rsid w:val="073F2D73"/>
    <w:rsid w:val="07BA233A"/>
    <w:rsid w:val="07C1191B"/>
    <w:rsid w:val="07DA7F0D"/>
    <w:rsid w:val="07FF1C39"/>
    <w:rsid w:val="08033923"/>
    <w:rsid w:val="081F1F8D"/>
    <w:rsid w:val="0822472C"/>
    <w:rsid w:val="084A19AA"/>
    <w:rsid w:val="085B2899"/>
    <w:rsid w:val="08644325"/>
    <w:rsid w:val="088B6AD7"/>
    <w:rsid w:val="08947037"/>
    <w:rsid w:val="08B4006C"/>
    <w:rsid w:val="08E22CC1"/>
    <w:rsid w:val="08E4121B"/>
    <w:rsid w:val="09063BDE"/>
    <w:rsid w:val="093A3733"/>
    <w:rsid w:val="094620D8"/>
    <w:rsid w:val="09502F56"/>
    <w:rsid w:val="098731CB"/>
    <w:rsid w:val="0989508B"/>
    <w:rsid w:val="09977F89"/>
    <w:rsid w:val="09A15D2F"/>
    <w:rsid w:val="09B01C47"/>
    <w:rsid w:val="09F2037E"/>
    <w:rsid w:val="09F26440"/>
    <w:rsid w:val="0A1D791A"/>
    <w:rsid w:val="0A361262"/>
    <w:rsid w:val="0A4249CA"/>
    <w:rsid w:val="0A4633F8"/>
    <w:rsid w:val="0A5A1386"/>
    <w:rsid w:val="0A6F565E"/>
    <w:rsid w:val="0A803684"/>
    <w:rsid w:val="0AA413E9"/>
    <w:rsid w:val="0ADE4106"/>
    <w:rsid w:val="0AE147AE"/>
    <w:rsid w:val="0AEE2A27"/>
    <w:rsid w:val="0B062F42"/>
    <w:rsid w:val="0B0653F7"/>
    <w:rsid w:val="0B332B30"/>
    <w:rsid w:val="0B446A99"/>
    <w:rsid w:val="0B5F3D2C"/>
    <w:rsid w:val="0B7373D0"/>
    <w:rsid w:val="0B795819"/>
    <w:rsid w:val="0BA45C80"/>
    <w:rsid w:val="0BC12911"/>
    <w:rsid w:val="0BD33CF6"/>
    <w:rsid w:val="0BF033E0"/>
    <w:rsid w:val="0C2F6CB1"/>
    <w:rsid w:val="0C3B6843"/>
    <w:rsid w:val="0C451E2E"/>
    <w:rsid w:val="0C49267E"/>
    <w:rsid w:val="0C673DCB"/>
    <w:rsid w:val="0C69668F"/>
    <w:rsid w:val="0C7F6978"/>
    <w:rsid w:val="0C9C460A"/>
    <w:rsid w:val="0CA01AE7"/>
    <w:rsid w:val="0CD14217"/>
    <w:rsid w:val="0D25260F"/>
    <w:rsid w:val="0D776204"/>
    <w:rsid w:val="0D8862D3"/>
    <w:rsid w:val="0D933AC8"/>
    <w:rsid w:val="0D945EE0"/>
    <w:rsid w:val="0D9A51F4"/>
    <w:rsid w:val="0DEF595D"/>
    <w:rsid w:val="0DF26BF3"/>
    <w:rsid w:val="0E230ED5"/>
    <w:rsid w:val="0E4D5CB6"/>
    <w:rsid w:val="0E5C759E"/>
    <w:rsid w:val="0E7B42D6"/>
    <w:rsid w:val="0E801780"/>
    <w:rsid w:val="0ED174EF"/>
    <w:rsid w:val="0ED65CAC"/>
    <w:rsid w:val="0ED71A24"/>
    <w:rsid w:val="0ED92F8B"/>
    <w:rsid w:val="0ED966BF"/>
    <w:rsid w:val="0EDF7182"/>
    <w:rsid w:val="0EF71212"/>
    <w:rsid w:val="0EFF05B8"/>
    <w:rsid w:val="0F125B2D"/>
    <w:rsid w:val="0F4F5A5E"/>
    <w:rsid w:val="0F6E2388"/>
    <w:rsid w:val="0FB35025"/>
    <w:rsid w:val="0FB51777"/>
    <w:rsid w:val="0FBD0D96"/>
    <w:rsid w:val="0FC562C3"/>
    <w:rsid w:val="0FCB31D6"/>
    <w:rsid w:val="0FE31AF2"/>
    <w:rsid w:val="0FFA3C1C"/>
    <w:rsid w:val="101914A3"/>
    <w:rsid w:val="103C5FE2"/>
    <w:rsid w:val="10825588"/>
    <w:rsid w:val="10853E2D"/>
    <w:rsid w:val="10A17502"/>
    <w:rsid w:val="10C304B2"/>
    <w:rsid w:val="10CC099F"/>
    <w:rsid w:val="10FC5EAE"/>
    <w:rsid w:val="11453A98"/>
    <w:rsid w:val="116D107E"/>
    <w:rsid w:val="11824CD1"/>
    <w:rsid w:val="11877731"/>
    <w:rsid w:val="119814E0"/>
    <w:rsid w:val="11A13D72"/>
    <w:rsid w:val="11B11C98"/>
    <w:rsid w:val="11B322D4"/>
    <w:rsid w:val="11BE156C"/>
    <w:rsid w:val="11D212FE"/>
    <w:rsid w:val="11E708F3"/>
    <w:rsid w:val="11F70905"/>
    <w:rsid w:val="120F5E78"/>
    <w:rsid w:val="12491018"/>
    <w:rsid w:val="12687563"/>
    <w:rsid w:val="1288598F"/>
    <w:rsid w:val="12895B6E"/>
    <w:rsid w:val="12932288"/>
    <w:rsid w:val="12B26899"/>
    <w:rsid w:val="12B776C8"/>
    <w:rsid w:val="12BA164F"/>
    <w:rsid w:val="13376C81"/>
    <w:rsid w:val="133934B0"/>
    <w:rsid w:val="133B638F"/>
    <w:rsid w:val="135A334F"/>
    <w:rsid w:val="139E09AB"/>
    <w:rsid w:val="13C26D3E"/>
    <w:rsid w:val="13E650F4"/>
    <w:rsid w:val="13E84FD1"/>
    <w:rsid w:val="13ED41C3"/>
    <w:rsid w:val="13EE3A98"/>
    <w:rsid w:val="13F014DF"/>
    <w:rsid w:val="13F6294C"/>
    <w:rsid w:val="13F86A35"/>
    <w:rsid w:val="140F702E"/>
    <w:rsid w:val="14111450"/>
    <w:rsid w:val="14315BC3"/>
    <w:rsid w:val="145204CA"/>
    <w:rsid w:val="146E5593"/>
    <w:rsid w:val="14EB7FD7"/>
    <w:rsid w:val="14F567DB"/>
    <w:rsid w:val="14F65188"/>
    <w:rsid w:val="151614F8"/>
    <w:rsid w:val="15273705"/>
    <w:rsid w:val="15396E97"/>
    <w:rsid w:val="157D0A4E"/>
    <w:rsid w:val="158A3C94"/>
    <w:rsid w:val="158F187F"/>
    <w:rsid w:val="159B442A"/>
    <w:rsid w:val="159D1877"/>
    <w:rsid w:val="15A47083"/>
    <w:rsid w:val="15B900D5"/>
    <w:rsid w:val="15BE0EBF"/>
    <w:rsid w:val="15CD16DA"/>
    <w:rsid w:val="15DC6409"/>
    <w:rsid w:val="15F1161D"/>
    <w:rsid w:val="16071A5B"/>
    <w:rsid w:val="16261FBD"/>
    <w:rsid w:val="1653677B"/>
    <w:rsid w:val="1665569C"/>
    <w:rsid w:val="1665736E"/>
    <w:rsid w:val="16AE541A"/>
    <w:rsid w:val="16C00407"/>
    <w:rsid w:val="16D200EE"/>
    <w:rsid w:val="16D4754E"/>
    <w:rsid w:val="16DC7F11"/>
    <w:rsid w:val="16DF15B9"/>
    <w:rsid w:val="16F2312F"/>
    <w:rsid w:val="16F45869"/>
    <w:rsid w:val="16F55FB5"/>
    <w:rsid w:val="16FC2F2E"/>
    <w:rsid w:val="17016842"/>
    <w:rsid w:val="17434428"/>
    <w:rsid w:val="17630885"/>
    <w:rsid w:val="17791F1A"/>
    <w:rsid w:val="17AD426B"/>
    <w:rsid w:val="17D240F5"/>
    <w:rsid w:val="17FA4680"/>
    <w:rsid w:val="17FB6783"/>
    <w:rsid w:val="18025BF7"/>
    <w:rsid w:val="18061963"/>
    <w:rsid w:val="1811546F"/>
    <w:rsid w:val="181E40B0"/>
    <w:rsid w:val="1821365D"/>
    <w:rsid w:val="182F17B2"/>
    <w:rsid w:val="18310B86"/>
    <w:rsid w:val="188D5986"/>
    <w:rsid w:val="18AB01A9"/>
    <w:rsid w:val="18AC46A1"/>
    <w:rsid w:val="18B21538"/>
    <w:rsid w:val="18D12B5A"/>
    <w:rsid w:val="18D47700"/>
    <w:rsid w:val="19323278"/>
    <w:rsid w:val="19410FA1"/>
    <w:rsid w:val="194D300E"/>
    <w:rsid w:val="195962E8"/>
    <w:rsid w:val="19647819"/>
    <w:rsid w:val="19797C2C"/>
    <w:rsid w:val="198438E8"/>
    <w:rsid w:val="199B523D"/>
    <w:rsid w:val="19A51287"/>
    <w:rsid w:val="19C53274"/>
    <w:rsid w:val="19D33365"/>
    <w:rsid w:val="19DD7FDF"/>
    <w:rsid w:val="19F718E2"/>
    <w:rsid w:val="1A1C40A9"/>
    <w:rsid w:val="1A214DBA"/>
    <w:rsid w:val="1A2D652E"/>
    <w:rsid w:val="1A6F17BF"/>
    <w:rsid w:val="1AA51F2A"/>
    <w:rsid w:val="1AC344D0"/>
    <w:rsid w:val="1AF529B5"/>
    <w:rsid w:val="1AF9676E"/>
    <w:rsid w:val="1B126A51"/>
    <w:rsid w:val="1B5508A0"/>
    <w:rsid w:val="1B5F78C6"/>
    <w:rsid w:val="1B656E0C"/>
    <w:rsid w:val="1B875F82"/>
    <w:rsid w:val="1B8E6E35"/>
    <w:rsid w:val="1B922E37"/>
    <w:rsid w:val="1BB84D5C"/>
    <w:rsid w:val="1BC5019B"/>
    <w:rsid w:val="1BD84345"/>
    <w:rsid w:val="1C1571E4"/>
    <w:rsid w:val="1C275E4B"/>
    <w:rsid w:val="1C2B03FC"/>
    <w:rsid w:val="1C3A300E"/>
    <w:rsid w:val="1C4D68F2"/>
    <w:rsid w:val="1C834AA6"/>
    <w:rsid w:val="1CC47DA2"/>
    <w:rsid w:val="1CD74D0F"/>
    <w:rsid w:val="1CD97E69"/>
    <w:rsid w:val="1CDA105D"/>
    <w:rsid w:val="1D096521"/>
    <w:rsid w:val="1D0D23D8"/>
    <w:rsid w:val="1D0F139F"/>
    <w:rsid w:val="1D4916E2"/>
    <w:rsid w:val="1D5C7AF8"/>
    <w:rsid w:val="1D71089B"/>
    <w:rsid w:val="1DE101C9"/>
    <w:rsid w:val="1DF8224F"/>
    <w:rsid w:val="1E023031"/>
    <w:rsid w:val="1E0E7548"/>
    <w:rsid w:val="1E2456E5"/>
    <w:rsid w:val="1E2C298D"/>
    <w:rsid w:val="1EA551C0"/>
    <w:rsid w:val="1EBD551E"/>
    <w:rsid w:val="1EDC27EF"/>
    <w:rsid w:val="1EE12B77"/>
    <w:rsid w:val="1EFB3381"/>
    <w:rsid w:val="1F0028D1"/>
    <w:rsid w:val="1F1E185B"/>
    <w:rsid w:val="1F33598E"/>
    <w:rsid w:val="1F566913"/>
    <w:rsid w:val="1F770F83"/>
    <w:rsid w:val="1F7E03C6"/>
    <w:rsid w:val="1F8A4CDF"/>
    <w:rsid w:val="1F9B63EB"/>
    <w:rsid w:val="1F9D69EF"/>
    <w:rsid w:val="1FC21B8C"/>
    <w:rsid w:val="1FC72574"/>
    <w:rsid w:val="1FEB4DCE"/>
    <w:rsid w:val="200C3C23"/>
    <w:rsid w:val="200F4676"/>
    <w:rsid w:val="20141A48"/>
    <w:rsid w:val="20161AB2"/>
    <w:rsid w:val="202331F2"/>
    <w:rsid w:val="20456BAB"/>
    <w:rsid w:val="204D7566"/>
    <w:rsid w:val="204E1006"/>
    <w:rsid w:val="20526073"/>
    <w:rsid w:val="20607ACB"/>
    <w:rsid w:val="206A094A"/>
    <w:rsid w:val="20744DEB"/>
    <w:rsid w:val="207913EC"/>
    <w:rsid w:val="207F2647"/>
    <w:rsid w:val="208675A5"/>
    <w:rsid w:val="209C2449"/>
    <w:rsid w:val="20A0788B"/>
    <w:rsid w:val="20F7407F"/>
    <w:rsid w:val="21034071"/>
    <w:rsid w:val="211549B5"/>
    <w:rsid w:val="21164D4D"/>
    <w:rsid w:val="212B7C94"/>
    <w:rsid w:val="217B3EA3"/>
    <w:rsid w:val="21837E6B"/>
    <w:rsid w:val="21851E50"/>
    <w:rsid w:val="21913B1B"/>
    <w:rsid w:val="21991C9F"/>
    <w:rsid w:val="21A659B2"/>
    <w:rsid w:val="21D20555"/>
    <w:rsid w:val="21F66939"/>
    <w:rsid w:val="21F950CC"/>
    <w:rsid w:val="220729A3"/>
    <w:rsid w:val="22114E02"/>
    <w:rsid w:val="22191197"/>
    <w:rsid w:val="223907F9"/>
    <w:rsid w:val="22394A78"/>
    <w:rsid w:val="22415264"/>
    <w:rsid w:val="226B1089"/>
    <w:rsid w:val="227370CF"/>
    <w:rsid w:val="228F7552"/>
    <w:rsid w:val="22923DDF"/>
    <w:rsid w:val="22D80A43"/>
    <w:rsid w:val="22E5250A"/>
    <w:rsid w:val="22EA5D72"/>
    <w:rsid w:val="22FF181D"/>
    <w:rsid w:val="23013695"/>
    <w:rsid w:val="23094082"/>
    <w:rsid w:val="23211E9B"/>
    <w:rsid w:val="2332525A"/>
    <w:rsid w:val="23762A19"/>
    <w:rsid w:val="23E32EED"/>
    <w:rsid w:val="23F76D95"/>
    <w:rsid w:val="23FC160F"/>
    <w:rsid w:val="240C4BCF"/>
    <w:rsid w:val="24125580"/>
    <w:rsid w:val="24196FD0"/>
    <w:rsid w:val="245A4C76"/>
    <w:rsid w:val="245D7FBC"/>
    <w:rsid w:val="246A0F18"/>
    <w:rsid w:val="24773635"/>
    <w:rsid w:val="247D6EA6"/>
    <w:rsid w:val="249C4ADD"/>
    <w:rsid w:val="24AF7273"/>
    <w:rsid w:val="24BC2064"/>
    <w:rsid w:val="24D05BE5"/>
    <w:rsid w:val="24D12D46"/>
    <w:rsid w:val="24D42836"/>
    <w:rsid w:val="24EC5DD1"/>
    <w:rsid w:val="25192B51"/>
    <w:rsid w:val="25202506"/>
    <w:rsid w:val="25695466"/>
    <w:rsid w:val="258B5E98"/>
    <w:rsid w:val="259F64C7"/>
    <w:rsid w:val="25D37172"/>
    <w:rsid w:val="25F9024A"/>
    <w:rsid w:val="261519E2"/>
    <w:rsid w:val="26302EA9"/>
    <w:rsid w:val="263972EC"/>
    <w:rsid w:val="26445799"/>
    <w:rsid w:val="26480CDD"/>
    <w:rsid w:val="26590E92"/>
    <w:rsid w:val="266F2816"/>
    <w:rsid w:val="2685793C"/>
    <w:rsid w:val="26B91CE3"/>
    <w:rsid w:val="27052670"/>
    <w:rsid w:val="2709243A"/>
    <w:rsid w:val="27541A0C"/>
    <w:rsid w:val="2775099E"/>
    <w:rsid w:val="277A580F"/>
    <w:rsid w:val="27943502"/>
    <w:rsid w:val="27D8088F"/>
    <w:rsid w:val="28011B94"/>
    <w:rsid w:val="280478D6"/>
    <w:rsid w:val="28094EEC"/>
    <w:rsid w:val="280D7919"/>
    <w:rsid w:val="282F0619"/>
    <w:rsid w:val="28465DDB"/>
    <w:rsid w:val="284952E9"/>
    <w:rsid w:val="284F1DB2"/>
    <w:rsid w:val="287A1CEF"/>
    <w:rsid w:val="28983C59"/>
    <w:rsid w:val="28BE2459"/>
    <w:rsid w:val="28CA0D49"/>
    <w:rsid w:val="2916341D"/>
    <w:rsid w:val="291718D0"/>
    <w:rsid w:val="291B6C85"/>
    <w:rsid w:val="29213E99"/>
    <w:rsid w:val="29463783"/>
    <w:rsid w:val="294A78BC"/>
    <w:rsid w:val="294E6051"/>
    <w:rsid w:val="29625E6D"/>
    <w:rsid w:val="29667A34"/>
    <w:rsid w:val="29786C79"/>
    <w:rsid w:val="298632DF"/>
    <w:rsid w:val="299723D8"/>
    <w:rsid w:val="29EC222C"/>
    <w:rsid w:val="29FC28EB"/>
    <w:rsid w:val="2A0C1546"/>
    <w:rsid w:val="2A596B13"/>
    <w:rsid w:val="2A5A1A2F"/>
    <w:rsid w:val="2A5E660E"/>
    <w:rsid w:val="2A685AC2"/>
    <w:rsid w:val="2A6956BF"/>
    <w:rsid w:val="2A697EC4"/>
    <w:rsid w:val="2A842608"/>
    <w:rsid w:val="2AAE4F3D"/>
    <w:rsid w:val="2AC64436"/>
    <w:rsid w:val="2AC82E3D"/>
    <w:rsid w:val="2AD66C7D"/>
    <w:rsid w:val="2ADD5CC6"/>
    <w:rsid w:val="2B134AD1"/>
    <w:rsid w:val="2B345DDC"/>
    <w:rsid w:val="2B414F22"/>
    <w:rsid w:val="2B980A61"/>
    <w:rsid w:val="2B98280F"/>
    <w:rsid w:val="2B9B40AD"/>
    <w:rsid w:val="2BA83C6D"/>
    <w:rsid w:val="2BB13949"/>
    <w:rsid w:val="2BBB474F"/>
    <w:rsid w:val="2BC108A9"/>
    <w:rsid w:val="2BF61755"/>
    <w:rsid w:val="2C091759"/>
    <w:rsid w:val="2C2658A1"/>
    <w:rsid w:val="2C646D6B"/>
    <w:rsid w:val="2C7A3CC3"/>
    <w:rsid w:val="2C8B2374"/>
    <w:rsid w:val="2C9B59D1"/>
    <w:rsid w:val="2CCC0E2D"/>
    <w:rsid w:val="2CD772AE"/>
    <w:rsid w:val="2D222CFE"/>
    <w:rsid w:val="2D460247"/>
    <w:rsid w:val="2D5601EB"/>
    <w:rsid w:val="2D727090"/>
    <w:rsid w:val="2D896E36"/>
    <w:rsid w:val="2D9B08F4"/>
    <w:rsid w:val="2DB42B79"/>
    <w:rsid w:val="2DBD030B"/>
    <w:rsid w:val="2DED178F"/>
    <w:rsid w:val="2E275489"/>
    <w:rsid w:val="2E5B68C3"/>
    <w:rsid w:val="2E6102EA"/>
    <w:rsid w:val="2E615B15"/>
    <w:rsid w:val="2E762311"/>
    <w:rsid w:val="2EC3210B"/>
    <w:rsid w:val="2EF75A9F"/>
    <w:rsid w:val="2F0972A1"/>
    <w:rsid w:val="2F0D196C"/>
    <w:rsid w:val="2F366BAF"/>
    <w:rsid w:val="2F407445"/>
    <w:rsid w:val="2F4E5A3C"/>
    <w:rsid w:val="2F5577D9"/>
    <w:rsid w:val="2F5B5C6A"/>
    <w:rsid w:val="2FA23C5C"/>
    <w:rsid w:val="2FD2443E"/>
    <w:rsid w:val="2FE75B13"/>
    <w:rsid w:val="2FFB63E5"/>
    <w:rsid w:val="2FFE4E3E"/>
    <w:rsid w:val="300849DC"/>
    <w:rsid w:val="302A0B85"/>
    <w:rsid w:val="306F53A0"/>
    <w:rsid w:val="30797274"/>
    <w:rsid w:val="309644EE"/>
    <w:rsid w:val="309D4EF7"/>
    <w:rsid w:val="30E6765D"/>
    <w:rsid w:val="31091AB9"/>
    <w:rsid w:val="31104BF6"/>
    <w:rsid w:val="311178ED"/>
    <w:rsid w:val="314F1BC2"/>
    <w:rsid w:val="3152520E"/>
    <w:rsid w:val="315E32C6"/>
    <w:rsid w:val="3173785F"/>
    <w:rsid w:val="31767194"/>
    <w:rsid w:val="317A55ED"/>
    <w:rsid w:val="319B7BFB"/>
    <w:rsid w:val="31C60B71"/>
    <w:rsid w:val="31DB17B7"/>
    <w:rsid w:val="31E67F59"/>
    <w:rsid w:val="31F41057"/>
    <w:rsid w:val="31FA5931"/>
    <w:rsid w:val="321800C3"/>
    <w:rsid w:val="32195D2C"/>
    <w:rsid w:val="322F72FD"/>
    <w:rsid w:val="32484346"/>
    <w:rsid w:val="32786EF6"/>
    <w:rsid w:val="327F2033"/>
    <w:rsid w:val="32834CD5"/>
    <w:rsid w:val="328921ED"/>
    <w:rsid w:val="32956148"/>
    <w:rsid w:val="32A221C5"/>
    <w:rsid w:val="32A25FE2"/>
    <w:rsid w:val="32BB2294"/>
    <w:rsid w:val="32C43EEA"/>
    <w:rsid w:val="32D00AE0"/>
    <w:rsid w:val="32D0217E"/>
    <w:rsid w:val="32D1545E"/>
    <w:rsid w:val="32E06A31"/>
    <w:rsid w:val="32FE54BD"/>
    <w:rsid w:val="331A0480"/>
    <w:rsid w:val="33364352"/>
    <w:rsid w:val="335A484E"/>
    <w:rsid w:val="336A3FB7"/>
    <w:rsid w:val="33987BC6"/>
    <w:rsid w:val="339A10EE"/>
    <w:rsid w:val="33B01AC5"/>
    <w:rsid w:val="33B37295"/>
    <w:rsid w:val="33C832B9"/>
    <w:rsid w:val="33C8709C"/>
    <w:rsid w:val="340B3DCC"/>
    <w:rsid w:val="34182AA6"/>
    <w:rsid w:val="341E3ACD"/>
    <w:rsid w:val="342407DE"/>
    <w:rsid w:val="345E3ECA"/>
    <w:rsid w:val="34605E94"/>
    <w:rsid w:val="346C4839"/>
    <w:rsid w:val="346F4329"/>
    <w:rsid w:val="34755000"/>
    <w:rsid w:val="347F3F05"/>
    <w:rsid w:val="34837B48"/>
    <w:rsid w:val="34AC2960"/>
    <w:rsid w:val="34B14942"/>
    <w:rsid w:val="34F01054"/>
    <w:rsid w:val="35016274"/>
    <w:rsid w:val="35027AF8"/>
    <w:rsid w:val="35327830"/>
    <w:rsid w:val="355C0F53"/>
    <w:rsid w:val="357940C4"/>
    <w:rsid w:val="35835CB0"/>
    <w:rsid w:val="358D635C"/>
    <w:rsid w:val="35A87F4D"/>
    <w:rsid w:val="35B17FEC"/>
    <w:rsid w:val="35E473E2"/>
    <w:rsid w:val="35F71BCA"/>
    <w:rsid w:val="36107B1E"/>
    <w:rsid w:val="36242FBA"/>
    <w:rsid w:val="362C24D2"/>
    <w:rsid w:val="36445538"/>
    <w:rsid w:val="3660508C"/>
    <w:rsid w:val="36617CA1"/>
    <w:rsid w:val="36671138"/>
    <w:rsid w:val="368972AE"/>
    <w:rsid w:val="36965776"/>
    <w:rsid w:val="36C257EC"/>
    <w:rsid w:val="36D8497A"/>
    <w:rsid w:val="36FA4EEB"/>
    <w:rsid w:val="373A29CC"/>
    <w:rsid w:val="373C179C"/>
    <w:rsid w:val="3744085D"/>
    <w:rsid w:val="37474C86"/>
    <w:rsid w:val="374A1900"/>
    <w:rsid w:val="37636C7B"/>
    <w:rsid w:val="37736D1E"/>
    <w:rsid w:val="378B147A"/>
    <w:rsid w:val="37BC34CC"/>
    <w:rsid w:val="37E53998"/>
    <w:rsid w:val="38285B52"/>
    <w:rsid w:val="38554BAC"/>
    <w:rsid w:val="386F7568"/>
    <w:rsid w:val="38A05EC7"/>
    <w:rsid w:val="38B40107"/>
    <w:rsid w:val="38CC1D03"/>
    <w:rsid w:val="38D174C9"/>
    <w:rsid w:val="38D963D8"/>
    <w:rsid w:val="38DF50B3"/>
    <w:rsid w:val="38E4608A"/>
    <w:rsid w:val="38EE15AE"/>
    <w:rsid w:val="39372984"/>
    <w:rsid w:val="395018F6"/>
    <w:rsid w:val="396E1053"/>
    <w:rsid w:val="39916AF0"/>
    <w:rsid w:val="399D5494"/>
    <w:rsid w:val="39AB1959"/>
    <w:rsid w:val="39B53568"/>
    <w:rsid w:val="3A013C75"/>
    <w:rsid w:val="3A043AE0"/>
    <w:rsid w:val="3A0B4AF4"/>
    <w:rsid w:val="3A10210A"/>
    <w:rsid w:val="3A1514CF"/>
    <w:rsid w:val="3A210CE6"/>
    <w:rsid w:val="3A34346A"/>
    <w:rsid w:val="3A3951BD"/>
    <w:rsid w:val="3A3A2CE3"/>
    <w:rsid w:val="3A556021"/>
    <w:rsid w:val="3A8275B3"/>
    <w:rsid w:val="3A945885"/>
    <w:rsid w:val="3AA06EC0"/>
    <w:rsid w:val="3AA84C7C"/>
    <w:rsid w:val="3AC448FF"/>
    <w:rsid w:val="3B40257B"/>
    <w:rsid w:val="3B4103CD"/>
    <w:rsid w:val="3B474590"/>
    <w:rsid w:val="3B7304D5"/>
    <w:rsid w:val="3B814510"/>
    <w:rsid w:val="3B822661"/>
    <w:rsid w:val="3B8A50BE"/>
    <w:rsid w:val="3BAE7C66"/>
    <w:rsid w:val="3BBE4F75"/>
    <w:rsid w:val="3BC905AB"/>
    <w:rsid w:val="3BCD0DCE"/>
    <w:rsid w:val="3BCE4F9E"/>
    <w:rsid w:val="3BF03FA1"/>
    <w:rsid w:val="3C0331DD"/>
    <w:rsid w:val="3C106ED0"/>
    <w:rsid w:val="3C1C08F2"/>
    <w:rsid w:val="3C2B3712"/>
    <w:rsid w:val="3CA641B2"/>
    <w:rsid w:val="3CCC06E9"/>
    <w:rsid w:val="3CD72A6B"/>
    <w:rsid w:val="3CD75E75"/>
    <w:rsid w:val="3CE5587C"/>
    <w:rsid w:val="3CEA6F2B"/>
    <w:rsid w:val="3CF24E59"/>
    <w:rsid w:val="3CFE7D2F"/>
    <w:rsid w:val="3D0A4BEF"/>
    <w:rsid w:val="3D1C1F36"/>
    <w:rsid w:val="3D620019"/>
    <w:rsid w:val="3D6F3CD1"/>
    <w:rsid w:val="3D874ACB"/>
    <w:rsid w:val="3D8F1598"/>
    <w:rsid w:val="3DB01748"/>
    <w:rsid w:val="3DCE3E6E"/>
    <w:rsid w:val="3DE66AD5"/>
    <w:rsid w:val="3E021BD6"/>
    <w:rsid w:val="3E132767"/>
    <w:rsid w:val="3E210442"/>
    <w:rsid w:val="3E4F5E63"/>
    <w:rsid w:val="3E643E6A"/>
    <w:rsid w:val="3E820D6F"/>
    <w:rsid w:val="3E944CC5"/>
    <w:rsid w:val="3E9E58CA"/>
    <w:rsid w:val="3EA03A5D"/>
    <w:rsid w:val="3EA66B99"/>
    <w:rsid w:val="3EAF068D"/>
    <w:rsid w:val="3EBA2645"/>
    <w:rsid w:val="3ED71449"/>
    <w:rsid w:val="3EFA04EA"/>
    <w:rsid w:val="3F03581B"/>
    <w:rsid w:val="3F1D133B"/>
    <w:rsid w:val="3F312907"/>
    <w:rsid w:val="3F6F5728"/>
    <w:rsid w:val="3F9410E8"/>
    <w:rsid w:val="3F984734"/>
    <w:rsid w:val="3F9F6F85"/>
    <w:rsid w:val="3FAC01DF"/>
    <w:rsid w:val="3FBB0422"/>
    <w:rsid w:val="3FBF2440"/>
    <w:rsid w:val="3FD321CF"/>
    <w:rsid w:val="3FFE4FAB"/>
    <w:rsid w:val="40074D14"/>
    <w:rsid w:val="40413E86"/>
    <w:rsid w:val="40782BB5"/>
    <w:rsid w:val="40864196"/>
    <w:rsid w:val="408E05A4"/>
    <w:rsid w:val="40D35740"/>
    <w:rsid w:val="40DB29AD"/>
    <w:rsid w:val="411258B0"/>
    <w:rsid w:val="41286C44"/>
    <w:rsid w:val="417B430D"/>
    <w:rsid w:val="417D488E"/>
    <w:rsid w:val="417D61FB"/>
    <w:rsid w:val="41817A57"/>
    <w:rsid w:val="418E3994"/>
    <w:rsid w:val="418E3FCE"/>
    <w:rsid w:val="41942815"/>
    <w:rsid w:val="41B960AB"/>
    <w:rsid w:val="41BD66D4"/>
    <w:rsid w:val="41D03EDA"/>
    <w:rsid w:val="41D626A7"/>
    <w:rsid w:val="424233D5"/>
    <w:rsid w:val="424336D6"/>
    <w:rsid w:val="424E7922"/>
    <w:rsid w:val="42521512"/>
    <w:rsid w:val="42703746"/>
    <w:rsid w:val="428611BC"/>
    <w:rsid w:val="429F5DD9"/>
    <w:rsid w:val="42A933F4"/>
    <w:rsid w:val="42FE40ED"/>
    <w:rsid w:val="431A3E3B"/>
    <w:rsid w:val="432857A3"/>
    <w:rsid w:val="432E5CCB"/>
    <w:rsid w:val="4346094B"/>
    <w:rsid w:val="4395174A"/>
    <w:rsid w:val="439D67BD"/>
    <w:rsid w:val="43A14EFC"/>
    <w:rsid w:val="43BC6BBF"/>
    <w:rsid w:val="43CD3391"/>
    <w:rsid w:val="4427252A"/>
    <w:rsid w:val="443A7A13"/>
    <w:rsid w:val="447225C0"/>
    <w:rsid w:val="44977AA4"/>
    <w:rsid w:val="44B32010"/>
    <w:rsid w:val="44C44536"/>
    <w:rsid w:val="44D97F2B"/>
    <w:rsid w:val="44E855C1"/>
    <w:rsid w:val="44F25849"/>
    <w:rsid w:val="4507071A"/>
    <w:rsid w:val="456F7CFB"/>
    <w:rsid w:val="457A48DC"/>
    <w:rsid w:val="45BC56A3"/>
    <w:rsid w:val="45DB181E"/>
    <w:rsid w:val="45E2530E"/>
    <w:rsid w:val="460545B7"/>
    <w:rsid w:val="46151CE8"/>
    <w:rsid w:val="4624601B"/>
    <w:rsid w:val="463A4797"/>
    <w:rsid w:val="46492AAA"/>
    <w:rsid w:val="464D6A35"/>
    <w:rsid w:val="465E0864"/>
    <w:rsid w:val="4665149E"/>
    <w:rsid w:val="4665733A"/>
    <w:rsid w:val="46997B6B"/>
    <w:rsid w:val="46A24169"/>
    <w:rsid w:val="46C35681"/>
    <w:rsid w:val="46CC5A2A"/>
    <w:rsid w:val="46E07DC0"/>
    <w:rsid w:val="46E95941"/>
    <w:rsid w:val="46F51269"/>
    <w:rsid w:val="46F81F5C"/>
    <w:rsid w:val="46FD57C4"/>
    <w:rsid w:val="47063A4D"/>
    <w:rsid w:val="471C433E"/>
    <w:rsid w:val="47271392"/>
    <w:rsid w:val="47275E53"/>
    <w:rsid w:val="4761567C"/>
    <w:rsid w:val="47767FBB"/>
    <w:rsid w:val="47794E4B"/>
    <w:rsid w:val="47A2041E"/>
    <w:rsid w:val="47A85A0E"/>
    <w:rsid w:val="47A95BCC"/>
    <w:rsid w:val="47B67D63"/>
    <w:rsid w:val="47BE0A7B"/>
    <w:rsid w:val="480225A4"/>
    <w:rsid w:val="480C5CBF"/>
    <w:rsid w:val="481B63E2"/>
    <w:rsid w:val="484424D9"/>
    <w:rsid w:val="4845768B"/>
    <w:rsid w:val="4847103F"/>
    <w:rsid w:val="48482A6F"/>
    <w:rsid w:val="48500694"/>
    <w:rsid w:val="48874AA5"/>
    <w:rsid w:val="49050FB9"/>
    <w:rsid w:val="491017DF"/>
    <w:rsid w:val="49275497"/>
    <w:rsid w:val="49557B3A"/>
    <w:rsid w:val="495C2C76"/>
    <w:rsid w:val="495D4852"/>
    <w:rsid w:val="49664C1E"/>
    <w:rsid w:val="496930A0"/>
    <w:rsid w:val="49831FB1"/>
    <w:rsid w:val="49A377FA"/>
    <w:rsid w:val="49ED77B7"/>
    <w:rsid w:val="4A0A36F4"/>
    <w:rsid w:val="4A360328"/>
    <w:rsid w:val="4A4243E5"/>
    <w:rsid w:val="4A63649F"/>
    <w:rsid w:val="4A72780C"/>
    <w:rsid w:val="4A7A0275"/>
    <w:rsid w:val="4A7A5D42"/>
    <w:rsid w:val="4A931EDC"/>
    <w:rsid w:val="4AA75D8A"/>
    <w:rsid w:val="4AB12B4E"/>
    <w:rsid w:val="4ABE7E56"/>
    <w:rsid w:val="4AF13179"/>
    <w:rsid w:val="4AF60694"/>
    <w:rsid w:val="4B105AC6"/>
    <w:rsid w:val="4B1F21AD"/>
    <w:rsid w:val="4B231661"/>
    <w:rsid w:val="4B5D30A3"/>
    <w:rsid w:val="4B602D44"/>
    <w:rsid w:val="4B6840F7"/>
    <w:rsid w:val="4B767E9E"/>
    <w:rsid w:val="4BB328F5"/>
    <w:rsid w:val="4BE807F1"/>
    <w:rsid w:val="4BE97691"/>
    <w:rsid w:val="4C0167F3"/>
    <w:rsid w:val="4C0C485C"/>
    <w:rsid w:val="4C135C51"/>
    <w:rsid w:val="4C293DCC"/>
    <w:rsid w:val="4C5C314D"/>
    <w:rsid w:val="4C6645EA"/>
    <w:rsid w:val="4C6E6818"/>
    <w:rsid w:val="4C837857"/>
    <w:rsid w:val="4C871DB8"/>
    <w:rsid w:val="4C891FD4"/>
    <w:rsid w:val="4C904488"/>
    <w:rsid w:val="4CA34090"/>
    <w:rsid w:val="4CC00C08"/>
    <w:rsid w:val="4CC21042"/>
    <w:rsid w:val="4CE34CCC"/>
    <w:rsid w:val="4CE5768B"/>
    <w:rsid w:val="4D092CC4"/>
    <w:rsid w:val="4D287D51"/>
    <w:rsid w:val="4D2C6E03"/>
    <w:rsid w:val="4D720CBA"/>
    <w:rsid w:val="4D783DF7"/>
    <w:rsid w:val="4DA31497"/>
    <w:rsid w:val="4DCB3F26"/>
    <w:rsid w:val="4DE160F0"/>
    <w:rsid w:val="4DF0336B"/>
    <w:rsid w:val="4E0655E0"/>
    <w:rsid w:val="4E1542CD"/>
    <w:rsid w:val="4E1A7EED"/>
    <w:rsid w:val="4E2848D7"/>
    <w:rsid w:val="4E7B44C1"/>
    <w:rsid w:val="4E8F658C"/>
    <w:rsid w:val="4E9A16B0"/>
    <w:rsid w:val="4ECA3CF2"/>
    <w:rsid w:val="4ECA4052"/>
    <w:rsid w:val="4ECF0F8A"/>
    <w:rsid w:val="4ED22336"/>
    <w:rsid w:val="4F0B36FA"/>
    <w:rsid w:val="4F1162B1"/>
    <w:rsid w:val="4F1F591D"/>
    <w:rsid w:val="4F304989"/>
    <w:rsid w:val="4F4637CC"/>
    <w:rsid w:val="4F730D1A"/>
    <w:rsid w:val="4F7439BB"/>
    <w:rsid w:val="4F903279"/>
    <w:rsid w:val="4FC357FD"/>
    <w:rsid w:val="4FD07EA9"/>
    <w:rsid w:val="4FF17A7C"/>
    <w:rsid w:val="501568D4"/>
    <w:rsid w:val="501871CB"/>
    <w:rsid w:val="50200B77"/>
    <w:rsid w:val="50330996"/>
    <w:rsid w:val="506F1858"/>
    <w:rsid w:val="50700DB5"/>
    <w:rsid w:val="50743739"/>
    <w:rsid w:val="508833B6"/>
    <w:rsid w:val="508C3B02"/>
    <w:rsid w:val="50CC6AF5"/>
    <w:rsid w:val="50DE39D3"/>
    <w:rsid w:val="50FB3A85"/>
    <w:rsid w:val="513276B1"/>
    <w:rsid w:val="517F5754"/>
    <w:rsid w:val="519226D4"/>
    <w:rsid w:val="519C1A95"/>
    <w:rsid w:val="51DE500A"/>
    <w:rsid w:val="51F00FDF"/>
    <w:rsid w:val="524C3D9F"/>
    <w:rsid w:val="526C5640"/>
    <w:rsid w:val="526D77D4"/>
    <w:rsid w:val="52711649"/>
    <w:rsid w:val="52763AD2"/>
    <w:rsid w:val="529A1FAF"/>
    <w:rsid w:val="529D5AAA"/>
    <w:rsid w:val="52A103E3"/>
    <w:rsid w:val="52A2706F"/>
    <w:rsid w:val="52A667A8"/>
    <w:rsid w:val="52AA1F54"/>
    <w:rsid w:val="52BD1E2C"/>
    <w:rsid w:val="52F7596D"/>
    <w:rsid w:val="530A37F5"/>
    <w:rsid w:val="53231658"/>
    <w:rsid w:val="53513EE3"/>
    <w:rsid w:val="535C6681"/>
    <w:rsid w:val="53600DED"/>
    <w:rsid w:val="53C027CA"/>
    <w:rsid w:val="53D004E8"/>
    <w:rsid w:val="53F14249"/>
    <w:rsid w:val="53FD0BB2"/>
    <w:rsid w:val="5402266C"/>
    <w:rsid w:val="540240D6"/>
    <w:rsid w:val="54607A2C"/>
    <w:rsid w:val="5474450F"/>
    <w:rsid w:val="54877854"/>
    <w:rsid w:val="548A4B3B"/>
    <w:rsid w:val="548D7566"/>
    <w:rsid w:val="548E5813"/>
    <w:rsid w:val="549C11CE"/>
    <w:rsid w:val="54DC6694"/>
    <w:rsid w:val="54E70A91"/>
    <w:rsid w:val="54F63F7F"/>
    <w:rsid w:val="55006BAB"/>
    <w:rsid w:val="55067F3A"/>
    <w:rsid w:val="55150299"/>
    <w:rsid w:val="556F5ADF"/>
    <w:rsid w:val="5570584B"/>
    <w:rsid w:val="55A7069A"/>
    <w:rsid w:val="55DD6EED"/>
    <w:rsid w:val="55E72F80"/>
    <w:rsid w:val="55F53C2C"/>
    <w:rsid w:val="55FD3133"/>
    <w:rsid w:val="560C629A"/>
    <w:rsid w:val="56286DC7"/>
    <w:rsid w:val="562E67F9"/>
    <w:rsid w:val="563063D6"/>
    <w:rsid w:val="563C5495"/>
    <w:rsid w:val="56434B55"/>
    <w:rsid w:val="56443940"/>
    <w:rsid w:val="567535C9"/>
    <w:rsid w:val="568B4B9B"/>
    <w:rsid w:val="569304BE"/>
    <w:rsid w:val="56CA561A"/>
    <w:rsid w:val="56E5594A"/>
    <w:rsid w:val="56F664B8"/>
    <w:rsid w:val="571237ED"/>
    <w:rsid w:val="571E01E8"/>
    <w:rsid w:val="57264386"/>
    <w:rsid w:val="576C003B"/>
    <w:rsid w:val="57776ECD"/>
    <w:rsid w:val="578565B3"/>
    <w:rsid w:val="5795733C"/>
    <w:rsid w:val="57A53A3A"/>
    <w:rsid w:val="57AF58B5"/>
    <w:rsid w:val="57B97EA1"/>
    <w:rsid w:val="57D57E3D"/>
    <w:rsid w:val="57D74751"/>
    <w:rsid w:val="57D7775D"/>
    <w:rsid w:val="57E83927"/>
    <w:rsid w:val="58065C9F"/>
    <w:rsid w:val="583A7F06"/>
    <w:rsid w:val="583D72F0"/>
    <w:rsid w:val="58495849"/>
    <w:rsid w:val="58686560"/>
    <w:rsid w:val="587F0726"/>
    <w:rsid w:val="58851B49"/>
    <w:rsid w:val="5898359F"/>
    <w:rsid w:val="58A00076"/>
    <w:rsid w:val="58A223B7"/>
    <w:rsid w:val="58E803EA"/>
    <w:rsid w:val="59015A3E"/>
    <w:rsid w:val="59045812"/>
    <w:rsid w:val="590824D3"/>
    <w:rsid w:val="591519E0"/>
    <w:rsid w:val="5919349C"/>
    <w:rsid w:val="594771C6"/>
    <w:rsid w:val="59484FC5"/>
    <w:rsid w:val="59513E7A"/>
    <w:rsid w:val="59783B4E"/>
    <w:rsid w:val="597D3D1A"/>
    <w:rsid w:val="598C3104"/>
    <w:rsid w:val="59C26B25"/>
    <w:rsid w:val="59D93AD3"/>
    <w:rsid w:val="59D95C1D"/>
    <w:rsid w:val="59EC76FE"/>
    <w:rsid w:val="5A031664"/>
    <w:rsid w:val="5A0E1452"/>
    <w:rsid w:val="5A117AE7"/>
    <w:rsid w:val="5A5534F6"/>
    <w:rsid w:val="5A5D04AD"/>
    <w:rsid w:val="5A8B6DAD"/>
    <w:rsid w:val="5AA14481"/>
    <w:rsid w:val="5AC36FEF"/>
    <w:rsid w:val="5B362CF7"/>
    <w:rsid w:val="5B4812AC"/>
    <w:rsid w:val="5B4A2F9E"/>
    <w:rsid w:val="5B4D0D61"/>
    <w:rsid w:val="5B4F6277"/>
    <w:rsid w:val="5B584353"/>
    <w:rsid w:val="5BB25761"/>
    <w:rsid w:val="5BB973AE"/>
    <w:rsid w:val="5BDD1D35"/>
    <w:rsid w:val="5BE45DB5"/>
    <w:rsid w:val="5C03381B"/>
    <w:rsid w:val="5C33403B"/>
    <w:rsid w:val="5C5919A3"/>
    <w:rsid w:val="5C6D5130"/>
    <w:rsid w:val="5C871960"/>
    <w:rsid w:val="5C9D485F"/>
    <w:rsid w:val="5CE21551"/>
    <w:rsid w:val="5CEE16EC"/>
    <w:rsid w:val="5CF7769C"/>
    <w:rsid w:val="5CFB6B47"/>
    <w:rsid w:val="5D113E7C"/>
    <w:rsid w:val="5D170F36"/>
    <w:rsid w:val="5D3C6BEF"/>
    <w:rsid w:val="5D3E2C47"/>
    <w:rsid w:val="5D5A0E23"/>
    <w:rsid w:val="5D8D2FA6"/>
    <w:rsid w:val="5DA0798E"/>
    <w:rsid w:val="5DA402F0"/>
    <w:rsid w:val="5DB12834"/>
    <w:rsid w:val="5DB823DE"/>
    <w:rsid w:val="5DD0013F"/>
    <w:rsid w:val="5DD321CF"/>
    <w:rsid w:val="5DE32AA5"/>
    <w:rsid w:val="5DE42A79"/>
    <w:rsid w:val="5E053FF5"/>
    <w:rsid w:val="5E4F0BBA"/>
    <w:rsid w:val="5E8337C2"/>
    <w:rsid w:val="5E9E5ED4"/>
    <w:rsid w:val="5EA271F0"/>
    <w:rsid w:val="5EA92586"/>
    <w:rsid w:val="5EBB3B43"/>
    <w:rsid w:val="5EBD3D5F"/>
    <w:rsid w:val="5EBE4690"/>
    <w:rsid w:val="5ED05835"/>
    <w:rsid w:val="5EDA6A91"/>
    <w:rsid w:val="5EDD0442"/>
    <w:rsid w:val="5EF427CC"/>
    <w:rsid w:val="5F054C83"/>
    <w:rsid w:val="5F0D0182"/>
    <w:rsid w:val="5F126002"/>
    <w:rsid w:val="5F1F565E"/>
    <w:rsid w:val="5F4673A3"/>
    <w:rsid w:val="5F54747A"/>
    <w:rsid w:val="5F623641"/>
    <w:rsid w:val="5F863257"/>
    <w:rsid w:val="5FBF46D4"/>
    <w:rsid w:val="5FBF7663"/>
    <w:rsid w:val="5FDD7FD1"/>
    <w:rsid w:val="5FE35005"/>
    <w:rsid w:val="5FE80DAB"/>
    <w:rsid w:val="5FF05A6E"/>
    <w:rsid w:val="5FFE234F"/>
    <w:rsid w:val="60394FAB"/>
    <w:rsid w:val="60490780"/>
    <w:rsid w:val="60A12B14"/>
    <w:rsid w:val="60A32AE1"/>
    <w:rsid w:val="60B552B5"/>
    <w:rsid w:val="60D056F4"/>
    <w:rsid w:val="60D64C64"/>
    <w:rsid w:val="60DF0066"/>
    <w:rsid w:val="60F02FFA"/>
    <w:rsid w:val="610709AB"/>
    <w:rsid w:val="61073070"/>
    <w:rsid w:val="61152DC7"/>
    <w:rsid w:val="612873A9"/>
    <w:rsid w:val="614366AD"/>
    <w:rsid w:val="61452399"/>
    <w:rsid w:val="61492B79"/>
    <w:rsid w:val="615362B5"/>
    <w:rsid w:val="61653E49"/>
    <w:rsid w:val="61781DB5"/>
    <w:rsid w:val="6182125E"/>
    <w:rsid w:val="619568CD"/>
    <w:rsid w:val="61995999"/>
    <w:rsid w:val="61AE115F"/>
    <w:rsid w:val="61CA627D"/>
    <w:rsid w:val="61F00415"/>
    <w:rsid w:val="61F30FFC"/>
    <w:rsid w:val="621427D7"/>
    <w:rsid w:val="622B32D6"/>
    <w:rsid w:val="627110E9"/>
    <w:rsid w:val="629372B1"/>
    <w:rsid w:val="6296528A"/>
    <w:rsid w:val="62C16EF1"/>
    <w:rsid w:val="62C72652"/>
    <w:rsid w:val="62DA1288"/>
    <w:rsid w:val="62E11214"/>
    <w:rsid w:val="62E736C8"/>
    <w:rsid w:val="6329155B"/>
    <w:rsid w:val="632F68AE"/>
    <w:rsid w:val="633A597E"/>
    <w:rsid w:val="63686246"/>
    <w:rsid w:val="6370314E"/>
    <w:rsid w:val="637C1A13"/>
    <w:rsid w:val="63EA75B7"/>
    <w:rsid w:val="63ED479F"/>
    <w:rsid w:val="64214DFA"/>
    <w:rsid w:val="642301C1"/>
    <w:rsid w:val="64294449"/>
    <w:rsid w:val="64326656"/>
    <w:rsid w:val="644764EB"/>
    <w:rsid w:val="64B42671"/>
    <w:rsid w:val="64C25C2B"/>
    <w:rsid w:val="64D71408"/>
    <w:rsid w:val="651F72E3"/>
    <w:rsid w:val="653543BD"/>
    <w:rsid w:val="65402A43"/>
    <w:rsid w:val="6558041F"/>
    <w:rsid w:val="655D5D62"/>
    <w:rsid w:val="655E1A62"/>
    <w:rsid w:val="656211BC"/>
    <w:rsid w:val="656F7F55"/>
    <w:rsid w:val="65903416"/>
    <w:rsid w:val="65972E01"/>
    <w:rsid w:val="65AD3D80"/>
    <w:rsid w:val="65F31E15"/>
    <w:rsid w:val="65F73150"/>
    <w:rsid w:val="65F938CF"/>
    <w:rsid w:val="662B3DF7"/>
    <w:rsid w:val="66391F1D"/>
    <w:rsid w:val="66430FEE"/>
    <w:rsid w:val="66536C8E"/>
    <w:rsid w:val="667D39EF"/>
    <w:rsid w:val="667F0B62"/>
    <w:rsid w:val="66B23A7E"/>
    <w:rsid w:val="66C373B4"/>
    <w:rsid w:val="66C7453C"/>
    <w:rsid w:val="66CE5676"/>
    <w:rsid w:val="66E82EEB"/>
    <w:rsid w:val="66E96069"/>
    <w:rsid w:val="66F24337"/>
    <w:rsid w:val="67167EA1"/>
    <w:rsid w:val="672E75A8"/>
    <w:rsid w:val="67635F5D"/>
    <w:rsid w:val="67645A08"/>
    <w:rsid w:val="678332F2"/>
    <w:rsid w:val="67AF51CF"/>
    <w:rsid w:val="67CC7EE1"/>
    <w:rsid w:val="67EC7D88"/>
    <w:rsid w:val="67F508D2"/>
    <w:rsid w:val="67FB7165"/>
    <w:rsid w:val="68012F0F"/>
    <w:rsid w:val="6816442E"/>
    <w:rsid w:val="681E73B7"/>
    <w:rsid w:val="68233B00"/>
    <w:rsid w:val="682540A2"/>
    <w:rsid w:val="684F44CC"/>
    <w:rsid w:val="68600CBA"/>
    <w:rsid w:val="68615288"/>
    <w:rsid w:val="68A13644"/>
    <w:rsid w:val="68B70AED"/>
    <w:rsid w:val="68BF5E75"/>
    <w:rsid w:val="68CD4B9F"/>
    <w:rsid w:val="68D27B55"/>
    <w:rsid w:val="68D51363"/>
    <w:rsid w:val="68DE6DAC"/>
    <w:rsid w:val="69004F74"/>
    <w:rsid w:val="691E7FBD"/>
    <w:rsid w:val="692A39D4"/>
    <w:rsid w:val="69B41DB9"/>
    <w:rsid w:val="69B61AD7"/>
    <w:rsid w:val="69C21D45"/>
    <w:rsid w:val="69C25A0D"/>
    <w:rsid w:val="69C7771A"/>
    <w:rsid w:val="69CF67F1"/>
    <w:rsid w:val="69D725DB"/>
    <w:rsid w:val="69E228CC"/>
    <w:rsid w:val="69EC0E79"/>
    <w:rsid w:val="69FB0F56"/>
    <w:rsid w:val="6A152CA1"/>
    <w:rsid w:val="6A226F67"/>
    <w:rsid w:val="6A320BDA"/>
    <w:rsid w:val="6A4B0866"/>
    <w:rsid w:val="6A60340B"/>
    <w:rsid w:val="6A7157C2"/>
    <w:rsid w:val="6A7A2DF9"/>
    <w:rsid w:val="6AB94C23"/>
    <w:rsid w:val="6ABC1B13"/>
    <w:rsid w:val="6AD93CCF"/>
    <w:rsid w:val="6AE25F2E"/>
    <w:rsid w:val="6AE55CDE"/>
    <w:rsid w:val="6AF87D93"/>
    <w:rsid w:val="6B1E16E2"/>
    <w:rsid w:val="6B323269"/>
    <w:rsid w:val="6B437167"/>
    <w:rsid w:val="6B5A42D3"/>
    <w:rsid w:val="6B657311"/>
    <w:rsid w:val="6B6E67DA"/>
    <w:rsid w:val="6B8C6F93"/>
    <w:rsid w:val="6BA60212"/>
    <w:rsid w:val="6BB54465"/>
    <w:rsid w:val="6BBB0C69"/>
    <w:rsid w:val="6BCC35DE"/>
    <w:rsid w:val="6BDF70C3"/>
    <w:rsid w:val="6BF834D4"/>
    <w:rsid w:val="6BF87FC1"/>
    <w:rsid w:val="6BFB2D1C"/>
    <w:rsid w:val="6C3003AB"/>
    <w:rsid w:val="6C483B63"/>
    <w:rsid w:val="6C4D3E71"/>
    <w:rsid w:val="6C50283A"/>
    <w:rsid w:val="6C7730E6"/>
    <w:rsid w:val="6C84133C"/>
    <w:rsid w:val="6CAB6FB3"/>
    <w:rsid w:val="6CB26586"/>
    <w:rsid w:val="6CC35974"/>
    <w:rsid w:val="6CCB7647"/>
    <w:rsid w:val="6CDF5B60"/>
    <w:rsid w:val="6D013069"/>
    <w:rsid w:val="6D12171A"/>
    <w:rsid w:val="6D1234C8"/>
    <w:rsid w:val="6D1574AE"/>
    <w:rsid w:val="6D4058B3"/>
    <w:rsid w:val="6D451B85"/>
    <w:rsid w:val="6D4A2C62"/>
    <w:rsid w:val="6D5B4F1A"/>
    <w:rsid w:val="6D5E495F"/>
    <w:rsid w:val="6D6D4BA2"/>
    <w:rsid w:val="6D9771EA"/>
    <w:rsid w:val="6DAB142F"/>
    <w:rsid w:val="6DF95E91"/>
    <w:rsid w:val="6E002E86"/>
    <w:rsid w:val="6E0031F1"/>
    <w:rsid w:val="6E045376"/>
    <w:rsid w:val="6E233801"/>
    <w:rsid w:val="6E503372"/>
    <w:rsid w:val="6E510BD5"/>
    <w:rsid w:val="6E53758B"/>
    <w:rsid w:val="6E700CB5"/>
    <w:rsid w:val="6E874548"/>
    <w:rsid w:val="6E955409"/>
    <w:rsid w:val="6EA30BCA"/>
    <w:rsid w:val="6ED21161"/>
    <w:rsid w:val="6EF20B58"/>
    <w:rsid w:val="6EFD36FC"/>
    <w:rsid w:val="6F1055D1"/>
    <w:rsid w:val="6F2D63B2"/>
    <w:rsid w:val="6F2F248C"/>
    <w:rsid w:val="6F3168B1"/>
    <w:rsid w:val="6F370FC4"/>
    <w:rsid w:val="6F616041"/>
    <w:rsid w:val="6F636456"/>
    <w:rsid w:val="6F6C5073"/>
    <w:rsid w:val="6F851D34"/>
    <w:rsid w:val="6FA06B69"/>
    <w:rsid w:val="6FA94C9F"/>
    <w:rsid w:val="6FB85E0E"/>
    <w:rsid w:val="6FCD1451"/>
    <w:rsid w:val="6FDA4984"/>
    <w:rsid w:val="70002AD7"/>
    <w:rsid w:val="702446C6"/>
    <w:rsid w:val="704E1BE5"/>
    <w:rsid w:val="705B0CE2"/>
    <w:rsid w:val="706A7177"/>
    <w:rsid w:val="708F302F"/>
    <w:rsid w:val="70B035B2"/>
    <w:rsid w:val="70B35EC2"/>
    <w:rsid w:val="70C76378"/>
    <w:rsid w:val="70DE477E"/>
    <w:rsid w:val="70E231B1"/>
    <w:rsid w:val="70E64A50"/>
    <w:rsid w:val="70EB3EFD"/>
    <w:rsid w:val="70FC24C5"/>
    <w:rsid w:val="710676AE"/>
    <w:rsid w:val="710B51AC"/>
    <w:rsid w:val="710C4285"/>
    <w:rsid w:val="71165DAF"/>
    <w:rsid w:val="71990C6C"/>
    <w:rsid w:val="71A70E60"/>
    <w:rsid w:val="71C441C6"/>
    <w:rsid w:val="71E75101"/>
    <w:rsid w:val="721852C6"/>
    <w:rsid w:val="721F0D90"/>
    <w:rsid w:val="72201889"/>
    <w:rsid w:val="72233A82"/>
    <w:rsid w:val="722B014F"/>
    <w:rsid w:val="723A7DE8"/>
    <w:rsid w:val="724068D2"/>
    <w:rsid w:val="72776482"/>
    <w:rsid w:val="72991C1F"/>
    <w:rsid w:val="72A22BA9"/>
    <w:rsid w:val="72BF7C4E"/>
    <w:rsid w:val="72C24DE1"/>
    <w:rsid w:val="72D65085"/>
    <w:rsid w:val="72DB5A0C"/>
    <w:rsid w:val="72E95260"/>
    <w:rsid w:val="73025F26"/>
    <w:rsid w:val="731D6723"/>
    <w:rsid w:val="73207868"/>
    <w:rsid w:val="73294E4A"/>
    <w:rsid w:val="7336503E"/>
    <w:rsid w:val="73434BEF"/>
    <w:rsid w:val="73487C44"/>
    <w:rsid w:val="7356056F"/>
    <w:rsid w:val="736D3206"/>
    <w:rsid w:val="7383420D"/>
    <w:rsid w:val="739661A9"/>
    <w:rsid w:val="73A11102"/>
    <w:rsid w:val="73F23176"/>
    <w:rsid w:val="740C7BDC"/>
    <w:rsid w:val="74201DB5"/>
    <w:rsid w:val="744C5512"/>
    <w:rsid w:val="749010A9"/>
    <w:rsid w:val="74D13C69"/>
    <w:rsid w:val="74F15DD4"/>
    <w:rsid w:val="74F52D8D"/>
    <w:rsid w:val="75041948"/>
    <w:rsid w:val="750F7DC1"/>
    <w:rsid w:val="75233F46"/>
    <w:rsid w:val="755723C0"/>
    <w:rsid w:val="755E29D0"/>
    <w:rsid w:val="75840CDB"/>
    <w:rsid w:val="759D5183"/>
    <w:rsid w:val="75AE7B06"/>
    <w:rsid w:val="75B6111A"/>
    <w:rsid w:val="75D94B83"/>
    <w:rsid w:val="75E24299"/>
    <w:rsid w:val="75EB0D5A"/>
    <w:rsid w:val="764A2526"/>
    <w:rsid w:val="765154F8"/>
    <w:rsid w:val="7658171F"/>
    <w:rsid w:val="765A3AF9"/>
    <w:rsid w:val="766A7ED1"/>
    <w:rsid w:val="766D4786"/>
    <w:rsid w:val="766F3739"/>
    <w:rsid w:val="767C1410"/>
    <w:rsid w:val="769264DA"/>
    <w:rsid w:val="76BA70E6"/>
    <w:rsid w:val="76DB7593"/>
    <w:rsid w:val="76E61C4D"/>
    <w:rsid w:val="76EC4E44"/>
    <w:rsid w:val="770A59BD"/>
    <w:rsid w:val="77112CCE"/>
    <w:rsid w:val="776B50D2"/>
    <w:rsid w:val="77707769"/>
    <w:rsid w:val="77851A55"/>
    <w:rsid w:val="778C1910"/>
    <w:rsid w:val="77AA1D7B"/>
    <w:rsid w:val="77D81084"/>
    <w:rsid w:val="781520BE"/>
    <w:rsid w:val="782055EB"/>
    <w:rsid w:val="783240CA"/>
    <w:rsid w:val="78376B43"/>
    <w:rsid w:val="78672770"/>
    <w:rsid w:val="786C5E39"/>
    <w:rsid w:val="78745037"/>
    <w:rsid w:val="78963C58"/>
    <w:rsid w:val="78BD69DE"/>
    <w:rsid w:val="78BF79F2"/>
    <w:rsid w:val="78CA2EA9"/>
    <w:rsid w:val="78FD50B1"/>
    <w:rsid w:val="790A38D6"/>
    <w:rsid w:val="791329C6"/>
    <w:rsid w:val="794443B3"/>
    <w:rsid w:val="79986B03"/>
    <w:rsid w:val="79A454A8"/>
    <w:rsid w:val="79A77D37"/>
    <w:rsid w:val="79B17BC5"/>
    <w:rsid w:val="79C97E5F"/>
    <w:rsid w:val="79D8590D"/>
    <w:rsid w:val="79F0454F"/>
    <w:rsid w:val="79F86D66"/>
    <w:rsid w:val="7A15284A"/>
    <w:rsid w:val="7A351494"/>
    <w:rsid w:val="7A6E11E0"/>
    <w:rsid w:val="7A80470C"/>
    <w:rsid w:val="7A8B1EC4"/>
    <w:rsid w:val="7AD2131E"/>
    <w:rsid w:val="7AE61CC6"/>
    <w:rsid w:val="7B0A1C83"/>
    <w:rsid w:val="7B5E0F76"/>
    <w:rsid w:val="7B633418"/>
    <w:rsid w:val="7B640A94"/>
    <w:rsid w:val="7B720497"/>
    <w:rsid w:val="7B783548"/>
    <w:rsid w:val="7B9F061D"/>
    <w:rsid w:val="7BA94019"/>
    <w:rsid w:val="7BE35B1E"/>
    <w:rsid w:val="7C270D7A"/>
    <w:rsid w:val="7C574A54"/>
    <w:rsid w:val="7C6A4FBC"/>
    <w:rsid w:val="7C75137E"/>
    <w:rsid w:val="7C7B18EB"/>
    <w:rsid w:val="7CA57EB5"/>
    <w:rsid w:val="7CE3278B"/>
    <w:rsid w:val="7CE64029"/>
    <w:rsid w:val="7CEB418B"/>
    <w:rsid w:val="7D124E1E"/>
    <w:rsid w:val="7D250FF6"/>
    <w:rsid w:val="7D5313DA"/>
    <w:rsid w:val="7D5B4A17"/>
    <w:rsid w:val="7D6531A0"/>
    <w:rsid w:val="7D904A45"/>
    <w:rsid w:val="7DA13F3E"/>
    <w:rsid w:val="7DBB54B6"/>
    <w:rsid w:val="7DE247F1"/>
    <w:rsid w:val="7DF509C8"/>
    <w:rsid w:val="7DFA4230"/>
    <w:rsid w:val="7E21762F"/>
    <w:rsid w:val="7E253138"/>
    <w:rsid w:val="7E3178F8"/>
    <w:rsid w:val="7E397793"/>
    <w:rsid w:val="7E5847C3"/>
    <w:rsid w:val="7E7A11D0"/>
    <w:rsid w:val="7EA919AD"/>
    <w:rsid w:val="7ED81112"/>
    <w:rsid w:val="7EF0118F"/>
    <w:rsid w:val="7F095C02"/>
    <w:rsid w:val="7F160FB2"/>
    <w:rsid w:val="7F192331"/>
    <w:rsid w:val="7F1B5B78"/>
    <w:rsid w:val="7F2F3DF2"/>
    <w:rsid w:val="7F664991"/>
    <w:rsid w:val="7F8F7768"/>
    <w:rsid w:val="7FBA7E62"/>
    <w:rsid w:val="7FC41F08"/>
    <w:rsid w:val="7FD36AE7"/>
    <w:rsid w:val="7FF60A27"/>
    <w:rsid w:val="7FF67C5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nhideWhenUsed="0" w:uiPriority="9" w:semiHidden="0" w:name="heading 3"/>
    <w:lsdException w:qFormat="1" w:uiPriority="0" w:name="heading 4"/>
    <w:lsdException w:qFormat="1" w:unhideWhenUsed="0"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qFormat="1" w:unhideWhenUsed="0" w:uiPriority="0" w:semiHidden="0"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5">
    <w:name w:val="heading 1"/>
    <w:basedOn w:val="1"/>
    <w:next w:val="1"/>
    <w:link w:val="32"/>
    <w:qFormat/>
    <w:uiPriority w:val="0"/>
    <w:pPr>
      <w:keepNext/>
      <w:keepLines/>
      <w:spacing w:before="340" w:after="330" w:line="578" w:lineRule="auto"/>
      <w:outlineLvl w:val="0"/>
    </w:pPr>
    <w:rPr>
      <w:b/>
      <w:bCs/>
      <w:kern w:val="44"/>
      <w:sz w:val="44"/>
      <w:szCs w:val="44"/>
    </w:rPr>
  </w:style>
  <w:style w:type="paragraph" w:styleId="6">
    <w:name w:val="heading 2"/>
    <w:basedOn w:val="1"/>
    <w:next w:val="1"/>
    <w:qFormat/>
    <w:uiPriority w:val="9"/>
    <w:pPr>
      <w:keepNext/>
      <w:spacing w:before="240" w:after="60"/>
      <w:outlineLvl w:val="1"/>
    </w:pPr>
    <w:rPr>
      <w:rFonts w:ascii="Cambria" w:hAnsi="Cambria"/>
      <w:b/>
      <w:bCs/>
      <w:i/>
      <w:iCs/>
      <w:sz w:val="28"/>
      <w:szCs w:val="28"/>
    </w:rPr>
  </w:style>
  <w:style w:type="paragraph" w:styleId="7">
    <w:name w:val="heading 3"/>
    <w:basedOn w:val="1"/>
    <w:next w:val="1"/>
    <w:qFormat/>
    <w:uiPriority w:val="9"/>
    <w:pPr>
      <w:keepNext/>
      <w:spacing w:before="240" w:after="60"/>
      <w:outlineLvl w:val="2"/>
    </w:pPr>
    <w:rPr>
      <w:rFonts w:ascii="Cambria" w:hAnsi="Cambria"/>
      <w:b/>
      <w:bCs/>
      <w:sz w:val="26"/>
      <w:szCs w:val="26"/>
    </w:rPr>
  </w:style>
  <w:style w:type="paragraph" w:styleId="8">
    <w:name w:val="heading 4"/>
    <w:basedOn w:val="1"/>
    <w:next w:val="1"/>
    <w:semiHidden/>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9">
    <w:name w:val="heading 5"/>
    <w:basedOn w:val="1"/>
    <w:next w:val="1"/>
    <w:qFormat/>
    <w:uiPriority w:val="9"/>
    <w:pPr>
      <w:spacing w:before="240" w:after="60"/>
      <w:outlineLvl w:val="4"/>
    </w:pPr>
    <w:rPr>
      <w:b/>
      <w:bCs/>
      <w:i/>
      <w:iCs/>
      <w:sz w:val="26"/>
      <w:szCs w:val="26"/>
    </w:rPr>
  </w:style>
  <w:style w:type="character" w:default="1" w:styleId="27">
    <w:name w:val="Default Paragraph Font"/>
    <w:semiHidden/>
    <w:unhideWhenUsed/>
    <w:qFormat/>
    <w:uiPriority w:val="1"/>
  </w:style>
  <w:style w:type="table" w:default="1" w:styleId="25">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next w:val="4"/>
    <w:link w:val="60"/>
    <w:qFormat/>
    <w:uiPriority w:val="0"/>
    <w:pPr>
      <w:spacing w:line="276" w:lineRule="auto"/>
      <w:ind w:left="200" w:firstLine="200" w:firstLineChars="200"/>
      <w:jc w:val="left"/>
    </w:pPr>
  </w:style>
  <w:style w:type="paragraph" w:styleId="3">
    <w:name w:val="Body Text Indent"/>
    <w:basedOn w:val="1"/>
    <w:next w:val="1"/>
    <w:link w:val="59"/>
    <w:qFormat/>
    <w:uiPriority w:val="0"/>
    <w:pPr>
      <w:spacing w:after="120"/>
      <w:ind w:left="420" w:leftChars="200"/>
    </w:pPr>
  </w:style>
  <w:style w:type="paragraph" w:styleId="4">
    <w:name w:val="toc 2"/>
    <w:basedOn w:val="1"/>
    <w:next w:val="1"/>
    <w:qFormat/>
    <w:uiPriority w:val="39"/>
    <w:pPr>
      <w:tabs>
        <w:tab w:val="right" w:leader="dot" w:pos="9629"/>
      </w:tabs>
      <w:ind w:left="480" w:leftChars="200"/>
    </w:pPr>
    <w:rPr>
      <w:b/>
    </w:rPr>
  </w:style>
  <w:style w:type="paragraph" w:styleId="10">
    <w:name w:val="Normal Indent"/>
    <w:basedOn w:val="1"/>
    <w:qFormat/>
    <w:uiPriority w:val="0"/>
    <w:pPr>
      <w:ind w:firstLine="200" w:firstLineChars="200"/>
    </w:pPr>
    <w:rPr>
      <w:kern w:val="0"/>
    </w:rPr>
  </w:style>
  <w:style w:type="paragraph" w:styleId="11">
    <w:name w:val="Document Map"/>
    <w:basedOn w:val="1"/>
    <w:link w:val="36"/>
    <w:semiHidden/>
    <w:unhideWhenUsed/>
    <w:qFormat/>
    <w:uiPriority w:val="99"/>
    <w:rPr>
      <w:rFonts w:ascii="宋体"/>
      <w:sz w:val="18"/>
      <w:szCs w:val="18"/>
    </w:rPr>
  </w:style>
  <w:style w:type="paragraph" w:styleId="12">
    <w:name w:val="annotation text"/>
    <w:basedOn w:val="1"/>
    <w:link w:val="33"/>
    <w:qFormat/>
    <w:uiPriority w:val="0"/>
    <w:pPr>
      <w:jc w:val="left"/>
    </w:pPr>
    <w:rPr>
      <w:rFonts w:asciiTheme="minorHAnsi" w:hAnsiTheme="minorHAnsi" w:cstheme="minorBidi"/>
    </w:rPr>
  </w:style>
  <w:style w:type="paragraph" w:styleId="13">
    <w:name w:val="Body Text"/>
    <w:basedOn w:val="1"/>
    <w:next w:val="1"/>
    <w:link w:val="61"/>
    <w:qFormat/>
    <w:uiPriority w:val="0"/>
    <w:rPr>
      <w:rFonts w:eastAsia="楷体_GB2312"/>
      <w:sz w:val="28"/>
      <w:szCs w:val="20"/>
    </w:rPr>
  </w:style>
  <w:style w:type="paragraph" w:styleId="14">
    <w:name w:val="index 4"/>
    <w:basedOn w:val="1"/>
    <w:next w:val="1"/>
    <w:qFormat/>
    <w:uiPriority w:val="0"/>
    <w:pPr>
      <w:ind w:left="600" w:leftChars="600"/>
    </w:pPr>
  </w:style>
  <w:style w:type="paragraph" w:styleId="15">
    <w:name w:val="toc 3"/>
    <w:basedOn w:val="1"/>
    <w:next w:val="1"/>
    <w:qFormat/>
    <w:uiPriority w:val="39"/>
    <w:pPr>
      <w:ind w:left="840" w:leftChars="400"/>
    </w:pPr>
  </w:style>
  <w:style w:type="paragraph" w:styleId="16">
    <w:name w:val="Balloon Text"/>
    <w:basedOn w:val="1"/>
    <w:link w:val="35"/>
    <w:semiHidden/>
    <w:unhideWhenUsed/>
    <w:qFormat/>
    <w:uiPriority w:val="99"/>
    <w:rPr>
      <w:sz w:val="18"/>
      <w:szCs w:val="18"/>
    </w:rPr>
  </w:style>
  <w:style w:type="paragraph" w:styleId="17">
    <w:name w:val="footer"/>
    <w:basedOn w:val="1"/>
    <w:link w:val="38"/>
    <w:unhideWhenUsed/>
    <w:qFormat/>
    <w:uiPriority w:val="99"/>
    <w:pPr>
      <w:tabs>
        <w:tab w:val="center" w:pos="4153"/>
        <w:tab w:val="right" w:pos="8306"/>
      </w:tabs>
      <w:snapToGrid w:val="0"/>
      <w:jc w:val="left"/>
    </w:pPr>
    <w:rPr>
      <w:sz w:val="18"/>
      <w:szCs w:val="18"/>
    </w:rPr>
  </w:style>
  <w:style w:type="paragraph" w:styleId="18">
    <w:name w:val="header"/>
    <w:basedOn w:val="1"/>
    <w:link w:val="37"/>
    <w:unhideWhenUsed/>
    <w:qFormat/>
    <w:uiPriority w:val="99"/>
    <w:pPr>
      <w:pBdr>
        <w:bottom w:val="single" w:color="auto" w:sz="6" w:space="1"/>
      </w:pBdr>
      <w:tabs>
        <w:tab w:val="center" w:pos="4153"/>
        <w:tab w:val="right" w:pos="8306"/>
      </w:tabs>
      <w:snapToGrid w:val="0"/>
      <w:jc w:val="center"/>
    </w:pPr>
    <w:rPr>
      <w:sz w:val="18"/>
      <w:szCs w:val="18"/>
    </w:rPr>
  </w:style>
  <w:style w:type="paragraph" w:styleId="19">
    <w:name w:val="toc 1"/>
    <w:basedOn w:val="1"/>
    <w:next w:val="1"/>
    <w:qFormat/>
    <w:uiPriority w:val="39"/>
    <w:pPr>
      <w:tabs>
        <w:tab w:val="right" w:leader="dot" w:pos="9629"/>
      </w:tabs>
    </w:pPr>
    <w:rPr>
      <w:b/>
    </w:rPr>
  </w:style>
  <w:style w:type="paragraph" w:styleId="20">
    <w:name w:val="footnote text"/>
    <w:basedOn w:val="1"/>
    <w:next w:val="18"/>
    <w:qFormat/>
    <w:uiPriority w:val="0"/>
    <w:pPr>
      <w:snapToGrid w:val="0"/>
      <w:jc w:val="left"/>
    </w:pPr>
  </w:style>
  <w:style w:type="paragraph" w:styleId="21">
    <w:name w:val="Normal (Web)"/>
    <w:basedOn w:val="1"/>
    <w:qFormat/>
    <w:uiPriority w:val="99"/>
    <w:pPr>
      <w:spacing w:before="100" w:beforeAutospacing="1" w:after="100" w:afterAutospacing="1" w:line="320" w:lineRule="atLeast"/>
    </w:pPr>
    <w:rPr>
      <w:rFonts w:ascii="宋体" w:hAnsi="宋体" w:cs="宋体"/>
      <w:sz w:val="18"/>
      <w:szCs w:val="18"/>
    </w:rPr>
  </w:style>
  <w:style w:type="paragraph" w:styleId="22">
    <w:name w:val="Title"/>
    <w:basedOn w:val="1"/>
    <w:next w:val="1"/>
    <w:qFormat/>
    <w:uiPriority w:val="0"/>
    <w:pPr>
      <w:spacing w:before="240" w:after="60" w:line="276" w:lineRule="auto"/>
      <w:jc w:val="center"/>
      <w:outlineLvl w:val="0"/>
    </w:pPr>
    <w:rPr>
      <w:rFonts w:ascii="Cambria" w:hAnsi="Cambria"/>
      <w:b/>
      <w:bCs/>
      <w:kern w:val="0"/>
      <w:sz w:val="32"/>
      <w:szCs w:val="32"/>
    </w:rPr>
  </w:style>
  <w:style w:type="paragraph" w:styleId="23">
    <w:name w:val="annotation subject"/>
    <w:basedOn w:val="12"/>
    <w:next w:val="12"/>
    <w:link w:val="40"/>
    <w:semiHidden/>
    <w:unhideWhenUsed/>
    <w:qFormat/>
    <w:uiPriority w:val="99"/>
    <w:rPr>
      <w:rFonts w:ascii="Times New Roman" w:hAnsi="Times New Roman" w:cs="Times New Roman"/>
      <w:b/>
      <w:bCs/>
    </w:rPr>
  </w:style>
  <w:style w:type="paragraph" w:styleId="24">
    <w:name w:val="Body Text First Indent"/>
    <w:basedOn w:val="13"/>
    <w:link w:val="56"/>
    <w:semiHidden/>
    <w:unhideWhenUsed/>
    <w:qFormat/>
    <w:uiPriority w:val="99"/>
    <w:pPr>
      <w:ind w:firstLine="420" w:firstLineChars="100"/>
    </w:pPr>
  </w:style>
  <w:style w:type="table" w:styleId="26">
    <w:name w:val="Table Grid"/>
    <w:basedOn w:val="25"/>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8">
    <w:name w:val="Strong"/>
    <w:basedOn w:val="27"/>
    <w:qFormat/>
    <w:uiPriority w:val="22"/>
    <w:rPr>
      <w:b/>
    </w:rPr>
  </w:style>
  <w:style w:type="character" w:styleId="29">
    <w:name w:val="Hyperlink"/>
    <w:basedOn w:val="27"/>
    <w:qFormat/>
    <w:uiPriority w:val="99"/>
    <w:rPr>
      <w:rFonts w:eastAsia="宋体"/>
      <w:color w:val="0000FF"/>
      <w:sz w:val="24"/>
      <w:u w:val="single"/>
    </w:rPr>
  </w:style>
  <w:style w:type="character" w:styleId="30">
    <w:name w:val="annotation reference"/>
    <w:basedOn w:val="27"/>
    <w:qFormat/>
    <w:uiPriority w:val="0"/>
    <w:rPr>
      <w:sz w:val="21"/>
      <w:szCs w:val="21"/>
    </w:rPr>
  </w:style>
  <w:style w:type="paragraph" w:customStyle="1" w:styleId="31">
    <w:name w:val="列出段落1"/>
    <w:basedOn w:val="1"/>
    <w:unhideWhenUsed/>
    <w:qFormat/>
    <w:uiPriority w:val="34"/>
    <w:pPr>
      <w:ind w:firstLine="420" w:firstLineChars="200"/>
    </w:pPr>
    <w:rPr>
      <w:rFonts w:hint="eastAsia"/>
    </w:rPr>
  </w:style>
  <w:style w:type="character" w:customStyle="1" w:styleId="32">
    <w:name w:val="标题 1 字符"/>
    <w:basedOn w:val="27"/>
    <w:link w:val="5"/>
    <w:qFormat/>
    <w:uiPriority w:val="0"/>
    <w:rPr>
      <w:rFonts w:ascii="Times New Roman" w:hAnsi="Times New Roman" w:eastAsia="宋体" w:cs="Times New Roman"/>
      <w:b/>
      <w:bCs/>
      <w:kern w:val="44"/>
      <w:sz w:val="44"/>
      <w:szCs w:val="44"/>
    </w:rPr>
  </w:style>
  <w:style w:type="character" w:customStyle="1" w:styleId="33">
    <w:name w:val="批注文字 字符"/>
    <w:link w:val="12"/>
    <w:qFormat/>
    <w:uiPriority w:val="0"/>
    <w:rPr>
      <w:rFonts w:eastAsia="宋体"/>
      <w:szCs w:val="24"/>
    </w:rPr>
  </w:style>
  <w:style w:type="character" w:customStyle="1" w:styleId="34">
    <w:name w:val="批注文字 Char1"/>
    <w:basedOn w:val="27"/>
    <w:semiHidden/>
    <w:qFormat/>
    <w:uiPriority w:val="99"/>
    <w:rPr>
      <w:rFonts w:ascii="Times New Roman" w:hAnsi="Times New Roman" w:eastAsia="宋体" w:cs="Times New Roman"/>
      <w:szCs w:val="24"/>
    </w:rPr>
  </w:style>
  <w:style w:type="character" w:customStyle="1" w:styleId="35">
    <w:name w:val="批注框文本 字符"/>
    <w:basedOn w:val="27"/>
    <w:link w:val="16"/>
    <w:semiHidden/>
    <w:qFormat/>
    <w:uiPriority w:val="99"/>
    <w:rPr>
      <w:rFonts w:ascii="Times New Roman" w:hAnsi="Times New Roman" w:eastAsia="宋体" w:cs="Times New Roman"/>
      <w:sz w:val="18"/>
      <w:szCs w:val="18"/>
    </w:rPr>
  </w:style>
  <w:style w:type="character" w:customStyle="1" w:styleId="36">
    <w:name w:val="文档结构图 字符"/>
    <w:basedOn w:val="27"/>
    <w:link w:val="11"/>
    <w:semiHidden/>
    <w:qFormat/>
    <w:uiPriority w:val="99"/>
    <w:rPr>
      <w:rFonts w:ascii="宋体" w:hAnsi="Times New Roman" w:eastAsia="宋体" w:cs="Times New Roman"/>
      <w:sz w:val="18"/>
      <w:szCs w:val="18"/>
    </w:rPr>
  </w:style>
  <w:style w:type="character" w:customStyle="1" w:styleId="37">
    <w:name w:val="页眉 字符"/>
    <w:basedOn w:val="27"/>
    <w:link w:val="18"/>
    <w:qFormat/>
    <w:uiPriority w:val="99"/>
    <w:rPr>
      <w:rFonts w:ascii="Times New Roman" w:hAnsi="Times New Roman" w:eastAsia="宋体" w:cs="Times New Roman"/>
      <w:sz w:val="18"/>
      <w:szCs w:val="18"/>
    </w:rPr>
  </w:style>
  <w:style w:type="character" w:customStyle="1" w:styleId="38">
    <w:name w:val="页脚 字符"/>
    <w:basedOn w:val="27"/>
    <w:link w:val="17"/>
    <w:qFormat/>
    <w:uiPriority w:val="99"/>
    <w:rPr>
      <w:rFonts w:ascii="Times New Roman" w:hAnsi="Times New Roman" w:eastAsia="宋体" w:cs="Times New Roman"/>
      <w:sz w:val="18"/>
      <w:szCs w:val="18"/>
    </w:rPr>
  </w:style>
  <w:style w:type="character" w:customStyle="1" w:styleId="39">
    <w:name w:val="NormalCharacter"/>
    <w:basedOn w:val="27"/>
    <w:qFormat/>
    <w:uiPriority w:val="0"/>
  </w:style>
  <w:style w:type="character" w:customStyle="1" w:styleId="40">
    <w:name w:val="批注主题 字符"/>
    <w:basedOn w:val="33"/>
    <w:link w:val="23"/>
    <w:semiHidden/>
    <w:qFormat/>
    <w:uiPriority w:val="99"/>
    <w:rPr>
      <w:rFonts w:eastAsia="宋体"/>
      <w:b/>
      <w:bCs/>
      <w:kern w:val="2"/>
      <w:sz w:val="21"/>
      <w:szCs w:val="24"/>
    </w:rPr>
  </w:style>
  <w:style w:type="paragraph" w:customStyle="1" w:styleId="41">
    <w:name w:val="BodyText3"/>
    <w:basedOn w:val="1"/>
    <w:qFormat/>
    <w:uiPriority w:val="0"/>
    <w:pPr>
      <w:spacing w:after="120"/>
    </w:pPr>
    <w:rPr>
      <w:sz w:val="16"/>
      <w:szCs w:val="16"/>
    </w:rPr>
  </w:style>
  <w:style w:type="paragraph" w:customStyle="1" w:styleId="42">
    <w:name w:val="UserStyle_92"/>
    <w:basedOn w:val="1"/>
    <w:qFormat/>
    <w:uiPriority w:val="0"/>
    <w:rPr>
      <w:szCs w:val="21"/>
    </w:rPr>
  </w:style>
  <w:style w:type="paragraph" w:customStyle="1" w:styleId="43">
    <w:name w:val="UserStyle_95"/>
    <w:basedOn w:val="44"/>
    <w:qFormat/>
    <w:uiPriority w:val="0"/>
  </w:style>
  <w:style w:type="paragraph" w:customStyle="1" w:styleId="44">
    <w:name w:val="Heading4"/>
    <w:basedOn w:val="1"/>
    <w:next w:val="1"/>
    <w:qFormat/>
    <w:uiPriority w:val="0"/>
    <w:pPr>
      <w:keepNext/>
      <w:spacing w:before="240" w:after="60"/>
    </w:pPr>
    <w:rPr>
      <w:b/>
      <w:bCs/>
      <w:sz w:val="28"/>
      <w:szCs w:val="28"/>
    </w:rPr>
  </w:style>
  <w:style w:type="paragraph" w:customStyle="1" w:styleId="45">
    <w:name w:val="Heading2"/>
    <w:basedOn w:val="1"/>
    <w:next w:val="1"/>
    <w:qFormat/>
    <w:uiPriority w:val="0"/>
    <w:pPr>
      <w:keepNext/>
      <w:spacing w:before="240" w:after="60"/>
    </w:pPr>
    <w:rPr>
      <w:rFonts w:ascii="Cambria" w:hAnsi="Cambria"/>
      <w:b/>
      <w:bCs/>
      <w:i/>
      <w:iCs/>
      <w:sz w:val="28"/>
      <w:szCs w:val="28"/>
    </w:rPr>
  </w:style>
  <w:style w:type="paragraph" w:customStyle="1" w:styleId="46">
    <w:name w:val="BodyTextIndent"/>
    <w:basedOn w:val="1"/>
    <w:qFormat/>
    <w:uiPriority w:val="0"/>
    <w:pPr>
      <w:spacing w:after="120"/>
      <w:ind w:left="420" w:leftChars="200"/>
    </w:pPr>
    <w:rPr>
      <w:sz w:val="20"/>
    </w:rPr>
  </w:style>
  <w:style w:type="paragraph" w:customStyle="1" w:styleId="47">
    <w:name w:val="Heading3"/>
    <w:basedOn w:val="1"/>
    <w:next w:val="1"/>
    <w:qFormat/>
    <w:uiPriority w:val="0"/>
    <w:pPr>
      <w:keepNext/>
      <w:spacing w:before="240" w:after="60"/>
    </w:pPr>
    <w:rPr>
      <w:rFonts w:ascii="Cambria" w:hAnsi="Cambria"/>
      <w:b/>
      <w:bCs/>
      <w:sz w:val="26"/>
      <w:szCs w:val="26"/>
    </w:rPr>
  </w:style>
  <w:style w:type="paragraph" w:styleId="48">
    <w:name w:val="List Paragraph"/>
    <w:basedOn w:val="1"/>
    <w:unhideWhenUsed/>
    <w:qFormat/>
    <w:uiPriority w:val="99"/>
    <w:pPr>
      <w:ind w:firstLine="420" w:firstLineChars="200"/>
    </w:pPr>
  </w:style>
  <w:style w:type="character" w:customStyle="1" w:styleId="49">
    <w:name w:val="font101"/>
    <w:basedOn w:val="27"/>
    <w:qFormat/>
    <w:uiPriority w:val="0"/>
    <w:rPr>
      <w:rFonts w:hint="eastAsia" w:ascii="仿宋" w:hAnsi="仿宋" w:eastAsia="仿宋" w:cs="仿宋"/>
      <w:color w:val="000000"/>
      <w:sz w:val="28"/>
      <w:szCs w:val="28"/>
      <w:u w:val="none"/>
    </w:rPr>
  </w:style>
  <w:style w:type="paragraph" w:customStyle="1" w:styleId="50">
    <w:name w:val="标题4"/>
    <w:basedOn w:val="8"/>
    <w:qFormat/>
    <w:uiPriority w:val="0"/>
  </w:style>
  <w:style w:type="character" w:customStyle="1" w:styleId="51">
    <w:name w:val="font81"/>
    <w:basedOn w:val="27"/>
    <w:qFormat/>
    <w:uiPriority w:val="0"/>
    <w:rPr>
      <w:rFonts w:hint="eastAsia" w:ascii="仿宋" w:hAnsi="仿宋" w:eastAsia="仿宋" w:cs="仿宋"/>
      <w:color w:val="000000"/>
      <w:sz w:val="24"/>
      <w:szCs w:val="24"/>
      <w:u w:val="none"/>
    </w:rPr>
  </w:style>
  <w:style w:type="character" w:customStyle="1" w:styleId="52">
    <w:name w:val="font11"/>
    <w:basedOn w:val="27"/>
    <w:qFormat/>
    <w:uiPriority w:val="0"/>
    <w:rPr>
      <w:rFonts w:hint="eastAsia" w:ascii="仿宋" w:hAnsi="仿宋" w:eastAsia="仿宋" w:cs="仿宋"/>
      <w:color w:val="000000"/>
      <w:sz w:val="24"/>
      <w:szCs w:val="24"/>
      <w:u w:val="none"/>
    </w:rPr>
  </w:style>
  <w:style w:type="character" w:customStyle="1" w:styleId="53">
    <w:name w:val="font01"/>
    <w:basedOn w:val="27"/>
    <w:qFormat/>
    <w:uiPriority w:val="0"/>
    <w:rPr>
      <w:rFonts w:ascii="Arial" w:hAnsi="Arial" w:cs="Arial"/>
      <w:color w:val="000000"/>
      <w:sz w:val="24"/>
      <w:szCs w:val="24"/>
      <w:u w:val="none"/>
    </w:rPr>
  </w:style>
  <w:style w:type="character" w:customStyle="1" w:styleId="54">
    <w:name w:val="font31"/>
    <w:basedOn w:val="27"/>
    <w:qFormat/>
    <w:uiPriority w:val="0"/>
    <w:rPr>
      <w:rFonts w:hint="eastAsia" w:ascii="仿宋" w:hAnsi="仿宋" w:eastAsia="仿宋" w:cs="仿宋"/>
      <w:color w:val="000000"/>
      <w:sz w:val="28"/>
      <w:szCs w:val="28"/>
      <w:u w:val="none"/>
    </w:rPr>
  </w:style>
  <w:style w:type="character" w:customStyle="1" w:styleId="55">
    <w:name w:val="正文文本 字符"/>
    <w:basedOn w:val="27"/>
    <w:qFormat/>
    <w:uiPriority w:val="0"/>
    <w:rPr>
      <w:kern w:val="2"/>
      <w:sz w:val="21"/>
      <w:szCs w:val="24"/>
    </w:rPr>
  </w:style>
  <w:style w:type="character" w:customStyle="1" w:styleId="56">
    <w:name w:val="正文文本首行缩进 字符"/>
    <w:link w:val="24"/>
    <w:qFormat/>
    <w:uiPriority w:val="0"/>
    <w:rPr>
      <w:sz w:val="21"/>
      <w:szCs w:val="21"/>
    </w:rPr>
  </w:style>
  <w:style w:type="character" w:customStyle="1" w:styleId="57">
    <w:name w:val="正文文本缩进 字符"/>
    <w:basedOn w:val="27"/>
    <w:qFormat/>
    <w:uiPriority w:val="0"/>
    <w:rPr>
      <w:sz w:val="21"/>
      <w:szCs w:val="21"/>
    </w:rPr>
  </w:style>
  <w:style w:type="character" w:customStyle="1" w:styleId="58">
    <w:name w:val="正文首行缩进 2 字符"/>
    <w:basedOn w:val="57"/>
    <w:qFormat/>
    <w:uiPriority w:val="0"/>
    <w:rPr>
      <w:sz w:val="21"/>
      <w:szCs w:val="21"/>
    </w:rPr>
  </w:style>
  <w:style w:type="character" w:customStyle="1" w:styleId="59">
    <w:name w:val="正文文本缩进 字符1"/>
    <w:basedOn w:val="27"/>
    <w:link w:val="3"/>
    <w:qFormat/>
    <w:uiPriority w:val="0"/>
    <w:rPr>
      <w:kern w:val="2"/>
      <w:sz w:val="21"/>
      <w:szCs w:val="21"/>
    </w:rPr>
  </w:style>
  <w:style w:type="character" w:customStyle="1" w:styleId="60">
    <w:name w:val="正文文本首行缩进 2 字符"/>
    <w:basedOn w:val="59"/>
    <w:link w:val="2"/>
    <w:qFormat/>
    <w:uiPriority w:val="0"/>
    <w:rPr>
      <w:kern w:val="2"/>
      <w:sz w:val="21"/>
      <w:szCs w:val="21"/>
    </w:rPr>
  </w:style>
  <w:style w:type="character" w:customStyle="1" w:styleId="61">
    <w:name w:val="正文文本 字符1"/>
    <w:basedOn w:val="27"/>
    <w:link w:val="13"/>
    <w:qFormat/>
    <w:uiPriority w:val="0"/>
    <w:rPr>
      <w:sz w:val="24"/>
      <w:szCs w:val="24"/>
      <w:lang w:eastAsia="en-US" w:bidi="en-US"/>
    </w:rPr>
  </w:style>
  <w:style w:type="paragraph" w:customStyle="1" w:styleId="62">
    <w:name w:val="Style1"/>
    <w:qFormat/>
    <w:uiPriority w:val="0"/>
    <w:pPr>
      <w:spacing w:after="120"/>
      <w:jc w:val="both"/>
    </w:pPr>
    <w:rPr>
      <w:rFonts w:ascii="Times New Roman" w:hAnsi="Times New Roman" w:eastAsia="宋体" w:cs="Times New Roman"/>
      <w:color w:val="000000"/>
      <w:spacing w:val="-3"/>
      <w:sz w:val="24"/>
      <w:szCs w:val="24"/>
      <w:lang w:val="en-US" w:eastAsia="zh-CN" w:bidi="ar-SA"/>
    </w:rPr>
  </w:style>
  <w:style w:type="paragraph" w:customStyle="1" w:styleId="63">
    <w:name w:val="_Style 6"/>
    <w:basedOn w:val="5"/>
    <w:next w:val="1"/>
    <w:qFormat/>
    <w:uiPriority w:val="0"/>
    <w:pPr>
      <w:outlineLvl w:val="9"/>
    </w:pPr>
  </w:style>
  <w:style w:type="character" w:customStyle="1" w:styleId="64">
    <w:name w:val="font21"/>
    <w:basedOn w:val="27"/>
    <w:qFormat/>
    <w:uiPriority w:val="0"/>
    <w:rPr>
      <w:rFonts w:hint="default" w:ascii="Times New Roman" w:hAnsi="Times New Roman" w:cs="Times New Roman"/>
      <w:color w:val="000000"/>
      <w:sz w:val="16"/>
      <w:szCs w:val="16"/>
      <w:u w:val="none"/>
    </w:rPr>
  </w:style>
  <w:style w:type="paragraph" w:customStyle="1" w:styleId="65">
    <w:name w:val="paragraph"/>
    <w:basedOn w:val="1"/>
    <w:semiHidden/>
    <w:qFormat/>
    <w:uiPriority w:val="0"/>
    <w:pPr>
      <w:widowControl/>
      <w:spacing w:before="100" w:beforeAutospacing="1" w:after="100" w:afterAutospacing="1"/>
    </w:pPr>
    <w:rPr>
      <w:rFonts w:ascii="等线" w:hAnsi="等线" w:eastAsia="等线"/>
      <w:kern w:val="0"/>
    </w:rPr>
  </w:style>
  <w:style w:type="paragraph" w:customStyle="1" w:styleId="66">
    <w:name w:val="列表段落1"/>
    <w:basedOn w:val="1"/>
    <w:qFormat/>
    <w:uiPriority w:val="0"/>
    <w:pPr>
      <w:spacing w:line="360" w:lineRule="auto"/>
      <w:ind w:firstLine="200" w:firstLineChars="200"/>
    </w:pPr>
    <w:rPr>
      <w:color w:val="262626"/>
      <w:kern w:val="0"/>
      <w:sz w:val="20"/>
      <w:szCs w:val="20"/>
    </w:rPr>
  </w:style>
  <w:style w:type="paragraph" w:customStyle="1" w:styleId="67">
    <w:name w:val="TOC 标题1"/>
    <w:basedOn w:val="5"/>
    <w:next w:val="1"/>
    <w:qFormat/>
    <w:uiPriority w:val="0"/>
    <w:pPr>
      <w:outlineLvl w:val="9"/>
    </w:pPr>
  </w:style>
  <w:style w:type="paragraph" w:customStyle="1" w:styleId="68">
    <w:name w:val="Revision"/>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4" Type="http://schemas.openxmlformats.org/officeDocument/2006/relationships/fontTable" Target="fontTable.xml"/><Relationship Id="rId43" Type="http://schemas.openxmlformats.org/officeDocument/2006/relationships/numbering" Target="numbering.xml"/><Relationship Id="rId42" Type="http://schemas.openxmlformats.org/officeDocument/2006/relationships/customXml" Target="../customXml/item1.xml"/><Relationship Id="rId41" Type="http://schemas.openxmlformats.org/officeDocument/2006/relationships/image" Target="media/image16.wmf"/><Relationship Id="rId40" Type="http://schemas.openxmlformats.org/officeDocument/2006/relationships/oleObject" Target="embeddings/oleObject5.bin"/><Relationship Id="rId4" Type="http://schemas.openxmlformats.org/officeDocument/2006/relationships/footer" Target="footer1.xml"/><Relationship Id="rId39" Type="http://schemas.openxmlformats.org/officeDocument/2006/relationships/image" Target="media/image15.wmf"/><Relationship Id="rId38" Type="http://schemas.openxmlformats.org/officeDocument/2006/relationships/oleObject" Target="embeddings/oleObject4.bin"/><Relationship Id="rId37" Type="http://schemas.openxmlformats.org/officeDocument/2006/relationships/image" Target="media/image14.wmf"/><Relationship Id="rId36" Type="http://schemas.openxmlformats.org/officeDocument/2006/relationships/oleObject" Target="embeddings/oleObject3.bin"/><Relationship Id="rId35" Type="http://schemas.openxmlformats.org/officeDocument/2006/relationships/image" Target="media/image13.wmf"/><Relationship Id="rId34" Type="http://schemas.openxmlformats.org/officeDocument/2006/relationships/oleObject" Target="embeddings/oleObject2.bin"/><Relationship Id="rId33" Type="http://schemas.openxmlformats.org/officeDocument/2006/relationships/image" Target="media/image12.wmf"/><Relationship Id="rId32" Type="http://schemas.openxmlformats.org/officeDocument/2006/relationships/oleObject" Target="embeddings/oleObject1.bin"/><Relationship Id="rId31" Type="http://schemas.openxmlformats.org/officeDocument/2006/relationships/image" Target="media/image11.png"/><Relationship Id="rId30" Type="http://schemas.openxmlformats.org/officeDocument/2006/relationships/image" Target="media/image10.png"/><Relationship Id="rId3" Type="http://schemas.openxmlformats.org/officeDocument/2006/relationships/header" Target="header1.xml"/><Relationship Id="rId29" Type="http://schemas.openxmlformats.org/officeDocument/2006/relationships/image" Target="media/image9.png"/><Relationship Id="rId28" Type="http://schemas.openxmlformats.org/officeDocument/2006/relationships/image" Target="media/image8.png"/><Relationship Id="rId27" Type="http://schemas.openxmlformats.org/officeDocument/2006/relationships/image" Target="media/image7.png"/><Relationship Id="rId26" Type="http://schemas.openxmlformats.org/officeDocument/2006/relationships/image" Target="media/image6.png"/><Relationship Id="rId25" Type="http://schemas.openxmlformats.org/officeDocument/2006/relationships/image" Target="media/image5.png"/><Relationship Id="rId24" Type="http://schemas.openxmlformats.org/officeDocument/2006/relationships/image" Target="media/image4.png"/><Relationship Id="rId23" Type="http://schemas.openxmlformats.org/officeDocument/2006/relationships/image" Target="media/image3.png"/><Relationship Id="rId22" Type="http://schemas.openxmlformats.org/officeDocument/2006/relationships/image" Target="media/image2.png"/><Relationship Id="rId21" Type="http://schemas.openxmlformats.org/officeDocument/2006/relationships/image" Target="media/image1.png"/><Relationship Id="rId20"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8.xml"/><Relationship Id="rId17" Type="http://schemas.openxmlformats.org/officeDocument/2006/relationships/footer" Target="footer8.xml"/><Relationship Id="rId16" Type="http://schemas.openxmlformats.org/officeDocument/2006/relationships/header" Target="header7.xml"/><Relationship Id="rId15" Type="http://schemas.openxmlformats.org/officeDocument/2006/relationships/footer" Target="footer7.xml"/><Relationship Id="rId14" Type="http://schemas.openxmlformats.org/officeDocument/2006/relationships/footer" Target="footer6.xml"/><Relationship Id="rId13" Type="http://schemas.openxmlformats.org/officeDocument/2006/relationships/header" Target="header6.xml"/><Relationship Id="rId12" Type="http://schemas.openxmlformats.org/officeDocument/2006/relationships/header" Target="header5.xml"/><Relationship Id="rId11" Type="http://schemas.openxmlformats.org/officeDocument/2006/relationships/footer" Target="footer5.xml"/><Relationship Id="rId10" Type="http://schemas.openxmlformats.org/officeDocument/2006/relationships/footer" Target="footer4.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Home</Company>
  <Pages>280</Pages>
  <Words>22906</Words>
  <Characters>24439</Characters>
  <Lines>4969</Lines>
  <Paragraphs>3980</Paragraphs>
  <TotalTime>9</TotalTime>
  <ScaleCrop>false</ScaleCrop>
  <LinksUpToDate>false</LinksUpToDate>
  <CharactersWithSpaces>24752</CharactersWithSpaces>
  <Application>WPS Office_12.1.0.19302_F1E327BC-269C-435d-A152-05C5408002CA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2024-09-19T09:03:00Z</dcterms:created>
  <dc:creator>Windows 用户</dc:creator>
  <cp:lastModifiedBy>刘圆</cp:lastModifiedBy>
  <cp:lastPrinted>2022-03-12T06:20:00Z</cp:lastPrinted>
  <dcterms:modified xsi:type="dcterms:W3CDTF">2025-12-12T07:46:47Z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4E668D186A15463989723BBAE0B2C941</vt:lpwstr>
  </property>
  <property fmtid="{D5CDD505-2E9C-101B-9397-08002B2CF9AE}" pid="4" name="KSOTemplateDocerSaveRecord">
    <vt:lpwstr>eyJoZGlkIjoiNzQ0NzMwNjJkMjI5YWNmMzI4MDFlYjE2YmQ2YWNjNzciLCJ1c2VySWQiOiI1NjA2NzEyODUifQ==</vt:lpwstr>
  </property>
</Properties>
</file>