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pPr>
        <w:jc w:val="center"/>
        <w:rPr>
          <w:rFonts w:hint="eastAsia" w:ascii="黑体" w:hAnsi="宋体" w:eastAsia="黑体"/>
          <w:sz w:val="56"/>
          <w:szCs w:val="84"/>
        </w:rPr>
      </w:pPr>
      <w:r>
        <w:rPr>
          <w:rFonts w:hint="eastAsia" w:ascii="宋体" w:hAnsi="宋体" w:eastAsia="宋体" w:cs="Times New Roman"/>
          <w:color w:val="auto"/>
          <w:kern w:val="2"/>
          <w:sz w:val="44"/>
          <w:szCs w:val="48"/>
          <w:lang w:val="en-US" w:eastAsia="zh-CN" w:bidi="ar-SA"/>
        </w:rPr>
        <w:t>专用车部增加8m合拢铸造平台</w:t>
      </w:r>
    </w:p>
    <w:p>
      <w:pPr>
        <w:pStyle w:val="2"/>
        <w:rPr>
          <w:rFonts w:hint="eastAsia"/>
        </w:rPr>
      </w:pPr>
    </w:p>
    <w:p>
      <w:pPr>
        <w:pStyle w:val="2"/>
        <w:rPr>
          <w:rFonts w:hint="eastAsia"/>
        </w:rPr>
      </w:pPr>
    </w:p>
    <w:p>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招</w:t>
      </w:r>
    </w:p>
    <w:p>
      <w:pPr>
        <w:jc w:val="center"/>
        <w:rPr>
          <w:rFonts w:hint="eastAsia" w:ascii="宋体" w:hAnsi="宋体" w:cs="Times New Roman"/>
          <w:color w:val="auto"/>
          <w:kern w:val="2"/>
          <w:sz w:val="44"/>
          <w:szCs w:val="48"/>
          <w:lang w:val="en-US" w:eastAsia="zh-CN" w:bidi="ar-SA"/>
        </w:rPr>
      </w:pPr>
    </w:p>
    <w:p>
      <w:pPr>
        <w:pStyle w:val="2"/>
        <w:rPr>
          <w:rFonts w:hint="eastAsia"/>
          <w:lang w:val="en-US" w:eastAsia="zh-CN"/>
        </w:rPr>
      </w:pPr>
    </w:p>
    <w:p>
      <w:pPr>
        <w:pStyle w:val="2"/>
        <w:rPr>
          <w:rFonts w:hint="eastAsia"/>
          <w:lang w:val="en-US" w:eastAsia="zh-CN"/>
        </w:rPr>
      </w:pPr>
    </w:p>
    <w:p>
      <w:pPr>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标</w:t>
      </w:r>
    </w:p>
    <w:p>
      <w:pPr>
        <w:jc w:val="center"/>
        <w:rPr>
          <w:rFonts w:hint="eastAsia" w:ascii="宋体" w:hAnsi="宋体" w:eastAsia="宋体" w:cs="Times New Roman"/>
          <w:color w:val="auto"/>
          <w:kern w:val="2"/>
          <w:sz w:val="44"/>
          <w:szCs w:val="48"/>
          <w:lang w:val="en-US" w:eastAsia="zh-CN" w:bidi="ar-SA"/>
        </w:rPr>
      </w:pPr>
    </w:p>
    <w:p>
      <w:pPr>
        <w:pStyle w:val="2"/>
        <w:rPr>
          <w:rFonts w:hint="eastAsia"/>
          <w:lang w:val="en-US" w:eastAsia="zh-CN"/>
        </w:rPr>
      </w:pPr>
    </w:p>
    <w:p>
      <w:pPr>
        <w:pStyle w:val="2"/>
        <w:rPr>
          <w:rFonts w:hint="eastAsia"/>
          <w:lang w:val="en-US" w:eastAsia="zh-CN"/>
        </w:rPr>
      </w:pPr>
    </w:p>
    <w:p>
      <w:pPr>
        <w:jc w:val="center"/>
        <w:rPr>
          <w:rFonts w:ascii="黑体" w:hAnsi="宋体" w:eastAsia="黑体"/>
          <w:sz w:val="56"/>
          <w:szCs w:val="84"/>
        </w:rPr>
      </w:pPr>
      <w:r>
        <w:rPr>
          <w:rFonts w:hint="eastAsia" w:ascii="宋体" w:hAnsi="宋体" w:eastAsia="宋体" w:cs="Times New Roman"/>
          <w:color w:val="auto"/>
          <w:kern w:val="2"/>
          <w:sz w:val="44"/>
          <w:szCs w:val="48"/>
          <w:lang w:val="en-US" w:eastAsia="zh-CN" w:bidi="ar-SA"/>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pStyle w:val="2"/>
        <w:rPr>
          <w:rFonts w:ascii="华文仿宋" w:hAnsi="华文仿宋" w:eastAsia="华文仿宋"/>
          <w:sz w:val="32"/>
          <w:szCs w:val="28"/>
        </w:rPr>
      </w:pPr>
    </w:p>
    <w:p>
      <w:pPr>
        <w:pStyle w:val="2"/>
        <w:rPr>
          <w:rFonts w:ascii="华文仿宋" w:hAnsi="华文仿宋" w:eastAsia="华文仿宋"/>
          <w:sz w:val="32"/>
          <w:szCs w:val="28"/>
        </w:rPr>
      </w:pPr>
    </w:p>
    <w:p>
      <w:pPr>
        <w:pStyle w:val="2"/>
        <w:rPr>
          <w:rFonts w:ascii="华文仿宋" w:hAnsi="华文仿宋" w:eastAsia="华文仿宋"/>
          <w:sz w:val="32"/>
          <w:szCs w:val="28"/>
        </w:rPr>
      </w:pPr>
    </w:p>
    <w:p>
      <w:pPr>
        <w:pStyle w:val="2"/>
        <w:rPr>
          <w:rFonts w:ascii="华文仿宋" w:hAnsi="华文仿宋" w:eastAsia="华文仿宋"/>
          <w:sz w:val="32"/>
          <w:szCs w:val="28"/>
        </w:rPr>
      </w:pPr>
    </w:p>
    <w:p>
      <w:pPr>
        <w:pStyle w:val="2"/>
        <w:rPr>
          <w:rFonts w:ascii="华文仿宋" w:hAnsi="华文仿宋" w:eastAsia="华文仿宋"/>
          <w:sz w:val="32"/>
          <w:szCs w:val="28"/>
        </w:rPr>
      </w:pPr>
    </w:p>
    <w:p>
      <w:pPr>
        <w:jc w:val="left"/>
        <w:rPr>
          <w:rFonts w:ascii="华文仿宋" w:hAnsi="华文仿宋" w:eastAsia="华文仿宋"/>
          <w:sz w:val="32"/>
          <w:szCs w:val="28"/>
        </w:rPr>
      </w:pPr>
    </w:p>
    <w:p>
      <w:pPr>
        <w:pStyle w:val="2"/>
      </w:pPr>
    </w:p>
    <w:p>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p>
    <w:p>
      <w:pPr>
        <w:pStyle w:val="2"/>
        <w:rPr>
          <w:rFonts w:ascii="宋体" w:hAnsi="宋体"/>
          <w:b/>
          <w:bCs/>
          <w:sz w:val="48"/>
          <w:szCs w:val="48"/>
        </w:rPr>
      </w:pPr>
    </w:p>
    <w:p>
      <w:pPr>
        <w:pStyle w:val="2"/>
        <w:rPr>
          <w:rFonts w:ascii="宋体" w:hAnsi="宋体"/>
          <w:b/>
          <w:bCs/>
          <w:sz w:val="48"/>
          <w:szCs w:val="48"/>
        </w:rPr>
      </w:pPr>
    </w:p>
    <w:p>
      <w:pPr>
        <w:pStyle w:val="2"/>
        <w:rPr>
          <w:rFonts w:ascii="宋体" w:hAnsi="宋体"/>
          <w:b/>
          <w:bCs/>
          <w:sz w:val="48"/>
          <w:szCs w:val="48"/>
        </w:rPr>
      </w:pPr>
    </w:p>
    <w:p>
      <w:pPr>
        <w:pStyle w:val="2"/>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16"/>
      </w:pPr>
      <w:r>
        <w:rPr>
          <w:rFonts w:hint="eastAsia"/>
        </w:rPr>
        <w:t>第一章 招标公告</w:t>
      </w:r>
    </w:p>
    <w:p>
      <w:pPr>
        <w:pStyle w:val="16"/>
      </w:pPr>
    </w:p>
    <w:p>
      <w:pPr>
        <w:pStyle w:val="16"/>
      </w:pPr>
      <w:r>
        <w:rPr>
          <w:rFonts w:hint="eastAsia"/>
        </w:rPr>
        <w:t>第</w:t>
      </w:r>
      <w:r>
        <w:rPr>
          <w:rFonts w:hint="eastAsia"/>
          <w:lang w:eastAsia="zh-CN"/>
        </w:rPr>
        <w:t>二</w:t>
      </w:r>
      <w:r>
        <w:rPr>
          <w:rFonts w:hint="eastAsia"/>
        </w:rPr>
        <w:t>章  技术协议书</w:t>
      </w:r>
    </w:p>
    <w:p>
      <w:pPr>
        <w:rPr>
          <w:rFonts w:hint="eastAsia"/>
        </w:rPr>
      </w:pPr>
    </w:p>
    <w:p>
      <w:pPr>
        <w:rPr>
          <w:rFonts w:hint="eastAsia"/>
        </w:rPr>
      </w:pPr>
    </w:p>
    <w:p>
      <w:pPr>
        <w:pStyle w:val="16"/>
        <w:numPr>
          <w:ilvl w:val="0"/>
          <w:numId w:val="1"/>
        </w:numPr>
        <w:rPr>
          <w:rFonts w:hint="eastAsia"/>
        </w:rPr>
      </w:pPr>
      <w:r>
        <w:rPr>
          <w:rFonts w:hint="eastAsia"/>
        </w:rPr>
        <w:t xml:space="preserve"> 合同模板</w:t>
      </w: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pPr>
        <w:pStyle w:val="16"/>
        <w:rPr>
          <w:rFonts w:hint="eastAsia"/>
        </w:rPr>
      </w:pPr>
    </w:p>
    <w:p>
      <w:pPr>
        <w:pStyle w:val="16"/>
      </w:pPr>
    </w:p>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2"/>
        <w:rPr>
          <w:rFonts w:ascii="黑体" w:hAnsi="Courier New" w:eastAsia="黑体"/>
          <w:b/>
          <w:bCs/>
          <w:sz w:val="36"/>
          <w:szCs w:val="36"/>
        </w:rPr>
      </w:pPr>
    </w:p>
    <w:p>
      <w:pPr>
        <w:pStyle w:val="2"/>
        <w:rPr>
          <w:rFonts w:ascii="黑体" w:hAnsi="Courier New" w:eastAsia="黑体"/>
          <w:b/>
          <w:bCs/>
          <w:sz w:val="36"/>
          <w:szCs w:val="36"/>
        </w:rPr>
      </w:pPr>
    </w:p>
    <w:p>
      <w:pPr>
        <w:pStyle w:val="2"/>
        <w:rPr>
          <w:rFonts w:ascii="黑体" w:hAnsi="Courier New" w:eastAsia="黑体"/>
          <w:b/>
          <w:bCs/>
          <w:sz w:val="36"/>
          <w:szCs w:val="36"/>
        </w:rPr>
      </w:pPr>
    </w:p>
    <w:p>
      <w:pPr>
        <w:pStyle w:val="2"/>
        <w:rPr>
          <w:rFonts w:ascii="黑体" w:hAnsi="Courier New" w:eastAsia="黑体"/>
          <w:b/>
          <w:bCs/>
          <w:sz w:val="36"/>
          <w:szCs w:val="36"/>
        </w:rPr>
      </w:pPr>
    </w:p>
    <w:p>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pPr>
        <w:pStyle w:val="11"/>
        <w:numPr>
          <w:ilvl w:val="0"/>
          <w:numId w:val="2"/>
        </w:numPr>
        <w:spacing w:line="360" w:lineRule="auto"/>
        <w:rPr>
          <w:rFonts w:ascii="黑体" w:eastAsia="黑体"/>
          <w:b/>
          <w:bCs/>
          <w:sz w:val="28"/>
        </w:rPr>
      </w:pPr>
      <w:r>
        <w:rPr>
          <w:rFonts w:hint="eastAsia" w:ascii="黑体" w:eastAsia="黑体"/>
          <w:b/>
          <w:bCs/>
          <w:sz w:val="28"/>
        </w:rPr>
        <w:t>项目名称</w:t>
      </w:r>
    </w:p>
    <w:p>
      <w:pPr>
        <w:ind w:firstLine="420" w:firstLineChars="200"/>
      </w:pPr>
      <w:r>
        <w:rPr>
          <w:rFonts w:hint="eastAsia"/>
        </w:rPr>
        <w:t>项目名称：</w:t>
      </w:r>
      <w:bookmarkStart w:id="0" w:name="OLE_LINK1"/>
      <w:r>
        <w:rPr>
          <w:rFonts w:hint="eastAsia"/>
          <w:lang w:eastAsia="zh-CN"/>
        </w:rPr>
        <w:t>专用车部增加8m合拢铸造平台项目</w:t>
      </w:r>
    </w:p>
    <w:bookmarkEnd w:id="0"/>
    <w:p>
      <w:pPr>
        <w:pStyle w:val="11"/>
        <w:numPr>
          <w:ilvl w:val="0"/>
          <w:numId w:val="2"/>
        </w:numPr>
        <w:spacing w:line="360" w:lineRule="auto"/>
        <w:rPr>
          <w:rFonts w:ascii="黑体" w:eastAsia="黑体"/>
          <w:b/>
          <w:bCs/>
          <w:sz w:val="28"/>
        </w:rPr>
      </w:pPr>
      <w:r>
        <w:rPr>
          <w:rFonts w:hint="eastAsia" w:ascii="黑体" w:eastAsia="黑体"/>
          <w:b/>
          <w:bCs/>
          <w:sz w:val="28"/>
        </w:rPr>
        <w:t>招标内容</w:t>
      </w:r>
    </w:p>
    <w:p>
      <w:pPr>
        <w:spacing w:line="360" w:lineRule="auto"/>
        <w:ind w:firstLine="480" w:firstLineChars="200"/>
        <w:jc w:val="left"/>
        <w:rPr>
          <w:rFonts w:hint="eastAsia" w:ascii="宋体" w:hAnsi="宋体"/>
          <w:bCs/>
          <w:sz w:val="24"/>
        </w:rPr>
      </w:pPr>
      <w:r>
        <w:rPr>
          <w:rFonts w:hint="eastAsia" w:ascii="宋体" w:hAnsi="宋体"/>
          <w:sz w:val="24"/>
          <w:lang w:val="en-US" w:eastAsia="zh-CN"/>
        </w:rPr>
        <w:t>3000*8000*410mm铸造合拢平台</w:t>
      </w:r>
      <w:r>
        <w:rPr>
          <w:rFonts w:hint="eastAsia" w:ascii="宋体" w:hAnsi="宋体"/>
          <w:sz w:val="24"/>
        </w:rPr>
        <w:t>，包括：深化设计费、人工费、材料费（损耗费、辅材费、制作加工费、包装费、运输费、装卸费、采购保管费、试验及检测费、安装费、样品费）、机械费、</w:t>
      </w:r>
      <w:r>
        <w:rPr>
          <w:rFonts w:hint="eastAsia" w:ascii="宋体" w:hAnsi="宋体"/>
          <w:sz w:val="24"/>
          <w:highlight w:val="yellow"/>
          <w:lang w:eastAsia="zh-CN"/>
        </w:rPr>
        <w:t>基建费用、</w:t>
      </w:r>
      <w:r>
        <w:rPr>
          <w:rFonts w:hint="eastAsia" w:ascii="宋体" w:hAnsi="宋体"/>
          <w:sz w:val="24"/>
        </w:rPr>
        <w:t>措施费（包含赶工措施费、安全文明施工、临时设施、半成品及成品保护、垃圾清运）、企业管理费、利润、规费、税金、保险、技术资料费、竣工资料费、质量保修、配合其他单位施工的相关费用及人工材料涨价、汇率变动、政策性文件规定等不可预见费用的所有费用。</w:t>
      </w:r>
    </w:p>
    <w:p>
      <w:pPr>
        <w:spacing w:line="360" w:lineRule="auto"/>
        <w:ind w:firstLine="480" w:firstLineChars="200"/>
        <w:jc w:val="left"/>
        <w:rPr>
          <w:rFonts w:hint="default" w:ascii="Times New Roman" w:hAnsi="Times New Roman" w:cs="Times New Roman"/>
          <w:b w:val="0"/>
          <w:bCs w:val="0"/>
          <w:kern w:val="2"/>
          <w:sz w:val="21"/>
          <w:lang w:val="en-US" w:eastAsia="zh-CN" w:bidi="ar-SA"/>
        </w:rPr>
      </w:pPr>
      <w:r>
        <w:rPr>
          <w:rFonts w:hint="eastAsia" w:ascii="宋体" w:hAnsi="宋体"/>
          <w:sz w:val="24"/>
        </w:rPr>
        <w:t>所有投标均以人民币报价,含税。</w:t>
      </w:r>
    </w:p>
    <w:p>
      <w:pPr>
        <w:pStyle w:val="11"/>
        <w:numPr>
          <w:ilvl w:val="0"/>
          <w:numId w:val="2"/>
        </w:numPr>
        <w:spacing w:line="360" w:lineRule="auto"/>
        <w:rPr>
          <w:rFonts w:ascii="黑体" w:eastAsia="黑体"/>
          <w:b/>
          <w:bCs/>
          <w:sz w:val="28"/>
        </w:rPr>
      </w:pPr>
      <w:r>
        <w:rPr>
          <w:rFonts w:hint="eastAsia" w:ascii="黑体" w:eastAsia="黑体"/>
          <w:b/>
          <w:bCs/>
          <w:sz w:val="28"/>
        </w:rPr>
        <w:t>招标形式</w:t>
      </w:r>
    </w:p>
    <w:p>
      <w:pPr>
        <w:pStyle w:val="11"/>
        <w:spacing w:line="360" w:lineRule="auto"/>
        <w:ind w:firstLine="420" w:firstLineChars="200"/>
        <w:rPr>
          <w:rFonts w:hint="eastAsia" w:eastAsia="宋体"/>
          <w:lang w:eastAsia="zh-CN"/>
        </w:rPr>
      </w:pPr>
      <w:r>
        <w:rPr>
          <w:rFonts w:hint="eastAsia"/>
        </w:rPr>
        <w:t>招标形式：</w:t>
      </w:r>
      <w:r>
        <w:rPr>
          <w:rFonts w:hint="eastAsia"/>
          <w:lang w:eastAsia="zh-CN"/>
        </w:rPr>
        <w:t>公开招标</w:t>
      </w:r>
    </w:p>
    <w:p>
      <w:pPr>
        <w:pStyle w:val="11"/>
        <w:numPr>
          <w:ilvl w:val="0"/>
          <w:numId w:val="2"/>
        </w:numPr>
        <w:spacing w:line="360" w:lineRule="auto"/>
        <w:rPr>
          <w:rFonts w:ascii="黑体" w:eastAsia="黑体"/>
          <w:b/>
          <w:bCs/>
          <w:sz w:val="28"/>
        </w:rPr>
      </w:pPr>
      <w:r>
        <w:rPr>
          <w:rFonts w:hint="eastAsia" w:ascii="黑体" w:eastAsia="黑体"/>
          <w:b/>
          <w:bCs/>
          <w:sz w:val="28"/>
        </w:rPr>
        <w:t>议程安排</w:t>
      </w:r>
    </w:p>
    <w:p>
      <w:pPr>
        <w:pStyle w:val="11"/>
        <w:numPr>
          <w:ilvl w:val="0"/>
          <w:numId w:val="3"/>
        </w:numPr>
        <w:spacing w:line="360" w:lineRule="auto"/>
        <w:ind w:left="420"/>
        <w:rPr>
          <w:b/>
          <w:bCs/>
        </w:rPr>
      </w:pPr>
      <w:r>
        <w:rPr>
          <w:rFonts w:hint="eastAsia"/>
          <w:b/>
          <w:bCs/>
        </w:rPr>
        <w:t>答疑时间：</w:t>
      </w:r>
      <w:r>
        <w:rPr>
          <w:rFonts w:hint="eastAsia"/>
        </w:rPr>
        <w:t>截止至202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日下午</w:t>
      </w:r>
      <w:r>
        <w:t>17</w:t>
      </w:r>
      <w:r>
        <w:rPr>
          <w:rFonts w:hint="eastAsia"/>
        </w:rPr>
        <w:t>点前</w:t>
      </w:r>
    </w:p>
    <w:p>
      <w:pPr>
        <w:pStyle w:val="11"/>
        <w:numPr>
          <w:ilvl w:val="0"/>
          <w:numId w:val="3"/>
        </w:numPr>
        <w:spacing w:line="360" w:lineRule="auto"/>
        <w:ind w:left="420"/>
        <w:rPr>
          <w:rFonts w:hint="eastAsia"/>
          <w:b/>
          <w:bCs/>
        </w:rPr>
      </w:pPr>
      <w:r>
        <w:rPr>
          <w:rFonts w:hint="eastAsia"/>
          <w:b/>
          <w:bCs/>
        </w:rPr>
        <w:t>答疑方式：电话答疑。</w:t>
      </w:r>
    </w:p>
    <w:p>
      <w:pPr>
        <w:pStyle w:val="11"/>
        <w:numPr>
          <w:ilvl w:val="0"/>
          <w:numId w:val="3"/>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26</w:t>
      </w:r>
      <w:r>
        <w:rPr>
          <w:rFonts w:hint="eastAsia"/>
          <w:highlight w:val="yellow"/>
        </w:rPr>
        <w:t>日上午9点开标。</w:t>
      </w:r>
      <w:r>
        <w:rPr>
          <w:rFonts w:hint="eastAsia"/>
          <w:highlight w:val="yellow"/>
          <w:lang w:eastAsia="zh-CN"/>
        </w:rPr>
        <w:t>（暂定，以电话通知为准）</w:t>
      </w:r>
    </w:p>
    <w:p>
      <w:pPr>
        <w:snapToGrid w:val="0"/>
        <w:spacing w:line="360" w:lineRule="auto"/>
        <w:ind w:firstLine="482" w:firstLineChars="200"/>
        <w:rPr>
          <w:rFonts w:hint="eastAsia" w:ascii="宋体" w:hAnsi="宋体"/>
          <w:b/>
          <w:sz w:val="24"/>
          <w:u w:val="single"/>
        </w:rPr>
      </w:pPr>
      <w:r>
        <w:rPr>
          <w:rFonts w:hint="eastAsia" w:ascii="宋体" w:hAnsi="宋体"/>
          <w:b/>
          <w:sz w:val="24"/>
          <w:lang w:val="en-US" w:eastAsia="zh-CN"/>
        </w:rPr>
        <w:t>4、</w:t>
      </w:r>
      <w:r>
        <w:rPr>
          <w:rFonts w:hint="eastAsia" w:ascii="宋体" w:hAnsi="宋体"/>
          <w:b/>
          <w:sz w:val="24"/>
        </w:rPr>
        <w:t>商务联系人及联系电话：</w:t>
      </w:r>
      <w:r>
        <w:rPr>
          <w:rFonts w:hint="eastAsia" w:ascii="宋体" w:hAnsi="宋体" w:cs="宋体"/>
          <w:sz w:val="24"/>
          <w:lang w:eastAsia="zh-CN"/>
        </w:rPr>
        <w:t>高鑫鑫</w:t>
      </w:r>
      <w:r>
        <w:rPr>
          <w:rFonts w:hint="eastAsia" w:ascii="宋体" w:hAnsi="宋体" w:cs="宋体"/>
          <w:sz w:val="24"/>
          <w:lang w:val="en-US" w:eastAsia="zh-CN"/>
        </w:rPr>
        <w:t xml:space="preserve"> </w:t>
      </w:r>
      <w:r>
        <w:rPr>
          <w:rFonts w:hint="eastAsia" w:ascii="宋体" w:hAnsi="宋体" w:eastAsia="宋体" w:cs="宋体"/>
          <w:sz w:val="24"/>
          <w:lang w:val="en-US" w:eastAsia="zh-CN"/>
        </w:rPr>
        <w:t>13562857992</w:t>
      </w:r>
    </w:p>
    <w:p>
      <w:pPr>
        <w:pStyle w:val="11"/>
        <w:numPr>
          <w:ilvl w:val="0"/>
          <w:numId w:val="0"/>
        </w:numPr>
        <w:spacing w:line="360" w:lineRule="auto"/>
        <w:ind w:left="420" w:leftChars="0" w:firstLine="482" w:firstLineChars="200"/>
        <w:rPr>
          <w:rFonts w:hint="eastAsia"/>
          <w:highlight w:val="none"/>
          <w:lang w:val="en-US" w:eastAsia="zh-CN"/>
        </w:rPr>
      </w:pPr>
      <w:r>
        <w:rPr>
          <w:rFonts w:hint="eastAsia" w:ascii="宋体" w:hAnsi="宋体"/>
          <w:b/>
          <w:sz w:val="24"/>
        </w:rPr>
        <w:t>现场勘查、技术答疑联系人及联系电话：</w:t>
      </w:r>
      <w:r>
        <w:rPr>
          <w:rFonts w:hint="eastAsia" w:ascii="宋体" w:hAnsi="宋体"/>
          <w:b/>
          <w:sz w:val="24"/>
          <w:u w:val="single"/>
          <w:lang w:eastAsia="zh-CN"/>
        </w:rPr>
        <w:t>侯波</w:t>
      </w:r>
      <w:r>
        <w:rPr>
          <w:rFonts w:hint="eastAsia" w:ascii="宋体" w:hAnsi="宋体"/>
          <w:b/>
          <w:sz w:val="24"/>
          <w:u w:val="single"/>
        </w:rPr>
        <w:t xml:space="preserve"> 15</w:t>
      </w:r>
      <w:r>
        <w:rPr>
          <w:rFonts w:hint="eastAsia" w:ascii="宋体" w:hAnsi="宋体"/>
          <w:b/>
          <w:sz w:val="24"/>
          <w:u w:val="single"/>
          <w:lang w:val="en-US" w:eastAsia="zh-CN"/>
        </w:rPr>
        <w:t>864774483</w:t>
      </w:r>
    </w:p>
    <w:p>
      <w:pPr>
        <w:pStyle w:val="11"/>
        <w:numPr>
          <w:ilvl w:val="0"/>
          <w:numId w:val="0"/>
        </w:numPr>
        <w:spacing w:line="360" w:lineRule="auto"/>
        <w:ind w:left="420" w:leftChars="0"/>
        <w:rPr>
          <w:rFonts w:hint="eastAsia"/>
          <w:highlight w:val="none"/>
          <w:lang w:val="en-US" w:eastAsia="zh-CN"/>
        </w:rPr>
      </w:pPr>
      <w:r>
        <w:rPr>
          <w:rFonts w:hint="eastAsia"/>
          <w:b/>
          <w:bCs/>
          <w:highlight w:val="none"/>
          <w:lang w:val="en-US" w:eastAsia="zh-CN"/>
        </w:rPr>
        <w:t>5、</w:t>
      </w:r>
      <w:r>
        <w:rPr>
          <w:rFonts w:hint="eastAsia"/>
          <w:b/>
          <w:bCs/>
          <w:highlight w:val="none"/>
          <w:lang w:eastAsia="zh-CN"/>
        </w:rPr>
        <w:t>投标邮箱：</w:t>
      </w:r>
      <w:r>
        <w:rPr>
          <w:rFonts w:hint="eastAsia"/>
          <w:b/>
          <w:bCs/>
          <w:sz w:val="28"/>
          <w:szCs w:val="24"/>
          <w:highlight w:val="none"/>
          <w:lang w:val="en-US" w:eastAsia="zh-CN"/>
        </w:rPr>
        <w:t>wyzz</w:t>
      </w:r>
      <w:r>
        <w:rPr>
          <w:rFonts w:hint="eastAsia"/>
          <w:b/>
          <w:bCs/>
          <w:sz w:val="28"/>
          <w:szCs w:val="24"/>
          <w:highlight w:val="none"/>
          <w:lang w:eastAsia="zh-CN"/>
        </w:rPr>
        <w:t>@sinotruk.com</w:t>
      </w:r>
      <w:r>
        <w:rPr>
          <w:rFonts w:hint="eastAsia"/>
          <w:highlight w:val="none"/>
        </w:rPr>
        <w:t xml:space="preserve">  </w:t>
      </w:r>
      <w:r>
        <w:rPr>
          <w:rFonts w:hint="eastAsia"/>
          <w:highlight w:val="none"/>
          <w:lang w:val="en-US" w:eastAsia="zh-CN"/>
        </w:rPr>
        <w:t xml:space="preserve">  </w:t>
      </w:r>
    </w:p>
    <w:p>
      <w:pPr>
        <w:pStyle w:val="11"/>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pPr>
        <w:pStyle w:val="11"/>
        <w:spacing w:line="360" w:lineRule="auto"/>
        <w:ind w:firstLine="422" w:firstLineChars="200"/>
        <w:rPr>
          <w:b/>
        </w:rPr>
      </w:pPr>
      <w:r>
        <w:rPr>
          <w:rFonts w:hint="eastAsia"/>
          <w:b/>
        </w:rPr>
        <w:t>1.合格投标人：</w:t>
      </w:r>
    </w:p>
    <w:p>
      <w:pPr>
        <w:pStyle w:val="11"/>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11"/>
        <w:numPr>
          <w:ilvl w:val="0"/>
          <w:numId w:val="0"/>
        </w:numPr>
        <w:spacing w:line="360" w:lineRule="auto"/>
        <w:ind w:left="380" w:leftChars="0"/>
        <w:rPr>
          <w:rFonts w:hint="eastAsia" w:eastAsia="微软雅黑"/>
          <w:b/>
          <w:bCs/>
          <w:highlight w:val="yellow"/>
          <w:lang w:val="en-US" w:eastAsia="zh-CN"/>
        </w:rPr>
      </w:pPr>
      <w:r>
        <w:rPr>
          <w:rFonts w:hint="eastAsia"/>
          <w:b/>
          <w:bCs/>
          <w:highlight w:val="yellow"/>
        </w:rPr>
        <w:t>*⑵</w:t>
      </w:r>
      <w:r>
        <w:rPr>
          <w:rFonts w:hint="eastAsia" w:ascii="微软雅黑" w:hAnsi="微软雅黑" w:eastAsia="微软雅黑" w:cs="微软雅黑"/>
          <w:i w:val="0"/>
          <w:iCs w:val="0"/>
          <w:caps w:val="0"/>
          <w:color w:val="000000"/>
          <w:spacing w:val="0"/>
          <w:kern w:val="0"/>
          <w:sz w:val="24"/>
          <w:szCs w:val="24"/>
          <w:highlight w:val="yellow"/>
          <w:lang w:val="en-US" w:eastAsia="zh-CN" w:bidi="ar"/>
        </w:rPr>
        <w:t>具有链式翻转机相关生产资质、注册资金100万元以上、截止至2024年1月1日成立满三年以上</w:t>
      </w:r>
      <w:r>
        <w:rPr>
          <w:rFonts w:hint="eastAsia"/>
          <w:b/>
          <w:bCs/>
          <w:highlight w:val="yellow"/>
        </w:rPr>
        <w:t>；</w:t>
      </w:r>
    </w:p>
    <w:p>
      <w:pPr>
        <w:pStyle w:val="11"/>
        <w:spacing w:line="360" w:lineRule="auto"/>
        <w:ind w:firstLine="282" w:firstLineChars="134"/>
        <w:rPr>
          <w:rFonts w:hint="eastAsia"/>
          <w:b/>
          <w:bCs/>
        </w:rPr>
      </w:pPr>
      <w:r>
        <w:rPr>
          <w:rFonts w:hint="eastAsia"/>
          <w:b/>
          <w:bCs/>
        </w:rPr>
        <w:t>*⑶投标人须提供具有统一社会信用代码的新版营业执照副本原件或复印件；</w:t>
      </w:r>
    </w:p>
    <w:p>
      <w:pPr>
        <w:pStyle w:val="11"/>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pPr>
        <w:pStyle w:val="11"/>
        <w:spacing w:line="360" w:lineRule="auto"/>
        <w:ind w:firstLine="420" w:firstLineChars="200"/>
      </w:pPr>
      <w:r>
        <w:rPr>
          <w:rFonts w:hint="eastAsia"/>
        </w:rPr>
        <w:t>⑸投标人在近三年内在经营活动中无违法记录。</w:t>
      </w:r>
    </w:p>
    <w:p>
      <w:pPr>
        <w:pStyle w:val="11"/>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11"/>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11"/>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pPr>
        <w:pStyle w:val="11"/>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pPr>
        <w:pStyle w:val="11"/>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pPr>
        <w:pStyle w:val="11"/>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pPr>
        <w:pStyle w:val="11"/>
        <w:spacing w:line="360" w:lineRule="auto"/>
        <w:ind w:firstLine="420" w:firstLineChars="200"/>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pPr>
        <w:pStyle w:val="11"/>
        <w:spacing w:line="360" w:lineRule="auto"/>
        <w:rPr>
          <w:b/>
        </w:rPr>
      </w:pPr>
      <w:r>
        <w:rPr>
          <w:rFonts w:hint="eastAsia"/>
          <w:b/>
        </w:rPr>
        <w:t>2.投标文件格式组成</w:t>
      </w:r>
    </w:p>
    <w:p>
      <w:pPr>
        <w:pStyle w:val="11"/>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2.1</w:t>
      </w:r>
      <w:r>
        <w:rPr>
          <w:rFonts w:hint="eastAsia"/>
          <w:b/>
          <w:color w:val="auto"/>
          <w:lang w:val="en-US" w:eastAsia="zh-CN"/>
        </w:rPr>
        <w:t>附件一</w:t>
      </w:r>
      <w:r>
        <w:rPr>
          <w:rFonts w:hint="eastAsia"/>
          <w:b/>
          <w:color w:val="auto"/>
          <w:highlight w:val="none"/>
          <w:lang w:val="en-US" w:eastAsia="zh-CN"/>
        </w:rPr>
        <w:t>至五项内容</w:t>
      </w:r>
    </w:p>
    <w:p>
      <w:pPr>
        <w:pStyle w:val="11"/>
        <w:spacing w:line="360" w:lineRule="auto"/>
        <w:ind w:firstLine="422" w:firstLineChars="200"/>
        <w:rPr>
          <w:rFonts w:hint="eastAsia"/>
          <w:b/>
          <w:color w:val="auto"/>
          <w:lang w:val="en-US" w:eastAsia="zh-CN"/>
        </w:rPr>
      </w:pPr>
      <w:r>
        <w:rPr>
          <w:rFonts w:hint="eastAsia"/>
          <w:b/>
          <w:color w:val="auto"/>
          <w:lang w:val="en-US" w:eastAsia="zh-CN"/>
        </w:rPr>
        <w:t>2.2投标人认为对其投标有利的其他资料。</w:t>
      </w:r>
    </w:p>
    <w:p>
      <w:pPr>
        <w:pStyle w:val="11"/>
        <w:spacing w:line="360" w:lineRule="auto"/>
        <w:ind w:firstLine="422" w:firstLineChars="200"/>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pPr>
        <w:pStyle w:val="11"/>
        <w:numPr>
          <w:ilvl w:val="255"/>
          <w:numId w:val="0"/>
        </w:numPr>
        <w:spacing w:line="360" w:lineRule="auto"/>
        <w:rPr>
          <w:b/>
        </w:rPr>
      </w:pPr>
      <w:r>
        <w:rPr>
          <w:rFonts w:hint="eastAsia"/>
          <w:b/>
        </w:rPr>
        <w:t xml:space="preserve">3、报价： </w:t>
      </w:r>
    </w:p>
    <w:p>
      <w:pPr>
        <w:pStyle w:val="11"/>
        <w:numPr>
          <w:ilvl w:val="255"/>
          <w:numId w:val="0"/>
        </w:numPr>
        <w:spacing w:line="360" w:lineRule="auto"/>
        <w:ind w:firstLine="420" w:firstLineChars="200"/>
        <w:rPr>
          <w:rFonts w:hint="eastAsia" w:eastAsia="宋体"/>
          <w:color w:val="FF0000"/>
          <w:lang w:eastAsia="zh-CN"/>
        </w:rPr>
      </w:pPr>
      <w:r>
        <w:rPr>
          <w:rFonts w:hint="eastAsia"/>
          <w:lang w:val="en-US" w:eastAsia="zh-CN"/>
        </w:rPr>
        <w:t>3.</w:t>
      </w: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pPr>
        <w:pStyle w:val="11"/>
        <w:numPr>
          <w:ilvl w:val="255"/>
          <w:numId w:val="0"/>
        </w:numPr>
        <w:spacing w:line="360" w:lineRule="auto"/>
        <w:ind w:left="420"/>
        <w:rPr>
          <w:highlight w:val="yellow"/>
        </w:rPr>
      </w:pPr>
      <w:r>
        <w:rPr>
          <w:rFonts w:hint="eastAsia"/>
          <w:lang w:val="en-US" w:eastAsia="zh-CN"/>
        </w:rPr>
        <w:t>3.</w:t>
      </w:r>
      <w:r>
        <w:rPr>
          <w:rFonts w:hint="eastAsia"/>
        </w:rPr>
        <w:t>2.所有报价货币单位均为：元（人民币），含税</w:t>
      </w:r>
      <w:r>
        <w:rPr>
          <w:rFonts w:hint="eastAsia"/>
          <w:lang w:eastAsia="zh-CN"/>
        </w:rPr>
        <w:t>，含运费</w:t>
      </w:r>
      <w:r>
        <w:rPr>
          <w:rFonts w:hint="eastAsia"/>
        </w:rPr>
        <w:t>；</w:t>
      </w:r>
    </w:p>
    <w:p>
      <w:pPr>
        <w:spacing w:line="360" w:lineRule="auto"/>
        <w:ind w:firstLine="420" w:firstLineChars="200"/>
        <w:jc w:val="left"/>
        <w:rPr>
          <w:rFonts w:hint="eastAsia" w:eastAsia="宋体"/>
          <w:highlight w:val="none"/>
          <w:lang w:eastAsia="zh-CN"/>
        </w:rPr>
      </w:pPr>
      <w:r>
        <w:rPr>
          <w:rFonts w:hint="eastAsia"/>
          <w:highlight w:val="none"/>
          <w:lang w:val="en-US" w:eastAsia="zh-CN"/>
        </w:rPr>
        <w:t>3.</w:t>
      </w:r>
      <w:r>
        <w:rPr>
          <w:rFonts w:hint="eastAsia"/>
          <w:highlight w:val="none"/>
        </w:rPr>
        <w:t>3.结算方式：</w:t>
      </w:r>
      <w:r>
        <w:rPr>
          <w:rFonts w:hint="eastAsia"/>
          <w:highlight w:val="none"/>
          <w:lang w:eastAsia="zh-CN"/>
        </w:rPr>
        <w:t>半年期银行承兑汇票</w:t>
      </w:r>
    </w:p>
    <w:p>
      <w:pPr>
        <w:spacing w:line="360" w:lineRule="auto"/>
        <w:ind w:firstLine="420" w:firstLineChars="200"/>
        <w:jc w:val="left"/>
        <w:rPr>
          <w:rFonts w:hint="eastAsia" w:cs="Times New Roman"/>
          <w:highlight w:val="none"/>
          <w:lang w:eastAsia="zh-CN"/>
        </w:rPr>
      </w:pPr>
      <w:r>
        <w:rPr>
          <w:rFonts w:hint="eastAsia" w:cs="Times New Roman"/>
          <w:highlight w:val="none"/>
          <w:lang w:val="en-US" w:eastAsia="zh-CN"/>
        </w:rPr>
        <w:t>3.3.1</w:t>
      </w:r>
      <w:r>
        <w:rPr>
          <w:rFonts w:hint="eastAsia" w:ascii="Times New Roman" w:hAnsi="Times New Roman" w:cs="Times New Roman"/>
          <w:highlight w:val="none"/>
          <w:lang w:eastAsia="zh-CN"/>
        </w:rPr>
        <w:t>经甲方验收合格后，甲方出具书面验收单，乙方提供含税13％的全额增值税专用发票，依照公司财务制度审核无误挂账后次月支付</w:t>
      </w:r>
      <w:r>
        <w:rPr>
          <w:rFonts w:hint="eastAsia" w:ascii="Times New Roman" w:hAnsi="Times New Roman" w:cs="Times New Roman"/>
          <w:highlight w:val="none"/>
          <w:lang w:val="en-US" w:eastAsia="zh-CN"/>
        </w:rPr>
        <w:t>95%</w:t>
      </w:r>
      <w:r>
        <w:rPr>
          <w:rFonts w:hint="eastAsia" w:cs="Times New Roman"/>
          <w:highlight w:val="none"/>
          <w:lang w:eastAsia="zh-CN"/>
        </w:rPr>
        <w:t>。</w:t>
      </w:r>
    </w:p>
    <w:p>
      <w:pPr>
        <w:spacing w:line="360" w:lineRule="auto"/>
        <w:ind w:firstLine="420" w:firstLineChars="200"/>
        <w:jc w:val="left"/>
        <w:rPr>
          <w:rFonts w:hint="eastAsia" w:ascii="Times New Roman" w:hAnsi="Times New Roman" w:cs="Times New Roman"/>
          <w:highlight w:val="none"/>
          <w:lang w:eastAsia="zh-CN"/>
        </w:rPr>
      </w:pPr>
      <w:r>
        <w:rPr>
          <w:rFonts w:hint="eastAsia" w:cs="Times New Roman"/>
          <w:highlight w:val="none"/>
          <w:lang w:val="en-US" w:eastAsia="zh-CN"/>
        </w:rPr>
        <w:t>3.3.2</w:t>
      </w:r>
      <w:r>
        <w:rPr>
          <w:rFonts w:hint="eastAsia" w:ascii="Times New Roman" w:hAnsi="Times New Roman" w:cs="Times New Roman"/>
          <w:highlight w:val="none"/>
          <w:lang w:eastAsia="zh-CN"/>
        </w:rPr>
        <w:t>剩余价款的</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 xml:space="preserve">%作为质量保证金，质量保证金在本合同约定的质量保证期内不计利息，待设备质量保证期满后，经甲方依照财务制度审核无误后 </w:t>
      </w:r>
      <w:r>
        <w:rPr>
          <w:rFonts w:hint="eastAsia" w:ascii="Times New Roman" w:hAnsi="Times New Roman" w:cs="Times New Roman"/>
          <w:highlight w:val="none"/>
          <w:lang w:val="en-US" w:eastAsia="zh-CN"/>
        </w:rPr>
        <w:t>30</w:t>
      </w:r>
      <w:r>
        <w:rPr>
          <w:rFonts w:hint="eastAsia" w:ascii="Times New Roman" w:hAnsi="Times New Roman" w:cs="Times New Roman"/>
          <w:highlight w:val="none"/>
          <w:lang w:eastAsia="zh-CN"/>
        </w:rPr>
        <w:t xml:space="preserve"> 日内支付；如有质量问题，质量保证金予以扣除。</w:t>
      </w:r>
    </w:p>
    <w:p>
      <w:pPr>
        <w:pStyle w:val="11"/>
        <w:numPr>
          <w:ilvl w:val="255"/>
          <w:numId w:val="0"/>
        </w:numPr>
        <w:spacing w:line="360" w:lineRule="auto"/>
        <w:rPr>
          <w:b/>
        </w:rPr>
      </w:pPr>
      <w:r>
        <w:rPr>
          <w:rFonts w:hint="eastAsia"/>
          <w:b/>
          <w:lang w:val="en-US" w:eastAsia="zh-CN"/>
        </w:rPr>
        <w:t>4</w:t>
      </w:r>
      <w:r>
        <w:rPr>
          <w:rFonts w:hint="eastAsia"/>
          <w:b/>
        </w:rPr>
        <w:t>、其他</w:t>
      </w:r>
    </w:p>
    <w:p>
      <w:pPr>
        <w:pStyle w:val="11"/>
        <w:spacing w:line="360" w:lineRule="auto"/>
        <w:ind w:firstLine="420" w:firstLineChars="200"/>
      </w:pPr>
      <w:r>
        <w:rPr>
          <w:rFonts w:hint="eastAsia"/>
        </w:rPr>
        <w:t>投标人须认可招标人由于招标人上级集团公司政策变化引起的随时终止合同的要求。</w:t>
      </w:r>
    </w:p>
    <w:p>
      <w:pPr>
        <w:pStyle w:val="11"/>
        <w:numPr>
          <w:ilvl w:val="0"/>
          <w:numId w:val="4"/>
        </w:numPr>
        <w:spacing w:line="360" w:lineRule="auto"/>
        <w:rPr>
          <w:rFonts w:hint="eastAsia" w:ascii="黑体" w:eastAsia="黑体"/>
          <w:b/>
          <w:bCs/>
          <w:sz w:val="28"/>
          <w:lang w:eastAsia="zh-CN"/>
        </w:rPr>
      </w:pPr>
      <w:r>
        <w:rPr>
          <w:rFonts w:hint="eastAsia" w:ascii="黑体" w:eastAsia="黑体"/>
          <w:b/>
          <w:bCs/>
          <w:sz w:val="28"/>
          <w:lang w:eastAsia="zh-CN"/>
        </w:rPr>
        <w:t>投标保证金</w:t>
      </w:r>
    </w:p>
    <w:p>
      <w:pPr>
        <w:spacing w:line="360" w:lineRule="auto"/>
        <w:ind w:firstLine="480" w:firstLineChars="200"/>
        <w:rPr>
          <w:rFonts w:hint="eastAsia" w:eastAsia="宋体"/>
          <w:color w:val="auto"/>
          <w:sz w:val="24"/>
          <w:lang w:eastAsia="zh-CN"/>
        </w:rPr>
      </w:pPr>
      <w:r>
        <w:rPr>
          <w:color w:val="auto"/>
          <w:sz w:val="24"/>
        </w:rPr>
        <w:t>1</w:t>
      </w:r>
      <w:r>
        <w:rPr>
          <w:rFonts w:hint="eastAsia"/>
          <w:color w:val="auto"/>
          <w:sz w:val="24"/>
        </w:rPr>
        <w:t>、投标保证金的形式：</w:t>
      </w:r>
      <w:r>
        <w:rPr>
          <w:rFonts w:hint="eastAsia" w:ascii="宋体" w:hAnsi="宋体" w:cs="宋体"/>
          <w:color w:val="auto"/>
          <w:sz w:val="24"/>
          <w:lang w:eastAsia="zh-CN"/>
        </w:rPr>
        <w:t>电汇</w:t>
      </w:r>
    </w:p>
    <w:p>
      <w:pPr>
        <w:spacing w:line="360" w:lineRule="auto"/>
        <w:ind w:firstLine="480" w:firstLineChars="200"/>
        <w:rPr>
          <w:i/>
          <w:iCs/>
          <w:color w:val="auto"/>
          <w:sz w:val="24"/>
        </w:rPr>
      </w:pPr>
      <w:r>
        <w:rPr>
          <w:color w:val="auto"/>
          <w:sz w:val="24"/>
        </w:rPr>
        <w:t>2</w:t>
      </w:r>
      <w:r>
        <w:rPr>
          <w:rFonts w:hint="eastAsia"/>
          <w:color w:val="auto"/>
          <w:sz w:val="24"/>
        </w:rPr>
        <w:t>、投标保证金的金额：</w:t>
      </w:r>
      <w:r>
        <w:rPr>
          <w:rFonts w:hint="eastAsia"/>
          <w:b/>
          <w:color w:val="auto"/>
          <w:sz w:val="24"/>
          <w:u w:val="single"/>
        </w:rPr>
        <w:t>人民币</w:t>
      </w:r>
      <w:r>
        <w:rPr>
          <w:rFonts w:hint="eastAsia"/>
          <w:b/>
          <w:color w:val="auto"/>
          <w:sz w:val="24"/>
          <w:u w:val="single"/>
          <w:lang w:val="en-US" w:eastAsia="zh-CN"/>
        </w:rPr>
        <w:t>5</w:t>
      </w:r>
      <w:r>
        <w:rPr>
          <w:rFonts w:hint="eastAsia"/>
          <w:b/>
          <w:color w:val="auto"/>
          <w:sz w:val="24"/>
          <w:u w:val="single"/>
        </w:rPr>
        <w:t>000元</w:t>
      </w:r>
    </w:p>
    <w:p>
      <w:pPr>
        <w:spacing w:line="360" w:lineRule="auto"/>
        <w:ind w:firstLine="480" w:firstLineChars="200"/>
        <w:rPr>
          <w:color w:val="auto"/>
          <w:sz w:val="24"/>
        </w:rPr>
      </w:pPr>
      <w:r>
        <w:rPr>
          <w:color w:val="auto"/>
          <w:sz w:val="24"/>
        </w:rPr>
        <w:t>3</w:t>
      </w:r>
      <w:r>
        <w:rPr>
          <w:rFonts w:hint="eastAsia"/>
          <w:color w:val="auto"/>
          <w:sz w:val="24"/>
        </w:rPr>
        <w:t>、保证金截止时间：</w:t>
      </w:r>
      <w:r>
        <w:rPr>
          <w:b/>
          <w:color w:val="auto"/>
          <w:sz w:val="24"/>
          <w:u w:val="single"/>
        </w:rPr>
        <w:t>202</w:t>
      </w:r>
      <w:r>
        <w:rPr>
          <w:rFonts w:hint="eastAsia"/>
          <w:b/>
          <w:color w:val="auto"/>
          <w:sz w:val="24"/>
          <w:u w:val="single"/>
          <w:lang w:val="en-US" w:eastAsia="zh-CN"/>
        </w:rPr>
        <w:t>4</w:t>
      </w:r>
      <w:r>
        <w:rPr>
          <w:rFonts w:hint="eastAsia"/>
          <w:b/>
          <w:color w:val="auto"/>
          <w:sz w:val="24"/>
          <w:u w:val="single"/>
        </w:rPr>
        <w:t>年</w:t>
      </w:r>
      <w:r>
        <w:rPr>
          <w:rFonts w:hint="eastAsia"/>
          <w:b/>
          <w:color w:val="auto"/>
          <w:sz w:val="24"/>
          <w:u w:val="single"/>
          <w:lang w:val="en-US" w:eastAsia="zh-CN"/>
        </w:rPr>
        <w:t>7月25日17</w:t>
      </w:r>
      <w:r>
        <w:rPr>
          <w:rFonts w:hint="eastAsia"/>
          <w:b/>
          <w:color w:val="auto"/>
          <w:sz w:val="24"/>
          <w:u w:val="single"/>
        </w:rPr>
        <w:t>时</w:t>
      </w:r>
      <w:r>
        <w:rPr>
          <w:rFonts w:hint="eastAsia"/>
          <w:b/>
          <w:color w:val="auto"/>
          <w:sz w:val="24"/>
          <w:u w:val="single"/>
          <w:lang w:val="en-US" w:eastAsia="zh-CN"/>
        </w:rPr>
        <w:t>00</w:t>
      </w:r>
      <w:r>
        <w:rPr>
          <w:rFonts w:hint="eastAsia"/>
          <w:b/>
          <w:color w:val="auto"/>
          <w:sz w:val="24"/>
          <w:u w:val="single"/>
        </w:rPr>
        <w:t>分前</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投标保证金提交到：</w:t>
      </w:r>
      <w:bookmarkStart w:id="175" w:name="_GoBack"/>
      <w:bookmarkEnd w:id="175"/>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账户名称：中国重汽集团泰安五岳专用汽车有限公司</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开户银行：交通银行股份有限公司泰安分行</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账    号：379006111018000061904</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保证金未按上述规定缴纳的，视为自动放弃投标资格。保证金未按上述规定缴纳的，视为自动放弃投标资格。</w:t>
      </w:r>
    </w:p>
    <w:p>
      <w:pPr>
        <w:pStyle w:val="11"/>
        <w:numPr>
          <w:ilvl w:val="0"/>
          <w:numId w:val="0"/>
        </w:numPr>
        <w:spacing w:line="360" w:lineRule="auto"/>
        <w:rPr>
          <w:rFonts w:hint="eastAsia" w:ascii="黑体" w:eastAsia="黑体"/>
          <w:b/>
          <w:bCs/>
          <w:sz w:val="28"/>
          <w:lang w:eastAsia="zh-CN"/>
        </w:rPr>
      </w:pPr>
      <w:r>
        <w:rPr>
          <w:rFonts w:hint="eastAsia" w:hAnsi="宋体"/>
          <w:b/>
          <w:color w:val="auto"/>
          <w:sz w:val="24"/>
          <w:szCs w:val="24"/>
        </w:rPr>
        <w:t>注：无正当理由随意放弃投标、</w:t>
      </w:r>
      <w:r>
        <w:rPr>
          <w:rFonts w:hAnsi="宋体"/>
          <w:b/>
          <w:color w:val="auto"/>
          <w:sz w:val="24"/>
          <w:szCs w:val="24"/>
        </w:rPr>
        <w:t>撤销投标文件</w:t>
      </w:r>
      <w:r>
        <w:rPr>
          <w:rFonts w:hint="eastAsia" w:hAnsi="宋体"/>
          <w:b/>
          <w:color w:val="auto"/>
          <w:sz w:val="24"/>
          <w:szCs w:val="24"/>
        </w:rPr>
        <w:t>、</w:t>
      </w:r>
      <w:r>
        <w:rPr>
          <w:rFonts w:hAnsi="宋体"/>
          <w:b/>
          <w:color w:val="auto"/>
          <w:sz w:val="24"/>
          <w:szCs w:val="24"/>
        </w:rPr>
        <w:t>中标后</w:t>
      </w:r>
      <w:r>
        <w:rPr>
          <w:rFonts w:hint="eastAsia" w:hAnsi="宋体"/>
          <w:b/>
          <w:color w:val="auto"/>
          <w:sz w:val="24"/>
          <w:szCs w:val="24"/>
        </w:rPr>
        <w:t>无</w:t>
      </w:r>
      <w:r>
        <w:rPr>
          <w:rFonts w:hAnsi="宋体"/>
          <w:b/>
          <w:color w:val="auto"/>
          <w:sz w:val="24"/>
          <w:szCs w:val="24"/>
        </w:rPr>
        <w:t>正当理由</w:t>
      </w:r>
      <w:r>
        <w:rPr>
          <w:rFonts w:hint="eastAsia" w:hAnsi="宋体"/>
          <w:b/>
          <w:color w:val="auto"/>
          <w:sz w:val="24"/>
          <w:szCs w:val="24"/>
        </w:rPr>
        <w:t>拒签</w:t>
      </w:r>
      <w:r>
        <w:rPr>
          <w:rFonts w:hAnsi="宋体"/>
          <w:b/>
          <w:color w:val="auto"/>
          <w:sz w:val="24"/>
          <w:szCs w:val="24"/>
        </w:rPr>
        <w:t>合同</w:t>
      </w:r>
      <w:r>
        <w:rPr>
          <w:rFonts w:hint="eastAsia" w:hAnsi="宋体"/>
          <w:b/>
          <w:color w:val="auto"/>
          <w:sz w:val="24"/>
          <w:szCs w:val="24"/>
        </w:rPr>
        <w:t>、</w:t>
      </w:r>
      <w:r>
        <w:rPr>
          <w:rFonts w:hAnsi="宋体"/>
          <w:b/>
          <w:color w:val="auto"/>
          <w:sz w:val="24"/>
          <w:szCs w:val="24"/>
        </w:rPr>
        <w:t>在签订合同时向招标</w:t>
      </w:r>
      <w:r>
        <w:rPr>
          <w:rFonts w:hint="eastAsia" w:hAnsi="宋体"/>
          <w:b/>
          <w:color w:val="auto"/>
          <w:sz w:val="24"/>
          <w:szCs w:val="24"/>
        </w:rPr>
        <w:t>方</w:t>
      </w:r>
      <w:r>
        <w:rPr>
          <w:rFonts w:hAnsi="宋体"/>
          <w:b/>
          <w:color w:val="auto"/>
          <w:sz w:val="24"/>
          <w:szCs w:val="24"/>
        </w:rPr>
        <w:t>提出</w:t>
      </w:r>
      <w:r>
        <w:rPr>
          <w:rFonts w:hint="eastAsia" w:hAnsi="宋体"/>
          <w:b/>
          <w:color w:val="auto"/>
          <w:sz w:val="24"/>
          <w:szCs w:val="24"/>
        </w:rPr>
        <w:t>无理</w:t>
      </w:r>
      <w:r>
        <w:rPr>
          <w:rFonts w:hAnsi="宋体"/>
          <w:b/>
          <w:color w:val="auto"/>
          <w:sz w:val="24"/>
          <w:szCs w:val="24"/>
        </w:rPr>
        <w:t>附加条件</w:t>
      </w:r>
      <w:r>
        <w:rPr>
          <w:rFonts w:hint="eastAsia" w:hAnsi="宋体"/>
          <w:b/>
          <w:color w:val="auto"/>
          <w:sz w:val="24"/>
          <w:szCs w:val="24"/>
        </w:rPr>
        <w:t>的，</w:t>
      </w:r>
      <w:r>
        <w:rPr>
          <w:rFonts w:hAnsi="宋体"/>
          <w:b/>
          <w:color w:val="auto"/>
          <w:sz w:val="24"/>
          <w:szCs w:val="24"/>
        </w:rPr>
        <w:t>投标保证金不予返还</w:t>
      </w:r>
      <w:r>
        <w:rPr>
          <w:rFonts w:hint="eastAsia" w:hAnsi="宋体"/>
          <w:b/>
          <w:color w:val="auto"/>
          <w:sz w:val="24"/>
          <w:szCs w:val="24"/>
        </w:rPr>
        <w:t>，并取消该投标人的中标资格</w:t>
      </w:r>
      <w:r>
        <w:rPr>
          <w:rFonts w:hAnsi="宋体"/>
          <w:b/>
          <w:color w:val="auto"/>
          <w:sz w:val="24"/>
          <w:szCs w:val="24"/>
        </w:rPr>
        <w:t>，</w:t>
      </w:r>
      <w:r>
        <w:rPr>
          <w:rFonts w:hint="eastAsia" w:hAnsi="宋体"/>
          <w:b/>
          <w:color w:val="auto"/>
          <w:sz w:val="24"/>
          <w:szCs w:val="24"/>
        </w:rPr>
        <w:t>该投标人2</w:t>
      </w:r>
      <w:r>
        <w:rPr>
          <w:rFonts w:hAnsi="宋体"/>
          <w:b/>
          <w:color w:val="auto"/>
          <w:sz w:val="24"/>
          <w:szCs w:val="24"/>
        </w:rPr>
        <w:t>年</w:t>
      </w:r>
      <w:r>
        <w:rPr>
          <w:rFonts w:hint="eastAsia" w:hAnsi="宋体"/>
          <w:b/>
          <w:color w:val="auto"/>
          <w:sz w:val="24"/>
          <w:szCs w:val="24"/>
        </w:rPr>
        <w:t>内不得参与招标方类似产品的招投标项目。</w:t>
      </w:r>
      <w:r>
        <w:rPr>
          <w:rFonts w:hint="eastAsia"/>
          <w:b/>
          <w:color w:val="auto"/>
          <w:sz w:val="24"/>
          <w:szCs w:val="24"/>
        </w:rPr>
        <w:t>不存在以上违规情况的投标人，</w:t>
      </w:r>
      <w:r>
        <w:rPr>
          <w:b/>
          <w:color w:val="auto"/>
          <w:sz w:val="24"/>
          <w:szCs w:val="24"/>
        </w:rPr>
        <w:t>招标</w:t>
      </w:r>
      <w:r>
        <w:rPr>
          <w:rFonts w:hint="eastAsia"/>
          <w:b/>
          <w:color w:val="auto"/>
          <w:sz w:val="24"/>
          <w:szCs w:val="24"/>
        </w:rPr>
        <w:t>方</w:t>
      </w:r>
      <w:r>
        <w:rPr>
          <w:b/>
          <w:color w:val="auto"/>
          <w:sz w:val="24"/>
          <w:szCs w:val="24"/>
        </w:rPr>
        <w:t>最迟在</w:t>
      </w:r>
      <w:r>
        <w:rPr>
          <w:rFonts w:hint="eastAsia"/>
          <w:b/>
          <w:color w:val="auto"/>
          <w:sz w:val="24"/>
          <w:szCs w:val="24"/>
        </w:rPr>
        <w:t>确定中标方</w:t>
      </w:r>
      <w:r>
        <w:rPr>
          <w:b/>
          <w:color w:val="auto"/>
          <w:sz w:val="24"/>
          <w:szCs w:val="24"/>
        </w:rPr>
        <w:t>后</w:t>
      </w:r>
      <w:r>
        <w:rPr>
          <w:rFonts w:hint="eastAsia"/>
          <w:b/>
          <w:color w:val="auto"/>
          <w:sz w:val="24"/>
          <w:szCs w:val="24"/>
        </w:rPr>
        <w:t>次月月底前无息</w:t>
      </w:r>
      <w:r>
        <w:rPr>
          <w:b/>
          <w:color w:val="auto"/>
          <w:sz w:val="24"/>
          <w:szCs w:val="24"/>
        </w:rPr>
        <w:t>退还投标保证金</w:t>
      </w:r>
      <w:r>
        <w:rPr>
          <w:rFonts w:hint="eastAsia"/>
          <w:b/>
          <w:color w:val="auto"/>
          <w:sz w:val="24"/>
          <w:szCs w:val="24"/>
        </w:rPr>
        <w:t>本金。</w:t>
      </w:r>
    </w:p>
    <w:p>
      <w:pPr>
        <w:pStyle w:val="11"/>
        <w:numPr>
          <w:ilvl w:val="255"/>
          <w:numId w:val="0"/>
        </w:numPr>
        <w:spacing w:line="360" w:lineRule="auto"/>
        <w:rPr>
          <w:rFonts w:ascii="黑体" w:eastAsia="黑体"/>
          <w:b/>
          <w:bCs/>
          <w:sz w:val="28"/>
        </w:rPr>
      </w:pPr>
      <w:r>
        <w:rPr>
          <w:rFonts w:hint="eastAsia" w:ascii="黑体" w:eastAsia="黑体"/>
          <w:b/>
          <w:bCs/>
          <w:sz w:val="28"/>
        </w:rPr>
        <w:t>七、开标、评标</w:t>
      </w:r>
    </w:p>
    <w:p>
      <w:pPr>
        <w:pStyle w:val="11"/>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pPr>
        <w:pStyle w:val="11"/>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共同开标，投标方进行报价，并由组织方进行报价汇总，确定中标乙方。</w:t>
      </w:r>
    </w:p>
    <w:p>
      <w:pPr>
        <w:pStyle w:val="11"/>
        <w:spacing w:line="360" w:lineRule="auto"/>
        <w:ind w:firstLine="420" w:firstLineChars="200"/>
        <w:rPr>
          <w:rFonts w:hint="default" w:eastAsia="宋体"/>
          <w:lang w:val="en-US" w:eastAsia="zh-CN"/>
        </w:rPr>
      </w:pPr>
      <w:r>
        <w:rPr>
          <w:rFonts w:hint="eastAsia"/>
        </w:rPr>
        <w:t>(</w:t>
      </w:r>
      <w:r>
        <w:rPr>
          <w:rFonts w:hint="eastAsia"/>
          <w:lang w:val="en-US" w:eastAsia="zh-CN"/>
        </w:rPr>
        <w:t>2</w:t>
      </w:r>
      <w:r>
        <w:rPr>
          <w:rFonts w:hint="eastAsia"/>
        </w:rPr>
        <w:t>)所有报价货币单位均为：元（人民币，含税）。</w:t>
      </w:r>
    </w:p>
    <w:p>
      <w:pPr>
        <w:pStyle w:val="11"/>
        <w:spacing w:line="360" w:lineRule="auto"/>
        <w:rPr>
          <w:rFonts w:ascii="黑体" w:eastAsia="黑体"/>
          <w:b/>
          <w:bCs/>
          <w:sz w:val="28"/>
        </w:rPr>
      </w:pPr>
      <w:r>
        <w:rPr>
          <w:rFonts w:hint="eastAsia" w:ascii="黑体" w:eastAsia="黑体"/>
          <w:b/>
          <w:bCs/>
          <w:sz w:val="28"/>
        </w:rPr>
        <w:t>八、合同签订</w:t>
      </w:r>
    </w:p>
    <w:p>
      <w:pPr>
        <w:pStyle w:val="11"/>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pPr>
        <w:pStyle w:val="11"/>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11"/>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11"/>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11"/>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11"/>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11"/>
        <w:spacing w:line="360" w:lineRule="auto"/>
        <w:ind w:firstLine="420" w:firstLineChars="200"/>
        <w:rPr>
          <w:szCs w:val="21"/>
        </w:rPr>
      </w:pPr>
      <w:r>
        <w:rPr>
          <w:rFonts w:hint="eastAsia"/>
        </w:rPr>
        <w:t>7.中标人须认可招标人由于招标人上级集团公司政策变化引起的随时终止项目的要求。</w:t>
      </w:r>
    </w:p>
    <w:p>
      <w:pPr>
        <w:pStyle w:val="11"/>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pPr>
        <w:pStyle w:val="11"/>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11"/>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pPr>
        <w:pStyle w:val="11"/>
        <w:numPr>
          <w:ilvl w:val="0"/>
          <w:numId w:val="5"/>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11"/>
        <w:numPr>
          <w:ilvl w:val="0"/>
          <w:numId w:val="5"/>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pPr>
        <w:rPr>
          <w:rFonts w:eastAsia="黑体"/>
          <w:color w:val="00B050"/>
          <w:sz w:val="36"/>
          <w:szCs w:val="36"/>
        </w:rPr>
      </w:pPr>
    </w:p>
    <w:bookmarkEnd w:id="1"/>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pStyle w:val="11"/>
        <w:spacing w:line="360" w:lineRule="auto"/>
        <w:jc w:val="both"/>
        <w:rPr>
          <w:rFonts w:hint="eastAsia" w:ascii="黑体" w:eastAsia="黑体"/>
          <w:b/>
          <w:bCs/>
          <w:sz w:val="36"/>
          <w:szCs w:val="36"/>
        </w:rPr>
      </w:pPr>
    </w:p>
    <w:p>
      <w:pPr>
        <w:pStyle w:val="11"/>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pPr>
        <w:pStyle w:val="11"/>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pPr>
        <w:pStyle w:val="11"/>
        <w:numPr>
          <w:ilvl w:val="0"/>
          <w:numId w:val="0"/>
        </w:numPr>
        <w:spacing w:line="360" w:lineRule="auto"/>
        <w:ind w:firstLine="420" w:firstLineChars="200"/>
        <w:rPr>
          <w:rFonts w:hint="eastAsia" w:ascii="黑体" w:hAnsi="黑体" w:eastAsia="黑体"/>
          <w:b/>
          <w:bCs/>
          <w:sz w:val="28"/>
          <w:szCs w:val="28"/>
        </w:rPr>
      </w:pPr>
      <w:r>
        <w:rPr>
          <w:rFonts w:hint="eastAsia"/>
          <w:lang w:eastAsia="zh-CN"/>
        </w:rPr>
        <w:t>专用车部增加8m合拢铸造平台项目</w:t>
      </w:r>
    </w:p>
    <w:p>
      <w:pPr>
        <w:pStyle w:val="11"/>
        <w:numPr>
          <w:ilvl w:val="0"/>
          <w:numId w:val="6"/>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p>
      <w:pPr>
        <w:pStyle w:val="11"/>
        <w:numPr>
          <w:ilvl w:val="0"/>
          <w:numId w:val="0"/>
        </w:numPr>
        <w:spacing w:line="360" w:lineRule="auto"/>
        <w:ind w:leftChars="0" w:firstLine="420" w:firstLineChars="200"/>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8000*3000*410mm合拢铸造平台</w:t>
      </w:r>
    </w:p>
    <w:p>
      <w:pPr>
        <w:numPr>
          <w:ilvl w:val="0"/>
          <w:numId w:val="6"/>
        </w:numPr>
        <w:ind w:left="0" w:leftChars="0" w:firstLine="0" w:firstLineChars="0"/>
        <w:rPr>
          <w:rFonts w:hint="eastAsia"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技术要求</w:t>
      </w:r>
    </w:p>
    <w:p>
      <w:pPr>
        <w:pStyle w:val="2"/>
        <w:numPr>
          <w:ilvl w:val="0"/>
          <w:numId w:val="0"/>
        </w:numPr>
        <w:ind w:leftChars="0"/>
        <w:rPr>
          <w:rFonts w:hint="default" w:eastAsia="仿宋_GB2312"/>
          <w:lang w:val="en-US" w:eastAsia="zh-CN"/>
        </w:rPr>
      </w:pPr>
      <w:r>
        <w:rPr>
          <w:rFonts w:hint="eastAsia"/>
          <w:lang w:val="en-US" w:eastAsia="zh-CN"/>
        </w:rPr>
        <w:t>1、T型槽加工示意图（参照）</w:t>
      </w:r>
    </w:p>
    <w:p>
      <w:pPr>
        <w:pStyle w:val="53"/>
        <w:spacing w:line="360" w:lineRule="auto"/>
        <w:ind w:firstLine="480"/>
        <w:jc w:val="center"/>
      </w:pPr>
      <w:r>
        <w:drawing>
          <wp:inline distT="0" distB="0" distL="114300" distR="114300">
            <wp:extent cx="5088890" cy="2483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11633"/>
                    <a:stretch>
                      <a:fillRect/>
                    </a:stretch>
                  </pic:blipFill>
                  <pic:spPr>
                    <a:xfrm>
                      <a:off x="0" y="0"/>
                      <a:ext cx="5088890" cy="2483485"/>
                    </a:xfrm>
                    <a:prstGeom prst="rect">
                      <a:avLst/>
                    </a:prstGeom>
                    <a:noFill/>
                    <a:ln>
                      <a:noFill/>
                    </a:ln>
                  </pic:spPr>
                </pic:pic>
              </a:graphicData>
            </a:graphic>
          </wp:inline>
        </w:drawing>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2、相关技术要求：</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w:t>
      </w:r>
      <w:r>
        <w:rPr>
          <w:rFonts w:hint="eastAsia" w:ascii="宋体" w:hAnsi="宋体"/>
          <w:color w:val="auto"/>
          <w:sz w:val="24"/>
          <w:highlight w:val="none"/>
        </w:rPr>
        <w:t>、</w:t>
      </w:r>
      <w:r>
        <w:rPr>
          <w:rFonts w:hint="eastAsia" w:ascii="宋体" w:hAnsi="宋体"/>
          <w:color w:val="auto"/>
          <w:sz w:val="24"/>
          <w:highlight w:val="none"/>
          <w:lang w:eastAsia="zh-CN"/>
        </w:rPr>
        <w:t>与原平台连接后平面度为</w:t>
      </w:r>
      <w:r>
        <w:rPr>
          <w:rFonts w:hint="eastAsia" w:ascii="宋体" w:hAnsi="宋体"/>
          <w:color w:val="auto"/>
          <w:sz w:val="24"/>
          <w:highlight w:val="none"/>
          <w:lang w:val="en-US" w:eastAsia="zh-CN"/>
        </w:rPr>
        <w:t>1mm</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2.2、T型槽内未标注粗糙度为12.5,；</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2.3、铸件不得有气孔、砂眼、夹砂、和缩松等铸造缺陷；</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2.4、平板制作执行JB/T7974-1999标准；</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2.5、硬度牌号执行GB/T9439-1988标准；</w:t>
      </w:r>
    </w:p>
    <w:p>
      <w:pPr>
        <w:pStyle w:val="53"/>
        <w:numPr>
          <w:ilvl w:val="0"/>
          <w:numId w:val="0"/>
        </w:numPr>
        <w:spacing w:line="360" w:lineRule="auto"/>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2.6、铸件牌号及技术条件执行GB/T9439-1988标准；</w:t>
      </w:r>
    </w:p>
    <w:p>
      <w:pPr>
        <w:pStyle w:val="53"/>
        <w:numPr>
          <w:ilvl w:val="0"/>
          <w:numId w:val="0"/>
        </w:numPr>
        <w:spacing w:line="360" w:lineRule="auto"/>
        <w:jc w:val="both"/>
        <w:rPr>
          <w:rFonts w:hint="default" w:ascii="宋体" w:hAnsi="宋体"/>
          <w:color w:val="FF0000"/>
          <w:sz w:val="24"/>
          <w:highlight w:val="yellow"/>
          <w:lang w:val="en-US" w:eastAsia="zh-CN"/>
        </w:rPr>
      </w:pPr>
      <w:r>
        <w:rPr>
          <w:rFonts w:hint="eastAsia" w:ascii="宋体" w:hAnsi="宋体"/>
          <w:color w:val="FF0000"/>
          <w:sz w:val="24"/>
          <w:highlight w:val="yellow"/>
          <w:lang w:val="en-US" w:eastAsia="zh-CN"/>
        </w:rPr>
        <w:t>2.7、本平台T型槽尺寸规格需现场测量原平台尺寸规格，保平台连接后T型槽规格尺寸一致。</w:t>
      </w:r>
    </w:p>
    <w:p>
      <w:pPr>
        <w:pStyle w:val="11"/>
        <w:spacing w:line="360" w:lineRule="auto"/>
        <w:rPr>
          <w:rFonts w:hint="eastAsia" w:hAnsi="宋体"/>
          <w:sz w:val="24"/>
          <w:szCs w:val="28"/>
          <w:highlight w:val="none"/>
        </w:rPr>
      </w:pPr>
    </w:p>
    <w:p>
      <w:pPr>
        <w:pStyle w:val="11"/>
        <w:spacing w:line="360" w:lineRule="auto"/>
        <w:rPr>
          <w:rFonts w:hint="eastAsia" w:hAnsi="宋体"/>
          <w:sz w:val="24"/>
          <w:szCs w:val="28"/>
          <w:highlight w:val="none"/>
        </w:rPr>
      </w:pPr>
    </w:p>
    <w:p>
      <w:pPr>
        <w:pStyle w:val="11"/>
        <w:spacing w:line="360" w:lineRule="auto"/>
        <w:rPr>
          <w:rFonts w:hint="eastAsia" w:hAnsi="宋体"/>
          <w:sz w:val="24"/>
          <w:szCs w:val="28"/>
          <w:highlight w:val="none"/>
        </w:rPr>
      </w:pPr>
    </w:p>
    <w:p>
      <w:pPr>
        <w:pStyle w:val="11"/>
        <w:spacing w:line="360" w:lineRule="auto"/>
        <w:rPr>
          <w:rFonts w:hint="eastAsia" w:hAnsi="宋体"/>
          <w:sz w:val="24"/>
          <w:szCs w:val="28"/>
          <w:highlight w:val="none"/>
        </w:rPr>
      </w:pPr>
    </w:p>
    <w:p>
      <w:pPr>
        <w:pStyle w:val="11"/>
        <w:spacing w:line="360" w:lineRule="auto"/>
        <w:rPr>
          <w:rFonts w:hint="eastAsia" w:hAnsi="宋体"/>
          <w:sz w:val="24"/>
          <w:szCs w:val="28"/>
          <w:highlight w:val="none"/>
        </w:rPr>
      </w:pPr>
    </w:p>
    <w:p>
      <w:pPr>
        <w:pStyle w:val="11"/>
        <w:spacing w:line="360" w:lineRule="auto"/>
        <w:rPr>
          <w:rFonts w:hint="eastAsia" w:hAnsi="宋体"/>
          <w:sz w:val="24"/>
          <w:szCs w:val="28"/>
          <w:highlight w:val="none"/>
        </w:rPr>
      </w:pPr>
    </w:p>
    <w:p>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hint="eastAsia" w:ascii="宋体" w:hAnsi="宋体"/>
          <w:b/>
          <w:sz w:val="52"/>
          <w:szCs w:val="36"/>
        </w:rPr>
      </w:pPr>
      <w:r>
        <w:rPr>
          <w:rFonts w:hint="eastAsia" w:ascii="宋体" w:hAnsi="宋体"/>
          <w:b/>
          <w:bCs/>
          <w:sz w:val="52"/>
          <w:szCs w:val="36"/>
        </w:rPr>
        <w:t xml:space="preserve">     采购</w:t>
      </w:r>
      <w:r>
        <w:rPr>
          <w:rFonts w:ascii="宋体" w:hAnsi="宋体"/>
          <w:b/>
          <w:bCs/>
          <w:sz w:val="52"/>
          <w:szCs w:val="36"/>
        </w:rPr>
        <w:t>合同</w:t>
      </w:r>
      <w:r>
        <w:rPr>
          <w:rFonts w:hint="eastAsia" w:ascii="宋体" w:hAnsi="宋体"/>
          <w:b/>
          <w:bCs/>
        </w:rPr>
        <w:t>（以实际签订合同为准）</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rPr>
        <w:t>中国重汽集团泰安五岳专用汽车有限公司</w:t>
      </w:r>
      <w:r>
        <w:rPr>
          <w:rFonts w:ascii="宋体" w:hAnsi="宋体"/>
          <w:b/>
          <w:sz w:val="28"/>
          <w:szCs w:val="36"/>
          <w:u w:val="thick"/>
        </w:rPr>
        <w:t xml:space="preserve"> </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p/>
    <w:p/>
    <w:p/>
    <w:p>
      <w:pPr>
        <w:spacing w:line="360" w:lineRule="auto"/>
        <w:jc w:val="center"/>
        <w:rPr>
          <w:rFonts w:ascii="宋体" w:hAnsi="宋体" w:cs="宋体"/>
          <w:bCs/>
          <w:sz w:val="24"/>
        </w:rPr>
      </w:pPr>
    </w:p>
    <w:p>
      <w:pPr>
        <w:spacing w:line="360" w:lineRule="auto"/>
        <w:ind w:right="480"/>
        <w:jc w:val="both"/>
        <w:rPr>
          <w:rFonts w:ascii="宋体" w:hAnsi="宋体" w:cs="宋体"/>
          <w:bCs/>
          <w:sz w:val="22"/>
          <w:szCs w:val="22"/>
        </w:rPr>
        <w:sectPr>
          <w:headerReference r:id="rId3" w:type="default"/>
          <w:footerReference r:id="rId4" w:type="default"/>
          <w:pgSz w:w="11907" w:h="16840"/>
          <w:pgMar w:top="1025" w:right="1418" w:bottom="1418" w:left="1418" w:header="724" w:footer="851" w:gutter="0"/>
          <w:cols w:space="720" w:num="1"/>
          <w:docGrid w:linePitch="290" w:charSpace="-3931"/>
        </w:sectPr>
      </w:pPr>
    </w:p>
    <w:p>
      <w:pPr>
        <w:spacing w:line="360" w:lineRule="auto"/>
        <w:rPr>
          <w:rFonts w:ascii="宋体" w:hAnsi="宋体" w:cs="宋体"/>
          <w:bCs/>
          <w:sz w:val="22"/>
          <w:szCs w:val="22"/>
        </w:rPr>
      </w:pPr>
      <w:r>
        <w:rPr>
          <w:rFonts w:hint="eastAsia" w:ascii="宋体" w:hAnsi="宋体" w:cs="宋体"/>
          <w:bCs/>
          <w:sz w:val="22"/>
          <w:szCs w:val="22"/>
        </w:rPr>
        <w:t>甲方（买方）：</w:t>
      </w:r>
      <w:r>
        <w:rPr>
          <w:rFonts w:hint="eastAsia" w:ascii="宋体" w:hAnsi="宋体" w:cs="宋体"/>
          <w:b/>
          <w:bCs/>
          <w:sz w:val="22"/>
          <w:szCs w:val="22"/>
          <w:u w:val="single"/>
        </w:rPr>
        <w:t xml:space="preserve"> 中国重汽集团泰安五岳专用汽车有限公司 </w:t>
      </w:r>
      <w:r>
        <w:rPr>
          <w:rFonts w:hint="eastAsia" w:ascii="宋体" w:hAnsi="宋体" w:cs="宋体"/>
          <w:bCs/>
          <w:sz w:val="22"/>
          <w:szCs w:val="22"/>
        </w:rPr>
        <w:t xml:space="preserve">      </w:t>
      </w:r>
    </w:p>
    <w:p>
      <w:pPr>
        <w:spacing w:line="360" w:lineRule="auto"/>
        <w:rPr>
          <w:rFonts w:ascii="宋体" w:hAnsi="宋体" w:cs="宋体"/>
          <w:bCs/>
          <w:sz w:val="22"/>
          <w:szCs w:val="22"/>
        </w:rPr>
      </w:pPr>
      <w:r>
        <w:rPr>
          <w:rFonts w:hint="eastAsia" w:ascii="宋体" w:hAnsi="宋体" w:cs="宋体"/>
          <w:bCs/>
          <w:sz w:val="22"/>
          <w:szCs w:val="22"/>
        </w:rPr>
        <w:t xml:space="preserve">    </w:t>
      </w:r>
    </w:p>
    <w:p>
      <w:pPr>
        <w:ind w:right="-189" w:rightChars="-90" w:firstLine="110" w:firstLineChars="50"/>
        <w:jc w:val="left"/>
        <w:rPr>
          <w:rFonts w:ascii="宋体" w:hAnsi="宋体" w:cs="宋体"/>
          <w:b/>
          <w:bCs/>
          <w:sz w:val="22"/>
          <w:szCs w:val="22"/>
          <w:u w:val="single"/>
        </w:rPr>
      </w:pPr>
      <w:r>
        <w:rPr>
          <w:rFonts w:hint="eastAsia" w:ascii="宋体" w:hAnsi="宋体" w:cs="宋体"/>
          <w:bCs/>
          <w:sz w:val="22"/>
          <w:szCs w:val="22"/>
        </w:rPr>
        <w:t>乙方（卖方）：</w:t>
      </w:r>
      <w:r>
        <w:rPr>
          <w:rFonts w:hint="eastAsia" w:ascii="宋体" w:hAnsi="宋体" w:cs="宋体"/>
          <w:b/>
          <w:bCs/>
          <w:sz w:val="22"/>
          <w:szCs w:val="22"/>
          <w:u w:val="single"/>
        </w:rPr>
        <w:t xml:space="preserve">          </w:t>
      </w:r>
    </w:p>
    <w:p>
      <w:pPr>
        <w:ind w:right="-189" w:rightChars="-90" w:firstLine="110" w:firstLineChars="50"/>
        <w:jc w:val="left"/>
        <w:rPr>
          <w:rFonts w:ascii="宋体" w:hAnsi="宋体" w:cs="宋体"/>
          <w:b/>
          <w:bCs/>
          <w:sz w:val="22"/>
          <w:szCs w:val="22"/>
          <w:u w:val="single"/>
        </w:rPr>
      </w:pPr>
    </w:p>
    <w:p>
      <w:pPr>
        <w:ind w:right="-189" w:rightChars="-90" w:firstLine="110" w:firstLineChars="50"/>
        <w:jc w:val="left"/>
        <w:rPr>
          <w:rFonts w:ascii="宋体" w:hAnsi="宋体" w:cs="宋体"/>
          <w:b/>
          <w:bCs/>
          <w:sz w:val="22"/>
          <w:szCs w:val="22"/>
          <w:u w:val="single"/>
        </w:rPr>
      </w:pPr>
    </w:p>
    <w:p>
      <w:pPr>
        <w:spacing w:line="220" w:lineRule="atLeast"/>
        <w:ind w:firstLine="378" w:firstLineChars="189"/>
        <w:rPr>
          <w:rFonts w:hint="eastAsia" w:ascii="宋体" w:hAnsi="宋体" w:eastAsia="宋体" w:cs="宋体"/>
          <w:sz w:val="20"/>
          <w:szCs w:val="20"/>
        </w:rPr>
      </w:pPr>
      <w:r>
        <w:rPr>
          <w:rFonts w:hint="eastAsia" w:ascii="宋体" w:hAnsi="宋体" w:eastAsia="宋体" w:cs="宋体"/>
          <w:sz w:val="20"/>
          <w:szCs w:val="20"/>
        </w:rPr>
        <w:t>本设备采购合同由甲乙双方于山东省泰安市签订：</w:t>
      </w:r>
    </w:p>
    <w:p>
      <w:pPr>
        <w:spacing w:line="220" w:lineRule="atLeast"/>
        <w:ind w:firstLine="378" w:firstLineChars="189"/>
        <w:rPr>
          <w:rFonts w:hint="eastAsia" w:ascii="宋体" w:hAnsi="宋体" w:eastAsia="宋体" w:cs="宋体"/>
          <w:sz w:val="20"/>
          <w:szCs w:val="20"/>
        </w:rPr>
      </w:pPr>
      <w:r>
        <w:rPr>
          <w:rFonts w:hint="eastAsia" w:ascii="宋体" w:hAnsi="宋体" w:eastAsia="宋体" w:cs="宋体"/>
          <w:sz w:val="20"/>
          <w:szCs w:val="20"/>
        </w:rPr>
        <w:t>鉴于，买方向卖方购买     项目   设备    台（套），就该设备的设计、制造、运输、定点卸货、安装（或指导安装）、调试、验收、培训及售后服务等有关问题，以上所列内容经买卖双方协商自愿达成本合同：</w:t>
      </w:r>
    </w:p>
    <w:p>
      <w:pPr>
        <w:ind w:right="-189" w:rightChars="-90" w:firstLine="440" w:firstLineChars="200"/>
        <w:jc w:val="left"/>
        <w:rPr>
          <w:rFonts w:ascii="宋体" w:hAnsi="宋体"/>
          <w:sz w:val="22"/>
          <w:szCs w:val="22"/>
        </w:rPr>
      </w:pPr>
    </w:p>
    <w:p>
      <w:pPr>
        <w:pStyle w:val="3"/>
        <w:tabs>
          <w:tab w:val="right" w:leader="dot" w:pos="9061"/>
        </w:tabs>
        <w:ind w:firstLine="379" w:firstLineChars="189"/>
        <w:jc w:val="both"/>
        <w:rPr>
          <w:rFonts w:ascii="宋体" w:hAnsi="宋体" w:cs="宋体"/>
          <w:sz w:val="20"/>
        </w:rPr>
      </w:pPr>
      <w:bookmarkStart w:id="2" w:name="_Toc10415"/>
      <w:bookmarkStart w:id="3" w:name="_Toc22691"/>
      <w:bookmarkStart w:id="4" w:name="_Toc2393"/>
      <w:bookmarkStart w:id="5" w:name="_Toc17619"/>
      <w:bookmarkStart w:id="6" w:name="_Toc11823"/>
      <w:bookmarkStart w:id="7" w:name="_Toc11930"/>
      <w:bookmarkStart w:id="8" w:name="_Toc16330018"/>
      <w:bookmarkStart w:id="9" w:name="_Toc23245"/>
      <w:bookmarkStart w:id="10" w:name="_Toc26087"/>
      <w:r>
        <w:rPr>
          <w:rFonts w:hint="eastAsia" w:ascii="宋体" w:hAnsi="宋体" w:cs="宋体"/>
          <w:sz w:val="20"/>
        </w:rPr>
        <w:t>1 合同设备</w:t>
      </w:r>
      <w:bookmarkEnd w:id="2"/>
      <w:bookmarkEnd w:id="3"/>
      <w:bookmarkEnd w:id="4"/>
      <w:bookmarkEnd w:id="5"/>
      <w:bookmarkEnd w:id="6"/>
      <w:bookmarkEnd w:id="7"/>
      <w:bookmarkEnd w:id="8"/>
      <w:bookmarkEnd w:id="9"/>
      <w:bookmarkEnd w:id="10"/>
    </w:p>
    <w:p>
      <w:pPr>
        <w:spacing w:line="220" w:lineRule="atLeast"/>
        <w:ind w:firstLine="378" w:firstLineChars="189"/>
        <w:rPr>
          <w:rFonts w:ascii="宋体" w:hAnsi="宋体" w:cs="宋体"/>
          <w:sz w:val="20"/>
          <w:szCs w:val="20"/>
        </w:rPr>
      </w:pPr>
      <w:r>
        <w:rPr>
          <w:rFonts w:hint="eastAsia" w:ascii="宋体" w:hAnsi="宋体" w:cs="宋体"/>
          <w:sz w:val="20"/>
          <w:szCs w:val="20"/>
        </w:rPr>
        <w:t>1.1买方向卖方购买的设备信息见附件一：《设备清单明细表》</w:t>
      </w:r>
    </w:p>
    <w:p>
      <w:pPr>
        <w:spacing w:line="360" w:lineRule="auto"/>
        <w:ind w:firstLine="378" w:firstLineChars="189"/>
        <w:rPr>
          <w:rFonts w:ascii="宋体" w:hAnsi="宋体" w:cs="宋体"/>
          <w:sz w:val="20"/>
          <w:szCs w:val="20"/>
        </w:rPr>
      </w:pPr>
      <w:bookmarkStart w:id="11" w:name="_Toc29026"/>
      <w:bookmarkStart w:id="12" w:name="_Toc22800"/>
      <w:bookmarkStart w:id="13" w:name="_Toc32510"/>
      <w:r>
        <w:rPr>
          <w:rFonts w:hint="eastAsia" w:ascii="宋体" w:hAnsi="宋体" w:cs="宋体"/>
          <w:sz w:val="20"/>
          <w:szCs w:val="20"/>
        </w:rPr>
        <w:t>1.2技术规格和标准</w:t>
      </w:r>
    </w:p>
    <w:p>
      <w:pPr>
        <w:spacing w:line="360" w:lineRule="auto"/>
        <w:ind w:firstLine="378" w:firstLineChars="189"/>
        <w:rPr>
          <w:rFonts w:ascii="宋体" w:hAnsi="宋体" w:cs="宋体"/>
          <w:sz w:val="20"/>
          <w:szCs w:val="20"/>
        </w:rPr>
      </w:pPr>
      <w:r>
        <w:rPr>
          <w:rFonts w:hint="eastAsia" w:ascii="宋体" w:hAnsi="宋体" w:cs="宋体"/>
          <w:sz w:val="20"/>
          <w:szCs w:val="20"/>
        </w:rPr>
        <w:t>1.2.1本合同约定设备的技术规格详见附件二《技术协议书》。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378" w:firstLineChars="189"/>
        <w:rPr>
          <w:rFonts w:ascii="宋体" w:hAnsi="宋体" w:cs="宋体"/>
          <w:sz w:val="20"/>
          <w:szCs w:val="20"/>
        </w:rPr>
      </w:pPr>
      <w:r>
        <w:rPr>
          <w:rFonts w:hint="eastAsia" w:ascii="宋体" w:hAnsi="宋体" w:cs="宋体"/>
          <w:sz w:val="20"/>
          <w:szCs w:val="20"/>
        </w:rPr>
        <w:t>1.3在设备所有权转移到买方之前，有关设备的保险由卖方负责办理并承担保险费用。</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4" w:name="_Toc13004"/>
      <w:bookmarkStart w:id="15" w:name="_Toc27507"/>
      <w:bookmarkStart w:id="16" w:name="_Toc91"/>
      <w:bookmarkStart w:id="17" w:name="_Toc10152"/>
      <w:bookmarkStart w:id="18" w:name="_Toc14992"/>
      <w:bookmarkStart w:id="19" w:name="_Toc16330019"/>
      <w:r>
        <w:rPr>
          <w:rFonts w:hint="eastAsia" w:ascii="宋体" w:hAnsi="宋体" w:cs="宋体"/>
          <w:sz w:val="20"/>
        </w:rPr>
        <w:t>2 包装</w:t>
      </w:r>
      <w:bookmarkEnd w:id="11"/>
      <w:bookmarkEnd w:id="12"/>
      <w:bookmarkEnd w:id="13"/>
      <w:bookmarkEnd w:id="14"/>
      <w:bookmarkEnd w:id="15"/>
      <w:bookmarkEnd w:id="16"/>
      <w:bookmarkEnd w:id="17"/>
      <w:bookmarkEnd w:id="18"/>
      <w:bookmarkEnd w:id="19"/>
    </w:p>
    <w:p>
      <w:pPr>
        <w:spacing w:line="360" w:lineRule="auto"/>
        <w:ind w:firstLine="378" w:firstLineChars="189"/>
        <w:rPr>
          <w:rFonts w:ascii="宋体" w:hAnsi="宋体" w:cs="宋体"/>
          <w:sz w:val="20"/>
          <w:szCs w:val="20"/>
        </w:rPr>
      </w:pPr>
      <w:r>
        <w:rPr>
          <w:rFonts w:hint="eastAsia" w:ascii="宋体" w:hAnsi="宋体" w:cs="宋体"/>
          <w:sz w:val="20"/>
          <w:szCs w:val="20"/>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378" w:firstLineChars="189"/>
        <w:rPr>
          <w:rFonts w:ascii="宋体" w:hAnsi="宋体" w:cs="宋体"/>
          <w:sz w:val="20"/>
          <w:szCs w:val="20"/>
        </w:rPr>
      </w:pPr>
      <w:r>
        <w:rPr>
          <w:rFonts w:hint="eastAsia" w:ascii="宋体" w:hAnsi="宋体" w:cs="宋体"/>
          <w:sz w:val="20"/>
          <w:szCs w:val="20"/>
        </w:rPr>
        <w:t>2.2每件包装应附有详细的装箱单和质量证书各两套，一套在包装箱里，一套在包装箱外。</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20" w:name="_Toc4556"/>
      <w:bookmarkStart w:id="21" w:name="_Toc16600"/>
      <w:bookmarkStart w:id="22" w:name="_Toc16330020"/>
      <w:bookmarkStart w:id="23" w:name="_Toc27144"/>
      <w:bookmarkStart w:id="24" w:name="_Toc27453"/>
      <w:bookmarkStart w:id="25" w:name="_Toc8891"/>
      <w:bookmarkStart w:id="26" w:name="_Toc2833"/>
      <w:bookmarkStart w:id="27" w:name="_Toc19916"/>
      <w:bookmarkStart w:id="28" w:name="_Toc12627"/>
      <w:r>
        <w:rPr>
          <w:rFonts w:hint="eastAsia" w:ascii="宋体" w:hAnsi="宋体" w:cs="宋体"/>
          <w:sz w:val="20"/>
        </w:rPr>
        <w:t>3 运输标记</w:t>
      </w:r>
      <w:bookmarkEnd w:id="20"/>
      <w:bookmarkEnd w:id="21"/>
      <w:bookmarkEnd w:id="22"/>
      <w:bookmarkEnd w:id="23"/>
      <w:bookmarkEnd w:id="24"/>
      <w:bookmarkEnd w:id="25"/>
      <w:bookmarkEnd w:id="26"/>
      <w:bookmarkEnd w:id="27"/>
      <w:bookmarkEnd w:id="28"/>
    </w:p>
    <w:p>
      <w:pPr>
        <w:spacing w:line="360" w:lineRule="auto"/>
        <w:ind w:firstLine="378" w:firstLineChars="189"/>
        <w:rPr>
          <w:rFonts w:ascii="宋体" w:hAnsi="宋体" w:cs="宋体"/>
          <w:sz w:val="20"/>
          <w:szCs w:val="20"/>
        </w:rPr>
      </w:pPr>
      <w:r>
        <w:rPr>
          <w:rFonts w:hint="eastAsia" w:ascii="宋体" w:hAnsi="宋体" w:cs="宋体"/>
          <w:sz w:val="20"/>
          <w:szCs w:val="20"/>
        </w:rPr>
        <w:t>3.1卖方应在每一包装箱邻近的四个侧面用不易褪色的油漆以醒目的中文印刷字体标明以下各项：</w:t>
      </w:r>
    </w:p>
    <w:p>
      <w:pPr>
        <w:spacing w:line="360" w:lineRule="auto"/>
        <w:ind w:firstLine="378" w:firstLineChars="189"/>
        <w:rPr>
          <w:rFonts w:ascii="宋体" w:hAnsi="宋体" w:cs="宋体"/>
          <w:sz w:val="20"/>
          <w:szCs w:val="20"/>
        </w:rPr>
      </w:pPr>
      <w:r>
        <w:rPr>
          <w:rFonts w:hint="eastAsia" w:ascii="宋体" w:hAnsi="宋体" w:cs="宋体"/>
          <w:sz w:val="20"/>
          <w:szCs w:val="20"/>
        </w:rPr>
        <w:t>3.1.1收货人</w:t>
      </w:r>
    </w:p>
    <w:p>
      <w:pPr>
        <w:spacing w:line="360" w:lineRule="auto"/>
        <w:ind w:firstLine="378" w:firstLineChars="189"/>
        <w:rPr>
          <w:rFonts w:ascii="宋体" w:hAnsi="宋体" w:cs="宋体"/>
          <w:sz w:val="20"/>
          <w:szCs w:val="20"/>
        </w:rPr>
      </w:pPr>
      <w:r>
        <w:rPr>
          <w:rFonts w:hint="eastAsia" w:ascii="宋体" w:hAnsi="宋体" w:cs="宋体"/>
          <w:sz w:val="20"/>
          <w:szCs w:val="20"/>
        </w:rPr>
        <w:t>3.1.2合同号</w:t>
      </w:r>
    </w:p>
    <w:p>
      <w:pPr>
        <w:spacing w:line="360" w:lineRule="auto"/>
        <w:ind w:firstLine="378" w:firstLineChars="189"/>
        <w:rPr>
          <w:rFonts w:ascii="宋体" w:hAnsi="宋体" w:cs="宋体"/>
          <w:sz w:val="20"/>
          <w:szCs w:val="20"/>
        </w:rPr>
      </w:pPr>
      <w:r>
        <w:rPr>
          <w:rFonts w:hint="eastAsia" w:ascii="宋体" w:hAnsi="宋体" w:cs="宋体"/>
          <w:sz w:val="20"/>
          <w:szCs w:val="20"/>
        </w:rPr>
        <w:t>3.1.3发货标记（唛头）</w:t>
      </w:r>
    </w:p>
    <w:p>
      <w:pPr>
        <w:spacing w:line="360" w:lineRule="auto"/>
        <w:ind w:firstLine="378" w:firstLineChars="189"/>
        <w:rPr>
          <w:rFonts w:ascii="宋体" w:hAnsi="宋体" w:cs="宋体"/>
          <w:sz w:val="20"/>
          <w:szCs w:val="20"/>
        </w:rPr>
      </w:pPr>
      <w:r>
        <w:rPr>
          <w:rFonts w:hint="eastAsia" w:ascii="宋体" w:hAnsi="宋体" w:cs="宋体"/>
          <w:sz w:val="20"/>
          <w:szCs w:val="20"/>
        </w:rPr>
        <w:t>3.1.4设备的名称、品目号、箱号</w:t>
      </w:r>
    </w:p>
    <w:p>
      <w:pPr>
        <w:spacing w:line="360" w:lineRule="auto"/>
        <w:ind w:firstLine="378" w:firstLineChars="189"/>
        <w:rPr>
          <w:rFonts w:ascii="宋体" w:hAnsi="宋体" w:cs="宋体"/>
          <w:sz w:val="20"/>
          <w:szCs w:val="20"/>
        </w:rPr>
      </w:pPr>
      <w:r>
        <w:rPr>
          <w:rFonts w:hint="eastAsia" w:ascii="宋体" w:hAnsi="宋体" w:cs="宋体"/>
          <w:sz w:val="20"/>
          <w:szCs w:val="20"/>
        </w:rPr>
        <w:t>3.1.5毛重/净重（公斤）</w:t>
      </w:r>
    </w:p>
    <w:p>
      <w:pPr>
        <w:spacing w:line="360" w:lineRule="auto"/>
        <w:ind w:firstLine="378" w:firstLineChars="189"/>
        <w:rPr>
          <w:rFonts w:ascii="宋体" w:hAnsi="宋体" w:cs="宋体"/>
          <w:sz w:val="20"/>
          <w:szCs w:val="20"/>
        </w:rPr>
      </w:pPr>
      <w:r>
        <w:rPr>
          <w:rFonts w:hint="eastAsia" w:ascii="宋体" w:hAnsi="宋体" w:cs="宋体"/>
          <w:sz w:val="20"/>
          <w:szCs w:val="20"/>
        </w:rPr>
        <w:t>3.1.6尺寸（长×宽×高，以厘米计）</w:t>
      </w:r>
    </w:p>
    <w:p>
      <w:pPr>
        <w:spacing w:line="360" w:lineRule="auto"/>
        <w:ind w:firstLine="378" w:firstLineChars="189"/>
        <w:rPr>
          <w:rFonts w:ascii="宋体" w:hAnsi="宋体" w:cs="宋体"/>
          <w:sz w:val="20"/>
          <w:szCs w:val="20"/>
        </w:rPr>
      </w:pPr>
      <w:r>
        <w:rPr>
          <w:rFonts w:hint="eastAsia" w:ascii="宋体" w:hAnsi="宋体" w:cs="宋体"/>
          <w:sz w:val="20"/>
          <w:szCs w:val="20"/>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29" w:name="_Toc16133"/>
      <w:bookmarkStart w:id="30" w:name="_Toc2691"/>
      <w:bookmarkStart w:id="31" w:name="_Toc7431"/>
      <w:bookmarkStart w:id="32" w:name="_Toc22279"/>
      <w:bookmarkStart w:id="33" w:name="_Toc16330021"/>
      <w:bookmarkStart w:id="34" w:name="_Toc5818"/>
      <w:bookmarkStart w:id="35" w:name="_Toc9428"/>
      <w:bookmarkStart w:id="36" w:name="_Toc10630"/>
      <w:bookmarkStart w:id="37" w:name="_Toc16579"/>
      <w:r>
        <w:rPr>
          <w:rFonts w:hint="eastAsia" w:ascii="宋体" w:hAnsi="宋体" w:cs="宋体"/>
          <w:sz w:val="20"/>
        </w:rPr>
        <w:t>4 检验</w:t>
      </w:r>
      <w:bookmarkEnd w:id="29"/>
      <w:bookmarkEnd w:id="30"/>
      <w:bookmarkEnd w:id="31"/>
      <w:bookmarkEnd w:id="32"/>
      <w:bookmarkEnd w:id="33"/>
      <w:bookmarkEnd w:id="34"/>
      <w:bookmarkEnd w:id="35"/>
      <w:bookmarkEnd w:id="36"/>
      <w:bookmarkEnd w:id="37"/>
    </w:p>
    <w:p>
      <w:pPr>
        <w:spacing w:line="360" w:lineRule="auto"/>
        <w:ind w:firstLine="378" w:firstLineChars="189"/>
        <w:rPr>
          <w:rFonts w:ascii="宋体" w:hAnsi="宋体" w:cs="宋体"/>
          <w:sz w:val="20"/>
          <w:szCs w:val="20"/>
        </w:rPr>
      </w:pPr>
      <w:r>
        <w:rPr>
          <w:rFonts w:hint="eastAsia" w:ascii="宋体" w:hAnsi="宋体" w:cs="宋体"/>
          <w:sz w:val="20"/>
          <w:szCs w:val="20"/>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378" w:firstLineChars="189"/>
        <w:rPr>
          <w:rFonts w:ascii="宋体" w:hAnsi="宋体" w:cs="宋体"/>
          <w:sz w:val="20"/>
          <w:szCs w:val="20"/>
        </w:rPr>
      </w:pPr>
      <w:r>
        <w:rPr>
          <w:rFonts w:hint="eastAsia" w:ascii="宋体" w:hAnsi="宋体" w:cs="宋体"/>
          <w:sz w:val="20"/>
          <w:szCs w:val="20"/>
        </w:rPr>
        <w:t>4.2国家强制检验检测的设备，需要经过国家有关部门进行检验检测，卖方保证提供的设备通过其检验并承担费用。</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38" w:name="_Toc21551"/>
      <w:bookmarkStart w:id="39" w:name="_Toc11217"/>
      <w:bookmarkStart w:id="40" w:name="_Toc15994"/>
      <w:bookmarkStart w:id="41" w:name="_Toc23314"/>
      <w:bookmarkStart w:id="42" w:name="_Toc15885"/>
      <w:bookmarkStart w:id="43" w:name="_Toc26510"/>
      <w:bookmarkStart w:id="44" w:name="_Toc24467"/>
      <w:bookmarkStart w:id="45" w:name="_Toc19850"/>
      <w:bookmarkStart w:id="46" w:name="_Toc16330022"/>
      <w:r>
        <w:rPr>
          <w:rFonts w:hint="eastAsia" w:ascii="宋体" w:hAnsi="宋体" w:cs="宋体"/>
          <w:sz w:val="20"/>
        </w:rPr>
        <w:t>5 权利担保</w:t>
      </w:r>
      <w:bookmarkEnd w:id="38"/>
      <w:bookmarkEnd w:id="39"/>
      <w:bookmarkEnd w:id="40"/>
      <w:bookmarkEnd w:id="41"/>
      <w:bookmarkEnd w:id="42"/>
      <w:bookmarkEnd w:id="43"/>
      <w:bookmarkEnd w:id="44"/>
      <w:bookmarkEnd w:id="45"/>
      <w:bookmarkEnd w:id="46"/>
    </w:p>
    <w:p>
      <w:pPr>
        <w:spacing w:line="360" w:lineRule="auto"/>
        <w:ind w:firstLine="378" w:firstLineChars="189"/>
        <w:rPr>
          <w:rFonts w:ascii="宋体" w:hAnsi="宋体" w:cs="宋体"/>
          <w:sz w:val="20"/>
          <w:szCs w:val="20"/>
        </w:rPr>
      </w:pPr>
      <w:r>
        <w:rPr>
          <w:rFonts w:hint="eastAsia" w:ascii="宋体" w:hAnsi="宋体" w:cs="宋体"/>
          <w:sz w:val="20"/>
          <w:szCs w:val="20"/>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378" w:firstLineChars="189"/>
        <w:rPr>
          <w:rFonts w:ascii="宋体" w:hAnsi="宋体" w:cs="宋体"/>
          <w:sz w:val="20"/>
          <w:szCs w:val="20"/>
        </w:rPr>
      </w:pPr>
      <w:r>
        <w:rPr>
          <w:rFonts w:hint="eastAsia" w:ascii="宋体" w:hAnsi="宋体" w:cs="宋体"/>
          <w:sz w:val="20"/>
          <w:szCs w:val="20"/>
        </w:rPr>
        <w:t>5.2卖方应保证第三方对其提交的设备不得以侵权或其他类似理由提出合法要求，如侵犯知识产权等。</w:t>
      </w:r>
    </w:p>
    <w:p>
      <w:pPr>
        <w:spacing w:line="360" w:lineRule="auto"/>
        <w:ind w:firstLine="378" w:firstLineChars="189"/>
        <w:rPr>
          <w:rFonts w:ascii="宋体" w:hAnsi="宋体" w:cs="宋体"/>
          <w:sz w:val="20"/>
          <w:szCs w:val="20"/>
        </w:rPr>
      </w:pPr>
      <w:r>
        <w:rPr>
          <w:rFonts w:hint="eastAsia" w:ascii="宋体" w:hAnsi="宋体" w:cs="宋体"/>
          <w:sz w:val="20"/>
          <w:szCs w:val="20"/>
        </w:rPr>
        <w:t>5.3任何第三方如果提出侵权指控，卖方应与第三方交涉，并承担由此引起的一切法律责任和费用以及给买方所造成的损失。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5.4买方应在已知道第三方的权利或要求后的一段合理时间内，将此权利或要求的性质通知卖方。</w:t>
      </w:r>
    </w:p>
    <w:p>
      <w:pPr>
        <w:spacing w:line="360" w:lineRule="auto"/>
        <w:ind w:firstLine="378" w:firstLineChars="189"/>
        <w:rPr>
          <w:rFonts w:ascii="宋体" w:hAnsi="宋体" w:cs="宋体"/>
          <w:sz w:val="20"/>
          <w:szCs w:val="20"/>
        </w:rPr>
      </w:pPr>
      <w:r>
        <w:rPr>
          <w:rFonts w:hint="eastAsia" w:ascii="宋体" w:hAnsi="宋体" w:cs="宋体"/>
          <w:sz w:val="20"/>
          <w:szCs w:val="20"/>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47" w:name="_Toc9323"/>
      <w:bookmarkStart w:id="48" w:name="_Toc27500"/>
      <w:bookmarkStart w:id="49" w:name="_Toc13364"/>
      <w:bookmarkStart w:id="50" w:name="_Toc30276"/>
      <w:bookmarkStart w:id="51" w:name="_Toc11759"/>
      <w:bookmarkStart w:id="52" w:name="_Toc14809"/>
      <w:bookmarkStart w:id="53" w:name="_Toc26514"/>
      <w:bookmarkStart w:id="54" w:name="_Toc16330023"/>
      <w:bookmarkStart w:id="55" w:name="_Toc27566"/>
      <w:r>
        <w:rPr>
          <w:rFonts w:hint="eastAsia" w:ascii="宋体" w:hAnsi="宋体" w:cs="宋体"/>
          <w:sz w:val="20"/>
        </w:rPr>
        <w:t>6 交货</w:t>
      </w:r>
      <w:bookmarkEnd w:id="47"/>
      <w:bookmarkEnd w:id="48"/>
      <w:bookmarkEnd w:id="49"/>
      <w:bookmarkEnd w:id="50"/>
      <w:bookmarkEnd w:id="51"/>
      <w:bookmarkEnd w:id="52"/>
      <w:bookmarkEnd w:id="53"/>
      <w:bookmarkEnd w:id="54"/>
      <w:bookmarkEnd w:id="55"/>
    </w:p>
    <w:p>
      <w:pPr>
        <w:spacing w:line="360" w:lineRule="auto"/>
        <w:ind w:firstLine="378" w:firstLineChars="189"/>
        <w:rPr>
          <w:rFonts w:ascii="宋体" w:hAnsi="宋体" w:cs="宋体"/>
          <w:sz w:val="20"/>
          <w:szCs w:val="20"/>
        </w:rPr>
      </w:pPr>
      <w:r>
        <w:rPr>
          <w:rFonts w:hint="eastAsia" w:ascii="宋体" w:hAnsi="宋体" w:cs="宋体"/>
          <w:sz w:val="20"/>
          <w:szCs w:val="20"/>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378" w:firstLineChars="189"/>
        <w:rPr>
          <w:rFonts w:ascii="宋体" w:hAnsi="宋体" w:cs="宋体"/>
          <w:sz w:val="20"/>
          <w:szCs w:val="20"/>
        </w:rPr>
      </w:pPr>
      <w:r>
        <w:rPr>
          <w:rFonts w:hint="eastAsia" w:ascii="宋体" w:hAnsi="宋体" w:cs="宋体"/>
          <w:sz w:val="20"/>
          <w:szCs w:val="20"/>
        </w:rPr>
        <w:t>6.2卖方应在设备装运完成后当天以传真、邮件等的形式通知买方合同号、设备名称、数量、毛重、体积（立方米）、发票金额、启运日期、预计到达日期。</w:t>
      </w:r>
    </w:p>
    <w:p>
      <w:pPr>
        <w:spacing w:line="360" w:lineRule="auto"/>
        <w:ind w:firstLine="378" w:firstLineChars="189"/>
        <w:rPr>
          <w:rFonts w:ascii="宋体" w:hAnsi="宋体" w:cs="宋体"/>
          <w:sz w:val="20"/>
          <w:szCs w:val="20"/>
        </w:rPr>
      </w:pPr>
      <w:r>
        <w:rPr>
          <w:rFonts w:hint="eastAsia" w:ascii="宋体" w:hAnsi="宋体" w:cs="宋体"/>
          <w:sz w:val="20"/>
          <w:szCs w:val="20"/>
        </w:rPr>
        <w:t>6.3技术资料：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378" w:firstLineChars="189"/>
        <w:rPr>
          <w:rFonts w:ascii="宋体" w:hAnsi="宋体" w:cs="宋体"/>
          <w:sz w:val="20"/>
          <w:szCs w:val="20"/>
        </w:rPr>
      </w:pPr>
      <w:r>
        <w:rPr>
          <w:rFonts w:hint="eastAsia" w:ascii="宋体" w:hAnsi="宋体" w:cs="宋体"/>
          <w:sz w:val="20"/>
          <w:szCs w:val="20"/>
        </w:rPr>
        <w:t>6.4交货方式</w:t>
      </w:r>
      <w:r>
        <w:rPr>
          <w:rFonts w:hint="eastAsia" w:ascii="宋体" w:hAnsi="宋体" w:cs="宋体"/>
          <w:bCs/>
          <w:sz w:val="20"/>
          <w:szCs w:val="20"/>
        </w:rPr>
        <w:t>：</w:t>
      </w:r>
      <w:r>
        <w:rPr>
          <w:rFonts w:hint="eastAsia" w:ascii="宋体" w:hAnsi="宋体" w:cs="宋体"/>
          <w:bCs/>
          <w:sz w:val="20"/>
          <w:szCs w:val="20"/>
          <w:u w:val="single"/>
        </w:rPr>
        <w:t xml:space="preserve">        </w:t>
      </w:r>
      <w:r>
        <w:rPr>
          <w:rFonts w:hint="eastAsia" w:ascii="宋体" w:hAnsi="宋体" w:cs="宋体"/>
          <w:sz w:val="20"/>
          <w:szCs w:val="20"/>
        </w:rPr>
        <w:t>（可选择6.4.1-6.4.3定义的方式或根据实际约定）</w:t>
      </w:r>
    </w:p>
    <w:p>
      <w:pPr>
        <w:spacing w:line="360" w:lineRule="auto"/>
        <w:ind w:firstLine="378" w:firstLineChars="189"/>
        <w:rPr>
          <w:rFonts w:ascii="宋体" w:hAnsi="宋体" w:cs="宋体"/>
          <w:sz w:val="20"/>
          <w:szCs w:val="20"/>
        </w:rPr>
      </w:pPr>
      <w:r>
        <w:rPr>
          <w:rFonts w:hint="eastAsia" w:ascii="宋体" w:hAnsi="宋体" w:cs="宋体"/>
          <w:sz w:val="20"/>
          <w:szCs w:val="20"/>
        </w:rPr>
        <w:t>6.4.1交钥匙方式：卖方负责合同设备的设计、制造、运输、定点卸货、安装、调试、培训及售后服务等所有内容，直至买方验收合格并交付使用。</w:t>
      </w:r>
    </w:p>
    <w:p>
      <w:pPr>
        <w:spacing w:line="360" w:lineRule="auto"/>
        <w:ind w:firstLine="378" w:firstLineChars="189"/>
        <w:rPr>
          <w:rFonts w:ascii="宋体" w:hAnsi="宋体" w:cs="宋体"/>
          <w:sz w:val="20"/>
          <w:szCs w:val="20"/>
        </w:rPr>
      </w:pPr>
      <w:r>
        <w:rPr>
          <w:rFonts w:hint="eastAsia" w:ascii="宋体" w:hAnsi="宋体" w:cs="宋体"/>
          <w:sz w:val="20"/>
          <w:szCs w:val="20"/>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378" w:firstLineChars="189"/>
        <w:rPr>
          <w:rFonts w:ascii="宋体" w:hAnsi="宋体" w:cs="宋体"/>
          <w:sz w:val="20"/>
          <w:szCs w:val="20"/>
        </w:rPr>
      </w:pPr>
      <w:r>
        <w:rPr>
          <w:rFonts w:hint="eastAsia" w:ascii="宋体" w:hAnsi="宋体" w:cs="宋体"/>
          <w:sz w:val="20"/>
          <w:szCs w:val="20"/>
        </w:rPr>
        <w:t>6.4.3自提：买方依照合同约定到卖方所在地提取合同设备，经买方根据合同所约定的数量、型号及配置等内容逐一确认无误后，双方完成交付手续。</w:t>
      </w:r>
    </w:p>
    <w:p>
      <w:pPr>
        <w:spacing w:line="360" w:lineRule="auto"/>
        <w:ind w:firstLine="378" w:firstLineChars="189"/>
        <w:rPr>
          <w:rFonts w:ascii="宋体" w:hAnsi="宋体" w:cs="宋体"/>
          <w:sz w:val="20"/>
          <w:szCs w:val="20"/>
        </w:rPr>
      </w:pPr>
      <w:r>
        <w:rPr>
          <w:rFonts w:hint="eastAsia" w:ascii="宋体" w:hAnsi="宋体" w:cs="宋体"/>
          <w:sz w:val="20"/>
          <w:szCs w:val="20"/>
        </w:rPr>
        <w:t>6.5交货地点：</w:t>
      </w:r>
      <w:r>
        <w:rPr>
          <w:rFonts w:hint="eastAsia" w:ascii="宋体" w:hAnsi="宋体" w:cs="宋体"/>
          <w:sz w:val="20"/>
          <w:szCs w:val="20"/>
          <w:u w:val="single"/>
        </w:rPr>
        <w:t xml:space="preserve">                 </w:t>
      </w:r>
      <w:r>
        <w:rPr>
          <w:rFonts w:hint="eastAsia" w:ascii="宋体" w:hAnsi="宋体" w:cs="宋体"/>
          <w:sz w:val="20"/>
          <w:szCs w:val="20"/>
        </w:rPr>
        <w:t xml:space="preserve">      </w:t>
      </w:r>
    </w:p>
    <w:p>
      <w:pPr>
        <w:spacing w:line="360" w:lineRule="auto"/>
        <w:ind w:firstLine="378" w:firstLineChars="189"/>
        <w:rPr>
          <w:rFonts w:ascii="宋体" w:hAnsi="宋体" w:cs="宋体"/>
          <w:sz w:val="20"/>
          <w:szCs w:val="20"/>
        </w:rPr>
      </w:pPr>
      <w:r>
        <w:rPr>
          <w:rFonts w:hint="eastAsia" w:ascii="宋体" w:hAnsi="宋体" w:cs="宋体"/>
          <w:sz w:val="20"/>
          <w:szCs w:val="20"/>
        </w:rPr>
        <w:t>6.6到货时间：</w:t>
      </w:r>
      <w:r>
        <w:rPr>
          <w:rFonts w:hint="eastAsia" w:ascii="宋体" w:hAnsi="宋体" w:cs="宋体"/>
          <w:sz w:val="20"/>
          <w:szCs w:val="20"/>
          <w:u w:val="single"/>
        </w:rPr>
        <w:t>20  年  月   日前</w:t>
      </w:r>
      <w:r>
        <w:rPr>
          <w:rFonts w:hint="eastAsia" w:ascii="宋体" w:hAnsi="宋体" w:cs="宋体"/>
          <w:sz w:val="20"/>
          <w:szCs w:val="20"/>
        </w:rPr>
        <w:t xml:space="preserve">         </w:t>
      </w:r>
    </w:p>
    <w:p>
      <w:pPr>
        <w:spacing w:line="360" w:lineRule="auto"/>
        <w:ind w:firstLine="378" w:firstLineChars="189"/>
        <w:rPr>
          <w:rFonts w:ascii="宋体" w:hAnsi="宋体" w:cs="宋体"/>
          <w:sz w:val="20"/>
          <w:szCs w:val="20"/>
        </w:rPr>
      </w:pPr>
      <w:r>
        <w:rPr>
          <w:rFonts w:hint="eastAsia" w:ascii="宋体" w:hAnsi="宋体" w:cs="宋体"/>
          <w:sz w:val="20"/>
          <w:szCs w:val="20"/>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378" w:firstLineChars="189"/>
        <w:rPr>
          <w:rFonts w:ascii="宋体" w:hAnsi="宋体" w:cs="宋体"/>
          <w:sz w:val="20"/>
          <w:szCs w:val="20"/>
        </w:rPr>
      </w:pPr>
      <w:r>
        <w:rPr>
          <w:rFonts w:hint="eastAsia" w:ascii="宋体" w:hAnsi="宋体" w:cs="宋体"/>
          <w:sz w:val="20"/>
          <w:szCs w:val="20"/>
        </w:rPr>
        <w:t>6.8如果卖方在规定的日期前交付设备，需经买方书面同意。</w:t>
      </w:r>
    </w:p>
    <w:p>
      <w:pPr>
        <w:spacing w:line="360" w:lineRule="auto"/>
        <w:ind w:firstLine="378" w:firstLineChars="189"/>
        <w:rPr>
          <w:rFonts w:ascii="宋体" w:hAnsi="宋体" w:cs="宋体"/>
          <w:sz w:val="20"/>
          <w:szCs w:val="20"/>
        </w:rPr>
      </w:pPr>
      <w:r>
        <w:rPr>
          <w:rFonts w:hint="eastAsia" w:ascii="宋体" w:hAnsi="宋体" w:cs="宋体"/>
          <w:sz w:val="20"/>
          <w:szCs w:val="20"/>
        </w:rPr>
        <w:t>6.9风险的转移：</w:t>
      </w:r>
    </w:p>
    <w:p>
      <w:pPr>
        <w:spacing w:line="360" w:lineRule="auto"/>
        <w:ind w:firstLine="378" w:firstLineChars="189"/>
        <w:rPr>
          <w:rFonts w:ascii="宋体" w:hAnsi="宋体" w:cs="宋体"/>
          <w:sz w:val="20"/>
          <w:szCs w:val="20"/>
        </w:rPr>
      </w:pPr>
      <w:r>
        <w:rPr>
          <w:rFonts w:hint="eastAsia" w:ascii="宋体" w:hAnsi="宋体" w:cs="宋体"/>
          <w:sz w:val="20"/>
          <w:szCs w:val="20"/>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56" w:name="_Toc23303"/>
      <w:bookmarkStart w:id="57" w:name="_Toc2984"/>
      <w:bookmarkStart w:id="58" w:name="_Toc16330024"/>
      <w:bookmarkStart w:id="59" w:name="_Toc5600"/>
      <w:bookmarkStart w:id="60" w:name="_Toc28578"/>
      <w:bookmarkStart w:id="61" w:name="_Toc8024"/>
      <w:bookmarkStart w:id="62" w:name="_Toc2538"/>
      <w:bookmarkStart w:id="63" w:name="_Toc25510"/>
      <w:bookmarkStart w:id="64" w:name="_Toc12730"/>
      <w:r>
        <w:rPr>
          <w:rFonts w:hint="eastAsia" w:ascii="宋体" w:hAnsi="宋体" w:cs="宋体"/>
          <w:sz w:val="20"/>
        </w:rPr>
        <w:t>7 安装、调试</w:t>
      </w:r>
      <w:bookmarkEnd w:id="56"/>
      <w:bookmarkEnd w:id="57"/>
      <w:bookmarkEnd w:id="58"/>
      <w:bookmarkEnd w:id="59"/>
      <w:bookmarkEnd w:id="60"/>
      <w:bookmarkEnd w:id="61"/>
      <w:bookmarkEnd w:id="62"/>
      <w:bookmarkEnd w:id="63"/>
      <w:bookmarkEnd w:id="64"/>
    </w:p>
    <w:p>
      <w:pPr>
        <w:pStyle w:val="8"/>
        <w:ind w:firstLine="378" w:firstLineChars="189"/>
        <w:rPr>
          <w:rFonts w:ascii="宋体" w:hAnsi="宋体" w:cs="宋体"/>
          <w:sz w:val="20"/>
          <w:szCs w:val="20"/>
        </w:rPr>
      </w:pPr>
      <w:r>
        <w:rPr>
          <w:rFonts w:hint="eastAsia" w:ascii="宋体" w:hAnsi="宋体" w:cs="宋体"/>
          <w:sz w:val="20"/>
          <w:szCs w:val="20"/>
        </w:rPr>
        <w:t>7.1 卖方须在到货后</w:t>
      </w:r>
      <w:r>
        <w:rPr>
          <w:rFonts w:hint="eastAsia" w:ascii="宋体" w:hAnsi="宋体" w:cs="宋体"/>
          <w:sz w:val="20"/>
          <w:szCs w:val="20"/>
          <w:u w:val="single"/>
        </w:rPr>
        <w:t xml:space="preserve">    </w:t>
      </w:r>
      <w:r>
        <w:rPr>
          <w:rFonts w:hint="eastAsia" w:ascii="宋体" w:hAnsi="宋体" w:cs="宋体"/>
          <w:sz w:val="20"/>
          <w:szCs w:val="20"/>
        </w:rPr>
        <w:t>日内安装调试完成。</w:t>
      </w:r>
    </w:p>
    <w:p>
      <w:pPr>
        <w:spacing w:line="360" w:lineRule="auto"/>
        <w:ind w:firstLine="378" w:firstLineChars="189"/>
        <w:rPr>
          <w:rFonts w:ascii="宋体" w:hAnsi="宋体" w:cs="宋体"/>
          <w:sz w:val="20"/>
          <w:szCs w:val="20"/>
        </w:rPr>
      </w:pPr>
      <w:r>
        <w:rPr>
          <w:rFonts w:hint="eastAsia" w:ascii="宋体" w:hAnsi="宋体" w:cs="宋体"/>
          <w:sz w:val="20"/>
          <w:szCs w:val="20"/>
        </w:rPr>
        <w:t>7.2卖方应自带用以安装、调试过程中所需的各种工具、仪器、仪表及易损件。在安装、调试过程中，卖方应自负其工作人员的食宿、交通等费用。</w:t>
      </w:r>
    </w:p>
    <w:p>
      <w:pPr>
        <w:spacing w:line="360" w:lineRule="auto"/>
        <w:ind w:firstLine="378" w:firstLineChars="189"/>
        <w:rPr>
          <w:rFonts w:ascii="宋体" w:hAnsi="宋体" w:cs="宋体"/>
          <w:sz w:val="20"/>
          <w:szCs w:val="20"/>
        </w:rPr>
      </w:pPr>
      <w:r>
        <w:rPr>
          <w:rFonts w:hint="eastAsia" w:ascii="宋体" w:hAnsi="宋体" w:cs="宋体"/>
          <w:sz w:val="20"/>
          <w:szCs w:val="20"/>
        </w:rPr>
        <w:t>7.3在安装、调试过程中，安装场地及施工人员安全，由卖方负责。由于安装、调试等原因造成买方或他人人身损害或财产损失的，由卖方承担赔偿责任。</w:t>
      </w:r>
    </w:p>
    <w:p>
      <w:pPr>
        <w:spacing w:line="360" w:lineRule="auto"/>
        <w:ind w:firstLine="378" w:firstLineChars="189"/>
        <w:rPr>
          <w:rFonts w:ascii="宋体" w:hAnsi="宋体" w:cs="宋体"/>
          <w:sz w:val="20"/>
          <w:szCs w:val="20"/>
        </w:rPr>
      </w:pPr>
      <w:r>
        <w:rPr>
          <w:rFonts w:hint="eastAsia" w:ascii="宋体" w:hAnsi="宋体" w:cs="宋体"/>
          <w:sz w:val="20"/>
          <w:szCs w:val="20"/>
        </w:rPr>
        <w:t>7.4</w:t>
      </w:r>
      <w:r>
        <w:rPr>
          <w:rFonts w:hint="eastAsia" w:ascii="宋体" w:hAnsi="宋体" w:cs="宋体"/>
          <w:bCs/>
          <w:sz w:val="20"/>
          <w:szCs w:val="20"/>
        </w:rPr>
        <w:t xml:space="preserve"> </w:t>
      </w:r>
      <w:r>
        <w:rPr>
          <w:rFonts w:hint="eastAsia" w:ascii="宋体" w:hAnsi="宋体" w:cs="宋体"/>
          <w:sz w:val="20"/>
          <w:szCs w:val="20"/>
        </w:rPr>
        <w:t>卖方须对安装、调试过程中造成的买方或他人人身损害或财产损失承担赔偿责任。</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65" w:name="_Toc14098"/>
      <w:bookmarkStart w:id="66" w:name="_Toc21622"/>
      <w:bookmarkStart w:id="67" w:name="_Toc6350"/>
      <w:bookmarkStart w:id="68" w:name="_Toc16330025"/>
      <w:bookmarkStart w:id="69" w:name="_Toc14260"/>
      <w:bookmarkStart w:id="70" w:name="_Toc29840"/>
      <w:bookmarkStart w:id="71" w:name="_Toc15182"/>
      <w:bookmarkStart w:id="72" w:name="_Toc12082"/>
      <w:bookmarkStart w:id="73" w:name="_Toc10916"/>
      <w:r>
        <w:rPr>
          <w:rFonts w:hint="eastAsia" w:ascii="宋体" w:hAnsi="宋体" w:cs="宋体"/>
          <w:sz w:val="20"/>
        </w:rPr>
        <w:t>8 价款与支付</w:t>
      </w:r>
      <w:bookmarkEnd w:id="65"/>
      <w:bookmarkEnd w:id="66"/>
      <w:bookmarkEnd w:id="67"/>
      <w:bookmarkEnd w:id="68"/>
      <w:bookmarkEnd w:id="69"/>
      <w:bookmarkEnd w:id="70"/>
      <w:bookmarkEnd w:id="71"/>
      <w:bookmarkEnd w:id="72"/>
      <w:bookmarkEnd w:id="73"/>
    </w:p>
    <w:p>
      <w:pPr>
        <w:spacing w:line="360" w:lineRule="auto"/>
        <w:ind w:firstLine="378" w:firstLineChars="189"/>
        <w:rPr>
          <w:rFonts w:ascii="宋体" w:hAnsi="宋体" w:cs="宋体"/>
          <w:sz w:val="20"/>
          <w:szCs w:val="20"/>
        </w:rPr>
      </w:pPr>
      <w:r>
        <w:rPr>
          <w:rFonts w:hint="eastAsia" w:ascii="宋体" w:hAnsi="宋体" w:cs="宋体"/>
          <w:sz w:val="20"/>
          <w:szCs w:val="20"/>
        </w:rPr>
        <w:t>8.1合同总价款为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pPr>
        <w:spacing w:line="360" w:lineRule="auto"/>
        <w:ind w:firstLine="378" w:firstLineChars="189"/>
        <w:rPr>
          <w:rFonts w:ascii="宋体" w:hAnsi="宋体" w:cs="宋体"/>
          <w:sz w:val="20"/>
          <w:szCs w:val="20"/>
        </w:rPr>
      </w:pPr>
      <w:r>
        <w:rPr>
          <w:rFonts w:hint="eastAsia" w:ascii="宋体" w:hAnsi="宋体" w:cs="宋体"/>
          <w:sz w:val="20"/>
          <w:szCs w:val="20"/>
        </w:rPr>
        <w:t>该价格包括但不限于全部（全新）产品价、备品备件价、专用工具价、运杂费（包括现场卸车费）、设计、制造、安装（</w:t>
      </w:r>
      <w:r>
        <w:rPr>
          <w:rFonts w:hint="eastAsia" w:ascii="宋体" w:hAnsi="宋体" w:cs="宋体"/>
          <w:i/>
          <w:iCs/>
          <w:sz w:val="20"/>
          <w:szCs w:val="20"/>
        </w:rPr>
        <w:t>或指导安装</w:t>
      </w:r>
      <w:r>
        <w:rPr>
          <w:rFonts w:hint="eastAsia" w:ascii="宋体" w:hAnsi="宋体" w:cs="宋体"/>
          <w:sz w:val="20"/>
          <w:szCs w:val="20"/>
        </w:rPr>
        <w:t>）、调试、验收、培训、技术及售后服务费、技术资料费等所有费用的总和。（</w:t>
      </w:r>
      <w:r>
        <w:rPr>
          <w:rFonts w:hint="eastAsia" w:ascii="宋体" w:hAnsi="宋体" w:cs="宋体"/>
          <w:i/>
          <w:iCs/>
          <w:sz w:val="20"/>
          <w:szCs w:val="20"/>
        </w:rPr>
        <w:t>根据项目实施内容据实填写</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 xml:space="preserve">8.2合同价款的结算方式：半年期银行承兑汇票          </w:t>
      </w:r>
    </w:p>
    <w:p>
      <w:pPr>
        <w:spacing w:line="360" w:lineRule="auto"/>
        <w:ind w:firstLine="378" w:firstLineChars="189"/>
        <w:rPr>
          <w:rFonts w:hint="eastAsia" w:ascii="宋体" w:hAnsi="宋体" w:cs="宋体"/>
          <w:sz w:val="20"/>
          <w:szCs w:val="20"/>
        </w:rPr>
      </w:pPr>
      <w:r>
        <w:rPr>
          <w:rFonts w:hint="eastAsia" w:ascii="宋体" w:hAnsi="宋体" w:cs="宋体"/>
          <w:sz w:val="20"/>
          <w:szCs w:val="20"/>
        </w:rPr>
        <w:t>8.3合同价款的支付：（与招标文件一致）</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74" w:name="_Toc13131"/>
      <w:bookmarkStart w:id="75" w:name="_Toc12008"/>
      <w:bookmarkStart w:id="76" w:name="_Toc24085"/>
      <w:bookmarkStart w:id="77" w:name="_Toc16330026"/>
      <w:bookmarkStart w:id="78" w:name="_Toc22428"/>
      <w:bookmarkStart w:id="79" w:name="_Toc6726"/>
      <w:bookmarkStart w:id="80" w:name="_Toc25708"/>
      <w:bookmarkStart w:id="81" w:name="_Toc6485"/>
      <w:bookmarkStart w:id="82" w:name="_Toc2677"/>
      <w:r>
        <w:rPr>
          <w:rFonts w:hint="eastAsia" w:ascii="宋体" w:hAnsi="宋体" w:cs="宋体"/>
          <w:sz w:val="20"/>
        </w:rPr>
        <w:t>9 质量保证及售后服务</w:t>
      </w:r>
      <w:bookmarkEnd w:id="74"/>
      <w:bookmarkEnd w:id="75"/>
      <w:bookmarkEnd w:id="76"/>
      <w:bookmarkEnd w:id="77"/>
      <w:bookmarkEnd w:id="78"/>
      <w:bookmarkEnd w:id="79"/>
      <w:bookmarkEnd w:id="80"/>
      <w:bookmarkEnd w:id="81"/>
      <w:bookmarkEnd w:id="82"/>
    </w:p>
    <w:p>
      <w:pPr>
        <w:spacing w:line="360" w:lineRule="auto"/>
        <w:ind w:firstLine="378" w:firstLineChars="189"/>
        <w:rPr>
          <w:rFonts w:ascii="宋体" w:hAnsi="宋体" w:cs="宋体"/>
          <w:sz w:val="20"/>
          <w:szCs w:val="20"/>
        </w:rPr>
      </w:pPr>
      <w:r>
        <w:rPr>
          <w:rFonts w:hint="eastAsia" w:ascii="宋体" w:hAnsi="宋体" w:cs="宋体"/>
          <w:sz w:val="20"/>
          <w:szCs w:val="20"/>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378" w:firstLineChars="189"/>
        <w:rPr>
          <w:rFonts w:ascii="宋体" w:hAnsi="宋体" w:cs="宋体"/>
          <w:sz w:val="20"/>
          <w:szCs w:val="20"/>
        </w:rPr>
      </w:pPr>
      <w:r>
        <w:rPr>
          <w:rFonts w:hint="eastAsia" w:ascii="宋体" w:hAnsi="宋体" w:cs="宋体"/>
          <w:sz w:val="20"/>
          <w:szCs w:val="20"/>
        </w:rPr>
        <w:t>9.2卖方承诺其提供的设备不存在任何产品缺陷，否则因卖方提供的设备存在产品缺陷而给买方造成的一切后果和损失由卖方承担。</w:t>
      </w:r>
    </w:p>
    <w:p>
      <w:pPr>
        <w:spacing w:line="360" w:lineRule="auto"/>
        <w:ind w:firstLine="378" w:firstLineChars="189"/>
        <w:rPr>
          <w:rFonts w:ascii="宋体" w:hAnsi="宋体" w:cs="宋体"/>
          <w:sz w:val="20"/>
          <w:szCs w:val="20"/>
        </w:rPr>
      </w:pPr>
      <w:r>
        <w:rPr>
          <w:rFonts w:hint="eastAsia" w:ascii="宋体" w:hAnsi="宋体" w:cs="宋体"/>
          <w:sz w:val="20"/>
          <w:szCs w:val="20"/>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378" w:firstLineChars="189"/>
        <w:rPr>
          <w:rFonts w:ascii="宋体" w:hAnsi="宋体" w:cs="宋体"/>
          <w:i/>
          <w:iCs/>
          <w:sz w:val="20"/>
          <w:szCs w:val="20"/>
        </w:rPr>
      </w:pPr>
      <w:r>
        <w:rPr>
          <w:rFonts w:hint="eastAsia" w:ascii="宋体" w:hAnsi="宋体" w:cs="宋体"/>
          <w:sz w:val="20"/>
          <w:szCs w:val="20"/>
        </w:rPr>
        <w:t>9.4本合同约定设备的质量保证期：自最终验收报告签署之日（以签署日期最晚者为准）起【】年。</w:t>
      </w:r>
    </w:p>
    <w:p>
      <w:pPr>
        <w:spacing w:line="360" w:lineRule="auto"/>
        <w:ind w:firstLine="378" w:firstLineChars="189"/>
        <w:rPr>
          <w:rFonts w:ascii="宋体" w:hAnsi="宋体" w:cs="宋体"/>
          <w:sz w:val="20"/>
          <w:szCs w:val="20"/>
        </w:rPr>
      </w:pPr>
      <w:r>
        <w:rPr>
          <w:rFonts w:hint="eastAsia" w:ascii="宋体" w:hAnsi="宋体" w:cs="宋体"/>
          <w:sz w:val="20"/>
          <w:szCs w:val="20"/>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378" w:firstLineChars="189"/>
        <w:rPr>
          <w:rFonts w:ascii="宋体" w:hAnsi="宋体" w:cs="宋体"/>
          <w:sz w:val="20"/>
          <w:szCs w:val="20"/>
        </w:rPr>
      </w:pPr>
      <w:r>
        <w:rPr>
          <w:rFonts w:hint="eastAsia" w:ascii="宋体" w:hAnsi="宋体" w:cs="宋体"/>
          <w:sz w:val="20"/>
          <w:szCs w:val="20"/>
        </w:rPr>
        <w:t>9.6卖方负责在买方指定的地点免费为买方培训操作及维修人员，培训内容包括：基本原理、操作使用、安全操作注意事项以及维修保养等内容。</w:t>
      </w:r>
    </w:p>
    <w:p>
      <w:pPr>
        <w:spacing w:line="360" w:lineRule="auto"/>
        <w:ind w:firstLine="378" w:firstLineChars="189"/>
        <w:rPr>
          <w:rFonts w:ascii="宋体" w:hAnsi="宋体" w:cs="宋体"/>
          <w:sz w:val="20"/>
          <w:szCs w:val="20"/>
        </w:rPr>
      </w:pPr>
      <w:r>
        <w:rPr>
          <w:rFonts w:hint="eastAsia" w:ascii="宋体" w:hAnsi="宋体" w:cs="宋体"/>
          <w:sz w:val="20"/>
          <w:szCs w:val="20"/>
        </w:rPr>
        <w:t>9.7质量保证期满后，卖方保证向买方提供及时的、质优的、价格优惠的技术服务和备品备件供应。</w:t>
      </w:r>
    </w:p>
    <w:p>
      <w:pPr>
        <w:spacing w:line="360" w:lineRule="auto"/>
        <w:ind w:firstLine="378" w:firstLineChars="189"/>
        <w:rPr>
          <w:rFonts w:hint="eastAsia" w:ascii="宋体" w:hAnsi="宋体" w:cs="宋体"/>
          <w:sz w:val="20"/>
          <w:szCs w:val="20"/>
        </w:rPr>
      </w:pPr>
      <w:r>
        <w:rPr>
          <w:rFonts w:hint="eastAsia" w:ascii="宋体" w:hAnsi="宋体" w:cs="宋体"/>
          <w:sz w:val="20"/>
          <w:szCs w:val="20"/>
        </w:rPr>
        <w:t>9.8质量保证期满后，如出现质量问题，卖方也应及时修复和更换，且只收取成本费，费用由买方承担，卖方对设备质量问题所负的责任直到设备使用寿命周期结束。</w:t>
      </w:r>
    </w:p>
    <w:p>
      <w:pPr>
        <w:spacing w:line="360" w:lineRule="auto"/>
        <w:ind w:firstLine="378" w:firstLineChars="189"/>
        <w:rPr>
          <w:rFonts w:ascii="宋体" w:hAnsi="宋体" w:cs="宋体"/>
          <w:sz w:val="20"/>
          <w:szCs w:val="20"/>
        </w:rPr>
      </w:pPr>
      <w:r>
        <w:rPr>
          <w:rFonts w:hint="eastAsia" w:ascii="宋体" w:hAnsi="宋体" w:eastAsia="宋体" w:cs="宋体"/>
          <w:sz w:val="20"/>
          <w:szCs w:val="20"/>
          <w:lang w:val="en-US" w:eastAsia="zh-CN"/>
        </w:rPr>
        <w:t>9.9买方</w:t>
      </w:r>
      <w:r>
        <w:rPr>
          <w:rFonts w:hint="eastAsia" w:ascii="宋体" w:hAnsi="宋体" w:eastAsia="宋体" w:cs="宋体"/>
          <w:sz w:val="20"/>
          <w:szCs w:val="20"/>
        </w:rPr>
        <w:t>在质保期后要求</w:t>
      </w:r>
      <w:r>
        <w:rPr>
          <w:rFonts w:hint="eastAsia" w:ascii="宋体" w:hAnsi="宋体" w:eastAsia="宋体" w:cs="宋体"/>
          <w:sz w:val="20"/>
          <w:szCs w:val="20"/>
          <w:lang w:eastAsia="zh-CN"/>
        </w:rPr>
        <w:t>卖方</w:t>
      </w:r>
      <w:r>
        <w:rPr>
          <w:rFonts w:hint="eastAsia" w:ascii="宋体" w:hAnsi="宋体" w:eastAsia="宋体" w:cs="宋体"/>
          <w:sz w:val="20"/>
          <w:szCs w:val="20"/>
        </w:rPr>
        <w:t>提供任何零部件图纸及型号，</w:t>
      </w:r>
      <w:r>
        <w:rPr>
          <w:rFonts w:hint="eastAsia" w:ascii="宋体" w:hAnsi="宋体" w:eastAsia="宋体" w:cs="宋体"/>
          <w:sz w:val="20"/>
          <w:szCs w:val="20"/>
          <w:lang w:eastAsia="zh-CN"/>
        </w:rPr>
        <w:t>卖方</w:t>
      </w:r>
      <w:r>
        <w:rPr>
          <w:rFonts w:hint="eastAsia" w:ascii="宋体" w:hAnsi="宋体" w:eastAsia="宋体" w:cs="宋体"/>
          <w:sz w:val="20"/>
          <w:szCs w:val="20"/>
        </w:rPr>
        <w:t>应无偿予以提供</w:t>
      </w:r>
      <w:r>
        <w:rPr>
          <w:rFonts w:hint="eastAsia" w:ascii="宋体" w:hAnsi="宋体" w:eastAsia="宋体" w:cs="宋体"/>
          <w:sz w:val="20"/>
          <w:szCs w:val="20"/>
          <w:lang w:eastAsia="zh-CN"/>
        </w:rPr>
        <w:t>。</w:t>
      </w:r>
    </w:p>
    <w:p>
      <w:pPr>
        <w:pStyle w:val="3"/>
        <w:tabs>
          <w:tab w:val="right" w:leader="dot" w:pos="9061"/>
        </w:tabs>
        <w:ind w:firstLine="379" w:firstLineChars="189"/>
        <w:jc w:val="both"/>
        <w:rPr>
          <w:rFonts w:ascii="宋体" w:hAnsi="宋体" w:cs="宋体"/>
          <w:sz w:val="20"/>
        </w:rPr>
      </w:pPr>
      <w:bookmarkStart w:id="83" w:name="_Toc15570"/>
      <w:bookmarkStart w:id="84" w:name="_Toc16330027"/>
      <w:bookmarkStart w:id="85" w:name="_Toc20918"/>
      <w:bookmarkStart w:id="86" w:name="_Toc11584"/>
      <w:bookmarkStart w:id="87" w:name="_Toc12927"/>
      <w:bookmarkStart w:id="88" w:name="_Toc30547"/>
      <w:bookmarkStart w:id="89" w:name="_Toc20182"/>
      <w:bookmarkStart w:id="90" w:name="_Toc2290"/>
      <w:bookmarkStart w:id="91" w:name="_Toc10359"/>
      <w:r>
        <w:rPr>
          <w:rFonts w:hint="eastAsia" w:ascii="宋体" w:hAnsi="宋体" w:cs="宋体"/>
          <w:sz w:val="20"/>
        </w:rPr>
        <w:t>10法定责任</w:t>
      </w:r>
      <w:bookmarkEnd w:id="83"/>
      <w:bookmarkEnd w:id="84"/>
      <w:bookmarkEnd w:id="85"/>
      <w:bookmarkEnd w:id="86"/>
      <w:bookmarkEnd w:id="87"/>
      <w:bookmarkEnd w:id="88"/>
      <w:bookmarkEnd w:id="89"/>
      <w:bookmarkEnd w:id="90"/>
      <w:bookmarkEnd w:id="91"/>
    </w:p>
    <w:p>
      <w:pPr>
        <w:spacing w:line="360" w:lineRule="auto"/>
        <w:ind w:firstLine="378" w:firstLineChars="189"/>
        <w:rPr>
          <w:rFonts w:ascii="宋体" w:hAnsi="宋体" w:cs="宋体"/>
          <w:sz w:val="20"/>
          <w:szCs w:val="20"/>
        </w:rPr>
      </w:pPr>
      <w:r>
        <w:rPr>
          <w:rFonts w:hint="eastAsia" w:ascii="宋体" w:hAnsi="宋体" w:cs="宋体"/>
          <w:sz w:val="20"/>
          <w:szCs w:val="20"/>
        </w:rPr>
        <w:t>10.1卖方需遵从国家有关的法律、法规，缴纳有关的法定费用和税项。若卖方未按期交纳法定费用、税项，则卖方须补偿买方由此造成的所有费用及损失。</w:t>
      </w:r>
    </w:p>
    <w:p>
      <w:pPr>
        <w:spacing w:line="360" w:lineRule="auto"/>
        <w:ind w:firstLine="378" w:firstLineChars="189"/>
        <w:rPr>
          <w:rFonts w:ascii="宋体" w:hAnsi="宋体" w:cs="宋体"/>
          <w:sz w:val="20"/>
          <w:szCs w:val="20"/>
        </w:rPr>
      </w:pPr>
      <w:r>
        <w:rPr>
          <w:rFonts w:hint="eastAsia" w:ascii="宋体" w:hAnsi="宋体" w:cs="宋体"/>
          <w:sz w:val="20"/>
          <w:szCs w:val="20"/>
        </w:rPr>
        <w:t>10.2除非本合同中另有规定或买方同意，卖方不得全部或部分转让本合同项下的权利义务。</w:t>
      </w:r>
    </w:p>
    <w:p>
      <w:pPr>
        <w:spacing w:line="360" w:lineRule="auto"/>
        <w:ind w:firstLine="378" w:firstLineChars="189"/>
        <w:rPr>
          <w:rFonts w:ascii="宋体" w:hAnsi="宋体" w:cs="宋体"/>
          <w:sz w:val="20"/>
          <w:szCs w:val="20"/>
        </w:rPr>
      </w:pPr>
      <w:r>
        <w:rPr>
          <w:rFonts w:hint="eastAsia" w:ascii="宋体" w:hAnsi="宋体" w:cs="宋体"/>
          <w:sz w:val="20"/>
          <w:szCs w:val="20"/>
        </w:rPr>
        <w:t>10.3买卖双方同意在履行本合同期间双方之间交换、披露、传递或通信的所有工业和商业信息，任何附加文件或相关文件，应该被视为高度机密，双方应该按照此处规定仅用于本合同的签订和履行。</w:t>
      </w:r>
    </w:p>
    <w:p>
      <w:pPr>
        <w:spacing w:line="360" w:lineRule="auto"/>
        <w:ind w:firstLine="378" w:firstLineChars="189"/>
        <w:rPr>
          <w:rFonts w:ascii="宋体" w:hAnsi="宋体" w:cs="宋体"/>
          <w:sz w:val="20"/>
          <w:szCs w:val="20"/>
        </w:rPr>
      </w:pPr>
      <w:r>
        <w:rPr>
          <w:rFonts w:hint="eastAsia" w:ascii="宋体" w:hAnsi="宋体" w:cs="宋体"/>
          <w:sz w:val="20"/>
          <w:szCs w:val="20"/>
        </w:rPr>
        <w:t>10.4除对方预先书面同意外，任何一方在本合同签订和履行期间或本合同终止后不得向第三方披露在本合同履行过程中知悉的与对方有关的任何贸易、商业或工业秘密。</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92" w:name="_Toc9708"/>
      <w:bookmarkStart w:id="93" w:name="_Toc11279"/>
      <w:bookmarkStart w:id="94" w:name="_Toc18710"/>
      <w:bookmarkStart w:id="95" w:name="_Toc27314"/>
      <w:bookmarkStart w:id="96" w:name="_Toc27830"/>
      <w:bookmarkStart w:id="97" w:name="_Toc16330028"/>
      <w:bookmarkStart w:id="98" w:name="_Toc13197"/>
      <w:bookmarkStart w:id="99" w:name="_Toc30381"/>
      <w:bookmarkStart w:id="100" w:name="_Toc7710"/>
      <w:r>
        <w:rPr>
          <w:rFonts w:hint="eastAsia" w:ascii="宋体" w:hAnsi="宋体" w:cs="宋体"/>
          <w:sz w:val="20"/>
        </w:rPr>
        <w:t>11 违约责任</w:t>
      </w:r>
      <w:bookmarkEnd w:id="92"/>
      <w:bookmarkEnd w:id="93"/>
      <w:bookmarkEnd w:id="94"/>
      <w:bookmarkEnd w:id="95"/>
      <w:bookmarkEnd w:id="96"/>
      <w:bookmarkEnd w:id="97"/>
      <w:bookmarkEnd w:id="98"/>
      <w:bookmarkEnd w:id="99"/>
      <w:bookmarkEnd w:id="100"/>
    </w:p>
    <w:p>
      <w:pPr>
        <w:spacing w:line="360" w:lineRule="auto"/>
        <w:ind w:firstLine="378" w:firstLineChars="189"/>
        <w:rPr>
          <w:rFonts w:ascii="宋体" w:hAnsi="宋体" w:cs="宋体"/>
          <w:sz w:val="20"/>
          <w:szCs w:val="20"/>
        </w:rPr>
      </w:pPr>
      <w:r>
        <w:rPr>
          <w:rFonts w:hint="eastAsia" w:ascii="宋体" w:hAnsi="宋体" w:cs="宋体"/>
          <w:sz w:val="20"/>
          <w:szCs w:val="20"/>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378" w:firstLineChars="189"/>
        <w:rPr>
          <w:rFonts w:ascii="宋体" w:hAnsi="宋体" w:cs="宋体"/>
          <w:sz w:val="20"/>
          <w:szCs w:val="20"/>
        </w:rPr>
      </w:pPr>
      <w:r>
        <w:rPr>
          <w:rFonts w:hint="eastAsia" w:ascii="宋体" w:hAnsi="宋体" w:cs="宋体"/>
          <w:sz w:val="20"/>
          <w:szCs w:val="20"/>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11.1.2根据设备的瑕疵和受损程度以及买方遭受损失的金额，经买方同意降低设备价格。</w:t>
      </w:r>
    </w:p>
    <w:p>
      <w:pPr>
        <w:spacing w:line="360" w:lineRule="auto"/>
        <w:ind w:firstLine="378" w:firstLineChars="189"/>
        <w:rPr>
          <w:rFonts w:ascii="宋体" w:hAnsi="宋体" w:cs="宋体"/>
          <w:sz w:val="20"/>
          <w:szCs w:val="20"/>
        </w:rPr>
      </w:pPr>
      <w:r>
        <w:rPr>
          <w:rFonts w:hint="eastAsia" w:ascii="宋体" w:hAnsi="宋体" w:cs="宋体"/>
          <w:sz w:val="20"/>
          <w:szCs w:val="20"/>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378" w:firstLineChars="189"/>
        <w:rPr>
          <w:rFonts w:ascii="宋体" w:hAnsi="宋体" w:cs="宋体"/>
          <w:sz w:val="20"/>
          <w:szCs w:val="20"/>
        </w:rPr>
      </w:pPr>
      <w:r>
        <w:rPr>
          <w:rFonts w:hint="eastAsia" w:ascii="宋体" w:hAnsi="宋体" w:cs="宋体"/>
          <w:sz w:val="20"/>
          <w:szCs w:val="20"/>
        </w:rPr>
        <w:t>11.2如果买方就卖方的设备质量问题提出索赔通知后</w:t>
      </w:r>
      <w:r>
        <w:rPr>
          <w:rFonts w:hint="eastAsia" w:ascii="宋体" w:hAnsi="宋体" w:cs="宋体"/>
          <w:sz w:val="20"/>
          <w:szCs w:val="20"/>
          <w:u w:val="single"/>
        </w:rPr>
        <w:t xml:space="preserve"> 10 </w:t>
      </w:r>
      <w:r>
        <w:rPr>
          <w:rFonts w:hint="eastAsia" w:ascii="宋体" w:hAnsi="宋体" w:cs="宋体"/>
          <w:sz w:val="20"/>
          <w:szCs w:val="20"/>
        </w:rPr>
        <w:t>日内卖方未能予以答复，该索赔视为已被卖方接受。若卖方未能在买方提出索赔通知后</w:t>
      </w:r>
      <w:r>
        <w:rPr>
          <w:rFonts w:hint="eastAsia" w:ascii="宋体" w:hAnsi="宋体" w:cs="宋体"/>
          <w:sz w:val="20"/>
          <w:szCs w:val="20"/>
          <w:u w:val="single"/>
        </w:rPr>
        <w:t xml:space="preserve"> 10 </w:t>
      </w:r>
      <w:r>
        <w:rPr>
          <w:rFonts w:hint="eastAsia" w:ascii="宋体" w:hAnsi="宋体" w:cs="宋体"/>
          <w:sz w:val="20"/>
          <w:szCs w:val="20"/>
        </w:rPr>
        <w:t>日内或买方同意的更长一些的时间内，按买方同意的上述任何一种方式处理索赔事宜，买方将从货款中扣回索赔金额，同时保留进一步要求赔偿的权利。</w:t>
      </w:r>
    </w:p>
    <w:p>
      <w:pPr>
        <w:spacing w:line="360" w:lineRule="auto"/>
        <w:ind w:firstLine="378" w:firstLineChars="189"/>
        <w:rPr>
          <w:rFonts w:ascii="宋体" w:hAnsi="宋体" w:cs="宋体"/>
          <w:i/>
          <w:iCs/>
          <w:sz w:val="20"/>
          <w:szCs w:val="20"/>
        </w:rPr>
      </w:pPr>
      <w:r>
        <w:rPr>
          <w:rFonts w:hint="eastAsia" w:ascii="宋体" w:hAnsi="宋体" w:cs="宋体"/>
          <w:sz w:val="20"/>
          <w:szCs w:val="20"/>
        </w:rPr>
        <w:t>11.3如果卖方未能按期到货，卖方应向买方支付违约金，违约金比率为每迟交壹日，按合同总价的</w:t>
      </w:r>
      <w:r>
        <w:rPr>
          <w:rFonts w:hint="eastAsia" w:ascii="宋体" w:hAnsi="宋体" w:cs="宋体"/>
          <w:sz w:val="20"/>
          <w:szCs w:val="20"/>
          <w:u w:val="single"/>
        </w:rPr>
        <w:t>10</w:t>
      </w:r>
      <w:r>
        <w:rPr>
          <w:rFonts w:hint="eastAsia" w:ascii="宋体" w:hAnsi="宋体" w:cs="宋体"/>
          <w:sz w:val="20"/>
          <w:szCs w:val="20"/>
        </w:rPr>
        <w:t xml:space="preserve">‰计算，但是违约金的金额不得超过合同总价款的 </w:t>
      </w:r>
      <w:r>
        <w:rPr>
          <w:rFonts w:hint="eastAsia" w:ascii="宋体" w:hAnsi="宋体" w:cs="宋体"/>
          <w:sz w:val="20"/>
          <w:szCs w:val="20"/>
          <w:u w:val="single"/>
        </w:rPr>
        <w:t>20</w:t>
      </w:r>
      <w:r>
        <w:rPr>
          <w:rFonts w:hint="eastAsia" w:ascii="宋体" w:hAnsi="宋体" w:cs="宋体"/>
          <w:sz w:val="20"/>
          <w:szCs w:val="20"/>
        </w:rPr>
        <w:t xml:space="preserve"> %，如果卖方在达到违约金的最高限额后仍不能交货，买方有权就卖方违约而解除本合同，且卖方仍须支付上述违约金，并赔偿由此给买方造成的一切损失。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i/>
          <w:iCs/>
          <w:sz w:val="20"/>
          <w:szCs w:val="20"/>
        </w:rPr>
      </w:pPr>
      <w:r>
        <w:rPr>
          <w:rFonts w:hint="eastAsia" w:ascii="宋体" w:hAnsi="宋体" w:cs="宋体"/>
          <w:sz w:val="20"/>
          <w:szCs w:val="20"/>
        </w:rPr>
        <w:t>11.4如卖方未按7.1条履行义务，从逾期之日起卖方每天按合同总价款的</w:t>
      </w:r>
      <w:r>
        <w:rPr>
          <w:rFonts w:hint="eastAsia" w:ascii="宋体" w:hAnsi="宋体" w:cs="宋体"/>
          <w:sz w:val="20"/>
          <w:szCs w:val="20"/>
          <w:u w:val="single"/>
        </w:rPr>
        <w:t xml:space="preserve"> 10 </w:t>
      </w:r>
      <w:r>
        <w:rPr>
          <w:rFonts w:hint="eastAsia" w:ascii="宋体" w:hAnsi="宋体" w:cs="宋体"/>
          <w:sz w:val="20"/>
          <w:szCs w:val="20"/>
        </w:rPr>
        <w:t>‰支付给买方作违约金，但是违约金的金额不得超过合同总价的</w:t>
      </w:r>
      <w:r>
        <w:rPr>
          <w:rFonts w:hint="eastAsia" w:ascii="宋体" w:hAnsi="宋体" w:cs="宋体"/>
          <w:sz w:val="20"/>
          <w:szCs w:val="20"/>
          <w:u w:val="single"/>
        </w:rPr>
        <w:t xml:space="preserve"> 20 </w:t>
      </w:r>
      <w:r>
        <w:rPr>
          <w:rFonts w:hint="eastAsia" w:ascii="宋体" w:hAnsi="宋体" w:cs="宋体"/>
          <w:sz w:val="20"/>
          <w:szCs w:val="20"/>
        </w:rPr>
        <w:t>%。如果卖方在达到违约金的最高限额或者不能使设备通过最终验收，买方有权就卖方违约而解除本合同，且卖方仍须支付上述违约金，并返还买方支付的设备款，并赔偿由此给买方造成的一切损失。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sz w:val="20"/>
          <w:szCs w:val="20"/>
        </w:rPr>
      </w:pPr>
      <w:r>
        <w:rPr>
          <w:rFonts w:hint="eastAsia" w:ascii="宋体" w:hAnsi="宋体" w:cs="宋体"/>
          <w:sz w:val="20"/>
          <w:szCs w:val="20"/>
        </w:rPr>
        <w:t>11.5买方延期付款时（有正当拒付理由者除外），每日按延付金额的</w:t>
      </w:r>
      <w:r>
        <w:rPr>
          <w:rFonts w:hint="eastAsia" w:ascii="宋体" w:hAnsi="宋体" w:cs="宋体"/>
          <w:sz w:val="20"/>
          <w:szCs w:val="20"/>
          <w:u w:val="single"/>
        </w:rPr>
        <w:t xml:space="preserve"> 3 </w:t>
      </w:r>
      <w:r>
        <w:rPr>
          <w:rFonts w:hint="eastAsia" w:ascii="宋体" w:hAnsi="宋体" w:cs="宋体"/>
          <w:sz w:val="20"/>
          <w:szCs w:val="20"/>
        </w:rPr>
        <w:t>‰向卖方偿付延期付款违约金，但违约金总额不超过延付金额的</w:t>
      </w:r>
      <w:r>
        <w:rPr>
          <w:rFonts w:hint="eastAsia" w:ascii="宋体" w:hAnsi="宋体" w:cs="宋体"/>
          <w:sz w:val="20"/>
          <w:szCs w:val="20"/>
          <w:u w:val="single"/>
        </w:rPr>
        <w:t xml:space="preserve"> 50 </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378" w:firstLineChars="189"/>
        <w:rPr>
          <w:rFonts w:ascii="宋体" w:hAnsi="宋体" w:cs="宋体"/>
          <w:sz w:val="20"/>
          <w:szCs w:val="20"/>
        </w:rPr>
      </w:pPr>
      <w:r>
        <w:rPr>
          <w:rFonts w:hint="eastAsia" w:ascii="宋体" w:hAnsi="宋体" w:cs="宋体"/>
          <w:sz w:val="20"/>
          <w:szCs w:val="20"/>
        </w:rPr>
        <w:t>11.7如果卖方违反本合同其他约定（包括本合同及所有附件）应赔偿因此给买方造成的一切损失。</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01" w:name="_Toc9172"/>
      <w:bookmarkStart w:id="102" w:name="_Toc1827"/>
      <w:bookmarkStart w:id="103" w:name="_Toc2348"/>
      <w:bookmarkStart w:id="104" w:name="_Toc31554"/>
      <w:bookmarkStart w:id="105" w:name="_Toc10300"/>
      <w:bookmarkStart w:id="106" w:name="_Toc16330029"/>
      <w:bookmarkStart w:id="107" w:name="_Toc4812"/>
      <w:bookmarkStart w:id="108" w:name="_Toc13903"/>
      <w:bookmarkStart w:id="109" w:name="_Toc6783"/>
      <w:r>
        <w:rPr>
          <w:rFonts w:hint="eastAsia" w:ascii="宋体" w:hAnsi="宋体" w:cs="宋体"/>
          <w:sz w:val="20"/>
        </w:rPr>
        <w:t>12 合同的终止与解除</w:t>
      </w:r>
      <w:bookmarkEnd w:id="101"/>
      <w:bookmarkEnd w:id="102"/>
      <w:bookmarkEnd w:id="103"/>
      <w:bookmarkEnd w:id="104"/>
      <w:bookmarkEnd w:id="105"/>
      <w:bookmarkEnd w:id="106"/>
      <w:bookmarkEnd w:id="107"/>
      <w:bookmarkEnd w:id="108"/>
      <w:bookmarkEnd w:id="109"/>
    </w:p>
    <w:p>
      <w:pPr>
        <w:spacing w:line="360" w:lineRule="auto"/>
        <w:ind w:firstLine="378" w:firstLineChars="189"/>
        <w:rPr>
          <w:rFonts w:ascii="宋体" w:hAnsi="宋体" w:cs="宋体"/>
          <w:sz w:val="20"/>
          <w:szCs w:val="20"/>
        </w:rPr>
      </w:pPr>
      <w:r>
        <w:rPr>
          <w:rFonts w:hint="eastAsia" w:ascii="宋体" w:hAnsi="宋体" w:cs="宋体"/>
          <w:sz w:val="20"/>
          <w:szCs w:val="20"/>
        </w:rPr>
        <w:t>12.1本合同订立后，卖方由于履行义务的能力或信用有严重缺陷，买方可以终止履行本合同，要求卖方返还已支付的款项并不承担违约责任。</w:t>
      </w:r>
    </w:p>
    <w:p>
      <w:pPr>
        <w:spacing w:line="360" w:lineRule="auto"/>
        <w:ind w:firstLine="378" w:firstLineChars="189"/>
        <w:rPr>
          <w:rFonts w:ascii="宋体" w:hAnsi="宋体" w:cs="宋体"/>
          <w:sz w:val="20"/>
          <w:szCs w:val="20"/>
        </w:rPr>
      </w:pPr>
      <w:r>
        <w:rPr>
          <w:rFonts w:hint="eastAsia" w:ascii="宋体" w:hAnsi="宋体" w:cs="宋体"/>
          <w:sz w:val="20"/>
          <w:szCs w:val="20"/>
        </w:rPr>
        <w:t>12.2经双方协商一致，可以解除本合同。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12.3有下列情形之一的，买方可以解除本合同：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12.3.1卖方明确表示或者以自己的行为表明不履行主要义务的；</w:t>
      </w:r>
    </w:p>
    <w:p>
      <w:pPr>
        <w:spacing w:line="360" w:lineRule="auto"/>
        <w:ind w:firstLine="378" w:firstLineChars="189"/>
        <w:rPr>
          <w:rFonts w:ascii="宋体" w:hAnsi="宋体" w:cs="宋体"/>
          <w:sz w:val="20"/>
          <w:szCs w:val="20"/>
        </w:rPr>
      </w:pPr>
      <w:r>
        <w:rPr>
          <w:rFonts w:hint="eastAsia" w:ascii="宋体" w:hAnsi="宋体" w:cs="宋体"/>
          <w:sz w:val="20"/>
          <w:szCs w:val="20"/>
        </w:rPr>
        <w:t>12.3.2按照本合同第11.3条或第11.4条的规定，达到违约金的最高限额；</w:t>
      </w:r>
    </w:p>
    <w:p>
      <w:pPr>
        <w:spacing w:line="360" w:lineRule="auto"/>
        <w:ind w:firstLine="378" w:firstLineChars="189"/>
        <w:rPr>
          <w:rFonts w:ascii="宋体" w:hAnsi="宋体" w:cs="宋体"/>
          <w:sz w:val="20"/>
          <w:szCs w:val="20"/>
        </w:rPr>
      </w:pPr>
      <w:r>
        <w:rPr>
          <w:rFonts w:hint="eastAsia" w:ascii="宋体" w:hAnsi="宋体" w:cs="宋体"/>
          <w:sz w:val="20"/>
          <w:szCs w:val="20"/>
        </w:rPr>
        <w:t>12.3.3卖方所提交的设备不符合本合同的规定；</w:t>
      </w:r>
    </w:p>
    <w:p>
      <w:pPr>
        <w:spacing w:line="360" w:lineRule="auto"/>
        <w:ind w:firstLine="378" w:firstLineChars="189"/>
        <w:rPr>
          <w:rFonts w:ascii="宋体" w:hAnsi="宋体" w:cs="宋体"/>
          <w:sz w:val="20"/>
          <w:szCs w:val="20"/>
        </w:rPr>
      </w:pPr>
      <w:r>
        <w:rPr>
          <w:rFonts w:hint="eastAsia" w:ascii="宋体" w:hAnsi="宋体" w:cs="宋体"/>
          <w:sz w:val="20"/>
          <w:szCs w:val="20"/>
        </w:rPr>
        <w:t>12.3.4卖方有其他违约行为。</w:t>
      </w:r>
    </w:p>
    <w:p>
      <w:pPr>
        <w:spacing w:line="360" w:lineRule="auto"/>
        <w:ind w:firstLine="378" w:firstLineChars="189"/>
        <w:rPr>
          <w:rFonts w:ascii="宋体" w:hAnsi="宋体" w:cs="宋体"/>
          <w:sz w:val="20"/>
          <w:szCs w:val="20"/>
        </w:rPr>
      </w:pPr>
      <w:r>
        <w:rPr>
          <w:rFonts w:hint="eastAsia" w:ascii="宋体" w:hAnsi="宋体" w:cs="宋体"/>
          <w:sz w:val="20"/>
          <w:szCs w:val="20"/>
        </w:rPr>
        <w:t>12.4卖方分批交付设备的，卖方对其中一批设备不交付或者交付不符合约定，致使该批设备不能实现本合同目的的，买方可以就该批设备解除合同。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12.5卖方不交付其中一批设备或者交付不符合约定，致使今后其他各批设备的交付不能实现本合同目的的，买方可以就该批以及今后其他各批设备解除合同。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12.6买方如果就其中一批设备解除合同，该批设备与其他各批设备相互依存的，可以就已经交付和未交付的各批设备解除合同。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12.7因为卖方违约导致买方解除合同的，卖方应赔偿买方因此所遭受的一切损失。</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10" w:name="_Toc31945"/>
      <w:bookmarkStart w:id="111" w:name="_Toc20490"/>
      <w:bookmarkStart w:id="112" w:name="_Toc12827"/>
      <w:bookmarkStart w:id="113" w:name="_Toc7535"/>
      <w:bookmarkStart w:id="114" w:name="_Toc2041"/>
      <w:bookmarkStart w:id="115" w:name="_Toc13671"/>
      <w:bookmarkStart w:id="116" w:name="_Toc16330030"/>
      <w:bookmarkStart w:id="117" w:name="_Toc12306"/>
      <w:bookmarkStart w:id="118" w:name="_Toc8620"/>
      <w:r>
        <w:rPr>
          <w:rFonts w:hint="eastAsia" w:ascii="宋体" w:hAnsi="宋体" w:cs="宋体"/>
          <w:sz w:val="20"/>
        </w:rPr>
        <w:t>13 不可抗力</w:t>
      </w:r>
      <w:bookmarkEnd w:id="110"/>
      <w:bookmarkEnd w:id="111"/>
      <w:bookmarkEnd w:id="112"/>
      <w:bookmarkEnd w:id="113"/>
      <w:bookmarkEnd w:id="114"/>
      <w:bookmarkEnd w:id="115"/>
      <w:bookmarkEnd w:id="116"/>
      <w:bookmarkEnd w:id="117"/>
      <w:bookmarkEnd w:id="118"/>
    </w:p>
    <w:p>
      <w:pPr>
        <w:spacing w:line="360" w:lineRule="auto"/>
        <w:ind w:firstLine="378" w:firstLineChars="189"/>
        <w:rPr>
          <w:rFonts w:ascii="宋体" w:hAnsi="宋体" w:cs="宋体"/>
          <w:sz w:val="20"/>
          <w:szCs w:val="20"/>
        </w:rPr>
      </w:pPr>
      <w:r>
        <w:rPr>
          <w:rFonts w:hint="eastAsia" w:ascii="宋体" w:hAnsi="宋体" w:cs="宋体"/>
          <w:sz w:val="20"/>
          <w:szCs w:val="20"/>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378" w:firstLineChars="189"/>
        <w:rPr>
          <w:rFonts w:ascii="宋体" w:hAnsi="宋体" w:cs="宋体"/>
          <w:sz w:val="20"/>
          <w:szCs w:val="20"/>
        </w:rPr>
      </w:pPr>
      <w:r>
        <w:rPr>
          <w:rFonts w:hint="eastAsia" w:ascii="宋体" w:hAnsi="宋体" w:cs="宋体"/>
          <w:sz w:val="20"/>
          <w:szCs w:val="20"/>
        </w:rPr>
        <w:t>13.2各方应该通过协商决定是否终止本合同，或推迟全部或部分本合同的履行或免除对方全部或部分相关履行义务。</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19" w:name="_Toc14529"/>
      <w:bookmarkStart w:id="120" w:name="_Toc30389"/>
      <w:bookmarkStart w:id="121" w:name="_Toc13057"/>
      <w:bookmarkStart w:id="122" w:name="_Toc31243"/>
      <w:bookmarkStart w:id="123" w:name="_Toc637"/>
      <w:bookmarkStart w:id="124" w:name="_Toc29323"/>
      <w:bookmarkStart w:id="125" w:name="_Toc29155"/>
      <w:bookmarkStart w:id="126" w:name="_Toc29782"/>
      <w:bookmarkStart w:id="127" w:name="_Toc16330031"/>
      <w:r>
        <w:rPr>
          <w:rFonts w:hint="eastAsia" w:ascii="宋体" w:hAnsi="宋体" w:cs="宋体"/>
          <w:sz w:val="20"/>
        </w:rPr>
        <w:t>14 通讯</w:t>
      </w:r>
      <w:bookmarkEnd w:id="119"/>
      <w:bookmarkEnd w:id="120"/>
      <w:bookmarkEnd w:id="121"/>
      <w:bookmarkEnd w:id="122"/>
      <w:bookmarkEnd w:id="123"/>
      <w:bookmarkEnd w:id="124"/>
      <w:bookmarkEnd w:id="125"/>
      <w:bookmarkEnd w:id="126"/>
      <w:bookmarkEnd w:id="127"/>
    </w:p>
    <w:p>
      <w:pPr>
        <w:spacing w:line="360" w:lineRule="auto"/>
        <w:ind w:firstLine="378" w:firstLineChars="189"/>
        <w:rPr>
          <w:rFonts w:ascii="宋体" w:hAnsi="宋体" w:cs="宋体"/>
          <w:sz w:val="20"/>
          <w:szCs w:val="20"/>
        </w:rPr>
      </w:pPr>
      <w:r>
        <w:rPr>
          <w:rFonts w:hint="eastAsia" w:ascii="宋体" w:hAnsi="宋体" w:cs="宋体"/>
          <w:sz w:val="20"/>
          <w:szCs w:val="20"/>
        </w:rPr>
        <w:t>14.1通讯地址：</w:t>
      </w:r>
    </w:p>
    <w:p>
      <w:pPr>
        <w:spacing w:line="360" w:lineRule="auto"/>
        <w:ind w:firstLine="378" w:firstLineChars="189"/>
        <w:rPr>
          <w:rFonts w:ascii="宋体" w:hAnsi="宋体" w:cs="宋体"/>
          <w:sz w:val="20"/>
          <w:szCs w:val="20"/>
        </w:rPr>
      </w:pPr>
      <w:r>
        <w:rPr>
          <w:rFonts w:hint="eastAsia" w:ascii="宋体" w:hAnsi="宋体" w:cs="宋体"/>
          <w:sz w:val="20"/>
          <w:szCs w:val="20"/>
        </w:rPr>
        <w:t>本合同下的任何通讯按照本合同双方提供的信息，以书信、传真、电子通讯方式或电话作出。</w:t>
      </w:r>
    </w:p>
    <w:p>
      <w:pPr>
        <w:spacing w:line="360" w:lineRule="auto"/>
        <w:ind w:firstLine="378" w:firstLineChars="189"/>
        <w:rPr>
          <w:rFonts w:ascii="宋体" w:hAnsi="宋体" w:cs="宋体"/>
          <w:sz w:val="20"/>
          <w:szCs w:val="20"/>
        </w:rPr>
      </w:pPr>
      <w:r>
        <w:rPr>
          <w:rFonts w:hint="eastAsia" w:ascii="宋体" w:hAnsi="宋体" w:cs="宋体"/>
          <w:sz w:val="20"/>
          <w:szCs w:val="20"/>
        </w:rPr>
        <w:t>14.2生效</w:t>
      </w:r>
    </w:p>
    <w:p>
      <w:pPr>
        <w:spacing w:line="360" w:lineRule="auto"/>
        <w:ind w:firstLine="378" w:firstLineChars="189"/>
        <w:rPr>
          <w:rFonts w:ascii="宋体" w:hAnsi="宋体" w:cs="宋体"/>
          <w:sz w:val="20"/>
          <w:szCs w:val="20"/>
        </w:rPr>
      </w:pPr>
      <w:r>
        <w:rPr>
          <w:rFonts w:hint="eastAsia" w:ascii="宋体" w:hAnsi="宋体" w:cs="宋体"/>
          <w:sz w:val="20"/>
          <w:szCs w:val="20"/>
        </w:rPr>
        <w:t>14.2.1书信。书信为送达时生效；</w:t>
      </w:r>
    </w:p>
    <w:p>
      <w:pPr>
        <w:spacing w:line="360" w:lineRule="auto"/>
        <w:ind w:firstLine="378" w:firstLineChars="189"/>
        <w:rPr>
          <w:rFonts w:ascii="宋体" w:hAnsi="宋体" w:cs="宋体"/>
          <w:sz w:val="20"/>
          <w:szCs w:val="20"/>
        </w:rPr>
      </w:pPr>
      <w:r>
        <w:rPr>
          <w:rFonts w:hint="eastAsia" w:ascii="宋体" w:hAnsi="宋体" w:cs="宋体"/>
          <w:sz w:val="20"/>
          <w:szCs w:val="20"/>
        </w:rPr>
        <w:t>14.2.2传真。发送人取得成功传输的信息时生效；</w:t>
      </w:r>
    </w:p>
    <w:p>
      <w:pPr>
        <w:spacing w:line="360" w:lineRule="auto"/>
        <w:ind w:firstLine="378" w:firstLineChars="189"/>
        <w:rPr>
          <w:rFonts w:ascii="宋体" w:hAnsi="宋体" w:cs="宋体"/>
          <w:sz w:val="20"/>
          <w:szCs w:val="20"/>
        </w:rPr>
      </w:pPr>
      <w:r>
        <w:rPr>
          <w:rFonts w:hint="eastAsia" w:ascii="宋体" w:hAnsi="宋体" w:cs="宋体"/>
          <w:sz w:val="20"/>
          <w:szCs w:val="20"/>
        </w:rPr>
        <w:t>14.2.3电子邮件。电子邮件于发送之时生效，前提是寄件者于该邮件发送后24小时内没有收到发送失败通知；</w:t>
      </w:r>
    </w:p>
    <w:p>
      <w:pPr>
        <w:spacing w:line="360" w:lineRule="auto"/>
        <w:ind w:firstLine="378" w:firstLineChars="189"/>
        <w:rPr>
          <w:rFonts w:ascii="宋体" w:hAnsi="宋体" w:cs="宋体"/>
          <w:sz w:val="20"/>
          <w:szCs w:val="20"/>
        </w:rPr>
      </w:pPr>
      <w:r>
        <w:rPr>
          <w:rFonts w:hint="eastAsia" w:ascii="宋体" w:hAnsi="宋体" w:cs="宋体"/>
          <w:sz w:val="20"/>
          <w:szCs w:val="20"/>
        </w:rPr>
        <w:t>14.2.4电话。电话于打出时生效，以电话作出的任何通讯必须以书信、传真或电子邮件确认，如果没有发送或者接收该确认不会使原有通讯失效。</w:t>
      </w:r>
    </w:p>
    <w:p>
      <w:pPr>
        <w:spacing w:line="360" w:lineRule="auto"/>
        <w:ind w:firstLine="378" w:firstLineChars="189"/>
        <w:rPr>
          <w:rFonts w:ascii="宋体" w:hAnsi="宋体" w:cs="宋体"/>
          <w:sz w:val="20"/>
          <w:szCs w:val="20"/>
        </w:rPr>
      </w:pPr>
      <w:r>
        <w:rPr>
          <w:rFonts w:hint="eastAsia" w:ascii="宋体" w:hAnsi="宋体" w:cs="宋体"/>
          <w:sz w:val="20"/>
          <w:szCs w:val="20"/>
        </w:rPr>
        <w:t>14.3书面法律证据。根据本合同以书信、传真或电子邮件方式送达任何订约方的任何通讯，将作为书面法律证据。</w:t>
      </w:r>
    </w:p>
    <w:p>
      <w:pPr>
        <w:rPr>
          <w:rFonts w:ascii="宋体" w:hAnsi="宋体" w:cs="宋体"/>
          <w:sz w:val="20"/>
          <w:szCs w:val="20"/>
        </w:rPr>
      </w:pPr>
    </w:p>
    <w:p>
      <w:pPr>
        <w:pStyle w:val="3"/>
        <w:tabs>
          <w:tab w:val="right" w:leader="dot" w:pos="9061"/>
        </w:tabs>
        <w:ind w:firstLine="402" w:firstLineChars="200"/>
        <w:jc w:val="both"/>
        <w:rPr>
          <w:rFonts w:ascii="宋体" w:hAnsi="宋体" w:cs="宋体"/>
          <w:sz w:val="20"/>
        </w:rPr>
      </w:pPr>
      <w:bookmarkStart w:id="128" w:name="_Toc32160"/>
      <w:bookmarkStart w:id="129" w:name="_Toc9915"/>
      <w:bookmarkStart w:id="130" w:name="_Toc19538"/>
      <w:bookmarkStart w:id="131" w:name="_Toc12984"/>
      <w:bookmarkStart w:id="132" w:name="_Toc11290"/>
      <w:bookmarkStart w:id="133" w:name="_Toc16330032"/>
      <w:bookmarkStart w:id="134" w:name="_Toc15853"/>
      <w:bookmarkStart w:id="135" w:name="_Toc23316"/>
      <w:bookmarkStart w:id="136" w:name="_Toc32474"/>
      <w:r>
        <w:rPr>
          <w:rFonts w:hint="eastAsia" w:ascii="宋体" w:hAnsi="宋体" w:cs="宋体"/>
          <w:sz w:val="20"/>
        </w:rPr>
        <w:t>15 适用法律及争议解决</w:t>
      </w:r>
      <w:bookmarkEnd w:id="128"/>
      <w:bookmarkEnd w:id="129"/>
      <w:bookmarkEnd w:id="130"/>
      <w:bookmarkEnd w:id="131"/>
      <w:bookmarkEnd w:id="132"/>
      <w:bookmarkEnd w:id="133"/>
      <w:bookmarkEnd w:id="134"/>
      <w:bookmarkEnd w:id="135"/>
      <w:bookmarkEnd w:id="136"/>
    </w:p>
    <w:p>
      <w:pPr>
        <w:spacing w:line="360" w:lineRule="auto"/>
        <w:ind w:firstLine="378" w:firstLineChars="189"/>
        <w:rPr>
          <w:rFonts w:ascii="宋体" w:hAnsi="宋体" w:cs="宋体"/>
          <w:sz w:val="20"/>
          <w:szCs w:val="20"/>
        </w:rPr>
      </w:pPr>
      <w:r>
        <w:rPr>
          <w:rFonts w:hint="eastAsia" w:ascii="宋体" w:hAnsi="宋体" w:cs="宋体"/>
          <w:sz w:val="20"/>
          <w:szCs w:val="20"/>
        </w:rPr>
        <w:t>15.1本合同条款的效力和解释适用中华人民共和国法律。</w:t>
      </w:r>
    </w:p>
    <w:p>
      <w:pPr>
        <w:spacing w:line="360" w:lineRule="auto"/>
        <w:ind w:firstLine="378" w:firstLineChars="189"/>
        <w:rPr>
          <w:rFonts w:ascii="宋体" w:hAnsi="宋体" w:cs="宋体"/>
          <w:sz w:val="20"/>
          <w:szCs w:val="20"/>
        </w:rPr>
      </w:pPr>
      <w:r>
        <w:rPr>
          <w:rFonts w:hint="eastAsia" w:ascii="宋体" w:hAnsi="宋体" w:cs="宋体"/>
          <w:sz w:val="20"/>
          <w:szCs w:val="20"/>
        </w:rPr>
        <w:t>15.2双方同意将本着诚信的态度协商解决本合同履行过程中产生的任何争议。如果争议事项不能通过双方协商解决，本合同双方同意采用向</w:t>
      </w:r>
      <w:r>
        <w:rPr>
          <w:rFonts w:hint="eastAsia" w:ascii="宋体" w:hAnsi="宋体" w:cs="宋体"/>
          <w:b/>
          <w:bCs/>
          <w:sz w:val="20"/>
          <w:szCs w:val="20"/>
        </w:rPr>
        <w:t>买方所在地</w:t>
      </w:r>
      <w:r>
        <w:rPr>
          <w:rFonts w:hint="eastAsia" w:ascii="宋体" w:hAnsi="宋体" w:cs="宋体"/>
          <w:sz w:val="20"/>
          <w:szCs w:val="20"/>
        </w:rPr>
        <w:t>人民法院提起诉讼的方式解决。</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37" w:name="_Toc6610"/>
      <w:bookmarkStart w:id="138" w:name="_Toc17218"/>
      <w:bookmarkStart w:id="139" w:name="_Toc23906"/>
      <w:bookmarkStart w:id="140" w:name="_Toc21787"/>
      <w:bookmarkStart w:id="141" w:name="_Toc18207"/>
      <w:bookmarkStart w:id="142" w:name="_Toc1520"/>
      <w:bookmarkStart w:id="143" w:name="_Toc23765"/>
      <w:bookmarkStart w:id="144" w:name="_Toc24395"/>
      <w:bookmarkStart w:id="145" w:name="_Toc16330033"/>
      <w:r>
        <w:rPr>
          <w:rFonts w:hint="eastAsia" w:ascii="宋体" w:hAnsi="宋体" w:cs="宋体"/>
          <w:sz w:val="20"/>
        </w:rPr>
        <w:t>16 附件</w:t>
      </w:r>
      <w:bookmarkEnd w:id="137"/>
      <w:bookmarkEnd w:id="138"/>
      <w:bookmarkEnd w:id="139"/>
      <w:bookmarkEnd w:id="140"/>
      <w:bookmarkEnd w:id="141"/>
      <w:bookmarkEnd w:id="142"/>
      <w:bookmarkEnd w:id="143"/>
      <w:bookmarkEnd w:id="144"/>
      <w:bookmarkEnd w:id="145"/>
    </w:p>
    <w:p>
      <w:pPr>
        <w:spacing w:line="360" w:lineRule="auto"/>
        <w:ind w:firstLine="378" w:firstLineChars="189"/>
        <w:rPr>
          <w:rFonts w:ascii="宋体" w:hAnsi="宋体" w:cs="宋体"/>
          <w:sz w:val="20"/>
          <w:szCs w:val="20"/>
        </w:rPr>
      </w:pPr>
      <w:r>
        <w:rPr>
          <w:rFonts w:hint="eastAsia" w:ascii="宋体" w:hAnsi="宋体" w:cs="宋体"/>
          <w:sz w:val="20"/>
          <w:szCs w:val="20"/>
        </w:rPr>
        <w:t>本合同及其附件构成双方关于本合同标的之全部协议，包括但不限于下列文件：</w:t>
      </w:r>
    </w:p>
    <w:p>
      <w:pPr>
        <w:spacing w:line="360" w:lineRule="auto"/>
        <w:ind w:firstLine="378" w:firstLineChars="189"/>
        <w:rPr>
          <w:rFonts w:ascii="宋体" w:hAnsi="宋体" w:cs="宋体"/>
          <w:sz w:val="20"/>
          <w:szCs w:val="20"/>
        </w:rPr>
      </w:pPr>
      <w:r>
        <w:rPr>
          <w:rFonts w:hint="eastAsia" w:ascii="宋体" w:hAnsi="宋体" w:cs="宋体"/>
          <w:sz w:val="20"/>
          <w:szCs w:val="20"/>
        </w:rPr>
        <w:t>16.1技术协议书；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16.2合同设备一览表；</w:t>
      </w:r>
    </w:p>
    <w:p>
      <w:pPr>
        <w:spacing w:line="360" w:lineRule="auto"/>
        <w:ind w:firstLine="378" w:firstLineChars="189"/>
        <w:rPr>
          <w:rFonts w:ascii="宋体" w:hAnsi="宋体" w:cs="宋体"/>
          <w:sz w:val="20"/>
          <w:szCs w:val="20"/>
        </w:rPr>
      </w:pPr>
      <w:r>
        <w:rPr>
          <w:rFonts w:hint="eastAsia" w:ascii="宋体" w:hAnsi="宋体" w:cs="宋体"/>
          <w:sz w:val="20"/>
          <w:szCs w:val="20"/>
        </w:rPr>
        <w:t>16.3卖方中标的设备投标书以及一切书面承诺；</w:t>
      </w:r>
    </w:p>
    <w:p>
      <w:pPr>
        <w:spacing w:line="360" w:lineRule="auto"/>
        <w:ind w:firstLine="378" w:firstLineChars="189"/>
        <w:rPr>
          <w:rFonts w:ascii="宋体" w:hAnsi="宋体" w:cs="宋体"/>
          <w:sz w:val="20"/>
          <w:szCs w:val="20"/>
        </w:rPr>
      </w:pPr>
      <w:r>
        <w:rPr>
          <w:rFonts w:hint="eastAsia" w:ascii="宋体" w:hAnsi="宋体" w:cs="宋体"/>
          <w:sz w:val="20"/>
          <w:szCs w:val="20"/>
        </w:rPr>
        <w:t>16.4招标文件。</w:t>
      </w:r>
    </w:p>
    <w:p>
      <w:pPr>
        <w:spacing w:line="360" w:lineRule="auto"/>
        <w:ind w:firstLine="378" w:firstLineChars="189"/>
        <w:rPr>
          <w:rFonts w:ascii="宋体" w:hAnsi="宋体" w:cs="宋体"/>
          <w:sz w:val="20"/>
          <w:szCs w:val="20"/>
        </w:rPr>
      </w:pPr>
      <w:r>
        <w:rPr>
          <w:rFonts w:hint="eastAsia" w:ascii="宋体" w:hAnsi="宋体" w:cs="宋体"/>
          <w:sz w:val="20"/>
          <w:szCs w:val="20"/>
        </w:rPr>
        <w:t>上述附件内容与本合同约定有冲突的，以本合同约定为准。</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46" w:name="_Toc30868"/>
      <w:bookmarkStart w:id="147" w:name="_Toc16330034"/>
      <w:bookmarkStart w:id="148" w:name="_Toc11863"/>
      <w:bookmarkStart w:id="149" w:name="_Toc31331"/>
      <w:bookmarkStart w:id="150" w:name="_Toc18369"/>
      <w:bookmarkStart w:id="151" w:name="_Toc17656"/>
      <w:bookmarkStart w:id="152" w:name="_Toc27202"/>
      <w:bookmarkStart w:id="153" w:name="_Toc18336"/>
      <w:bookmarkStart w:id="154" w:name="_Toc11170"/>
      <w:r>
        <w:rPr>
          <w:rFonts w:hint="eastAsia" w:ascii="宋体" w:hAnsi="宋体" w:cs="宋体"/>
          <w:sz w:val="20"/>
        </w:rPr>
        <w:t>17 其他规定</w:t>
      </w:r>
      <w:bookmarkEnd w:id="146"/>
      <w:bookmarkEnd w:id="147"/>
      <w:bookmarkEnd w:id="148"/>
      <w:bookmarkEnd w:id="149"/>
      <w:bookmarkEnd w:id="150"/>
      <w:bookmarkEnd w:id="151"/>
      <w:bookmarkEnd w:id="152"/>
      <w:bookmarkEnd w:id="153"/>
      <w:bookmarkEnd w:id="154"/>
    </w:p>
    <w:p>
      <w:pPr>
        <w:spacing w:line="360" w:lineRule="auto"/>
        <w:ind w:firstLine="378" w:firstLineChars="189"/>
        <w:rPr>
          <w:rFonts w:ascii="宋体" w:hAnsi="宋体" w:cs="宋体"/>
          <w:sz w:val="20"/>
          <w:szCs w:val="20"/>
        </w:rPr>
      </w:pPr>
      <w:r>
        <w:rPr>
          <w:rFonts w:hint="eastAsia" w:ascii="宋体" w:hAnsi="宋体" w:cs="宋体"/>
          <w:sz w:val="20"/>
          <w:szCs w:val="20"/>
        </w:rPr>
        <w:t>17.1本合同及其附件构成了双方就本合同所含交易而达成的全部合同，并取代双方先前与该等交易有关的全部口头和书面合同。</w:t>
      </w:r>
    </w:p>
    <w:p>
      <w:pPr>
        <w:spacing w:line="360" w:lineRule="auto"/>
        <w:ind w:firstLine="378" w:firstLineChars="189"/>
        <w:rPr>
          <w:rFonts w:ascii="宋体" w:hAnsi="宋体" w:cs="宋体"/>
          <w:sz w:val="20"/>
          <w:szCs w:val="20"/>
        </w:rPr>
      </w:pPr>
      <w:r>
        <w:rPr>
          <w:rFonts w:hint="eastAsia" w:ascii="宋体" w:hAnsi="宋体" w:cs="宋体"/>
          <w:sz w:val="20"/>
          <w:szCs w:val="20"/>
        </w:rPr>
        <w:t>17.2如果本合同的任何条款和条件在任何时间成为非法、无效或不可强制执行的，则其他条款不应受其影响。</w:t>
      </w:r>
    </w:p>
    <w:p>
      <w:pPr>
        <w:spacing w:line="360" w:lineRule="auto"/>
        <w:ind w:firstLine="378" w:firstLineChars="189"/>
        <w:rPr>
          <w:rFonts w:ascii="宋体" w:hAnsi="宋体" w:cs="宋体"/>
          <w:sz w:val="20"/>
          <w:szCs w:val="20"/>
        </w:rPr>
      </w:pPr>
      <w:r>
        <w:rPr>
          <w:rFonts w:hint="eastAsia" w:ascii="宋体" w:hAnsi="宋体" w:cs="宋体"/>
          <w:sz w:val="20"/>
          <w:szCs w:val="20"/>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378" w:firstLineChars="189"/>
        <w:rPr>
          <w:rFonts w:ascii="宋体" w:hAnsi="宋体" w:cs="宋体"/>
          <w:sz w:val="20"/>
          <w:szCs w:val="20"/>
        </w:rPr>
      </w:pPr>
      <w:bookmarkStart w:id="155" w:name="_Toc17952"/>
      <w:bookmarkStart w:id="156" w:name="_Toc16330035"/>
      <w:bookmarkStart w:id="157" w:name="_Toc29136"/>
      <w:bookmarkStart w:id="158" w:name="_Toc19077"/>
      <w:r>
        <w:rPr>
          <w:rFonts w:hint="eastAsia" w:ascii="宋体" w:hAnsi="宋体" w:cs="宋体"/>
          <w:sz w:val="20"/>
          <w:szCs w:val="20"/>
        </w:rPr>
        <w:t>17.4监造，在合同设备的制造过程中，买方有权派出代表对合同设备制造过程中的关键工序进行质量监督，卖方有配合买方监造的义务。</w:t>
      </w:r>
    </w:p>
    <w:p>
      <w:pPr>
        <w:spacing w:line="360" w:lineRule="auto"/>
        <w:ind w:firstLine="378" w:firstLineChars="189"/>
        <w:rPr>
          <w:rFonts w:hint="eastAsia" w:ascii="宋体" w:hAnsi="宋体" w:cs="宋体"/>
          <w:color w:val="FF0000"/>
          <w:sz w:val="20"/>
          <w:szCs w:val="20"/>
        </w:rPr>
      </w:pPr>
      <w:r>
        <w:rPr>
          <w:rFonts w:hint="eastAsia" w:ascii="宋体" w:hAnsi="宋体" w:cs="宋体"/>
          <w:sz w:val="20"/>
          <w:szCs w:val="20"/>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spacing w:line="360" w:lineRule="auto"/>
        <w:ind w:firstLine="378" w:firstLineChars="189"/>
        <w:rPr>
          <w:rFonts w:hint="eastAsia" w:ascii="宋体" w:hAnsi="宋体" w:cs="宋体"/>
          <w:sz w:val="20"/>
          <w:szCs w:val="20"/>
        </w:rPr>
      </w:pPr>
      <w:r>
        <w:rPr>
          <w:rFonts w:hint="eastAsia" w:ascii="宋体" w:hAnsi="宋体" w:cs="宋体"/>
          <w:sz w:val="20"/>
          <w:szCs w:val="20"/>
        </w:rPr>
        <w:t>17.6除有特殊要求外，设备表层颜色规定按《</w:t>
      </w:r>
      <w:r>
        <w:rPr>
          <w:rFonts w:ascii="宋体" w:hAnsi="宋体" w:cs="宋体"/>
          <w:sz w:val="20"/>
          <w:szCs w:val="20"/>
        </w:rPr>
        <w:t>Q-ZZ 30070 设备设施颜色标识</w:t>
      </w:r>
      <w:r>
        <w:rPr>
          <w:rFonts w:hint="eastAsia" w:ascii="宋体" w:hAnsi="宋体" w:cs="宋体"/>
          <w:sz w:val="20"/>
          <w:szCs w:val="20"/>
        </w:rPr>
        <w:t>》内容执行。</w:t>
      </w:r>
    </w:p>
    <w:p>
      <w:pPr>
        <w:spacing w:line="360" w:lineRule="auto"/>
        <w:ind w:firstLine="378" w:firstLineChars="189"/>
        <w:rPr>
          <w:rFonts w:ascii="宋体" w:hAnsi="宋体" w:cs="宋体"/>
          <w:sz w:val="20"/>
          <w:szCs w:val="20"/>
        </w:rPr>
      </w:pPr>
    </w:p>
    <w:p>
      <w:pPr>
        <w:pStyle w:val="3"/>
        <w:tabs>
          <w:tab w:val="right" w:leader="dot" w:pos="9061"/>
        </w:tabs>
        <w:ind w:firstLine="379" w:firstLineChars="189"/>
        <w:jc w:val="both"/>
        <w:rPr>
          <w:rFonts w:ascii="宋体" w:hAnsi="宋体" w:cs="宋体"/>
          <w:sz w:val="20"/>
        </w:rPr>
      </w:pPr>
      <w:bookmarkStart w:id="159" w:name="_Toc9387"/>
      <w:bookmarkStart w:id="160" w:name="_Toc5165"/>
      <w:bookmarkStart w:id="161" w:name="_Toc5328"/>
      <w:bookmarkStart w:id="162" w:name="_Toc30768"/>
      <w:bookmarkStart w:id="163" w:name="_Toc32616"/>
      <w:r>
        <w:rPr>
          <w:rFonts w:hint="eastAsia" w:ascii="宋体" w:hAnsi="宋体" w:cs="宋体"/>
          <w:sz w:val="20"/>
        </w:rPr>
        <w:t>18 签署事项</w:t>
      </w:r>
      <w:bookmarkEnd w:id="155"/>
      <w:bookmarkEnd w:id="156"/>
      <w:bookmarkEnd w:id="157"/>
      <w:bookmarkEnd w:id="158"/>
      <w:bookmarkEnd w:id="159"/>
      <w:bookmarkEnd w:id="160"/>
      <w:bookmarkEnd w:id="161"/>
      <w:bookmarkEnd w:id="162"/>
      <w:bookmarkEnd w:id="163"/>
    </w:p>
    <w:p>
      <w:pPr>
        <w:spacing w:line="360" w:lineRule="auto"/>
        <w:ind w:firstLine="378" w:firstLineChars="189"/>
        <w:rPr>
          <w:rFonts w:ascii="宋体" w:hAnsi="宋体" w:cs="宋体"/>
          <w:sz w:val="20"/>
          <w:szCs w:val="20"/>
        </w:rPr>
      </w:pPr>
      <w:r>
        <w:rPr>
          <w:rFonts w:hint="eastAsia" w:ascii="宋体" w:hAnsi="宋体" w:cs="宋体"/>
          <w:sz w:val="20"/>
          <w:szCs w:val="20"/>
        </w:rPr>
        <w:t>本合同一式</w:t>
      </w:r>
      <w:r>
        <w:rPr>
          <w:rFonts w:hint="eastAsia" w:ascii="宋体" w:hAnsi="宋体" w:cs="宋体"/>
          <w:sz w:val="20"/>
          <w:szCs w:val="20"/>
          <w:u w:val="single"/>
        </w:rPr>
        <w:t xml:space="preserve">   </w:t>
      </w:r>
      <w:r>
        <w:rPr>
          <w:rFonts w:hint="eastAsia" w:ascii="宋体" w:hAnsi="宋体" w:cs="宋体"/>
          <w:sz w:val="20"/>
          <w:szCs w:val="20"/>
        </w:rPr>
        <w:t>份，买方持</w:t>
      </w:r>
      <w:r>
        <w:rPr>
          <w:rFonts w:hint="eastAsia" w:ascii="宋体" w:hAnsi="宋体" w:cs="宋体"/>
          <w:sz w:val="20"/>
          <w:szCs w:val="20"/>
          <w:u w:val="single"/>
        </w:rPr>
        <w:t xml:space="preserve">   </w:t>
      </w:r>
      <w:r>
        <w:rPr>
          <w:rFonts w:hint="eastAsia" w:ascii="宋体" w:hAnsi="宋体" w:cs="宋体"/>
          <w:sz w:val="20"/>
          <w:szCs w:val="20"/>
        </w:rPr>
        <w:t>份，卖方持</w:t>
      </w:r>
      <w:r>
        <w:rPr>
          <w:rFonts w:hint="eastAsia" w:ascii="宋体" w:hAnsi="宋体" w:cs="宋体"/>
          <w:sz w:val="20"/>
          <w:szCs w:val="20"/>
          <w:u w:val="single"/>
        </w:rPr>
        <w:t xml:space="preserve">   </w:t>
      </w:r>
      <w:r>
        <w:rPr>
          <w:rFonts w:hint="eastAsia" w:ascii="宋体" w:hAnsi="宋体" w:cs="宋体"/>
          <w:sz w:val="20"/>
          <w:szCs w:val="20"/>
        </w:rPr>
        <w:t>份；本合同经双方签署后生效。</w:t>
      </w:r>
    </w:p>
    <w:p>
      <w:pPr>
        <w:spacing w:line="360" w:lineRule="auto"/>
        <w:ind w:firstLine="378" w:firstLineChars="189"/>
        <w:rPr>
          <w:rFonts w:ascii="宋体" w:hAnsi="宋体" w:cs="宋体"/>
          <w:sz w:val="20"/>
          <w:szCs w:val="20"/>
        </w:rPr>
      </w:pPr>
      <w:r>
        <w:rPr>
          <w:rFonts w:hint="eastAsia" w:ascii="宋体" w:hAnsi="宋体" w:cs="宋体"/>
          <w:sz w:val="20"/>
          <w:szCs w:val="20"/>
        </w:rPr>
        <w:t>（以下无正文）</w:t>
      </w:r>
    </w:p>
    <w:p>
      <w:pPr>
        <w:tabs>
          <w:tab w:val="left" w:pos="2208"/>
        </w:tabs>
        <w:ind w:firstLine="420" w:firstLineChars="200"/>
        <w:rPr>
          <w:rFonts w:ascii="宋体" w:hAnsi="宋体" w:cs="宋体"/>
          <w:sz w:val="20"/>
          <w:szCs w:val="20"/>
        </w:rPr>
      </w:pPr>
      <w:r>
        <w:rPr>
          <w:rFonts w:hint="eastAsia"/>
        </w:rPr>
        <w:t xml:space="preserve">    </w:t>
      </w:r>
      <w:r>
        <w:tab/>
      </w:r>
    </w:p>
    <w:p>
      <w:pPr>
        <w:rPr>
          <w:rFonts w:ascii="宋体" w:hAnsi="宋体"/>
          <w:snapToGrid w:val="0"/>
          <w:kern w:val="0"/>
          <w:sz w:val="20"/>
          <w:szCs w:val="20"/>
        </w:rPr>
      </w:pPr>
      <w:r>
        <w:rPr>
          <w:rFonts w:hint="eastAsia" w:ascii="宋体" w:hAnsi="宋体"/>
          <w:snapToGrid w:val="0"/>
          <w:kern w:val="0"/>
          <w:sz w:val="20"/>
          <w:szCs w:val="20"/>
        </w:rPr>
        <w:t>（本页为编号为【】设备采购合同的签署页）</w:t>
      </w:r>
    </w:p>
    <w:p>
      <w:pPr>
        <w:widowControl/>
        <w:adjustRightInd w:val="0"/>
        <w:snapToGrid w:val="0"/>
        <w:spacing w:line="360" w:lineRule="auto"/>
        <w:jc w:val="left"/>
        <w:rPr>
          <w:rFonts w:ascii="宋体" w:hAnsi="宋体"/>
          <w:snapToGrid w:val="0"/>
          <w:kern w:val="0"/>
          <w:sz w:val="20"/>
          <w:szCs w:val="20"/>
          <w:lang w:eastAsia="zh-Hans"/>
        </w:rPr>
      </w:pPr>
      <w:r>
        <w:rPr>
          <w:rFonts w:hint="eastAsia" w:ascii="宋体" w:hAnsi="宋体"/>
          <w:snapToGrid w:val="0"/>
          <w:kern w:val="0"/>
          <w:sz w:val="20"/>
          <w:szCs w:val="20"/>
          <w:lang w:eastAsia="zh-Hans"/>
        </w:rPr>
        <w:t>甲方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snapToGrid w:val="0"/>
          <w:kern w:val="0"/>
          <w:sz w:val="20"/>
          <w:szCs w:val="20"/>
        </w:rPr>
        <w:t xml:space="preserve">           </w:t>
      </w:r>
      <w:r>
        <w:rPr>
          <w:rFonts w:hint="eastAsia" w:ascii="宋体" w:hAnsi="宋体"/>
          <w:snapToGrid w:val="0"/>
          <w:kern w:val="0"/>
          <w:sz w:val="20"/>
          <w:szCs w:val="20"/>
          <w:lang w:eastAsia="zh-Hans"/>
        </w:rPr>
        <w:t>乙方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法定代表人或代理人（签字）：                 法定代表人或代理人（签字）：</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地  址：                                     地  址：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电话：                                       电话：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传真：                                       传真：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开户银行：                                   开户银行：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lang w:eastAsia="zh-Hans"/>
        </w:rPr>
        <w:t xml:space="preserve">账  号：                                     账 号： </w:t>
      </w:r>
    </w:p>
    <w:p>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pPr>
        <w:pStyle w:val="5"/>
        <w:spacing w:before="120" w:after="120" w:line="560" w:lineRule="exact"/>
        <w:rPr>
          <w:rFonts w:ascii="宋体" w:hAnsi="宋体" w:cs="宋体"/>
          <w:b w:val="0"/>
          <w:bCs w:val="0"/>
          <w:sz w:val="24"/>
          <w:szCs w:val="24"/>
        </w:rPr>
      </w:pPr>
      <w:bookmarkStart w:id="164" w:name="_Toc131"/>
      <w:r>
        <w:rPr>
          <w:rFonts w:hint="eastAsia" w:ascii="宋体" w:hAnsi="宋体" w:cs="宋体"/>
          <w:b w:val="0"/>
          <w:bCs w:val="0"/>
          <w:sz w:val="24"/>
          <w:szCs w:val="24"/>
        </w:rPr>
        <w:t>附件一、投标函</w:t>
      </w:r>
      <w:bookmarkEnd w:id="164"/>
    </w:p>
    <w:p>
      <w:pPr>
        <w:jc w:val="center"/>
        <w:rPr>
          <w:rFonts w:ascii="宋体" w:hAnsi="宋体"/>
          <w:b/>
          <w:bCs/>
          <w:sz w:val="36"/>
          <w:szCs w:val="36"/>
        </w:rPr>
      </w:pPr>
      <w:r>
        <w:rPr>
          <w:rFonts w:hint="eastAsia" w:ascii="宋体" w:hAnsi="宋体"/>
          <w:b/>
          <w:bCs/>
          <w:sz w:val="36"/>
          <w:szCs w:val="36"/>
        </w:rPr>
        <w:t>投标函</w:t>
      </w:r>
    </w:p>
    <w:p>
      <w:pPr>
        <w:pStyle w:val="12"/>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eastAsia="zh-CN"/>
        </w:rPr>
        <w:t>CGZXCX-202403-2104</w:t>
      </w:r>
      <w:r>
        <w:rPr>
          <w:rFonts w:hint="eastAsia" w:ascii="宋体" w:hAnsi="宋体"/>
          <w:sz w:val="24"/>
          <w:u w:val="single"/>
          <w:lang w:eastAsia="zh-CN"/>
        </w:rPr>
        <w:tab/>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（5）我方同意招标人的要求，提供与递交投标文件有关的其他数据和资料。</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pPr>
        <w:pStyle w:val="9"/>
        <w:spacing w:after="0" w:line="460" w:lineRule="exact"/>
        <w:ind w:left="-2" w:firstLine="480"/>
        <w:rPr>
          <w:rFonts w:hint="eastAsia"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pPr>
        <w:pStyle w:val="9"/>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5"/>
        <w:spacing w:before="120" w:after="120" w:line="360" w:lineRule="exact"/>
        <w:rPr>
          <w:rFonts w:ascii="宋体" w:hAnsi="宋体"/>
          <w:b w:val="0"/>
          <w:bCs w:val="0"/>
          <w:sz w:val="24"/>
          <w:szCs w:val="24"/>
        </w:rPr>
      </w:pPr>
      <w:r>
        <w:rPr>
          <w:rFonts w:ascii="宋体" w:hAnsi="宋体"/>
          <w:sz w:val="24"/>
          <w:szCs w:val="24"/>
        </w:rPr>
        <w:br w:type="page"/>
      </w:r>
      <w:bookmarkStart w:id="165" w:name="_Toc26030"/>
      <w:bookmarkStart w:id="166" w:name="_Toc453709582"/>
      <w:r>
        <w:rPr>
          <w:rFonts w:hint="eastAsia" w:ascii="宋体" w:hAnsi="宋体" w:cs="宋体"/>
          <w:sz w:val="24"/>
          <w:szCs w:val="24"/>
        </w:rPr>
        <w:t>附件二、授权委托书</w:t>
      </w:r>
      <w:bookmarkEnd w:id="165"/>
      <w:bookmarkEnd w:id="166"/>
    </w:p>
    <w:p>
      <w:pPr>
        <w:pStyle w:val="9"/>
        <w:spacing w:after="0"/>
        <w:rPr>
          <w:rFonts w:ascii="宋体" w:hAnsi="宋体"/>
        </w:rPr>
      </w:pPr>
    </w:p>
    <w:p>
      <w:pPr>
        <w:pStyle w:val="9"/>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9"/>
        <w:spacing w:after="0" w:line="460" w:lineRule="exact"/>
        <w:jc w:val="center"/>
        <w:rPr>
          <w:rFonts w:ascii="宋体" w:hAnsi="宋体"/>
          <w:b/>
          <w:bCs/>
          <w:sz w:val="32"/>
          <w:szCs w:val="32"/>
        </w:rPr>
      </w:pPr>
    </w:p>
    <w:p>
      <w:pPr>
        <w:pStyle w:val="9"/>
        <w:spacing w:after="0" w:line="560" w:lineRule="exact"/>
        <w:rPr>
          <w:rFonts w:ascii="宋体" w:hAnsi="宋体"/>
          <w:sz w:val="24"/>
          <w:szCs w:val="24"/>
          <w:u w:val="single"/>
        </w:rPr>
      </w:pPr>
      <w:r>
        <w:rPr>
          <w:rFonts w:hint="eastAsia" w:ascii="宋体" w:hAnsi="宋体" w:cs="宋体"/>
          <w:sz w:val="24"/>
          <w:szCs w:val="24"/>
          <w:u w:val="single"/>
        </w:rPr>
        <w:t xml:space="preserve"> 中国重汽集团泰安五岳专用汽车有限公司 （招标人）：</w:t>
      </w:r>
    </w:p>
    <w:p>
      <w:pPr>
        <w:pStyle w:val="9"/>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（姓名）为我单位本次投标授权代理人，全权处理此次招标项目（项目编号：</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4" name="矩形 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lR/LY&#10;AAAACQEAAA8AAAAAAAAAAQAgAAAAIgAAAGRycy9kb3ducmV2LnhtbFBLAQIUABQAAAAIAIdO4kDx&#10;ueCI5wEAANwDAAAOAAAAAAAAAAEAIAAAACcBAABkcnMvZTJvRG9jLnhtbFBLBQYAAAAABgAGAFkB&#10;AACA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5" name="矩形 5"/>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P4KwtgA&#10;AAAKAQAADwAAAAAAAAABACAAAAAiAAAAZHJzL2Rvd25yZXYueG1sUEsBAhQAFAAAAAgAh07iQMhH&#10;4XPmAQAA3AMAAA4AAAAAAAAAAQAgAAAAJwEAAGRycy9lMm9Eb2MueG1sUEsFBgAAAAAGAAYAWQEA&#10;AH8FAAAAAA==&#10;">
                <v:fill on="t" focussize="0,0"/>
                <v:stroke color="#000000"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3" name="矩形 3"/>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ucE9gA&#10;AAAKAQAADwAAAAAAAAABACAAAAAiAAAAZHJzL2Rvd25yZXYueG1sUEsBAhQAFAAAAAgAh07iQH1W&#10;HaDmAQAA3AMAAA4AAAAAAAAAAQAgAAAAJwEAAGRycy9lMm9Eb2MueG1sUEsFBgAAAAAGAAYAWQEA&#10;AH8FA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6" name="矩形 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LaWo&#10;2gAAAAsBAAAPAAAAAAAAAAEAIAAAACIAAABkcnMvZG93bnJldi54bWxQSwECFAAUAAAACACHTuJA&#10;Ilz5AeYBAADcAwAADgAAAAAAAAABACAAAAApAQAAZHJzL2Uyb0RvYy54bWxQSwUGAAAAAAYABgBZ&#10;AQAAgQUAAAAA&#10;">
                <v:fill on="t" focussize="0,0"/>
                <v:stroke color="#000000"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rPr>
          <w:rFonts w:hint="eastAsia" w:ascii="宋体" w:hAnsi="宋体"/>
          <w:sz w:val="24"/>
        </w:rPr>
      </w:pPr>
    </w:p>
    <w:p>
      <w:pPr>
        <w:pStyle w:val="9"/>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pPr>
        <w:pStyle w:val="9"/>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pPr>
        <w:pStyle w:val="9"/>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pPr>
        <w:pStyle w:val="9"/>
        <w:spacing w:after="0" w:line="560" w:lineRule="exact"/>
        <w:rPr>
          <w:rFonts w:ascii="宋体" w:hAnsi="宋体"/>
          <w:sz w:val="24"/>
          <w:szCs w:val="24"/>
        </w:rPr>
      </w:pPr>
    </w:p>
    <w:p>
      <w:pPr>
        <w:pStyle w:val="9"/>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9"/>
        <w:spacing w:after="0" w:line="560" w:lineRule="exact"/>
        <w:rPr>
          <w:rFonts w:hint="eastAsia" w:ascii="宋体" w:hAnsi="宋体"/>
        </w:rPr>
      </w:pPr>
    </w:p>
    <w:p>
      <w:pPr>
        <w:pStyle w:val="5"/>
        <w:spacing w:before="120" w:after="120" w:line="560" w:lineRule="exact"/>
        <w:rPr>
          <w:rFonts w:hint="eastAsia" w:ascii="宋体" w:hAnsi="宋体" w:cs="宋体"/>
          <w:sz w:val="24"/>
          <w:szCs w:val="24"/>
        </w:rPr>
      </w:pPr>
      <w:bookmarkStart w:id="167" w:name="_Toc14032"/>
      <w:bookmarkStart w:id="168" w:name="_Toc518655806"/>
      <w:bookmarkStart w:id="169" w:name="_Toc353881014"/>
      <w:bookmarkStart w:id="170" w:name="_Toc32246"/>
      <w:bookmarkStart w:id="171" w:name="_Toc424118183"/>
      <w:bookmarkStart w:id="172" w:name="_Toc102"/>
      <w:r>
        <w:rPr>
          <w:rFonts w:hint="eastAsia" w:ascii="宋体" w:hAnsi="宋体" w:cs="宋体"/>
          <w:sz w:val="24"/>
          <w:szCs w:val="24"/>
        </w:rPr>
        <w:t>附件三、投标人基本情况表</w:t>
      </w:r>
      <w:bookmarkEnd w:id="167"/>
      <w:bookmarkEnd w:id="168"/>
      <w:bookmarkEnd w:id="169"/>
      <w:bookmarkEnd w:id="170"/>
      <w:bookmarkEnd w:id="171"/>
      <w:bookmarkEnd w:id="172"/>
    </w:p>
    <w:p>
      <w:pPr>
        <w:pStyle w:val="9"/>
        <w:spacing w:after="0" w:line="460" w:lineRule="exact"/>
        <w:jc w:val="center"/>
        <w:rPr>
          <w:rFonts w:hint="eastAsia"/>
        </w:rP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单位</w:t>
            </w:r>
          </w:p>
          <w:p>
            <w:pPr>
              <w:jc w:val="center"/>
              <w:rPr>
                <w:rFonts w:hint="eastAsia" w:ascii="宋体" w:hAnsi="宋体"/>
                <w:sz w:val="18"/>
                <w:szCs w:val="18"/>
              </w:rPr>
            </w:pPr>
            <w:r>
              <w:rPr>
                <w:rFonts w:hint="eastAsia" w:ascii="宋体" w:hAnsi="宋体"/>
                <w:sz w:val="18"/>
                <w:szCs w:val="18"/>
              </w:rPr>
              <w:t>名称</w:t>
            </w:r>
          </w:p>
        </w:tc>
        <w:tc>
          <w:tcPr>
            <w:tcW w:w="1440" w:type="dxa"/>
            <w:gridSpan w:val="3"/>
            <w:noWrap w:val="0"/>
            <w:vAlign w:val="center"/>
          </w:tcPr>
          <w:p>
            <w:pPr>
              <w:jc w:val="center"/>
              <w:rPr>
                <w:rFonts w:hint="eastAsia" w:ascii="宋体" w:hAnsi="宋体"/>
                <w:sz w:val="18"/>
                <w:szCs w:val="18"/>
              </w:rPr>
            </w:pPr>
          </w:p>
        </w:tc>
        <w:tc>
          <w:tcPr>
            <w:tcW w:w="540" w:type="dxa"/>
            <w:gridSpan w:val="3"/>
            <w:noWrap w:val="0"/>
            <w:vAlign w:val="center"/>
          </w:tcPr>
          <w:p>
            <w:pPr>
              <w:jc w:val="center"/>
              <w:rPr>
                <w:rFonts w:hint="eastAsia" w:ascii="宋体" w:hAnsi="宋体"/>
                <w:sz w:val="18"/>
                <w:szCs w:val="18"/>
              </w:rPr>
            </w:pPr>
            <w:r>
              <w:rPr>
                <w:rFonts w:hint="eastAsia" w:ascii="宋体" w:hAnsi="宋体"/>
                <w:sz w:val="18"/>
                <w:szCs w:val="18"/>
              </w:rPr>
              <w:t>代  号</w:t>
            </w:r>
          </w:p>
        </w:tc>
        <w:tc>
          <w:tcPr>
            <w:tcW w:w="720" w:type="dxa"/>
            <w:gridSpan w:val="3"/>
            <w:noWrap w:val="0"/>
            <w:vAlign w:val="center"/>
          </w:tcPr>
          <w:p>
            <w:pPr>
              <w:jc w:val="center"/>
              <w:rPr>
                <w:rFonts w:hint="eastAsia" w:ascii="宋体" w:hAnsi="宋体"/>
                <w:sz w:val="18"/>
                <w:szCs w:val="18"/>
              </w:rPr>
            </w:pPr>
          </w:p>
        </w:tc>
        <w:tc>
          <w:tcPr>
            <w:tcW w:w="629" w:type="dxa"/>
            <w:gridSpan w:val="3"/>
            <w:noWrap w:val="0"/>
            <w:vAlign w:val="center"/>
          </w:tcPr>
          <w:p>
            <w:pPr>
              <w:jc w:val="center"/>
              <w:rPr>
                <w:rFonts w:hint="eastAsia" w:ascii="宋体" w:hAnsi="宋体"/>
                <w:sz w:val="18"/>
                <w:szCs w:val="18"/>
              </w:rPr>
            </w:pPr>
            <w:r>
              <w:rPr>
                <w:rFonts w:hint="eastAsia" w:ascii="宋体" w:hAnsi="宋体"/>
                <w:sz w:val="18"/>
                <w:szCs w:val="18"/>
              </w:rPr>
              <w:t>电话</w:t>
            </w:r>
          </w:p>
        </w:tc>
        <w:tc>
          <w:tcPr>
            <w:tcW w:w="712" w:type="dxa"/>
            <w:noWrap w:val="0"/>
            <w:vAlign w:val="center"/>
          </w:tcPr>
          <w:p>
            <w:pPr>
              <w:jc w:val="center"/>
              <w:rPr>
                <w:rFonts w:hint="eastAsia" w:ascii="宋体" w:hAnsi="宋体"/>
                <w:sz w:val="18"/>
                <w:szCs w:val="18"/>
              </w:rPr>
            </w:pPr>
          </w:p>
        </w:tc>
        <w:tc>
          <w:tcPr>
            <w:tcW w:w="639" w:type="dxa"/>
            <w:gridSpan w:val="2"/>
            <w:noWrap w:val="0"/>
            <w:vAlign w:val="center"/>
          </w:tcPr>
          <w:p>
            <w:pPr>
              <w:jc w:val="center"/>
              <w:rPr>
                <w:rFonts w:hint="eastAsia" w:ascii="宋体" w:hAnsi="宋体"/>
                <w:sz w:val="18"/>
                <w:szCs w:val="18"/>
              </w:rPr>
            </w:pPr>
            <w:r>
              <w:rPr>
                <w:rFonts w:hint="eastAsia" w:ascii="宋体" w:hAnsi="宋体"/>
                <w:sz w:val="18"/>
                <w:szCs w:val="18"/>
              </w:rPr>
              <w:t>主管</w:t>
            </w:r>
          </w:p>
          <w:p>
            <w:pPr>
              <w:jc w:val="center"/>
              <w:rPr>
                <w:rFonts w:hint="eastAsia" w:ascii="宋体" w:hAnsi="宋体"/>
                <w:sz w:val="18"/>
                <w:szCs w:val="18"/>
              </w:rPr>
            </w:pPr>
            <w:r>
              <w:rPr>
                <w:rFonts w:hint="eastAsia" w:ascii="宋体" w:hAnsi="宋体"/>
                <w:sz w:val="18"/>
                <w:szCs w:val="18"/>
              </w:rPr>
              <w:t>部门</w:t>
            </w:r>
          </w:p>
        </w:tc>
        <w:tc>
          <w:tcPr>
            <w:tcW w:w="900" w:type="dxa"/>
            <w:gridSpan w:val="3"/>
            <w:noWrap w:val="0"/>
            <w:vAlign w:val="center"/>
          </w:tcPr>
          <w:p>
            <w:pPr>
              <w:jc w:val="center"/>
              <w:rPr>
                <w:rFonts w:hint="eastAsia" w:ascii="宋体" w:hAnsi="宋体"/>
                <w:sz w:val="18"/>
                <w:szCs w:val="18"/>
              </w:rPr>
            </w:pPr>
          </w:p>
        </w:tc>
        <w:tc>
          <w:tcPr>
            <w:tcW w:w="1296" w:type="dxa"/>
            <w:gridSpan w:val="4"/>
            <w:noWrap w:val="0"/>
            <w:vAlign w:val="center"/>
          </w:tcPr>
          <w:p>
            <w:pPr>
              <w:jc w:val="center"/>
              <w:rPr>
                <w:rFonts w:hint="eastAsia" w:ascii="宋体" w:hAnsi="宋体"/>
                <w:sz w:val="18"/>
                <w:szCs w:val="18"/>
              </w:rPr>
            </w:pPr>
            <w:r>
              <w:rPr>
                <w:rFonts w:hint="eastAsia" w:ascii="宋体" w:hAnsi="宋体"/>
                <w:sz w:val="18"/>
                <w:szCs w:val="18"/>
              </w:rPr>
              <w:t>企业负责人</w:t>
            </w:r>
          </w:p>
        </w:tc>
        <w:tc>
          <w:tcPr>
            <w:tcW w:w="603" w:type="dxa"/>
            <w:noWrap w:val="0"/>
            <w:vAlign w:val="center"/>
          </w:tcPr>
          <w:p>
            <w:pPr>
              <w:jc w:val="center"/>
              <w:rPr>
                <w:rFonts w:hint="eastAsia" w:ascii="宋体" w:hAnsi="宋体"/>
                <w:sz w:val="18"/>
                <w:szCs w:val="18"/>
              </w:rPr>
            </w:pPr>
          </w:p>
        </w:tc>
        <w:tc>
          <w:tcPr>
            <w:tcW w:w="716" w:type="dxa"/>
            <w:gridSpan w:val="2"/>
            <w:noWrap w:val="0"/>
            <w:vAlign w:val="center"/>
          </w:tcPr>
          <w:p>
            <w:pPr>
              <w:jc w:val="center"/>
              <w:rPr>
                <w:rFonts w:hint="eastAsia" w:ascii="宋体" w:hAnsi="宋体"/>
                <w:sz w:val="18"/>
                <w:szCs w:val="18"/>
              </w:rPr>
            </w:pPr>
            <w:r>
              <w:rPr>
                <w:rFonts w:hint="eastAsia" w:ascii="宋体" w:hAnsi="宋体"/>
                <w:sz w:val="18"/>
                <w:szCs w:val="18"/>
              </w:rPr>
              <w:t>职务</w:t>
            </w:r>
          </w:p>
        </w:tc>
        <w:tc>
          <w:tcPr>
            <w:tcW w:w="607" w:type="dxa"/>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地 址</w:t>
            </w:r>
          </w:p>
        </w:tc>
        <w:tc>
          <w:tcPr>
            <w:tcW w:w="1440" w:type="dxa"/>
            <w:gridSpan w:val="3"/>
            <w:noWrap w:val="0"/>
            <w:vAlign w:val="center"/>
          </w:tcPr>
          <w:p>
            <w:pPr>
              <w:jc w:val="center"/>
              <w:rPr>
                <w:rFonts w:hint="eastAsia" w:ascii="宋体" w:hAnsi="宋体"/>
                <w:sz w:val="18"/>
                <w:szCs w:val="18"/>
              </w:rPr>
            </w:pPr>
          </w:p>
        </w:tc>
        <w:tc>
          <w:tcPr>
            <w:tcW w:w="540" w:type="dxa"/>
            <w:gridSpan w:val="3"/>
            <w:noWrap w:val="0"/>
            <w:vAlign w:val="center"/>
          </w:tcPr>
          <w:p>
            <w:pPr>
              <w:jc w:val="center"/>
              <w:rPr>
                <w:rFonts w:hint="eastAsia" w:ascii="宋体" w:hAnsi="宋体"/>
                <w:sz w:val="18"/>
                <w:szCs w:val="18"/>
              </w:rPr>
            </w:pPr>
            <w:r>
              <w:rPr>
                <w:rFonts w:hint="eastAsia" w:ascii="宋体" w:hAnsi="宋体"/>
                <w:sz w:val="18"/>
                <w:szCs w:val="18"/>
              </w:rPr>
              <w:t>邮箱</w:t>
            </w:r>
          </w:p>
        </w:tc>
        <w:tc>
          <w:tcPr>
            <w:tcW w:w="720" w:type="dxa"/>
            <w:gridSpan w:val="3"/>
            <w:noWrap w:val="0"/>
            <w:vAlign w:val="center"/>
          </w:tcPr>
          <w:p>
            <w:pPr>
              <w:jc w:val="center"/>
              <w:rPr>
                <w:rFonts w:hint="eastAsia" w:ascii="宋体" w:hAnsi="宋体"/>
                <w:sz w:val="18"/>
                <w:szCs w:val="18"/>
              </w:rPr>
            </w:pPr>
          </w:p>
        </w:tc>
        <w:tc>
          <w:tcPr>
            <w:tcW w:w="629" w:type="dxa"/>
            <w:gridSpan w:val="3"/>
            <w:noWrap w:val="0"/>
            <w:vAlign w:val="center"/>
          </w:tcPr>
          <w:p>
            <w:pPr>
              <w:jc w:val="center"/>
              <w:rPr>
                <w:rFonts w:hint="eastAsia" w:ascii="宋体" w:hAnsi="宋体"/>
                <w:sz w:val="18"/>
                <w:szCs w:val="18"/>
              </w:rPr>
            </w:pPr>
            <w:r>
              <w:rPr>
                <w:rFonts w:hint="eastAsia" w:ascii="宋体" w:hAnsi="宋体"/>
                <w:sz w:val="18"/>
                <w:szCs w:val="18"/>
              </w:rPr>
              <w:t>传真</w:t>
            </w:r>
          </w:p>
        </w:tc>
        <w:tc>
          <w:tcPr>
            <w:tcW w:w="712" w:type="dxa"/>
            <w:noWrap w:val="0"/>
            <w:vAlign w:val="center"/>
          </w:tcPr>
          <w:p>
            <w:pPr>
              <w:jc w:val="center"/>
              <w:rPr>
                <w:rFonts w:hint="eastAsia" w:ascii="宋体" w:hAnsi="宋体"/>
                <w:sz w:val="18"/>
                <w:szCs w:val="18"/>
              </w:rPr>
            </w:pPr>
          </w:p>
        </w:tc>
        <w:tc>
          <w:tcPr>
            <w:tcW w:w="639" w:type="dxa"/>
            <w:gridSpan w:val="2"/>
            <w:noWrap w:val="0"/>
            <w:vAlign w:val="center"/>
          </w:tcPr>
          <w:p>
            <w:pPr>
              <w:jc w:val="center"/>
              <w:rPr>
                <w:rFonts w:hint="eastAsia" w:ascii="宋体" w:hAnsi="宋体"/>
                <w:sz w:val="18"/>
                <w:szCs w:val="18"/>
              </w:rPr>
            </w:pPr>
            <w:r>
              <w:rPr>
                <w:rFonts w:hint="eastAsia" w:ascii="宋体" w:hAnsi="宋体"/>
                <w:sz w:val="18"/>
                <w:szCs w:val="18"/>
              </w:rPr>
              <w:t>经济</w:t>
            </w:r>
          </w:p>
          <w:p>
            <w:pPr>
              <w:jc w:val="center"/>
              <w:rPr>
                <w:rFonts w:hint="eastAsia" w:ascii="宋体" w:hAnsi="宋体"/>
                <w:sz w:val="18"/>
                <w:szCs w:val="18"/>
              </w:rPr>
            </w:pPr>
            <w:r>
              <w:rPr>
                <w:rFonts w:hint="eastAsia" w:ascii="宋体" w:hAnsi="宋体"/>
                <w:sz w:val="18"/>
                <w:szCs w:val="18"/>
              </w:rPr>
              <w:t>类型</w:t>
            </w:r>
          </w:p>
        </w:tc>
        <w:tc>
          <w:tcPr>
            <w:tcW w:w="900" w:type="dxa"/>
            <w:gridSpan w:val="3"/>
            <w:noWrap w:val="0"/>
            <w:vAlign w:val="center"/>
          </w:tcPr>
          <w:p>
            <w:pPr>
              <w:jc w:val="center"/>
              <w:rPr>
                <w:rFonts w:hint="eastAsia" w:ascii="宋体" w:hAnsi="宋体"/>
                <w:sz w:val="18"/>
                <w:szCs w:val="18"/>
              </w:rPr>
            </w:pPr>
          </w:p>
        </w:tc>
        <w:tc>
          <w:tcPr>
            <w:tcW w:w="1296" w:type="dxa"/>
            <w:gridSpan w:val="4"/>
            <w:noWrap w:val="0"/>
            <w:vAlign w:val="center"/>
          </w:tcPr>
          <w:p>
            <w:pPr>
              <w:jc w:val="center"/>
              <w:rPr>
                <w:rFonts w:hint="eastAsia" w:ascii="宋体" w:hAnsi="宋体"/>
                <w:sz w:val="18"/>
                <w:szCs w:val="18"/>
              </w:rPr>
            </w:pPr>
            <w:r>
              <w:rPr>
                <w:rFonts w:hint="eastAsia" w:ascii="宋体" w:hAnsi="宋体"/>
                <w:sz w:val="18"/>
                <w:szCs w:val="18"/>
              </w:rPr>
              <w:t>授权代表</w:t>
            </w:r>
          </w:p>
        </w:tc>
        <w:tc>
          <w:tcPr>
            <w:tcW w:w="603" w:type="dxa"/>
            <w:noWrap w:val="0"/>
            <w:vAlign w:val="center"/>
          </w:tcPr>
          <w:p>
            <w:pPr>
              <w:jc w:val="center"/>
              <w:rPr>
                <w:rFonts w:hint="eastAsia" w:ascii="宋体" w:hAnsi="宋体"/>
                <w:sz w:val="18"/>
                <w:szCs w:val="18"/>
              </w:rPr>
            </w:pPr>
          </w:p>
        </w:tc>
        <w:tc>
          <w:tcPr>
            <w:tcW w:w="716" w:type="dxa"/>
            <w:gridSpan w:val="2"/>
            <w:noWrap w:val="0"/>
            <w:vAlign w:val="center"/>
          </w:tcPr>
          <w:p>
            <w:pPr>
              <w:jc w:val="center"/>
              <w:rPr>
                <w:rFonts w:hint="eastAsia" w:ascii="宋体" w:hAnsi="宋体"/>
                <w:sz w:val="18"/>
                <w:szCs w:val="18"/>
              </w:rPr>
            </w:pPr>
            <w:r>
              <w:rPr>
                <w:rFonts w:hint="eastAsia" w:ascii="宋体" w:hAnsi="宋体"/>
                <w:sz w:val="18"/>
                <w:szCs w:val="18"/>
              </w:rPr>
              <w:t>职务</w:t>
            </w:r>
          </w:p>
        </w:tc>
        <w:tc>
          <w:tcPr>
            <w:tcW w:w="607" w:type="dxa"/>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一、单</w:t>
            </w:r>
          </w:p>
          <w:p>
            <w:pPr>
              <w:jc w:val="center"/>
              <w:rPr>
                <w:rFonts w:hint="eastAsia" w:ascii="宋体" w:hAnsi="宋体"/>
                <w:sz w:val="18"/>
                <w:szCs w:val="18"/>
              </w:rPr>
            </w:pPr>
            <w:r>
              <w:rPr>
                <w:rFonts w:hint="eastAsia" w:ascii="宋体" w:hAnsi="宋体"/>
                <w:sz w:val="18"/>
                <w:szCs w:val="18"/>
              </w:rPr>
              <w:t>位简历</w:t>
            </w:r>
          </w:p>
          <w:p>
            <w:pPr>
              <w:jc w:val="center"/>
              <w:rPr>
                <w:rFonts w:hint="eastAsia"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noWrap w:val="0"/>
            <w:vAlign w:val="center"/>
          </w:tcPr>
          <w:p>
            <w:pPr>
              <w:jc w:val="center"/>
              <w:rPr>
                <w:rFonts w:ascii="宋体" w:hAnsi="宋体"/>
                <w:sz w:val="18"/>
                <w:szCs w:val="18"/>
              </w:rPr>
            </w:pPr>
          </w:p>
          <w:p>
            <w:pPr>
              <w:jc w:val="center"/>
              <w:rPr>
                <w:rFonts w:ascii="宋体" w:hAnsi="宋体"/>
                <w:sz w:val="18"/>
                <w:szCs w:val="18"/>
              </w:rPr>
            </w:pPr>
          </w:p>
          <w:p>
            <w:pPr>
              <w:pStyle w:val="7"/>
              <w:spacing w:before="0"/>
              <w:jc w:val="center"/>
              <w:rPr>
                <w:rFonts w:hint="eastAsia" w:ascii="宋体" w:hAnsi="宋体"/>
                <w:sz w:val="18"/>
                <w:szCs w:val="18"/>
              </w:rPr>
            </w:pPr>
          </w:p>
        </w:tc>
        <w:tc>
          <w:tcPr>
            <w:tcW w:w="639" w:type="dxa"/>
            <w:gridSpan w:val="2"/>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单位优</w:t>
            </w:r>
          </w:p>
          <w:p>
            <w:pPr>
              <w:jc w:val="center"/>
              <w:rPr>
                <w:rFonts w:hint="eastAsia" w:ascii="宋体" w:hAnsi="宋体"/>
                <w:sz w:val="18"/>
                <w:szCs w:val="18"/>
              </w:rPr>
            </w:pPr>
            <w:r>
              <w:rPr>
                <w:rFonts w:hint="eastAsia" w:ascii="宋体" w:hAnsi="宋体"/>
                <w:sz w:val="18"/>
                <w:szCs w:val="18"/>
              </w:rPr>
              <w:t>势及特</w:t>
            </w:r>
          </w:p>
          <w:p>
            <w:pPr>
              <w:jc w:val="center"/>
              <w:rPr>
                <w:rFonts w:hint="eastAsia" w:ascii="宋体" w:hAnsi="宋体"/>
                <w:sz w:val="18"/>
                <w:szCs w:val="18"/>
              </w:rPr>
            </w:pPr>
            <w:r>
              <w:rPr>
                <w:rFonts w:hint="eastAsia" w:ascii="宋体" w:hAnsi="宋体"/>
                <w:sz w:val="18"/>
                <w:szCs w:val="18"/>
              </w:rPr>
              <w:t>长</w:t>
            </w:r>
          </w:p>
        </w:tc>
        <w:tc>
          <w:tcPr>
            <w:tcW w:w="4122" w:type="dxa"/>
            <w:gridSpan w:val="11"/>
            <w:tcBorders>
              <w:bottom w:val="single" w:color="auto" w:sz="4" w:space="0"/>
            </w:tcBorders>
            <w:noWrap w:val="0"/>
            <w:vAlign w:val="center"/>
          </w:tcPr>
          <w:p>
            <w:pPr>
              <w:jc w:val="center"/>
              <w:rPr>
                <w:rFonts w:ascii="宋体" w:hAnsi="宋体"/>
                <w:sz w:val="18"/>
                <w:szCs w:val="18"/>
              </w:rPr>
            </w:pPr>
          </w:p>
          <w:p>
            <w:pPr>
              <w:jc w:val="center"/>
              <w:rPr>
                <w:rFonts w:ascii="宋体" w:hAnsi="宋体"/>
                <w:sz w:val="18"/>
                <w:szCs w:val="18"/>
              </w:rPr>
            </w:pPr>
          </w:p>
          <w:p>
            <w:pPr>
              <w:jc w:val="center"/>
              <w:rPr>
                <w:rFonts w:hint="eastAsia" w:ascii="宋体" w:hAnsi="宋体"/>
                <w:sz w:val="18"/>
                <w:szCs w:val="18"/>
              </w:rPr>
            </w:pPr>
          </w:p>
          <w:p>
            <w:pPr>
              <w:jc w:val="center"/>
              <w:rPr>
                <w:rFonts w:ascii="宋体" w:hAnsi="宋体"/>
                <w:sz w:val="18"/>
                <w:szCs w:val="18"/>
              </w:rPr>
            </w:pP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noWrap w:val="0"/>
            <w:vAlign w:val="center"/>
          </w:tcPr>
          <w:p>
            <w:pPr>
              <w:jc w:val="center"/>
              <w:rPr>
                <w:rFonts w:ascii="宋体" w:hAnsi="宋体"/>
                <w:sz w:val="18"/>
                <w:szCs w:val="18"/>
              </w:rPr>
            </w:pPr>
          </w:p>
          <w:p>
            <w:pPr>
              <w:jc w:val="center"/>
              <w:rPr>
                <w:rFonts w:hint="eastAsia" w:ascii="宋体" w:hAnsi="宋体"/>
                <w:sz w:val="18"/>
                <w:szCs w:val="18"/>
              </w:rPr>
            </w:pPr>
            <w:r>
              <w:rPr>
                <w:rFonts w:hint="eastAsia" w:ascii="宋体" w:hAnsi="宋体"/>
                <w:sz w:val="18"/>
                <w:szCs w:val="18"/>
              </w:rPr>
              <w:t>二、单</w:t>
            </w:r>
          </w:p>
          <w:p>
            <w:pPr>
              <w:jc w:val="center"/>
              <w:rPr>
                <w:rFonts w:hint="eastAsia"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职工</w:t>
            </w:r>
          </w:p>
          <w:p>
            <w:pPr>
              <w:jc w:val="center"/>
              <w:rPr>
                <w:rFonts w:hint="eastAsia"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noWrap w:val="0"/>
            <w:vAlign w:val="top"/>
          </w:tcPr>
          <w:p>
            <w:pPr>
              <w:rPr>
                <w:rFonts w:hint="eastAsia" w:ascii="宋体" w:hAnsi="宋体"/>
                <w:position w:val="-28"/>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position w:val="-28"/>
                <w:sz w:val="18"/>
                <w:szCs w:val="18"/>
              </w:rPr>
              <w:t>人</w:t>
            </w:r>
          </w:p>
          <w:p>
            <w:pPr>
              <w:rPr>
                <w:rFonts w:hint="eastAsia" w:ascii="宋体" w:hAnsi="宋体"/>
                <w:sz w:val="18"/>
                <w:szCs w:val="18"/>
              </w:rPr>
            </w:pPr>
          </w:p>
        </w:tc>
        <w:tc>
          <w:tcPr>
            <w:tcW w:w="2238" w:type="dxa"/>
            <w:gridSpan w:val="8"/>
            <w:vMerge w:val="restart"/>
            <w:tcBorders>
              <w:bottom w:val="single" w:color="auto" w:sz="4" w:space="0"/>
            </w:tcBorders>
            <w:noWrap w:val="0"/>
            <w:vAlign w:val="center"/>
          </w:tcPr>
          <w:p>
            <w:pPr>
              <w:rPr>
                <w:rFonts w:hint="eastAsia" w:ascii="宋体" w:hAnsi="宋体"/>
                <w:sz w:val="18"/>
                <w:szCs w:val="18"/>
              </w:rPr>
            </w:pPr>
            <w:r>
              <w:rPr>
                <w:rFonts w:hint="eastAsia" w:ascii="宋体" w:hAnsi="宋体"/>
                <w:sz w:val="18"/>
                <w:szCs w:val="18"/>
              </w:rPr>
              <w:t>生产工人      人</w:t>
            </w:r>
          </w:p>
          <w:p>
            <w:pPr>
              <w:rPr>
                <w:rFonts w:hint="eastAsia"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bottom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bottom w:val="single" w:color="auto" w:sz="4" w:space="0"/>
            </w:tcBorders>
            <w:noWrap w:val="0"/>
            <w:vAlign w:val="top"/>
          </w:tcPr>
          <w:p>
            <w:pPr>
              <w:rPr>
                <w:rFonts w:hint="eastAsia" w:ascii="宋体" w:hAnsi="宋体"/>
                <w:sz w:val="18"/>
                <w:szCs w:val="18"/>
              </w:rPr>
            </w:pPr>
          </w:p>
        </w:tc>
        <w:tc>
          <w:tcPr>
            <w:tcW w:w="2238" w:type="dxa"/>
            <w:gridSpan w:val="8"/>
            <w:vMerge w:val="continue"/>
            <w:tcBorders>
              <w:bottom w:val="single" w:color="auto" w:sz="4" w:space="0"/>
            </w:tcBorders>
            <w:noWrap w:val="0"/>
            <w:vAlign w:val="top"/>
          </w:tcPr>
          <w:p>
            <w:pPr>
              <w:rPr>
                <w:rFonts w:hint="eastAsia" w:ascii="宋体" w:hAnsi="宋体"/>
                <w:sz w:val="18"/>
                <w:szCs w:val="18"/>
              </w:rPr>
            </w:pPr>
          </w:p>
        </w:tc>
        <w:tc>
          <w:tcPr>
            <w:tcW w:w="639" w:type="dxa"/>
            <w:gridSpan w:val="2"/>
            <w:vMerge w:val="continue"/>
            <w:tcBorders>
              <w:bottom w:val="single" w:color="auto" w:sz="4" w:space="0"/>
            </w:tcBorders>
            <w:noWrap w:val="0"/>
            <w:vAlign w:val="top"/>
          </w:tcPr>
          <w:p>
            <w:pPr>
              <w:rPr>
                <w:rFonts w:ascii="宋体" w:hAnsi="宋体"/>
                <w:sz w:val="18"/>
                <w:szCs w:val="18"/>
              </w:rPr>
            </w:pPr>
          </w:p>
        </w:tc>
        <w:tc>
          <w:tcPr>
            <w:tcW w:w="999" w:type="dxa"/>
            <w:gridSpan w:val="4"/>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noWrap w:val="0"/>
            <w:vAlign w:val="center"/>
          </w:tcPr>
          <w:p>
            <w:pPr>
              <w:rPr>
                <w:rFonts w:hint="eastAsia"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流动</w:t>
            </w:r>
          </w:p>
          <w:p>
            <w:pPr>
              <w:jc w:val="center"/>
              <w:rPr>
                <w:rFonts w:hint="eastAsia"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noWrap w:val="0"/>
            <w:vAlign w:val="top"/>
          </w:tcPr>
          <w:p>
            <w:pPr>
              <w:rPr>
                <w:rFonts w:hint="eastAsia" w:ascii="宋体" w:hAnsi="宋体"/>
                <w:position w:val="-30"/>
                <w:sz w:val="18"/>
                <w:szCs w:val="18"/>
              </w:rPr>
            </w:pPr>
            <w:r>
              <w:rPr>
                <w:rFonts w:hint="eastAsia" w:ascii="宋体" w:hAnsi="宋体"/>
                <w:position w:val="-24"/>
                <w:sz w:val="18"/>
                <w:szCs w:val="18"/>
              </w:rPr>
              <w:t xml:space="preserve">            </w:t>
            </w:r>
            <w:r>
              <w:rPr>
                <w:rFonts w:ascii="宋体" w:hAnsi="宋体"/>
                <w:position w:val="-24"/>
                <w:sz w:val="18"/>
                <w:szCs w:val="18"/>
              </w:rPr>
              <w:t xml:space="preserve">          </w:t>
            </w:r>
            <w:r>
              <w:rPr>
                <w:rFonts w:hint="eastAsia" w:ascii="宋体" w:hAnsi="宋体"/>
                <w:position w:val="-24"/>
                <w:sz w:val="18"/>
                <w:szCs w:val="18"/>
              </w:rPr>
              <w:t xml:space="preserve"> </w:t>
            </w:r>
            <w:r>
              <w:rPr>
                <w:rFonts w:hint="eastAsia" w:ascii="宋体" w:hAnsi="宋体"/>
                <w:position w:val="-30"/>
                <w:sz w:val="18"/>
                <w:szCs w:val="18"/>
              </w:rPr>
              <w:t>万元</w:t>
            </w:r>
          </w:p>
        </w:tc>
        <w:tc>
          <w:tcPr>
            <w:tcW w:w="441" w:type="dxa"/>
            <w:gridSpan w:val="3"/>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资金</w:t>
            </w:r>
          </w:p>
          <w:p>
            <w:pPr>
              <w:jc w:val="center"/>
              <w:rPr>
                <w:rFonts w:hint="eastAsia" w:ascii="宋体" w:hAnsi="宋体"/>
                <w:sz w:val="18"/>
                <w:szCs w:val="18"/>
              </w:rPr>
            </w:pPr>
            <w:r>
              <w:rPr>
                <w:rFonts w:hint="eastAsia" w:ascii="宋体" w:hAnsi="宋体"/>
                <w:sz w:val="18"/>
                <w:szCs w:val="18"/>
              </w:rPr>
              <w:t>来源</w:t>
            </w: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自有</w:t>
            </w:r>
          </w:p>
          <w:p>
            <w:pPr>
              <w:jc w:val="center"/>
              <w:rPr>
                <w:rFonts w:hint="eastAsia" w:ascii="宋体" w:hAnsi="宋体"/>
                <w:sz w:val="18"/>
                <w:szCs w:val="18"/>
              </w:rPr>
            </w:pPr>
            <w:r>
              <w:rPr>
                <w:rFonts w:hint="eastAsia" w:ascii="宋体" w:hAnsi="宋体"/>
                <w:sz w:val="18"/>
                <w:szCs w:val="18"/>
              </w:rPr>
              <w:t>资金</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万元</w:t>
            </w:r>
          </w:p>
        </w:tc>
        <w:tc>
          <w:tcPr>
            <w:tcW w:w="639" w:type="dxa"/>
            <w:gridSpan w:val="2"/>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主要经</w:t>
            </w:r>
          </w:p>
          <w:p>
            <w:pPr>
              <w:jc w:val="center"/>
              <w:rPr>
                <w:rFonts w:hint="eastAsia" w:ascii="宋体" w:hAnsi="宋体"/>
                <w:sz w:val="18"/>
                <w:szCs w:val="18"/>
              </w:rPr>
            </w:pPr>
            <w:r>
              <w:rPr>
                <w:rFonts w:hint="eastAsia" w:ascii="宋体" w:hAnsi="宋体"/>
                <w:sz w:val="18"/>
                <w:szCs w:val="18"/>
              </w:rPr>
              <w:t>济指标</w:t>
            </w:r>
          </w:p>
        </w:tc>
        <w:tc>
          <w:tcPr>
            <w:tcW w:w="999" w:type="dxa"/>
            <w:gridSpan w:val="4"/>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万 元</w:t>
            </w:r>
          </w:p>
        </w:tc>
        <w:tc>
          <w:tcPr>
            <w:tcW w:w="2095" w:type="dxa"/>
            <w:gridSpan w:val="5"/>
            <w:tcBorders>
              <w:top w:val="single" w:color="auto" w:sz="4" w:space="0"/>
            </w:tcBorders>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top w:val="single" w:color="auto" w:sz="4" w:space="0"/>
              <w:bottom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top w:val="single" w:color="auto" w:sz="4" w:space="0"/>
              <w:bottom w:val="single" w:color="auto" w:sz="4" w:space="0"/>
            </w:tcBorders>
            <w:noWrap w:val="0"/>
            <w:vAlign w:val="top"/>
          </w:tcPr>
          <w:p>
            <w:pPr>
              <w:rPr>
                <w:rFonts w:hint="eastAsia" w:ascii="宋体" w:hAnsi="宋体"/>
                <w:sz w:val="18"/>
                <w:szCs w:val="18"/>
              </w:rPr>
            </w:pPr>
          </w:p>
        </w:tc>
        <w:tc>
          <w:tcPr>
            <w:tcW w:w="441" w:type="dxa"/>
            <w:gridSpan w:val="3"/>
            <w:vMerge w:val="continue"/>
            <w:tcBorders>
              <w:top w:val="single" w:color="auto" w:sz="4" w:space="0"/>
              <w:bottom w:val="single" w:color="auto" w:sz="4" w:space="0"/>
            </w:tcBorders>
            <w:noWrap w:val="0"/>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银行</w:t>
            </w:r>
          </w:p>
          <w:p>
            <w:pPr>
              <w:jc w:val="center"/>
              <w:rPr>
                <w:rFonts w:hint="eastAsia"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noWrap w:val="0"/>
            <w:vAlign w:val="top"/>
          </w:tcPr>
          <w:p>
            <w:pPr>
              <w:rPr>
                <w:rFonts w:ascii="宋体" w:hAnsi="宋体"/>
                <w:sz w:val="18"/>
                <w:szCs w:val="18"/>
              </w:rPr>
            </w:pPr>
          </w:p>
        </w:tc>
        <w:tc>
          <w:tcPr>
            <w:tcW w:w="613" w:type="dxa"/>
            <w:gridSpan w:val="2"/>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 要</w:t>
            </w:r>
          </w:p>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noWrap w:val="0"/>
            <w:vAlign w:val="center"/>
          </w:tcPr>
          <w:p>
            <w:pPr>
              <w:rPr>
                <w:rFonts w:hint="eastAsia"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固定</w:t>
            </w:r>
          </w:p>
          <w:p>
            <w:pPr>
              <w:jc w:val="center"/>
              <w:rPr>
                <w:rFonts w:hint="eastAsia"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 xml:space="preserve">原值   </w:t>
            </w:r>
            <w:r>
              <w:rPr>
                <w:rFonts w:ascii="宋体" w:hAnsi="宋体"/>
                <w:sz w:val="18"/>
                <w:szCs w:val="18"/>
              </w:rPr>
              <w:t xml:space="preserve">   </w:t>
            </w:r>
            <w:r>
              <w:rPr>
                <w:rFonts w:hint="eastAsia" w:ascii="宋体" w:hAnsi="宋体"/>
                <w:sz w:val="18"/>
                <w:szCs w:val="18"/>
              </w:rPr>
              <w:t>万元</w:t>
            </w:r>
          </w:p>
          <w:p>
            <w:pPr>
              <w:rPr>
                <w:rFonts w:hint="eastAsia" w:ascii="宋体" w:hAnsi="宋体"/>
                <w:sz w:val="18"/>
                <w:szCs w:val="18"/>
              </w:rPr>
            </w:pPr>
            <w:r>
              <w:rPr>
                <w:rFonts w:hint="eastAsia" w:ascii="宋体" w:hAnsi="宋体"/>
                <w:sz w:val="18"/>
                <w:szCs w:val="18"/>
              </w:rPr>
              <w:t xml:space="preserve">净值  </w:t>
            </w:r>
            <w:r>
              <w:rPr>
                <w:rFonts w:ascii="宋体" w:hAnsi="宋体"/>
                <w:sz w:val="18"/>
                <w:szCs w:val="18"/>
              </w:rPr>
              <w:t xml:space="preserve">   </w:t>
            </w:r>
            <w:r>
              <w:rPr>
                <w:rFonts w:hint="eastAsia" w:ascii="宋体" w:hAnsi="宋体"/>
                <w:sz w:val="18"/>
                <w:szCs w:val="18"/>
              </w:rPr>
              <w:t xml:space="preserve"> 万元</w:t>
            </w:r>
          </w:p>
        </w:tc>
        <w:tc>
          <w:tcPr>
            <w:tcW w:w="441" w:type="dxa"/>
            <w:gridSpan w:val="3"/>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资金</w:t>
            </w:r>
          </w:p>
          <w:p>
            <w:pPr>
              <w:jc w:val="center"/>
              <w:rPr>
                <w:rFonts w:hint="eastAsia" w:ascii="宋体" w:hAnsi="宋体"/>
                <w:sz w:val="18"/>
                <w:szCs w:val="18"/>
              </w:rPr>
            </w:pPr>
            <w:r>
              <w:rPr>
                <w:rFonts w:hint="eastAsia" w:ascii="宋体" w:hAnsi="宋体"/>
                <w:sz w:val="18"/>
                <w:szCs w:val="18"/>
              </w:rPr>
              <w:t>性质</w:t>
            </w: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noWrap w:val="0"/>
            <w:vAlign w:val="top"/>
          </w:tcPr>
          <w:p>
            <w:pPr>
              <w:rPr>
                <w:rFonts w:hint="eastAsia" w:ascii="宋体" w:hAnsi="宋体"/>
                <w:sz w:val="18"/>
                <w:szCs w:val="18"/>
              </w:rPr>
            </w:pPr>
          </w:p>
        </w:tc>
        <w:tc>
          <w:tcPr>
            <w:tcW w:w="613" w:type="dxa"/>
            <w:gridSpan w:val="2"/>
            <w:vMerge w:val="continue"/>
            <w:noWrap w:val="0"/>
            <w:vAlign w:val="center"/>
          </w:tcPr>
          <w:p>
            <w:pPr>
              <w:jc w:val="center"/>
              <w:rPr>
                <w:rFonts w:hint="eastAsia"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top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top w:val="single" w:color="auto" w:sz="4" w:space="0"/>
            </w:tcBorders>
            <w:noWrap w:val="0"/>
            <w:vAlign w:val="top"/>
          </w:tcPr>
          <w:p>
            <w:pPr>
              <w:rPr>
                <w:rFonts w:hint="eastAsia" w:ascii="宋体" w:hAnsi="宋体"/>
                <w:sz w:val="18"/>
                <w:szCs w:val="18"/>
              </w:rPr>
            </w:pPr>
          </w:p>
        </w:tc>
        <w:tc>
          <w:tcPr>
            <w:tcW w:w="441" w:type="dxa"/>
            <w:gridSpan w:val="3"/>
            <w:vMerge w:val="continue"/>
            <w:tcBorders>
              <w:top w:val="single" w:color="auto" w:sz="4" w:space="0"/>
            </w:tcBorders>
            <w:noWrap w:val="0"/>
            <w:vAlign w:val="top"/>
          </w:tcPr>
          <w:p>
            <w:pPr>
              <w:rPr>
                <w:rFonts w:ascii="宋体" w:hAnsi="宋体"/>
                <w:sz w:val="18"/>
                <w:szCs w:val="18"/>
              </w:rPr>
            </w:pP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非生</w:t>
            </w:r>
          </w:p>
          <w:p>
            <w:pPr>
              <w:jc w:val="center"/>
              <w:rPr>
                <w:rFonts w:hint="eastAsia" w:ascii="宋体" w:hAnsi="宋体"/>
                <w:sz w:val="18"/>
                <w:szCs w:val="18"/>
              </w:rPr>
            </w:pPr>
            <w:r>
              <w:rPr>
                <w:rFonts w:hint="eastAsia" w:ascii="宋体" w:hAnsi="宋体"/>
                <w:sz w:val="18"/>
                <w:szCs w:val="18"/>
              </w:rPr>
              <w:t>产性</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万元</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占地</w:t>
            </w:r>
          </w:p>
          <w:p>
            <w:pPr>
              <w:jc w:val="center"/>
              <w:rPr>
                <w:rFonts w:hint="eastAsia"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平方米</w:t>
            </w:r>
          </w:p>
          <w:p>
            <w:pPr>
              <w:jc w:val="right"/>
              <w:rPr>
                <w:rFonts w:hint="eastAsia" w:ascii="宋体" w:hAnsi="宋体"/>
                <w:sz w:val="18"/>
                <w:szCs w:val="18"/>
              </w:rPr>
            </w:pPr>
          </w:p>
        </w:tc>
        <w:tc>
          <w:tcPr>
            <w:tcW w:w="2238" w:type="dxa"/>
            <w:gridSpan w:val="8"/>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jc w:val="center"/>
              <w:rPr>
                <w:rFonts w:hint="eastAsia" w:ascii="宋体" w:hAnsi="宋体"/>
                <w:sz w:val="18"/>
                <w:szCs w:val="18"/>
              </w:rPr>
            </w:pPr>
          </w:p>
        </w:tc>
        <w:tc>
          <w:tcPr>
            <w:tcW w:w="500" w:type="dxa"/>
            <w:vMerge w:val="continue"/>
            <w:tcBorders>
              <w:top w:val="single" w:color="auto" w:sz="4" w:space="0"/>
            </w:tcBorders>
            <w:noWrap w:val="0"/>
            <w:vAlign w:val="top"/>
          </w:tcPr>
          <w:p>
            <w:pPr>
              <w:rPr>
                <w:rFonts w:hint="eastAsia" w:ascii="宋体" w:hAnsi="宋体"/>
                <w:sz w:val="18"/>
                <w:szCs w:val="18"/>
              </w:rPr>
            </w:pPr>
          </w:p>
        </w:tc>
        <w:tc>
          <w:tcPr>
            <w:tcW w:w="1303" w:type="dxa"/>
            <w:gridSpan w:val="4"/>
            <w:vMerge w:val="continue"/>
            <w:tcBorders>
              <w:top w:val="single" w:color="auto" w:sz="4" w:space="0"/>
            </w:tcBorders>
            <w:noWrap w:val="0"/>
            <w:vAlign w:val="top"/>
          </w:tcPr>
          <w:p>
            <w:pPr>
              <w:rPr>
                <w:rFonts w:hint="eastAsia" w:ascii="宋体" w:hAnsi="宋体"/>
                <w:sz w:val="18"/>
                <w:szCs w:val="18"/>
              </w:rPr>
            </w:pPr>
          </w:p>
        </w:tc>
        <w:tc>
          <w:tcPr>
            <w:tcW w:w="2238" w:type="dxa"/>
            <w:gridSpan w:val="8"/>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noWrap w:val="0"/>
            <w:vAlign w:val="center"/>
          </w:tcPr>
          <w:p>
            <w:pPr>
              <w:jc w:val="center"/>
              <w:rPr>
                <w:rFonts w:hint="eastAsia" w:ascii="宋体" w:hAnsi="宋体"/>
                <w:sz w:val="18"/>
                <w:szCs w:val="18"/>
              </w:rPr>
            </w:pPr>
            <w:r>
              <w:rPr>
                <w:rFonts w:hint="eastAsia" w:ascii="宋体" w:hAnsi="宋体"/>
                <w:sz w:val="18"/>
                <w:szCs w:val="18"/>
              </w:rPr>
              <w:t>三、主</w:t>
            </w:r>
          </w:p>
          <w:p>
            <w:pPr>
              <w:jc w:val="center"/>
              <w:rPr>
                <w:rFonts w:hint="eastAsia" w:ascii="宋体" w:hAnsi="宋体"/>
                <w:sz w:val="18"/>
                <w:szCs w:val="18"/>
              </w:rPr>
            </w:pPr>
            <w:r>
              <w:rPr>
                <w:rFonts w:hint="eastAsia" w:ascii="宋体" w:hAnsi="宋体"/>
                <w:sz w:val="18"/>
                <w:szCs w:val="18"/>
              </w:rPr>
              <w:t>要产品</w:t>
            </w:r>
          </w:p>
          <w:p>
            <w:pPr>
              <w:rPr>
                <w:rFonts w:hint="eastAsia" w:ascii="宋体" w:hAnsi="宋体"/>
                <w:sz w:val="18"/>
                <w:szCs w:val="18"/>
              </w:rPr>
            </w:pPr>
            <w:r>
              <w:rPr>
                <w:rFonts w:ascii="宋体" w:hAnsi="宋体"/>
                <w:sz w:val="18"/>
                <w:szCs w:val="18"/>
              </w:rPr>
              <w:t xml:space="preserve"> </w:t>
            </w:r>
            <w:r>
              <w:rPr>
                <w:rFonts w:hint="eastAsia" w:ascii="宋体" w:hAnsi="宋体"/>
                <w:sz w:val="18"/>
                <w:szCs w:val="18"/>
              </w:rPr>
              <w:t>情况</w:t>
            </w:r>
          </w:p>
        </w:tc>
        <w:tc>
          <w:tcPr>
            <w:tcW w:w="1152" w:type="dxa"/>
            <w:gridSpan w:val="2"/>
            <w:noWrap w:val="0"/>
            <w:vAlign w:val="center"/>
          </w:tcPr>
          <w:p>
            <w:pPr>
              <w:jc w:val="center"/>
              <w:rPr>
                <w:rFonts w:hint="eastAsia" w:ascii="宋体" w:hAnsi="宋体"/>
                <w:sz w:val="18"/>
                <w:szCs w:val="18"/>
              </w:rPr>
            </w:pPr>
            <w:r>
              <w:rPr>
                <w:rFonts w:hint="eastAsia" w:ascii="宋体" w:hAnsi="宋体"/>
                <w:sz w:val="18"/>
                <w:szCs w:val="18"/>
              </w:rPr>
              <w:t>产品名称</w:t>
            </w:r>
          </w:p>
        </w:tc>
        <w:tc>
          <w:tcPr>
            <w:tcW w:w="351" w:type="dxa"/>
            <w:gridSpan w:val="2"/>
            <w:noWrap w:val="0"/>
            <w:vAlign w:val="center"/>
          </w:tcPr>
          <w:p>
            <w:pPr>
              <w:jc w:val="center"/>
              <w:rPr>
                <w:rFonts w:hint="eastAsia" w:ascii="宋体" w:hAnsi="宋体"/>
                <w:sz w:val="18"/>
                <w:szCs w:val="18"/>
              </w:rPr>
            </w:pPr>
            <w:r>
              <w:rPr>
                <w:rFonts w:hint="eastAsia" w:ascii="宋体" w:hAnsi="宋体"/>
                <w:sz w:val="18"/>
                <w:szCs w:val="18"/>
              </w:rPr>
              <w:t>型 号</w:t>
            </w:r>
          </w:p>
        </w:tc>
        <w:tc>
          <w:tcPr>
            <w:tcW w:w="678" w:type="dxa"/>
            <w:gridSpan w:val="3"/>
            <w:noWrap w:val="0"/>
            <w:vAlign w:val="center"/>
          </w:tcPr>
          <w:p>
            <w:pPr>
              <w:jc w:val="center"/>
              <w:rPr>
                <w:rFonts w:hint="eastAsia" w:ascii="宋体" w:hAnsi="宋体"/>
                <w:sz w:val="18"/>
                <w:szCs w:val="18"/>
              </w:rPr>
            </w:pPr>
            <w:r>
              <w:rPr>
                <w:rFonts w:hint="eastAsia" w:ascii="宋体" w:hAnsi="宋体"/>
                <w:sz w:val="18"/>
                <w:szCs w:val="18"/>
              </w:rPr>
              <w:t>上年</w:t>
            </w:r>
          </w:p>
          <w:p>
            <w:pPr>
              <w:jc w:val="center"/>
              <w:rPr>
                <w:rFonts w:hint="eastAsia" w:ascii="宋体" w:hAnsi="宋体"/>
                <w:sz w:val="18"/>
                <w:szCs w:val="18"/>
              </w:rPr>
            </w:pPr>
            <w:r>
              <w:rPr>
                <w:rFonts w:hint="eastAsia" w:ascii="宋体" w:hAnsi="宋体"/>
                <w:sz w:val="18"/>
                <w:szCs w:val="18"/>
              </w:rPr>
              <w:t>产量</w:t>
            </w:r>
          </w:p>
        </w:tc>
        <w:tc>
          <w:tcPr>
            <w:tcW w:w="570" w:type="dxa"/>
            <w:gridSpan w:val="3"/>
            <w:noWrap w:val="0"/>
            <w:vAlign w:val="center"/>
          </w:tcPr>
          <w:p>
            <w:pPr>
              <w:jc w:val="center"/>
              <w:rPr>
                <w:rFonts w:hint="eastAsia" w:ascii="宋体" w:hAnsi="宋体"/>
                <w:sz w:val="18"/>
                <w:szCs w:val="18"/>
              </w:rPr>
            </w:pPr>
            <w:r>
              <w:rPr>
                <w:rFonts w:hint="eastAsia" w:ascii="宋体" w:hAnsi="宋体"/>
                <w:sz w:val="18"/>
                <w:szCs w:val="18"/>
              </w:rPr>
              <w:t>上年</w:t>
            </w:r>
          </w:p>
          <w:p>
            <w:pPr>
              <w:jc w:val="center"/>
              <w:rPr>
                <w:rFonts w:hint="eastAsia" w:ascii="宋体" w:hAnsi="宋体"/>
                <w:sz w:val="18"/>
                <w:szCs w:val="18"/>
              </w:rPr>
            </w:pPr>
            <w:r>
              <w:rPr>
                <w:rFonts w:hint="eastAsia" w:ascii="宋体" w:hAnsi="宋体"/>
                <w:sz w:val="18"/>
                <w:szCs w:val="18"/>
              </w:rPr>
              <w:t>产值</w:t>
            </w:r>
          </w:p>
        </w:tc>
        <w:tc>
          <w:tcPr>
            <w:tcW w:w="1770" w:type="dxa"/>
            <w:gridSpan w:val="4"/>
            <w:noWrap w:val="0"/>
            <w:vAlign w:val="center"/>
          </w:tcPr>
          <w:p>
            <w:pPr>
              <w:jc w:val="center"/>
              <w:rPr>
                <w:rFonts w:hint="eastAsia" w:ascii="宋体" w:hAnsi="宋体"/>
                <w:sz w:val="18"/>
                <w:szCs w:val="18"/>
              </w:rPr>
            </w:pPr>
            <w:r>
              <w:rPr>
                <w:rFonts w:hint="eastAsia" w:ascii="宋体" w:hAnsi="宋体"/>
                <w:sz w:val="18"/>
                <w:szCs w:val="18"/>
              </w:rPr>
              <w:t>产品技术先进水平</w:t>
            </w:r>
          </w:p>
        </w:tc>
        <w:tc>
          <w:tcPr>
            <w:tcW w:w="609" w:type="dxa"/>
            <w:gridSpan w:val="2"/>
            <w:noWrap w:val="0"/>
            <w:vAlign w:val="center"/>
          </w:tcPr>
          <w:p>
            <w:pPr>
              <w:jc w:val="center"/>
              <w:rPr>
                <w:rFonts w:hint="eastAsia" w:ascii="宋体" w:hAnsi="宋体"/>
                <w:sz w:val="18"/>
                <w:szCs w:val="18"/>
              </w:rPr>
            </w:pPr>
            <w:r>
              <w:rPr>
                <w:rFonts w:hint="eastAsia" w:ascii="宋体" w:hAnsi="宋体"/>
                <w:sz w:val="18"/>
                <w:szCs w:val="18"/>
              </w:rPr>
              <w:t>优质</w:t>
            </w:r>
          </w:p>
          <w:p>
            <w:pPr>
              <w:jc w:val="center"/>
              <w:rPr>
                <w:rFonts w:hint="eastAsia" w:ascii="宋体" w:hAnsi="宋体"/>
                <w:sz w:val="18"/>
                <w:szCs w:val="18"/>
              </w:rPr>
            </w:pPr>
            <w:r>
              <w:rPr>
                <w:rFonts w:hint="eastAsia" w:ascii="宋体" w:hAnsi="宋体"/>
                <w:sz w:val="18"/>
                <w:szCs w:val="18"/>
              </w:rPr>
              <w:t>品率</w:t>
            </w:r>
          </w:p>
        </w:tc>
        <w:tc>
          <w:tcPr>
            <w:tcW w:w="789" w:type="dxa"/>
            <w:gridSpan w:val="4"/>
            <w:noWrap w:val="0"/>
            <w:vAlign w:val="center"/>
          </w:tcPr>
          <w:p>
            <w:pPr>
              <w:jc w:val="center"/>
              <w:rPr>
                <w:rFonts w:hint="eastAsia" w:ascii="宋体" w:hAnsi="宋体"/>
                <w:sz w:val="18"/>
                <w:szCs w:val="18"/>
              </w:rPr>
            </w:pPr>
            <w:r>
              <w:rPr>
                <w:rFonts w:hint="eastAsia" w:ascii="宋体" w:hAnsi="宋体"/>
                <w:sz w:val="18"/>
                <w:szCs w:val="18"/>
              </w:rPr>
              <w:t>一等品率</w:t>
            </w:r>
          </w:p>
        </w:tc>
        <w:tc>
          <w:tcPr>
            <w:tcW w:w="1803" w:type="dxa"/>
            <w:gridSpan w:val="4"/>
            <w:noWrap w:val="0"/>
            <w:vAlign w:val="center"/>
          </w:tcPr>
          <w:p>
            <w:pPr>
              <w:jc w:val="center"/>
              <w:rPr>
                <w:rFonts w:hint="eastAsia" w:ascii="宋体" w:hAnsi="宋体"/>
                <w:sz w:val="18"/>
                <w:szCs w:val="18"/>
              </w:rPr>
            </w:pPr>
            <w:r>
              <w:rPr>
                <w:rFonts w:hint="eastAsia" w:ascii="宋体" w:hAnsi="宋体"/>
                <w:sz w:val="18"/>
                <w:szCs w:val="18"/>
              </w:rPr>
              <w:t>曾获何级何种奖励</w:t>
            </w:r>
          </w:p>
        </w:tc>
        <w:tc>
          <w:tcPr>
            <w:tcW w:w="1080" w:type="dxa"/>
            <w:gridSpan w:val="2"/>
            <w:noWrap w:val="0"/>
            <w:vAlign w:val="center"/>
          </w:tcPr>
          <w:p>
            <w:pPr>
              <w:jc w:val="center"/>
              <w:rPr>
                <w:rFonts w:hint="eastAsia" w:ascii="宋体" w:hAnsi="宋体"/>
                <w:sz w:val="18"/>
                <w:szCs w:val="18"/>
              </w:rPr>
            </w:pPr>
            <w:r>
              <w:rPr>
                <w:rFonts w:hint="eastAsia" w:ascii="宋体" w:hAnsi="宋体"/>
                <w:sz w:val="18"/>
                <w:szCs w:val="18"/>
              </w:rPr>
              <w:t>主要用户</w:t>
            </w:r>
          </w:p>
          <w:p>
            <w:pPr>
              <w:jc w:val="center"/>
              <w:rPr>
                <w:rFonts w:hint="eastAsia"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ascii="宋体" w:hAnsi="宋体"/>
                <w:sz w:val="18"/>
                <w:szCs w:val="18"/>
              </w:rPr>
            </w:pPr>
          </w:p>
        </w:tc>
        <w:tc>
          <w:tcPr>
            <w:tcW w:w="351" w:type="dxa"/>
            <w:gridSpan w:val="2"/>
            <w:noWrap w:val="0"/>
            <w:vAlign w:val="top"/>
          </w:tcPr>
          <w:p>
            <w:pPr>
              <w:jc w:val="center"/>
              <w:rPr>
                <w:rFonts w:ascii="宋体" w:hAnsi="宋体"/>
                <w:sz w:val="18"/>
                <w:szCs w:val="18"/>
              </w:rPr>
            </w:pPr>
          </w:p>
        </w:tc>
        <w:tc>
          <w:tcPr>
            <w:tcW w:w="678" w:type="dxa"/>
            <w:gridSpan w:val="3"/>
            <w:noWrap w:val="0"/>
            <w:vAlign w:val="top"/>
          </w:tcPr>
          <w:p>
            <w:pPr>
              <w:rPr>
                <w:rFonts w:ascii="宋体" w:hAnsi="宋体"/>
                <w:sz w:val="18"/>
                <w:szCs w:val="18"/>
              </w:rPr>
            </w:pPr>
          </w:p>
        </w:tc>
        <w:tc>
          <w:tcPr>
            <w:tcW w:w="570" w:type="dxa"/>
            <w:gridSpan w:val="3"/>
            <w:noWrap w:val="0"/>
            <w:vAlign w:val="top"/>
          </w:tcPr>
          <w:p>
            <w:pPr>
              <w:rPr>
                <w:rFonts w:ascii="宋体" w:hAnsi="宋体"/>
                <w:sz w:val="18"/>
                <w:szCs w:val="18"/>
              </w:rPr>
            </w:pPr>
          </w:p>
        </w:tc>
        <w:tc>
          <w:tcPr>
            <w:tcW w:w="1770" w:type="dxa"/>
            <w:gridSpan w:val="4"/>
            <w:noWrap w:val="0"/>
            <w:vAlign w:val="top"/>
          </w:tcPr>
          <w:p>
            <w:pPr>
              <w:rPr>
                <w:rFonts w:ascii="宋体" w:hAnsi="宋体"/>
                <w:sz w:val="18"/>
                <w:szCs w:val="18"/>
              </w:rPr>
            </w:pPr>
          </w:p>
        </w:tc>
        <w:tc>
          <w:tcPr>
            <w:tcW w:w="609" w:type="dxa"/>
            <w:gridSpan w:val="2"/>
            <w:noWrap w:val="0"/>
            <w:vAlign w:val="top"/>
          </w:tcPr>
          <w:p>
            <w:pPr>
              <w:rPr>
                <w:rFonts w:ascii="宋体" w:hAnsi="宋体"/>
                <w:sz w:val="18"/>
                <w:szCs w:val="18"/>
              </w:rPr>
            </w:pPr>
          </w:p>
        </w:tc>
        <w:tc>
          <w:tcPr>
            <w:tcW w:w="789" w:type="dxa"/>
            <w:gridSpan w:val="4"/>
            <w:noWrap w:val="0"/>
            <w:vAlign w:val="top"/>
          </w:tcPr>
          <w:p>
            <w:pPr>
              <w:rPr>
                <w:rFonts w:ascii="宋体" w:hAnsi="宋体"/>
                <w:sz w:val="18"/>
                <w:szCs w:val="18"/>
              </w:rPr>
            </w:pPr>
          </w:p>
        </w:tc>
        <w:tc>
          <w:tcPr>
            <w:tcW w:w="1803" w:type="dxa"/>
            <w:gridSpan w:val="4"/>
            <w:noWrap w:val="0"/>
            <w:vAlign w:val="top"/>
          </w:tcPr>
          <w:p>
            <w:pPr>
              <w:rPr>
                <w:rFonts w:ascii="宋体" w:hAnsi="宋体"/>
                <w:sz w:val="18"/>
                <w:szCs w:val="18"/>
              </w:rPr>
            </w:pPr>
          </w:p>
        </w:tc>
        <w:tc>
          <w:tcPr>
            <w:tcW w:w="1080" w:type="dxa"/>
            <w:gridSpan w:val="2"/>
            <w:noWrap w:val="0"/>
            <w:vAlign w:val="top"/>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hint="eastAsia" w:ascii="宋体" w:hAnsi="宋体"/>
                <w:sz w:val="18"/>
                <w:szCs w:val="18"/>
              </w:rPr>
            </w:pPr>
          </w:p>
        </w:tc>
        <w:tc>
          <w:tcPr>
            <w:tcW w:w="351" w:type="dxa"/>
            <w:gridSpan w:val="2"/>
            <w:noWrap w:val="0"/>
            <w:vAlign w:val="top"/>
          </w:tcPr>
          <w:p>
            <w:pPr>
              <w:jc w:val="center"/>
              <w:rPr>
                <w:rFonts w:hint="eastAsia" w:ascii="宋体" w:hAnsi="宋体"/>
                <w:sz w:val="18"/>
                <w:szCs w:val="18"/>
              </w:rPr>
            </w:pPr>
          </w:p>
        </w:tc>
        <w:tc>
          <w:tcPr>
            <w:tcW w:w="678" w:type="dxa"/>
            <w:gridSpan w:val="3"/>
            <w:noWrap w:val="0"/>
            <w:vAlign w:val="top"/>
          </w:tcPr>
          <w:p>
            <w:pPr>
              <w:rPr>
                <w:rFonts w:hint="eastAsia" w:ascii="宋体" w:hAnsi="宋体"/>
                <w:sz w:val="18"/>
                <w:szCs w:val="18"/>
              </w:rPr>
            </w:pPr>
          </w:p>
        </w:tc>
        <w:tc>
          <w:tcPr>
            <w:tcW w:w="570" w:type="dxa"/>
            <w:gridSpan w:val="3"/>
            <w:noWrap w:val="0"/>
            <w:vAlign w:val="top"/>
          </w:tcPr>
          <w:p>
            <w:pPr>
              <w:rPr>
                <w:rFonts w:hint="eastAsia" w:ascii="宋体" w:hAnsi="宋体"/>
                <w:sz w:val="18"/>
                <w:szCs w:val="18"/>
              </w:rPr>
            </w:pPr>
          </w:p>
        </w:tc>
        <w:tc>
          <w:tcPr>
            <w:tcW w:w="1770" w:type="dxa"/>
            <w:gridSpan w:val="4"/>
            <w:noWrap w:val="0"/>
            <w:vAlign w:val="top"/>
          </w:tcPr>
          <w:p>
            <w:pPr>
              <w:rPr>
                <w:rFonts w:hint="eastAsia" w:ascii="宋体" w:hAnsi="宋体"/>
                <w:sz w:val="18"/>
                <w:szCs w:val="18"/>
              </w:rPr>
            </w:pPr>
          </w:p>
        </w:tc>
        <w:tc>
          <w:tcPr>
            <w:tcW w:w="609" w:type="dxa"/>
            <w:gridSpan w:val="2"/>
            <w:noWrap w:val="0"/>
            <w:vAlign w:val="top"/>
          </w:tcPr>
          <w:p>
            <w:pPr>
              <w:rPr>
                <w:rFonts w:hint="eastAsia" w:ascii="宋体" w:hAnsi="宋体"/>
                <w:sz w:val="18"/>
                <w:szCs w:val="18"/>
              </w:rPr>
            </w:pPr>
          </w:p>
        </w:tc>
        <w:tc>
          <w:tcPr>
            <w:tcW w:w="789" w:type="dxa"/>
            <w:gridSpan w:val="4"/>
            <w:noWrap w:val="0"/>
            <w:vAlign w:val="top"/>
          </w:tcPr>
          <w:p>
            <w:pPr>
              <w:rPr>
                <w:rFonts w:hint="eastAsia" w:ascii="宋体" w:hAnsi="宋体"/>
                <w:sz w:val="18"/>
                <w:szCs w:val="18"/>
              </w:rPr>
            </w:pPr>
          </w:p>
        </w:tc>
        <w:tc>
          <w:tcPr>
            <w:tcW w:w="1803" w:type="dxa"/>
            <w:gridSpan w:val="4"/>
            <w:noWrap w:val="0"/>
            <w:vAlign w:val="top"/>
          </w:tcPr>
          <w:p>
            <w:pPr>
              <w:rPr>
                <w:rFonts w:hint="eastAsia" w:ascii="宋体" w:hAnsi="宋体"/>
                <w:sz w:val="18"/>
                <w:szCs w:val="18"/>
              </w:rPr>
            </w:pPr>
          </w:p>
        </w:tc>
        <w:tc>
          <w:tcPr>
            <w:tcW w:w="1080" w:type="dxa"/>
            <w:gridSpan w:val="2"/>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hint="eastAsia" w:ascii="宋体" w:hAnsi="宋体"/>
                <w:sz w:val="18"/>
                <w:szCs w:val="18"/>
              </w:rPr>
            </w:pPr>
          </w:p>
        </w:tc>
        <w:tc>
          <w:tcPr>
            <w:tcW w:w="351" w:type="dxa"/>
            <w:gridSpan w:val="2"/>
            <w:noWrap w:val="0"/>
            <w:vAlign w:val="top"/>
          </w:tcPr>
          <w:p>
            <w:pPr>
              <w:jc w:val="center"/>
              <w:rPr>
                <w:rFonts w:hint="eastAsia" w:ascii="宋体" w:hAnsi="宋体"/>
                <w:sz w:val="18"/>
                <w:szCs w:val="18"/>
              </w:rPr>
            </w:pPr>
          </w:p>
        </w:tc>
        <w:tc>
          <w:tcPr>
            <w:tcW w:w="678" w:type="dxa"/>
            <w:gridSpan w:val="3"/>
            <w:noWrap w:val="0"/>
            <w:vAlign w:val="top"/>
          </w:tcPr>
          <w:p>
            <w:pPr>
              <w:rPr>
                <w:rFonts w:hint="eastAsia" w:ascii="宋体" w:hAnsi="宋体"/>
                <w:sz w:val="18"/>
                <w:szCs w:val="18"/>
              </w:rPr>
            </w:pPr>
          </w:p>
        </w:tc>
        <w:tc>
          <w:tcPr>
            <w:tcW w:w="570" w:type="dxa"/>
            <w:gridSpan w:val="3"/>
            <w:noWrap w:val="0"/>
            <w:vAlign w:val="top"/>
          </w:tcPr>
          <w:p>
            <w:pPr>
              <w:rPr>
                <w:rFonts w:hint="eastAsia" w:ascii="宋体" w:hAnsi="宋体"/>
                <w:sz w:val="18"/>
                <w:szCs w:val="18"/>
              </w:rPr>
            </w:pPr>
          </w:p>
        </w:tc>
        <w:tc>
          <w:tcPr>
            <w:tcW w:w="1770" w:type="dxa"/>
            <w:gridSpan w:val="4"/>
            <w:noWrap w:val="0"/>
            <w:vAlign w:val="top"/>
          </w:tcPr>
          <w:p>
            <w:pPr>
              <w:rPr>
                <w:rFonts w:hint="eastAsia" w:ascii="宋体" w:hAnsi="宋体"/>
                <w:sz w:val="18"/>
                <w:szCs w:val="18"/>
              </w:rPr>
            </w:pPr>
          </w:p>
        </w:tc>
        <w:tc>
          <w:tcPr>
            <w:tcW w:w="609" w:type="dxa"/>
            <w:gridSpan w:val="2"/>
            <w:noWrap w:val="0"/>
            <w:vAlign w:val="top"/>
          </w:tcPr>
          <w:p>
            <w:pPr>
              <w:rPr>
                <w:rFonts w:hint="eastAsia" w:ascii="宋体" w:hAnsi="宋体"/>
                <w:sz w:val="18"/>
                <w:szCs w:val="18"/>
              </w:rPr>
            </w:pPr>
          </w:p>
        </w:tc>
        <w:tc>
          <w:tcPr>
            <w:tcW w:w="789" w:type="dxa"/>
            <w:gridSpan w:val="4"/>
            <w:noWrap w:val="0"/>
            <w:vAlign w:val="top"/>
          </w:tcPr>
          <w:p>
            <w:pPr>
              <w:rPr>
                <w:rFonts w:hint="eastAsia" w:ascii="宋体" w:hAnsi="宋体"/>
                <w:sz w:val="18"/>
                <w:szCs w:val="18"/>
              </w:rPr>
            </w:pPr>
          </w:p>
        </w:tc>
        <w:tc>
          <w:tcPr>
            <w:tcW w:w="1803" w:type="dxa"/>
            <w:gridSpan w:val="4"/>
            <w:noWrap w:val="0"/>
            <w:vAlign w:val="top"/>
          </w:tcPr>
          <w:p>
            <w:pPr>
              <w:rPr>
                <w:rFonts w:hint="eastAsia" w:ascii="宋体" w:hAnsi="宋体"/>
                <w:sz w:val="18"/>
                <w:szCs w:val="18"/>
              </w:rPr>
            </w:pPr>
          </w:p>
        </w:tc>
        <w:tc>
          <w:tcPr>
            <w:tcW w:w="1080" w:type="dxa"/>
            <w:gridSpan w:val="2"/>
            <w:noWrap w:val="0"/>
            <w:vAlign w:val="top"/>
          </w:tcPr>
          <w:p>
            <w:pPr>
              <w:rPr>
                <w:rFonts w:hint="eastAsia" w:ascii="宋体" w:hAnsi="宋体"/>
                <w:sz w:val="18"/>
                <w:szCs w:val="18"/>
              </w:rPr>
            </w:pPr>
          </w:p>
        </w:tc>
      </w:tr>
    </w:tbl>
    <w:p>
      <w:pPr>
        <w:rPr>
          <w:rFonts w:hint="eastAsia" w:ascii="宋体" w:hAnsi="宋体"/>
        </w:rPr>
      </w:pPr>
    </w:p>
    <w:p>
      <w:pPr>
        <w:rPr>
          <w:rFonts w:hint="eastAsia" w:ascii="宋体" w:hAnsi="宋体"/>
        </w:rPr>
      </w:pPr>
    </w:p>
    <w:p>
      <w:pPr>
        <w:spacing w:line="660" w:lineRule="exact"/>
        <w:rPr>
          <w:rFonts w:hint="eastAsia" w:ascii="宋体" w:hAnsi="宋体"/>
          <w:sz w:val="24"/>
        </w:rPr>
      </w:pPr>
      <w:r>
        <w:rPr>
          <w:rFonts w:hint="eastAsia" w:ascii="宋体" w:hAnsi="宋体"/>
          <w:sz w:val="24"/>
        </w:rPr>
        <w:t>投标人：（盖章）</w:t>
      </w:r>
    </w:p>
    <w:p>
      <w:pPr>
        <w:spacing w:line="660" w:lineRule="exact"/>
        <w:rPr>
          <w:rFonts w:hint="eastAsia" w:ascii="宋体" w:hAnsi="宋体"/>
          <w:sz w:val="24"/>
        </w:rPr>
      </w:pPr>
      <w:r>
        <w:rPr>
          <w:rFonts w:hint="eastAsia" w:ascii="宋体" w:hAnsi="宋体"/>
          <w:sz w:val="24"/>
        </w:rPr>
        <w:t>法定代表人（委托代理人）：（签字）</w:t>
      </w:r>
    </w:p>
    <w:p>
      <w:pPr>
        <w:pStyle w:val="9"/>
        <w:spacing w:after="0" w:line="560" w:lineRule="exact"/>
        <w:rPr>
          <w:rFonts w:hint="eastAsia" w:ascii="宋体" w:hAnsi="宋体"/>
        </w:rPr>
        <w:sectPr>
          <w:pgSz w:w="11907" w:h="16840"/>
          <w:pgMar w:top="1142" w:right="1418" w:bottom="1418" w:left="1418" w:header="851" w:footer="822"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spacing w:before="120" w:after="120" w:line="560" w:lineRule="exact"/>
        <w:rPr>
          <w:rFonts w:hint="eastAsia" w:ascii="宋体" w:hAnsi="宋体" w:cs="宋体"/>
          <w:sz w:val="24"/>
          <w:szCs w:val="24"/>
        </w:rPr>
      </w:pPr>
      <w:bookmarkStart w:id="173" w:name="_Toc23426"/>
      <w:bookmarkStart w:id="174" w:name="_Toc453709583"/>
      <w:r>
        <w:rPr>
          <w:rFonts w:hint="eastAsia" w:ascii="宋体" w:hAnsi="宋体" w:cs="宋体"/>
          <w:sz w:val="24"/>
          <w:szCs w:val="24"/>
        </w:rPr>
        <w:t>附件四：开标一览表</w:t>
      </w:r>
      <w:bookmarkEnd w:id="173"/>
      <w:bookmarkEnd w:id="174"/>
    </w:p>
    <w:p>
      <w:pPr>
        <w:pStyle w:val="9"/>
        <w:spacing w:after="0" w:line="320" w:lineRule="exact"/>
        <w:jc w:val="center"/>
        <w:rPr>
          <w:rFonts w:ascii="宋体" w:hAnsi="宋体"/>
          <w:b/>
          <w:bCs/>
          <w:sz w:val="32"/>
          <w:szCs w:val="32"/>
        </w:rPr>
      </w:pPr>
      <w:r>
        <w:rPr>
          <w:rFonts w:hint="eastAsia" w:ascii="宋体" w:hAnsi="宋体" w:cs="宋体"/>
          <w:b/>
          <w:bCs/>
          <w:sz w:val="32"/>
          <w:szCs w:val="32"/>
        </w:rPr>
        <w:t>开标一览表</w:t>
      </w:r>
    </w:p>
    <w:p>
      <w:pPr>
        <w:pStyle w:val="10"/>
        <w:spacing w:line="360" w:lineRule="exact"/>
        <w:ind w:left="0" w:leftChars="0" w:firstLine="0" w:firstLineChars="0"/>
        <w:rPr>
          <w:rFonts w:hint="eastAsia" w:ascii="宋体" w:hAnsi="宋体"/>
          <w:sz w:val="24"/>
          <w:szCs w:val="24"/>
          <w:lang w:eastAsia="zh-CN"/>
        </w:rPr>
      </w:pPr>
      <w:r>
        <w:rPr>
          <w:rFonts w:hint="eastAsia" w:ascii="宋体" w:hAnsi="宋体" w:cs="宋体"/>
          <w:sz w:val="24"/>
          <w:szCs w:val="24"/>
        </w:rPr>
        <w:t>项目名称</w:t>
      </w:r>
      <w:r>
        <w:rPr>
          <w:rFonts w:hint="eastAsia" w:ascii="宋体" w:hAnsi="宋体" w:cs="宋体"/>
          <w:b/>
          <w:bCs/>
          <w:sz w:val="24"/>
          <w:szCs w:val="24"/>
        </w:rPr>
        <w:t>：</w:t>
      </w:r>
      <w:r>
        <w:rPr>
          <w:rFonts w:hint="eastAsia" w:ascii="宋体" w:hAnsi="宋体"/>
          <w:sz w:val="24"/>
          <w:szCs w:val="24"/>
          <w:lang w:eastAsia="zh-CN"/>
        </w:rPr>
        <w:t>专用车部增加8m合拢铸造平台</w:t>
      </w:r>
    </w:p>
    <w:p>
      <w:pPr>
        <w:pStyle w:val="10"/>
        <w:spacing w:line="360" w:lineRule="exact"/>
        <w:ind w:left="0" w:leftChars="0" w:firstLine="0" w:firstLineChars="0"/>
        <w:rPr>
          <w:rFonts w:ascii="宋体" w:hAnsi="宋体" w:cs="宋体"/>
          <w:sz w:val="24"/>
          <w:szCs w:val="24"/>
        </w:rPr>
      </w:pPr>
      <w:r>
        <w:rPr>
          <w:rFonts w:hint="eastAsia" w:ascii="宋体" w:hAnsi="宋体" w:cs="宋体"/>
          <w:sz w:val="24"/>
          <w:szCs w:val="24"/>
        </w:rPr>
        <w:t>项目编号</w:t>
      </w:r>
      <w:r>
        <w:rPr>
          <w:rFonts w:hint="eastAsia" w:ascii="宋体" w:hAnsi="宋体" w:cs="宋体"/>
          <w:b/>
          <w:bCs/>
          <w:sz w:val="24"/>
          <w:szCs w:val="24"/>
        </w:rPr>
        <w:t>：</w:t>
      </w:r>
      <w:r>
        <w:rPr>
          <w:rFonts w:hint="eastAsia" w:ascii="宋体" w:hAnsi="宋体" w:cs="宋体"/>
          <w:sz w:val="24"/>
          <w:szCs w:val="24"/>
          <w:lang w:eastAsia="zh-CN"/>
        </w:rPr>
        <w:t>CGZXCX-202403-2104</w:t>
      </w:r>
      <w:r>
        <w:rPr>
          <w:rFonts w:hint="eastAsia" w:ascii="宋体" w:hAnsi="宋体" w:cs="宋体"/>
          <w:sz w:val="24"/>
          <w:szCs w:val="24"/>
          <w:lang w:eastAsia="zh-CN"/>
        </w:rPr>
        <w:tab/>
      </w:r>
      <w:r>
        <w:rPr>
          <w:rFonts w:ascii="宋体" w:hAnsi="宋体" w:cs="宋体"/>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871"/>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000000"/>
                <w:sz w:val="24"/>
              </w:rPr>
            </w:pPr>
            <w:r>
              <w:rPr>
                <w:rFonts w:hint="eastAsia" w:ascii="宋体" w:hAnsi="宋体"/>
                <w:b/>
                <w:bCs/>
                <w:color w:val="000000"/>
                <w:sz w:val="24"/>
              </w:rPr>
              <w:t>投标人名称</w:t>
            </w: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b/>
                <w:bCs/>
                <w:color w:val="000000"/>
                <w:sz w:val="24"/>
              </w:rPr>
            </w:pPr>
            <w:r>
              <w:rPr>
                <w:rFonts w:hint="eastAsia" w:ascii="宋体" w:hAnsi="宋体"/>
                <w:b/>
                <w:bCs/>
                <w:color w:val="000000"/>
                <w:sz w:val="24"/>
              </w:rPr>
              <w:t>投标总报价</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color w:val="000000"/>
              </w:rPr>
            </w:pP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r>
              <w:rPr>
                <w:rFonts w:hint="eastAsia" w:ascii="宋体" w:hAnsi="宋体"/>
                <w:bCs/>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r>
              <w:rPr>
                <w:rFonts w:hint="eastAsia" w:ascii="宋体" w:hAnsi="宋体"/>
                <w:bCs/>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b/>
                <w:bCs/>
                <w:color w:val="000000"/>
                <w:sz w:val="24"/>
              </w:rPr>
            </w:pPr>
            <w:r>
              <w:rPr>
                <w:rFonts w:hint="eastAsia" w:ascii="宋体" w:hAnsi="宋体"/>
                <w:b/>
                <w:bCs/>
                <w:color w:val="000000"/>
                <w:sz w:val="24"/>
              </w:rPr>
              <w:t>供货期</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color w:val="000000"/>
                <w:sz w:val="24"/>
              </w:rPr>
            </w:pPr>
            <w:r>
              <w:rPr>
                <w:rFonts w:hint="eastAsia" w:ascii="宋体" w:hAnsi="宋体"/>
                <w:color w:val="000000"/>
                <w:sz w:val="24"/>
              </w:rPr>
              <w:t>（日历天）</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color w:val="000000"/>
                <w:sz w:val="24"/>
                <w:u w:val="single"/>
              </w:rPr>
            </w:pPr>
            <w:r>
              <w:rPr>
                <w:rFonts w:hint="eastAsia" w:ascii="宋体" w:hAnsi="宋体"/>
                <w:color w:val="000000"/>
                <w:sz w:val="24"/>
              </w:rPr>
              <w:t>自接到中标通知之日起</w:t>
            </w:r>
            <w:r>
              <w:rPr>
                <w:rFonts w:hint="eastAsia" w:ascii="宋体" w:hAnsi="宋体"/>
                <w:color w:val="000000"/>
                <w:sz w:val="24"/>
                <w:u w:val="single"/>
              </w:rPr>
              <w:t xml:space="preserve">    </w:t>
            </w:r>
            <w:r>
              <w:rPr>
                <w:rFonts w:hint="eastAsia" w:ascii="宋体" w:hAnsi="宋体"/>
                <w:color w:val="000000"/>
                <w:sz w:val="24"/>
              </w:rPr>
              <w:t>天内交货到指定地点，</w:t>
            </w:r>
            <w:r>
              <w:rPr>
                <w:rFonts w:hint="eastAsia" w:ascii="宋体" w:hAnsi="宋体"/>
                <w:color w:val="000000"/>
                <w:sz w:val="24"/>
                <w:u w:val="single"/>
              </w:rPr>
              <w:t xml:space="preserve">             </w:t>
            </w:r>
            <w:r>
              <w:rPr>
                <w:rFonts w:hint="eastAsia" w:ascii="宋体" w:hAnsi="宋体"/>
                <w:color w:val="000000"/>
                <w:sz w:val="24"/>
              </w:rPr>
              <w:t>天内安装调试完成，共</w:t>
            </w:r>
            <w:r>
              <w:rPr>
                <w:rFonts w:hint="eastAsia" w:ascii="宋体" w:hAnsi="宋体"/>
                <w:color w:val="000000"/>
                <w:sz w:val="24"/>
                <w:u w:val="single"/>
              </w:rPr>
              <w:t xml:space="preserve">   </w:t>
            </w:r>
            <w:r>
              <w:rPr>
                <w:rFonts w:hint="eastAsia" w:ascii="宋体" w:hAnsi="宋体"/>
                <w:color w:val="000000"/>
                <w:sz w:val="24"/>
              </w:rPr>
              <w:t>天（投标人自报最短供货期）。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000000"/>
                <w:sz w:val="24"/>
              </w:rPr>
            </w:pPr>
            <w:r>
              <w:rPr>
                <w:rFonts w:hint="eastAsia" w:ascii="宋体" w:hAnsi="宋体"/>
                <w:b/>
                <w:bCs/>
                <w:color w:val="000000"/>
                <w:sz w:val="24"/>
              </w:rPr>
              <w:t>质保期</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sz w:val="24"/>
              </w:rPr>
            </w:pPr>
            <w:r>
              <w:rPr>
                <w:rFonts w:hint="eastAsia" w:ascii="宋体" w:hAnsi="宋体"/>
                <w:bCs/>
                <w:color w:val="000000"/>
                <w:sz w:val="24"/>
              </w:rPr>
              <w:t>自最终验收报告签署之日（以签署日期最晚者为准）</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color w:val="000000"/>
                <w:sz w:val="24"/>
              </w:rPr>
            </w:pPr>
            <w:r>
              <w:rPr>
                <w:rFonts w:hint="eastAsia" w:ascii="宋体" w:hAnsi="宋体"/>
                <w:bCs/>
                <w:color w:val="000000"/>
                <w:sz w:val="24"/>
              </w:rPr>
              <w:t>起</w:t>
            </w:r>
            <w:r>
              <w:rPr>
                <w:rFonts w:hint="eastAsia" w:ascii="宋体" w:hAnsi="宋体"/>
                <w:bCs/>
                <w:color w:val="000000"/>
                <w:sz w:val="24"/>
                <w:u w:val="single"/>
              </w:rPr>
              <w:t xml:space="preserve">    </w:t>
            </w:r>
            <w:r>
              <w:rPr>
                <w:rFonts w:hint="eastAsia" w:ascii="宋体" w:hAnsi="宋体"/>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sz w:val="24"/>
              </w:rPr>
            </w:pPr>
            <w:r>
              <w:rPr>
                <w:rFonts w:hint="eastAsia"/>
                <w:b/>
                <w:sz w:val="24"/>
              </w:rPr>
              <w:t>付款方式有无偏离</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（是否完全响应）</w:t>
            </w:r>
          </w:p>
        </w:tc>
        <w:tc>
          <w:tcPr>
            <w:tcW w:w="5970"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rPr>
          <w:rFonts w:hint="eastAsia" w:ascii="宋体" w:hAnsi="宋体"/>
          <w:b/>
          <w:bCs/>
        </w:rPr>
      </w:pPr>
      <w:r>
        <w:rPr>
          <w:rFonts w:hint="eastAsia" w:ascii="宋体" w:hAnsi="宋体"/>
          <w:b/>
          <w:bCs/>
        </w:rPr>
        <w:t>注： 1、此表中的报价必须与相应的报价明细表中的报价一致。</w:t>
      </w:r>
    </w:p>
    <w:p>
      <w:pPr>
        <w:ind w:firstLine="588" w:firstLineChars="279"/>
        <w:rPr>
          <w:rFonts w:hint="eastAsia" w:ascii="宋体" w:hAnsi="宋体"/>
          <w:b/>
          <w:bCs/>
        </w:rPr>
      </w:pPr>
      <w:r>
        <w:rPr>
          <w:rFonts w:hint="eastAsia" w:ascii="宋体" w:hAnsi="宋体"/>
          <w:b/>
          <w:bCs/>
        </w:rPr>
        <w:t>2、本表除附在投标文件中外，还应单独密封一份，以便唱标。</w:t>
      </w:r>
    </w:p>
    <w:p>
      <w:pPr>
        <w:spacing w:line="300" w:lineRule="auto"/>
        <w:ind w:firstLine="517" w:firstLineChars="245"/>
        <w:rPr>
          <w:rFonts w:ascii="宋体" w:hAnsi="宋体"/>
          <w:b/>
          <w:bCs/>
        </w:rPr>
      </w:pPr>
    </w:p>
    <w:p>
      <w:pPr>
        <w:spacing w:line="300" w:lineRule="auto"/>
        <w:ind w:firstLine="517" w:firstLineChars="245"/>
        <w:rPr>
          <w:rFonts w:hint="eastAsia" w:ascii="宋体" w:hAnsi="宋体"/>
          <w:b/>
          <w:bCs/>
        </w:rPr>
      </w:pPr>
    </w:p>
    <w:p>
      <w:pPr>
        <w:spacing w:line="540" w:lineRule="exact"/>
        <w:rPr>
          <w:rFonts w:hint="eastAsia" w:ascii="宋体" w:hAnsi="宋体"/>
          <w:sz w:val="24"/>
        </w:rPr>
      </w:pPr>
      <w:r>
        <w:rPr>
          <w:rFonts w:hint="eastAsia" w:ascii="宋体" w:hAnsi="宋体"/>
          <w:sz w:val="24"/>
        </w:rPr>
        <w:t>投标人：（盖章）</w:t>
      </w:r>
    </w:p>
    <w:p>
      <w:pPr>
        <w:spacing w:line="540" w:lineRule="exact"/>
        <w:rPr>
          <w:rFonts w:hint="eastAsia" w:ascii="宋体" w:hAnsi="宋体"/>
          <w:sz w:val="24"/>
        </w:rPr>
      </w:pPr>
      <w:r>
        <w:rPr>
          <w:rFonts w:hint="eastAsia" w:ascii="宋体" w:hAnsi="宋体"/>
          <w:sz w:val="24"/>
        </w:rPr>
        <w:t>法定代表人（委托代理人）：（签字）</w:t>
      </w:r>
    </w:p>
    <w:p>
      <w:pPr>
        <w:spacing w:line="540" w:lineRule="exact"/>
        <w:rPr>
          <w:rFonts w:ascii="宋体" w:hAnsi="宋体"/>
        </w:rPr>
        <w:sectPr>
          <w:pgSz w:w="11907" w:h="16840"/>
          <w:pgMar w:top="1418" w:right="1418" w:bottom="1418" w:left="1418" w:header="851" w:footer="851"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p>
    <w:p>
      <w:pPr>
        <w:pStyle w:val="5"/>
        <w:spacing w:before="120" w:after="120" w:line="560" w:lineRule="exac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五</w:t>
      </w:r>
      <w:r>
        <w:rPr>
          <w:rFonts w:hint="eastAsia" w:ascii="宋体" w:hAnsi="宋体" w:cs="宋体"/>
          <w:sz w:val="24"/>
          <w:szCs w:val="24"/>
        </w:rPr>
        <w:t>：投标人报名表</w:t>
      </w:r>
    </w:p>
    <w:p>
      <w:pPr>
        <w:jc w:val="center"/>
        <w:rPr>
          <w:rFonts w:eastAsia="黑体"/>
          <w:b/>
          <w:bCs/>
          <w:sz w:val="28"/>
        </w:rPr>
      </w:pPr>
      <w:r>
        <w:rPr>
          <w:rFonts w:hint="eastAsia" w:eastAsia="黑体"/>
          <w:b/>
          <w:bCs/>
          <w:sz w:val="28"/>
        </w:rPr>
        <w:t xml:space="preserve">  投标人报名表</w:t>
      </w:r>
    </w:p>
    <w:p>
      <w:pPr>
        <w:ind w:firstLine="120" w:firstLineChars="50"/>
        <w:rPr>
          <w:sz w:val="24"/>
        </w:rPr>
      </w:pPr>
      <w:r>
        <w:rPr>
          <w:rFonts w:hint="eastAsia"/>
          <w:sz w:val="24"/>
        </w:rPr>
        <w:t>公章：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pPr>
              <w:jc w:val="center"/>
              <w:rPr>
                <w:sz w:val="24"/>
                <w:szCs w:val="24"/>
              </w:rPr>
            </w:pPr>
            <w:r>
              <w:rPr>
                <w:rFonts w:hint="eastAsia"/>
                <w:sz w:val="24"/>
                <w:szCs w:val="24"/>
              </w:rPr>
              <w:t>项目名称</w:t>
            </w:r>
          </w:p>
        </w:tc>
        <w:tc>
          <w:tcPr>
            <w:tcW w:w="7123" w:type="dxa"/>
            <w:gridSpan w:val="3"/>
            <w:noWrap w:val="0"/>
            <w:vAlign w:val="center"/>
          </w:tcPr>
          <w:p>
            <w:pPr>
              <w:rPr>
                <w:rFonts w:hint="eastAsia" w:eastAsia="宋体"/>
                <w:sz w:val="24"/>
                <w:szCs w:val="24"/>
                <w:lang w:eastAsia="zh-CN"/>
              </w:rPr>
            </w:pPr>
            <w:r>
              <w:rPr>
                <w:rFonts w:hint="eastAsia" w:ascii="宋体" w:hAnsi="宋体"/>
                <w:sz w:val="24"/>
                <w:szCs w:val="24"/>
                <w:lang w:eastAsia="zh-CN"/>
              </w:rPr>
              <w:t>专用车部增加8m合拢铸造平台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pPr>
              <w:jc w:val="center"/>
              <w:rPr>
                <w:rFonts w:hint="eastAsia"/>
                <w:sz w:val="24"/>
                <w:szCs w:val="24"/>
              </w:rPr>
            </w:pPr>
            <w:r>
              <w:rPr>
                <w:rFonts w:hint="eastAsia" w:ascii="宋体" w:hAnsi="宋体"/>
                <w:sz w:val="24"/>
              </w:rPr>
              <w:t>项目编号</w:t>
            </w:r>
          </w:p>
        </w:tc>
        <w:tc>
          <w:tcPr>
            <w:tcW w:w="7123" w:type="dxa"/>
            <w:gridSpan w:val="3"/>
            <w:noWrap w:val="0"/>
            <w:vAlign w:val="center"/>
          </w:tcPr>
          <w:p>
            <w:pPr>
              <w:jc w:val="center"/>
              <w:rPr>
                <w:rFonts w:hint="default" w:eastAsia="宋体"/>
                <w:sz w:val="24"/>
                <w:szCs w:val="24"/>
                <w:lang w:val="en-US" w:eastAsia="zh-CN"/>
              </w:rPr>
            </w:pPr>
            <w:r>
              <w:rPr>
                <w:rFonts w:hint="eastAsia" w:ascii="宋体" w:hAnsi="宋体"/>
                <w:sz w:val="24"/>
                <w:lang w:eastAsia="zh-CN"/>
              </w:rPr>
              <w:t>CGZXCX-202403-2</w:t>
            </w:r>
            <w:r>
              <w:rPr>
                <w:rFonts w:hint="eastAsia" w:ascii="宋体" w:hAnsi="宋体"/>
                <w:sz w:val="24"/>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pPr>
              <w:jc w:val="center"/>
              <w:rPr>
                <w:sz w:val="24"/>
                <w:szCs w:val="24"/>
              </w:rPr>
            </w:pPr>
            <w:r>
              <w:rPr>
                <w:rFonts w:hint="eastAsia"/>
                <w:sz w:val="24"/>
                <w:szCs w:val="24"/>
              </w:rPr>
              <w:t>投标单位</w:t>
            </w:r>
          </w:p>
          <w:p>
            <w:pPr>
              <w:jc w:val="center"/>
              <w:rPr>
                <w:sz w:val="24"/>
                <w:szCs w:val="24"/>
              </w:rPr>
            </w:pPr>
            <w:r>
              <w:rPr>
                <w:rFonts w:hint="eastAsia"/>
                <w:sz w:val="24"/>
                <w:szCs w:val="24"/>
              </w:rPr>
              <w:t>（全称）</w:t>
            </w:r>
          </w:p>
        </w:tc>
        <w:tc>
          <w:tcPr>
            <w:tcW w:w="7123"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pPr>
              <w:jc w:val="center"/>
              <w:rPr>
                <w:sz w:val="24"/>
                <w:szCs w:val="24"/>
              </w:rPr>
            </w:pPr>
            <w:r>
              <w:rPr>
                <w:rFonts w:hint="eastAsia"/>
                <w:sz w:val="24"/>
                <w:szCs w:val="24"/>
              </w:rPr>
              <w:t>项目负责人</w:t>
            </w:r>
          </w:p>
        </w:tc>
        <w:tc>
          <w:tcPr>
            <w:tcW w:w="2526" w:type="dxa"/>
            <w:noWrap w:val="0"/>
            <w:vAlign w:val="center"/>
          </w:tcPr>
          <w:p>
            <w:pPr>
              <w:jc w:val="center"/>
              <w:rPr>
                <w:sz w:val="24"/>
                <w:szCs w:val="24"/>
              </w:rPr>
            </w:pPr>
          </w:p>
        </w:tc>
        <w:tc>
          <w:tcPr>
            <w:tcW w:w="2272" w:type="dxa"/>
            <w:noWrap w:val="0"/>
            <w:vAlign w:val="center"/>
          </w:tcPr>
          <w:p>
            <w:pPr>
              <w:jc w:val="center"/>
              <w:rPr>
                <w:sz w:val="24"/>
                <w:szCs w:val="24"/>
              </w:rPr>
            </w:pPr>
            <w:r>
              <w:rPr>
                <w:rFonts w:hint="eastAsia"/>
                <w:sz w:val="24"/>
                <w:szCs w:val="24"/>
              </w:rPr>
              <w:t>联系电话</w:t>
            </w:r>
          </w:p>
        </w:tc>
        <w:tc>
          <w:tcPr>
            <w:tcW w:w="2325"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pPr>
              <w:jc w:val="center"/>
              <w:rPr>
                <w:sz w:val="24"/>
                <w:szCs w:val="24"/>
              </w:rPr>
            </w:pPr>
            <w:r>
              <w:rPr>
                <w:rFonts w:hint="eastAsia"/>
                <w:sz w:val="24"/>
                <w:szCs w:val="24"/>
              </w:rPr>
              <w:t>公司电话</w:t>
            </w:r>
          </w:p>
        </w:tc>
        <w:tc>
          <w:tcPr>
            <w:tcW w:w="2526" w:type="dxa"/>
            <w:noWrap w:val="0"/>
            <w:vAlign w:val="center"/>
          </w:tcPr>
          <w:p>
            <w:pPr>
              <w:jc w:val="center"/>
              <w:rPr>
                <w:sz w:val="24"/>
                <w:szCs w:val="24"/>
              </w:rPr>
            </w:pPr>
          </w:p>
        </w:tc>
        <w:tc>
          <w:tcPr>
            <w:tcW w:w="2272" w:type="dxa"/>
            <w:noWrap w:val="0"/>
            <w:vAlign w:val="center"/>
          </w:tcPr>
          <w:p>
            <w:pPr>
              <w:jc w:val="center"/>
              <w:rPr>
                <w:sz w:val="24"/>
                <w:szCs w:val="24"/>
              </w:rPr>
            </w:pPr>
            <w:r>
              <w:rPr>
                <w:rFonts w:hint="eastAsia"/>
                <w:sz w:val="24"/>
                <w:szCs w:val="24"/>
              </w:rPr>
              <w:t>传真</w:t>
            </w:r>
          </w:p>
        </w:tc>
        <w:tc>
          <w:tcPr>
            <w:tcW w:w="2325"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pPr>
              <w:jc w:val="center"/>
              <w:rPr>
                <w:sz w:val="24"/>
                <w:szCs w:val="24"/>
              </w:rPr>
            </w:pPr>
            <w:r>
              <w:rPr>
                <w:rFonts w:hint="eastAsia"/>
                <w:sz w:val="24"/>
                <w:szCs w:val="24"/>
              </w:rPr>
              <w:t>E-mail</w:t>
            </w:r>
          </w:p>
        </w:tc>
        <w:tc>
          <w:tcPr>
            <w:tcW w:w="7123"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pPr>
              <w:jc w:val="center"/>
              <w:rPr>
                <w:sz w:val="24"/>
                <w:szCs w:val="24"/>
              </w:rPr>
            </w:pPr>
            <w:r>
              <w:rPr>
                <w:rFonts w:hint="eastAsia"/>
                <w:sz w:val="24"/>
                <w:szCs w:val="24"/>
              </w:rPr>
              <w:t>报名时间</w:t>
            </w:r>
          </w:p>
        </w:tc>
        <w:tc>
          <w:tcPr>
            <w:tcW w:w="7123" w:type="dxa"/>
            <w:gridSpan w:val="3"/>
            <w:noWrap w:val="0"/>
            <w:vAlign w:val="center"/>
          </w:tcPr>
          <w:p>
            <w:pPr>
              <w:jc w:val="center"/>
              <w:rPr>
                <w:sz w:val="24"/>
                <w:szCs w:val="24"/>
              </w:rPr>
            </w:pPr>
            <w:r>
              <w:rPr>
                <w:rFonts w:hint="eastAsia"/>
                <w:sz w:val="24"/>
                <w:szCs w:val="24"/>
              </w:rPr>
              <w:t>年    月    日</w:t>
            </w:r>
          </w:p>
        </w:tc>
      </w:tr>
    </w:tbl>
    <w:p>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请投标单位认真填写并加盖公章，并于规定日期前以扫描电子版形式回传至以下联系人邮箱。缺项及不按要求时间回复均视为自动放弃本次投标。</w:t>
      </w:r>
    </w:p>
    <w:p>
      <w:pPr>
        <w:rPr>
          <w:rFonts w:hint="eastAsia" w:ascii="宋体" w:hAnsi="宋体" w:eastAsia="宋体"/>
          <w:sz w:val="24"/>
          <w:lang w:eastAsia="zh-CN"/>
        </w:rPr>
      </w:pPr>
      <w:r>
        <w:rPr>
          <w:rFonts w:hint="eastAsia" w:ascii="宋体" w:hAnsi="宋体"/>
          <w:sz w:val="24"/>
        </w:rPr>
        <w:t>联系人：</w:t>
      </w:r>
      <w:r>
        <w:rPr>
          <w:rFonts w:hint="eastAsia" w:ascii="宋体" w:hAnsi="宋体"/>
          <w:sz w:val="24"/>
          <w:lang w:eastAsia="zh-CN"/>
        </w:rPr>
        <w:t>高鑫鑫</w:t>
      </w:r>
      <w:r>
        <w:rPr>
          <w:rFonts w:hint="eastAsia" w:ascii="宋体" w:hAnsi="宋体"/>
          <w:sz w:val="24"/>
        </w:rPr>
        <w:t xml:space="preserve">       联系电话：</w:t>
      </w:r>
      <w:r>
        <w:rPr>
          <w:rFonts w:hint="eastAsia" w:ascii="宋体" w:hAnsi="宋体"/>
          <w:sz w:val="24"/>
          <w:lang w:eastAsia="zh-CN"/>
        </w:rPr>
        <w:t>13562857992</w:t>
      </w:r>
      <w:r>
        <w:rPr>
          <w:rFonts w:hint="eastAsia" w:ascii="宋体" w:hAnsi="宋体"/>
          <w:sz w:val="24"/>
        </w:rPr>
        <w:t xml:space="preserve">   电子邮箱：</w:t>
      </w:r>
      <w:r>
        <w:rPr>
          <w:rFonts w:hint="eastAsia" w:ascii="宋体" w:hAnsi="宋体"/>
          <w:sz w:val="24"/>
          <w:lang w:eastAsia="zh-CN"/>
        </w:rPr>
        <w:t>269473339.@qq.com</w:t>
      </w:r>
    </w:p>
    <w:p>
      <w:pPr>
        <w:pStyle w:val="2"/>
        <w:rPr>
          <w:rFonts w:ascii="黑体" w:eastAsia="黑体"/>
          <w:b/>
          <w:bCs/>
          <w:sz w:val="36"/>
          <w:szCs w:val="36"/>
        </w:rPr>
      </w:pPr>
    </w:p>
    <w:sectPr>
      <w:headerReference r:id="rId6" w:type="first"/>
      <w:footerReference r:id="rId8" w:type="first"/>
      <w:headerReference r:id="rId5" w:type="default"/>
      <w:footerReference r:id="rId7"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 PAGE   \* MERGEFORMAT </w:instrText>
                          </w:r>
                          <w:r>
                            <w:fldChar w:fldCharType="separate"/>
                          </w:r>
                          <w:r>
                            <w:rPr>
                              <w:lang w:val="zh-CN"/>
                            </w:rP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24F2E743"/>
    <w:multiLevelType w:val="singleLevel"/>
    <w:tmpl w:val="24F2E743"/>
    <w:lvl w:ilvl="0" w:tentative="0">
      <w:start w:val="6"/>
      <w:numFmt w:val="chineseCounting"/>
      <w:suff w:val="nothing"/>
      <w:lvlText w:val="%1、"/>
      <w:lvlJc w:val="left"/>
      <w:rPr>
        <w:rFonts w:hint="eastAsia"/>
      </w:r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4">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A56416"/>
    <w:rsid w:val="03CD1F61"/>
    <w:rsid w:val="07184C90"/>
    <w:rsid w:val="0A1D552E"/>
    <w:rsid w:val="0A5726C1"/>
    <w:rsid w:val="0B0F75B1"/>
    <w:rsid w:val="0B1D7922"/>
    <w:rsid w:val="0B6810EB"/>
    <w:rsid w:val="0C092B33"/>
    <w:rsid w:val="0C504132"/>
    <w:rsid w:val="0C7E6D9B"/>
    <w:rsid w:val="0CB5092B"/>
    <w:rsid w:val="0DAF0B93"/>
    <w:rsid w:val="0E476CCE"/>
    <w:rsid w:val="0EA0228A"/>
    <w:rsid w:val="0FBA2A1F"/>
    <w:rsid w:val="109B7BB5"/>
    <w:rsid w:val="111F6909"/>
    <w:rsid w:val="12E94D5A"/>
    <w:rsid w:val="1309795C"/>
    <w:rsid w:val="130A0DBB"/>
    <w:rsid w:val="140D3CA4"/>
    <w:rsid w:val="14847F58"/>
    <w:rsid w:val="1549721B"/>
    <w:rsid w:val="1583594B"/>
    <w:rsid w:val="17964416"/>
    <w:rsid w:val="17BD56E0"/>
    <w:rsid w:val="18EA08C7"/>
    <w:rsid w:val="19EB0CFA"/>
    <w:rsid w:val="1A850459"/>
    <w:rsid w:val="1B705779"/>
    <w:rsid w:val="1BFB0019"/>
    <w:rsid w:val="1CF00880"/>
    <w:rsid w:val="1D4604A0"/>
    <w:rsid w:val="1F137DC6"/>
    <w:rsid w:val="21385A19"/>
    <w:rsid w:val="215F4227"/>
    <w:rsid w:val="218538C2"/>
    <w:rsid w:val="21EC706F"/>
    <w:rsid w:val="220D6453"/>
    <w:rsid w:val="222E220C"/>
    <w:rsid w:val="225515AE"/>
    <w:rsid w:val="22AC71F8"/>
    <w:rsid w:val="237C60C5"/>
    <w:rsid w:val="23DF076E"/>
    <w:rsid w:val="24B05ACD"/>
    <w:rsid w:val="25627E42"/>
    <w:rsid w:val="25F20E90"/>
    <w:rsid w:val="262F32F6"/>
    <w:rsid w:val="265C6807"/>
    <w:rsid w:val="267D3C02"/>
    <w:rsid w:val="27703E52"/>
    <w:rsid w:val="27F34BCD"/>
    <w:rsid w:val="2A81520E"/>
    <w:rsid w:val="2C010B73"/>
    <w:rsid w:val="2C9F5E1F"/>
    <w:rsid w:val="2E827F4E"/>
    <w:rsid w:val="2EE054F5"/>
    <w:rsid w:val="2FCA7900"/>
    <w:rsid w:val="3059466F"/>
    <w:rsid w:val="30EE0B3B"/>
    <w:rsid w:val="31957228"/>
    <w:rsid w:val="3200110E"/>
    <w:rsid w:val="32985FCF"/>
    <w:rsid w:val="32A10788"/>
    <w:rsid w:val="335A1F1F"/>
    <w:rsid w:val="33AE68EB"/>
    <w:rsid w:val="35C5029F"/>
    <w:rsid w:val="36D018E0"/>
    <w:rsid w:val="36DF3D95"/>
    <w:rsid w:val="37804E88"/>
    <w:rsid w:val="388F4F9A"/>
    <w:rsid w:val="38E43142"/>
    <w:rsid w:val="39425C56"/>
    <w:rsid w:val="39756146"/>
    <w:rsid w:val="3B1047D6"/>
    <w:rsid w:val="3B9308FD"/>
    <w:rsid w:val="3CDF2A7F"/>
    <w:rsid w:val="3D1C0BDC"/>
    <w:rsid w:val="3D970065"/>
    <w:rsid w:val="3DC90A31"/>
    <w:rsid w:val="3E2C6DE7"/>
    <w:rsid w:val="3ED77D2A"/>
    <w:rsid w:val="3F5E4797"/>
    <w:rsid w:val="3FAD7704"/>
    <w:rsid w:val="425F1CED"/>
    <w:rsid w:val="43C7446D"/>
    <w:rsid w:val="444A5520"/>
    <w:rsid w:val="48296DEC"/>
    <w:rsid w:val="48A510DA"/>
    <w:rsid w:val="48D332A6"/>
    <w:rsid w:val="48F51190"/>
    <w:rsid w:val="4A80122A"/>
    <w:rsid w:val="4AE72B13"/>
    <w:rsid w:val="4B0E61F2"/>
    <w:rsid w:val="4E5A094C"/>
    <w:rsid w:val="4E5F1890"/>
    <w:rsid w:val="524B4F06"/>
    <w:rsid w:val="53047386"/>
    <w:rsid w:val="53546374"/>
    <w:rsid w:val="540431AC"/>
    <w:rsid w:val="54900D9E"/>
    <w:rsid w:val="54A333CF"/>
    <w:rsid w:val="54B04758"/>
    <w:rsid w:val="555D2250"/>
    <w:rsid w:val="55766291"/>
    <w:rsid w:val="5A255F5D"/>
    <w:rsid w:val="5A4A4BAF"/>
    <w:rsid w:val="5B221005"/>
    <w:rsid w:val="5B7C4EE5"/>
    <w:rsid w:val="5BD73795"/>
    <w:rsid w:val="5C2C297C"/>
    <w:rsid w:val="5DCA053C"/>
    <w:rsid w:val="5DD45FE3"/>
    <w:rsid w:val="5E755D98"/>
    <w:rsid w:val="5F0624D6"/>
    <w:rsid w:val="5FAA1A57"/>
    <w:rsid w:val="60530FD9"/>
    <w:rsid w:val="606766A0"/>
    <w:rsid w:val="6092195C"/>
    <w:rsid w:val="635E7FFD"/>
    <w:rsid w:val="63AA7F98"/>
    <w:rsid w:val="63FC3EEE"/>
    <w:rsid w:val="64233D3B"/>
    <w:rsid w:val="64872D78"/>
    <w:rsid w:val="64A36C4B"/>
    <w:rsid w:val="65010418"/>
    <w:rsid w:val="65750BD1"/>
    <w:rsid w:val="67146970"/>
    <w:rsid w:val="67C577E1"/>
    <w:rsid w:val="68D6572A"/>
    <w:rsid w:val="690E7518"/>
    <w:rsid w:val="6971147A"/>
    <w:rsid w:val="699C5C7A"/>
    <w:rsid w:val="69F94D5D"/>
    <w:rsid w:val="6A75678E"/>
    <w:rsid w:val="6BCB2E36"/>
    <w:rsid w:val="6D5722C8"/>
    <w:rsid w:val="6DB93944"/>
    <w:rsid w:val="6E782157"/>
    <w:rsid w:val="6F0D2A4D"/>
    <w:rsid w:val="6F3A7AA1"/>
    <w:rsid w:val="72D028D8"/>
    <w:rsid w:val="74FF281F"/>
    <w:rsid w:val="75395F3E"/>
    <w:rsid w:val="75471A14"/>
    <w:rsid w:val="761221CB"/>
    <w:rsid w:val="7709593C"/>
    <w:rsid w:val="77BF5070"/>
    <w:rsid w:val="783C3AEF"/>
    <w:rsid w:val="78F41CD4"/>
    <w:rsid w:val="799C45BC"/>
    <w:rsid w:val="7B3F33A4"/>
    <w:rsid w:val="7B9D1938"/>
    <w:rsid w:val="7C4411C4"/>
    <w:rsid w:val="7CFA5511"/>
    <w:rsid w:val="7DFE7FB1"/>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qFormat/>
    <w:uiPriority w:val="9"/>
    <w:pPr>
      <w:keepNext/>
      <w:keepLines/>
      <w:spacing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toa heading"/>
    <w:basedOn w:val="1"/>
    <w:next w:val="1"/>
    <w:qFormat/>
    <w:uiPriority w:val="0"/>
    <w:pPr>
      <w:spacing w:before="120"/>
    </w:pPr>
    <w:rPr>
      <w:rFonts w:ascii="Arial" w:hAnsi="Arial" w:cs="Arial"/>
      <w:sz w:val="24"/>
      <w:szCs w:val="24"/>
    </w:rPr>
  </w:style>
  <w:style w:type="paragraph" w:styleId="8">
    <w:name w:val="annotation text"/>
    <w:basedOn w:val="1"/>
    <w:link w:val="36"/>
    <w:qFormat/>
    <w:uiPriority w:val="0"/>
    <w:pPr>
      <w:jc w:val="left"/>
    </w:pPr>
  </w:style>
  <w:style w:type="paragraph" w:styleId="9">
    <w:name w:val="Body Text"/>
    <w:basedOn w:val="1"/>
    <w:link w:val="32"/>
    <w:qFormat/>
    <w:uiPriority w:val="0"/>
    <w:rPr>
      <w:rFonts w:ascii="仿宋_GB2312" w:eastAsia="仿宋_GB2312"/>
      <w:sz w:val="32"/>
    </w:rPr>
  </w:style>
  <w:style w:type="paragraph" w:styleId="10">
    <w:name w:val="Body Text Indent"/>
    <w:basedOn w:val="1"/>
    <w:link w:val="39"/>
    <w:unhideWhenUsed/>
    <w:qFormat/>
    <w:uiPriority w:val="99"/>
    <w:pPr>
      <w:spacing w:after="120"/>
      <w:ind w:left="420" w:leftChars="200"/>
    </w:pPr>
    <w:rPr>
      <w:rFonts w:ascii="Calibri" w:hAnsi="Calibri"/>
      <w:szCs w:val="22"/>
    </w:rPr>
  </w:style>
  <w:style w:type="paragraph" w:styleId="11">
    <w:name w:val="Plain Text"/>
    <w:basedOn w:val="1"/>
    <w:link w:val="41"/>
    <w:qFormat/>
    <w:uiPriority w:val="0"/>
    <w:rPr>
      <w:rFonts w:ascii="宋体" w:hAnsi="Courier New"/>
    </w:rPr>
  </w:style>
  <w:style w:type="paragraph" w:styleId="12">
    <w:name w:val="Date"/>
    <w:basedOn w:val="1"/>
    <w:next w:val="1"/>
    <w:qFormat/>
    <w:uiPriority w:val="0"/>
    <w:pPr>
      <w:ind w:left="100" w:leftChars="2500"/>
    </w:pPr>
    <w:rPr>
      <w:kern w:val="0"/>
    </w:rPr>
  </w:style>
  <w:style w:type="paragraph" w:styleId="13">
    <w:name w:val="Balloon Text"/>
    <w:basedOn w:val="1"/>
    <w:link w:val="3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toc 2"/>
    <w:basedOn w:val="1"/>
    <w:next w:val="1"/>
    <w:unhideWhenUsed/>
    <w:qFormat/>
    <w:uiPriority w:val="39"/>
    <w:pPr>
      <w:ind w:left="420" w:leftChars="200"/>
    </w:pPr>
  </w:style>
  <w:style w:type="paragraph" w:styleId="18">
    <w:name w:val="Normal (Web)"/>
    <w:basedOn w:val="1"/>
    <w:qFormat/>
    <w:uiPriority w:val="0"/>
    <w:rPr>
      <w:sz w:val="24"/>
    </w:rPr>
  </w:style>
  <w:style w:type="paragraph" w:styleId="19">
    <w:name w:val="Title"/>
    <w:basedOn w:val="1"/>
    <w:next w:val="1"/>
    <w:link w:val="60"/>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8"/>
    <w:next w:val="8"/>
    <w:link w:val="44"/>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qFormat/>
    <w:uiPriority w:val="99"/>
    <w:rPr>
      <w:rFonts w:cs="Times New Roman"/>
      <w:color w:val="1F4F88"/>
      <w:u w:val="none"/>
    </w:rPr>
  </w:style>
  <w:style w:type="character" w:styleId="29">
    <w:name w:val="annotation reference"/>
    <w:qFormat/>
    <w:uiPriority w:val="0"/>
    <w:rPr>
      <w:sz w:val="21"/>
      <w:szCs w:val="21"/>
    </w:rPr>
  </w:style>
  <w:style w:type="character" w:customStyle="1" w:styleId="30">
    <w:name w:val="Char Char3"/>
    <w:qFormat/>
    <w:uiPriority w:val="0"/>
    <w:rPr>
      <w:rFonts w:ascii="宋体" w:hAnsi="Courier New" w:eastAsia="宋体"/>
      <w:kern w:val="2"/>
      <w:sz w:val="21"/>
      <w:lang w:val="en-US" w:eastAsia="zh-CN" w:bidi="ar-SA"/>
    </w:rPr>
  </w:style>
  <w:style w:type="character" w:customStyle="1" w:styleId="31">
    <w:name w:val="纯文本 Char"/>
    <w:qFormat/>
    <w:uiPriority w:val="0"/>
    <w:rPr>
      <w:rFonts w:ascii="宋体" w:hAnsi="Courier New" w:eastAsia="宋体"/>
      <w:kern w:val="2"/>
      <w:sz w:val="21"/>
      <w:lang w:val="en-US" w:eastAsia="zh-CN" w:bidi="ar-SA"/>
    </w:rPr>
  </w:style>
  <w:style w:type="character" w:customStyle="1" w:styleId="32">
    <w:name w:val="正文文本 字符"/>
    <w:link w:val="9"/>
    <w:qFormat/>
    <w:uiPriority w:val="0"/>
    <w:rPr>
      <w:rFonts w:ascii="仿宋_GB2312" w:eastAsia="仿宋_GB2312"/>
      <w:kern w:val="2"/>
      <w:sz w:val="32"/>
    </w:rPr>
  </w:style>
  <w:style w:type="character" w:customStyle="1" w:styleId="33">
    <w:name w:val="页脚 字符"/>
    <w:link w:val="14"/>
    <w:qFormat/>
    <w:uiPriority w:val="99"/>
    <w:rPr>
      <w:kern w:val="2"/>
      <w:sz w:val="18"/>
      <w:szCs w:val="18"/>
    </w:rPr>
  </w:style>
  <w:style w:type="character" w:customStyle="1" w:styleId="34">
    <w:name w:val="标题 3 字符"/>
    <w:link w:val="5"/>
    <w:qFormat/>
    <w:uiPriority w:val="9"/>
    <w:rPr>
      <w:rFonts w:eastAsia="宋体" w:cs="Times New Roman"/>
      <w:b/>
      <w:bCs/>
      <w:kern w:val="2"/>
      <w:sz w:val="32"/>
      <w:szCs w:val="32"/>
    </w:rPr>
  </w:style>
  <w:style w:type="character" w:customStyle="1" w:styleId="35">
    <w:name w:val="正文文本 Char"/>
    <w:qFormat/>
    <w:uiPriority w:val="0"/>
    <w:rPr>
      <w:rFonts w:ascii="仿宋_GB2312" w:eastAsia="仿宋_GB2312"/>
      <w:kern w:val="2"/>
      <w:sz w:val="32"/>
    </w:rPr>
  </w:style>
  <w:style w:type="character" w:customStyle="1" w:styleId="36">
    <w:name w:val="批注文字 字符"/>
    <w:link w:val="8"/>
    <w:qFormat/>
    <w:uiPriority w:val="0"/>
    <w:rPr>
      <w:kern w:val="2"/>
      <w:sz w:val="21"/>
    </w:rPr>
  </w:style>
  <w:style w:type="character" w:customStyle="1" w:styleId="37">
    <w:name w:val="apple-converted-space"/>
    <w:basedOn w:val="23"/>
    <w:qFormat/>
    <w:uiPriority w:val="0"/>
  </w:style>
  <w:style w:type="character" w:customStyle="1" w:styleId="38">
    <w:name w:val="批注框文本 字符"/>
    <w:link w:val="13"/>
    <w:qFormat/>
    <w:uiPriority w:val="99"/>
    <w:rPr>
      <w:kern w:val="2"/>
      <w:sz w:val="18"/>
      <w:szCs w:val="18"/>
    </w:rPr>
  </w:style>
  <w:style w:type="character" w:customStyle="1" w:styleId="39">
    <w:name w:val="正文文本缩进 字符"/>
    <w:link w:val="10"/>
    <w:qFormat/>
    <w:uiPriority w:val="99"/>
    <w:rPr>
      <w:rFonts w:ascii="Calibri" w:hAnsi="Calibri" w:eastAsia="宋体" w:cs="Times New Roman"/>
      <w:kern w:val="2"/>
      <w:sz w:val="21"/>
      <w:szCs w:val="22"/>
    </w:rPr>
  </w:style>
  <w:style w:type="character" w:customStyle="1" w:styleId="40">
    <w:name w:val="Char Char5"/>
    <w:qFormat/>
    <w:uiPriority w:val="0"/>
    <w:rPr>
      <w:rFonts w:ascii="宋体" w:hAnsi="Courier New" w:eastAsia="宋体"/>
      <w:kern w:val="2"/>
      <w:sz w:val="21"/>
      <w:lang w:val="en-US" w:eastAsia="zh-CN" w:bidi="ar-SA"/>
    </w:rPr>
  </w:style>
  <w:style w:type="character" w:customStyle="1" w:styleId="41">
    <w:name w:val="纯文本 字符1"/>
    <w:link w:val="11"/>
    <w:qFormat/>
    <w:uiPriority w:val="0"/>
    <w:rPr>
      <w:rFonts w:ascii="宋体" w:hAnsi="Courier New" w:eastAsia="宋体"/>
      <w:kern w:val="2"/>
      <w:sz w:val="21"/>
      <w:lang w:val="en-US" w:eastAsia="zh-CN" w:bidi="ar-SA"/>
    </w:rPr>
  </w:style>
  <w:style w:type="character" w:customStyle="1" w:styleId="42">
    <w:name w:val="纯文本 字符"/>
    <w:qFormat/>
    <w:uiPriority w:val="0"/>
    <w:rPr>
      <w:rFonts w:ascii="宋体" w:hAnsi="Courier New" w:eastAsia="宋体"/>
    </w:rPr>
  </w:style>
  <w:style w:type="character" w:customStyle="1" w:styleId="43">
    <w:name w:val="页眉 字符"/>
    <w:link w:val="15"/>
    <w:qFormat/>
    <w:uiPriority w:val="99"/>
    <w:rPr>
      <w:rFonts w:eastAsia="宋体"/>
      <w:kern w:val="2"/>
      <w:sz w:val="18"/>
      <w:szCs w:val="18"/>
      <w:lang w:val="en-US" w:eastAsia="zh-CN" w:bidi="ar-SA"/>
    </w:rPr>
  </w:style>
  <w:style w:type="character" w:customStyle="1" w:styleId="44">
    <w:name w:val="批注主题 字符"/>
    <w:link w:val="20"/>
    <w:qFormat/>
    <w:uiPriority w:val="0"/>
    <w:rPr>
      <w:b/>
      <w:bCs/>
      <w:kern w:val="2"/>
      <w:sz w:val="21"/>
    </w:rPr>
  </w:style>
  <w:style w:type="character" w:customStyle="1" w:styleId="45">
    <w:name w:val="Char Char2"/>
    <w:qFormat/>
    <w:uiPriority w:val="0"/>
    <w:rPr>
      <w:rFonts w:ascii="宋体" w:hAnsi="Courier New" w:cs="宋体"/>
      <w:kern w:val="2"/>
      <w:sz w:val="21"/>
      <w:szCs w:val="21"/>
    </w:rPr>
  </w:style>
  <w:style w:type="character" w:customStyle="1" w:styleId="46">
    <w:name w:val="HTML Markup"/>
    <w:qFormat/>
    <w:uiPriority w:val="0"/>
    <w:rPr>
      <w:vanish/>
      <w:color w:val="FF0000"/>
    </w:rPr>
  </w:style>
  <w:style w:type="character" w:customStyle="1" w:styleId="47">
    <w:name w:val="纯文本 Char3"/>
    <w:qFormat/>
    <w:uiPriority w:val="0"/>
    <w:rPr>
      <w:rFonts w:ascii="宋体" w:hAnsi="Courier New" w:eastAsia="宋体"/>
      <w:kern w:val="2"/>
      <w:sz w:val="21"/>
      <w:lang w:val="en-US" w:eastAsia="zh-CN" w:bidi="ar-SA"/>
    </w:rPr>
  </w:style>
  <w:style w:type="character" w:customStyle="1" w:styleId="48">
    <w:name w:val="正文文本缩进 Char"/>
    <w:link w:val="49"/>
    <w:qFormat/>
    <w:uiPriority w:val="0"/>
    <w:rPr>
      <w:kern w:val="2"/>
      <w:sz w:val="21"/>
    </w:rPr>
  </w:style>
  <w:style w:type="paragraph" w:customStyle="1" w:styleId="49">
    <w:name w:val="正文文本缩进1"/>
    <w:basedOn w:val="1"/>
    <w:link w:val="48"/>
    <w:qFormat/>
    <w:uiPriority w:val="0"/>
    <w:pPr>
      <w:spacing w:after="120"/>
      <w:ind w:left="420" w:leftChars="200"/>
    </w:pPr>
  </w:style>
  <w:style w:type="paragraph" w:customStyle="1" w:styleId="50">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1">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二级列表 Char"/>
    <w:basedOn w:val="1"/>
    <w:qFormat/>
    <w:uiPriority w:val="0"/>
    <w:rPr>
      <w:rFonts w:ascii="Calibri" w:hAnsi="Calibri"/>
    </w:rPr>
  </w:style>
  <w:style w:type="character" w:customStyle="1" w:styleId="56">
    <w:name w:val="style61"/>
    <w:qFormat/>
    <w:uiPriority w:val="0"/>
  </w:style>
  <w:style w:type="character" w:customStyle="1" w:styleId="57">
    <w:name w:val="标题 1 字符"/>
    <w:basedOn w:val="23"/>
    <w:link w:val="3"/>
    <w:qFormat/>
    <w:uiPriority w:val="0"/>
    <w:rPr>
      <w:b/>
      <w:bCs/>
      <w:kern w:val="44"/>
      <w:sz w:val="44"/>
      <w:szCs w:val="44"/>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9">
    <w:name w:val="标题 2 字符"/>
    <w:basedOn w:val="23"/>
    <w:link w:val="4"/>
    <w:semiHidden/>
    <w:qFormat/>
    <w:uiPriority w:val="0"/>
    <w:rPr>
      <w:rFonts w:asciiTheme="majorHAnsi" w:hAnsiTheme="majorHAnsi" w:eastAsiaTheme="majorEastAsia" w:cstheme="majorBidi"/>
      <w:b/>
      <w:bCs/>
      <w:kern w:val="2"/>
      <w:sz w:val="32"/>
      <w:szCs w:val="32"/>
    </w:rPr>
  </w:style>
  <w:style w:type="character" w:customStyle="1" w:styleId="60">
    <w:name w:val="标题 字符"/>
    <w:basedOn w:val="23"/>
    <w:link w:val="19"/>
    <w:qFormat/>
    <w:uiPriority w:val="0"/>
    <w:rPr>
      <w:rFonts w:asciiTheme="majorHAnsi" w:hAnsiTheme="majorHAnsi" w:eastAsiaTheme="majorEastAsia" w:cstheme="majorBidi"/>
      <w:b/>
      <w:bCs/>
      <w:kern w:val="2"/>
      <w:sz w:val="32"/>
      <w:szCs w:val="32"/>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7352</Words>
  <Characters>7514</Characters>
  <Lines>99</Lines>
  <Paragraphs>28</Paragraphs>
  <TotalTime>8</TotalTime>
  <ScaleCrop>false</ScaleCrop>
  <LinksUpToDate>false</LinksUpToDate>
  <CharactersWithSpaces>8325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Administrator</cp:lastModifiedBy>
  <cp:lastPrinted>2020-02-06T09:56:00Z</cp:lastPrinted>
  <dcterms:modified xsi:type="dcterms:W3CDTF">2024-07-18T07:53:55Z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E67A7378AF054A04BEA1C92E54CC2730</vt:lpwstr>
  </property>
</Properties>
</file>